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82139" w14:textId="4090160A" w:rsidR="006C5F7E" w:rsidRPr="00DA49E9" w:rsidRDefault="002E14A1" w:rsidP="0092252A">
      <w:pPr>
        <w:pStyle w:val="PaperTitle"/>
        <w:rPr>
          <w:szCs w:val="36"/>
          <w:lang w:eastAsia="ru-RU"/>
        </w:rPr>
      </w:pPr>
      <w:r w:rsidRPr="00DA49E9">
        <w:rPr>
          <w:szCs w:val="36"/>
          <w:lang w:eastAsia="ru-RU"/>
        </w:rPr>
        <w:t xml:space="preserve">Research on Energy Storage Systems for Electric Vehicles Based on Batteries and </w:t>
      </w:r>
      <w:r w:rsidR="006C5F7E" w:rsidRPr="00DA49E9">
        <w:rPr>
          <w:szCs w:val="36"/>
          <w:lang w:eastAsia="ru-RU"/>
        </w:rPr>
        <w:t>Supercapacitors</w:t>
      </w:r>
    </w:p>
    <w:p w14:paraId="5B2FC519" w14:textId="45160218" w:rsidR="006C5F7E" w:rsidRPr="00DA49E9" w:rsidRDefault="006C5F7E" w:rsidP="2F830975">
      <w:pPr>
        <w:pStyle w:val="AuthorName"/>
        <w:rPr>
          <w:color w:val="000000" w:themeColor="text1"/>
        </w:rPr>
      </w:pPr>
      <w:r w:rsidRPr="00DA49E9">
        <w:rPr>
          <w:color w:val="000000" w:themeColor="text1"/>
        </w:rPr>
        <w:t>Oleh Smyrnov</w:t>
      </w:r>
      <w:r w:rsidRPr="00DA49E9">
        <w:rPr>
          <w:color w:val="000000" w:themeColor="text1"/>
          <w:vertAlign w:val="superscript"/>
        </w:rPr>
        <w:t>1, a)</w:t>
      </w:r>
      <w:r w:rsidRPr="00DA49E9">
        <w:rPr>
          <w:color w:val="000000" w:themeColor="text1"/>
        </w:rPr>
        <w:t>,</w:t>
      </w:r>
      <w:r w:rsidRPr="00DA49E9">
        <w:rPr>
          <w:color w:val="000000" w:themeColor="text1"/>
          <w:vertAlign w:val="superscript"/>
        </w:rPr>
        <w:t xml:space="preserve"> </w:t>
      </w:r>
      <w:r w:rsidRPr="00DA49E9">
        <w:rPr>
          <w:color w:val="000000" w:themeColor="text1"/>
        </w:rPr>
        <w:t>Anna Borysenko</w:t>
      </w:r>
      <w:r w:rsidRPr="00DA49E9">
        <w:rPr>
          <w:color w:val="000000" w:themeColor="text1"/>
          <w:vertAlign w:val="superscript"/>
        </w:rPr>
        <w:t>1, b)</w:t>
      </w:r>
      <w:r w:rsidRPr="00DA49E9">
        <w:rPr>
          <w:color w:val="000000" w:themeColor="text1"/>
        </w:rPr>
        <w:t>,</w:t>
      </w:r>
      <w:r w:rsidRPr="00DA49E9">
        <w:rPr>
          <w:color w:val="000000" w:themeColor="text1"/>
          <w:vertAlign w:val="superscript"/>
        </w:rPr>
        <w:t xml:space="preserve"> </w:t>
      </w:r>
      <w:r w:rsidRPr="00DA49E9">
        <w:rPr>
          <w:color w:val="000000" w:themeColor="text1"/>
        </w:rPr>
        <w:t>Ir</w:t>
      </w:r>
      <w:r w:rsidR="00E958A0" w:rsidRPr="00DA49E9">
        <w:rPr>
          <w:color w:val="000000" w:themeColor="text1"/>
        </w:rPr>
        <w:t>y</w:t>
      </w:r>
      <w:r w:rsidRPr="00DA49E9">
        <w:rPr>
          <w:color w:val="000000" w:themeColor="text1"/>
        </w:rPr>
        <w:t>na Trunova</w:t>
      </w:r>
      <w:r w:rsidRPr="00DA49E9">
        <w:rPr>
          <w:color w:val="000000" w:themeColor="text1"/>
          <w:vertAlign w:val="superscript"/>
        </w:rPr>
        <w:t xml:space="preserve">1, c) </w:t>
      </w:r>
      <w:r w:rsidRPr="00DA49E9">
        <w:rPr>
          <w:color w:val="000000" w:themeColor="text1"/>
        </w:rPr>
        <w:t xml:space="preserve">and </w:t>
      </w:r>
      <w:r w:rsidRPr="00E06C85">
        <w:rPr>
          <w:color w:val="000000" w:themeColor="text1"/>
        </w:rPr>
        <w:t xml:space="preserve">Andriy </w:t>
      </w:r>
      <w:r w:rsidRPr="00DA49E9">
        <w:rPr>
          <w:color w:val="000000" w:themeColor="text1"/>
        </w:rPr>
        <w:t>Nechaus</w:t>
      </w:r>
      <w:r w:rsidRPr="00DA49E9">
        <w:rPr>
          <w:color w:val="000000" w:themeColor="text1"/>
          <w:vertAlign w:val="superscript"/>
        </w:rPr>
        <w:t>1, d)</w:t>
      </w:r>
    </w:p>
    <w:p w14:paraId="20303D9D" w14:textId="0A8DFF3E" w:rsidR="006C5F7E" w:rsidRPr="00DA49E9" w:rsidRDefault="006C5F7E" w:rsidP="00B02E99">
      <w:pPr>
        <w:pStyle w:val="AuthorAffiliation"/>
        <w:rPr>
          <w:i w:val="0"/>
          <w:color w:val="000000" w:themeColor="text1"/>
        </w:rPr>
      </w:pPr>
      <w:r w:rsidRPr="00DA49E9">
        <w:rPr>
          <w:i w:val="0"/>
          <w:color w:val="000000" w:themeColor="text1"/>
          <w:vertAlign w:val="superscript"/>
          <w:lang w:eastAsia="en-GB"/>
        </w:rPr>
        <w:t>1</w:t>
      </w:r>
      <w:r w:rsidRPr="00DA49E9">
        <w:rPr>
          <w:color w:val="000000" w:themeColor="text1"/>
          <w:lang w:eastAsia="en-GB"/>
        </w:rPr>
        <w:t xml:space="preserve">Kharkiv National Automobile and Highway University, </w:t>
      </w:r>
      <w:r w:rsidRPr="00DA49E9">
        <w:rPr>
          <w:color w:val="000000" w:themeColor="text1"/>
          <w:lang w:eastAsia="en-GB"/>
        </w:rPr>
        <w:br/>
        <w:t>Department of Automotive Electronics, 61002 Kharkiv, Ukraine</w:t>
      </w:r>
      <w:r w:rsidR="00B02E99" w:rsidRPr="00DA49E9">
        <w:rPr>
          <w:color w:val="000000" w:themeColor="text1"/>
          <w:lang w:eastAsia="en-GB"/>
        </w:rPr>
        <w:br/>
      </w:r>
      <w:r w:rsidR="00B02E99" w:rsidRPr="00DA49E9">
        <w:br/>
      </w:r>
      <w:r w:rsidRPr="00DA49E9">
        <w:rPr>
          <w:i w:val="0"/>
          <w:color w:val="000000" w:themeColor="text1"/>
          <w:vertAlign w:val="superscript"/>
        </w:rPr>
        <w:t>a)</w:t>
      </w:r>
      <w:r w:rsidRPr="00DA49E9">
        <w:rPr>
          <w:color w:val="000000" w:themeColor="text1"/>
        </w:rPr>
        <w:t xml:space="preserve"> Corresponding author: smirnov1oleg@gmail.com </w:t>
      </w:r>
    </w:p>
    <w:p w14:paraId="75B86E5F" w14:textId="77777777" w:rsidR="006C5F7E" w:rsidRPr="00DA49E9" w:rsidRDefault="006C5F7E" w:rsidP="006C5F7E">
      <w:pPr>
        <w:pStyle w:val="AuthorEmail"/>
        <w:rPr>
          <w:i/>
          <w:color w:val="000000" w:themeColor="text1"/>
        </w:rPr>
      </w:pPr>
      <w:r w:rsidRPr="00DA49E9">
        <w:rPr>
          <w:color w:val="000000" w:themeColor="text1"/>
          <w:vertAlign w:val="superscript"/>
        </w:rPr>
        <w:t>b)</w:t>
      </w:r>
      <w:r w:rsidRPr="00DA49E9">
        <w:rPr>
          <w:i/>
          <w:color w:val="000000" w:themeColor="text1"/>
        </w:rPr>
        <w:t xml:space="preserve"> anutochka2111@gmail.com </w:t>
      </w:r>
    </w:p>
    <w:p w14:paraId="3F6F3783" w14:textId="77777777" w:rsidR="006C5F7E" w:rsidRPr="00DA49E9" w:rsidRDefault="006C5F7E" w:rsidP="006C5F7E">
      <w:pPr>
        <w:pStyle w:val="AuthorEmail"/>
        <w:rPr>
          <w:i/>
          <w:color w:val="000000" w:themeColor="text1"/>
        </w:rPr>
      </w:pPr>
      <w:r w:rsidRPr="00DA49E9">
        <w:rPr>
          <w:color w:val="000000" w:themeColor="text1"/>
          <w:vertAlign w:val="superscript"/>
        </w:rPr>
        <w:t>c)</w:t>
      </w:r>
      <w:r w:rsidRPr="00DA49E9">
        <w:rPr>
          <w:i/>
          <w:color w:val="000000" w:themeColor="text1"/>
        </w:rPr>
        <w:t xml:space="preserve"> trunova.irinaserg@gmail.com</w:t>
      </w:r>
    </w:p>
    <w:p w14:paraId="1527A80C" w14:textId="77777777" w:rsidR="006C5F7E" w:rsidRPr="00DA49E9" w:rsidRDefault="006C5F7E" w:rsidP="006C5F7E">
      <w:pPr>
        <w:pStyle w:val="AuthorEmail"/>
        <w:rPr>
          <w:i/>
          <w:color w:val="000000" w:themeColor="text1"/>
        </w:rPr>
      </w:pPr>
      <w:r w:rsidRPr="00DA49E9">
        <w:rPr>
          <w:color w:val="000000" w:themeColor="text1"/>
          <w:vertAlign w:val="superscript"/>
        </w:rPr>
        <w:t>d)</w:t>
      </w:r>
      <w:r w:rsidRPr="00DA49E9">
        <w:rPr>
          <w:i/>
          <w:color w:val="000000" w:themeColor="text1"/>
        </w:rPr>
        <w:t xml:space="preserve"> a.nechaus@gmail.com</w:t>
      </w:r>
    </w:p>
    <w:p w14:paraId="61C9DEFC" w14:textId="7A37E25A" w:rsidR="00AF4623" w:rsidRPr="00DA49E9" w:rsidRDefault="0016385D" w:rsidP="00AF4623">
      <w:pPr>
        <w:pStyle w:val="Abstract"/>
        <w:rPr>
          <w:color w:val="000000" w:themeColor="text1"/>
        </w:rPr>
      </w:pPr>
      <w:r w:rsidRPr="00DA49E9">
        <w:rPr>
          <w:b/>
          <w:bCs/>
          <w:color w:val="000000" w:themeColor="text1"/>
        </w:rPr>
        <w:t>Abstract.</w:t>
      </w:r>
      <w:r w:rsidRPr="00DA49E9">
        <w:rPr>
          <w:color w:val="000000" w:themeColor="text1"/>
        </w:rPr>
        <w:t xml:space="preserve"> </w:t>
      </w:r>
      <w:r w:rsidR="00381F51" w:rsidRPr="00DA49E9">
        <w:rPr>
          <w:color w:val="000000" w:themeColor="text1"/>
        </w:rPr>
        <w:t xml:space="preserve">This paper presents a conceptual synthesis of hybrid energy storage systems for electric vehicles, combining lithium-ion batteries with supercapacitors to exploit their complementary characteristics of high energy density and </w:t>
      </w:r>
      <w:r w:rsidR="00DA49E9" w:rsidRPr="00DA49E9">
        <w:rPr>
          <w:color w:val="000000" w:themeColor="text1"/>
        </w:rPr>
        <w:t>high-power</w:t>
      </w:r>
      <w:r w:rsidR="00381F51" w:rsidRPr="00DA49E9">
        <w:rPr>
          <w:color w:val="000000" w:themeColor="text1"/>
        </w:rPr>
        <w:t xml:space="preserve"> density. Particular emphasis is placed on circuit topologies, energy management strategies, integration with photovoltaic charging and vehicle-to-grid operation, as well as practical packaging and layout considerations – topics that are less systematically addressed in previous reviews. </w:t>
      </w:r>
      <w:r w:rsidR="00381F51" w:rsidRPr="00DA49E9">
        <w:t xml:space="preserve">This conceptual synthesis makes reference to Thevenin-type equivalent circuits for lithium-ion batteries and simplified representations of supercapacitors, which are widely employed in the literature to characterize transient and steady-state behavior. A rational active </w:t>
      </w:r>
      <w:r w:rsidR="00381F51" w:rsidRPr="00DA49E9">
        <w:rPr>
          <w:color w:val="000000" w:themeColor="text1"/>
        </w:rPr>
        <w:t>hybrid energy storage systems</w:t>
      </w:r>
      <w:r w:rsidR="00381F51" w:rsidRPr="00DA49E9">
        <w:t xml:space="preserve"> architecture using two bidirectional DC/DC converters is proposed as a reference solution, since it offers superior control flexibility and efficiency compared to passive or semi-active alternatives. To support the conceptual discussion, an illustrative numerical case study is included, demonstrating a significant reduction in peak battery current during regenerative braking together with an observable enhancement in total recovered energy. The paper concludes with design guidelines and highlights key limitations and perspectives for future research, particularly the role of energy management system optimization and experimental validation under real driving conditions.</w:t>
      </w:r>
      <w:r w:rsidR="00FE6CB6" w:rsidRPr="00DA49E9">
        <w:rPr>
          <w:color w:val="000000" w:themeColor="text1"/>
        </w:rPr>
        <w:t xml:space="preserve"> </w:t>
      </w:r>
    </w:p>
    <w:p w14:paraId="1BCCD3FA" w14:textId="3FF11FB4" w:rsidR="00AF4623" w:rsidRPr="00DA49E9" w:rsidRDefault="00AF4623" w:rsidP="00CE2751">
      <w:pPr>
        <w:pStyle w:val="Abstract"/>
        <w:rPr>
          <w:color w:val="000000" w:themeColor="text1"/>
        </w:rPr>
      </w:pPr>
      <w:r w:rsidRPr="00DA49E9">
        <w:rPr>
          <w:b/>
          <w:color w:val="000000" w:themeColor="text1"/>
        </w:rPr>
        <w:t>Keywords</w:t>
      </w:r>
      <w:r w:rsidRPr="00DA49E9">
        <w:rPr>
          <w:color w:val="000000" w:themeColor="text1"/>
        </w:rPr>
        <w:t>: battery; hybrid energy storage system; electric vehicle; capacity; converter; power; supercapacitor.</w:t>
      </w:r>
    </w:p>
    <w:p w14:paraId="2CDF9319" w14:textId="26D7514C" w:rsidR="006C5F7E" w:rsidRPr="00DA49E9" w:rsidRDefault="006C5F7E" w:rsidP="006C5F7E">
      <w:pPr>
        <w:pStyle w:val="1"/>
        <w:rPr>
          <w:color w:val="000000" w:themeColor="text1"/>
        </w:rPr>
      </w:pPr>
      <w:r w:rsidRPr="00DA49E9">
        <w:rPr>
          <w:color w:val="000000" w:themeColor="text1"/>
        </w:rPr>
        <w:t>INTRODUCTION</w:t>
      </w:r>
    </w:p>
    <w:p w14:paraId="256391BE" w14:textId="51D8F83C" w:rsidR="006C5F7E" w:rsidRPr="00DA49E9" w:rsidRDefault="006C5F7E" w:rsidP="006C5F7E">
      <w:pPr>
        <w:pStyle w:val="Paragraph"/>
        <w:rPr>
          <w:color w:val="000000" w:themeColor="text1"/>
        </w:rPr>
      </w:pPr>
      <w:r w:rsidRPr="00DA49E9">
        <w:rPr>
          <w:color w:val="000000" w:themeColor="text1"/>
        </w:rPr>
        <w:t>The development of electric vehicles is a critical component of the global transition toward sustainable and environmentally friendly transportation. Driven by technological advances and policy support, the electric vehicle market is expanding rapidly, playing a decisive role in reducing greenhouse gas emissions, decreasing dependence on fossil fuels, and improving urban air quality. The evolution of electric vehicles signals the gradual decline of the internal combustion engine (ICE) era. Progress and rapid development in the field of sustainable automotive engineering are being achieved through the deployment of electric motors, which replace ICEs primarily to enhance drivetrain efficiency and ensure environmental compatibility. Electric motors are powered exclusively by battery systems or supercapacitors</w:t>
      </w:r>
      <w:r w:rsidR="00F22C4F" w:rsidRPr="00DA49E9">
        <w:rPr>
          <w:color w:val="000000" w:themeColor="text1"/>
        </w:rPr>
        <w:t xml:space="preserve"> (SC)</w:t>
      </w:r>
      <w:r w:rsidRPr="00DA49E9">
        <w:rPr>
          <w:color w:val="000000" w:themeColor="text1"/>
        </w:rPr>
        <w:t xml:space="preserve">. The major challenge hindering the widespread adoption of electric vehicles is the development of high-power and high-capacity energy storage systems that can extend driving range and prolong battery lifespan. However, the anticipated levels of power and energy density in battery technologies have not yet been fully achieved. Researchers are actively addressing the issue of designing highly efficient and powerful energy storage systems for electric vehicles. At present, this challenge can be mitigated through the integration of supercapacitors. Supercapacitors are regarded as one of the most promising and distinctive energy storage technologies owing to their exceptional </w:t>
      </w:r>
      <w:r w:rsidR="00822DDE" w:rsidRPr="00DA49E9">
        <w:rPr>
          <w:color w:val="000000" w:themeColor="text1"/>
        </w:rPr>
        <w:t>charge-discharge</w:t>
      </w:r>
      <w:r w:rsidRPr="00DA49E9">
        <w:rPr>
          <w:color w:val="000000" w:themeColor="text1"/>
        </w:rPr>
        <w:t xml:space="preserve"> characteristics, ability to deliver higher power than conventional batteries, and extended operational lifetime. Moreover, their reliable performance across a wide temperature range further enhances their potential for application in electric vehicle energy storage systems</w:t>
      </w:r>
      <w:r w:rsidR="00DE3DC2" w:rsidRPr="00DA49E9">
        <w:rPr>
          <w:color w:val="000000" w:themeColor="text1"/>
        </w:rPr>
        <w:t>.</w:t>
      </w:r>
    </w:p>
    <w:p w14:paraId="246042A9" w14:textId="1DEC5E99" w:rsidR="00F53D54" w:rsidRPr="00DA49E9" w:rsidRDefault="00F53D54" w:rsidP="00F53D54">
      <w:pPr>
        <w:pStyle w:val="1"/>
        <w:rPr>
          <w:color w:val="000000" w:themeColor="text1"/>
        </w:rPr>
      </w:pPr>
      <w:r w:rsidRPr="00DA49E9">
        <w:rPr>
          <w:color w:val="000000" w:themeColor="text1"/>
        </w:rPr>
        <w:lastRenderedPageBreak/>
        <w:t xml:space="preserve">LITERATURE REVIEW AND STATEMENT OF THE PROBLEM </w:t>
      </w:r>
    </w:p>
    <w:p w14:paraId="23804209" w14:textId="431C4FE9" w:rsidR="006C5F7E" w:rsidRPr="00DA49E9" w:rsidRDefault="006C5F7E" w:rsidP="006C5F7E">
      <w:pPr>
        <w:pStyle w:val="Paragraph"/>
        <w:rPr>
          <w:color w:val="000000" w:themeColor="text1"/>
        </w:rPr>
      </w:pPr>
      <w:r w:rsidRPr="00DA49E9">
        <w:rPr>
          <w:color w:val="000000" w:themeColor="text1"/>
        </w:rPr>
        <w:t>Batteries represent a key component of electric mobility and energy storage. A systematic review and analysis of electric vehicle batteries is provided in [</w:t>
      </w:r>
      <w:r w:rsidR="00715038" w:rsidRPr="00DA49E9">
        <w:rPr>
          <w:color w:val="000000" w:themeColor="text1"/>
        </w:rPr>
        <w:t>1</w:t>
      </w:r>
      <w:r w:rsidRPr="00DA49E9">
        <w:rPr>
          <w:color w:val="000000" w:themeColor="text1"/>
        </w:rPr>
        <w:t>]. The evaluation and prediction of the instability of lithium-ion battery packs in electric vehicles, based on real-world operational data, are reported in [</w:t>
      </w:r>
      <w:r w:rsidR="00715038" w:rsidRPr="00DA49E9">
        <w:rPr>
          <w:color w:val="000000" w:themeColor="text1"/>
        </w:rPr>
        <w:t>2</w:t>
      </w:r>
      <w:r w:rsidRPr="00DA49E9">
        <w:rPr>
          <w:color w:val="000000" w:themeColor="text1"/>
        </w:rPr>
        <w:t>]. The reliability and efficiency of energy storage systems used in electric vehicles are of critical importance to consumers. An overview of the main challenges associated with lithium-ion batteries in electric vehicles is presented in [</w:t>
      </w:r>
      <w:r w:rsidR="00715038" w:rsidRPr="00DA49E9">
        <w:rPr>
          <w:color w:val="000000" w:themeColor="text1"/>
        </w:rPr>
        <w:t>3</w:t>
      </w:r>
      <w:r w:rsidRPr="00DA49E9">
        <w:rPr>
          <w:color w:val="000000" w:themeColor="text1"/>
        </w:rPr>
        <w:t>].</w:t>
      </w:r>
    </w:p>
    <w:p w14:paraId="0A720A58" w14:textId="4BF29E25" w:rsidR="006C5F7E" w:rsidRPr="00DA49E9" w:rsidRDefault="006C5F7E" w:rsidP="006C5F7E">
      <w:pPr>
        <w:pStyle w:val="Paragraph"/>
        <w:rPr>
          <w:color w:val="000000" w:themeColor="text1"/>
        </w:rPr>
      </w:pPr>
      <w:r w:rsidRPr="00DA49E9">
        <w:rPr>
          <w:color w:val="000000" w:themeColor="text1"/>
        </w:rPr>
        <w:t xml:space="preserve">A practical solution is the integration of a battery with a supercapacitor, which is essentially an electrochemical device with a similar architecture but characterized by a higher </w:t>
      </w:r>
      <w:r w:rsidR="00822DDE" w:rsidRPr="00DA49E9">
        <w:rPr>
          <w:color w:val="000000" w:themeColor="text1"/>
        </w:rPr>
        <w:t>charge-discharge</w:t>
      </w:r>
      <w:r w:rsidRPr="00DA49E9">
        <w:rPr>
          <w:color w:val="000000" w:themeColor="text1"/>
        </w:rPr>
        <w:t xml:space="preserve"> rate and superior cycling stability. In such a configuration, the supercapacitor can supply the additional energy required when the battery alone is insufficient. Beyond considering the battery and supercapacitor as independent units, the electrical design of the hybrid system architecture is of paramount importance. Recent studies on the application of hybrid </w:t>
      </w:r>
      <w:r w:rsidR="008913B1" w:rsidRPr="00DA49E9">
        <w:rPr>
          <w:color w:val="000000" w:themeColor="text1"/>
        </w:rPr>
        <w:t xml:space="preserve">battery-supercapacitor </w:t>
      </w:r>
      <w:r w:rsidRPr="00DA49E9">
        <w:rPr>
          <w:color w:val="000000" w:themeColor="text1"/>
        </w:rPr>
        <w:t>energy storage systems in electric vehicles are reviewed in [</w:t>
      </w:r>
      <w:r w:rsidR="00715038" w:rsidRPr="00DA49E9">
        <w:rPr>
          <w:color w:val="000000" w:themeColor="text1"/>
        </w:rPr>
        <w:t>4</w:t>
      </w:r>
      <w:r w:rsidRPr="00DA49E9">
        <w:rPr>
          <w:color w:val="000000" w:themeColor="text1"/>
        </w:rPr>
        <w:t>].</w:t>
      </w:r>
    </w:p>
    <w:p w14:paraId="540398DA" w14:textId="202DDF7B" w:rsidR="006C5F7E" w:rsidRPr="00DA49E9" w:rsidRDefault="006C5F7E" w:rsidP="006C5F7E">
      <w:pPr>
        <w:pStyle w:val="Paragraph"/>
        <w:rPr>
          <w:color w:val="000000" w:themeColor="text1"/>
        </w:rPr>
      </w:pPr>
      <w:r w:rsidRPr="00DA49E9">
        <w:rPr>
          <w:color w:val="000000" w:themeColor="text1"/>
        </w:rPr>
        <w:t>The use of energy-efficient technologies that combine supercapacitors and lithium-ion batteries has recently gained wide adoption in transportation, industry, and power engineering, particularly in the domain of electric vehicles</w:t>
      </w:r>
      <w:r w:rsidR="00715038" w:rsidRPr="00DA49E9">
        <w:rPr>
          <w:color w:val="000000" w:themeColor="text1"/>
        </w:rPr>
        <w:t> </w:t>
      </w:r>
      <w:r w:rsidRPr="00DA49E9">
        <w:rPr>
          <w:color w:val="000000" w:themeColor="text1"/>
        </w:rPr>
        <w:t>[</w:t>
      </w:r>
      <w:r w:rsidR="00715038" w:rsidRPr="00DA49E9">
        <w:rPr>
          <w:color w:val="000000" w:themeColor="text1"/>
        </w:rPr>
        <w:t>5</w:t>
      </w:r>
      <w:r w:rsidRPr="00DA49E9">
        <w:rPr>
          <w:color w:val="000000" w:themeColor="text1"/>
        </w:rPr>
        <w:t>,</w:t>
      </w:r>
      <w:r w:rsidR="00715038" w:rsidRPr="00DA49E9">
        <w:rPr>
          <w:color w:val="000000" w:themeColor="text1"/>
        </w:rPr>
        <w:t> 6</w:t>
      </w:r>
      <w:r w:rsidRPr="00DA49E9">
        <w:rPr>
          <w:color w:val="000000" w:themeColor="text1"/>
        </w:rPr>
        <w:t>]. A comp</w:t>
      </w:r>
      <w:r w:rsidR="00715038" w:rsidRPr="00DA49E9">
        <w:rPr>
          <w:color w:val="000000" w:themeColor="text1"/>
        </w:rPr>
        <w:t>rehensive review presented in [7</w:t>
      </w:r>
      <w:r w:rsidRPr="00DA49E9">
        <w:rPr>
          <w:color w:val="000000" w:themeColor="text1"/>
        </w:rPr>
        <w:t xml:space="preserve">] highlights the latest advances in the design and implementation of hybrid energy storage systems </w:t>
      </w:r>
      <w:r w:rsidR="00894190" w:rsidRPr="00DA49E9">
        <w:rPr>
          <w:color w:val="000000" w:themeColor="text1"/>
        </w:rPr>
        <w:t xml:space="preserve">(HESS) </w:t>
      </w:r>
      <w:r w:rsidRPr="00DA49E9">
        <w:rPr>
          <w:color w:val="000000" w:themeColor="text1"/>
        </w:rPr>
        <w:t>based on batteries and supercapacitors for electric vehicles. The study examines the impact of integrating such hybrid systems on key performance indicators, including extended driving range, improved acceleration, and enhanced overall durability of lithium-ion batteries.</w:t>
      </w:r>
    </w:p>
    <w:p w14:paraId="0D2189C7" w14:textId="37330FD6" w:rsidR="000C3483" w:rsidRPr="00DA49E9" w:rsidRDefault="006C5F7E" w:rsidP="006C5F7E">
      <w:pPr>
        <w:pStyle w:val="Paragraph"/>
        <w:rPr>
          <w:color w:val="000000" w:themeColor="text1"/>
        </w:rPr>
      </w:pPr>
      <w:r w:rsidRPr="00DA49E9">
        <w:rPr>
          <w:color w:val="000000" w:themeColor="text1"/>
        </w:rPr>
        <w:t>In [</w:t>
      </w:r>
      <w:r w:rsidR="00715038" w:rsidRPr="00DA49E9">
        <w:rPr>
          <w:color w:val="000000" w:themeColor="text1"/>
        </w:rPr>
        <w:t>8</w:t>
      </w:r>
      <w:r w:rsidRPr="00DA49E9">
        <w:rPr>
          <w:color w:val="000000" w:themeColor="text1"/>
        </w:rPr>
        <w:t xml:space="preserve">], it was established that two essential components of electric vehicle power management systems are the battery pack and supercapacitors. Long-term energy storage is ensured by the high energy density of batteries, complemented by the </w:t>
      </w:r>
      <w:r w:rsidR="00DA49E9" w:rsidRPr="00DA49E9">
        <w:rPr>
          <w:color w:val="000000" w:themeColor="text1"/>
        </w:rPr>
        <w:t>high-power</w:t>
      </w:r>
      <w:r w:rsidRPr="00DA49E9">
        <w:rPr>
          <w:color w:val="000000" w:themeColor="text1"/>
        </w:rPr>
        <w:t xml:space="preserve"> density and fast charge/discharge capability of supercapacitors. The integration of these technologies enables effective energy management, balancing energy demands while extending battery lifetime.</w:t>
      </w:r>
      <w:r w:rsidR="00187565" w:rsidRPr="00DA49E9">
        <w:rPr>
          <w:color w:val="000000" w:themeColor="text1"/>
        </w:rPr>
        <w:t xml:space="preserve"> </w:t>
      </w:r>
    </w:p>
    <w:p w14:paraId="77F5CCB8" w14:textId="77777777" w:rsidR="00CA28D8" w:rsidRPr="00DA49E9" w:rsidRDefault="006C5F7E" w:rsidP="006C5F7E">
      <w:pPr>
        <w:pStyle w:val="Paragraph"/>
        <w:rPr>
          <w:color w:val="000000" w:themeColor="text1"/>
        </w:rPr>
      </w:pPr>
      <w:r w:rsidRPr="00DA49E9">
        <w:rPr>
          <w:color w:val="000000" w:themeColor="text1"/>
        </w:rPr>
        <w:t>In [</w:t>
      </w:r>
      <w:r w:rsidR="00715038" w:rsidRPr="00DA49E9">
        <w:rPr>
          <w:color w:val="000000" w:themeColor="text1"/>
        </w:rPr>
        <w:t>9</w:t>
      </w:r>
      <w:r w:rsidRPr="00DA49E9">
        <w:rPr>
          <w:color w:val="000000" w:themeColor="text1"/>
        </w:rPr>
        <w:t xml:space="preserve">], a hybrid energy storage system for electric vehicles, combining batteries and a supercapacitor integrated with solar photovoltaic cells, was proposed and numerically modeled in MATLAB/Simulink. </w:t>
      </w:r>
    </w:p>
    <w:p w14:paraId="5ABE4B1A" w14:textId="77777777" w:rsidR="00CA28D8" w:rsidRPr="00DA49E9" w:rsidRDefault="006C5F7E" w:rsidP="006C5F7E">
      <w:pPr>
        <w:pStyle w:val="Paragraph"/>
        <w:rPr>
          <w:color w:val="000000" w:themeColor="text1"/>
        </w:rPr>
      </w:pPr>
      <w:r w:rsidRPr="00DA49E9">
        <w:rPr>
          <w:color w:val="000000" w:themeColor="text1"/>
        </w:rPr>
        <w:t>Furthermore, in [1</w:t>
      </w:r>
      <w:r w:rsidR="00715038" w:rsidRPr="00DA49E9">
        <w:rPr>
          <w:color w:val="000000" w:themeColor="text1"/>
        </w:rPr>
        <w:t>0</w:t>
      </w:r>
      <w:r w:rsidRPr="00DA49E9">
        <w:rPr>
          <w:color w:val="000000" w:themeColor="text1"/>
        </w:rPr>
        <w:t xml:space="preserve">], a control strategy was developed for an active hybrid </w:t>
      </w:r>
      <w:r w:rsidR="008913B1" w:rsidRPr="00DA49E9">
        <w:rPr>
          <w:color w:val="000000" w:themeColor="text1"/>
        </w:rPr>
        <w:t xml:space="preserve">battery-supercapacitor </w:t>
      </w:r>
      <w:r w:rsidRPr="00DA49E9">
        <w:rPr>
          <w:color w:val="000000" w:themeColor="text1"/>
        </w:rPr>
        <w:t>energy storage system intended for electric vehicle applications.</w:t>
      </w:r>
      <w:r w:rsidR="00187565" w:rsidRPr="00DA49E9">
        <w:rPr>
          <w:color w:val="000000" w:themeColor="text1"/>
        </w:rPr>
        <w:t xml:space="preserve"> </w:t>
      </w:r>
    </w:p>
    <w:p w14:paraId="200C9426" w14:textId="77777777" w:rsidR="00CA28D8" w:rsidRPr="00DA49E9" w:rsidRDefault="006C5F7E" w:rsidP="006C5F7E">
      <w:pPr>
        <w:pStyle w:val="Paragraph"/>
        <w:rPr>
          <w:color w:val="000000" w:themeColor="text1"/>
        </w:rPr>
      </w:pPr>
      <w:r w:rsidRPr="00DA49E9">
        <w:rPr>
          <w:color w:val="000000" w:themeColor="text1"/>
        </w:rPr>
        <w:t>In [1</w:t>
      </w:r>
      <w:r w:rsidR="00715038" w:rsidRPr="00DA49E9">
        <w:rPr>
          <w:color w:val="000000" w:themeColor="text1"/>
        </w:rPr>
        <w:t>1</w:t>
      </w:r>
      <w:r w:rsidRPr="00DA49E9">
        <w:rPr>
          <w:color w:val="000000" w:themeColor="text1"/>
        </w:rPr>
        <w:t xml:space="preserve">], a hybrid energy management method for a </w:t>
      </w:r>
      <w:r w:rsidR="008913B1" w:rsidRPr="00DA49E9">
        <w:rPr>
          <w:color w:val="000000" w:themeColor="text1"/>
        </w:rPr>
        <w:t xml:space="preserve">battery-supercapacitor </w:t>
      </w:r>
      <w:r w:rsidRPr="00DA49E9">
        <w:rPr>
          <w:color w:val="000000" w:themeColor="text1"/>
        </w:rPr>
        <w:t>energy storage system is presented, along with an approach to integrated charging in electric vehicles. An enhanced energy management strategy for hybrid energy storage systems in electric vehicles is reported in [1</w:t>
      </w:r>
      <w:r w:rsidR="00715038" w:rsidRPr="00DA49E9">
        <w:rPr>
          <w:color w:val="000000" w:themeColor="text1"/>
        </w:rPr>
        <w:t>2</w:t>
      </w:r>
      <w:r w:rsidRPr="00DA49E9">
        <w:rPr>
          <w:color w:val="000000" w:themeColor="text1"/>
        </w:rPr>
        <w:t xml:space="preserve">]. </w:t>
      </w:r>
    </w:p>
    <w:p w14:paraId="65AB0B57" w14:textId="515409E6" w:rsidR="006C5F7E" w:rsidRPr="00DA49E9" w:rsidRDefault="006C5F7E" w:rsidP="006C5F7E">
      <w:pPr>
        <w:pStyle w:val="Paragraph"/>
        <w:rPr>
          <w:color w:val="000000" w:themeColor="text1"/>
        </w:rPr>
      </w:pPr>
      <w:r w:rsidRPr="00DA49E9">
        <w:rPr>
          <w:color w:val="000000" w:themeColor="text1"/>
        </w:rPr>
        <w:t>Furthermore, in [1</w:t>
      </w:r>
      <w:r w:rsidR="00715038" w:rsidRPr="00DA49E9">
        <w:rPr>
          <w:color w:val="000000" w:themeColor="text1"/>
        </w:rPr>
        <w:t>3</w:t>
      </w:r>
      <w:r w:rsidRPr="00DA49E9">
        <w:rPr>
          <w:color w:val="000000" w:themeColor="text1"/>
        </w:rPr>
        <w:t>], an optimized energy management strategy based on an adaptive neuro-fuzzy inference system is proposed for the integration of battery and supercapacitor power in electric vehicles.</w:t>
      </w:r>
    </w:p>
    <w:p w14:paraId="322AD8DD" w14:textId="77777777" w:rsidR="00CA28D8" w:rsidRPr="00DA49E9" w:rsidRDefault="006C5F7E" w:rsidP="006C5F7E">
      <w:pPr>
        <w:pStyle w:val="Paragraph"/>
        <w:rPr>
          <w:color w:val="000000" w:themeColor="text1"/>
        </w:rPr>
      </w:pPr>
      <w:r w:rsidRPr="00DA49E9">
        <w:rPr>
          <w:color w:val="000000" w:themeColor="text1"/>
        </w:rPr>
        <w:t>The study in [1</w:t>
      </w:r>
      <w:r w:rsidR="00715038" w:rsidRPr="00DA49E9">
        <w:rPr>
          <w:color w:val="000000" w:themeColor="text1"/>
        </w:rPr>
        <w:t>4</w:t>
      </w:r>
      <w:r w:rsidRPr="00DA49E9">
        <w:rPr>
          <w:color w:val="000000" w:themeColor="text1"/>
        </w:rPr>
        <w:t xml:space="preserve">] introduces a dual energy storage solution for electric vehicles, combining a lithium-ion battery as the primary energy source with a supercapacitor serving as an auxiliary energy buffer. </w:t>
      </w:r>
    </w:p>
    <w:p w14:paraId="6DDF0356" w14:textId="332F21A7" w:rsidR="006C5F7E" w:rsidRPr="00DA49E9" w:rsidRDefault="006C5F7E" w:rsidP="006C5F7E">
      <w:pPr>
        <w:pStyle w:val="Paragraph"/>
        <w:rPr>
          <w:color w:val="000000" w:themeColor="text1"/>
        </w:rPr>
      </w:pPr>
      <w:r w:rsidRPr="00DA49E9">
        <w:rPr>
          <w:color w:val="000000" w:themeColor="text1"/>
        </w:rPr>
        <w:t>In [1</w:t>
      </w:r>
      <w:r w:rsidR="00715038" w:rsidRPr="00DA49E9">
        <w:rPr>
          <w:color w:val="000000" w:themeColor="text1"/>
        </w:rPr>
        <w:t>5</w:t>
      </w:r>
      <w:r w:rsidRPr="00DA49E9">
        <w:rPr>
          <w:color w:val="000000" w:themeColor="text1"/>
        </w:rPr>
        <w:t>], recent advances in the integration of lithium-ion batteries and supercapacitors are reviewed, highlighting innovative synthesis strategies and hybrid nanostructures. Finally, [1</w:t>
      </w:r>
      <w:r w:rsidR="00715038" w:rsidRPr="00DA49E9">
        <w:rPr>
          <w:color w:val="000000" w:themeColor="text1"/>
        </w:rPr>
        <w:t>6</w:t>
      </w:r>
      <w:r w:rsidRPr="00DA49E9">
        <w:rPr>
          <w:color w:val="000000" w:themeColor="text1"/>
        </w:rPr>
        <w:t>] provides an analysis of the development trends of supercapacitors and batteries over the past 18 years and outlines prospects for their application in the coming decade.</w:t>
      </w:r>
    </w:p>
    <w:p w14:paraId="1F8FE850" w14:textId="7EBEDD27" w:rsidR="006C5F7E" w:rsidRPr="00DA49E9" w:rsidRDefault="006C5F7E" w:rsidP="006C5F7E">
      <w:pPr>
        <w:pStyle w:val="Paragraph"/>
        <w:rPr>
          <w:color w:val="000000" w:themeColor="text1"/>
        </w:rPr>
      </w:pPr>
      <w:r w:rsidRPr="00DA49E9">
        <w:rPr>
          <w:color w:val="000000" w:themeColor="text1"/>
        </w:rPr>
        <w:t>The analysis of publications indicates that the ideal characteristics of energy storage systems for electric vehicles include high specific energy and power density, rapid response, extended service life, high operational reliability, and low maintenance costs. Lithium-ion batteries are currently emerging as the dominant technology among various battery types due to their relatively low cost, favorable specific characteristics, and high number of charge</w:t>
      </w:r>
      <w:r w:rsidR="00204754" w:rsidRPr="00DA49E9">
        <w:rPr>
          <w:color w:val="000000" w:themeColor="text1"/>
        </w:rPr>
        <w:t>-</w:t>
      </w:r>
      <w:r w:rsidRPr="00DA49E9">
        <w:rPr>
          <w:color w:val="000000" w:themeColor="text1"/>
        </w:rPr>
        <w:t xml:space="preserve">discharge cycles. It is expected that next-generation lithium-ion batteries will achieve an energy density of up to 500 </w:t>
      </w:r>
      <w:proofErr w:type="spellStart"/>
      <w:r w:rsidRPr="00DA49E9">
        <w:rPr>
          <w:color w:val="000000" w:themeColor="text1"/>
        </w:rPr>
        <w:t>Wh</w:t>
      </w:r>
      <w:proofErr w:type="spellEnd"/>
      <w:r w:rsidRPr="00DA49E9">
        <w:rPr>
          <w:color w:val="000000" w:themeColor="text1"/>
        </w:rPr>
        <w:t>/kg. However, their limitations, such as insufficient specific power and susceptibility to degradation, necessitate the development of hybrid battery</w:t>
      </w:r>
      <w:r w:rsidR="00204754" w:rsidRPr="00DA49E9">
        <w:rPr>
          <w:color w:val="000000" w:themeColor="text1"/>
        </w:rPr>
        <w:t>-</w:t>
      </w:r>
      <w:r w:rsidRPr="00DA49E9">
        <w:rPr>
          <w:color w:val="000000" w:themeColor="text1"/>
        </w:rPr>
        <w:t>supercapacitor energy storage systems.</w:t>
      </w:r>
    </w:p>
    <w:p w14:paraId="675995EC" w14:textId="4B869203" w:rsidR="003561FD" w:rsidRPr="00DA49E9" w:rsidRDefault="003561FD" w:rsidP="006C5F7E">
      <w:pPr>
        <w:pStyle w:val="Paragraph"/>
        <w:rPr>
          <w:color w:val="000000" w:themeColor="text1"/>
        </w:rPr>
      </w:pPr>
      <w:r w:rsidRPr="00DA49E9">
        <w:rPr>
          <w:color w:val="000000" w:themeColor="text1"/>
        </w:rPr>
        <w:t>Although several recent reviews and studies [</w:t>
      </w:r>
      <w:r w:rsidR="000B6227" w:rsidRPr="00DA49E9">
        <w:rPr>
          <w:color w:val="000000" w:themeColor="text1"/>
        </w:rPr>
        <w:t>7-12, 16</w:t>
      </w:r>
      <w:r w:rsidRPr="00DA49E9">
        <w:rPr>
          <w:color w:val="000000" w:themeColor="text1"/>
        </w:rPr>
        <w:t>] address elements of battery–supercapacitor hybrid systems, a focused conceptual synthesis that explicitly combines HESS design, PV and V2G integration and practical packaging/layout considerations for vehicle implementation remains limited. The present work aims to provide such a synthesis and to illustrate its implications via circuit-level solutions and a numerical example.</w:t>
      </w:r>
    </w:p>
    <w:p w14:paraId="404720B6" w14:textId="77777777" w:rsidR="006C5F7E" w:rsidRPr="00DA49E9" w:rsidRDefault="006C5F7E" w:rsidP="006C5F7E">
      <w:pPr>
        <w:pStyle w:val="Paragraph"/>
        <w:rPr>
          <w:color w:val="000000" w:themeColor="text1"/>
        </w:rPr>
      </w:pPr>
      <w:r w:rsidRPr="00DA49E9">
        <w:rPr>
          <w:color w:val="000000" w:themeColor="text1"/>
        </w:rPr>
        <w:t>Reliability, efficiency, and long service life of the energy storage system used in electric vehicles are of critical importance to consumers. At present, lithium-ion batteries equipped with a battery management system (BMS) and a cooling system are predominantly employed to supply power to electric vehicle drives. This choice is justified by the fact that lithium-ion batteries offer high specific energy, high operating voltage, low self-discharge rate, and sufficiently high charge acceptance.</w:t>
      </w:r>
    </w:p>
    <w:p w14:paraId="03BEC8A7" w14:textId="77777777" w:rsidR="006C5F7E" w:rsidRPr="00DA49E9" w:rsidRDefault="006C5F7E" w:rsidP="006C5F7E">
      <w:pPr>
        <w:pStyle w:val="Paragraph"/>
        <w:rPr>
          <w:color w:val="000000" w:themeColor="text1"/>
        </w:rPr>
      </w:pPr>
      <w:r w:rsidRPr="00DA49E9">
        <w:rPr>
          <w:color w:val="000000" w:themeColor="text1"/>
        </w:rPr>
        <w:t>However, such energy storage systems exhibit several challenges, including:</w:t>
      </w:r>
    </w:p>
    <w:p w14:paraId="49245CAC" w14:textId="5C0BF1F6" w:rsidR="006C5F7E" w:rsidRPr="00DA49E9" w:rsidRDefault="006C5F7E" w:rsidP="00DE3DC2">
      <w:pPr>
        <w:pStyle w:val="Paragraph"/>
        <w:numPr>
          <w:ilvl w:val="0"/>
          <w:numId w:val="6"/>
        </w:numPr>
        <w:tabs>
          <w:tab w:val="left" w:pos="567"/>
        </w:tabs>
        <w:ind w:left="0" w:firstLine="284"/>
        <w:rPr>
          <w:color w:val="000000" w:themeColor="text1"/>
        </w:rPr>
      </w:pPr>
      <w:r w:rsidRPr="00DA49E9">
        <w:rPr>
          <w:color w:val="000000" w:themeColor="text1"/>
        </w:rPr>
        <w:lastRenderedPageBreak/>
        <w:t>capacity fade caused by the degradation of lithium-ion batteries, which reduces both the driving range and service life of electric vehicles [1</w:t>
      </w:r>
      <w:r w:rsidR="00715038" w:rsidRPr="00DA49E9">
        <w:rPr>
          <w:color w:val="000000" w:themeColor="text1"/>
        </w:rPr>
        <w:t>7</w:t>
      </w:r>
      <w:r w:rsidRPr="00DA49E9">
        <w:rPr>
          <w:color w:val="000000" w:themeColor="text1"/>
        </w:rPr>
        <w:t>];</w:t>
      </w:r>
    </w:p>
    <w:p w14:paraId="1304208F" w14:textId="0DF8283D" w:rsidR="006C5F7E" w:rsidRPr="00DA49E9" w:rsidRDefault="006C5F7E" w:rsidP="00DE3DC2">
      <w:pPr>
        <w:pStyle w:val="Paragraph"/>
        <w:numPr>
          <w:ilvl w:val="0"/>
          <w:numId w:val="6"/>
        </w:numPr>
        <w:tabs>
          <w:tab w:val="left" w:pos="567"/>
        </w:tabs>
        <w:ind w:left="0" w:firstLine="284"/>
        <w:rPr>
          <w:color w:val="000000" w:themeColor="text1"/>
        </w:rPr>
      </w:pPr>
      <w:r w:rsidRPr="00DA49E9">
        <w:rPr>
          <w:color w:val="000000" w:themeColor="text1"/>
        </w:rPr>
        <w:t>safety concerns, which may lead to elevated temperatures, thermal runaway, fire, and even explosion of lithium-ion batteries [</w:t>
      </w:r>
      <w:r w:rsidR="00C97D50" w:rsidRPr="00DA49E9">
        <w:rPr>
          <w:color w:val="000000" w:themeColor="text1"/>
        </w:rPr>
        <w:t>3</w:t>
      </w:r>
      <w:r w:rsidRPr="00DA49E9">
        <w:rPr>
          <w:color w:val="000000" w:themeColor="text1"/>
        </w:rPr>
        <w:t xml:space="preserve">, </w:t>
      </w:r>
      <w:r w:rsidR="00715038" w:rsidRPr="00DA49E9">
        <w:rPr>
          <w:color w:val="000000" w:themeColor="text1"/>
        </w:rPr>
        <w:t>1</w:t>
      </w:r>
      <w:r w:rsidR="00C97D50" w:rsidRPr="00DA49E9">
        <w:rPr>
          <w:color w:val="000000" w:themeColor="text1"/>
        </w:rPr>
        <w:t>8</w:t>
      </w:r>
      <w:r w:rsidRPr="00DA49E9">
        <w:rPr>
          <w:color w:val="000000" w:themeColor="text1"/>
        </w:rPr>
        <w:t>].</w:t>
      </w:r>
    </w:p>
    <w:p w14:paraId="604C2F85" w14:textId="796AFAC1" w:rsidR="006C5F7E" w:rsidRPr="00DA49E9" w:rsidRDefault="006C5F7E" w:rsidP="006C5F7E">
      <w:pPr>
        <w:pStyle w:val="Paragraph"/>
        <w:rPr>
          <w:color w:val="000000" w:themeColor="text1"/>
        </w:rPr>
      </w:pPr>
      <w:r w:rsidRPr="00DA49E9">
        <w:rPr>
          <w:color w:val="000000" w:themeColor="text1"/>
        </w:rPr>
        <w:t>In addition, lithium-ion batteries show significant drawbacks when used as the sole power source in the energy storage system of electric vehicles. For instance, during steep ascents, rapid acceleration, or sudden starts, electric vehicles are unable to effectively meet the demands of high-rate discharge. Furthermore, during energy recuperation, particularly on downhill slopes under regenerative braking conditions – lithium-ion batteries are unable to fully absorb the recovered energy. In such cases, the high charging current accelerates degradation and shortens the service life of the battery.</w:t>
      </w:r>
      <w:r w:rsidR="0092252A" w:rsidRPr="00DA49E9">
        <w:rPr>
          <w:color w:val="000000" w:themeColor="text1"/>
        </w:rPr>
        <w:t xml:space="preserve"> </w:t>
      </w:r>
      <w:r w:rsidRPr="00DA49E9">
        <w:rPr>
          <w:color w:val="000000" w:themeColor="text1"/>
        </w:rPr>
        <w:t>Therefore, the development of energy storage systems for electric vehicles based on rechargeable batteries and supercapacitors represents a highly relevant and promising research direction</w:t>
      </w:r>
      <w:r w:rsidR="00F53D54" w:rsidRPr="00DA49E9">
        <w:rPr>
          <w:color w:val="000000" w:themeColor="text1"/>
        </w:rPr>
        <w:t>.</w:t>
      </w:r>
    </w:p>
    <w:p w14:paraId="6942409C" w14:textId="251F9313" w:rsidR="00F53D54" w:rsidRPr="00DA49E9" w:rsidRDefault="00CE2751" w:rsidP="00F53D54">
      <w:pPr>
        <w:pStyle w:val="1"/>
        <w:rPr>
          <w:color w:val="000000" w:themeColor="text1"/>
        </w:rPr>
      </w:pPr>
      <w:r w:rsidRPr="00DA49E9">
        <w:rPr>
          <w:color w:val="000000" w:themeColor="text1"/>
        </w:rPr>
        <w:t>Research Aim and Objectives</w:t>
      </w:r>
      <w:r w:rsidR="00F53D54" w:rsidRPr="00DA49E9">
        <w:rPr>
          <w:color w:val="000000" w:themeColor="text1"/>
        </w:rPr>
        <w:t xml:space="preserve"> </w:t>
      </w:r>
    </w:p>
    <w:p w14:paraId="411AE917" w14:textId="77777777" w:rsidR="006C5F7E" w:rsidRPr="00DA49E9" w:rsidRDefault="006C5F7E" w:rsidP="006C5F7E">
      <w:pPr>
        <w:pStyle w:val="Paragraph"/>
        <w:rPr>
          <w:color w:val="000000" w:themeColor="text1"/>
        </w:rPr>
      </w:pPr>
      <w:r w:rsidRPr="00DA49E9">
        <w:rPr>
          <w:color w:val="000000" w:themeColor="text1"/>
        </w:rPr>
        <w:t>The objective of this research is to enhance the environmental sustainability, power capability, efficiency, and service life of electric vehicle energy storage systems through the combined utilization of lithium-ion batteries and supercapacitors.</w:t>
      </w:r>
    </w:p>
    <w:p w14:paraId="406CE295" w14:textId="77777777" w:rsidR="006C5F7E" w:rsidRPr="00DA49E9" w:rsidRDefault="006C5F7E" w:rsidP="006C5F7E">
      <w:pPr>
        <w:pStyle w:val="Paragraph"/>
        <w:rPr>
          <w:color w:val="000000" w:themeColor="text1"/>
        </w:rPr>
      </w:pPr>
      <w:r w:rsidRPr="00DA49E9">
        <w:rPr>
          <w:color w:val="000000" w:themeColor="text1"/>
        </w:rPr>
        <w:t>To achieve this objective, the following research tasks have been carried out:</w:t>
      </w:r>
    </w:p>
    <w:p w14:paraId="2C3D560E" w14:textId="06277BBD" w:rsidR="006C5F7E" w:rsidRPr="00DA49E9" w:rsidRDefault="006C5F7E" w:rsidP="008E691F">
      <w:pPr>
        <w:pStyle w:val="Paragraph"/>
        <w:numPr>
          <w:ilvl w:val="0"/>
          <w:numId w:val="8"/>
        </w:numPr>
        <w:tabs>
          <w:tab w:val="left" w:pos="567"/>
        </w:tabs>
        <w:ind w:left="0" w:firstLine="308"/>
        <w:rPr>
          <w:color w:val="000000" w:themeColor="text1"/>
        </w:rPr>
      </w:pPr>
      <w:r w:rsidRPr="00DA49E9">
        <w:rPr>
          <w:color w:val="000000" w:themeColor="text1"/>
        </w:rPr>
        <w:t>substantiation of the research direction, determination of the relevance, and assessment of the prospects for the development of energy storage systems for electric vehicles;</w:t>
      </w:r>
    </w:p>
    <w:p w14:paraId="481B2E74" w14:textId="523BD466" w:rsidR="006C5F7E" w:rsidRPr="00DA49E9" w:rsidRDefault="006C5F7E" w:rsidP="008E691F">
      <w:pPr>
        <w:pStyle w:val="Paragraph"/>
        <w:numPr>
          <w:ilvl w:val="0"/>
          <w:numId w:val="8"/>
        </w:numPr>
        <w:tabs>
          <w:tab w:val="left" w:pos="567"/>
        </w:tabs>
        <w:ind w:left="0" w:firstLine="308"/>
        <w:rPr>
          <w:color w:val="000000" w:themeColor="text1"/>
        </w:rPr>
      </w:pPr>
      <w:r w:rsidRPr="00DA49E9">
        <w:rPr>
          <w:color w:val="000000" w:themeColor="text1"/>
        </w:rPr>
        <w:t>systematic review and analysis of recent scientific and technical literature on electric vehicles, energy storage systems, lithium-ion batteries, supercapacitors, and control systems;</w:t>
      </w:r>
    </w:p>
    <w:p w14:paraId="55D1EA09" w14:textId="5C503368" w:rsidR="006C5F7E" w:rsidRPr="00DA49E9" w:rsidRDefault="006C5F7E" w:rsidP="008E691F">
      <w:pPr>
        <w:pStyle w:val="Paragraph"/>
        <w:numPr>
          <w:ilvl w:val="0"/>
          <w:numId w:val="8"/>
        </w:numPr>
        <w:tabs>
          <w:tab w:val="left" w:pos="567"/>
        </w:tabs>
        <w:ind w:left="0" w:firstLine="308"/>
        <w:rPr>
          <w:color w:val="000000" w:themeColor="text1"/>
        </w:rPr>
      </w:pPr>
      <w:r w:rsidRPr="00DA49E9">
        <w:rPr>
          <w:color w:val="000000" w:themeColor="text1"/>
        </w:rPr>
        <w:t>analysis of lithium-ion batteries, including the development of equivalent electrical circuits and battery models;</w:t>
      </w:r>
    </w:p>
    <w:p w14:paraId="710C4990" w14:textId="0BD0FB45" w:rsidR="006C5F7E" w:rsidRPr="00DA49E9" w:rsidRDefault="006C5F7E" w:rsidP="008E691F">
      <w:pPr>
        <w:pStyle w:val="Paragraph"/>
        <w:numPr>
          <w:ilvl w:val="0"/>
          <w:numId w:val="8"/>
        </w:numPr>
        <w:tabs>
          <w:tab w:val="left" w:pos="567"/>
        </w:tabs>
        <w:ind w:left="0" w:firstLine="308"/>
        <w:rPr>
          <w:color w:val="000000" w:themeColor="text1"/>
        </w:rPr>
      </w:pPr>
      <w:r w:rsidRPr="00DA49E9">
        <w:rPr>
          <w:color w:val="000000" w:themeColor="text1"/>
        </w:rPr>
        <w:t>analysis of supercapacitors, including the development of equivalent electrical circuits and supercapacitor models, as well as identification of the main characteristics of commercially available devices;</w:t>
      </w:r>
    </w:p>
    <w:p w14:paraId="7F6F0189" w14:textId="7482B5DB" w:rsidR="006C5F7E" w:rsidRPr="00DA49E9" w:rsidRDefault="006C5F7E" w:rsidP="008E691F">
      <w:pPr>
        <w:pStyle w:val="Paragraph"/>
        <w:numPr>
          <w:ilvl w:val="0"/>
          <w:numId w:val="8"/>
        </w:numPr>
        <w:tabs>
          <w:tab w:val="left" w:pos="567"/>
        </w:tabs>
        <w:ind w:left="0" w:firstLine="308"/>
        <w:rPr>
          <w:color w:val="000000" w:themeColor="text1"/>
        </w:rPr>
      </w:pPr>
      <w:r w:rsidRPr="00DA49E9">
        <w:rPr>
          <w:color w:val="000000" w:themeColor="text1"/>
        </w:rPr>
        <w:t xml:space="preserve">development of circuit solutions for the design of a hybrid </w:t>
      </w:r>
      <w:r w:rsidR="008913B1" w:rsidRPr="00DA49E9">
        <w:rPr>
          <w:color w:val="000000" w:themeColor="text1"/>
        </w:rPr>
        <w:t xml:space="preserve">battery-supercapacitor </w:t>
      </w:r>
      <w:r w:rsidRPr="00DA49E9">
        <w:rPr>
          <w:color w:val="000000" w:themeColor="text1"/>
        </w:rPr>
        <w:t>energy storage system for electric vehicles, along with investigations of vehicle-to-grid technology integrated with a photovoltaic power station;</w:t>
      </w:r>
    </w:p>
    <w:p w14:paraId="609AD815" w14:textId="33A837F0" w:rsidR="006C5F7E" w:rsidRPr="00DA49E9" w:rsidRDefault="006C5F7E" w:rsidP="008E691F">
      <w:pPr>
        <w:pStyle w:val="Paragraph"/>
        <w:numPr>
          <w:ilvl w:val="0"/>
          <w:numId w:val="8"/>
        </w:numPr>
        <w:tabs>
          <w:tab w:val="left" w:pos="567"/>
        </w:tabs>
        <w:ind w:left="0" w:firstLine="308"/>
        <w:rPr>
          <w:color w:val="000000" w:themeColor="text1"/>
        </w:rPr>
      </w:pPr>
      <w:r w:rsidRPr="00DA49E9">
        <w:rPr>
          <w:color w:val="000000" w:themeColor="text1"/>
        </w:rPr>
        <w:t>construction of structural and electrical schematics of voltage converters for electric vehicle drives;</w:t>
      </w:r>
    </w:p>
    <w:p w14:paraId="2F608C73" w14:textId="5776B15A" w:rsidR="006C5F7E" w:rsidRPr="00DA49E9" w:rsidRDefault="006C5F7E" w:rsidP="008E691F">
      <w:pPr>
        <w:pStyle w:val="Paragraph"/>
        <w:numPr>
          <w:ilvl w:val="0"/>
          <w:numId w:val="8"/>
        </w:numPr>
        <w:tabs>
          <w:tab w:val="left" w:pos="567"/>
        </w:tabs>
        <w:ind w:left="0" w:firstLine="308"/>
        <w:rPr>
          <w:color w:val="000000" w:themeColor="text1"/>
        </w:rPr>
      </w:pPr>
      <w:r w:rsidRPr="00DA49E9">
        <w:rPr>
          <w:color w:val="000000" w:themeColor="text1"/>
        </w:rPr>
        <w:t>development of rational approaches to the placement of supercapacitors and other components of a hybrid energy storage system within the vehicle;</w:t>
      </w:r>
    </w:p>
    <w:p w14:paraId="25F8E40E" w14:textId="683FB2FA" w:rsidR="006C5F7E" w:rsidRPr="00DA49E9" w:rsidRDefault="006C5F7E" w:rsidP="008E691F">
      <w:pPr>
        <w:pStyle w:val="Paragraph"/>
        <w:numPr>
          <w:ilvl w:val="0"/>
          <w:numId w:val="8"/>
        </w:numPr>
        <w:tabs>
          <w:tab w:val="left" w:pos="567"/>
        </w:tabs>
        <w:ind w:left="0" w:firstLine="308"/>
        <w:rPr>
          <w:color w:val="000000" w:themeColor="text1"/>
        </w:rPr>
      </w:pPr>
      <w:r w:rsidRPr="00DA49E9">
        <w:rPr>
          <w:color w:val="000000" w:themeColor="text1"/>
        </w:rPr>
        <w:t xml:space="preserve">formulation of key challenges and prospects for the implementation of hybrid </w:t>
      </w:r>
      <w:r w:rsidR="008913B1" w:rsidRPr="00DA49E9">
        <w:rPr>
          <w:color w:val="000000" w:themeColor="text1"/>
        </w:rPr>
        <w:t xml:space="preserve">battery-supercapacitor </w:t>
      </w:r>
      <w:r w:rsidRPr="00DA49E9">
        <w:rPr>
          <w:color w:val="000000" w:themeColor="text1"/>
        </w:rPr>
        <w:t>energy storage systems in the field of sustainable automotive engineering.</w:t>
      </w:r>
    </w:p>
    <w:p w14:paraId="5851C37A" w14:textId="00AD3DF7" w:rsidR="006C5F7E" w:rsidRPr="00DA49E9" w:rsidRDefault="00F53D54" w:rsidP="00F53D54">
      <w:pPr>
        <w:pStyle w:val="1"/>
        <w:rPr>
          <w:b w:val="0"/>
          <w:color w:val="000000" w:themeColor="text1"/>
          <w:szCs w:val="24"/>
        </w:rPr>
      </w:pPr>
      <w:r w:rsidRPr="00DA49E9">
        <w:rPr>
          <w:color w:val="000000" w:themeColor="text1"/>
        </w:rPr>
        <w:t xml:space="preserve">LITHIUM-ION BATTERY RESEARCH </w:t>
      </w:r>
    </w:p>
    <w:p w14:paraId="56A027E3" w14:textId="6487D2F8" w:rsidR="00F53D54" w:rsidRPr="00DA49E9" w:rsidRDefault="006C5F7E" w:rsidP="006C5F7E">
      <w:pPr>
        <w:pStyle w:val="Paragraph"/>
        <w:rPr>
          <w:color w:val="000000" w:themeColor="text1"/>
        </w:rPr>
      </w:pPr>
      <w:r w:rsidRPr="00DA49E9">
        <w:rPr>
          <w:color w:val="000000" w:themeColor="text1"/>
        </w:rPr>
        <w:t>Lithium-ion batteries offer several advantages over other advanced battery technologies, such as nickel–metal hydride and nickel</w:t>
      </w:r>
      <w:r w:rsidR="007E6AAB" w:rsidRPr="00DA49E9">
        <w:rPr>
          <w:color w:val="000000" w:themeColor="text1"/>
        </w:rPr>
        <w:t>-</w:t>
      </w:r>
      <w:r w:rsidRPr="00DA49E9">
        <w:rPr>
          <w:color w:val="000000" w:themeColor="text1"/>
        </w:rPr>
        <w:t xml:space="preserve">cadmium. They exhibit one of the highest specific energy densities among contemporary battery technologies, ranging from 200 </w:t>
      </w:r>
      <w:proofErr w:type="spellStart"/>
      <w:r w:rsidRPr="00DA49E9">
        <w:rPr>
          <w:color w:val="000000" w:themeColor="text1"/>
        </w:rPr>
        <w:t>Wh</w:t>
      </w:r>
      <w:proofErr w:type="spellEnd"/>
      <w:r w:rsidRPr="00DA49E9">
        <w:rPr>
          <w:color w:val="000000" w:themeColor="text1"/>
        </w:rPr>
        <w:t xml:space="preserve">/kg to 500 </w:t>
      </w:r>
      <w:proofErr w:type="spellStart"/>
      <w:r w:rsidRPr="00DA49E9">
        <w:rPr>
          <w:color w:val="000000" w:themeColor="text1"/>
        </w:rPr>
        <w:t>Wh</w:t>
      </w:r>
      <w:proofErr w:type="spellEnd"/>
      <w:r w:rsidRPr="00DA49E9">
        <w:rPr>
          <w:color w:val="000000" w:themeColor="text1"/>
        </w:rPr>
        <w:t xml:space="preserve">/kg. Furthermore, lithium-ion batteries provide up to three times more charge/discharge cycles compared to these technologies. This implies that lithium-ion batteries can ensure a longer service life with relatively low maintenance requirements compared to other types of batteries. </w:t>
      </w:r>
    </w:p>
    <w:p w14:paraId="4912AEFC" w14:textId="03FC86E8" w:rsidR="006C5F7E" w:rsidRPr="00DA49E9" w:rsidRDefault="006C5F7E" w:rsidP="006C5F7E">
      <w:pPr>
        <w:pStyle w:val="Paragraph"/>
        <w:rPr>
          <w:color w:val="000000" w:themeColor="text1"/>
        </w:rPr>
      </w:pPr>
      <w:r w:rsidRPr="00DA49E9">
        <w:rPr>
          <w:color w:val="000000" w:themeColor="text1"/>
        </w:rPr>
        <w:t>Another important advantage is their low self-discharge rate, which is typically in the range of 3–5% per month. In contrast, nickel</w:t>
      </w:r>
      <w:r w:rsidR="007E6AAB" w:rsidRPr="00DA49E9">
        <w:rPr>
          <w:color w:val="000000" w:themeColor="text1"/>
        </w:rPr>
        <w:t>-</w:t>
      </w:r>
      <w:r w:rsidRPr="00DA49E9">
        <w:rPr>
          <w:color w:val="000000" w:themeColor="text1"/>
        </w:rPr>
        <w:t>metal hydride batteries, such as those used in the Toyota Prius, exhibit a self-discharge rate of about 30%. Owing to these advantages, lithium-ion batteries have largely replaced nickel</w:t>
      </w:r>
      <w:r w:rsidR="007E6AAB" w:rsidRPr="00DA49E9">
        <w:rPr>
          <w:color w:val="000000" w:themeColor="text1"/>
        </w:rPr>
        <w:t>-</w:t>
      </w:r>
      <w:r w:rsidRPr="00DA49E9">
        <w:rPr>
          <w:color w:val="000000" w:themeColor="text1"/>
        </w:rPr>
        <w:t>cadmium and nickel</w:t>
      </w:r>
      <w:r w:rsidR="00C97D50" w:rsidRPr="00DA49E9">
        <w:rPr>
          <w:color w:val="000000" w:themeColor="text1"/>
        </w:rPr>
        <w:t>-</w:t>
      </w:r>
      <w:r w:rsidRPr="00DA49E9">
        <w:rPr>
          <w:color w:val="000000" w:themeColor="text1"/>
        </w:rPr>
        <w:t>metal hydride batteries as the dominant technology in the market for portable electronic devices (e.g., smartphones and laptops). They are also widely employed in aerospace applications, where weight is a critical factor. In the automotive industry, electric vehicles such as the Nissan Leaf, Tesla, and others use lithium-ion batteries as their primary energy source. Despite these advantages, lithium-ion batteries still have notable drawbacks, particularly regarding safety. They are prone to overheating and can be damaged by excessive voltage [</w:t>
      </w:r>
      <w:r w:rsidR="00C97D50" w:rsidRPr="00DA49E9">
        <w:rPr>
          <w:color w:val="000000" w:themeColor="text1"/>
        </w:rPr>
        <w:t>19</w:t>
      </w:r>
      <w:r w:rsidRPr="00DA49E9">
        <w:rPr>
          <w:color w:val="000000" w:themeColor="text1"/>
        </w:rPr>
        <w:t>]. Elevated temperatures may, in some cases, lead to thermal runaway and combustion. Consequently, in recent years, several safety management strategies have been developed to enhance operational reliability and reduce the failure rate of lithium-ion batteries [2</w:t>
      </w:r>
      <w:r w:rsidR="00C97D50" w:rsidRPr="00DA49E9">
        <w:rPr>
          <w:color w:val="000000" w:themeColor="text1"/>
        </w:rPr>
        <w:t>0</w:t>
      </w:r>
      <w:r w:rsidRPr="00DA49E9">
        <w:rPr>
          <w:color w:val="000000" w:themeColor="text1"/>
        </w:rPr>
        <w:t>].</w:t>
      </w:r>
    </w:p>
    <w:p w14:paraId="3AEFBCB1" w14:textId="77777777" w:rsidR="00A64207" w:rsidRPr="00DA49E9" w:rsidRDefault="006C5F7E" w:rsidP="006C5F7E">
      <w:pPr>
        <w:pStyle w:val="Paragraph"/>
        <w:rPr>
          <w:color w:val="000000" w:themeColor="text1"/>
        </w:rPr>
      </w:pPr>
      <w:r w:rsidRPr="00DA49E9">
        <w:rPr>
          <w:color w:val="000000" w:themeColor="text1"/>
        </w:rPr>
        <w:t>A comparison of the key parameters of various types of commercial rechargeable batteries is presented in Table</w:t>
      </w:r>
      <w:r w:rsidR="00F53D54" w:rsidRPr="00DA49E9">
        <w:rPr>
          <w:color w:val="000000" w:themeColor="text1"/>
        </w:rPr>
        <w:t> </w:t>
      </w:r>
      <w:r w:rsidRPr="00DA49E9">
        <w:rPr>
          <w:color w:val="000000" w:themeColor="text1"/>
        </w:rPr>
        <w:t xml:space="preserve">1. </w:t>
      </w:r>
    </w:p>
    <w:tbl>
      <w:tblPr>
        <w:tblW w:w="0" w:type="auto"/>
        <w:jc w:val="center"/>
        <w:tblBorders>
          <w:bottom w:val="single" w:sz="4" w:space="0" w:color="auto"/>
        </w:tblBorders>
        <w:tblLayout w:type="fixed"/>
        <w:tblLook w:val="0000" w:firstRow="0" w:lastRow="0" w:firstColumn="0" w:lastColumn="0" w:noHBand="0" w:noVBand="0"/>
      </w:tblPr>
      <w:tblGrid>
        <w:gridCol w:w="2268"/>
        <w:gridCol w:w="1560"/>
        <w:gridCol w:w="1984"/>
        <w:gridCol w:w="1843"/>
        <w:gridCol w:w="1419"/>
      </w:tblGrid>
      <w:tr w:rsidR="004D34DD" w:rsidRPr="00DA49E9" w14:paraId="01E28E8D" w14:textId="77777777" w:rsidTr="009F1129">
        <w:trPr>
          <w:cantSplit/>
          <w:trHeight w:val="284"/>
          <w:jc w:val="center"/>
        </w:trPr>
        <w:tc>
          <w:tcPr>
            <w:tcW w:w="9074" w:type="dxa"/>
            <w:gridSpan w:val="5"/>
            <w:tcBorders>
              <w:bottom w:val="nil"/>
            </w:tcBorders>
          </w:tcPr>
          <w:p w14:paraId="355B1287" w14:textId="77777777" w:rsidR="00F53D54" w:rsidRPr="00DA49E9" w:rsidRDefault="00F53D54" w:rsidP="009A114B">
            <w:pPr>
              <w:pStyle w:val="TableCaption"/>
              <w:rPr>
                <w:color w:val="000000" w:themeColor="text1"/>
              </w:rPr>
            </w:pPr>
            <w:r w:rsidRPr="00DA49E9">
              <w:rPr>
                <w:b/>
                <w:color w:val="000000" w:themeColor="text1"/>
              </w:rPr>
              <w:lastRenderedPageBreak/>
              <w:t xml:space="preserve">TABLE 1. </w:t>
            </w:r>
            <w:r w:rsidRPr="00DA49E9">
              <w:rPr>
                <w:rFonts w:eastAsia="Calibri"/>
                <w:color w:val="000000" w:themeColor="text1"/>
              </w:rPr>
              <w:t>Comparative parameters of rechargeable batteries</w:t>
            </w:r>
          </w:p>
        </w:tc>
      </w:tr>
      <w:tr w:rsidR="004D34DD" w:rsidRPr="00DA49E9" w14:paraId="444EB8E5" w14:textId="77777777" w:rsidTr="00EA37FC">
        <w:trPr>
          <w:cantSplit/>
          <w:trHeight w:val="151"/>
          <w:jc w:val="center"/>
        </w:trPr>
        <w:tc>
          <w:tcPr>
            <w:tcW w:w="2268" w:type="dxa"/>
            <w:tcBorders>
              <w:top w:val="single" w:sz="4" w:space="0" w:color="auto"/>
              <w:bottom w:val="single" w:sz="4" w:space="0" w:color="auto"/>
            </w:tcBorders>
            <w:tcMar>
              <w:left w:w="28" w:type="dxa"/>
              <w:right w:w="28" w:type="dxa"/>
            </w:tcMar>
            <w:vAlign w:val="center"/>
          </w:tcPr>
          <w:p w14:paraId="6B8371F7" w14:textId="77777777" w:rsidR="00F53D54" w:rsidRPr="00DA49E9" w:rsidRDefault="00F53D54" w:rsidP="009A114B">
            <w:pPr>
              <w:jc w:val="center"/>
              <w:rPr>
                <w:color w:val="000000" w:themeColor="text1"/>
              </w:rPr>
            </w:pPr>
            <w:r w:rsidRPr="00DA49E9">
              <w:rPr>
                <w:rFonts w:eastAsia="Calibri"/>
                <w:b/>
                <w:color w:val="000000" w:themeColor="text1"/>
                <w:sz w:val="18"/>
                <w:szCs w:val="18"/>
              </w:rPr>
              <w:t>Battery type</w:t>
            </w:r>
          </w:p>
        </w:tc>
        <w:tc>
          <w:tcPr>
            <w:tcW w:w="1560" w:type="dxa"/>
            <w:tcBorders>
              <w:top w:val="single" w:sz="4" w:space="0" w:color="auto"/>
              <w:bottom w:val="single" w:sz="4" w:space="0" w:color="auto"/>
            </w:tcBorders>
            <w:tcMar>
              <w:left w:w="28" w:type="dxa"/>
              <w:right w:w="28" w:type="dxa"/>
            </w:tcMar>
            <w:vAlign w:val="center"/>
          </w:tcPr>
          <w:p w14:paraId="2CB7FA29" w14:textId="77777777" w:rsidR="00F53D54" w:rsidRPr="00DA49E9" w:rsidRDefault="00F53D54" w:rsidP="009A114B">
            <w:pPr>
              <w:jc w:val="center"/>
              <w:rPr>
                <w:b/>
                <w:color w:val="000000" w:themeColor="text1"/>
                <w:sz w:val="18"/>
                <w:szCs w:val="18"/>
              </w:rPr>
            </w:pPr>
            <w:r w:rsidRPr="00DA49E9">
              <w:rPr>
                <w:b/>
                <w:color w:val="000000" w:themeColor="text1"/>
                <w:sz w:val="18"/>
                <w:szCs w:val="18"/>
              </w:rPr>
              <w:t xml:space="preserve">Cell voltage, V </w:t>
            </w:r>
          </w:p>
        </w:tc>
        <w:tc>
          <w:tcPr>
            <w:tcW w:w="1984" w:type="dxa"/>
            <w:tcBorders>
              <w:top w:val="single" w:sz="4" w:space="0" w:color="auto"/>
              <w:bottom w:val="single" w:sz="4" w:space="0" w:color="auto"/>
            </w:tcBorders>
            <w:tcMar>
              <w:left w:w="28" w:type="dxa"/>
              <w:right w:w="28" w:type="dxa"/>
            </w:tcMar>
            <w:vAlign w:val="center"/>
          </w:tcPr>
          <w:p w14:paraId="2904B0D1" w14:textId="77777777" w:rsidR="00F53D54" w:rsidRPr="00DA49E9" w:rsidRDefault="00F53D54" w:rsidP="009A114B">
            <w:pPr>
              <w:jc w:val="center"/>
              <w:rPr>
                <w:b/>
                <w:color w:val="000000" w:themeColor="text1"/>
                <w:sz w:val="18"/>
                <w:szCs w:val="18"/>
              </w:rPr>
            </w:pPr>
            <w:r w:rsidRPr="00DA49E9">
              <w:rPr>
                <w:b/>
                <w:color w:val="000000" w:themeColor="text1"/>
                <w:sz w:val="18"/>
                <w:szCs w:val="18"/>
              </w:rPr>
              <w:t xml:space="preserve">Specific energy, </w:t>
            </w:r>
            <w:proofErr w:type="spellStart"/>
            <w:r w:rsidRPr="00DA49E9">
              <w:rPr>
                <w:b/>
                <w:color w:val="000000" w:themeColor="text1"/>
                <w:sz w:val="18"/>
                <w:szCs w:val="18"/>
              </w:rPr>
              <w:t>Wh</w:t>
            </w:r>
            <w:proofErr w:type="spellEnd"/>
            <w:r w:rsidRPr="00DA49E9">
              <w:rPr>
                <w:b/>
                <w:color w:val="000000" w:themeColor="text1"/>
                <w:sz w:val="18"/>
                <w:szCs w:val="18"/>
              </w:rPr>
              <w:t>/kg</w:t>
            </w:r>
          </w:p>
        </w:tc>
        <w:tc>
          <w:tcPr>
            <w:tcW w:w="1843" w:type="dxa"/>
            <w:tcBorders>
              <w:top w:val="single" w:sz="4" w:space="0" w:color="auto"/>
              <w:bottom w:val="single" w:sz="4" w:space="0" w:color="auto"/>
            </w:tcBorders>
            <w:tcMar>
              <w:left w:w="28" w:type="dxa"/>
              <w:right w:w="28" w:type="dxa"/>
            </w:tcMar>
            <w:vAlign w:val="center"/>
          </w:tcPr>
          <w:p w14:paraId="34000510" w14:textId="77777777" w:rsidR="00F53D54" w:rsidRPr="00DA49E9" w:rsidRDefault="00F53D54" w:rsidP="009A114B">
            <w:pPr>
              <w:jc w:val="center"/>
              <w:rPr>
                <w:b/>
                <w:color w:val="000000" w:themeColor="text1"/>
                <w:sz w:val="18"/>
                <w:szCs w:val="18"/>
              </w:rPr>
            </w:pPr>
            <w:r w:rsidRPr="00DA49E9">
              <w:rPr>
                <w:b/>
                <w:color w:val="000000" w:themeColor="text1"/>
                <w:sz w:val="18"/>
                <w:szCs w:val="18"/>
              </w:rPr>
              <w:t>Specific power, W/kg</w:t>
            </w:r>
          </w:p>
        </w:tc>
        <w:tc>
          <w:tcPr>
            <w:tcW w:w="1419" w:type="dxa"/>
            <w:tcBorders>
              <w:top w:val="single" w:sz="4" w:space="0" w:color="auto"/>
              <w:bottom w:val="single" w:sz="4" w:space="0" w:color="auto"/>
            </w:tcBorders>
            <w:tcMar>
              <w:left w:w="28" w:type="dxa"/>
              <w:right w:w="28" w:type="dxa"/>
            </w:tcMar>
            <w:vAlign w:val="center"/>
          </w:tcPr>
          <w:p w14:paraId="7FCF070F" w14:textId="77777777" w:rsidR="00F53D54" w:rsidRPr="00DA49E9" w:rsidRDefault="00F53D54" w:rsidP="009A114B">
            <w:pPr>
              <w:jc w:val="center"/>
              <w:rPr>
                <w:b/>
                <w:color w:val="000000" w:themeColor="text1"/>
                <w:sz w:val="18"/>
                <w:szCs w:val="18"/>
              </w:rPr>
            </w:pPr>
            <w:r w:rsidRPr="00DA49E9">
              <w:rPr>
                <w:b/>
                <w:color w:val="000000" w:themeColor="text1"/>
                <w:sz w:val="18"/>
                <w:szCs w:val="18"/>
              </w:rPr>
              <w:t>Cycle life</w:t>
            </w:r>
          </w:p>
        </w:tc>
      </w:tr>
      <w:tr w:rsidR="004D34DD" w:rsidRPr="00DA49E9" w14:paraId="5AF89C0E" w14:textId="77777777" w:rsidTr="006462C1">
        <w:trPr>
          <w:cantSplit/>
          <w:jc w:val="center"/>
        </w:trPr>
        <w:tc>
          <w:tcPr>
            <w:tcW w:w="2268" w:type="dxa"/>
            <w:vAlign w:val="center"/>
          </w:tcPr>
          <w:p w14:paraId="1B17F924" w14:textId="77777777" w:rsidR="00F53D54" w:rsidRPr="00DA49E9" w:rsidRDefault="00F53D54" w:rsidP="009A114B">
            <w:pPr>
              <w:rPr>
                <w:rFonts w:eastAsia="Calibri"/>
                <w:color w:val="000000" w:themeColor="text1"/>
                <w:sz w:val="20"/>
              </w:rPr>
            </w:pPr>
            <w:r w:rsidRPr="00DA49E9">
              <w:rPr>
                <w:rFonts w:eastAsia="Calibri"/>
                <w:color w:val="000000" w:themeColor="text1"/>
                <w:sz w:val="20"/>
              </w:rPr>
              <w:t>Lead acid</w:t>
            </w:r>
          </w:p>
        </w:tc>
        <w:tc>
          <w:tcPr>
            <w:tcW w:w="1560" w:type="dxa"/>
            <w:vAlign w:val="center"/>
          </w:tcPr>
          <w:p w14:paraId="01BDACA7" w14:textId="77777777" w:rsidR="00F53D54" w:rsidRPr="00DA49E9" w:rsidRDefault="00F53D54" w:rsidP="009A114B">
            <w:pPr>
              <w:jc w:val="center"/>
              <w:rPr>
                <w:rFonts w:eastAsia="Calibri"/>
                <w:color w:val="000000" w:themeColor="text1"/>
                <w:sz w:val="20"/>
              </w:rPr>
            </w:pPr>
            <w:r w:rsidRPr="00DA49E9">
              <w:rPr>
                <w:rFonts w:eastAsia="Calibri"/>
                <w:color w:val="000000" w:themeColor="text1"/>
                <w:sz w:val="20"/>
              </w:rPr>
              <w:t>2.2</w:t>
            </w:r>
          </w:p>
        </w:tc>
        <w:tc>
          <w:tcPr>
            <w:tcW w:w="1984" w:type="dxa"/>
            <w:vAlign w:val="center"/>
          </w:tcPr>
          <w:p w14:paraId="64953C96" w14:textId="77777777" w:rsidR="00F53D54" w:rsidRPr="00DA49E9" w:rsidRDefault="00F53D54" w:rsidP="009A114B">
            <w:pPr>
              <w:jc w:val="center"/>
              <w:rPr>
                <w:color w:val="000000" w:themeColor="text1"/>
                <w:sz w:val="20"/>
              </w:rPr>
            </w:pPr>
            <w:r w:rsidRPr="00DA49E9">
              <w:rPr>
                <w:color w:val="000000" w:themeColor="text1"/>
                <w:sz w:val="20"/>
              </w:rPr>
              <w:t>35</w:t>
            </w:r>
          </w:p>
        </w:tc>
        <w:tc>
          <w:tcPr>
            <w:tcW w:w="1843" w:type="dxa"/>
            <w:vAlign w:val="center"/>
          </w:tcPr>
          <w:p w14:paraId="4C422FFE" w14:textId="77777777" w:rsidR="00F53D54" w:rsidRPr="00DA49E9" w:rsidRDefault="00F53D54" w:rsidP="009A114B">
            <w:pPr>
              <w:jc w:val="center"/>
              <w:rPr>
                <w:color w:val="000000" w:themeColor="text1"/>
                <w:sz w:val="20"/>
              </w:rPr>
            </w:pPr>
            <w:r w:rsidRPr="00DA49E9">
              <w:rPr>
                <w:color w:val="000000" w:themeColor="text1"/>
                <w:sz w:val="20"/>
              </w:rPr>
              <w:t>180</w:t>
            </w:r>
          </w:p>
        </w:tc>
        <w:tc>
          <w:tcPr>
            <w:tcW w:w="1419" w:type="dxa"/>
            <w:shd w:val="clear" w:color="auto" w:fill="auto"/>
            <w:vAlign w:val="center"/>
          </w:tcPr>
          <w:p w14:paraId="22380A87" w14:textId="37B433FA" w:rsidR="00F53D54" w:rsidRPr="00DA49E9" w:rsidRDefault="00F53D54" w:rsidP="009A114B">
            <w:pPr>
              <w:jc w:val="center"/>
              <w:rPr>
                <w:color w:val="000000" w:themeColor="text1"/>
                <w:sz w:val="20"/>
              </w:rPr>
            </w:pPr>
            <w:r w:rsidRPr="00DA49E9">
              <w:rPr>
                <w:color w:val="000000" w:themeColor="text1"/>
                <w:sz w:val="20"/>
              </w:rPr>
              <w:t>1</w:t>
            </w:r>
            <w:r w:rsidR="0062646B" w:rsidRPr="00DA49E9">
              <w:rPr>
                <w:color w:val="000000" w:themeColor="text1"/>
                <w:sz w:val="20"/>
              </w:rPr>
              <w:t>,</w:t>
            </w:r>
            <w:r w:rsidRPr="00DA49E9">
              <w:rPr>
                <w:color w:val="000000" w:themeColor="text1"/>
                <w:sz w:val="20"/>
              </w:rPr>
              <w:t>000</w:t>
            </w:r>
          </w:p>
        </w:tc>
      </w:tr>
      <w:tr w:rsidR="004D34DD" w:rsidRPr="00DA49E9" w14:paraId="1F19CD06" w14:textId="77777777" w:rsidTr="006462C1">
        <w:trPr>
          <w:cantSplit/>
          <w:jc w:val="center"/>
        </w:trPr>
        <w:tc>
          <w:tcPr>
            <w:tcW w:w="2268" w:type="dxa"/>
          </w:tcPr>
          <w:p w14:paraId="0E87BC13" w14:textId="77777777" w:rsidR="00F53D54" w:rsidRPr="00DA49E9" w:rsidRDefault="00F53D54" w:rsidP="009A114B">
            <w:pPr>
              <w:rPr>
                <w:rFonts w:eastAsia="Calibri"/>
                <w:color w:val="000000" w:themeColor="text1"/>
                <w:sz w:val="20"/>
              </w:rPr>
            </w:pPr>
            <w:r w:rsidRPr="00DA49E9">
              <w:rPr>
                <w:rFonts w:eastAsia="Calibri"/>
                <w:color w:val="000000" w:themeColor="text1"/>
                <w:sz w:val="20"/>
              </w:rPr>
              <w:t>Nickel-cadmium</w:t>
            </w:r>
          </w:p>
        </w:tc>
        <w:tc>
          <w:tcPr>
            <w:tcW w:w="1560" w:type="dxa"/>
          </w:tcPr>
          <w:p w14:paraId="0846E977" w14:textId="77777777" w:rsidR="00F53D54" w:rsidRPr="00DA49E9" w:rsidRDefault="00F53D54" w:rsidP="009A114B">
            <w:pPr>
              <w:jc w:val="center"/>
              <w:rPr>
                <w:rFonts w:eastAsia="Calibri"/>
                <w:color w:val="000000" w:themeColor="text1"/>
                <w:sz w:val="20"/>
              </w:rPr>
            </w:pPr>
            <w:r w:rsidRPr="00DA49E9">
              <w:rPr>
                <w:rFonts w:eastAsia="Calibri"/>
                <w:color w:val="000000" w:themeColor="text1"/>
                <w:sz w:val="20"/>
              </w:rPr>
              <w:t>1.2</w:t>
            </w:r>
          </w:p>
        </w:tc>
        <w:tc>
          <w:tcPr>
            <w:tcW w:w="1984" w:type="dxa"/>
            <w:vAlign w:val="center"/>
          </w:tcPr>
          <w:p w14:paraId="2377356D" w14:textId="77777777" w:rsidR="00F53D54" w:rsidRPr="00DA49E9" w:rsidRDefault="00F53D54" w:rsidP="009A114B">
            <w:pPr>
              <w:jc w:val="center"/>
              <w:rPr>
                <w:color w:val="000000" w:themeColor="text1"/>
                <w:sz w:val="20"/>
              </w:rPr>
            </w:pPr>
            <w:r w:rsidRPr="00DA49E9">
              <w:rPr>
                <w:color w:val="000000" w:themeColor="text1"/>
                <w:sz w:val="20"/>
              </w:rPr>
              <w:t>50 – 80</w:t>
            </w:r>
          </w:p>
        </w:tc>
        <w:tc>
          <w:tcPr>
            <w:tcW w:w="1843" w:type="dxa"/>
            <w:vAlign w:val="center"/>
          </w:tcPr>
          <w:p w14:paraId="2F495D1B" w14:textId="77777777" w:rsidR="00F53D54" w:rsidRPr="00DA49E9" w:rsidRDefault="00F53D54" w:rsidP="009A114B">
            <w:pPr>
              <w:jc w:val="center"/>
              <w:rPr>
                <w:color w:val="000000" w:themeColor="text1"/>
                <w:sz w:val="20"/>
              </w:rPr>
            </w:pPr>
            <w:r w:rsidRPr="00DA49E9">
              <w:rPr>
                <w:color w:val="000000" w:themeColor="text1"/>
                <w:sz w:val="20"/>
              </w:rPr>
              <w:t>200</w:t>
            </w:r>
          </w:p>
        </w:tc>
        <w:tc>
          <w:tcPr>
            <w:tcW w:w="1419" w:type="dxa"/>
            <w:shd w:val="clear" w:color="auto" w:fill="auto"/>
            <w:vAlign w:val="center"/>
          </w:tcPr>
          <w:p w14:paraId="2C85ABBA" w14:textId="173ADC88" w:rsidR="00F53D54" w:rsidRPr="00DA49E9" w:rsidRDefault="00F53D54" w:rsidP="009A114B">
            <w:pPr>
              <w:jc w:val="center"/>
              <w:rPr>
                <w:color w:val="000000" w:themeColor="text1"/>
                <w:sz w:val="20"/>
              </w:rPr>
            </w:pPr>
            <w:r w:rsidRPr="00DA49E9">
              <w:rPr>
                <w:color w:val="000000" w:themeColor="text1"/>
                <w:sz w:val="20"/>
              </w:rPr>
              <w:t>2</w:t>
            </w:r>
            <w:r w:rsidR="0062646B" w:rsidRPr="00DA49E9">
              <w:rPr>
                <w:color w:val="000000" w:themeColor="text1"/>
                <w:sz w:val="20"/>
              </w:rPr>
              <w:t>,</w:t>
            </w:r>
            <w:r w:rsidRPr="00DA49E9">
              <w:rPr>
                <w:color w:val="000000" w:themeColor="text1"/>
                <w:sz w:val="20"/>
              </w:rPr>
              <w:t>000</w:t>
            </w:r>
          </w:p>
        </w:tc>
      </w:tr>
      <w:tr w:rsidR="004D34DD" w:rsidRPr="00DA49E9" w14:paraId="3B6C42E5" w14:textId="77777777" w:rsidTr="006462C1">
        <w:trPr>
          <w:cantSplit/>
          <w:trHeight w:val="171"/>
          <w:jc w:val="center"/>
        </w:trPr>
        <w:tc>
          <w:tcPr>
            <w:tcW w:w="2268" w:type="dxa"/>
          </w:tcPr>
          <w:p w14:paraId="3BDB1979" w14:textId="77777777" w:rsidR="00F53D54" w:rsidRPr="00DA49E9" w:rsidRDefault="00F53D54" w:rsidP="009A114B">
            <w:pPr>
              <w:rPr>
                <w:rFonts w:eastAsia="Calibri"/>
                <w:color w:val="000000" w:themeColor="text1"/>
                <w:sz w:val="20"/>
              </w:rPr>
            </w:pPr>
            <w:r w:rsidRPr="00DA49E9">
              <w:rPr>
                <w:rFonts w:eastAsia="Calibri"/>
                <w:color w:val="000000" w:themeColor="text1"/>
                <w:sz w:val="20"/>
              </w:rPr>
              <w:t>Nickel-metal hydride</w:t>
            </w:r>
          </w:p>
        </w:tc>
        <w:tc>
          <w:tcPr>
            <w:tcW w:w="1560" w:type="dxa"/>
          </w:tcPr>
          <w:p w14:paraId="5F6D1CEF" w14:textId="77777777" w:rsidR="00F53D54" w:rsidRPr="00DA49E9" w:rsidRDefault="00F53D54" w:rsidP="009A114B">
            <w:pPr>
              <w:jc w:val="center"/>
              <w:rPr>
                <w:rFonts w:eastAsia="Calibri"/>
                <w:color w:val="000000" w:themeColor="text1"/>
                <w:sz w:val="20"/>
              </w:rPr>
            </w:pPr>
            <w:r w:rsidRPr="00DA49E9">
              <w:rPr>
                <w:rFonts w:eastAsia="Calibri"/>
                <w:color w:val="000000" w:themeColor="text1"/>
                <w:sz w:val="20"/>
              </w:rPr>
              <w:t>1.2</w:t>
            </w:r>
          </w:p>
        </w:tc>
        <w:tc>
          <w:tcPr>
            <w:tcW w:w="1984" w:type="dxa"/>
            <w:vAlign w:val="center"/>
          </w:tcPr>
          <w:p w14:paraId="77FBDED4" w14:textId="77777777" w:rsidR="00F53D54" w:rsidRPr="00DA49E9" w:rsidRDefault="00F53D54" w:rsidP="009A114B">
            <w:pPr>
              <w:jc w:val="center"/>
              <w:rPr>
                <w:color w:val="000000" w:themeColor="text1"/>
                <w:sz w:val="20"/>
              </w:rPr>
            </w:pPr>
            <w:r w:rsidRPr="00DA49E9">
              <w:rPr>
                <w:color w:val="000000" w:themeColor="text1"/>
                <w:sz w:val="20"/>
              </w:rPr>
              <w:t>70 – 95</w:t>
            </w:r>
          </w:p>
        </w:tc>
        <w:tc>
          <w:tcPr>
            <w:tcW w:w="1843" w:type="dxa"/>
            <w:vAlign w:val="center"/>
          </w:tcPr>
          <w:p w14:paraId="14A05B56" w14:textId="77777777" w:rsidR="00F53D54" w:rsidRPr="00DA49E9" w:rsidRDefault="00F53D54" w:rsidP="009A114B">
            <w:pPr>
              <w:jc w:val="center"/>
              <w:rPr>
                <w:color w:val="000000" w:themeColor="text1"/>
                <w:sz w:val="20"/>
              </w:rPr>
            </w:pPr>
            <w:r w:rsidRPr="00DA49E9">
              <w:rPr>
                <w:color w:val="000000" w:themeColor="text1"/>
                <w:sz w:val="20"/>
              </w:rPr>
              <w:t>250</w:t>
            </w:r>
          </w:p>
        </w:tc>
        <w:tc>
          <w:tcPr>
            <w:tcW w:w="1419" w:type="dxa"/>
            <w:shd w:val="clear" w:color="auto" w:fill="auto"/>
            <w:vAlign w:val="center"/>
          </w:tcPr>
          <w:p w14:paraId="66DCB081" w14:textId="482B17A9" w:rsidR="00F53D54" w:rsidRPr="00DA49E9" w:rsidRDefault="00F53D54" w:rsidP="009A114B">
            <w:pPr>
              <w:jc w:val="center"/>
              <w:rPr>
                <w:color w:val="000000" w:themeColor="text1"/>
                <w:sz w:val="20"/>
              </w:rPr>
            </w:pPr>
            <w:r w:rsidRPr="00DA49E9">
              <w:rPr>
                <w:color w:val="000000" w:themeColor="text1"/>
                <w:sz w:val="20"/>
              </w:rPr>
              <w:t>3</w:t>
            </w:r>
            <w:r w:rsidR="0062646B" w:rsidRPr="00DA49E9">
              <w:rPr>
                <w:color w:val="000000" w:themeColor="text1"/>
                <w:sz w:val="20"/>
              </w:rPr>
              <w:t>,</w:t>
            </w:r>
            <w:r w:rsidRPr="00DA49E9">
              <w:rPr>
                <w:color w:val="000000" w:themeColor="text1"/>
                <w:sz w:val="20"/>
              </w:rPr>
              <w:t>000</w:t>
            </w:r>
          </w:p>
        </w:tc>
      </w:tr>
      <w:tr w:rsidR="004D34DD" w:rsidRPr="00DA49E9" w14:paraId="6E04922A" w14:textId="77777777" w:rsidTr="006462C1">
        <w:trPr>
          <w:cantSplit/>
          <w:trHeight w:val="75"/>
          <w:jc w:val="center"/>
        </w:trPr>
        <w:tc>
          <w:tcPr>
            <w:tcW w:w="2268" w:type="dxa"/>
          </w:tcPr>
          <w:p w14:paraId="434F1299" w14:textId="77777777" w:rsidR="00F53D54" w:rsidRPr="00DA49E9" w:rsidRDefault="00F53D54" w:rsidP="009A114B">
            <w:pPr>
              <w:rPr>
                <w:rFonts w:eastAsia="Calibri"/>
                <w:color w:val="000000" w:themeColor="text1"/>
                <w:sz w:val="20"/>
              </w:rPr>
            </w:pPr>
            <w:r w:rsidRPr="00DA49E9">
              <w:rPr>
                <w:rFonts w:eastAsia="Calibri"/>
                <w:color w:val="000000" w:themeColor="text1"/>
                <w:sz w:val="20"/>
              </w:rPr>
              <w:t>Lithium-ion</w:t>
            </w:r>
          </w:p>
        </w:tc>
        <w:tc>
          <w:tcPr>
            <w:tcW w:w="1560" w:type="dxa"/>
          </w:tcPr>
          <w:p w14:paraId="4B895564" w14:textId="77777777" w:rsidR="00F53D54" w:rsidRPr="00DA49E9" w:rsidRDefault="00F53D54" w:rsidP="009A114B">
            <w:pPr>
              <w:jc w:val="center"/>
              <w:rPr>
                <w:rFonts w:eastAsia="Calibri"/>
                <w:color w:val="000000" w:themeColor="text1"/>
                <w:sz w:val="20"/>
              </w:rPr>
            </w:pPr>
            <w:r w:rsidRPr="00DA49E9">
              <w:rPr>
                <w:rFonts w:eastAsia="Calibri"/>
                <w:color w:val="000000" w:themeColor="text1"/>
                <w:sz w:val="20"/>
              </w:rPr>
              <w:t>3.6</w:t>
            </w:r>
          </w:p>
        </w:tc>
        <w:tc>
          <w:tcPr>
            <w:tcW w:w="1984" w:type="dxa"/>
            <w:vAlign w:val="center"/>
          </w:tcPr>
          <w:p w14:paraId="6E9DC70D" w14:textId="77777777" w:rsidR="00F53D54" w:rsidRPr="00DA49E9" w:rsidRDefault="00F53D54" w:rsidP="009A114B">
            <w:pPr>
              <w:jc w:val="center"/>
              <w:rPr>
                <w:color w:val="000000" w:themeColor="text1"/>
                <w:sz w:val="20"/>
              </w:rPr>
            </w:pPr>
            <w:r w:rsidRPr="00DA49E9">
              <w:rPr>
                <w:color w:val="000000" w:themeColor="text1"/>
                <w:sz w:val="20"/>
              </w:rPr>
              <w:t>200 – 500</w:t>
            </w:r>
          </w:p>
        </w:tc>
        <w:tc>
          <w:tcPr>
            <w:tcW w:w="1843" w:type="dxa"/>
            <w:vAlign w:val="center"/>
          </w:tcPr>
          <w:p w14:paraId="35EA22E0" w14:textId="77777777" w:rsidR="00F53D54" w:rsidRPr="00DA49E9" w:rsidRDefault="00F53D54" w:rsidP="009A114B">
            <w:pPr>
              <w:jc w:val="center"/>
              <w:rPr>
                <w:color w:val="000000" w:themeColor="text1"/>
                <w:sz w:val="20"/>
              </w:rPr>
            </w:pPr>
            <w:r w:rsidRPr="00DA49E9">
              <w:rPr>
                <w:color w:val="000000" w:themeColor="text1"/>
                <w:sz w:val="20"/>
              </w:rPr>
              <w:t>350</w:t>
            </w:r>
          </w:p>
        </w:tc>
        <w:tc>
          <w:tcPr>
            <w:tcW w:w="1419" w:type="dxa"/>
            <w:shd w:val="clear" w:color="auto" w:fill="auto"/>
            <w:vAlign w:val="center"/>
          </w:tcPr>
          <w:p w14:paraId="7248CD9A" w14:textId="38378876" w:rsidR="00F53D54" w:rsidRPr="00DA49E9" w:rsidRDefault="00F53D54" w:rsidP="009A114B">
            <w:pPr>
              <w:jc w:val="center"/>
              <w:rPr>
                <w:color w:val="000000" w:themeColor="text1"/>
                <w:sz w:val="20"/>
              </w:rPr>
            </w:pPr>
            <w:r w:rsidRPr="00DA49E9">
              <w:rPr>
                <w:color w:val="000000" w:themeColor="text1"/>
                <w:sz w:val="20"/>
              </w:rPr>
              <w:t>5</w:t>
            </w:r>
            <w:r w:rsidR="0062646B" w:rsidRPr="00DA49E9">
              <w:rPr>
                <w:color w:val="000000" w:themeColor="text1"/>
                <w:sz w:val="20"/>
              </w:rPr>
              <w:t>,</w:t>
            </w:r>
            <w:r w:rsidRPr="00DA49E9">
              <w:rPr>
                <w:color w:val="000000" w:themeColor="text1"/>
                <w:sz w:val="20"/>
              </w:rPr>
              <w:t>000</w:t>
            </w:r>
          </w:p>
        </w:tc>
      </w:tr>
    </w:tbl>
    <w:p w14:paraId="58935568" w14:textId="77777777" w:rsidR="00822DDE" w:rsidRPr="00DA49E9" w:rsidRDefault="00822DDE" w:rsidP="005E4C84">
      <w:pPr>
        <w:pStyle w:val="Paragraph"/>
        <w:rPr>
          <w:color w:val="000000" w:themeColor="text1"/>
        </w:rPr>
      </w:pPr>
    </w:p>
    <w:p w14:paraId="7E135CE0" w14:textId="77777777" w:rsidR="00A64207" w:rsidRPr="00DA49E9" w:rsidRDefault="00A64207" w:rsidP="00A64207">
      <w:pPr>
        <w:pStyle w:val="Paragraph"/>
        <w:rPr>
          <w:color w:val="000000" w:themeColor="text1"/>
        </w:rPr>
      </w:pPr>
      <w:r w:rsidRPr="00DA49E9">
        <w:rPr>
          <w:color w:val="000000" w:themeColor="text1"/>
        </w:rPr>
        <w:t>The following types of lithium-based batteries are commercially widely used: lithium cobalt oxide (LCO), lithium iron phosphate (LFP), lithium manganese oxide (LMO), lithium nickel manganese cobalt oxide (NMC), lithium nickel cobalt aluminum oxide (NCA), lithium titanium oxide (LTO).</w:t>
      </w:r>
    </w:p>
    <w:p w14:paraId="2D046442" w14:textId="77777777" w:rsidR="00643662" w:rsidRPr="00DA49E9" w:rsidRDefault="00381F51" w:rsidP="005E4C84">
      <w:pPr>
        <w:pStyle w:val="Paragraph"/>
        <w:rPr>
          <w:color w:val="000000" w:themeColor="text1"/>
        </w:rPr>
      </w:pPr>
      <w:r w:rsidRPr="00DA49E9">
        <w:rPr>
          <w:color w:val="000000" w:themeColor="text1"/>
        </w:rPr>
        <w:t xml:space="preserve">Lithium cobalt oxide batteries have been widely deployed in portable electronic devices owing to their high volumetric energy density. They have also found application in electric vehicles, including the Tesla Roadster and Smart </w:t>
      </w:r>
      <w:proofErr w:type="spellStart"/>
      <w:r w:rsidRPr="00DA49E9">
        <w:rPr>
          <w:color w:val="000000" w:themeColor="text1"/>
        </w:rPr>
        <w:t>ForTwo</w:t>
      </w:r>
      <w:proofErr w:type="spellEnd"/>
      <w:r w:rsidRPr="00DA49E9">
        <w:rPr>
          <w:color w:val="000000" w:themeColor="text1"/>
        </w:rPr>
        <w:t xml:space="preserve">. However, their widespread adoption in the automotive sector has been constrained by the high cost associated with the limited availability of cobalt resources [21]. Another cathode material employed in electric vehicles, particularly in electric buses in China, is lithium iron phosphate. </w:t>
      </w:r>
    </w:p>
    <w:p w14:paraId="68D5E03B" w14:textId="72F49BA8" w:rsidR="005E4C84" w:rsidRPr="00DA49E9" w:rsidRDefault="00381F51" w:rsidP="005E4C84">
      <w:pPr>
        <w:pStyle w:val="Paragraph"/>
        <w:rPr>
          <w:color w:val="000000" w:themeColor="text1"/>
        </w:rPr>
      </w:pPr>
      <w:r w:rsidRPr="00DA49E9">
        <w:rPr>
          <w:color w:val="000000" w:themeColor="text1"/>
        </w:rPr>
        <w:t>The key advantages of LFP batteries include stable operating voltage, long cycle life, and high thermal stability. Lithium manganese oxide is another commercially utilized cathode material, valued for its good thermal stability and power capability at relatively low cost; however, its energy density remains limited. To enhance energy density, some electric vehicles – such as the Nissan Leaf, BMW i3, and Chevrolet Bolt – incorporate blended battery systems that combine LMO cells with lithium nickel manganese cobalt oxide cells. Nickel-rich lithium NMC batteries offer high specific energy, however, their thermal stability and charge-discharge cycle life necessitate additional safety measures prior to integration into electric vehicles. Lithium NCA batteries are employed in electric vehicles such as those manufactured by Tesla.</w:t>
      </w:r>
    </w:p>
    <w:p w14:paraId="4EFF276D" w14:textId="74DAFE37" w:rsidR="00CA28D8" w:rsidRPr="00DA49E9" w:rsidRDefault="0092252A" w:rsidP="00CA28D8">
      <w:pPr>
        <w:pStyle w:val="Paragraph"/>
      </w:pPr>
      <w:r w:rsidRPr="00DA49E9">
        <w:rPr>
          <w:color w:val="000000" w:themeColor="text1"/>
        </w:rPr>
        <w:t>One of the most widely used electrical models of a lithium-ion battery is the Thevenin model</w:t>
      </w:r>
      <w:r w:rsidR="009841F8" w:rsidRPr="00DA49E9">
        <w:rPr>
          <w:color w:val="000000" w:themeColor="text1"/>
        </w:rPr>
        <w:t xml:space="preserve"> [22]</w:t>
      </w:r>
      <w:r w:rsidRPr="00DA49E9">
        <w:rPr>
          <w:color w:val="000000" w:themeColor="text1"/>
        </w:rPr>
        <w:t>. The equivalent Thevenin model incorporates a polarization resistance (</w:t>
      </w:r>
      <w:proofErr w:type="spellStart"/>
      <w:r w:rsidRPr="00DA49E9">
        <w:rPr>
          <w:i/>
          <w:color w:val="000000" w:themeColor="text1"/>
        </w:rPr>
        <w:t>R</w:t>
      </w:r>
      <w:r w:rsidRPr="00DA49E9">
        <w:rPr>
          <w:color w:val="000000" w:themeColor="text1"/>
          <w:vertAlign w:val="subscript"/>
        </w:rPr>
        <w:t>Th</w:t>
      </w:r>
      <w:proofErr w:type="spellEnd"/>
      <w:r w:rsidRPr="00DA49E9">
        <w:rPr>
          <w:color w:val="000000" w:themeColor="text1"/>
        </w:rPr>
        <w:t>) in parallel with an equivalent capacitance (</w:t>
      </w:r>
      <w:proofErr w:type="spellStart"/>
      <w:r w:rsidRPr="00DA49E9">
        <w:rPr>
          <w:i/>
          <w:color w:val="000000" w:themeColor="text1"/>
        </w:rPr>
        <w:t>C</w:t>
      </w:r>
      <w:r w:rsidRPr="00DA49E9">
        <w:rPr>
          <w:color w:val="000000" w:themeColor="text1"/>
          <w:vertAlign w:val="subscript"/>
        </w:rPr>
        <w:t>Th</w:t>
      </w:r>
      <w:proofErr w:type="spellEnd"/>
      <w:r w:rsidRPr="00DA49E9">
        <w:rPr>
          <w:color w:val="000000" w:themeColor="text1"/>
        </w:rPr>
        <w:t xml:space="preserve">), as illustrated in Fig. </w:t>
      </w:r>
      <w:r w:rsidR="00CA28D8" w:rsidRPr="00DA49E9">
        <w:rPr>
          <w:color w:val="000000" w:themeColor="text1"/>
        </w:rPr>
        <w:t>1</w:t>
      </w:r>
      <w:r w:rsidRPr="00DA49E9">
        <w:rPr>
          <w:color w:val="000000" w:themeColor="text1"/>
        </w:rPr>
        <w:t xml:space="preserve"> a.</w:t>
      </w:r>
      <w:r w:rsidR="00CA28D8" w:rsidRPr="00DA49E9">
        <w:rPr>
          <w:color w:val="000000" w:themeColor="text1"/>
        </w:rPr>
        <w:t xml:space="preserve"> The </w:t>
      </w:r>
      <w:proofErr w:type="spellStart"/>
      <w:r w:rsidR="00CA28D8" w:rsidRPr="00DA49E9">
        <w:rPr>
          <w:color w:val="000000" w:themeColor="text1"/>
        </w:rPr>
        <w:t>Thevenin</w:t>
      </w:r>
      <w:proofErr w:type="spellEnd"/>
      <w:r w:rsidR="00CA28D8" w:rsidRPr="00DA49E9">
        <w:rPr>
          <w:color w:val="000000" w:themeColor="text1"/>
        </w:rPr>
        <w:t xml:space="preserve"> capacitor (</w:t>
      </w:r>
      <w:proofErr w:type="spellStart"/>
      <w:r w:rsidR="00CA28D8" w:rsidRPr="00DA49E9">
        <w:rPr>
          <w:i/>
          <w:color w:val="000000" w:themeColor="text1"/>
        </w:rPr>
        <w:t>C</w:t>
      </w:r>
      <w:r w:rsidR="00CA28D8" w:rsidRPr="00DA49E9">
        <w:rPr>
          <w:color w:val="000000" w:themeColor="text1"/>
          <w:vertAlign w:val="subscript"/>
        </w:rPr>
        <w:t>Th</w:t>
      </w:r>
      <w:proofErr w:type="spellEnd"/>
      <w:r w:rsidR="00CA28D8" w:rsidRPr="00DA49E9">
        <w:rPr>
          <w:color w:val="000000" w:themeColor="text1"/>
        </w:rPr>
        <w:t xml:space="preserve">) accounts for the transient characteristics observed during the charge-discharge process of the battery. In study [22], a lithium-ion battery model for the Partnership for a New Generation of Vehicles (PNGV) was developed to support the next generation of electric vehicles. The equivalent electrical circuit of the PNGV battery differs from the Thevenin battery model by incorporating an additional capacitor in series with the resistor </w:t>
      </w:r>
      <w:r w:rsidR="00CA28D8" w:rsidRPr="00DA49E9">
        <w:rPr>
          <w:i/>
          <w:color w:val="000000" w:themeColor="text1"/>
        </w:rPr>
        <w:t>R</w:t>
      </w:r>
      <w:r w:rsidR="00CA28D8" w:rsidRPr="00DA49E9">
        <w:rPr>
          <w:color w:val="000000" w:themeColor="text1"/>
          <w:vertAlign w:val="subscript"/>
        </w:rPr>
        <w:t>0</w:t>
      </w:r>
      <w:r w:rsidR="00CA28D8" w:rsidRPr="00DA49E9">
        <w:rPr>
          <w:color w:val="000000" w:themeColor="text1"/>
        </w:rPr>
        <w:t>, as illustrated in Fig. 1 b. This additional capacitor</w:t>
      </w:r>
      <w:r w:rsidR="009841F8" w:rsidRPr="00DA49E9">
        <w:rPr>
          <w:color w:val="000000" w:themeColor="text1"/>
        </w:rPr>
        <w:t xml:space="preserve"> </w:t>
      </w:r>
      <w:r w:rsidR="009841F8" w:rsidRPr="00DA49E9">
        <w:rPr>
          <w:i/>
          <w:color w:val="000000" w:themeColor="text1"/>
        </w:rPr>
        <w:t>C</w:t>
      </w:r>
      <w:r w:rsidR="009841F8" w:rsidRPr="00DA49E9">
        <w:rPr>
          <w:i/>
          <w:color w:val="000000" w:themeColor="text1"/>
          <w:vertAlign w:val="subscript"/>
        </w:rPr>
        <w:t>d</w:t>
      </w:r>
      <w:r w:rsidR="009841F8" w:rsidRPr="00DA49E9">
        <w:rPr>
          <w:color w:val="000000" w:themeColor="text1"/>
        </w:rPr>
        <w:t xml:space="preserve"> </w:t>
      </w:r>
      <w:r w:rsidR="00CA28D8" w:rsidRPr="00DA49E9">
        <w:rPr>
          <w:color w:val="000000" w:themeColor="text1"/>
        </w:rPr>
        <w:t>helps to explain variations in the open</w:t>
      </w:r>
      <w:r w:rsidR="00CA28D8" w:rsidRPr="00DA49E9">
        <w:t>-circuit voltage of an electric vehicle battery under load current conditions.</w:t>
      </w:r>
    </w:p>
    <w:p w14:paraId="6B8B4C0A" w14:textId="77777777" w:rsidR="00C1479C" w:rsidRPr="00DA49E9" w:rsidRDefault="00C1479C" w:rsidP="00C1479C">
      <w:pPr>
        <w:pStyle w:val="Paragraph"/>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C1479C" w:rsidRPr="00DA49E9" w14:paraId="6D27B9C6" w14:textId="77777777" w:rsidTr="005E56BE">
        <w:trPr>
          <w:trHeight w:val="1702"/>
        </w:trPr>
        <w:tc>
          <w:tcPr>
            <w:tcW w:w="3120" w:type="dxa"/>
          </w:tcPr>
          <w:p w14:paraId="59F11949" w14:textId="77777777" w:rsidR="00C1479C" w:rsidRPr="00DA49E9" w:rsidRDefault="00E06C85" w:rsidP="00E22AB6">
            <w:pPr>
              <w:pStyle w:val="Paragraph"/>
              <w:ind w:left="-109" w:firstLine="0"/>
              <w:jc w:val="center"/>
            </w:pPr>
            <w:r>
              <w:pict w14:anchorId="2ADA7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93.5pt">
                  <v:imagedata r:id="rId10" o:title=""/>
                </v:shape>
              </w:pict>
            </w:r>
          </w:p>
        </w:tc>
        <w:tc>
          <w:tcPr>
            <w:tcW w:w="3120" w:type="dxa"/>
          </w:tcPr>
          <w:p w14:paraId="1163F6E4" w14:textId="77777777" w:rsidR="00C1479C" w:rsidRPr="00DA49E9" w:rsidRDefault="00E06C85" w:rsidP="00E22AB6">
            <w:pPr>
              <w:pStyle w:val="Paragraph"/>
              <w:ind w:firstLine="0"/>
              <w:jc w:val="center"/>
            </w:pPr>
            <w:r>
              <w:pict w14:anchorId="1A07DC36">
                <v:shape id="_x0000_i1026" type="#_x0000_t75" style="width:73.05pt;height:111.75pt">
                  <v:imagedata r:id="rId11" o:title=""/>
                </v:shape>
              </w:pict>
            </w:r>
          </w:p>
        </w:tc>
        <w:tc>
          <w:tcPr>
            <w:tcW w:w="3120" w:type="dxa"/>
          </w:tcPr>
          <w:p w14:paraId="4303357C" w14:textId="77777777" w:rsidR="00C1479C" w:rsidRPr="00DA49E9" w:rsidRDefault="00E06C85" w:rsidP="00E22AB6">
            <w:pPr>
              <w:pStyle w:val="Paragraph"/>
              <w:ind w:firstLine="0"/>
              <w:jc w:val="center"/>
              <w:rPr>
                <w:noProof/>
                <w:sz w:val="22"/>
                <w:szCs w:val="22"/>
              </w:rPr>
            </w:pPr>
            <w:r>
              <w:pict w14:anchorId="3A97C5C8">
                <v:shape id="_x0000_i1027" type="#_x0000_t75" style="width:84.9pt;height:98.85pt">
                  <v:imagedata r:id="rId12" o:title=""/>
                </v:shape>
              </w:pict>
            </w:r>
          </w:p>
        </w:tc>
      </w:tr>
      <w:tr w:rsidR="00C1479C" w:rsidRPr="00DA49E9" w14:paraId="32DB1C83" w14:textId="77777777" w:rsidTr="005E56BE">
        <w:trPr>
          <w:trHeight w:val="211"/>
        </w:trPr>
        <w:tc>
          <w:tcPr>
            <w:tcW w:w="3120" w:type="dxa"/>
          </w:tcPr>
          <w:p w14:paraId="280ED811" w14:textId="77777777" w:rsidR="00C1479C" w:rsidRPr="00DA49E9" w:rsidRDefault="00C1479C" w:rsidP="00E22AB6">
            <w:pPr>
              <w:pStyle w:val="Paragraph"/>
              <w:ind w:firstLine="0"/>
              <w:jc w:val="center"/>
            </w:pPr>
            <w:r w:rsidRPr="00DA49E9">
              <w:t>(a)</w:t>
            </w:r>
          </w:p>
        </w:tc>
        <w:tc>
          <w:tcPr>
            <w:tcW w:w="3120" w:type="dxa"/>
          </w:tcPr>
          <w:p w14:paraId="5C83D6D2" w14:textId="77777777" w:rsidR="00C1479C" w:rsidRPr="00DA49E9" w:rsidRDefault="00C1479C" w:rsidP="00E22AB6">
            <w:pPr>
              <w:pStyle w:val="Paragraph"/>
              <w:ind w:firstLine="0"/>
              <w:jc w:val="center"/>
            </w:pPr>
            <w:r w:rsidRPr="00DA49E9">
              <w:t>(b)</w:t>
            </w:r>
          </w:p>
        </w:tc>
        <w:tc>
          <w:tcPr>
            <w:tcW w:w="3120" w:type="dxa"/>
          </w:tcPr>
          <w:p w14:paraId="48D51D8A" w14:textId="77777777" w:rsidR="00C1479C" w:rsidRPr="00DA49E9" w:rsidRDefault="00C1479C" w:rsidP="00E22AB6">
            <w:pPr>
              <w:pStyle w:val="Paragraph"/>
              <w:ind w:firstLine="0"/>
              <w:jc w:val="center"/>
            </w:pPr>
            <w:r w:rsidRPr="00DA49E9">
              <w:t>(c)</w:t>
            </w:r>
          </w:p>
        </w:tc>
      </w:tr>
    </w:tbl>
    <w:p w14:paraId="1AE19E37" w14:textId="76F75C56" w:rsidR="00C1479C" w:rsidRPr="00DA49E9" w:rsidRDefault="00C1479C" w:rsidP="00C1479C">
      <w:pPr>
        <w:pStyle w:val="FigureCaption"/>
      </w:pPr>
      <w:r w:rsidRPr="00DA49E9">
        <w:rPr>
          <w:b/>
          <w:caps/>
        </w:rPr>
        <w:t>Figure 1.</w:t>
      </w:r>
      <w:r w:rsidRPr="00DA49E9">
        <w:t xml:space="preserve"> Equivalent electrical circuits of a lithium-ion battery and supercapacitors: (a) Thevenin</w:t>
      </w:r>
      <w:r w:rsidR="00FE6CB6" w:rsidRPr="00DA49E9">
        <w:t xml:space="preserve"> model;</w:t>
      </w:r>
      <w:r w:rsidRPr="00DA49E9">
        <w:t xml:space="preserve"> (b) PNGV model</w:t>
      </w:r>
      <w:r w:rsidR="00FE6CB6" w:rsidRPr="00DA49E9">
        <w:t>;</w:t>
      </w:r>
      <w:r w:rsidRPr="00DA49E9">
        <w:t xml:space="preserve"> (c) supercapacitor model. </w:t>
      </w:r>
    </w:p>
    <w:p w14:paraId="04943D92" w14:textId="77777777" w:rsidR="007E09AA" w:rsidRPr="00DA49E9" w:rsidRDefault="007E09AA" w:rsidP="007E09AA">
      <w:pPr>
        <w:pStyle w:val="1"/>
        <w:rPr>
          <w:color w:val="000000" w:themeColor="text1"/>
        </w:rPr>
      </w:pPr>
      <w:r w:rsidRPr="00DA49E9">
        <w:rPr>
          <w:color w:val="000000" w:themeColor="text1"/>
        </w:rPr>
        <w:t xml:space="preserve">Supercapacitors Research </w:t>
      </w:r>
    </w:p>
    <w:p w14:paraId="3ACB0DDE" w14:textId="418BEA04" w:rsidR="007E09AA" w:rsidRPr="00DA49E9" w:rsidRDefault="007E09AA" w:rsidP="007E09AA">
      <w:pPr>
        <w:pStyle w:val="Paragraph"/>
        <w:rPr>
          <w:color w:val="000000" w:themeColor="text1"/>
        </w:rPr>
      </w:pPr>
      <w:r w:rsidRPr="00DA49E9">
        <w:rPr>
          <w:color w:val="000000" w:themeColor="text1"/>
        </w:rPr>
        <w:t>In the scientific literature, the terms electroch</w:t>
      </w:r>
      <w:r w:rsidR="00C1479C" w:rsidRPr="00DA49E9">
        <w:rPr>
          <w:color w:val="000000" w:themeColor="text1"/>
        </w:rPr>
        <w:t>emical double-layer capacitors, ultracapacitors</w:t>
      </w:r>
      <w:r w:rsidR="00381F51" w:rsidRPr="00DA49E9">
        <w:rPr>
          <w:color w:val="000000" w:themeColor="text1"/>
        </w:rPr>
        <w:t xml:space="preserve">, and supercapacitors </w:t>
      </w:r>
      <w:r w:rsidRPr="00DA49E9">
        <w:rPr>
          <w:color w:val="000000" w:themeColor="text1"/>
        </w:rPr>
        <w:t xml:space="preserve">are commonly used to describe electrochemical energy storage technologies suitable for rapid energy release </w:t>
      </w:r>
      <w:r w:rsidR="00C1479C" w:rsidRPr="00DA49E9">
        <w:rPr>
          <w:color w:val="000000" w:themeColor="text1"/>
        </w:rPr>
        <w:br/>
      </w:r>
      <w:r w:rsidRPr="00DA49E9">
        <w:rPr>
          <w:color w:val="000000" w:themeColor="text1"/>
        </w:rPr>
        <w:t>[8, 23–2</w:t>
      </w:r>
      <w:r w:rsidR="001C3AA3" w:rsidRPr="00DA49E9">
        <w:rPr>
          <w:color w:val="000000" w:themeColor="text1"/>
        </w:rPr>
        <w:t>7</w:t>
      </w:r>
      <w:r w:rsidRPr="00DA49E9">
        <w:rPr>
          <w:color w:val="000000" w:themeColor="text1"/>
        </w:rPr>
        <w:t>]. Supercapacitors are characterized by high specific power, fast charge-discharge capability, and an extended cycle life with virtually negligible degradation. When constructing an equivalent electrical circuit of a practical supercapacitor, it is necessary to account for the double-layer capa</w:t>
      </w:r>
      <w:r w:rsidR="00C1479C" w:rsidRPr="00DA49E9">
        <w:rPr>
          <w:color w:val="000000" w:themeColor="text1"/>
        </w:rPr>
        <w:t>citance formed at the electrode-</w:t>
      </w:r>
      <w:r w:rsidRPr="00DA49E9">
        <w:rPr>
          <w:color w:val="000000" w:themeColor="text1"/>
        </w:rPr>
        <w:t xml:space="preserve">electrolyte interface, which is associated with a certain resistance. In addition, supercapacitors exhibit a self-discharge current resulting from their structural characteristics and underlying electrochemical processes. Therefore, </w:t>
      </w:r>
      <w:r w:rsidRPr="00DA49E9">
        <w:rPr>
          <w:color w:val="000000" w:themeColor="text1"/>
        </w:rPr>
        <w:lastRenderedPageBreak/>
        <w:t xml:space="preserve">a practical supercapacitor can be represented by the equivalent electrical circuit illustrated in Fig. 1 c. Where </w:t>
      </w:r>
      <w:r w:rsidRPr="00DA49E9">
        <w:rPr>
          <w:i/>
          <w:color w:val="000000" w:themeColor="text1"/>
        </w:rPr>
        <w:t>C</w:t>
      </w:r>
      <w:r w:rsidRPr="00DA49E9">
        <w:rPr>
          <w:i/>
          <w:color w:val="000000" w:themeColor="text1"/>
          <w:vertAlign w:val="subscript"/>
        </w:rPr>
        <w:t>1</w:t>
      </w:r>
      <w:r w:rsidRPr="00DA49E9">
        <w:rPr>
          <w:color w:val="000000" w:themeColor="text1"/>
        </w:rPr>
        <w:t xml:space="preserve"> is the capacitance of the anode double-layer, </w:t>
      </w:r>
      <w:r w:rsidRPr="00DA49E9">
        <w:rPr>
          <w:i/>
          <w:color w:val="000000" w:themeColor="text1"/>
        </w:rPr>
        <w:t>C</w:t>
      </w:r>
      <w:r w:rsidRPr="00DA49E9">
        <w:rPr>
          <w:i/>
          <w:color w:val="000000" w:themeColor="text1"/>
          <w:vertAlign w:val="subscript"/>
        </w:rPr>
        <w:t>2</w:t>
      </w:r>
      <w:r w:rsidRPr="00DA49E9">
        <w:rPr>
          <w:color w:val="000000" w:themeColor="text1"/>
        </w:rPr>
        <w:t xml:space="preserve"> is the capacitance of the cathode double-layer; </w:t>
      </w:r>
      <w:r w:rsidRPr="00DA49E9">
        <w:rPr>
          <w:i/>
          <w:color w:val="000000" w:themeColor="text1"/>
        </w:rPr>
        <w:t>R</w:t>
      </w:r>
      <w:r w:rsidRPr="00DA49E9">
        <w:rPr>
          <w:i/>
          <w:color w:val="000000" w:themeColor="text1"/>
          <w:vertAlign w:val="subscript"/>
        </w:rPr>
        <w:t>0</w:t>
      </w:r>
      <w:r w:rsidRPr="00DA49E9">
        <w:rPr>
          <w:color w:val="000000" w:themeColor="text1"/>
        </w:rPr>
        <w:t xml:space="preserve"> is the internal resistance; </w:t>
      </w:r>
      <w:proofErr w:type="spellStart"/>
      <w:r w:rsidRPr="00DA49E9">
        <w:rPr>
          <w:i/>
          <w:color w:val="000000" w:themeColor="text1"/>
        </w:rPr>
        <w:t>R</w:t>
      </w:r>
      <w:r w:rsidRPr="00DA49E9">
        <w:rPr>
          <w:color w:val="000000" w:themeColor="text1"/>
          <w:vertAlign w:val="subscript"/>
        </w:rPr>
        <w:t>c</w:t>
      </w:r>
      <w:proofErr w:type="spellEnd"/>
      <w:r w:rsidRPr="00DA49E9">
        <w:rPr>
          <w:color w:val="000000" w:themeColor="text1"/>
        </w:rPr>
        <w:t xml:space="preserve"> is the self-discharge resistance.</w:t>
      </w:r>
    </w:p>
    <w:p w14:paraId="31158E96" w14:textId="72F072A0" w:rsidR="00EA37FC" w:rsidRPr="00DA49E9" w:rsidRDefault="00EA37FC" w:rsidP="00EA37FC">
      <w:pPr>
        <w:pStyle w:val="Paragraph"/>
        <w:rPr>
          <w:color w:val="000000" w:themeColor="text1"/>
        </w:rPr>
      </w:pPr>
      <w:r w:rsidRPr="00DA49E9">
        <w:rPr>
          <w:color w:val="000000" w:themeColor="text1"/>
        </w:rPr>
        <w:t>The virtually unlimited service life of supercapacitors represents another significant advantage, as they can operate for between 100,000 and 1,000,000 cycles owing to their charge storage mechanism. Unlike batteries, they physically store charge on the surface of the electrodes without irreversible chemical reactions, thereby achieving a longer operational lifetime. Moreover, the simple charge storage mechanism generates less heat compared to batteries, ensuring safer and more reliable operation.</w:t>
      </w:r>
      <w:r w:rsidR="00894190" w:rsidRPr="00DA49E9">
        <w:rPr>
          <w:color w:val="000000" w:themeColor="text1"/>
        </w:rPr>
        <w:t xml:space="preserve"> </w:t>
      </w:r>
      <w:r w:rsidRPr="00DA49E9">
        <w:rPr>
          <w:color w:val="000000" w:themeColor="text1"/>
        </w:rPr>
        <w:t xml:space="preserve">It is also important to highlight the wide operating temperature range of different energy storage devices. Supercapacitors can be used at temperatures as low as −40 °C, which is unattainable for conventional batteries. In addition, supercapacitors exhibit greater reliability and safety than batteries under high-current </w:t>
      </w:r>
      <w:r w:rsidR="00822DDE" w:rsidRPr="00DA49E9">
        <w:rPr>
          <w:color w:val="000000" w:themeColor="text1"/>
        </w:rPr>
        <w:t>charge-discharge</w:t>
      </w:r>
      <w:r w:rsidRPr="00DA49E9">
        <w:rPr>
          <w:color w:val="000000" w:themeColor="text1"/>
        </w:rPr>
        <w:t xml:space="preserve"> conditions.</w:t>
      </w:r>
      <w:r w:rsidR="00894190" w:rsidRPr="00DA49E9">
        <w:rPr>
          <w:color w:val="000000" w:themeColor="text1"/>
        </w:rPr>
        <w:t xml:space="preserve"> </w:t>
      </w:r>
      <w:r w:rsidRPr="00DA49E9">
        <w:rPr>
          <w:color w:val="000000" w:themeColor="text1"/>
        </w:rPr>
        <w:t>A supercapacitor is capable of delivering up to one hundred times more power than batteries of the same volume, although the amount of electrical energy it can store is typically 3 to 30 times lower.</w:t>
      </w:r>
    </w:p>
    <w:p w14:paraId="6D9288B9" w14:textId="3B24C2A0" w:rsidR="00187565" w:rsidRPr="00DA49E9" w:rsidRDefault="00187565" w:rsidP="00187565">
      <w:pPr>
        <w:pStyle w:val="Paragraph"/>
        <w:rPr>
          <w:color w:val="000000" w:themeColor="text1"/>
        </w:rPr>
      </w:pPr>
      <w:r w:rsidRPr="00DA49E9">
        <w:rPr>
          <w:color w:val="000000" w:themeColor="text1"/>
        </w:rPr>
        <w:t xml:space="preserve">Recently, supercapacitors have been increasingly employed in transportation applications as high-power buffers, either independently or in combination with rechargeable batteries. However, supercapacitors exhibit a relatively low specific energy, typically ranging from 2.5 </w:t>
      </w:r>
      <w:proofErr w:type="spellStart"/>
      <w:r w:rsidRPr="00DA49E9">
        <w:rPr>
          <w:color w:val="000000" w:themeColor="text1"/>
        </w:rPr>
        <w:t>Wh</w:t>
      </w:r>
      <w:proofErr w:type="spellEnd"/>
      <w:r w:rsidRPr="00DA49E9">
        <w:rPr>
          <w:color w:val="000000" w:themeColor="text1"/>
        </w:rPr>
        <w:t xml:space="preserve">/kg to 15 </w:t>
      </w:r>
      <w:proofErr w:type="spellStart"/>
      <w:r w:rsidRPr="00DA49E9">
        <w:rPr>
          <w:color w:val="000000" w:themeColor="text1"/>
        </w:rPr>
        <w:t>Wh</w:t>
      </w:r>
      <w:proofErr w:type="spellEnd"/>
      <w:r w:rsidRPr="00DA49E9">
        <w:rPr>
          <w:color w:val="000000" w:themeColor="text1"/>
        </w:rPr>
        <w:t>/kg. At the same time, they demonstrate an exceptionally high specific power, reaching up to 10,000 W/kg, which enables rapid charge-discharge capabilities. These properties make them well suited for a variety of high-power applications, including regenerative braking and acceleration in electric vehicles. As integral components of HESS in electric vehicles, supercapacitors meet stringent power requirements, thereby alleviating the load on batteries, extending their service life, and enhancing the overall efficiency of electric vehicles. Supercapacitors have also found application in commercial transportation. For instance, the Chinese company «Ningbo CSR New Energy Technology» developed electric buses equipped with CSRCAP supercapacitors, which consume approximately 50 % less energy compared to conventional electric buses [23]. In 2010, PSA introduced a vehicle that employed supercapacitors to enhance initial acceleration and to recover braking mechanical energy into electrical energy, thereby reducing overall energy consumption. This approach significantly improves efficiency compared with conventional vehicles powered by gasoline and diesel engines [23].</w:t>
      </w:r>
    </w:p>
    <w:p w14:paraId="70100570" w14:textId="27E43B94" w:rsidR="00AB5AB8" w:rsidRPr="00DA49E9" w:rsidRDefault="00AB5AB8" w:rsidP="00AB5AB8">
      <w:pPr>
        <w:pStyle w:val="Paragraph"/>
        <w:rPr>
          <w:color w:val="000000" w:themeColor="text1"/>
        </w:rPr>
      </w:pPr>
      <w:r w:rsidRPr="00DA49E9">
        <w:rPr>
          <w:color w:val="000000" w:themeColor="text1"/>
        </w:rPr>
        <w:t xml:space="preserve">Thus, a supercapacitor is an efficient electrical energy storage device with considerable potential for application in electric transportation. However, to enable their effective integration into electric vehicles, supercapacitors must be cost-effective, compact, and possess high energy density, while rational design approaches for hybrid </w:t>
      </w:r>
      <w:r w:rsidR="008913B1" w:rsidRPr="00DA49E9">
        <w:rPr>
          <w:color w:val="000000" w:themeColor="text1"/>
        </w:rPr>
        <w:t xml:space="preserve">battery-supercapacitor </w:t>
      </w:r>
      <w:r w:rsidRPr="00DA49E9">
        <w:rPr>
          <w:color w:val="000000" w:themeColor="text1"/>
        </w:rPr>
        <w:t>energy storage systems should also be developed.</w:t>
      </w:r>
    </w:p>
    <w:p w14:paraId="2335AC9E" w14:textId="4A8991DE" w:rsidR="00944B32" w:rsidRPr="00DA49E9" w:rsidRDefault="00AB5AB8" w:rsidP="00944B32">
      <w:pPr>
        <w:pStyle w:val="1"/>
        <w:rPr>
          <w:color w:val="000000" w:themeColor="text1"/>
        </w:rPr>
      </w:pPr>
      <w:r w:rsidRPr="00DA49E9">
        <w:rPr>
          <w:color w:val="000000" w:themeColor="text1"/>
        </w:rPr>
        <w:t>Circuit design solutions for the development of a hybrid battery</w:t>
      </w:r>
      <w:r w:rsidR="008913B1" w:rsidRPr="00DA49E9">
        <w:rPr>
          <w:color w:val="000000" w:themeColor="text1"/>
        </w:rPr>
        <w:t>-</w:t>
      </w:r>
      <w:r w:rsidRPr="00DA49E9">
        <w:rPr>
          <w:color w:val="000000" w:themeColor="text1"/>
        </w:rPr>
        <w:t>supercapacitor energy storage system for electric vehicles</w:t>
      </w:r>
    </w:p>
    <w:p w14:paraId="161C34DD" w14:textId="7E3C05E9" w:rsidR="0003396A" w:rsidRPr="00DA49E9" w:rsidRDefault="0003396A" w:rsidP="0003396A">
      <w:pPr>
        <w:pStyle w:val="Paragraph"/>
        <w:widowControl w:val="0"/>
        <w:rPr>
          <w:color w:val="000000" w:themeColor="text1"/>
          <w:lang w:eastAsia="en-GB"/>
        </w:rPr>
      </w:pPr>
      <w:r w:rsidRPr="00DA49E9">
        <w:rPr>
          <w:color w:val="000000" w:themeColor="text1"/>
          <w:lang w:eastAsia="en-GB"/>
        </w:rPr>
        <w:t xml:space="preserve">Hybrid </w:t>
      </w:r>
      <w:r w:rsidR="008913B1" w:rsidRPr="00DA49E9">
        <w:rPr>
          <w:color w:val="000000" w:themeColor="text1"/>
          <w:lang w:eastAsia="en-GB"/>
        </w:rPr>
        <w:t xml:space="preserve">battery-supercapacitor </w:t>
      </w:r>
      <w:r w:rsidRPr="00DA49E9">
        <w:rPr>
          <w:color w:val="000000" w:themeColor="text1"/>
          <w:lang w:eastAsia="en-GB"/>
        </w:rPr>
        <w:t>energy storage systems are gaining increasing attention due to their ability to combine the advantages of different energy storage technologies. The choice of circuit topology has a significant impact on both the performance of the energy storage system and the overall efficiency of the electric vehicle. The two energy sources (the battery and the supercapacitors) can be interconnected using different topologies, incorporating one or more DC/DC converters:</w:t>
      </w:r>
    </w:p>
    <w:p w14:paraId="3D2C55E3" w14:textId="2F5BDD51" w:rsidR="00C448F2" w:rsidRPr="00DA49E9" w:rsidRDefault="0003396A" w:rsidP="00DE3DC2">
      <w:pPr>
        <w:pStyle w:val="Paragraph"/>
        <w:widowControl w:val="0"/>
        <w:numPr>
          <w:ilvl w:val="0"/>
          <w:numId w:val="10"/>
        </w:numPr>
        <w:tabs>
          <w:tab w:val="left" w:pos="567"/>
        </w:tabs>
        <w:ind w:left="0" w:firstLine="284"/>
        <w:rPr>
          <w:color w:val="000000" w:themeColor="text1"/>
          <w:lang w:eastAsia="en-GB"/>
        </w:rPr>
      </w:pPr>
      <w:r w:rsidRPr="00DA49E9">
        <w:rPr>
          <w:color w:val="000000" w:themeColor="text1"/>
          <w:lang w:eastAsia="en-GB"/>
        </w:rPr>
        <w:t>passive topology is the simplest, consisting of a battery and a supercapacitor connected in parallel (</w:t>
      </w:r>
      <w:r w:rsidR="00505B2D" w:rsidRPr="00DA49E9">
        <w:rPr>
          <w:color w:val="000000" w:themeColor="text1"/>
          <w:lang w:eastAsia="en-GB"/>
        </w:rPr>
        <w:t xml:space="preserve">Fig. 2 </w:t>
      </w:r>
      <w:r w:rsidRPr="00DA49E9">
        <w:rPr>
          <w:color w:val="000000" w:themeColor="text1"/>
          <w:lang w:eastAsia="en-GB"/>
        </w:rPr>
        <w:t>a). Although cost-effective and easy to implement, this configuration lacks active control mechanisms, which may result in voltage imbalance and reduced system efficiency, particularly under dynamic load conditions;</w:t>
      </w:r>
    </w:p>
    <w:p w14:paraId="211B2234" w14:textId="7E41BA56" w:rsidR="00C448F2" w:rsidRPr="00DA49E9" w:rsidRDefault="0003396A" w:rsidP="00DE3DC2">
      <w:pPr>
        <w:pStyle w:val="Paragraph"/>
        <w:widowControl w:val="0"/>
        <w:numPr>
          <w:ilvl w:val="0"/>
          <w:numId w:val="10"/>
        </w:numPr>
        <w:tabs>
          <w:tab w:val="left" w:pos="567"/>
        </w:tabs>
        <w:ind w:left="0" w:firstLine="284"/>
        <w:rPr>
          <w:color w:val="000000" w:themeColor="text1"/>
          <w:lang w:eastAsia="en-GB"/>
        </w:rPr>
      </w:pPr>
      <w:r w:rsidRPr="00DA49E9">
        <w:rPr>
          <w:color w:val="000000" w:themeColor="text1"/>
          <w:lang w:eastAsia="en-GB"/>
        </w:rPr>
        <w:t>semi-active topologies employ power electronic converters to enable active control of the energy flow between the battery and the supercapacitor (</w:t>
      </w:r>
      <w:r w:rsidR="00505B2D" w:rsidRPr="00DA49E9">
        <w:rPr>
          <w:color w:val="000000" w:themeColor="text1"/>
          <w:lang w:eastAsia="en-GB"/>
        </w:rPr>
        <w:t xml:space="preserve">Fig. 2 </w:t>
      </w:r>
      <w:r w:rsidRPr="00DA49E9">
        <w:rPr>
          <w:color w:val="000000" w:themeColor="text1"/>
          <w:lang w:eastAsia="en-GB"/>
        </w:rPr>
        <w:t xml:space="preserve">b and </w:t>
      </w:r>
      <w:r w:rsidR="00505B2D" w:rsidRPr="00DA49E9">
        <w:rPr>
          <w:color w:val="000000" w:themeColor="text1"/>
          <w:lang w:eastAsia="en-GB"/>
        </w:rPr>
        <w:t xml:space="preserve">Fig. 2 </w:t>
      </w:r>
      <w:r w:rsidRPr="00DA49E9">
        <w:rPr>
          <w:color w:val="000000" w:themeColor="text1"/>
          <w:lang w:eastAsia="en-GB"/>
        </w:rPr>
        <w:t>c);</w:t>
      </w:r>
    </w:p>
    <w:p w14:paraId="48902D28" w14:textId="7DC9201F" w:rsidR="0003396A" w:rsidRPr="00DA49E9" w:rsidRDefault="0003396A" w:rsidP="00DE3DC2">
      <w:pPr>
        <w:pStyle w:val="Paragraph"/>
        <w:widowControl w:val="0"/>
        <w:numPr>
          <w:ilvl w:val="0"/>
          <w:numId w:val="10"/>
        </w:numPr>
        <w:tabs>
          <w:tab w:val="left" w:pos="567"/>
        </w:tabs>
        <w:ind w:left="0" w:firstLine="284"/>
        <w:rPr>
          <w:color w:val="000000" w:themeColor="text1"/>
          <w:spacing w:val="-2"/>
          <w:lang w:eastAsia="en-GB"/>
        </w:rPr>
      </w:pPr>
      <w:r w:rsidRPr="00DA49E9">
        <w:rPr>
          <w:color w:val="000000" w:themeColor="text1"/>
          <w:spacing w:val="-2"/>
          <w:lang w:eastAsia="en-GB"/>
        </w:rPr>
        <w:t xml:space="preserve">active topology employs dedicated power electronic converters for both the battery and the </w:t>
      </w:r>
      <w:r w:rsidR="00E62F12" w:rsidRPr="00DA49E9">
        <w:rPr>
          <w:color w:val="000000" w:themeColor="text1"/>
          <w:spacing w:val="-2"/>
          <w:lang w:eastAsia="en-GB"/>
        </w:rPr>
        <w:br/>
      </w:r>
      <w:r w:rsidRPr="00DA49E9">
        <w:rPr>
          <w:color w:val="000000" w:themeColor="text1"/>
          <w:spacing w:val="-2"/>
          <w:lang w:eastAsia="en-GB"/>
        </w:rPr>
        <w:t>supercapacitor (</w:t>
      </w:r>
      <w:r w:rsidR="00505B2D" w:rsidRPr="00DA49E9">
        <w:rPr>
          <w:color w:val="000000" w:themeColor="text1"/>
          <w:spacing w:val="-2"/>
          <w:lang w:eastAsia="en-GB"/>
        </w:rPr>
        <w:t xml:space="preserve">Fig. 2 </w:t>
      </w:r>
      <w:r w:rsidRPr="00DA49E9">
        <w:rPr>
          <w:color w:val="000000" w:themeColor="text1"/>
          <w:spacing w:val="-2"/>
          <w:lang w:eastAsia="en-GB"/>
        </w:rPr>
        <w:t>d).</w:t>
      </w:r>
    </w:p>
    <w:p w14:paraId="4AF3EC38" w14:textId="67A03BFE" w:rsidR="00C47CA0" w:rsidRPr="00DA49E9" w:rsidRDefault="00C47CA0" w:rsidP="00C47CA0">
      <w:pPr>
        <w:pStyle w:val="Paragraph"/>
        <w:widowControl w:val="0"/>
        <w:rPr>
          <w:color w:val="000000" w:themeColor="text1"/>
          <w:lang w:eastAsia="en-GB"/>
        </w:rPr>
      </w:pPr>
      <w:r w:rsidRPr="00DA49E9">
        <w:rPr>
          <w:color w:val="000000" w:themeColor="text1"/>
          <w:lang w:eastAsia="en-GB"/>
        </w:rPr>
        <w:t xml:space="preserve">In our view, the active </w:t>
      </w:r>
      <w:r w:rsidR="007E6AAB" w:rsidRPr="00DA49E9">
        <w:rPr>
          <w:color w:val="000000" w:themeColor="text1"/>
        </w:rPr>
        <w:t>HESS</w:t>
      </w:r>
      <w:r w:rsidRPr="00DA49E9">
        <w:rPr>
          <w:color w:val="000000" w:themeColor="text1"/>
          <w:lang w:eastAsia="en-GB"/>
        </w:rPr>
        <w:t xml:space="preserve"> topology is the most suitable for application in electric vehicles, as it enables optimal energy management, provides a rapid response to dynamic load variations, and ensures improved overall efficiency. The active topology can effectively meet the high-power demands during acceleration and braking, as well as the steady power requirements during constant-speed driving</w:t>
      </w:r>
      <w:r w:rsidR="007E09AA" w:rsidRPr="00DA49E9">
        <w:rPr>
          <w:color w:val="000000" w:themeColor="text1"/>
          <w:lang w:eastAsia="en-GB"/>
        </w:rPr>
        <w:t xml:space="preserve">. </w:t>
      </w:r>
      <w:r w:rsidR="007E09AA" w:rsidRPr="00DA49E9">
        <w:rPr>
          <w:color w:val="000000" w:themeColor="text1"/>
        </w:rPr>
        <w:t>The active HESS topology can enhance the efficiency, driving range, and overall performance of an electric vehicle by optimizing the utilization of both the battery and the supercapacitor, while simultaneously extending battery lifespan. In this configuration, the supercapacitors and the lithium-ion battery are interconnected via bidirectional DC/DC converters to deliver power to the load.</w:t>
      </w:r>
    </w:p>
    <w:tbl>
      <w:tblPr>
        <w:tblStyle w:val="a9"/>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4819"/>
      </w:tblGrid>
      <w:tr w:rsidR="001F7457" w:rsidRPr="00DA49E9" w14:paraId="00ADD24F" w14:textId="77777777" w:rsidTr="00E22AB6">
        <w:trPr>
          <w:trHeight w:val="973"/>
        </w:trPr>
        <w:tc>
          <w:tcPr>
            <w:tcW w:w="4537" w:type="dxa"/>
          </w:tcPr>
          <w:p w14:paraId="01B8E008" w14:textId="23BB5483" w:rsidR="001F7457" w:rsidRPr="00DA49E9" w:rsidRDefault="00E06C85" w:rsidP="009A114B">
            <w:pPr>
              <w:pStyle w:val="Paragraph"/>
              <w:ind w:left="-110" w:right="-106" w:firstLine="0"/>
              <w:jc w:val="center"/>
              <w:rPr>
                <w:color w:val="000000" w:themeColor="text1"/>
              </w:rPr>
            </w:pPr>
            <w:r>
              <w:lastRenderedPageBreak/>
              <w:pict w14:anchorId="2042A53F">
                <v:shape id="_x0000_i1028" type="#_x0000_t75" style="width:211.7pt;height:85.95pt">
                  <v:imagedata r:id="rId13" o:title=""/>
                </v:shape>
              </w:pict>
            </w:r>
          </w:p>
        </w:tc>
        <w:tc>
          <w:tcPr>
            <w:tcW w:w="4819" w:type="dxa"/>
          </w:tcPr>
          <w:p w14:paraId="75A61CDA" w14:textId="7699C2AB" w:rsidR="001F7457" w:rsidRPr="00DA49E9" w:rsidRDefault="00E06C85" w:rsidP="009A114B">
            <w:pPr>
              <w:pStyle w:val="Paragraph"/>
              <w:ind w:left="-110" w:firstLine="0"/>
              <w:jc w:val="center"/>
              <w:rPr>
                <w:noProof/>
                <w:color w:val="000000" w:themeColor="text1"/>
                <w:sz w:val="22"/>
                <w:szCs w:val="22"/>
              </w:rPr>
            </w:pPr>
            <w:r>
              <w:pict w14:anchorId="4DFC159B">
                <v:shape id="_x0000_i1029" type="#_x0000_t75" style="width:217.05pt;height:110.7pt">
                  <v:imagedata r:id="rId14" o:title=""/>
                </v:shape>
              </w:pict>
            </w:r>
          </w:p>
        </w:tc>
      </w:tr>
      <w:tr w:rsidR="001F7457" w:rsidRPr="00DA49E9" w14:paraId="607ED661" w14:textId="77777777" w:rsidTr="00E22AB6">
        <w:trPr>
          <w:trHeight w:val="291"/>
        </w:trPr>
        <w:tc>
          <w:tcPr>
            <w:tcW w:w="4537" w:type="dxa"/>
          </w:tcPr>
          <w:p w14:paraId="1EC1B945" w14:textId="78B1B279" w:rsidR="001F7457" w:rsidRPr="00DA49E9" w:rsidRDefault="001F7457" w:rsidP="001F7457">
            <w:pPr>
              <w:pStyle w:val="Paragraph"/>
              <w:ind w:firstLine="0"/>
              <w:jc w:val="center"/>
              <w:rPr>
                <w:color w:val="000000" w:themeColor="text1"/>
              </w:rPr>
            </w:pPr>
            <w:r w:rsidRPr="00DA49E9">
              <w:rPr>
                <w:color w:val="000000" w:themeColor="text1"/>
              </w:rPr>
              <w:t>(a)</w:t>
            </w:r>
          </w:p>
        </w:tc>
        <w:tc>
          <w:tcPr>
            <w:tcW w:w="4819" w:type="dxa"/>
          </w:tcPr>
          <w:p w14:paraId="11F78A3C" w14:textId="35B2F2F9" w:rsidR="001F7457" w:rsidRPr="00DA49E9" w:rsidRDefault="001F7457" w:rsidP="009A114B">
            <w:pPr>
              <w:pStyle w:val="Paragraph"/>
              <w:ind w:firstLine="0"/>
              <w:jc w:val="center"/>
              <w:rPr>
                <w:color w:val="000000" w:themeColor="text1"/>
              </w:rPr>
            </w:pPr>
            <w:r w:rsidRPr="00DA49E9">
              <w:rPr>
                <w:color w:val="000000" w:themeColor="text1"/>
              </w:rPr>
              <w:t>(b)</w:t>
            </w:r>
          </w:p>
        </w:tc>
      </w:tr>
      <w:tr w:rsidR="001F7457" w:rsidRPr="00DA49E9" w14:paraId="4E0B03FB" w14:textId="77777777" w:rsidTr="00D01B8A">
        <w:trPr>
          <w:trHeight w:val="2047"/>
        </w:trPr>
        <w:tc>
          <w:tcPr>
            <w:tcW w:w="4537" w:type="dxa"/>
          </w:tcPr>
          <w:p w14:paraId="6F3DF118" w14:textId="68573DB9" w:rsidR="001F7457" w:rsidRPr="00DA49E9" w:rsidRDefault="00E06C85" w:rsidP="009A114B">
            <w:pPr>
              <w:pStyle w:val="Paragraph"/>
              <w:ind w:firstLine="0"/>
              <w:jc w:val="center"/>
              <w:rPr>
                <w:color w:val="000000" w:themeColor="text1"/>
              </w:rPr>
            </w:pPr>
            <w:r>
              <w:pict w14:anchorId="62F18AC8">
                <v:shape id="_x0000_i1030" type="#_x0000_t75" style="width:211.7pt;height:106.4pt">
                  <v:imagedata r:id="rId15" o:title=""/>
                </v:shape>
              </w:pict>
            </w:r>
          </w:p>
        </w:tc>
        <w:tc>
          <w:tcPr>
            <w:tcW w:w="4819" w:type="dxa"/>
          </w:tcPr>
          <w:p w14:paraId="48A71CDC" w14:textId="38BEBE43" w:rsidR="001F7457" w:rsidRPr="00DA49E9" w:rsidRDefault="00E06C85" w:rsidP="009A114B">
            <w:pPr>
              <w:pStyle w:val="Paragraph"/>
              <w:ind w:firstLine="0"/>
              <w:jc w:val="center"/>
              <w:rPr>
                <w:color w:val="000000" w:themeColor="text1"/>
              </w:rPr>
            </w:pPr>
            <w:r>
              <w:pict w14:anchorId="3CBD43B2">
                <v:shape id="_x0000_i1031" type="#_x0000_t75" style="width:205.25pt;height:109.6pt">
                  <v:imagedata r:id="rId16" o:title=""/>
                </v:shape>
              </w:pict>
            </w:r>
          </w:p>
        </w:tc>
      </w:tr>
      <w:tr w:rsidR="001F7457" w:rsidRPr="00DA49E9" w14:paraId="16DA9B19" w14:textId="77777777" w:rsidTr="00E22AB6">
        <w:trPr>
          <w:trHeight w:val="291"/>
        </w:trPr>
        <w:tc>
          <w:tcPr>
            <w:tcW w:w="4537" w:type="dxa"/>
          </w:tcPr>
          <w:p w14:paraId="7B6CA474" w14:textId="4279B4C5" w:rsidR="001F7457" w:rsidRPr="00DA49E9" w:rsidRDefault="001F7457" w:rsidP="009A114B">
            <w:pPr>
              <w:pStyle w:val="Paragraph"/>
              <w:ind w:firstLine="0"/>
              <w:jc w:val="center"/>
              <w:rPr>
                <w:color w:val="000000" w:themeColor="text1"/>
              </w:rPr>
            </w:pPr>
            <w:r w:rsidRPr="00DA49E9">
              <w:rPr>
                <w:color w:val="000000" w:themeColor="text1"/>
              </w:rPr>
              <w:t>(c)</w:t>
            </w:r>
          </w:p>
        </w:tc>
        <w:tc>
          <w:tcPr>
            <w:tcW w:w="4819" w:type="dxa"/>
          </w:tcPr>
          <w:p w14:paraId="6DA966D3" w14:textId="44765C45" w:rsidR="001F7457" w:rsidRPr="00DA49E9" w:rsidRDefault="001F7457" w:rsidP="009A114B">
            <w:pPr>
              <w:pStyle w:val="Paragraph"/>
              <w:ind w:firstLine="0"/>
              <w:jc w:val="center"/>
              <w:rPr>
                <w:color w:val="000000" w:themeColor="text1"/>
              </w:rPr>
            </w:pPr>
            <w:r w:rsidRPr="00DA49E9">
              <w:rPr>
                <w:color w:val="000000" w:themeColor="text1"/>
              </w:rPr>
              <w:t>(d)</w:t>
            </w:r>
          </w:p>
        </w:tc>
      </w:tr>
    </w:tbl>
    <w:p w14:paraId="00B4C704" w14:textId="7929E7FB" w:rsidR="00451578" w:rsidRPr="00DA49E9" w:rsidRDefault="00451578" w:rsidP="00524170">
      <w:pPr>
        <w:pStyle w:val="FigureCaption"/>
        <w:rPr>
          <w:color w:val="000000" w:themeColor="text1"/>
        </w:rPr>
      </w:pPr>
      <w:r w:rsidRPr="00DA49E9">
        <w:rPr>
          <w:b/>
          <w:caps/>
          <w:color w:val="000000" w:themeColor="text1"/>
        </w:rPr>
        <w:t xml:space="preserve">Figure </w:t>
      </w:r>
      <w:r w:rsidR="00505B2D" w:rsidRPr="00DA49E9">
        <w:rPr>
          <w:b/>
          <w:caps/>
          <w:color w:val="000000" w:themeColor="text1"/>
        </w:rPr>
        <w:t>2</w:t>
      </w:r>
      <w:r w:rsidRPr="00DA49E9">
        <w:rPr>
          <w:b/>
          <w:caps/>
          <w:color w:val="000000" w:themeColor="text1"/>
        </w:rPr>
        <w:t>.</w:t>
      </w:r>
      <w:r w:rsidRPr="00DA49E9">
        <w:rPr>
          <w:color w:val="000000" w:themeColor="text1"/>
        </w:rPr>
        <w:t xml:space="preserve"> Structural configurations of a hybrid energy storage system: (a) passive topology</w:t>
      </w:r>
      <w:r w:rsidR="00FE6CB6" w:rsidRPr="00DA49E9">
        <w:rPr>
          <w:color w:val="000000" w:themeColor="text1"/>
        </w:rPr>
        <w:t>;</w:t>
      </w:r>
      <w:r w:rsidRPr="00DA49E9">
        <w:rPr>
          <w:color w:val="000000" w:themeColor="text1"/>
        </w:rPr>
        <w:t xml:space="preserve"> (b) semi-active topology with supercapacitor control</w:t>
      </w:r>
      <w:r w:rsidR="00FE6CB6" w:rsidRPr="00DA49E9">
        <w:rPr>
          <w:color w:val="000000" w:themeColor="text1"/>
        </w:rPr>
        <w:t>;</w:t>
      </w:r>
      <w:r w:rsidRPr="00DA49E9">
        <w:rPr>
          <w:color w:val="000000" w:themeColor="text1"/>
        </w:rPr>
        <w:t xml:space="preserve"> (c) semi-active topology with battery control</w:t>
      </w:r>
      <w:r w:rsidR="00FE6CB6" w:rsidRPr="00DA49E9">
        <w:rPr>
          <w:color w:val="000000" w:themeColor="text1"/>
        </w:rPr>
        <w:t>;</w:t>
      </w:r>
      <w:r w:rsidRPr="00DA49E9">
        <w:rPr>
          <w:color w:val="000000" w:themeColor="text1"/>
        </w:rPr>
        <w:t xml:space="preserve"> (d) active topology</w:t>
      </w:r>
      <w:r w:rsidR="00F95B0D" w:rsidRPr="00DA49E9">
        <w:rPr>
          <w:color w:val="000000" w:themeColor="text1"/>
        </w:rPr>
        <w:t>.</w:t>
      </w:r>
      <w:r w:rsidRPr="00DA49E9">
        <w:rPr>
          <w:color w:val="000000" w:themeColor="text1"/>
        </w:rPr>
        <w:t xml:space="preserve"> </w:t>
      </w:r>
    </w:p>
    <w:p w14:paraId="2EB8F9CF" w14:textId="77777777" w:rsidR="00643662" w:rsidRPr="00DA49E9" w:rsidRDefault="00643662" w:rsidP="00643662">
      <w:pPr>
        <w:pStyle w:val="Paragraph"/>
        <w:widowControl w:val="0"/>
        <w:rPr>
          <w:color w:val="000000" w:themeColor="text1"/>
        </w:rPr>
      </w:pPr>
    </w:p>
    <w:p w14:paraId="02D4E6D9" w14:textId="3CA8B1C7" w:rsidR="00643662" w:rsidRPr="00DA49E9" w:rsidRDefault="00643662" w:rsidP="00643662">
      <w:pPr>
        <w:pStyle w:val="Paragraph"/>
        <w:widowControl w:val="0"/>
        <w:rPr>
          <w:color w:val="000000" w:themeColor="text1"/>
        </w:rPr>
      </w:pPr>
      <w:r w:rsidRPr="00DA49E9">
        <w:rPr>
          <w:color w:val="000000" w:themeColor="text1"/>
        </w:rPr>
        <w:t>To complement the discussion of circuit solutions, a comparative evaluation of passive, semi-active, and active hybrid energy storage system topologies is presented in Table 2. The comparison is based on key performance indicators frequently reported in the literature [28, 29], including energy recovery efficiency, battery current ripple reduction, cost, mass, and packaging flexibility.</w:t>
      </w:r>
    </w:p>
    <w:p w14:paraId="23CC0989" w14:textId="77777777" w:rsidR="00893A85" w:rsidRPr="00DA49E9" w:rsidRDefault="00893A85" w:rsidP="00505B2D">
      <w:pPr>
        <w:pStyle w:val="aa"/>
        <w:shd w:val="clear" w:color="auto" w:fill="FFFFFF"/>
        <w:spacing w:before="0" w:beforeAutospacing="0" w:after="0" w:afterAutospacing="0"/>
        <w:ind w:firstLine="284"/>
        <w:jc w:val="both"/>
        <w:rPr>
          <w:color w:val="000000" w:themeColor="text1"/>
          <w:sz w:val="20"/>
          <w:szCs w:val="20"/>
          <w:lang w:val="en-US"/>
        </w:rPr>
      </w:pPr>
    </w:p>
    <w:tbl>
      <w:tblPr>
        <w:tblW w:w="0" w:type="auto"/>
        <w:jc w:val="center"/>
        <w:tblBorders>
          <w:bottom w:val="single" w:sz="4" w:space="0" w:color="auto"/>
        </w:tblBorders>
        <w:tblLayout w:type="fixed"/>
        <w:tblLook w:val="0000" w:firstRow="0" w:lastRow="0" w:firstColumn="0" w:lastColumn="0" w:noHBand="0" w:noVBand="0"/>
      </w:tblPr>
      <w:tblGrid>
        <w:gridCol w:w="9074"/>
      </w:tblGrid>
      <w:tr w:rsidR="00292C4D" w:rsidRPr="00DA49E9" w14:paraId="105B1441" w14:textId="77777777" w:rsidTr="009F1129">
        <w:trPr>
          <w:cantSplit/>
          <w:trHeight w:val="211"/>
          <w:jc w:val="center"/>
        </w:trPr>
        <w:tc>
          <w:tcPr>
            <w:tcW w:w="9074" w:type="dxa"/>
            <w:tcBorders>
              <w:bottom w:val="nil"/>
            </w:tcBorders>
          </w:tcPr>
          <w:p w14:paraId="1F90C826" w14:textId="266B3A90" w:rsidR="00292C4D" w:rsidRPr="00DA49E9" w:rsidRDefault="00292C4D" w:rsidP="00292C4D">
            <w:pPr>
              <w:pStyle w:val="TableCaption"/>
              <w:rPr>
                <w:color w:val="000000" w:themeColor="text1"/>
              </w:rPr>
            </w:pPr>
            <w:r w:rsidRPr="00DA49E9">
              <w:rPr>
                <w:b/>
                <w:color w:val="000000" w:themeColor="text1"/>
              </w:rPr>
              <w:t xml:space="preserve">TABLE 2. </w:t>
            </w:r>
            <w:r w:rsidR="00E9046C" w:rsidRPr="00DA49E9">
              <w:rPr>
                <w:rFonts w:eastAsia="Calibri"/>
                <w:color w:val="000000" w:themeColor="text1"/>
              </w:rPr>
              <w:t>Comparative analysis of hybrid energy storage system t</w:t>
            </w:r>
            <w:r w:rsidR="00E02C9F" w:rsidRPr="00DA49E9">
              <w:rPr>
                <w:rFonts w:eastAsia="Calibri"/>
                <w:color w:val="000000" w:themeColor="text1"/>
              </w:rPr>
              <w:t>opologies for electric vehicles</w:t>
            </w:r>
          </w:p>
        </w:tc>
      </w:tr>
    </w:tbl>
    <w:tbl>
      <w:tblPr>
        <w:tblStyle w:val="a9"/>
        <w:tblW w:w="0" w:type="auto"/>
        <w:tblLook w:val="04A0" w:firstRow="1" w:lastRow="0" w:firstColumn="1" w:lastColumn="0" w:noHBand="0" w:noVBand="1"/>
      </w:tblPr>
      <w:tblGrid>
        <w:gridCol w:w="1159"/>
        <w:gridCol w:w="1213"/>
        <w:gridCol w:w="1163"/>
        <w:gridCol w:w="1281"/>
        <w:gridCol w:w="1030"/>
        <w:gridCol w:w="1148"/>
        <w:gridCol w:w="1166"/>
        <w:gridCol w:w="1256"/>
      </w:tblGrid>
      <w:tr w:rsidR="00C12159" w:rsidRPr="00DA49E9" w14:paraId="55F752D7" w14:textId="77777777" w:rsidTr="00C12159">
        <w:tc>
          <w:tcPr>
            <w:tcW w:w="1191" w:type="dxa"/>
            <w:tcBorders>
              <w:left w:val="nil"/>
              <w:bottom w:val="single" w:sz="4" w:space="0" w:color="auto"/>
              <w:right w:val="nil"/>
            </w:tcBorders>
            <w:tcMar>
              <w:left w:w="28" w:type="dxa"/>
              <w:right w:w="28" w:type="dxa"/>
            </w:tcMar>
            <w:vAlign w:val="center"/>
          </w:tcPr>
          <w:p w14:paraId="56AD8124" w14:textId="78ED741F" w:rsidR="00292C4D" w:rsidRPr="00DA49E9" w:rsidRDefault="00292C4D" w:rsidP="00E9046C">
            <w:pPr>
              <w:jc w:val="center"/>
              <w:rPr>
                <w:b/>
                <w:color w:val="000000" w:themeColor="text1"/>
                <w:sz w:val="18"/>
                <w:szCs w:val="18"/>
              </w:rPr>
            </w:pPr>
            <w:r w:rsidRPr="00DA49E9">
              <w:rPr>
                <w:b/>
                <w:bCs/>
                <w:sz w:val="18"/>
                <w:szCs w:val="18"/>
                <w:lang w:eastAsia="ru-RU"/>
              </w:rPr>
              <w:t>Topology type</w:t>
            </w:r>
          </w:p>
        </w:tc>
        <w:tc>
          <w:tcPr>
            <w:tcW w:w="1226" w:type="dxa"/>
            <w:tcBorders>
              <w:left w:val="nil"/>
              <w:bottom w:val="single" w:sz="4" w:space="0" w:color="auto"/>
              <w:right w:val="nil"/>
            </w:tcBorders>
            <w:tcMar>
              <w:left w:w="28" w:type="dxa"/>
              <w:right w:w="28" w:type="dxa"/>
            </w:tcMar>
            <w:vAlign w:val="center"/>
          </w:tcPr>
          <w:p w14:paraId="5940219C" w14:textId="3B3AFE0C" w:rsidR="00292C4D" w:rsidRPr="00DA49E9" w:rsidRDefault="00292C4D" w:rsidP="00C12159">
            <w:pPr>
              <w:jc w:val="center"/>
              <w:rPr>
                <w:b/>
                <w:color w:val="000000" w:themeColor="text1"/>
                <w:sz w:val="18"/>
                <w:szCs w:val="18"/>
              </w:rPr>
            </w:pPr>
            <w:r w:rsidRPr="00DA49E9">
              <w:rPr>
                <w:b/>
                <w:bCs/>
                <w:sz w:val="18"/>
                <w:szCs w:val="18"/>
                <w:lang w:eastAsia="ru-RU"/>
              </w:rPr>
              <w:t>Regenerative and energy efficiency</w:t>
            </w:r>
            <w:r w:rsidR="00C12159" w:rsidRPr="00DA49E9">
              <w:rPr>
                <w:b/>
                <w:bCs/>
                <w:sz w:val="18"/>
                <w:szCs w:val="18"/>
                <w:lang w:eastAsia="ru-RU"/>
              </w:rPr>
              <w:t xml:space="preserve">, </w:t>
            </w:r>
            <w:r w:rsidR="00E9046C" w:rsidRPr="00DA49E9">
              <w:rPr>
                <w:b/>
                <w:bCs/>
                <w:sz w:val="18"/>
                <w:szCs w:val="18"/>
                <w:lang w:eastAsia="ru-RU"/>
              </w:rPr>
              <w:t>%</w:t>
            </w:r>
          </w:p>
        </w:tc>
        <w:tc>
          <w:tcPr>
            <w:tcW w:w="1192" w:type="dxa"/>
            <w:tcBorders>
              <w:left w:val="nil"/>
              <w:bottom w:val="single" w:sz="4" w:space="0" w:color="auto"/>
              <w:right w:val="nil"/>
            </w:tcBorders>
            <w:tcMar>
              <w:left w:w="28" w:type="dxa"/>
              <w:right w:w="28" w:type="dxa"/>
            </w:tcMar>
            <w:vAlign w:val="center"/>
          </w:tcPr>
          <w:p w14:paraId="0C564E38" w14:textId="35A80B39" w:rsidR="00292C4D" w:rsidRPr="00DA49E9" w:rsidRDefault="00292C4D" w:rsidP="00C12159">
            <w:pPr>
              <w:jc w:val="center"/>
              <w:rPr>
                <w:b/>
                <w:color w:val="000000" w:themeColor="text1"/>
                <w:sz w:val="18"/>
                <w:szCs w:val="18"/>
              </w:rPr>
            </w:pPr>
            <w:r w:rsidRPr="00DA49E9">
              <w:rPr>
                <w:b/>
                <w:bCs/>
                <w:sz w:val="18"/>
                <w:szCs w:val="18"/>
                <w:lang w:eastAsia="ru-RU"/>
              </w:rPr>
              <w:t>Energy efficiency</w:t>
            </w:r>
            <w:r w:rsidR="00C12159" w:rsidRPr="00DA49E9">
              <w:rPr>
                <w:b/>
                <w:bCs/>
                <w:sz w:val="18"/>
                <w:szCs w:val="18"/>
                <w:lang w:eastAsia="ru-RU"/>
              </w:rPr>
              <w:t xml:space="preserve">, </w:t>
            </w:r>
            <w:r w:rsidRPr="00DA49E9">
              <w:rPr>
                <w:b/>
                <w:bCs/>
                <w:sz w:val="18"/>
                <w:szCs w:val="18"/>
                <w:lang w:eastAsia="ru-RU"/>
              </w:rPr>
              <w:t>%</w:t>
            </w:r>
          </w:p>
        </w:tc>
        <w:tc>
          <w:tcPr>
            <w:tcW w:w="1319" w:type="dxa"/>
            <w:tcBorders>
              <w:left w:val="nil"/>
              <w:bottom w:val="single" w:sz="4" w:space="0" w:color="auto"/>
              <w:right w:val="nil"/>
            </w:tcBorders>
            <w:tcMar>
              <w:left w:w="28" w:type="dxa"/>
              <w:right w:w="28" w:type="dxa"/>
            </w:tcMar>
            <w:vAlign w:val="center"/>
          </w:tcPr>
          <w:p w14:paraId="66036713" w14:textId="6AA1DF88" w:rsidR="00292C4D" w:rsidRPr="00DA49E9" w:rsidRDefault="00292C4D" w:rsidP="00C12159">
            <w:pPr>
              <w:jc w:val="center"/>
              <w:rPr>
                <w:b/>
                <w:color w:val="000000" w:themeColor="text1"/>
                <w:sz w:val="18"/>
                <w:szCs w:val="18"/>
              </w:rPr>
            </w:pPr>
            <w:r w:rsidRPr="00DA49E9">
              <w:rPr>
                <w:b/>
                <w:bCs/>
                <w:sz w:val="18"/>
                <w:szCs w:val="18"/>
                <w:lang w:eastAsia="ru-RU"/>
              </w:rPr>
              <w:t>Battery current ripple reduction</w:t>
            </w:r>
            <w:r w:rsidR="00C12159" w:rsidRPr="00DA49E9">
              <w:rPr>
                <w:b/>
                <w:bCs/>
                <w:sz w:val="18"/>
                <w:szCs w:val="18"/>
                <w:lang w:eastAsia="ru-RU"/>
              </w:rPr>
              <w:t xml:space="preserve">, </w:t>
            </w:r>
            <w:r w:rsidR="00E9046C" w:rsidRPr="00DA49E9">
              <w:rPr>
                <w:b/>
                <w:bCs/>
                <w:sz w:val="18"/>
                <w:szCs w:val="18"/>
                <w:lang w:eastAsia="ru-RU"/>
              </w:rPr>
              <w:t>%</w:t>
            </w:r>
          </w:p>
        </w:tc>
        <w:tc>
          <w:tcPr>
            <w:tcW w:w="1055" w:type="dxa"/>
            <w:tcBorders>
              <w:left w:val="nil"/>
              <w:bottom w:val="single" w:sz="4" w:space="0" w:color="auto"/>
              <w:right w:val="nil"/>
            </w:tcBorders>
            <w:tcMar>
              <w:left w:w="28" w:type="dxa"/>
              <w:right w:w="28" w:type="dxa"/>
            </w:tcMar>
            <w:vAlign w:val="center"/>
          </w:tcPr>
          <w:p w14:paraId="2B962E9A" w14:textId="482A2F97" w:rsidR="00292C4D" w:rsidRPr="00DA49E9" w:rsidRDefault="00292C4D" w:rsidP="00E9046C">
            <w:pPr>
              <w:jc w:val="center"/>
              <w:rPr>
                <w:b/>
                <w:color w:val="000000" w:themeColor="text1"/>
                <w:sz w:val="18"/>
                <w:szCs w:val="18"/>
              </w:rPr>
            </w:pPr>
            <w:r w:rsidRPr="00DA49E9">
              <w:rPr>
                <w:b/>
                <w:bCs/>
                <w:sz w:val="18"/>
                <w:szCs w:val="18"/>
                <w:lang w:eastAsia="ru-RU"/>
              </w:rPr>
              <w:t>Cost</w:t>
            </w:r>
          </w:p>
        </w:tc>
        <w:tc>
          <w:tcPr>
            <w:tcW w:w="1183" w:type="dxa"/>
            <w:tcBorders>
              <w:left w:val="nil"/>
              <w:bottom w:val="single" w:sz="4" w:space="0" w:color="auto"/>
              <w:right w:val="nil"/>
            </w:tcBorders>
            <w:tcMar>
              <w:left w:w="28" w:type="dxa"/>
              <w:right w:w="28" w:type="dxa"/>
            </w:tcMar>
            <w:vAlign w:val="center"/>
          </w:tcPr>
          <w:p w14:paraId="3B869699" w14:textId="15709A23" w:rsidR="00292C4D" w:rsidRPr="00DA49E9" w:rsidRDefault="00292C4D" w:rsidP="00E9046C">
            <w:pPr>
              <w:jc w:val="center"/>
              <w:rPr>
                <w:b/>
                <w:color w:val="000000" w:themeColor="text1"/>
                <w:sz w:val="18"/>
                <w:szCs w:val="18"/>
              </w:rPr>
            </w:pPr>
            <w:r w:rsidRPr="00DA49E9">
              <w:rPr>
                <w:b/>
                <w:bCs/>
                <w:sz w:val="18"/>
                <w:szCs w:val="18"/>
                <w:lang w:eastAsia="ru-RU"/>
              </w:rPr>
              <w:t>Mass</w:t>
            </w:r>
          </w:p>
        </w:tc>
        <w:tc>
          <w:tcPr>
            <w:tcW w:w="1193" w:type="dxa"/>
            <w:tcBorders>
              <w:left w:val="nil"/>
              <w:bottom w:val="single" w:sz="4" w:space="0" w:color="auto"/>
              <w:right w:val="nil"/>
            </w:tcBorders>
            <w:tcMar>
              <w:left w:w="28" w:type="dxa"/>
              <w:right w:w="28" w:type="dxa"/>
            </w:tcMar>
            <w:vAlign w:val="center"/>
          </w:tcPr>
          <w:p w14:paraId="354C3E74" w14:textId="708FC866" w:rsidR="00292C4D" w:rsidRPr="00DA49E9" w:rsidRDefault="00292C4D" w:rsidP="00E9046C">
            <w:pPr>
              <w:jc w:val="center"/>
              <w:rPr>
                <w:b/>
                <w:color w:val="000000" w:themeColor="text1"/>
                <w:sz w:val="18"/>
                <w:szCs w:val="18"/>
              </w:rPr>
            </w:pPr>
            <w:r w:rsidRPr="00DA49E9">
              <w:rPr>
                <w:b/>
                <w:bCs/>
                <w:sz w:val="18"/>
                <w:szCs w:val="18"/>
                <w:lang w:eastAsia="ru-RU"/>
              </w:rPr>
              <w:t>Packaging flexibility</w:t>
            </w:r>
          </w:p>
        </w:tc>
        <w:tc>
          <w:tcPr>
            <w:tcW w:w="1217" w:type="dxa"/>
            <w:tcBorders>
              <w:left w:val="nil"/>
              <w:bottom w:val="single" w:sz="4" w:space="0" w:color="auto"/>
              <w:right w:val="nil"/>
            </w:tcBorders>
            <w:tcMar>
              <w:left w:w="28" w:type="dxa"/>
              <w:right w:w="28" w:type="dxa"/>
            </w:tcMar>
            <w:vAlign w:val="center"/>
          </w:tcPr>
          <w:p w14:paraId="4904BDEF" w14:textId="7746E17B" w:rsidR="00292C4D" w:rsidRPr="00DA49E9" w:rsidRDefault="00292C4D" w:rsidP="00E9046C">
            <w:pPr>
              <w:jc w:val="center"/>
              <w:rPr>
                <w:b/>
                <w:color w:val="000000" w:themeColor="text1"/>
                <w:sz w:val="18"/>
                <w:szCs w:val="18"/>
              </w:rPr>
            </w:pPr>
            <w:r w:rsidRPr="00DA49E9">
              <w:rPr>
                <w:b/>
                <w:bCs/>
                <w:sz w:val="18"/>
                <w:szCs w:val="18"/>
                <w:lang w:eastAsia="ru-RU"/>
              </w:rPr>
              <w:t>Applicability in EVs</w:t>
            </w:r>
          </w:p>
        </w:tc>
      </w:tr>
      <w:tr w:rsidR="00C12159" w:rsidRPr="00DA49E9" w14:paraId="5F980240" w14:textId="77777777" w:rsidTr="00C12159">
        <w:tc>
          <w:tcPr>
            <w:tcW w:w="1191" w:type="dxa"/>
            <w:tcBorders>
              <w:left w:val="nil"/>
              <w:bottom w:val="nil"/>
              <w:right w:val="nil"/>
            </w:tcBorders>
            <w:tcMar>
              <w:left w:w="28" w:type="dxa"/>
              <w:right w:w="28" w:type="dxa"/>
            </w:tcMar>
            <w:vAlign w:val="center"/>
          </w:tcPr>
          <w:p w14:paraId="0C31D3DB" w14:textId="7208441B" w:rsidR="00E9046C" w:rsidRPr="00DA49E9" w:rsidRDefault="00E9046C" w:rsidP="0043512E">
            <w:pPr>
              <w:jc w:val="center"/>
              <w:rPr>
                <w:b/>
                <w:color w:val="000000" w:themeColor="text1"/>
                <w:sz w:val="20"/>
              </w:rPr>
            </w:pPr>
            <w:r w:rsidRPr="00DA49E9">
              <w:rPr>
                <w:sz w:val="20"/>
                <w:lang w:eastAsia="ru-RU"/>
              </w:rPr>
              <w:t>Passive</w:t>
            </w:r>
          </w:p>
        </w:tc>
        <w:tc>
          <w:tcPr>
            <w:tcW w:w="1226" w:type="dxa"/>
            <w:tcBorders>
              <w:left w:val="nil"/>
              <w:bottom w:val="nil"/>
              <w:right w:val="nil"/>
            </w:tcBorders>
            <w:tcMar>
              <w:left w:w="28" w:type="dxa"/>
              <w:right w:w="28" w:type="dxa"/>
            </w:tcMar>
            <w:vAlign w:val="center"/>
          </w:tcPr>
          <w:p w14:paraId="6E99328D" w14:textId="254D2254" w:rsidR="00E9046C" w:rsidRPr="00DA49E9" w:rsidRDefault="00E9046C" w:rsidP="0043512E">
            <w:pPr>
              <w:jc w:val="center"/>
              <w:rPr>
                <w:b/>
                <w:color w:val="000000" w:themeColor="text1"/>
                <w:sz w:val="20"/>
              </w:rPr>
            </w:pPr>
            <w:r w:rsidRPr="00DA49E9">
              <w:rPr>
                <w:sz w:val="20"/>
                <w:lang w:eastAsia="ru-RU"/>
              </w:rPr>
              <w:t>~60</w:t>
            </w:r>
          </w:p>
        </w:tc>
        <w:tc>
          <w:tcPr>
            <w:tcW w:w="1192" w:type="dxa"/>
            <w:tcBorders>
              <w:left w:val="nil"/>
              <w:bottom w:val="nil"/>
              <w:right w:val="nil"/>
            </w:tcBorders>
            <w:tcMar>
              <w:left w:w="28" w:type="dxa"/>
              <w:right w:w="28" w:type="dxa"/>
            </w:tcMar>
            <w:vAlign w:val="center"/>
          </w:tcPr>
          <w:p w14:paraId="06353BB2" w14:textId="5656493C" w:rsidR="00E9046C" w:rsidRPr="00DA49E9" w:rsidRDefault="00E9046C" w:rsidP="0043512E">
            <w:pPr>
              <w:jc w:val="center"/>
              <w:rPr>
                <w:b/>
                <w:color w:val="000000" w:themeColor="text1"/>
                <w:sz w:val="20"/>
              </w:rPr>
            </w:pPr>
            <w:r w:rsidRPr="00DA49E9">
              <w:rPr>
                <w:sz w:val="20"/>
                <w:lang w:eastAsia="ru-RU"/>
              </w:rPr>
              <w:t>85</w:t>
            </w:r>
          </w:p>
        </w:tc>
        <w:tc>
          <w:tcPr>
            <w:tcW w:w="1319" w:type="dxa"/>
            <w:tcBorders>
              <w:left w:val="nil"/>
              <w:bottom w:val="nil"/>
              <w:right w:val="nil"/>
            </w:tcBorders>
            <w:tcMar>
              <w:left w:w="28" w:type="dxa"/>
              <w:right w:w="28" w:type="dxa"/>
            </w:tcMar>
            <w:vAlign w:val="center"/>
          </w:tcPr>
          <w:p w14:paraId="433FC181" w14:textId="59B6758B" w:rsidR="00E9046C" w:rsidRPr="00DA49E9" w:rsidRDefault="00E9046C" w:rsidP="0043512E">
            <w:pPr>
              <w:jc w:val="center"/>
              <w:rPr>
                <w:sz w:val="20"/>
                <w:lang w:eastAsia="ru-RU"/>
              </w:rPr>
            </w:pPr>
            <w:r w:rsidRPr="00DA49E9">
              <w:rPr>
                <w:sz w:val="20"/>
                <w:lang w:eastAsia="ru-RU"/>
              </w:rPr>
              <w:t>~20</w:t>
            </w:r>
          </w:p>
        </w:tc>
        <w:tc>
          <w:tcPr>
            <w:tcW w:w="1055" w:type="dxa"/>
            <w:tcBorders>
              <w:left w:val="nil"/>
              <w:bottom w:val="nil"/>
              <w:right w:val="nil"/>
            </w:tcBorders>
            <w:tcMar>
              <w:left w:w="28" w:type="dxa"/>
              <w:right w:w="28" w:type="dxa"/>
            </w:tcMar>
            <w:vAlign w:val="center"/>
          </w:tcPr>
          <w:p w14:paraId="7FEF4149" w14:textId="239D16A8" w:rsidR="00E9046C" w:rsidRPr="00DA49E9" w:rsidRDefault="00E9046C" w:rsidP="0043512E">
            <w:pPr>
              <w:jc w:val="center"/>
              <w:rPr>
                <w:b/>
                <w:color w:val="000000" w:themeColor="text1"/>
                <w:sz w:val="20"/>
              </w:rPr>
            </w:pPr>
            <w:r w:rsidRPr="00DA49E9">
              <w:rPr>
                <w:sz w:val="20"/>
                <w:lang w:eastAsia="ru-RU"/>
              </w:rPr>
              <w:t>Low</w:t>
            </w:r>
          </w:p>
        </w:tc>
        <w:tc>
          <w:tcPr>
            <w:tcW w:w="1183" w:type="dxa"/>
            <w:tcBorders>
              <w:left w:val="nil"/>
              <w:bottom w:val="nil"/>
              <w:right w:val="nil"/>
            </w:tcBorders>
            <w:tcMar>
              <w:left w:w="28" w:type="dxa"/>
              <w:right w:w="28" w:type="dxa"/>
            </w:tcMar>
            <w:vAlign w:val="center"/>
          </w:tcPr>
          <w:p w14:paraId="18A87C0B" w14:textId="5C7AFBCD" w:rsidR="00E9046C" w:rsidRPr="00DA49E9" w:rsidRDefault="00E9046C" w:rsidP="0043512E">
            <w:pPr>
              <w:jc w:val="center"/>
              <w:rPr>
                <w:b/>
                <w:color w:val="000000" w:themeColor="text1"/>
                <w:sz w:val="20"/>
              </w:rPr>
            </w:pPr>
            <w:r w:rsidRPr="00DA49E9">
              <w:rPr>
                <w:sz w:val="20"/>
                <w:lang w:eastAsia="ru-RU"/>
              </w:rPr>
              <w:t>Low</w:t>
            </w:r>
          </w:p>
        </w:tc>
        <w:tc>
          <w:tcPr>
            <w:tcW w:w="1193" w:type="dxa"/>
            <w:tcBorders>
              <w:left w:val="nil"/>
              <w:bottom w:val="nil"/>
              <w:right w:val="nil"/>
            </w:tcBorders>
            <w:tcMar>
              <w:left w:w="28" w:type="dxa"/>
              <w:right w:w="28" w:type="dxa"/>
            </w:tcMar>
            <w:vAlign w:val="center"/>
          </w:tcPr>
          <w:p w14:paraId="12AB627A" w14:textId="751AE054" w:rsidR="00E9046C" w:rsidRPr="00DA49E9" w:rsidRDefault="00E9046C" w:rsidP="0043512E">
            <w:pPr>
              <w:jc w:val="center"/>
              <w:rPr>
                <w:b/>
                <w:color w:val="000000" w:themeColor="text1"/>
                <w:sz w:val="20"/>
              </w:rPr>
            </w:pPr>
            <w:r w:rsidRPr="00DA49E9">
              <w:rPr>
                <w:sz w:val="20"/>
                <w:lang w:eastAsia="ru-RU"/>
              </w:rPr>
              <w:t>Limited</w:t>
            </w:r>
          </w:p>
        </w:tc>
        <w:tc>
          <w:tcPr>
            <w:tcW w:w="1217" w:type="dxa"/>
            <w:tcBorders>
              <w:left w:val="nil"/>
              <w:bottom w:val="nil"/>
              <w:right w:val="nil"/>
            </w:tcBorders>
            <w:tcMar>
              <w:left w:w="28" w:type="dxa"/>
              <w:right w:w="28" w:type="dxa"/>
            </w:tcMar>
            <w:vAlign w:val="center"/>
          </w:tcPr>
          <w:p w14:paraId="53EDA9CD" w14:textId="231CF632" w:rsidR="00E9046C" w:rsidRPr="00DA49E9" w:rsidRDefault="00E9046C" w:rsidP="0043512E">
            <w:pPr>
              <w:jc w:val="center"/>
              <w:rPr>
                <w:b/>
                <w:color w:val="000000" w:themeColor="text1"/>
                <w:sz w:val="20"/>
              </w:rPr>
            </w:pPr>
            <w:r w:rsidRPr="00DA49E9">
              <w:rPr>
                <w:sz w:val="20"/>
                <w:lang w:eastAsia="ru-RU"/>
              </w:rPr>
              <w:t>Limited</w:t>
            </w:r>
          </w:p>
        </w:tc>
      </w:tr>
      <w:tr w:rsidR="00C12159" w:rsidRPr="00DA49E9" w14:paraId="75F43425" w14:textId="77777777" w:rsidTr="00C12159">
        <w:tc>
          <w:tcPr>
            <w:tcW w:w="1191" w:type="dxa"/>
            <w:tcBorders>
              <w:top w:val="nil"/>
              <w:left w:val="nil"/>
              <w:bottom w:val="nil"/>
              <w:right w:val="nil"/>
            </w:tcBorders>
            <w:tcMar>
              <w:left w:w="28" w:type="dxa"/>
              <w:right w:w="28" w:type="dxa"/>
            </w:tcMar>
            <w:vAlign w:val="center"/>
          </w:tcPr>
          <w:p w14:paraId="659B36DA" w14:textId="291DA36C" w:rsidR="00E9046C" w:rsidRPr="00DA49E9" w:rsidRDefault="00E9046C" w:rsidP="0043512E">
            <w:pPr>
              <w:jc w:val="center"/>
              <w:rPr>
                <w:b/>
                <w:color w:val="000000" w:themeColor="text1"/>
                <w:sz w:val="20"/>
              </w:rPr>
            </w:pPr>
            <w:r w:rsidRPr="00DA49E9">
              <w:rPr>
                <w:sz w:val="20"/>
                <w:lang w:eastAsia="ru-RU"/>
              </w:rPr>
              <w:t>Semi-active</w:t>
            </w:r>
          </w:p>
        </w:tc>
        <w:tc>
          <w:tcPr>
            <w:tcW w:w="1226" w:type="dxa"/>
            <w:tcBorders>
              <w:top w:val="nil"/>
              <w:left w:val="nil"/>
              <w:bottom w:val="nil"/>
              <w:right w:val="nil"/>
            </w:tcBorders>
            <w:tcMar>
              <w:left w:w="28" w:type="dxa"/>
              <w:right w:w="28" w:type="dxa"/>
            </w:tcMar>
            <w:vAlign w:val="center"/>
          </w:tcPr>
          <w:p w14:paraId="0E942EBA" w14:textId="601CCDB7" w:rsidR="00E9046C" w:rsidRPr="00DA49E9" w:rsidRDefault="00E9046C" w:rsidP="0043512E">
            <w:pPr>
              <w:jc w:val="center"/>
              <w:rPr>
                <w:b/>
                <w:color w:val="000000" w:themeColor="text1"/>
                <w:sz w:val="20"/>
              </w:rPr>
            </w:pPr>
            <w:r w:rsidRPr="00DA49E9">
              <w:rPr>
                <w:sz w:val="20"/>
                <w:lang w:eastAsia="ru-RU"/>
              </w:rPr>
              <w:t>~75</w:t>
            </w:r>
          </w:p>
        </w:tc>
        <w:tc>
          <w:tcPr>
            <w:tcW w:w="1192" w:type="dxa"/>
            <w:tcBorders>
              <w:top w:val="nil"/>
              <w:left w:val="nil"/>
              <w:bottom w:val="nil"/>
              <w:right w:val="nil"/>
            </w:tcBorders>
            <w:tcMar>
              <w:left w:w="28" w:type="dxa"/>
              <w:right w:w="28" w:type="dxa"/>
            </w:tcMar>
            <w:vAlign w:val="center"/>
          </w:tcPr>
          <w:p w14:paraId="65D14DC4" w14:textId="090F9BC7" w:rsidR="00E9046C" w:rsidRPr="00DA49E9" w:rsidRDefault="00E9046C" w:rsidP="0043512E">
            <w:pPr>
              <w:jc w:val="center"/>
              <w:rPr>
                <w:b/>
                <w:color w:val="000000" w:themeColor="text1"/>
                <w:sz w:val="20"/>
              </w:rPr>
            </w:pPr>
            <w:r w:rsidRPr="00DA49E9">
              <w:rPr>
                <w:sz w:val="20"/>
                <w:lang w:eastAsia="ru-RU"/>
              </w:rPr>
              <w:t>90</w:t>
            </w:r>
          </w:p>
        </w:tc>
        <w:tc>
          <w:tcPr>
            <w:tcW w:w="1319" w:type="dxa"/>
            <w:tcBorders>
              <w:top w:val="nil"/>
              <w:left w:val="nil"/>
              <w:bottom w:val="nil"/>
              <w:right w:val="nil"/>
            </w:tcBorders>
            <w:tcMar>
              <w:left w:w="28" w:type="dxa"/>
              <w:right w:w="28" w:type="dxa"/>
            </w:tcMar>
            <w:vAlign w:val="center"/>
          </w:tcPr>
          <w:p w14:paraId="29A13AE3" w14:textId="42DA105D" w:rsidR="00E9046C" w:rsidRPr="00DA49E9" w:rsidRDefault="00E9046C" w:rsidP="0043512E">
            <w:pPr>
              <w:jc w:val="center"/>
              <w:rPr>
                <w:sz w:val="20"/>
                <w:lang w:eastAsia="ru-RU"/>
              </w:rPr>
            </w:pPr>
            <w:r w:rsidRPr="00DA49E9">
              <w:rPr>
                <w:sz w:val="20"/>
                <w:lang w:eastAsia="ru-RU"/>
              </w:rPr>
              <w:t>~35</w:t>
            </w:r>
          </w:p>
        </w:tc>
        <w:tc>
          <w:tcPr>
            <w:tcW w:w="1055" w:type="dxa"/>
            <w:tcBorders>
              <w:top w:val="nil"/>
              <w:left w:val="nil"/>
              <w:bottom w:val="nil"/>
              <w:right w:val="nil"/>
            </w:tcBorders>
            <w:tcMar>
              <w:left w:w="28" w:type="dxa"/>
              <w:right w:w="28" w:type="dxa"/>
            </w:tcMar>
            <w:vAlign w:val="center"/>
          </w:tcPr>
          <w:p w14:paraId="295CD269" w14:textId="349C4B6D" w:rsidR="00E9046C" w:rsidRPr="00DA49E9" w:rsidRDefault="00E9046C" w:rsidP="0043512E">
            <w:pPr>
              <w:jc w:val="center"/>
              <w:rPr>
                <w:b/>
                <w:color w:val="000000" w:themeColor="text1"/>
                <w:sz w:val="20"/>
              </w:rPr>
            </w:pPr>
            <w:r w:rsidRPr="00DA49E9">
              <w:rPr>
                <w:sz w:val="20"/>
                <w:lang w:eastAsia="ru-RU"/>
              </w:rPr>
              <w:t>Medium</w:t>
            </w:r>
          </w:p>
        </w:tc>
        <w:tc>
          <w:tcPr>
            <w:tcW w:w="1183" w:type="dxa"/>
            <w:tcBorders>
              <w:top w:val="nil"/>
              <w:left w:val="nil"/>
              <w:bottom w:val="nil"/>
              <w:right w:val="nil"/>
            </w:tcBorders>
            <w:tcMar>
              <w:left w:w="28" w:type="dxa"/>
              <w:right w:w="28" w:type="dxa"/>
            </w:tcMar>
            <w:vAlign w:val="center"/>
          </w:tcPr>
          <w:p w14:paraId="6900C59B" w14:textId="6252EBD7" w:rsidR="00E9046C" w:rsidRPr="00DA49E9" w:rsidRDefault="00E9046C" w:rsidP="0043512E">
            <w:pPr>
              <w:jc w:val="center"/>
              <w:rPr>
                <w:b/>
                <w:color w:val="000000" w:themeColor="text1"/>
                <w:sz w:val="20"/>
              </w:rPr>
            </w:pPr>
            <w:r w:rsidRPr="00DA49E9">
              <w:rPr>
                <w:sz w:val="20"/>
                <w:lang w:eastAsia="ru-RU"/>
              </w:rPr>
              <w:t>Medium</w:t>
            </w:r>
          </w:p>
        </w:tc>
        <w:tc>
          <w:tcPr>
            <w:tcW w:w="1193" w:type="dxa"/>
            <w:tcBorders>
              <w:top w:val="nil"/>
              <w:left w:val="nil"/>
              <w:bottom w:val="nil"/>
              <w:right w:val="nil"/>
            </w:tcBorders>
            <w:tcMar>
              <w:left w:w="28" w:type="dxa"/>
              <w:right w:w="28" w:type="dxa"/>
            </w:tcMar>
            <w:vAlign w:val="center"/>
          </w:tcPr>
          <w:p w14:paraId="5DA9C5BD" w14:textId="7551C83D" w:rsidR="00E9046C" w:rsidRPr="00DA49E9" w:rsidRDefault="00E9046C" w:rsidP="0043512E">
            <w:pPr>
              <w:jc w:val="center"/>
              <w:rPr>
                <w:b/>
                <w:color w:val="000000" w:themeColor="text1"/>
                <w:sz w:val="20"/>
              </w:rPr>
            </w:pPr>
            <w:r w:rsidRPr="00DA49E9">
              <w:rPr>
                <w:sz w:val="20"/>
                <w:lang w:eastAsia="ru-RU"/>
              </w:rPr>
              <w:t>Moderate</w:t>
            </w:r>
          </w:p>
        </w:tc>
        <w:tc>
          <w:tcPr>
            <w:tcW w:w="1217" w:type="dxa"/>
            <w:tcBorders>
              <w:top w:val="nil"/>
              <w:left w:val="nil"/>
              <w:bottom w:val="nil"/>
              <w:right w:val="nil"/>
            </w:tcBorders>
            <w:tcMar>
              <w:left w:w="28" w:type="dxa"/>
              <w:right w:w="28" w:type="dxa"/>
            </w:tcMar>
            <w:vAlign w:val="center"/>
          </w:tcPr>
          <w:p w14:paraId="5513DC38" w14:textId="5D7BBCED" w:rsidR="00E9046C" w:rsidRPr="00DA49E9" w:rsidRDefault="00E9046C" w:rsidP="0043512E">
            <w:pPr>
              <w:jc w:val="center"/>
              <w:rPr>
                <w:b/>
                <w:color w:val="000000" w:themeColor="text1"/>
                <w:sz w:val="20"/>
              </w:rPr>
            </w:pPr>
            <w:r w:rsidRPr="00DA49E9">
              <w:rPr>
                <w:sz w:val="20"/>
                <w:lang w:eastAsia="ru-RU"/>
              </w:rPr>
              <w:t>Suitable for small EVs</w:t>
            </w:r>
          </w:p>
        </w:tc>
      </w:tr>
      <w:tr w:rsidR="00C12159" w:rsidRPr="00DA49E9" w14:paraId="15E8BDC8" w14:textId="77777777" w:rsidTr="00C12159">
        <w:tc>
          <w:tcPr>
            <w:tcW w:w="1191" w:type="dxa"/>
            <w:tcBorders>
              <w:top w:val="nil"/>
              <w:left w:val="nil"/>
              <w:right w:val="nil"/>
            </w:tcBorders>
            <w:tcMar>
              <w:left w:w="28" w:type="dxa"/>
              <w:right w:w="28" w:type="dxa"/>
            </w:tcMar>
            <w:vAlign w:val="center"/>
          </w:tcPr>
          <w:p w14:paraId="34816D8C" w14:textId="6F0BC68F" w:rsidR="00E9046C" w:rsidRPr="00DA49E9" w:rsidRDefault="00E9046C" w:rsidP="0043512E">
            <w:pPr>
              <w:jc w:val="center"/>
              <w:rPr>
                <w:b/>
                <w:color w:val="000000" w:themeColor="text1"/>
                <w:sz w:val="20"/>
              </w:rPr>
            </w:pPr>
            <w:r w:rsidRPr="00DA49E9">
              <w:rPr>
                <w:sz w:val="20"/>
                <w:lang w:eastAsia="ru-RU"/>
              </w:rPr>
              <w:t>Active</w:t>
            </w:r>
          </w:p>
        </w:tc>
        <w:tc>
          <w:tcPr>
            <w:tcW w:w="1226" w:type="dxa"/>
            <w:tcBorders>
              <w:top w:val="nil"/>
              <w:left w:val="nil"/>
              <w:right w:val="nil"/>
            </w:tcBorders>
            <w:tcMar>
              <w:left w:w="28" w:type="dxa"/>
              <w:right w:w="28" w:type="dxa"/>
            </w:tcMar>
            <w:vAlign w:val="center"/>
          </w:tcPr>
          <w:p w14:paraId="6454624F" w14:textId="3FDD73F9" w:rsidR="00E9046C" w:rsidRPr="00DA49E9" w:rsidRDefault="00E9046C" w:rsidP="0043512E">
            <w:pPr>
              <w:jc w:val="center"/>
              <w:rPr>
                <w:b/>
                <w:color w:val="000000" w:themeColor="text1"/>
                <w:sz w:val="20"/>
              </w:rPr>
            </w:pPr>
            <w:r w:rsidRPr="00DA49E9">
              <w:rPr>
                <w:sz w:val="20"/>
                <w:lang w:eastAsia="ru-RU"/>
              </w:rPr>
              <w:t>~85</w:t>
            </w:r>
          </w:p>
        </w:tc>
        <w:tc>
          <w:tcPr>
            <w:tcW w:w="1192" w:type="dxa"/>
            <w:tcBorders>
              <w:top w:val="nil"/>
              <w:left w:val="nil"/>
              <w:right w:val="nil"/>
            </w:tcBorders>
            <w:tcMar>
              <w:left w:w="28" w:type="dxa"/>
              <w:right w:w="28" w:type="dxa"/>
            </w:tcMar>
            <w:vAlign w:val="center"/>
          </w:tcPr>
          <w:p w14:paraId="144C515C" w14:textId="29952C8C" w:rsidR="00E9046C" w:rsidRPr="00DA49E9" w:rsidRDefault="00E9046C" w:rsidP="0043512E">
            <w:pPr>
              <w:jc w:val="center"/>
              <w:rPr>
                <w:b/>
                <w:color w:val="000000" w:themeColor="text1"/>
                <w:sz w:val="20"/>
              </w:rPr>
            </w:pPr>
            <w:r w:rsidRPr="00DA49E9">
              <w:rPr>
                <w:sz w:val="20"/>
                <w:lang w:eastAsia="ru-RU"/>
              </w:rPr>
              <w:t>95</w:t>
            </w:r>
          </w:p>
        </w:tc>
        <w:tc>
          <w:tcPr>
            <w:tcW w:w="1319" w:type="dxa"/>
            <w:tcBorders>
              <w:top w:val="nil"/>
              <w:left w:val="nil"/>
              <w:right w:val="nil"/>
            </w:tcBorders>
            <w:tcMar>
              <w:left w:w="28" w:type="dxa"/>
              <w:right w:w="28" w:type="dxa"/>
            </w:tcMar>
            <w:vAlign w:val="center"/>
          </w:tcPr>
          <w:p w14:paraId="4ED9F609" w14:textId="30A01BDA" w:rsidR="00E9046C" w:rsidRPr="00DA49E9" w:rsidRDefault="00E9046C" w:rsidP="0043512E">
            <w:pPr>
              <w:jc w:val="center"/>
              <w:rPr>
                <w:sz w:val="20"/>
                <w:lang w:eastAsia="ru-RU"/>
              </w:rPr>
            </w:pPr>
            <w:r w:rsidRPr="00DA49E9">
              <w:rPr>
                <w:sz w:val="20"/>
                <w:lang w:eastAsia="ru-RU"/>
              </w:rPr>
              <w:t>~50–60</w:t>
            </w:r>
          </w:p>
        </w:tc>
        <w:tc>
          <w:tcPr>
            <w:tcW w:w="1055" w:type="dxa"/>
            <w:tcBorders>
              <w:top w:val="nil"/>
              <w:left w:val="nil"/>
              <w:right w:val="nil"/>
            </w:tcBorders>
            <w:tcMar>
              <w:left w:w="28" w:type="dxa"/>
              <w:right w:w="28" w:type="dxa"/>
            </w:tcMar>
            <w:vAlign w:val="center"/>
          </w:tcPr>
          <w:p w14:paraId="1AC09947" w14:textId="143AFA98" w:rsidR="00E9046C" w:rsidRPr="00DA49E9" w:rsidRDefault="00E9046C" w:rsidP="0043512E">
            <w:pPr>
              <w:jc w:val="center"/>
              <w:rPr>
                <w:b/>
                <w:color w:val="000000" w:themeColor="text1"/>
                <w:sz w:val="20"/>
              </w:rPr>
            </w:pPr>
            <w:r w:rsidRPr="00DA49E9">
              <w:rPr>
                <w:sz w:val="20"/>
                <w:lang w:eastAsia="ru-RU"/>
              </w:rPr>
              <w:t>High</w:t>
            </w:r>
          </w:p>
        </w:tc>
        <w:tc>
          <w:tcPr>
            <w:tcW w:w="1183" w:type="dxa"/>
            <w:tcBorders>
              <w:top w:val="nil"/>
              <w:left w:val="nil"/>
              <w:right w:val="nil"/>
            </w:tcBorders>
            <w:tcMar>
              <w:left w:w="28" w:type="dxa"/>
              <w:right w:w="28" w:type="dxa"/>
            </w:tcMar>
            <w:vAlign w:val="center"/>
          </w:tcPr>
          <w:p w14:paraId="69C502BF" w14:textId="35AC5E74" w:rsidR="00E9046C" w:rsidRPr="00DA49E9" w:rsidRDefault="00E9046C" w:rsidP="0043512E">
            <w:pPr>
              <w:jc w:val="center"/>
              <w:rPr>
                <w:b/>
                <w:color w:val="000000" w:themeColor="text1"/>
                <w:sz w:val="20"/>
              </w:rPr>
            </w:pPr>
            <w:r w:rsidRPr="00DA49E9">
              <w:rPr>
                <w:sz w:val="20"/>
                <w:lang w:eastAsia="ru-RU"/>
              </w:rPr>
              <w:t>High</w:t>
            </w:r>
          </w:p>
        </w:tc>
        <w:tc>
          <w:tcPr>
            <w:tcW w:w="1193" w:type="dxa"/>
            <w:tcBorders>
              <w:top w:val="nil"/>
              <w:left w:val="nil"/>
              <w:right w:val="nil"/>
            </w:tcBorders>
            <w:tcMar>
              <w:left w:w="28" w:type="dxa"/>
              <w:right w:w="28" w:type="dxa"/>
            </w:tcMar>
            <w:vAlign w:val="center"/>
          </w:tcPr>
          <w:p w14:paraId="46073DF1" w14:textId="30B05BB0" w:rsidR="00E9046C" w:rsidRPr="00DA49E9" w:rsidRDefault="00E9046C" w:rsidP="0043512E">
            <w:pPr>
              <w:jc w:val="center"/>
              <w:rPr>
                <w:b/>
                <w:color w:val="000000" w:themeColor="text1"/>
                <w:sz w:val="20"/>
              </w:rPr>
            </w:pPr>
            <w:r w:rsidRPr="00DA49E9">
              <w:rPr>
                <w:sz w:val="20"/>
                <w:lang w:eastAsia="ru-RU"/>
              </w:rPr>
              <w:t>High</w:t>
            </w:r>
          </w:p>
        </w:tc>
        <w:tc>
          <w:tcPr>
            <w:tcW w:w="1217" w:type="dxa"/>
            <w:tcBorders>
              <w:top w:val="nil"/>
              <w:left w:val="nil"/>
              <w:right w:val="nil"/>
            </w:tcBorders>
            <w:tcMar>
              <w:left w:w="28" w:type="dxa"/>
              <w:right w:w="28" w:type="dxa"/>
            </w:tcMar>
            <w:vAlign w:val="center"/>
          </w:tcPr>
          <w:p w14:paraId="1EE01740" w14:textId="1D6E7A08" w:rsidR="00E9046C" w:rsidRPr="00DA49E9" w:rsidRDefault="00E9046C" w:rsidP="0043512E">
            <w:pPr>
              <w:jc w:val="center"/>
              <w:rPr>
                <w:b/>
                <w:color w:val="000000" w:themeColor="text1"/>
                <w:sz w:val="20"/>
              </w:rPr>
            </w:pPr>
            <w:r w:rsidRPr="00DA49E9">
              <w:rPr>
                <w:sz w:val="20"/>
                <w:lang w:eastAsia="ru-RU"/>
              </w:rPr>
              <w:t>Recommended for EVs</w:t>
            </w:r>
          </w:p>
        </w:tc>
      </w:tr>
    </w:tbl>
    <w:p w14:paraId="5352BBD1" w14:textId="77777777" w:rsidR="00292C4D" w:rsidRPr="00DA49E9" w:rsidRDefault="00292C4D" w:rsidP="00505B2D">
      <w:pPr>
        <w:pStyle w:val="aa"/>
        <w:shd w:val="clear" w:color="auto" w:fill="FFFFFF"/>
        <w:spacing w:before="0" w:beforeAutospacing="0" w:after="0" w:afterAutospacing="0"/>
        <w:ind w:firstLine="284"/>
        <w:jc w:val="both"/>
        <w:rPr>
          <w:color w:val="000000" w:themeColor="text1"/>
          <w:sz w:val="20"/>
          <w:szCs w:val="20"/>
          <w:lang w:val="en-US"/>
        </w:rPr>
      </w:pPr>
    </w:p>
    <w:p w14:paraId="55EA1A70" w14:textId="640CF5B3" w:rsidR="00893A85" w:rsidRPr="00DA49E9" w:rsidRDefault="00E9046C" w:rsidP="00505B2D">
      <w:pPr>
        <w:pStyle w:val="aa"/>
        <w:shd w:val="clear" w:color="auto" w:fill="FFFFFF"/>
        <w:spacing w:before="0" w:beforeAutospacing="0" w:after="0" w:afterAutospacing="0"/>
        <w:ind w:firstLine="284"/>
        <w:jc w:val="both"/>
        <w:rPr>
          <w:color w:val="000000" w:themeColor="text1"/>
          <w:sz w:val="20"/>
          <w:szCs w:val="20"/>
          <w:lang w:val="en-US"/>
        </w:rPr>
      </w:pPr>
      <w:r w:rsidRPr="00DA49E9">
        <w:rPr>
          <w:color w:val="000000" w:themeColor="text1"/>
          <w:sz w:val="20"/>
          <w:szCs w:val="20"/>
          <w:lang w:val="en-US"/>
        </w:rPr>
        <w:t>The results indicate that passive topologies, while simple and low-cost, provide only limited efficiency and flexibility, making them suitable only for small-scale applications. Semi-active topologies offer moderate improvements but remain constrained in scalability. Active topologies, despite their higher hardware and control complexity, deliver superior performance across efficiency, current ripple reduction, and packaging flexibility, and are therefore considered the most suitable option for modern electric vehicles.</w:t>
      </w:r>
    </w:p>
    <w:p w14:paraId="440E1BA5" w14:textId="3BF774CB" w:rsidR="00893A85" w:rsidRPr="00DA49E9" w:rsidRDefault="00893A85" w:rsidP="00505B2D">
      <w:pPr>
        <w:pStyle w:val="aa"/>
        <w:shd w:val="clear" w:color="auto" w:fill="FFFFFF"/>
        <w:spacing w:before="0" w:beforeAutospacing="0" w:after="0" w:afterAutospacing="0"/>
        <w:ind w:firstLine="284"/>
        <w:jc w:val="both"/>
        <w:rPr>
          <w:color w:val="000000" w:themeColor="text1"/>
          <w:sz w:val="20"/>
          <w:szCs w:val="20"/>
          <w:lang w:val="en-US"/>
        </w:rPr>
      </w:pPr>
      <w:r w:rsidRPr="00DA49E9">
        <w:rPr>
          <w:color w:val="000000" w:themeColor="text1"/>
          <w:sz w:val="20"/>
          <w:szCs w:val="20"/>
          <w:lang w:val="en-US"/>
        </w:rPr>
        <w:t>Figure 3 illustrates the circuit diagram of the HESS, which comprises two bidirectional DC/DC converters, each consisting of two IGBT transistors (T1, T2) and a single inductor (L) that stores and releases electrical energy. The operating mode of the DC/DC converter depends on the system’s power demand and the state of charge of both the battery and the supercapacitor.</w:t>
      </w:r>
    </w:p>
    <w:p w14:paraId="1F48550F" w14:textId="3C63905A" w:rsidR="00E22AB6" w:rsidRPr="00DA49E9" w:rsidRDefault="00643662" w:rsidP="00505B2D">
      <w:pPr>
        <w:pStyle w:val="aa"/>
        <w:shd w:val="clear" w:color="auto" w:fill="FFFFFF"/>
        <w:spacing w:before="0" w:beforeAutospacing="0" w:after="0" w:afterAutospacing="0"/>
        <w:ind w:firstLine="284"/>
        <w:jc w:val="both"/>
        <w:rPr>
          <w:color w:val="000000" w:themeColor="text1"/>
          <w:sz w:val="20"/>
          <w:szCs w:val="20"/>
          <w:lang w:val="en-US"/>
        </w:rPr>
      </w:pPr>
      <w:r w:rsidRPr="00DA49E9">
        <w:rPr>
          <w:color w:val="000000" w:themeColor="text1"/>
          <w:sz w:val="20"/>
          <w:szCs w:val="20"/>
          <w:lang w:val="en-US"/>
        </w:rPr>
        <w:t>The energy management system (ЕМS) of the HESS enhances power management by effectively distributing energy between the supercapacitors and the battery. Furthermore, control strategies such as proportional-integral-derivative (PID) regulators are employed to optimize energy consumption, thereby maximizing system efficiency and reliability. In addition, the EMS enables rapid energy discharge from the supercapacitors while providing sustained energy supply from the battery, which improves the overall stability of the system and enhances the dynamic performance of the electric vehicle.</w:t>
      </w:r>
    </w:p>
    <w:p w14:paraId="5F21BA13" w14:textId="3EBD3126" w:rsidR="0073331E" w:rsidRPr="00DA49E9" w:rsidRDefault="00176114" w:rsidP="009009C4">
      <w:pPr>
        <w:pStyle w:val="Paragraph"/>
        <w:ind w:firstLine="0"/>
        <w:jc w:val="center"/>
      </w:pPr>
      <w:r w:rsidRPr="00DA49E9">
        <w:rPr>
          <w:noProof/>
          <w:lang w:val="ru-RU" w:eastAsia="ru-RU"/>
        </w:rPr>
        <w:lastRenderedPageBreak/>
        <w:drawing>
          <wp:inline distT="0" distB="0" distL="0" distR="0" wp14:anchorId="7E21FCB6" wp14:editId="56FE5879">
            <wp:extent cx="3400425" cy="2504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0755" cy="2548802"/>
                    </a:xfrm>
                    <a:prstGeom prst="rect">
                      <a:avLst/>
                    </a:prstGeom>
                    <a:noFill/>
                    <a:ln>
                      <a:noFill/>
                    </a:ln>
                  </pic:spPr>
                </pic:pic>
              </a:graphicData>
            </a:graphic>
          </wp:inline>
        </w:drawing>
      </w:r>
    </w:p>
    <w:p w14:paraId="50609CCD" w14:textId="1C2247E6" w:rsidR="0062646B" w:rsidRPr="00DA49E9" w:rsidRDefault="0073331E" w:rsidP="009009C4">
      <w:pPr>
        <w:pStyle w:val="Paragraph"/>
        <w:ind w:firstLine="0"/>
        <w:jc w:val="center"/>
        <w:rPr>
          <w:color w:val="000000" w:themeColor="text1"/>
          <w:sz w:val="18"/>
          <w:szCs w:val="18"/>
        </w:rPr>
      </w:pPr>
      <w:r w:rsidRPr="00DA49E9">
        <w:rPr>
          <w:b/>
          <w:caps/>
          <w:color w:val="000000" w:themeColor="text1"/>
          <w:sz w:val="18"/>
          <w:szCs w:val="18"/>
        </w:rPr>
        <w:t xml:space="preserve">Figure </w:t>
      </w:r>
      <w:r w:rsidR="009009C4" w:rsidRPr="00DA49E9">
        <w:rPr>
          <w:b/>
          <w:caps/>
          <w:color w:val="000000" w:themeColor="text1"/>
          <w:sz w:val="18"/>
          <w:szCs w:val="18"/>
        </w:rPr>
        <w:t>3</w:t>
      </w:r>
      <w:r w:rsidRPr="00DA49E9">
        <w:rPr>
          <w:b/>
          <w:caps/>
          <w:color w:val="000000" w:themeColor="text1"/>
          <w:sz w:val="18"/>
          <w:szCs w:val="18"/>
        </w:rPr>
        <w:t>.</w:t>
      </w:r>
      <w:r w:rsidRPr="00DA49E9">
        <w:rPr>
          <w:color w:val="000000" w:themeColor="text1"/>
          <w:sz w:val="18"/>
          <w:szCs w:val="18"/>
        </w:rPr>
        <w:t xml:space="preserve"> Structural configurations of the hybrid energy storage system</w:t>
      </w:r>
      <w:r w:rsidR="00C90565" w:rsidRPr="00DA49E9">
        <w:rPr>
          <w:color w:val="000000" w:themeColor="text1"/>
          <w:sz w:val="18"/>
          <w:szCs w:val="18"/>
        </w:rPr>
        <w:t>.</w:t>
      </w:r>
    </w:p>
    <w:p w14:paraId="2F9D8062" w14:textId="77777777" w:rsidR="00381F51" w:rsidRPr="00DA49E9" w:rsidRDefault="00381F51" w:rsidP="009009C4">
      <w:pPr>
        <w:pStyle w:val="Paragraph"/>
        <w:ind w:firstLine="0"/>
        <w:jc w:val="center"/>
        <w:rPr>
          <w:color w:val="000000" w:themeColor="text1"/>
          <w:sz w:val="18"/>
          <w:szCs w:val="18"/>
        </w:rPr>
      </w:pPr>
    </w:p>
    <w:p w14:paraId="4BF6E40C" w14:textId="03CE1EC0" w:rsidR="00633C6D" w:rsidRPr="00DA49E9" w:rsidRDefault="00633C6D" w:rsidP="002119B6">
      <w:pPr>
        <w:pStyle w:val="aa"/>
        <w:shd w:val="clear" w:color="auto" w:fill="FFFFFF"/>
        <w:spacing w:before="0" w:beforeAutospacing="0" w:after="0" w:afterAutospacing="0"/>
        <w:ind w:firstLine="284"/>
        <w:jc w:val="both"/>
        <w:rPr>
          <w:color w:val="000000" w:themeColor="text1"/>
          <w:sz w:val="20"/>
          <w:szCs w:val="20"/>
          <w:lang w:val="en-US"/>
        </w:rPr>
      </w:pPr>
      <w:r w:rsidRPr="00DA49E9">
        <w:rPr>
          <w:color w:val="000000" w:themeColor="text1"/>
          <w:sz w:val="20"/>
          <w:szCs w:val="20"/>
          <w:lang w:val="en-US"/>
        </w:rPr>
        <w:t>Through two bidirectional DC/DC converters, the lithium-ion battery and the supercapacitor pack are connected to the DC bus to supply power to the DC/AC inverter, which is integrated into the electric motor control system. The DC/AC inverter converts direct current into alternating current to drive the electric motor, which in turn propels the electric vehicle via the transmission system.</w:t>
      </w:r>
    </w:p>
    <w:p w14:paraId="6AAB5DAA" w14:textId="59976D29" w:rsidR="002119B6" w:rsidRPr="00DA49E9" w:rsidRDefault="002119B6" w:rsidP="002119B6">
      <w:pPr>
        <w:pStyle w:val="aa"/>
        <w:shd w:val="clear" w:color="auto" w:fill="FFFFFF"/>
        <w:spacing w:before="0" w:beforeAutospacing="0" w:after="0" w:afterAutospacing="0"/>
        <w:ind w:firstLine="284"/>
        <w:jc w:val="both"/>
        <w:rPr>
          <w:color w:val="000000" w:themeColor="text1"/>
          <w:sz w:val="20"/>
          <w:szCs w:val="20"/>
          <w:lang w:val="en-US"/>
        </w:rPr>
      </w:pPr>
      <w:r w:rsidRPr="00DA49E9">
        <w:rPr>
          <w:color w:val="000000" w:themeColor="text1"/>
          <w:sz w:val="20"/>
          <w:szCs w:val="20"/>
          <w:lang w:val="en-US"/>
        </w:rPr>
        <w:t>The EMS allows the energy to be managed between the two sources based on the state of charge of each source, the vehicle's driving status, and road conditions such as starting, accelerating, decelerating, climbing, or descending.</w:t>
      </w:r>
    </w:p>
    <w:p w14:paraId="4B35200B" w14:textId="77777777" w:rsidR="002119B6" w:rsidRPr="00DA49E9" w:rsidRDefault="002119B6" w:rsidP="002119B6">
      <w:pPr>
        <w:pStyle w:val="aa"/>
        <w:shd w:val="clear" w:color="auto" w:fill="FFFFFF"/>
        <w:spacing w:before="0" w:beforeAutospacing="0" w:after="0" w:afterAutospacing="0"/>
        <w:ind w:firstLine="284"/>
        <w:jc w:val="both"/>
        <w:rPr>
          <w:color w:val="000000" w:themeColor="text1"/>
          <w:sz w:val="20"/>
          <w:szCs w:val="20"/>
          <w:lang w:val="en-US"/>
        </w:rPr>
      </w:pPr>
      <w:r w:rsidRPr="00DA49E9">
        <w:rPr>
          <w:color w:val="000000" w:themeColor="text1"/>
          <w:sz w:val="20"/>
          <w:szCs w:val="20"/>
          <w:lang w:val="en-US"/>
        </w:rPr>
        <w:t>To manage the distribution of electrical energy among different sources in order to meet load demands, numerous studies have been conducted on algorithms for developing energy management strategies. These methods are generally classified into two main categories: rule-based methods, optimization-based methods.</w:t>
      </w:r>
    </w:p>
    <w:p w14:paraId="501B254E" w14:textId="77777777" w:rsidR="002119B6" w:rsidRPr="00DA49E9" w:rsidRDefault="002119B6" w:rsidP="002119B6">
      <w:pPr>
        <w:pStyle w:val="aa"/>
        <w:shd w:val="clear" w:color="auto" w:fill="FFFFFF"/>
        <w:spacing w:before="0" w:beforeAutospacing="0" w:after="0" w:afterAutospacing="0"/>
        <w:ind w:firstLine="284"/>
        <w:jc w:val="both"/>
        <w:rPr>
          <w:color w:val="000000" w:themeColor="text1"/>
          <w:sz w:val="20"/>
          <w:szCs w:val="20"/>
          <w:lang w:val="en-US"/>
        </w:rPr>
      </w:pPr>
      <w:r w:rsidRPr="00DA49E9">
        <w:rPr>
          <w:color w:val="000000" w:themeColor="text1"/>
          <w:sz w:val="20"/>
          <w:szCs w:val="20"/>
          <w:lang w:val="en-US"/>
        </w:rPr>
        <w:t xml:space="preserve">Optimization-based approaches can be further divided into two groups: offline global optimization and online local optimization. Representative methods in this category include dynamic programming, neural networks, </w:t>
      </w:r>
      <w:proofErr w:type="spellStart"/>
      <w:r w:rsidRPr="00DA49E9">
        <w:rPr>
          <w:color w:val="000000" w:themeColor="text1"/>
          <w:sz w:val="20"/>
          <w:szCs w:val="20"/>
          <w:lang w:val="en-US"/>
        </w:rPr>
        <w:t>Pontryagin’s</w:t>
      </w:r>
      <w:proofErr w:type="spellEnd"/>
      <w:r w:rsidRPr="00DA49E9">
        <w:rPr>
          <w:color w:val="000000" w:themeColor="text1"/>
          <w:sz w:val="20"/>
          <w:szCs w:val="20"/>
          <w:lang w:val="en-US"/>
        </w:rPr>
        <w:t xml:space="preserve"> Minimum Principle, genetic algorithms, particle swarm optimization, and model predictive control strategies, among others. </w:t>
      </w:r>
    </w:p>
    <w:p w14:paraId="1B1BE01F" w14:textId="3C72FCF9" w:rsidR="002119B6" w:rsidRPr="00DA49E9" w:rsidRDefault="002119B6" w:rsidP="002119B6">
      <w:pPr>
        <w:pStyle w:val="aa"/>
        <w:shd w:val="clear" w:color="auto" w:fill="FFFFFF"/>
        <w:spacing w:before="0" w:beforeAutospacing="0" w:after="0" w:afterAutospacing="0"/>
        <w:ind w:firstLine="284"/>
        <w:jc w:val="both"/>
        <w:rPr>
          <w:color w:val="000000" w:themeColor="text1"/>
          <w:sz w:val="20"/>
          <w:szCs w:val="20"/>
          <w:lang w:val="en-US"/>
        </w:rPr>
      </w:pPr>
      <w:r w:rsidRPr="00DA49E9">
        <w:rPr>
          <w:color w:val="000000" w:themeColor="text1"/>
          <w:sz w:val="20"/>
          <w:szCs w:val="20"/>
          <w:lang w:val="en-US"/>
        </w:rPr>
        <w:t>In the active hybrid energy storage system, the lithium-ion battery serves as the primary power source for the electric drive of the vehicle and is employed to supply energy over relatively long operating periods, whereas the supercapacitor is utilized during peak power demand and regenerative braking in order to alleviate the load on the battery.</w:t>
      </w:r>
    </w:p>
    <w:p w14:paraId="2B7BAC4F" w14:textId="1CAA23B0" w:rsidR="00451578" w:rsidRPr="00DA49E9" w:rsidRDefault="00451578" w:rsidP="002119B6">
      <w:pPr>
        <w:pStyle w:val="aa"/>
        <w:shd w:val="clear" w:color="auto" w:fill="FFFFFF"/>
        <w:spacing w:before="0" w:beforeAutospacing="0" w:after="0" w:afterAutospacing="0"/>
        <w:ind w:firstLine="284"/>
        <w:jc w:val="both"/>
        <w:rPr>
          <w:color w:val="000000" w:themeColor="text1"/>
          <w:lang w:val="en-US"/>
        </w:rPr>
      </w:pPr>
      <w:r w:rsidRPr="00DA49E9">
        <w:rPr>
          <w:color w:val="000000" w:themeColor="text1"/>
          <w:sz w:val="20"/>
          <w:szCs w:val="20"/>
          <w:lang w:val="en-US"/>
        </w:rPr>
        <w:t>The peculiarity of th</w:t>
      </w:r>
      <w:r w:rsidR="002119B6" w:rsidRPr="00DA49E9">
        <w:rPr>
          <w:color w:val="000000" w:themeColor="text1"/>
          <w:sz w:val="20"/>
          <w:szCs w:val="20"/>
          <w:lang w:val="en-US"/>
        </w:rPr>
        <w:t xml:space="preserve">e hybrid energy storage system </w:t>
      </w:r>
      <w:r w:rsidRPr="00DA49E9">
        <w:rPr>
          <w:color w:val="000000" w:themeColor="text1"/>
          <w:sz w:val="20"/>
          <w:szCs w:val="20"/>
          <w:lang w:val="en-US"/>
        </w:rPr>
        <w:t>is that it effectively regulates the voltage of the DC circuit, creating a minimal load on the battery, which leads to an increase in its service life, improved dynamics, increased range and overall efficiency of the electric vehicle.</w:t>
      </w:r>
      <w:r w:rsidRPr="00DA49E9">
        <w:rPr>
          <w:color w:val="000000" w:themeColor="text1"/>
          <w:lang w:val="en-US"/>
        </w:rPr>
        <w:t xml:space="preserve"> </w:t>
      </w:r>
    </w:p>
    <w:p w14:paraId="4A8762CF" w14:textId="5582C6B1" w:rsidR="00451578" w:rsidRPr="00DA49E9" w:rsidRDefault="00451578" w:rsidP="00451578">
      <w:pPr>
        <w:pStyle w:val="aa"/>
        <w:shd w:val="clear" w:color="auto" w:fill="FFFFFF"/>
        <w:spacing w:before="0" w:beforeAutospacing="0" w:after="0" w:afterAutospacing="0"/>
        <w:ind w:firstLine="284"/>
        <w:jc w:val="both"/>
        <w:rPr>
          <w:color w:val="000000" w:themeColor="text1"/>
          <w:sz w:val="20"/>
          <w:szCs w:val="20"/>
          <w:lang w:val="en-US"/>
        </w:rPr>
      </w:pPr>
      <w:r w:rsidRPr="00DA49E9">
        <w:rPr>
          <w:color w:val="000000" w:themeColor="text1"/>
          <w:sz w:val="20"/>
          <w:szCs w:val="20"/>
          <w:lang w:val="en-US"/>
        </w:rPr>
        <w:t xml:space="preserve">Hybrid </w:t>
      </w:r>
      <w:r w:rsidR="008913B1" w:rsidRPr="00DA49E9">
        <w:rPr>
          <w:color w:val="000000" w:themeColor="text1"/>
          <w:sz w:val="20"/>
          <w:szCs w:val="20"/>
          <w:lang w:val="en-US"/>
        </w:rPr>
        <w:t xml:space="preserve">battery-supercapacitor </w:t>
      </w:r>
      <w:r w:rsidRPr="00DA49E9">
        <w:rPr>
          <w:color w:val="000000" w:themeColor="text1"/>
          <w:sz w:val="20"/>
          <w:szCs w:val="20"/>
          <w:lang w:val="en-US"/>
        </w:rPr>
        <w:t xml:space="preserve">energy storage systems for electric vehicles can be effectively utilized when connected to an external power grid via </w:t>
      </w:r>
      <w:r w:rsidR="00381F51" w:rsidRPr="00DA49E9">
        <w:rPr>
          <w:color w:val="000000" w:themeColor="text1"/>
          <w:sz w:val="20"/>
          <w:szCs w:val="20"/>
          <w:lang w:val="en-US"/>
        </w:rPr>
        <w:t>v</w:t>
      </w:r>
      <w:r w:rsidRPr="00DA49E9">
        <w:rPr>
          <w:color w:val="000000" w:themeColor="text1"/>
          <w:sz w:val="20"/>
          <w:szCs w:val="20"/>
          <w:lang w:val="en-US"/>
        </w:rPr>
        <w:t>ehicle-to-</w:t>
      </w:r>
      <w:r w:rsidR="00381F51" w:rsidRPr="00DA49E9">
        <w:rPr>
          <w:color w:val="000000" w:themeColor="text1"/>
          <w:sz w:val="20"/>
          <w:szCs w:val="20"/>
          <w:lang w:val="en-US"/>
        </w:rPr>
        <w:t>g</w:t>
      </w:r>
      <w:r w:rsidRPr="00DA49E9">
        <w:rPr>
          <w:color w:val="000000" w:themeColor="text1"/>
          <w:sz w:val="20"/>
          <w:szCs w:val="20"/>
          <w:lang w:val="en-US"/>
        </w:rPr>
        <w:t>rid (V2G) technology [</w:t>
      </w:r>
      <w:r w:rsidR="00EF01C3" w:rsidRPr="00DA49E9">
        <w:rPr>
          <w:color w:val="000000" w:themeColor="text1"/>
          <w:sz w:val="20"/>
          <w:szCs w:val="20"/>
          <w:lang w:val="en-US"/>
        </w:rPr>
        <w:t>30</w:t>
      </w:r>
      <w:r w:rsidRPr="00DA49E9">
        <w:rPr>
          <w:color w:val="000000" w:themeColor="text1"/>
          <w:sz w:val="20"/>
          <w:szCs w:val="20"/>
          <w:lang w:val="en-US"/>
        </w:rPr>
        <w:t xml:space="preserve">, </w:t>
      </w:r>
      <w:r w:rsidR="00EF01C3" w:rsidRPr="00DA49E9">
        <w:rPr>
          <w:color w:val="000000" w:themeColor="text1"/>
          <w:sz w:val="20"/>
          <w:szCs w:val="20"/>
          <w:lang w:val="en-US"/>
        </w:rPr>
        <w:t>31</w:t>
      </w:r>
      <w:r w:rsidRPr="00DA49E9">
        <w:rPr>
          <w:color w:val="000000" w:themeColor="text1"/>
          <w:sz w:val="20"/>
          <w:szCs w:val="20"/>
          <w:lang w:val="en-US"/>
        </w:rPr>
        <w:t>] and integrated with photovoltaic (PV) power plants</w:t>
      </w:r>
      <w:r w:rsidR="00B13572" w:rsidRPr="00DA49E9">
        <w:rPr>
          <w:color w:val="000000" w:themeColor="text1"/>
          <w:sz w:val="20"/>
          <w:szCs w:val="20"/>
          <w:lang w:val="en-US"/>
        </w:rPr>
        <w:t xml:space="preserve"> [3</w:t>
      </w:r>
      <w:r w:rsidR="00EF01C3" w:rsidRPr="00DA49E9">
        <w:rPr>
          <w:color w:val="000000" w:themeColor="text1"/>
          <w:sz w:val="20"/>
          <w:szCs w:val="20"/>
          <w:lang w:val="en-US"/>
        </w:rPr>
        <w:t>2</w:t>
      </w:r>
      <w:r w:rsidR="00B13572" w:rsidRPr="00DA49E9">
        <w:rPr>
          <w:color w:val="000000" w:themeColor="text1"/>
          <w:sz w:val="20"/>
          <w:szCs w:val="20"/>
          <w:lang w:val="en-US"/>
        </w:rPr>
        <w:t>]</w:t>
      </w:r>
      <w:r w:rsidRPr="00DA49E9">
        <w:rPr>
          <w:color w:val="000000" w:themeColor="text1"/>
          <w:sz w:val="20"/>
          <w:szCs w:val="20"/>
          <w:lang w:val="en-US"/>
        </w:rPr>
        <w:t>. PV-based electricity generation systems are emerging as a key solution to environmental challenges while simultaneously meeting the growing global demand for energy. The integration of renewable solar energy with electric vehicles and the power grid offers significant potential for reducing greenhouse gas emissions in both the transportation and energy sectors.</w:t>
      </w:r>
    </w:p>
    <w:p w14:paraId="46E685A0" w14:textId="77777777" w:rsidR="00451578" w:rsidRPr="00DA49E9" w:rsidRDefault="00451578" w:rsidP="00451578">
      <w:pPr>
        <w:pStyle w:val="aa"/>
        <w:shd w:val="clear" w:color="auto" w:fill="FFFFFF"/>
        <w:spacing w:before="0" w:beforeAutospacing="0" w:after="0" w:afterAutospacing="0"/>
        <w:ind w:firstLine="284"/>
        <w:jc w:val="both"/>
        <w:rPr>
          <w:color w:val="000000" w:themeColor="text1"/>
          <w:sz w:val="20"/>
          <w:szCs w:val="20"/>
          <w:lang w:val="en-US"/>
        </w:rPr>
      </w:pPr>
      <w:r w:rsidRPr="00DA49E9">
        <w:rPr>
          <w:color w:val="000000" w:themeColor="text1"/>
          <w:sz w:val="20"/>
          <w:szCs w:val="20"/>
          <w:lang w:val="en-US"/>
        </w:rPr>
        <w:t>Connecting the hybrid energy storage system of an electric vehicle to the external grid through V2G technology and to a photovoltaic power plant serves not only for charging, but also for enhancing the stability and dynamic response of the PV system. This configuration provides both continuous power supply and rapid grid support.</w:t>
      </w:r>
    </w:p>
    <w:p w14:paraId="3CBB8C9C" w14:textId="75093BA2" w:rsidR="00BD3154" w:rsidRPr="00DA49E9" w:rsidRDefault="00451578" w:rsidP="002119B6">
      <w:pPr>
        <w:pStyle w:val="aa"/>
        <w:shd w:val="clear" w:color="auto" w:fill="FFFFFF"/>
        <w:spacing w:before="0" w:beforeAutospacing="0" w:after="0" w:afterAutospacing="0"/>
        <w:ind w:firstLine="284"/>
        <w:jc w:val="both"/>
        <w:rPr>
          <w:color w:val="000000" w:themeColor="text1"/>
          <w:sz w:val="20"/>
          <w:szCs w:val="20"/>
          <w:lang w:val="en-US"/>
        </w:rPr>
      </w:pPr>
      <w:r w:rsidRPr="00DA49E9">
        <w:rPr>
          <w:color w:val="000000" w:themeColor="text1"/>
          <w:sz w:val="20"/>
          <w:szCs w:val="20"/>
          <w:lang w:val="en-US"/>
        </w:rPr>
        <w:t>The study [3</w:t>
      </w:r>
      <w:r w:rsidR="00EF01C3" w:rsidRPr="00DA49E9">
        <w:rPr>
          <w:color w:val="000000" w:themeColor="text1"/>
          <w:sz w:val="20"/>
          <w:szCs w:val="20"/>
          <w:lang w:val="en-US"/>
        </w:rPr>
        <w:t>2</w:t>
      </w:r>
      <w:r w:rsidRPr="00DA49E9">
        <w:rPr>
          <w:color w:val="000000" w:themeColor="text1"/>
          <w:sz w:val="20"/>
          <w:szCs w:val="20"/>
          <w:lang w:val="en-US"/>
        </w:rPr>
        <w:t xml:space="preserve">] introduces an innovative approach to improving power quality in grid-connected photovoltaic systems by integrating a hybrid energy storage system that combines batteries and supercapacitors with a novel three-phase, ten-switch inverter. </w:t>
      </w:r>
      <w:r w:rsidR="00BD3154" w:rsidRPr="00DA49E9">
        <w:rPr>
          <w:color w:val="000000" w:themeColor="text1"/>
          <w:sz w:val="20"/>
          <w:szCs w:val="20"/>
          <w:lang w:val="en-US"/>
        </w:rPr>
        <w:t>The bidirectional converter effectively regulates the exchange of electrical e</w:t>
      </w:r>
      <w:r w:rsidR="0041439A" w:rsidRPr="00DA49E9">
        <w:rPr>
          <w:color w:val="000000" w:themeColor="text1"/>
          <w:sz w:val="20"/>
          <w:szCs w:val="20"/>
          <w:lang w:val="en-US"/>
        </w:rPr>
        <w:t>nergy between the photovoltaic</w:t>
      </w:r>
      <w:r w:rsidR="00BD3154" w:rsidRPr="00DA49E9">
        <w:rPr>
          <w:color w:val="000000" w:themeColor="text1"/>
          <w:sz w:val="20"/>
          <w:szCs w:val="20"/>
          <w:lang w:val="en-US"/>
        </w:rPr>
        <w:t xml:space="preserve"> system, the battery, the supercapacitor, and the external power grid. </w:t>
      </w:r>
    </w:p>
    <w:p w14:paraId="723DB9E8" w14:textId="77777777" w:rsidR="006E60DB" w:rsidRPr="00DA49E9" w:rsidRDefault="006E60DB" w:rsidP="006E60DB">
      <w:pPr>
        <w:pStyle w:val="Paragraph"/>
        <w:widowControl w:val="0"/>
        <w:rPr>
          <w:color w:val="000000" w:themeColor="text1"/>
          <w:lang w:eastAsia="en-GB"/>
        </w:rPr>
      </w:pPr>
      <w:r w:rsidRPr="00DA49E9">
        <w:rPr>
          <w:color w:val="000000" w:themeColor="text1"/>
          <w:lang w:eastAsia="en-GB"/>
        </w:rPr>
        <w:t>In the hybrid energy storage system, the battery provides long-term energy storage for supplying power to the grid. The supercapacitors, in contrast, enable rapid discharge for transient power support during short-term fluctuations in electricity demand, such as variations in solar irradiance or load changes. This hybrid configuration allows the system to respond more rapidly and efficiently to sudden changes in output power.</w:t>
      </w:r>
    </w:p>
    <w:p w14:paraId="43EA38AF" w14:textId="4BDD0D7D" w:rsidR="006E60DB" w:rsidRPr="00DA49E9" w:rsidRDefault="006E60DB" w:rsidP="006E60DB">
      <w:pPr>
        <w:pStyle w:val="Paragraph"/>
        <w:widowControl w:val="0"/>
        <w:rPr>
          <w:color w:val="000000" w:themeColor="text1"/>
          <w:lang w:eastAsia="en-GB"/>
        </w:rPr>
      </w:pPr>
      <w:r w:rsidRPr="00DA49E9">
        <w:rPr>
          <w:color w:val="000000" w:themeColor="text1"/>
          <w:lang w:eastAsia="en-GB"/>
        </w:rPr>
        <w:lastRenderedPageBreak/>
        <w:t>Each component of the hybrid energy storage system is interfaced with the DC bus through a bidirectional converter, which enables both charging and discharging modes. During charging, the electric vehicle battery absorbs energy either from the external power grid or from the PV system.</w:t>
      </w:r>
    </w:p>
    <w:p w14:paraId="726CC694" w14:textId="0B265F07" w:rsidR="002F7E28" w:rsidRPr="00DA49E9" w:rsidRDefault="002F7E28" w:rsidP="00D6260B">
      <w:pPr>
        <w:pStyle w:val="Paragraph"/>
        <w:widowControl w:val="0"/>
        <w:rPr>
          <w:color w:val="000000" w:themeColor="text1"/>
          <w:lang w:eastAsia="en-GB"/>
        </w:rPr>
      </w:pPr>
      <w:r w:rsidRPr="00DA49E9">
        <w:rPr>
          <w:color w:val="000000" w:themeColor="text1"/>
          <w:lang w:eastAsia="en-GB"/>
        </w:rPr>
        <w:t>Given that supercapacitors exhibit relatively low specific energy, their placement within an electric vehicle represents a critical challenge due to their considerable volume. In [</w:t>
      </w:r>
      <w:r w:rsidR="00561DD5" w:rsidRPr="00DA49E9">
        <w:rPr>
          <w:color w:val="000000" w:themeColor="text1"/>
          <w:lang w:eastAsia="en-GB"/>
        </w:rPr>
        <w:t>6</w:t>
      </w:r>
      <w:r w:rsidRPr="00DA49E9">
        <w:rPr>
          <w:color w:val="000000" w:themeColor="text1"/>
          <w:lang w:eastAsia="en-GB"/>
        </w:rPr>
        <w:t>], a concept was proposed involving the integration of supercapacitors into the vehicle body. The supercapacitors are primarily connected in series to increase the overall operating voltage. Additionally, the series-connected units are arranged in parallel to enhance the nominal energy capacity and power output. The panel geometry of the body-integrated supercapacitors is designed to conform to the contours of the original vehicle structure. They are seamlessly incorporated into the doors, trunk lid, roof, and hood.</w:t>
      </w:r>
      <w:r w:rsidR="007A3674" w:rsidRPr="00DA49E9">
        <w:rPr>
          <w:color w:val="000000" w:themeColor="text1"/>
          <w:lang w:eastAsia="en-GB"/>
        </w:rPr>
        <w:t xml:space="preserve"> </w:t>
      </w:r>
      <w:r w:rsidRPr="00DA49E9">
        <w:rPr>
          <w:color w:val="000000" w:themeColor="text1"/>
          <w:lang w:eastAsia="en-GB"/>
        </w:rPr>
        <w:t>According to this concept, the supercapacitor modules and other components of the hybrid energy storage system are located on the roof, behind the passenger and driver seats, as well as in the hood and vehicle doors. The bidirectional voltage converter, motor controller, hybrid energy storage management controller, and vehicle control unit are installed in the trunk of the electric vehicle, while the primary energy source – a lithium-ion battery is positioned beneath the two front seats</w:t>
      </w:r>
      <w:r w:rsidR="00B13572" w:rsidRPr="00DA49E9">
        <w:rPr>
          <w:color w:val="000000" w:themeColor="text1"/>
          <w:lang w:eastAsia="en-GB"/>
        </w:rPr>
        <w:t>.</w:t>
      </w:r>
    </w:p>
    <w:p w14:paraId="136BE24A" w14:textId="77777777" w:rsidR="00F21B8F" w:rsidRPr="00DA49E9" w:rsidRDefault="00F21B8F" w:rsidP="00D6260B">
      <w:pPr>
        <w:pStyle w:val="Paragraph"/>
        <w:widowControl w:val="0"/>
        <w:rPr>
          <w:color w:val="000000" w:themeColor="text1"/>
          <w:lang w:eastAsia="en-GB"/>
        </w:rPr>
      </w:pPr>
    </w:p>
    <w:p w14:paraId="055EDF55" w14:textId="362A07BF" w:rsidR="00F21B8F" w:rsidRPr="00DA49E9" w:rsidRDefault="00C81170" w:rsidP="00C81170">
      <w:pPr>
        <w:pStyle w:val="Paragraph"/>
        <w:widowControl w:val="0"/>
        <w:ind w:firstLine="0"/>
        <w:jc w:val="center"/>
        <w:rPr>
          <w:b/>
          <w:color w:val="000000" w:themeColor="text1"/>
          <w:lang w:eastAsia="en-GB"/>
        </w:rPr>
      </w:pPr>
      <w:r w:rsidRPr="00DA49E9">
        <w:rPr>
          <w:b/>
          <w:color w:val="000000" w:themeColor="text1"/>
          <w:lang w:eastAsia="en-GB"/>
        </w:rPr>
        <w:t>CASE STUDY OF A BRAKING–ACCELERATION EVENT</w:t>
      </w:r>
    </w:p>
    <w:p w14:paraId="23AA84AA" w14:textId="77777777" w:rsidR="00F21B8F" w:rsidRPr="00DA49E9" w:rsidRDefault="00F21B8F" w:rsidP="00F21B8F">
      <w:pPr>
        <w:pStyle w:val="Paragraph"/>
        <w:widowControl w:val="0"/>
        <w:rPr>
          <w:color w:val="000000" w:themeColor="text1"/>
          <w:lang w:eastAsia="en-GB"/>
        </w:rPr>
      </w:pPr>
    </w:p>
    <w:p w14:paraId="3319FD2D" w14:textId="3F67218B" w:rsidR="00C81170" w:rsidRPr="00DA49E9" w:rsidRDefault="00C81170" w:rsidP="00C81170">
      <w:pPr>
        <w:pStyle w:val="Paragraph"/>
        <w:widowControl w:val="0"/>
        <w:rPr>
          <w:color w:val="000000" w:themeColor="text1"/>
          <w:lang w:eastAsia="en-GB"/>
        </w:rPr>
      </w:pPr>
      <w:r w:rsidRPr="00DA49E9">
        <w:rPr>
          <w:color w:val="000000" w:themeColor="text1"/>
          <w:lang w:eastAsia="en-GB"/>
        </w:rPr>
        <w:t>To provide quantitative support for the conceptual analysis, a simplified numerical example is presented. The purpose is to compare the battery current demand and the amount of recovered braking energy in two configurations: a battery-only energy storage system and an active hybrid energy storage system that combines a lithium-ion battery with a supercapacitor. This case study is illustrative and based on representative vehicle and component parameters reported in the literature [</w:t>
      </w:r>
      <w:r w:rsidR="00EF01C3" w:rsidRPr="00DA49E9">
        <w:rPr>
          <w:color w:val="000000" w:themeColor="text1"/>
          <w:lang w:eastAsia="en-GB"/>
        </w:rPr>
        <w:t>33</w:t>
      </w:r>
      <w:r w:rsidRPr="00DA49E9">
        <w:rPr>
          <w:color w:val="000000" w:themeColor="text1"/>
          <w:lang w:eastAsia="en-GB"/>
        </w:rPr>
        <w:t>–</w:t>
      </w:r>
      <w:r w:rsidR="00EF01C3" w:rsidRPr="00DA49E9">
        <w:rPr>
          <w:color w:val="000000" w:themeColor="text1"/>
          <w:lang w:eastAsia="en-GB"/>
        </w:rPr>
        <w:t>40</w:t>
      </w:r>
      <w:r w:rsidRPr="00DA49E9">
        <w:rPr>
          <w:color w:val="000000" w:themeColor="text1"/>
          <w:lang w:eastAsia="en-GB"/>
        </w:rPr>
        <w:t>].</w:t>
      </w:r>
    </w:p>
    <w:p w14:paraId="2FD02FD5" w14:textId="113EC344" w:rsidR="00C81170" w:rsidRPr="00DA49E9" w:rsidRDefault="00C81170" w:rsidP="00C81170">
      <w:pPr>
        <w:pStyle w:val="Paragraph"/>
        <w:widowControl w:val="0"/>
        <w:rPr>
          <w:color w:val="000000" w:themeColor="text1"/>
          <w:lang w:eastAsia="en-GB"/>
        </w:rPr>
      </w:pPr>
      <w:r w:rsidRPr="00DA49E9">
        <w:rPr>
          <w:color w:val="000000" w:themeColor="text1"/>
          <w:lang w:eastAsia="en-GB"/>
        </w:rPr>
        <w:t>The case considers a mid-size electric passenger vehicle with a mass of 1500 kg [</w:t>
      </w:r>
      <w:r w:rsidR="00EF01C3" w:rsidRPr="00DA49E9">
        <w:rPr>
          <w:color w:val="000000" w:themeColor="text1"/>
          <w:lang w:eastAsia="en-GB"/>
        </w:rPr>
        <w:t>33</w:t>
      </w:r>
      <w:r w:rsidRPr="00DA49E9">
        <w:rPr>
          <w:color w:val="000000" w:themeColor="text1"/>
          <w:lang w:eastAsia="en-GB"/>
        </w:rPr>
        <w:t xml:space="preserve">]. The initial </w:t>
      </w:r>
      <w:r w:rsidR="002F49A4" w:rsidRPr="00DA49E9">
        <w:rPr>
          <w:color w:val="000000" w:themeColor="text1"/>
          <w:lang w:eastAsia="en-GB"/>
        </w:rPr>
        <w:t xml:space="preserve">speed </w:t>
      </w:r>
      <w:r w:rsidRPr="00DA49E9">
        <w:rPr>
          <w:color w:val="000000" w:themeColor="text1"/>
          <w:lang w:eastAsia="en-GB"/>
        </w:rPr>
        <w:t>(</w:t>
      </w:r>
      <w:r w:rsidRPr="00DA49E9">
        <w:rPr>
          <w:i/>
          <w:color w:val="000000" w:themeColor="text1"/>
          <w:lang w:eastAsia="en-GB"/>
        </w:rPr>
        <w:t>v</w:t>
      </w:r>
      <w:r w:rsidRPr="00DA49E9">
        <w:rPr>
          <w:color w:val="000000" w:themeColor="text1"/>
          <w:vertAlign w:val="subscript"/>
          <w:lang w:eastAsia="en-GB"/>
        </w:rPr>
        <w:t>0</w:t>
      </w:r>
      <w:r w:rsidRPr="00DA49E9">
        <w:rPr>
          <w:color w:val="000000" w:themeColor="text1"/>
          <w:lang w:eastAsia="en-GB"/>
        </w:rPr>
        <w:t>) is set to 50 km/h (13.89 m/s), and the braking duration</w:t>
      </w:r>
      <w:r w:rsidR="002F49A4" w:rsidRPr="00DA49E9">
        <w:rPr>
          <w:color w:val="000000" w:themeColor="text1"/>
          <w:lang w:eastAsia="en-GB"/>
        </w:rPr>
        <w:t xml:space="preserve"> (</w:t>
      </w:r>
      <w:proofErr w:type="spellStart"/>
      <w:r w:rsidR="002F49A4" w:rsidRPr="00DA49E9">
        <w:rPr>
          <w:i/>
          <w:color w:val="000000" w:themeColor="text1"/>
          <w:lang w:eastAsia="en-GB"/>
        </w:rPr>
        <w:t>t</w:t>
      </w:r>
      <w:r w:rsidR="002F49A4" w:rsidRPr="00DA49E9">
        <w:rPr>
          <w:color w:val="000000" w:themeColor="text1"/>
          <w:vertAlign w:val="subscript"/>
          <w:lang w:eastAsia="en-GB"/>
        </w:rPr>
        <w:t>brake</w:t>
      </w:r>
      <w:proofErr w:type="spellEnd"/>
      <w:r w:rsidR="002F49A4" w:rsidRPr="00DA49E9">
        <w:rPr>
          <w:color w:val="000000" w:themeColor="text1"/>
          <w:lang w:eastAsia="en-GB"/>
        </w:rPr>
        <w:t>)</w:t>
      </w:r>
      <w:r w:rsidRPr="00DA49E9">
        <w:rPr>
          <w:color w:val="000000" w:themeColor="text1"/>
          <w:lang w:eastAsia="en-GB"/>
        </w:rPr>
        <w:t xml:space="preserve"> is assumed to be approximately 3</w:t>
      </w:r>
      <w:r w:rsidR="002F49A4" w:rsidRPr="00DA49E9">
        <w:rPr>
          <w:color w:val="000000" w:themeColor="text1"/>
          <w:lang w:eastAsia="en-GB"/>
        </w:rPr>
        <w:t> </w:t>
      </w:r>
      <w:r w:rsidRPr="00DA49E9">
        <w:rPr>
          <w:color w:val="000000" w:themeColor="text1"/>
          <w:lang w:eastAsia="en-GB"/>
        </w:rPr>
        <w:t>s, which lies within the range reported in braking-event data [</w:t>
      </w:r>
      <w:r w:rsidR="00EF01C3" w:rsidRPr="00DA49E9">
        <w:rPr>
          <w:color w:val="000000" w:themeColor="text1"/>
          <w:lang w:eastAsia="en-GB"/>
        </w:rPr>
        <w:t>34, 35</w:t>
      </w:r>
      <w:r w:rsidRPr="00DA49E9">
        <w:rPr>
          <w:color w:val="000000" w:themeColor="text1"/>
          <w:lang w:eastAsia="en-GB"/>
        </w:rPr>
        <w:t xml:space="preserve">]. The direct current (DC) bus voltage </w:t>
      </w:r>
      <w:r w:rsidR="002F49A4" w:rsidRPr="00DA49E9">
        <w:rPr>
          <w:color w:val="000000" w:themeColor="text1"/>
          <w:lang w:eastAsia="en-GB"/>
        </w:rPr>
        <w:t>(</w:t>
      </w:r>
      <w:proofErr w:type="spellStart"/>
      <w:r w:rsidR="002F49A4" w:rsidRPr="00DA49E9">
        <w:rPr>
          <w:color w:val="000000" w:themeColor="text1"/>
          <w:lang w:eastAsia="en-GB"/>
        </w:rPr>
        <w:t>V</w:t>
      </w:r>
      <w:r w:rsidR="002F49A4" w:rsidRPr="00DA49E9">
        <w:rPr>
          <w:color w:val="000000" w:themeColor="text1"/>
          <w:vertAlign w:val="subscript"/>
          <w:lang w:eastAsia="en-GB"/>
        </w:rPr>
        <w:t>bus</w:t>
      </w:r>
      <w:proofErr w:type="spellEnd"/>
      <w:r w:rsidR="002F49A4" w:rsidRPr="00DA49E9">
        <w:rPr>
          <w:color w:val="000000" w:themeColor="text1"/>
          <w:lang w:eastAsia="en-GB"/>
        </w:rPr>
        <w:t xml:space="preserve">) </w:t>
      </w:r>
      <w:r w:rsidRPr="00DA49E9">
        <w:rPr>
          <w:color w:val="000000" w:themeColor="text1"/>
          <w:lang w:eastAsia="en-GB"/>
        </w:rPr>
        <w:t>is taken as 350 V, representative of mid-voltage electric vehicles operating in the 300–400 V range [</w:t>
      </w:r>
      <w:r w:rsidR="000653F9" w:rsidRPr="00DA49E9">
        <w:rPr>
          <w:color w:val="000000" w:themeColor="text1"/>
          <w:lang w:eastAsia="en-GB"/>
        </w:rPr>
        <w:t>36</w:t>
      </w:r>
      <w:r w:rsidRPr="00DA49E9">
        <w:rPr>
          <w:color w:val="000000" w:themeColor="text1"/>
          <w:lang w:eastAsia="en-GB"/>
        </w:rPr>
        <w:t>,</w:t>
      </w:r>
      <w:r w:rsidR="002F49A4" w:rsidRPr="00DA49E9">
        <w:rPr>
          <w:color w:val="000000" w:themeColor="text1"/>
          <w:lang w:eastAsia="en-GB"/>
        </w:rPr>
        <w:t> </w:t>
      </w:r>
      <w:r w:rsidR="000653F9" w:rsidRPr="00DA49E9">
        <w:rPr>
          <w:color w:val="000000" w:themeColor="text1"/>
          <w:lang w:eastAsia="en-GB"/>
        </w:rPr>
        <w:t>37</w:t>
      </w:r>
      <w:r w:rsidRPr="00DA49E9">
        <w:rPr>
          <w:color w:val="000000" w:themeColor="text1"/>
          <w:lang w:eastAsia="en-GB"/>
        </w:rPr>
        <w:t>]. Conversion efficiencies</w:t>
      </w:r>
      <w:r w:rsidR="002F49A4" w:rsidRPr="00DA49E9">
        <w:rPr>
          <w:color w:val="000000" w:themeColor="text1"/>
          <w:lang w:eastAsia="en-GB"/>
        </w:rPr>
        <w:t xml:space="preserve"> (</w:t>
      </w:r>
      <w:r w:rsidR="002F49A4" w:rsidRPr="00DA49E9">
        <w:rPr>
          <w:rFonts w:ascii="Cambria Math" w:hAnsi="Cambria Math" w:cs="Cambria Math"/>
          <w:color w:val="000000" w:themeColor="text1"/>
          <w:lang w:eastAsia="en-GB"/>
        </w:rPr>
        <w:t>𝜂</w:t>
      </w:r>
      <w:r w:rsidR="002F49A4" w:rsidRPr="00DA49E9">
        <w:rPr>
          <w:color w:val="000000" w:themeColor="text1"/>
          <w:vertAlign w:val="subscript"/>
          <w:lang w:eastAsia="en-GB"/>
        </w:rPr>
        <w:t>SC</w:t>
      </w:r>
      <w:r w:rsidR="002F49A4" w:rsidRPr="00DA49E9">
        <w:rPr>
          <w:color w:val="000000" w:themeColor="text1"/>
          <w:lang w:eastAsia="en-GB"/>
        </w:rPr>
        <w:t>)</w:t>
      </w:r>
      <w:r w:rsidRPr="00DA49E9">
        <w:rPr>
          <w:color w:val="000000" w:themeColor="text1"/>
          <w:lang w:eastAsia="en-GB"/>
        </w:rPr>
        <w:t xml:space="preserve"> are assumed as 98% for the supercapacitor bidirectional DC/DC converter [</w:t>
      </w:r>
      <w:r w:rsidR="000653F9" w:rsidRPr="00DA49E9">
        <w:rPr>
          <w:color w:val="000000" w:themeColor="text1"/>
          <w:lang w:eastAsia="en-GB"/>
        </w:rPr>
        <w:t>38</w:t>
      </w:r>
      <w:r w:rsidRPr="00DA49E9">
        <w:rPr>
          <w:color w:val="000000" w:themeColor="text1"/>
          <w:lang w:eastAsia="en-GB"/>
        </w:rPr>
        <w:t xml:space="preserve">] and 90% for the battery-side </w:t>
      </w:r>
      <w:r w:rsidR="002F49A4" w:rsidRPr="00DA49E9">
        <w:rPr>
          <w:color w:val="000000" w:themeColor="text1"/>
          <w:lang w:eastAsia="en-GB"/>
        </w:rPr>
        <w:t>(</w:t>
      </w:r>
      <w:proofErr w:type="spellStart"/>
      <w:r w:rsidR="002F49A4" w:rsidRPr="00DA49E9">
        <w:rPr>
          <w:color w:val="000000" w:themeColor="text1"/>
          <w:lang w:eastAsia="en-GB"/>
        </w:rPr>
        <w:t>η</w:t>
      </w:r>
      <w:r w:rsidR="002F49A4" w:rsidRPr="00DA49E9">
        <w:rPr>
          <w:color w:val="000000" w:themeColor="text1"/>
          <w:vertAlign w:val="subscript"/>
          <w:lang w:eastAsia="en-GB"/>
        </w:rPr>
        <w:t>bat</w:t>
      </w:r>
      <w:proofErr w:type="spellEnd"/>
      <w:r w:rsidR="002F49A4" w:rsidRPr="00DA49E9">
        <w:rPr>
          <w:color w:val="000000" w:themeColor="text1"/>
          <w:lang w:eastAsia="en-GB"/>
        </w:rPr>
        <w:t xml:space="preserve">) </w:t>
      </w:r>
      <w:r w:rsidRPr="00DA49E9">
        <w:rPr>
          <w:color w:val="000000" w:themeColor="text1"/>
          <w:lang w:eastAsia="en-GB"/>
        </w:rPr>
        <w:t>charging path</w:t>
      </w:r>
      <w:r w:rsidR="002F49A4" w:rsidRPr="00DA49E9">
        <w:rPr>
          <w:color w:val="000000" w:themeColor="text1"/>
          <w:lang w:eastAsia="en-GB"/>
        </w:rPr>
        <w:t xml:space="preserve"> </w:t>
      </w:r>
      <w:r w:rsidRPr="00DA49E9">
        <w:rPr>
          <w:color w:val="000000" w:themeColor="text1"/>
          <w:lang w:eastAsia="en-GB"/>
        </w:rPr>
        <w:t>[</w:t>
      </w:r>
      <w:r w:rsidR="000653F9" w:rsidRPr="00DA49E9">
        <w:rPr>
          <w:color w:val="000000" w:themeColor="text1"/>
          <w:lang w:eastAsia="en-GB"/>
        </w:rPr>
        <w:t>39</w:t>
      </w:r>
      <w:r w:rsidRPr="00DA49E9">
        <w:rPr>
          <w:color w:val="000000" w:themeColor="text1"/>
          <w:lang w:eastAsia="en-GB"/>
        </w:rPr>
        <w:t>]. In line with common energy management strategies, it is further assumed that 80% of the transient braking energy is routed to the supercapacitor and 20% to the battery, reflecting control policies that prioritize the supercapacitor for high-power short-term capture [</w:t>
      </w:r>
      <w:r w:rsidR="000653F9" w:rsidRPr="00DA49E9">
        <w:rPr>
          <w:color w:val="000000" w:themeColor="text1"/>
          <w:lang w:eastAsia="en-GB"/>
        </w:rPr>
        <w:t>40</w:t>
      </w:r>
      <w:r w:rsidRPr="00DA49E9">
        <w:rPr>
          <w:color w:val="000000" w:themeColor="text1"/>
          <w:lang w:eastAsia="en-GB"/>
        </w:rPr>
        <w:t>].</w:t>
      </w:r>
    </w:p>
    <w:p w14:paraId="089FA027" w14:textId="471067BA" w:rsidR="00F21B8F" w:rsidRPr="00DA49E9" w:rsidRDefault="00F21B8F" w:rsidP="007E12FA">
      <w:pPr>
        <w:pStyle w:val="Paragraph"/>
        <w:widowControl w:val="0"/>
        <w:rPr>
          <w:color w:val="000000" w:themeColor="text1"/>
          <w:lang w:eastAsia="en-GB"/>
        </w:rPr>
      </w:pPr>
      <w:r w:rsidRPr="00DA49E9">
        <w:rPr>
          <w:color w:val="000000" w:themeColor="text1"/>
          <w:lang w:eastAsia="en-GB"/>
        </w:rPr>
        <w:t>Step 1. Kinetic energy available</w:t>
      </w:r>
      <w:r w:rsidR="007E12FA" w:rsidRPr="00DA49E9">
        <w:rPr>
          <w:color w:val="000000" w:themeColor="text1"/>
          <w:lang w:eastAsia="en-GB"/>
        </w:rPr>
        <w:t>:</w:t>
      </w:r>
    </w:p>
    <w:p w14:paraId="6ECFA2E0" w14:textId="77777777" w:rsidR="00F21B8F" w:rsidRPr="00DA49E9" w:rsidRDefault="00F21B8F" w:rsidP="007E12FA">
      <w:pPr>
        <w:pStyle w:val="Paragraph"/>
        <w:widowControl w:val="0"/>
        <w:rPr>
          <w:color w:val="000000" w:themeColor="text1"/>
          <w:lang w:eastAsia="en-GB"/>
        </w:rPr>
      </w:pPr>
    </w:p>
    <w:p w14:paraId="2EA859BF" w14:textId="6C0F659A" w:rsidR="00F21B8F" w:rsidRPr="00DA49E9" w:rsidRDefault="00E4060F" w:rsidP="007E12FA">
      <w:pPr>
        <w:pStyle w:val="Paragraph"/>
        <w:widowControl w:val="0"/>
        <w:jc w:val="center"/>
        <w:rPr>
          <w:color w:val="000000" w:themeColor="text1"/>
          <w:lang w:eastAsia="en-GB"/>
        </w:rPr>
      </w:pPr>
      <w:r>
        <w:rPr>
          <w:position w:val="-24"/>
        </w:rPr>
        <w:pict w14:anchorId="20A6F844">
          <v:shape id="_x0000_i1032" type="#_x0000_t75" style="width:250.4pt;height:33.3pt">
            <v:imagedata r:id="rId18" o:title=""/>
          </v:shape>
        </w:pict>
      </w:r>
    </w:p>
    <w:p w14:paraId="0B87BD4C" w14:textId="77777777" w:rsidR="00F21B8F" w:rsidRPr="00DA49E9" w:rsidRDefault="00F21B8F" w:rsidP="007E12FA">
      <w:pPr>
        <w:pStyle w:val="Paragraph"/>
        <w:widowControl w:val="0"/>
        <w:rPr>
          <w:color w:val="000000" w:themeColor="text1"/>
          <w:lang w:eastAsia="en-GB"/>
        </w:rPr>
      </w:pPr>
    </w:p>
    <w:p w14:paraId="03ACDCA7" w14:textId="77777777" w:rsidR="001572FC" w:rsidRPr="00DA49E9" w:rsidRDefault="00F21B8F" w:rsidP="001572FC">
      <w:pPr>
        <w:pStyle w:val="Paragraph"/>
        <w:widowControl w:val="0"/>
        <w:rPr>
          <w:color w:val="000000" w:themeColor="text1"/>
          <w:lang w:eastAsia="en-GB"/>
        </w:rPr>
      </w:pPr>
      <w:r w:rsidRPr="00DA49E9">
        <w:rPr>
          <w:color w:val="000000" w:themeColor="text1"/>
          <w:lang w:eastAsia="en-GB"/>
        </w:rPr>
        <w:t>Step 2. Average braking power</w:t>
      </w:r>
      <w:r w:rsidR="007E12FA" w:rsidRPr="00DA49E9">
        <w:rPr>
          <w:color w:val="000000" w:themeColor="text1"/>
          <w:lang w:eastAsia="en-GB"/>
        </w:rPr>
        <w:t>:</w:t>
      </w:r>
    </w:p>
    <w:p w14:paraId="36F7C612" w14:textId="77777777" w:rsidR="001572FC" w:rsidRPr="00DA49E9" w:rsidRDefault="001572FC" w:rsidP="001572FC">
      <w:pPr>
        <w:pStyle w:val="Paragraph"/>
        <w:widowControl w:val="0"/>
        <w:rPr>
          <w:color w:val="000000" w:themeColor="text1"/>
          <w:lang w:eastAsia="en-GB"/>
        </w:rPr>
      </w:pPr>
    </w:p>
    <w:p w14:paraId="7160C4FB" w14:textId="1999A912" w:rsidR="00F21B8F" w:rsidRPr="00DA49E9" w:rsidRDefault="00E4060F" w:rsidP="001572FC">
      <w:pPr>
        <w:pStyle w:val="Paragraph"/>
        <w:widowControl w:val="0"/>
        <w:jc w:val="center"/>
        <w:rPr>
          <w:color w:val="000000" w:themeColor="text1"/>
          <w:lang w:eastAsia="en-GB"/>
        </w:rPr>
      </w:pPr>
      <w:r>
        <w:rPr>
          <w:position w:val="-30"/>
        </w:rPr>
        <w:pict w14:anchorId="7479D14D">
          <v:shape id="_x0000_i1033" type="#_x0000_t75" style="width:166.55pt;height:33.3pt">
            <v:imagedata r:id="rId19" o:title=""/>
          </v:shape>
        </w:pict>
      </w:r>
    </w:p>
    <w:p w14:paraId="2871C087" w14:textId="77777777" w:rsidR="00F21B8F" w:rsidRPr="00DA49E9" w:rsidRDefault="00F21B8F" w:rsidP="007E12FA">
      <w:pPr>
        <w:pStyle w:val="Paragraph"/>
        <w:widowControl w:val="0"/>
        <w:rPr>
          <w:color w:val="000000" w:themeColor="text1"/>
          <w:lang w:eastAsia="en-GB"/>
        </w:rPr>
      </w:pPr>
    </w:p>
    <w:p w14:paraId="3B0F00B1" w14:textId="689450C2" w:rsidR="00F21B8F" w:rsidRPr="00DA49E9" w:rsidRDefault="00F21B8F" w:rsidP="007E12FA">
      <w:pPr>
        <w:pStyle w:val="Paragraph"/>
        <w:widowControl w:val="0"/>
        <w:rPr>
          <w:color w:val="000000" w:themeColor="text1"/>
          <w:lang w:eastAsia="en-GB"/>
        </w:rPr>
      </w:pPr>
      <w:r w:rsidRPr="00DA49E9">
        <w:rPr>
          <w:color w:val="000000" w:themeColor="text1"/>
          <w:lang w:eastAsia="en-GB"/>
        </w:rPr>
        <w:t>Step 3. Battery-only case</w:t>
      </w:r>
      <w:r w:rsidR="007E12FA" w:rsidRPr="00DA49E9">
        <w:rPr>
          <w:color w:val="000000" w:themeColor="text1"/>
          <w:lang w:eastAsia="en-GB"/>
        </w:rPr>
        <w:t xml:space="preserve">. </w:t>
      </w:r>
      <w:r w:rsidRPr="00DA49E9">
        <w:rPr>
          <w:color w:val="000000" w:themeColor="text1"/>
          <w:lang w:eastAsia="en-GB"/>
        </w:rPr>
        <w:t>Without HESS, the battery absorbs the full braking power:</w:t>
      </w:r>
    </w:p>
    <w:p w14:paraId="499A6BE7" w14:textId="77777777" w:rsidR="00F21B8F" w:rsidRPr="00DA49E9" w:rsidRDefault="00F21B8F" w:rsidP="007E12FA">
      <w:pPr>
        <w:pStyle w:val="Paragraph"/>
        <w:widowControl w:val="0"/>
        <w:rPr>
          <w:color w:val="000000" w:themeColor="text1"/>
          <w:lang w:eastAsia="en-GB"/>
        </w:rPr>
      </w:pPr>
    </w:p>
    <w:p w14:paraId="442A6272" w14:textId="77777777" w:rsidR="00F21B8F" w:rsidRPr="00DA49E9" w:rsidRDefault="00E4060F" w:rsidP="007E12FA">
      <w:pPr>
        <w:pStyle w:val="Paragraph"/>
        <w:widowControl w:val="0"/>
        <w:jc w:val="center"/>
        <w:rPr>
          <w:color w:val="000000" w:themeColor="text1"/>
          <w:lang w:eastAsia="en-GB"/>
        </w:rPr>
      </w:pPr>
      <w:r>
        <w:rPr>
          <w:position w:val="-30"/>
        </w:rPr>
        <w:pict w14:anchorId="005F77EE">
          <v:shape id="_x0000_i1034" type="#_x0000_t75" style="width:160.1pt;height:33.3pt">
            <v:imagedata r:id="rId20" o:title=""/>
          </v:shape>
        </w:pict>
      </w:r>
    </w:p>
    <w:p w14:paraId="290F8DFA" w14:textId="2A3EA54C" w:rsidR="00F21B8F" w:rsidRPr="00DA49E9" w:rsidRDefault="001572FC" w:rsidP="007E12FA">
      <w:pPr>
        <w:pStyle w:val="Paragraph"/>
        <w:widowControl w:val="0"/>
        <w:ind w:firstLine="720"/>
        <w:rPr>
          <w:color w:val="000000" w:themeColor="text1"/>
          <w:lang w:eastAsia="en-GB"/>
        </w:rPr>
      </w:pPr>
      <w:r w:rsidRPr="00DA49E9">
        <w:rPr>
          <w:color w:val="000000" w:themeColor="text1"/>
          <w:lang w:eastAsia="en-GB"/>
        </w:rPr>
        <w:t>A</w:t>
      </w:r>
      <w:r w:rsidR="00F21B8F" w:rsidRPr="00DA49E9">
        <w:rPr>
          <w:color w:val="000000" w:themeColor="text1"/>
          <w:lang w:eastAsia="en-GB"/>
        </w:rPr>
        <w:t>fter conversion losses:</w:t>
      </w:r>
    </w:p>
    <w:p w14:paraId="54C66C23" w14:textId="77777777" w:rsidR="00F21B8F" w:rsidRPr="00DA49E9" w:rsidRDefault="00F21B8F" w:rsidP="007E12FA">
      <w:pPr>
        <w:pStyle w:val="Paragraph"/>
        <w:widowControl w:val="0"/>
        <w:rPr>
          <w:color w:val="000000" w:themeColor="text1"/>
          <w:lang w:eastAsia="en-GB"/>
        </w:rPr>
      </w:pPr>
    </w:p>
    <w:p w14:paraId="5B2F5D05" w14:textId="77777777" w:rsidR="00F21B8F" w:rsidRPr="00DA49E9" w:rsidRDefault="00E4060F" w:rsidP="007E12FA">
      <w:pPr>
        <w:pStyle w:val="Paragraph"/>
        <w:widowControl w:val="0"/>
        <w:jc w:val="center"/>
        <w:rPr>
          <w:color w:val="000000" w:themeColor="text1"/>
          <w:lang w:eastAsia="en-GB"/>
        </w:rPr>
      </w:pPr>
      <w:r>
        <w:rPr>
          <w:position w:val="-14"/>
        </w:rPr>
        <w:pict w14:anchorId="698889CD">
          <v:shape id="_x0000_i1035" type="#_x0000_t75" style="width:155.8pt;height:19.35pt">
            <v:imagedata r:id="rId21" o:title=""/>
          </v:shape>
        </w:pict>
      </w:r>
    </w:p>
    <w:p w14:paraId="43106EA5" w14:textId="77777777" w:rsidR="00F21B8F" w:rsidRPr="00DA49E9" w:rsidRDefault="00F21B8F" w:rsidP="007E12FA">
      <w:pPr>
        <w:pStyle w:val="Paragraph"/>
        <w:widowControl w:val="0"/>
        <w:rPr>
          <w:color w:val="000000" w:themeColor="text1"/>
          <w:lang w:eastAsia="en-GB"/>
        </w:rPr>
      </w:pPr>
    </w:p>
    <w:p w14:paraId="32BC8953" w14:textId="0020B38A" w:rsidR="00F21B8F" w:rsidRPr="00DA49E9" w:rsidRDefault="00F21B8F" w:rsidP="007E12FA">
      <w:pPr>
        <w:pStyle w:val="Paragraph"/>
        <w:widowControl w:val="0"/>
        <w:rPr>
          <w:color w:val="000000" w:themeColor="text1"/>
          <w:lang w:eastAsia="en-GB"/>
        </w:rPr>
      </w:pPr>
      <w:r w:rsidRPr="00DA49E9">
        <w:rPr>
          <w:color w:val="000000" w:themeColor="text1"/>
          <w:lang w:eastAsia="en-GB"/>
        </w:rPr>
        <w:t>Step 4. Active HESS case</w:t>
      </w:r>
      <w:r w:rsidR="00686D38" w:rsidRPr="00DA49E9">
        <w:rPr>
          <w:color w:val="000000" w:themeColor="text1"/>
          <w:lang w:eastAsia="en-GB"/>
        </w:rPr>
        <w:t xml:space="preserve">. </w:t>
      </w:r>
      <w:r w:rsidRPr="00DA49E9">
        <w:rPr>
          <w:color w:val="000000" w:themeColor="text1"/>
          <w:lang w:eastAsia="en-GB"/>
        </w:rPr>
        <w:t xml:space="preserve">Energy directed to SC (before losses): </w:t>
      </w:r>
    </w:p>
    <w:p w14:paraId="0194701B" w14:textId="77777777" w:rsidR="00686D38" w:rsidRPr="00DA49E9" w:rsidRDefault="00686D38" w:rsidP="007E12FA">
      <w:pPr>
        <w:pStyle w:val="Paragraph"/>
        <w:widowControl w:val="0"/>
        <w:rPr>
          <w:color w:val="000000" w:themeColor="text1"/>
          <w:lang w:eastAsia="en-GB"/>
        </w:rPr>
      </w:pPr>
    </w:p>
    <w:p w14:paraId="05ED0CE6" w14:textId="77777777" w:rsidR="00F21B8F" w:rsidRPr="00DA49E9" w:rsidRDefault="00E4060F" w:rsidP="00686D38">
      <w:pPr>
        <w:pStyle w:val="Paragraph"/>
        <w:widowControl w:val="0"/>
        <w:jc w:val="center"/>
      </w:pPr>
      <w:r>
        <w:rPr>
          <w:position w:val="-12"/>
        </w:rPr>
        <w:pict w14:anchorId="361B5AFC">
          <v:shape id="_x0000_i1036" type="#_x0000_t75" style="width:125.75pt;height:18.25pt">
            <v:imagedata r:id="rId22" o:title=""/>
          </v:shape>
        </w:pict>
      </w:r>
    </w:p>
    <w:p w14:paraId="369D6D6A" w14:textId="77777777" w:rsidR="00686D38" w:rsidRPr="00DA49E9" w:rsidRDefault="00686D38" w:rsidP="00686D38">
      <w:pPr>
        <w:pStyle w:val="Paragraph"/>
        <w:widowControl w:val="0"/>
        <w:jc w:val="center"/>
        <w:rPr>
          <w:color w:val="000000" w:themeColor="text1"/>
          <w:lang w:eastAsia="en-GB"/>
        </w:rPr>
      </w:pPr>
    </w:p>
    <w:p w14:paraId="72147B90" w14:textId="77777777" w:rsidR="00F21B8F" w:rsidRPr="00DA49E9" w:rsidRDefault="00F21B8F" w:rsidP="00686D38">
      <w:pPr>
        <w:pStyle w:val="Paragraph"/>
        <w:widowControl w:val="0"/>
        <w:ind w:firstLine="720"/>
        <w:rPr>
          <w:color w:val="000000" w:themeColor="text1"/>
          <w:lang w:eastAsia="en-GB"/>
        </w:rPr>
      </w:pPr>
      <w:r w:rsidRPr="00DA49E9">
        <w:rPr>
          <w:color w:val="000000" w:themeColor="text1"/>
          <w:lang w:eastAsia="en-GB"/>
        </w:rPr>
        <w:lastRenderedPageBreak/>
        <w:t>With converter efficiency:</w:t>
      </w:r>
    </w:p>
    <w:p w14:paraId="507B46CC" w14:textId="77777777" w:rsidR="00686D38" w:rsidRPr="00DA49E9" w:rsidRDefault="00686D38" w:rsidP="007E12FA">
      <w:pPr>
        <w:pStyle w:val="Paragraph"/>
        <w:widowControl w:val="0"/>
        <w:jc w:val="center"/>
      </w:pPr>
    </w:p>
    <w:p w14:paraId="4D110F9A" w14:textId="5AC3E044" w:rsidR="00F21B8F" w:rsidRPr="00DA49E9" w:rsidRDefault="00E4060F" w:rsidP="00686D38">
      <w:pPr>
        <w:pStyle w:val="Paragraph"/>
        <w:widowControl w:val="0"/>
        <w:jc w:val="center"/>
      </w:pPr>
      <w:r>
        <w:rPr>
          <w:position w:val="-12"/>
        </w:rPr>
        <w:pict w14:anchorId="527E51C8">
          <v:shape id="_x0000_i1037" type="#_x0000_t75" style="width:128.95pt;height:18.25pt">
            <v:imagedata r:id="rId23" o:title=""/>
          </v:shape>
        </w:pict>
      </w:r>
    </w:p>
    <w:p w14:paraId="277F6F90" w14:textId="77777777" w:rsidR="00686D38" w:rsidRPr="00DA49E9" w:rsidRDefault="00686D38" w:rsidP="00686D38">
      <w:pPr>
        <w:pStyle w:val="Paragraph"/>
        <w:widowControl w:val="0"/>
        <w:jc w:val="center"/>
        <w:rPr>
          <w:color w:val="000000" w:themeColor="text1"/>
          <w:lang w:eastAsia="en-GB"/>
        </w:rPr>
      </w:pPr>
    </w:p>
    <w:p w14:paraId="229076AA" w14:textId="77777777" w:rsidR="00F21B8F" w:rsidRPr="00DA49E9" w:rsidRDefault="00F21B8F" w:rsidP="00686D38">
      <w:pPr>
        <w:pStyle w:val="Paragraph"/>
        <w:widowControl w:val="0"/>
        <w:ind w:firstLine="720"/>
        <w:rPr>
          <w:color w:val="000000" w:themeColor="text1"/>
          <w:lang w:eastAsia="en-GB"/>
        </w:rPr>
      </w:pPr>
      <w:r w:rsidRPr="00DA49E9">
        <w:rPr>
          <w:color w:val="000000" w:themeColor="text1"/>
          <w:lang w:eastAsia="en-GB"/>
        </w:rPr>
        <w:t xml:space="preserve">Energy directed to the battery (before losses): </w:t>
      </w:r>
    </w:p>
    <w:p w14:paraId="5EE7BF80" w14:textId="77777777" w:rsidR="00686D38" w:rsidRPr="00DA49E9" w:rsidRDefault="00686D38" w:rsidP="00686D38">
      <w:pPr>
        <w:pStyle w:val="Paragraph"/>
        <w:widowControl w:val="0"/>
        <w:ind w:firstLine="720"/>
        <w:rPr>
          <w:color w:val="000000" w:themeColor="text1"/>
          <w:lang w:eastAsia="en-GB"/>
        </w:rPr>
      </w:pPr>
    </w:p>
    <w:p w14:paraId="1B252AEE" w14:textId="77777777" w:rsidR="00F21B8F" w:rsidRPr="00DA49E9" w:rsidRDefault="00E4060F" w:rsidP="00686D38">
      <w:pPr>
        <w:pStyle w:val="Paragraph"/>
        <w:widowControl w:val="0"/>
        <w:jc w:val="center"/>
        <w:rPr>
          <w:color w:val="000000" w:themeColor="text1"/>
          <w:lang w:eastAsia="en-GB"/>
        </w:rPr>
      </w:pPr>
      <w:r>
        <w:rPr>
          <w:position w:val="-12"/>
        </w:rPr>
        <w:pict w14:anchorId="5314567F">
          <v:shape id="_x0000_i1038" type="#_x0000_t75" style="width:120.35pt;height:18.25pt">
            <v:imagedata r:id="rId24" o:title=""/>
          </v:shape>
        </w:pict>
      </w:r>
    </w:p>
    <w:p w14:paraId="7BECB7C3" w14:textId="77777777" w:rsidR="00F21B8F" w:rsidRPr="00DA49E9" w:rsidRDefault="00F21B8F" w:rsidP="007E12FA">
      <w:pPr>
        <w:pStyle w:val="Paragraph"/>
        <w:widowControl w:val="0"/>
        <w:rPr>
          <w:color w:val="000000" w:themeColor="text1"/>
          <w:lang w:eastAsia="en-GB"/>
        </w:rPr>
      </w:pPr>
    </w:p>
    <w:p w14:paraId="4352A2BC" w14:textId="77777777" w:rsidR="00F21B8F" w:rsidRPr="00DA49E9" w:rsidRDefault="00F21B8F" w:rsidP="00686D38">
      <w:pPr>
        <w:pStyle w:val="Paragraph"/>
        <w:widowControl w:val="0"/>
        <w:ind w:firstLine="720"/>
        <w:rPr>
          <w:color w:val="000000" w:themeColor="text1"/>
          <w:lang w:eastAsia="en-GB"/>
        </w:rPr>
      </w:pPr>
      <w:r w:rsidRPr="00DA49E9">
        <w:rPr>
          <w:color w:val="000000" w:themeColor="text1"/>
          <w:lang w:eastAsia="en-GB"/>
        </w:rPr>
        <w:t>With efficiency:</w:t>
      </w:r>
    </w:p>
    <w:p w14:paraId="5439D98B" w14:textId="77777777" w:rsidR="00F21B8F" w:rsidRPr="00DA49E9" w:rsidRDefault="00F21B8F" w:rsidP="007E12FA">
      <w:pPr>
        <w:pStyle w:val="Paragraph"/>
        <w:widowControl w:val="0"/>
        <w:rPr>
          <w:color w:val="000000" w:themeColor="text1"/>
          <w:lang w:eastAsia="en-GB"/>
        </w:rPr>
      </w:pPr>
    </w:p>
    <w:p w14:paraId="4A5B7BC4" w14:textId="77777777" w:rsidR="00F21B8F" w:rsidRPr="00DA49E9" w:rsidRDefault="00E4060F" w:rsidP="007E12FA">
      <w:pPr>
        <w:pStyle w:val="Paragraph"/>
        <w:widowControl w:val="0"/>
        <w:jc w:val="center"/>
        <w:rPr>
          <w:color w:val="000000" w:themeColor="text1"/>
          <w:lang w:eastAsia="en-GB"/>
        </w:rPr>
      </w:pPr>
      <w:r>
        <w:rPr>
          <w:position w:val="-12"/>
        </w:rPr>
        <w:pict w14:anchorId="4E47351B">
          <v:shape id="_x0000_i1039" type="#_x0000_t75" style="width:119.3pt;height:18.25pt">
            <v:imagedata r:id="rId25" o:title=""/>
          </v:shape>
        </w:pict>
      </w:r>
    </w:p>
    <w:p w14:paraId="71076270" w14:textId="77777777" w:rsidR="00F21B8F" w:rsidRPr="00DA49E9" w:rsidRDefault="00F21B8F" w:rsidP="007E12FA">
      <w:pPr>
        <w:pStyle w:val="Paragraph"/>
        <w:widowControl w:val="0"/>
        <w:rPr>
          <w:color w:val="000000" w:themeColor="text1"/>
          <w:lang w:eastAsia="en-GB"/>
        </w:rPr>
      </w:pPr>
    </w:p>
    <w:p w14:paraId="435857CD" w14:textId="77777777" w:rsidR="00F21B8F" w:rsidRPr="00DA49E9" w:rsidRDefault="00F21B8F" w:rsidP="007E12FA">
      <w:pPr>
        <w:pStyle w:val="Paragraph"/>
        <w:widowControl w:val="0"/>
        <w:rPr>
          <w:color w:val="000000" w:themeColor="text1"/>
          <w:lang w:eastAsia="en-GB"/>
        </w:rPr>
      </w:pPr>
      <w:r w:rsidRPr="00DA49E9">
        <w:rPr>
          <w:color w:val="000000" w:themeColor="text1"/>
          <w:lang w:eastAsia="en-GB"/>
        </w:rPr>
        <w:t>Corresponding battery current:</w:t>
      </w:r>
    </w:p>
    <w:p w14:paraId="2F2D29B7" w14:textId="77777777" w:rsidR="00F21B8F" w:rsidRPr="00DA49E9" w:rsidRDefault="00F21B8F" w:rsidP="007E12FA">
      <w:pPr>
        <w:pStyle w:val="Paragraph"/>
        <w:widowControl w:val="0"/>
        <w:rPr>
          <w:color w:val="000000" w:themeColor="text1"/>
          <w:lang w:eastAsia="en-GB"/>
        </w:rPr>
      </w:pPr>
    </w:p>
    <w:p w14:paraId="72A62DF0" w14:textId="77777777" w:rsidR="00F21B8F" w:rsidRPr="00DA49E9" w:rsidRDefault="00E4060F" w:rsidP="007E12FA">
      <w:pPr>
        <w:pStyle w:val="Paragraph"/>
        <w:widowControl w:val="0"/>
        <w:jc w:val="center"/>
        <w:rPr>
          <w:color w:val="000000" w:themeColor="text1"/>
          <w:lang w:eastAsia="en-GB"/>
        </w:rPr>
      </w:pPr>
      <w:r>
        <w:rPr>
          <w:position w:val="-30"/>
        </w:rPr>
        <w:pict w14:anchorId="1CCD2706">
          <v:shape id="_x0000_i1040" type="#_x0000_t75" style="width:182.7pt;height:33.3pt">
            <v:imagedata r:id="rId26" o:title=""/>
          </v:shape>
        </w:pict>
      </w:r>
    </w:p>
    <w:p w14:paraId="0CD007A6" w14:textId="77777777" w:rsidR="00686D38" w:rsidRPr="00DA49E9" w:rsidRDefault="00686D38" w:rsidP="00686D38">
      <w:pPr>
        <w:pStyle w:val="Paragraph"/>
        <w:widowControl w:val="0"/>
        <w:ind w:firstLine="720"/>
        <w:rPr>
          <w:color w:val="000000" w:themeColor="text1"/>
          <w:lang w:eastAsia="en-GB"/>
        </w:rPr>
      </w:pPr>
    </w:p>
    <w:p w14:paraId="654BFB3E" w14:textId="206A88D7" w:rsidR="00F21B8F" w:rsidRPr="00DA49E9" w:rsidRDefault="00F21B8F" w:rsidP="00686D38">
      <w:pPr>
        <w:pStyle w:val="Paragraph"/>
        <w:widowControl w:val="0"/>
        <w:ind w:firstLine="720"/>
        <w:rPr>
          <w:color w:val="000000" w:themeColor="text1"/>
          <w:lang w:eastAsia="en-GB"/>
        </w:rPr>
      </w:pPr>
      <w:r w:rsidRPr="00DA49E9">
        <w:rPr>
          <w:color w:val="000000" w:themeColor="text1"/>
          <w:lang w:eastAsia="en-GB"/>
        </w:rPr>
        <w:t>Step 5. Results</w:t>
      </w:r>
      <w:r w:rsidR="001572FC" w:rsidRPr="00DA49E9">
        <w:rPr>
          <w:color w:val="000000" w:themeColor="text1"/>
          <w:lang w:eastAsia="en-GB"/>
        </w:rPr>
        <w:t>. The numerical results are summarized in Table 3, providing a side-by-side comparison of the two configurations in terms of peak battery current and recovered braking energy.</w:t>
      </w:r>
    </w:p>
    <w:p w14:paraId="0A044A3E" w14:textId="77777777" w:rsidR="00215073" w:rsidRPr="00DA49E9" w:rsidRDefault="00215073" w:rsidP="00686D38">
      <w:pPr>
        <w:pStyle w:val="Paragraph"/>
        <w:widowControl w:val="0"/>
        <w:ind w:firstLine="720"/>
        <w:rPr>
          <w:color w:val="000000" w:themeColor="text1"/>
          <w:lang w:eastAsia="en-GB"/>
        </w:rPr>
      </w:pPr>
    </w:p>
    <w:p w14:paraId="2EF26652" w14:textId="5870E5E6" w:rsidR="00F21B8F" w:rsidRPr="00DA49E9" w:rsidRDefault="00F21B8F" w:rsidP="007E12FA">
      <w:pPr>
        <w:jc w:val="center"/>
        <w:rPr>
          <w:color w:val="000000" w:themeColor="text1"/>
          <w:sz w:val="18"/>
          <w:szCs w:val="18"/>
          <w:lang w:eastAsia="en-GB"/>
        </w:rPr>
      </w:pPr>
      <w:r w:rsidRPr="00DA49E9">
        <w:rPr>
          <w:b/>
          <w:color w:val="000000" w:themeColor="text1"/>
          <w:sz w:val="18"/>
          <w:szCs w:val="18"/>
          <w:lang w:eastAsia="en-GB"/>
        </w:rPr>
        <w:t>TABLE</w:t>
      </w:r>
      <w:r w:rsidR="00686D38" w:rsidRPr="00DA49E9">
        <w:rPr>
          <w:b/>
          <w:color w:val="000000" w:themeColor="text1"/>
          <w:sz w:val="18"/>
          <w:szCs w:val="18"/>
          <w:lang w:eastAsia="en-GB"/>
        </w:rPr>
        <w:t xml:space="preserve"> 3</w:t>
      </w:r>
      <w:r w:rsidRPr="00DA49E9">
        <w:rPr>
          <w:b/>
          <w:color w:val="000000" w:themeColor="text1"/>
          <w:sz w:val="18"/>
          <w:szCs w:val="18"/>
          <w:lang w:eastAsia="en-GB"/>
        </w:rPr>
        <w:t xml:space="preserve">. </w:t>
      </w:r>
      <w:r w:rsidRPr="00DA49E9">
        <w:rPr>
          <w:color w:val="000000" w:themeColor="text1"/>
          <w:sz w:val="18"/>
          <w:szCs w:val="18"/>
          <w:lang w:eastAsia="en-GB"/>
        </w:rPr>
        <w:t>Battery current and recovered energy during braking</w:t>
      </w:r>
    </w:p>
    <w:tbl>
      <w:tblPr>
        <w:tblStyle w:val="a9"/>
        <w:tblW w:w="0" w:type="auto"/>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1620"/>
        <w:gridCol w:w="1870"/>
        <w:gridCol w:w="1870"/>
        <w:gridCol w:w="1870"/>
        <w:gridCol w:w="1870"/>
      </w:tblGrid>
      <w:tr w:rsidR="00F21B8F" w:rsidRPr="00DA49E9" w14:paraId="340BA368" w14:textId="77777777" w:rsidTr="000B6227">
        <w:tc>
          <w:tcPr>
            <w:tcW w:w="1620" w:type="dxa"/>
            <w:tcBorders>
              <w:bottom w:val="single" w:sz="4" w:space="0" w:color="auto"/>
            </w:tcBorders>
            <w:vAlign w:val="center"/>
          </w:tcPr>
          <w:p w14:paraId="244C27BD" w14:textId="77777777" w:rsidR="00F21B8F" w:rsidRPr="00DA49E9" w:rsidRDefault="00F21B8F" w:rsidP="00E22AB6">
            <w:pPr>
              <w:pStyle w:val="Paragraph"/>
              <w:widowControl w:val="0"/>
              <w:ind w:firstLine="0"/>
              <w:jc w:val="center"/>
              <w:rPr>
                <w:b/>
                <w:color w:val="000000" w:themeColor="text1"/>
                <w:sz w:val="18"/>
                <w:szCs w:val="18"/>
                <w:lang w:eastAsia="en-GB"/>
              </w:rPr>
            </w:pPr>
            <w:r w:rsidRPr="00DA49E9">
              <w:rPr>
                <w:b/>
                <w:color w:val="000000" w:themeColor="text1"/>
                <w:sz w:val="18"/>
                <w:szCs w:val="18"/>
                <w:lang w:eastAsia="en-GB"/>
              </w:rPr>
              <w:t>Case</w:t>
            </w:r>
          </w:p>
        </w:tc>
        <w:tc>
          <w:tcPr>
            <w:tcW w:w="1870" w:type="dxa"/>
            <w:tcBorders>
              <w:bottom w:val="single" w:sz="4" w:space="0" w:color="auto"/>
            </w:tcBorders>
            <w:vAlign w:val="center"/>
          </w:tcPr>
          <w:p w14:paraId="189D503C" w14:textId="31B4CD38" w:rsidR="00F21B8F" w:rsidRPr="00DA49E9" w:rsidRDefault="00F21B8F" w:rsidP="000B6227">
            <w:pPr>
              <w:pStyle w:val="Paragraph"/>
              <w:widowControl w:val="0"/>
              <w:ind w:firstLine="0"/>
              <w:jc w:val="center"/>
              <w:rPr>
                <w:b/>
                <w:color w:val="000000" w:themeColor="text1"/>
                <w:sz w:val="18"/>
                <w:szCs w:val="18"/>
                <w:lang w:eastAsia="en-GB"/>
              </w:rPr>
            </w:pPr>
            <w:r w:rsidRPr="00DA49E9">
              <w:rPr>
                <w:b/>
                <w:color w:val="000000" w:themeColor="text1"/>
                <w:sz w:val="18"/>
                <w:szCs w:val="18"/>
                <w:lang w:eastAsia="en-GB"/>
              </w:rPr>
              <w:t>Peak battery current</w:t>
            </w:r>
            <w:r w:rsidR="000B6227" w:rsidRPr="00DA49E9">
              <w:rPr>
                <w:b/>
                <w:color w:val="000000" w:themeColor="text1"/>
                <w:sz w:val="18"/>
                <w:szCs w:val="18"/>
                <w:lang w:eastAsia="en-GB"/>
              </w:rPr>
              <w:t xml:space="preserve">, </w:t>
            </w:r>
            <w:r w:rsidRPr="00DA49E9">
              <w:rPr>
                <w:b/>
                <w:color w:val="000000" w:themeColor="text1"/>
                <w:sz w:val="18"/>
                <w:szCs w:val="18"/>
                <w:lang w:eastAsia="en-GB"/>
              </w:rPr>
              <w:t>A</w:t>
            </w:r>
          </w:p>
        </w:tc>
        <w:tc>
          <w:tcPr>
            <w:tcW w:w="1870" w:type="dxa"/>
            <w:tcBorders>
              <w:bottom w:val="single" w:sz="4" w:space="0" w:color="auto"/>
            </w:tcBorders>
            <w:vAlign w:val="center"/>
          </w:tcPr>
          <w:p w14:paraId="661BC7B7" w14:textId="641CAB40" w:rsidR="00F21B8F" w:rsidRPr="00DA49E9" w:rsidRDefault="00F21B8F" w:rsidP="000B6227">
            <w:pPr>
              <w:pStyle w:val="Paragraph"/>
              <w:widowControl w:val="0"/>
              <w:ind w:firstLine="0"/>
              <w:jc w:val="center"/>
              <w:rPr>
                <w:b/>
                <w:color w:val="000000" w:themeColor="text1"/>
                <w:sz w:val="18"/>
                <w:szCs w:val="18"/>
                <w:lang w:eastAsia="en-GB"/>
              </w:rPr>
            </w:pPr>
            <w:r w:rsidRPr="00DA49E9">
              <w:rPr>
                <w:b/>
                <w:color w:val="000000" w:themeColor="text1"/>
                <w:sz w:val="18"/>
                <w:szCs w:val="18"/>
                <w:lang w:eastAsia="en-GB"/>
              </w:rPr>
              <w:t>Energy to SC</w:t>
            </w:r>
            <w:r w:rsidR="000B6227" w:rsidRPr="00DA49E9">
              <w:rPr>
                <w:b/>
                <w:color w:val="000000" w:themeColor="text1"/>
                <w:sz w:val="18"/>
                <w:szCs w:val="18"/>
                <w:lang w:eastAsia="en-GB"/>
              </w:rPr>
              <w:t xml:space="preserve">, </w:t>
            </w:r>
            <w:proofErr w:type="spellStart"/>
            <w:r w:rsidRPr="00DA49E9">
              <w:rPr>
                <w:b/>
                <w:color w:val="000000" w:themeColor="text1"/>
                <w:sz w:val="18"/>
                <w:szCs w:val="18"/>
                <w:lang w:eastAsia="en-GB"/>
              </w:rPr>
              <w:t>Wh</w:t>
            </w:r>
            <w:proofErr w:type="spellEnd"/>
          </w:p>
        </w:tc>
        <w:tc>
          <w:tcPr>
            <w:tcW w:w="1870" w:type="dxa"/>
            <w:tcBorders>
              <w:bottom w:val="single" w:sz="4" w:space="0" w:color="auto"/>
            </w:tcBorders>
            <w:vAlign w:val="center"/>
          </w:tcPr>
          <w:p w14:paraId="52C9A0FB" w14:textId="4F80BDCE" w:rsidR="00F21B8F" w:rsidRPr="00DA49E9" w:rsidRDefault="00F21B8F" w:rsidP="000B6227">
            <w:pPr>
              <w:pStyle w:val="Paragraph"/>
              <w:widowControl w:val="0"/>
              <w:ind w:firstLine="0"/>
              <w:jc w:val="center"/>
              <w:rPr>
                <w:b/>
                <w:color w:val="000000" w:themeColor="text1"/>
                <w:sz w:val="18"/>
                <w:szCs w:val="18"/>
                <w:lang w:eastAsia="en-GB"/>
              </w:rPr>
            </w:pPr>
            <w:r w:rsidRPr="00DA49E9">
              <w:rPr>
                <w:b/>
                <w:color w:val="000000" w:themeColor="text1"/>
                <w:sz w:val="18"/>
                <w:szCs w:val="18"/>
                <w:lang w:eastAsia="en-GB"/>
              </w:rPr>
              <w:t>Energy to battery</w:t>
            </w:r>
            <w:r w:rsidR="000B6227" w:rsidRPr="00DA49E9">
              <w:rPr>
                <w:b/>
                <w:color w:val="000000" w:themeColor="text1"/>
                <w:sz w:val="18"/>
                <w:szCs w:val="18"/>
                <w:lang w:eastAsia="en-GB"/>
              </w:rPr>
              <w:t xml:space="preserve">, </w:t>
            </w:r>
            <w:proofErr w:type="spellStart"/>
            <w:r w:rsidRPr="00DA49E9">
              <w:rPr>
                <w:b/>
                <w:color w:val="000000" w:themeColor="text1"/>
                <w:sz w:val="18"/>
                <w:szCs w:val="18"/>
                <w:lang w:eastAsia="en-GB"/>
              </w:rPr>
              <w:t>Wh</w:t>
            </w:r>
            <w:proofErr w:type="spellEnd"/>
          </w:p>
        </w:tc>
        <w:tc>
          <w:tcPr>
            <w:tcW w:w="1870" w:type="dxa"/>
            <w:tcBorders>
              <w:bottom w:val="single" w:sz="4" w:space="0" w:color="auto"/>
            </w:tcBorders>
            <w:vAlign w:val="center"/>
          </w:tcPr>
          <w:p w14:paraId="1C318D6F" w14:textId="37440A00" w:rsidR="00F21B8F" w:rsidRPr="00DA49E9" w:rsidRDefault="00F21B8F" w:rsidP="000B6227">
            <w:pPr>
              <w:pStyle w:val="Paragraph"/>
              <w:widowControl w:val="0"/>
              <w:ind w:firstLine="0"/>
              <w:jc w:val="center"/>
              <w:rPr>
                <w:b/>
                <w:color w:val="000000" w:themeColor="text1"/>
                <w:sz w:val="18"/>
                <w:szCs w:val="18"/>
                <w:lang w:eastAsia="en-GB"/>
              </w:rPr>
            </w:pPr>
            <w:r w:rsidRPr="00DA49E9">
              <w:rPr>
                <w:b/>
                <w:color w:val="000000" w:themeColor="text1"/>
                <w:sz w:val="18"/>
                <w:szCs w:val="18"/>
                <w:lang w:eastAsia="en-GB"/>
              </w:rPr>
              <w:t>Total recovered</w:t>
            </w:r>
            <w:r w:rsidR="000B6227" w:rsidRPr="00DA49E9">
              <w:rPr>
                <w:b/>
                <w:color w:val="000000" w:themeColor="text1"/>
                <w:sz w:val="18"/>
                <w:szCs w:val="18"/>
                <w:lang w:eastAsia="en-GB"/>
              </w:rPr>
              <w:t xml:space="preserve">, </w:t>
            </w:r>
            <w:proofErr w:type="spellStart"/>
            <w:r w:rsidRPr="00DA49E9">
              <w:rPr>
                <w:b/>
                <w:color w:val="000000" w:themeColor="text1"/>
                <w:sz w:val="18"/>
                <w:szCs w:val="18"/>
                <w:lang w:eastAsia="en-GB"/>
              </w:rPr>
              <w:t>Wh</w:t>
            </w:r>
            <w:proofErr w:type="spellEnd"/>
          </w:p>
        </w:tc>
      </w:tr>
      <w:tr w:rsidR="00F21B8F" w:rsidRPr="00DA49E9" w14:paraId="68C5F4BD" w14:textId="77777777" w:rsidTr="000B6227">
        <w:tc>
          <w:tcPr>
            <w:tcW w:w="1620" w:type="dxa"/>
            <w:tcBorders>
              <w:bottom w:val="nil"/>
            </w:tcBorders>
            <w:vAlign w:val="center"/>
          </w:tcPr>
          <w:p w14:paraId="3D889C95" w14:textId="77777777" w:rsidR="00F21B8F" w:rsidRPr="00DA49E9" w:rsidRDefault="00F21B8F" w:rsidP="00E22AB6">
            <w:pPr>
              <w:pStyle w:val="Paragraph"/>
              <w:widowControl w:val="0"/>
              <w:ind w:firstLine="0"/>
              <w:rPr>
                <w:color w:val="000000" w:themeColor="text1"/>
                <w:lang w:eastAsia="en-GB"/>
              </w:rPr>
            </w:pPr>
            <w:r w:rsidRPr="00DA49E9">
              <w:rPr>
                <w:color w:val="000000" w:themeColor="text1"/>
                <w:lang w:eastAsia="en-GB"/>
              </w:rPr>
              <w:t>Battery only</w:t>
            </w:r>
          </w:p>
        </w:tc>
        <w:tc>
          <w:tcPr>
            <w:tcW w:w="1870" w:type="dxa"/>
            <w:tcBorders>
              <w:bottom w:val="nil"/>
            </w:tcBorders>
            <w:vAlign w:val="center"/>
          </w:tcPr>
          <w:p w14:paraId="3CEBC4C4" w14:textId="77777777" w:rsidR="00F21B8F" w:rsidRPr="00DA49E9" w:rsidRDefault="00F21B8F" w:rsidP="00E22AB6">
            <w:pPr>
              <w:pStyle w:val="Paragraph"/>
              <w:widowControl w:val="0"/>
              <w:ind w:firstLine="0"/>
              <w:jc w:val="center"/>
              <w:rPr>
                <w:color w:val="000000" w:themeColor="text1"/>
                <w:lang w:eastAsia="en-GB"/>
              </w:rPr>
            </w:pPr>
            <w:r w:rsidRPr="00DA49E9">
              <w:rPr>
                <w:color w:val="000000" w:themeColor="text1"/>
                <w:lang w:eastAsia="en-GB"/>
              </w:rPr>
              <w:t>138</w:t>
            </w:r>
          </w:p>
        </w:tc>
        <w:tc>
          <w:tcPr>
            <w:tcW w:w="1870" w:type="dxa"/>
            <w:tcBorders>
              <w:bottom w:val="nil"/>
            </w:tcBorders>
            <w:vAlign w:val="center"/>
          </w:tcPr>
          <w:p w14:paraId="3BE8555E" w14:textId="77777777" w:rsidR="00F21B8F" w:rsidRPr="00DA49E9" w:rsidRDefault="00F21B8F" w:rsidP="00E22AB6">
            <w:pPr>
              <w:pStyle w:val="Paragraph"/>
              <w:widowControl w:val="0"/>
              <w:ind w:firstLine="0"/>
              <w:jc w:val="center"/>
              <w:rPr>
                <w:color w:val="000000" w:themeColor="text1"/>
                <w:lang w:eastAsia="en-GB"/>
              </w:rPr>
            </w:pPr>
            <w:r w:rsidRPr="00DA49E9">
              <w:rPr>
                <w:color w:val="000000" w:themeColor="text1"/>
                <w:lang w:eastAsia="en-GB"/>
              </w:rPr>
              <w:t>0</w:t>
            </w:r>
          </w:p>
        </w:tc>
        <w:tc>
          <w:tcPr>
            <w:tcW w:w="1870" w:type="dxa"/>
            <w:tcBorders>
              <w:bottom w:val="nil"/>
            </w:tcBorders>
            <w:vAlign w:val="center"/>
          </w:tcPr>
          <w:p w14:paraId="5B1FB989" w14:textId="77777777" w:rsidR="00F21B8F" w:rsidRPr="00DA49E9" w:rsidRDefault="00F21B8F" w:rsidP="00E22AB6">
            <w:pPr>
              <w:pStyle w:val="Paragraph"/>
              <w:widowControl w:val="0"/>
              <w:ind w:firstLine="0"/>
              <w:jc w:val="center"/>
              <w:rPr>
                <w:color w:val="000000" w:themeColor="text1"/>
                <w:lang w:eastAsia="en-GB"/>
              </w:rPr>
            </w:pPr>
            <w:r w:rsidRPr="00DA49E9">
              <w:rPr>
                <w:color w:val="000000" w:themeColor="text1"/>
                <w:lang w:eastAsia="en-GB"/>
              </w:rPr>
              <w:t>36.2</w:t>
            </w:r>
          </w:p>
        </w:tc>
        <w:tc>
          <w:tcPr>
            <w:tcW w:w="1870" w:type="dxa"/>
            <w:tcBorders>
              <w:bottom w:val="nil"/>
            </w:tcBorders>
            <w:vAlign w:val="center"/>
          </w:tcPr>
          <w:p w14:paraId="6B1D940F" w14:textId="77777777" w:rsidR="00F21B8F" w:rsidRPr="00DA49E9" w:rsidRDefault="00F21B8F" w:rsidP="00E22AB6">
            <w:pPr>
              <w:pStyle w:val="Paragraph"/>
              <w:widowControl w:val="0"/>
              <w:ind w:firstLine="0"/>
              <w:jc w:val="center"/>
              <w:rPr>
                <w:color w:val="000000" w:themeColor="text1"/>
                <w:lang w:eastAsia="en-GB"/>
              </w:rPr>
            </w:pPr>
            <w:r w:rsidRPr="00DA49E9">
              <w:rPr>
                <w:color w:val="000000" w:themeColor="text1"/>
                <w:lang w:eastAsia="en-GB"/>
              </w:rPr>
              <w:t>36.2</w:t>
            </w:r>
          </w:p>
        </w:tc>
      </w:tr>
      <w:tr w:rsidR="00F21B8F" w:rsidRPr="00DA49E9" w14:paraId="16C2B4D2" w14:textId="77777777" w:rsidTr="000B6227">
        <w:tc>
          <w:tcPr>
            <w:tcW w:w="1620" w:type="dxa"/>
            <w:tcBorders>
              <w:top w:val="nil"/>
            </w:tcBorders>
            <w:vAlign w:val="center"/>
          </w:tcPr>
          <w:p w14:paraId="0D4AE914" w14:textId="77777777" w:rsidR="00F21B8F" w:rsidRPr="00DA49E9" w:rsidRDefault="00F21B8F" w:rsidP="00E22AB6">
            <w:pPr>
              <w:pStyle w:val="Paragraph"/>
              <w:widowControl w:val="0"/>
              <w:ind w:firstLine="0"/>
              <w:rPr>
                <w:color w:val="000000" w:themeColor="text1"/>
                <w:lang w:eastAsia="en-GB"/>
              </w:rPr>
            </w:pPr>
            <w:r w:rsidRPr="00DA49E9">
              <w:rPr>
                <w:color w:val="000000" w:themeColor="text1"/>
                <w:lang w:eastAsia="en-GB"/>
              </w:rPr>
              <w:t>Active HESS</w:t>
            </w:r>
          </w:p>
        </w:tc>
        <w:tc>
          <w:tcPr>
            <w:tcW w:w="1870" w:type="dxa"/>
            <w:tcBorders>
              <w:top w:val="nil"/>
            </w:tcBorders>
            <w:vAlign w:val="center"/>
          </w:tcPr>
          <w:p w14:paraId="0DDC65C2" w14:textId="77777777" w:rsidR="00F21B8F" w:rsidRPr="00DA49E9" w:rsidRDefault="00F21B8F" w:rsidP="00E22AB6">
            <w:pPr>
              <w:pStyle w:val="Paragraph"/>
              <w:widowControl w:val="0"/>
              <w:ind w:firstLine="0"/>
              <w:jc w:val="center"/>
              <w:rPr>
                <w:color w:val="000000" w:themeColor="text1"/>
                <w:lang w:eastAsia="en-GB"/>
              </w:rPr>
            </w:pPr>
            <w:r w:rsidRPr="00DA49E9">
              <w:rPr>
                <w:color w:val="000000" w:themeColor="text1"/>
                <w:lang w:eastAsia="en-GB"/>
              </w:rPr>
              <w:t>28</w:t>
            </w:r>
          </w:p>
        </w:tc>
        <w:tc>
          <w:tcPr>
            <w:tcW w:w="1870" w:type="dxa"/>
            <w:tcBorders>
              <w:top w:val="nil"/>
            </w:tcBorders>
            <w:vAlign w:val="center"/>
          </w:tcPr>
          <w:p w14:paraId="5B386D83" w14:textId="77777777" w:rsidR="00F21B8F" w:rsidRPr="00DA49E9" w:rsidRDefault="00F21B8F" w:rsidP="00E22AB6">
            <w:pPr>
              <w:pStyle w:val="Paragraph"/>
              <w:widowControl w:val="0"/>
              <w:ind w:firstLine="0"/>
              <w:jc w:val="center"/>
              <w:rPr>
                <w:color w:val="000000" w:themeColor="text1"/>
                <w:lang w:eastAsia="en-GB"/>
              </w:rPr>
            </w:pPr>
            <w:r w:rsidRPr="00DA49E9">
              <w:rPr>
                <w:color w:val="000000" w:themeColor="text1"/>
                <w:lang w:eastAsia="en-GB"/>
              </w:rPr>
              <w:t>31.5</w:t>
            </w:r>
          </w:p>
        </w:tc>
        <w:tc>
          <w:tcPr>
            <w:tcW w:w="1870" w:type="dxa"/>
            <w:tcBorders>
              <w:top w:val="nil"/>
            </w:tcBorders>
            <w:vAlign w:val="center"/>
          </w:tcPr>
          <w:p w14:paraId="1ECE109C" w14:textId="77777777" w:rsidR="00F21B8F" w:rsidRPr="00DA49E9" w:rsidRDefault="00F21B8F" w:rsidP="00E22AB6">
            <w:pPr>
              <w:pStyle w:val="Paragraph"/>
              <w:widowControl w:val="0"/>
              <w:ind w:firstLine="0"/>
              <w:jc w:val="center"/>
              <w:rPr>
                <w:color w:val="000000" w:themeColor="text1"/>
                <w:lang w:eastAsia="en-GB"/>
              </w:rPr>
            </w:pPr>
            <w:r w:rsidRPr="00DA49E9">
              <w:rPr>
                <w:color w:val="000000" w:themeColor="text1"/>
                <w:lang w:eastAsia="en-GB"/>
              </w:rPr>
              <w:t>7.2</w:t>
            </w:r>
          </w:p>
        </w:tc>
        <w:tc>
          <w:tcPr>
            <w:tcW w:w="1870" w:type="dxa"/>
            <w:tcBorders>
              <w:top w:val="nil"/>
            </w:tcBorders>
            <w:vAlign w:val="center"/>
          </w:tcPr>
          <w:p w14:paraId="625FF83A" w14:textId="77777777" w:rsidR="00F21B8F" w:rsidRPr="00DA49E9" w:rsidRDefault="00F21B8F" w:rsidP="00E22AB6">
            <w:pPr>
              <w:pStyle w:val="Paragraph"/>
              <w:widowControl w:val="0"/>
              <w:ind w:firstLine="0"/>
              <w:jc w:val="center"/>
              <w:rPr>
                <w:color w:val="000000" w:themeColor="text1"/>
                <w:lang w:eastAsia="en-GB"/>
              </w:rPr>
            </w:pPr>
            <w:r w:rsidRPr="00DA49E9">
              <w:rPr>
                <w:color w:val="000000" w:themeColor="text1"/>
                <w:lang w:eastAsia="en-GB"/>
              </w:rPr>
              <w:t>38.7</w:t>
            </w:r>
          </w:p>
        </w:tc>
      </w:tr>
    </w:tbl>
    <w:p w14:paraId="469F9768" w14:textId="77777777" w:rsidR="00F21B8F" w:rsidRPr="00DA49E9" w:rsidRDefault="00F21B8F" w:rsidP="00F21B8F">
      <w:pPr>
        <w:pStyle w:val="Paragraph"/>
        <w:widowControl w:val="0"/>
        <w:rPr>
          <w:color w:val="000000" w:themeColor="text1"/>
          <w:sz w:val="18"/>
          <w:szCs w:val="18"/>
          <w:lang w:eastAsia="en-GB"/>
        </w:rPr>
      </w:pPr>
    </w:p>
    <w:p w14:paraId="22BFE680" w14:textId="60FB4694" w:rsidR="00215073" w:rsidRPr="00DA49E9" w:rsidRDefault="00215073" w:rsidP="00215073">
      <w:pPr>
        <w:pStyle w:val="Paragraph"/>
        <w:widowControl w:val="0"/>
        <w:rPr>
          <w:color w:val="000000" w:themeColor="text1"/>
          <w:lang w:eastAsia="en-GB"/>
        </w:rPr>
      </w:pPr>
      <w:r w:rsidRPr="00DA49E9">
        <w:rPr>
          <w:color w:val="000000" w:themeColor="text1"/>
          <w:lang w:eastAsia="en-GB"/>
        </w:rPr>
        <w:t>Discussion</w:t>
      </w:r>
      <w:r w:rsidR="00ED7969" w:rsidRPr="00DA49E9">
        <w:rPr>
          <w:color w:val="000000" w:themeColor="text1"/>
          <w:lang w:eastAsia="en-GB"/>
        </w:rPr>
        <w:t xml:space="preserve"> and limitations</w:t>
      </w:r>
      <w:r w:rsidRPr="00DA49E9">
        <w:rPr>
          <w:color w:val="000000" w:themeColor="text1"/>
          <w:lang w:eastAsia="en-GB"/>
        </w:rPr>
        <w:t>. The results indicate that the active hybrid energy storage system reduces the peak battery current by almost 80</w:t>
      </w:r>
      <w:r w:rsidR="00BC5AAC" w:rsidRPr="00DA49E9">
        <w:rPr>
          <w:color w:val="000000" w:themeColor="text1"/>
          <w:lang w:eastAsia="en-GB"/>
        </w:rPr>
        <w:t xml:space="preserve"> </w:t>
      </w:r>
      <w:r w:rsidRPr="00DA49E9">
        <w:rPr>
          <w:color w:val="000000" w:themeColor="text1"/>
          <w:lang w:eastAsia="en-GB"/>
        </w:rPr>
        <w:t>%, significantly alleviating battery current stress during regenerative braking. Furthermore, the total recovered energy is marginally higher compared to the battery-only configuration, primarily due to the high efficiency of the supercapacitor power converter. These findings are consistent with prior studies, which report that hybrid storage systems contribute to both mitigation of battery degradation risks under high-power transients and enhanced utilization of regenerative braking energy [</w:t>
      </w:r>
      <w:r w:rsidR="000653F9" w:rsidRPr="00DA49E9">
        <w:rPr>
          <w:color w:val="000000" w:themeColor="text1"/>
          <w:lang w:eastAsia="en-GB"/>
        </w:rPr>
        <w:t>40</w:t>
      </w:r>
      <w:r w:rsidRPr="00DA49E9">
        <w:rPr>
          <w:color w:val="000000" w:themeColor="text1"/>
          <w:lang w:eastAsia="en-GB"/>
        </w:rPr>
        <w:t>–</w:t>
      </w:r>
      <w:r w:rsidR="000653F9" w:rsidRPr="00DA49E9">
        <w:rPr>
          <w:color w:val="000000" w:themeColor="text1"/>
          <w:lang w:eastAsia="en-GB"/>
        </w:rPr>
        <w:t>42</w:t>
      </w:r>
      <w:r w:rsidRPr="00DA49E9">
        <w:rPr>
          <w:color w:val="000000" w:themeColor="text1"/>
          <w:lang w:eastAsia="en-GB"/>
        </w:rPr>
        <w:t>].</w:t>
      </w:r>
    </w:p>
    <w:p w14:paraId="2EE50FCF" w14:textId="15F4CF0E" w:rsidR="00F21B8F" w:rsidRPr="00DA49E9" w:rsidRDefault="009917D1" w:rsidP="00215073">
      <w:pPr>
        <w:pStyle w:val="Paragraph"/>
        <w:widowControl w:val="0"/>
        <w:rPr>
          <w:color w:val="000000" w:themeColor="text1"/>
          <w:lang w:eastAsia="en-GB"/>
        </w:rPr>
      </w:pPr>
      <w:r w:rsidRPr="00DA49E9">
        <w:rPr>
          <w:color w:val="000000" w:themeColor="text1"/>
          <w:lang w:eastAsia="en-GB"/>
        </w:rPr>
        <w:t>This case study is preliminary and based on simplified assumptions. For comprehensive validation, full drive-cycle simulations and experimental tests are required, including detailed modeling of supercapacitor voltage dynamics, converter switching losses, and battery aging effects</w:t>
      </w:r>
    </w:p>
    <w:p w14:paraId="6F5E32AC" w14:textId="77777777" w:rsidR="00D6260B" w:rsidRPr="00DA49E9" w:rsidRDefault="00D6260B" w:rsidP="00D6260B">
      <w:pPr>
        <w:pStyle w:val="1"/>
        <w:rPr>
          <w:color w:val="000000" w:themeColor="text1"/>
        </w:rPr>
      </w:pPr>
      <w:r w:rsidRPr="00DA49E9">
        <w:rPr>
          <w:color w:val="000000" w:themeColor="text1"/>
        </w:rPr>
        <w:t xml:space="preserve">Conclusions </w:t>
      </w:r>
    </w:p>
    <w:p w14:paraId="0BCAEAFF" w14:textId="77777777" w:rsidR="00D6260B" w:rsidRPr="00DA49E9" w:rsidRDefault="00D6260B" w:rsidP="00D6260B">
      <w:pPr>
        <w:pStyle w:val="Paragraph"/>
        <w:widowControl w:val="0"/>
        <w:rPr>
          <w:color w:val="000000" w:themeColor="text1"/>
          <w:lang w:eastAsia="en-GB"/>
        </w:rPr>
      </w:pPr>
      <w:r w:rsidRPr="00DA49E9">
        <w:rPr>
          <w:color w:val="000000" w:themeColor="text1"/>
          <w:lang w:eastAsia="en-GB"/>
        </w:rPr>
        <w:t>A hybrid energy storage system that integrates the advantages of lithium-ion batteries and supercapacitors represents a viable and rational solution to meet the requirements of electric drive power supply systems in electric vehicles. The implementation of such energy storage systems, combining batteries and supercapacitors, is expected to provide the following benefits for the power source, the electric drive, and the electric vehicle as a whole:</w:t>
      </w:r>
    </w:p>
    <w:p w14:paraId="02A5EB84" w14:textId="77777777" w:rsidR="00D6260B" w:rsidRPr="00DA49E9" w:rsidRDefault="00D6260B" w:rsidP="00E62F12">
      <w:pPr>
        <w:pStyle w:val="Paragraph"/>
        <w:widowControl w:val="0"/>
        <w:numPr>
          <w:ilvl w:val="0"/>
          <w:numId w:val="11"/>
        </w:numPr>
        <w:ind w:left="567" w:hanging="283"/>
        <w:rPr>
          <w:color w:val="000000" w:themeColor="text1"/>
          <w:lang w:eastAsia="en-GB"/>
        </w:rPr>
      </w:pPr>
      <w:r w:rsidRPr="00DA49E9">
        <w:rPr>
          <w:color w:val="000000" w:themeColor="text1"/>
          <w:lang w:eastAsia="en-GB"/>
        </w:rPr>
        <w:t>high power capability, which determines the dynamic performance of the electric vehicle;</w:t>
      </w:r>
    </w:p>
    <w:p w14:paraId="3248E73E" w14:textId="77777777" w:rsidR="00D6260B" w:rsidRPr="00DA49E9" w:rsidRDefault="00D6260B" w:rsidP="00E62F12">
      <w:pPr>
        <w:pStyle w:val="Paragraph"/>
        <w:widowControl w:val="0"/>
        <w:numPr>
          <w:ilvl w:val="0"/>
          <w:numId w:val="11"/>
        </w:numPr>
        <w:ind w:left="567" w:hanging="283"/>
        <w:rPr>
          <w:color w:val="000000" w:themeColor="text1"/>
          <w:lang w:eastAsia="en-GB"/>
        </w:rPr>
      </w:pPr>
      <w:r w:rsidRPr="00DA49E9">
        <w:rPr>
          <w:color w:val="000000" w:themeColor="text1"/>
          <w:lang w:eastAsia="en-GB"/>
        </w:rPr>
        <w:t>high energy capacity, which determines the driving range on a single battery charge;</w:t>
      </w:r>
    </w:p>
    <w:p w14:paraId="31DC0986" w14:textId="77777777" w:rsidR="00D6260B" w:rsidRPr="00DA49E9" w:rsidRDefault="00D6260B" w:rsidP="00E62F12">
      <w:pPr>
        <w:pStyle w:val="Paragraph"/>
        <w:widowControl w:val="0"/>
        <w:numPr>
          <w:ilvl w:val="0"/>
          <w:numId w:val="11"/>
        </w:numPr>
        <w:ind w:left="567" w:hanging="283"/>
        <w:rPr>
          <w:color w:val="000000" w:themeColor="text1"/>
          <w:lang w:eastAsia="en-GB"/>
        </w:rPr>
      </w:pPr>
      <w:r w:rsidRPr="00DA49E9">
        <w:rPr>
          <w:color w:val="000000" w:themeColor="text1"/>
          <w:lang w:eastAsia="en-GB"/>
        </w:rPr>
        <w:t>extended service life of the lithium-ion battery;</w:t>
      </w:r>
    </w:p>
    <w:p w14:paraId="6166158C" w14:textId="77777777" w:rsidR="00D6260B" w:rsidRPr="00DA49E9" w:rsidRDefault="00D6260B" w:rsidP="00E62F12">
      <w:pPr>
        <w:pStyle w:val="Paragraph"/>
        <w:widowControl w:val="0"/>
        <w:numPr>
          <w:ilvl w:val="0"/>
          <w:numId w:val="11"/>
        </w:numPr>
        <w:ind w:left="567" w:hanging="283"/>
        <w:rPr>
          <w:color w:val="000000" w:themeColor="text1"/>
          <w:lang w:eastAsia="en-GB"/>
        </w:rPr>
      </w:pPr>
      <w:r w:rsidRPr="00DA49E9">
        <w:rPr>
          <w:color w:val="000000" w:themeColor="text1"/>
          <w:lang w:eastAsia="en-GB"/>
        </w:rPr>
        <w:t>improved regenerative braking efficiency.</w:t>
      </w:r>
    </w:p>
    <w:p w14:paraId="50D0681C" w14:textId="2CD0AAAC" w:rsidR="00D6260B" w:rsidRPr="00DA49E9" w:rsidRDefault="00D6260B" w:rsidP="00985F28">
      <w:pPr>
        <w:pStyle w:val="Paragraph"/>
        <w:widowControl w:val="0"/>
        <w:rPr>
          <w:color w:val="000000" w:themeColor="text1"/>
          <w:lang w:eastAsia="en-GB"/>
        </w:rPr>
      </w:pPr>
      <w:r w:rsidRPr="00DA49E9">
        <w:rPr>
          <w:color w:val="000000" w:themeColor="text1"/>
          <w:lang w:eastAsia="en-GB"/>
        </w:rPr>
        <w:t xml:space="preserve">A rational structural configuration of a hybrid </w:t>
      </w:r>
      <w:r w:rsidR="008913B1" w:rsidRPr="00DA49E9">
        <w:rPr>
          <w:color w:val="000000" w:themeColor="text1"/>
          <w:lang w:eastAsia="en-GB"/>
        </w:rPr>
        <w:t xml:space="preserve">battery-supercapacitor </w:t>
      </w:r>
      <w:r w:rsidRPr="00DA49E9">
        <w:rPr>
          <w:color w:val="000000" w:themeColor="text1"/>
          <w:lang w:eastAsia="en-GB"/>
        </w:rPr>
        <w:t>energy storage system for electric vehicles is presented, employing two bidirectional DC/DC converters to connect a lithium-ion battery and a supercapacitor module to the DC bus. The traction electric motor is supplied via a three-phase DC/AC inverter. The control system enables energy management between the two sources based on the state of charge of each source, the vehicle’s operational status, and prevailing road conditions.</w:t>
      </w:r>
      <w:r w:rsidR="007A3674" w:rsidRPr="00DA49E9">
        <w:rPr>
          <w:color w:val="000000" w:themeColor="text1"/>
          <w:lang w:eastAsia="en-GB"/>
        </w:rPr>
        <w:t xml:space="preserve"> </w:t>
      </w:r>
      <w:r w:rsidRPr="00DA49E9">
        <w:rPr>
          <w:color w:val="000000" w:themeColor="text1"/>
          <w:lang w:eastAsia="en-GB"/>
        </w:rPr>
        <w:t xml:space="preserve">It has been demonstrated that the hybrid </w:t>
      </w:r>
      <w:r w:rsidR="008913B1" w:rsidRPr="00DA49E9">
        <w:rPr>
          <w:color w:val="000000" w:themeColor="text1"/>
          <w:lang w:eastAsia="en-GB"/>
        </w:rPr>
        <w:t xml:space="preserve">battery-supercapacitor </w:t>
      </w:r>
      <w:r w:rsidRPr="00DA49E9">
        <w:rPr>
          <w:color w:val="000000" w:themeColor="text1"/>
          <w:lang w:eastAsia="en-GB"/>
        </w:rPr>
        <w:t xml:space="preserve">energy storage system is also suitable for integration with an external </w:t>
      </w:r>
      <w:r w:rsidR="00381F51" w:rsidRPr="00DA49E9">
        <w:rPr>
          <w:color w:val="000000" w:themeColor="text1"/>
          <w:lang w:eastAsia="en-GB"/>
        </w:rPr>
        <w:t>v</w:t>
      </w:r>
      <w:r w:rsidRPr="00DA49E9">
        <w:rPr>
          <w:color w:val="000000" w:themeColor="text1"/>
          <w:lang w:eastAsia="en-GB"/>
        </w:rPr>
        <w:t>ehicle-to-</w:t>
      </w:r>
      <w:r w:rsidR="00381F51" w:rsidRPr="00DA49E9">
        <w:rPr>
          <w:color w:val="000000" w:themeColor="text1"/>
          <w:lang w:eastAsia="en-GB"/>
        </w:rPr>
        <w:t>g</w:t>
      </w:r>
      <w:r w:rsidRPr="00DA49E9">
        <w:rPr>
          <w:color w:val="000000" w:themeColor="text1"/>
          <w:lang w:eastAsia="en-GB"/>
        </w:rPr>
        <w:t>rid electrical network and a photovoltaic power station.</w:t>
      </w:r>
      <w:r w:rsidR="007A3674" w:rsidRPr="00DA49E9">
        <w:rPr>
          <w:color w:val="000000" w:themeColor="text1"/>
          <w:lang w:eastAsia="en-GB"/>
        </w:rPr>
        <w:t xml:space="preserve"> </w:t>
      </w:r>
      <w:r w:rsidR="00FE6CB6" w:rsidRPr="00DA49E9">
        <w:rPr>
          <w:color w:val="000000" w:themeColor="text1"/>
          <w:lang w:eastAsia="en-GB"/>
        </w:rPr>
        <w:t xml:space="preserve">The article examines the layout of the principal components of the electric drive within </w:t>
      </w:r>
      <w:r w:rsidR="00FE6CB6" w:rsidRPr="00DA49E9">
        <w:rPr>
          <w:color w:val="000000" w:themeColor="text1"/>
          <w:lang w:eastAsia="en-GB"/>
        </w:rPr>
        <w:lastRenderedPageBreak/>
        <w:t>the vehicle: supercapacitors are embedded into the doors, hood, and roof; batteries are positioned beneath the seats; while voltage converters and control units are installed in the trunk.</w:t>
      </w:r>
      <w:r w:rsidR="007A3674" w:rsidRPr="00DA49E9">
        <w:rPr>
          <w:color w:val="000000" w:themeColor="text1"/>
          <w:lang w:eastAsia="en-GB"/>
        </w:rPr>
        <w:t xml:space="preserve"> </w:t>
      </w:r>
      <w:r w:rsidRPr="00DA49E9">
        <w:rPr>
          <w:color w:val="000000" w:themeColor="text1"/>
          <w:lang w:eastAsia="en-GB"/>
        </w:rPr>
        <w:t>Finally, the advancement of electric vehicle technologies is strongly dependent on research and development in energy storage systems, manufacturing technologies, and continuous innovations in control systems, paving the way toward a more reliable, sustainable, and efficient future for electric mobility.</w:t>
      </w:r>
    </w:p>
    <w:p w14:paraId="79EAF618" w14:textId="77777777" w:rsidR="009917D1" w:rsidRPr="00DA49E9" w:rsidRDefault="009917D1" w:rsidP="00985F28">
      <w:pPr>
        <w:pStyle w:val="Paragraph"/>
        <w:widowControl w:val="0"/>
        <w:rPr>
          <w:color w:val="000000" w:themeColor="text1"/>
          <w:lang w:eastAsia="en-GB"/>
        </w:rPr>
      </w:pPr>
      <w:r w:rsidRPr="00DA49E9">
        <w:rPr>
          <w:color w:val="000000" w:themeColor="text1"/>
          <w:lang w:eastAsia="en-GB"/>
        </w:rPr>
        <w:t>Design takeaways:</w:t>
      </w:r>
    </w:p>
    <w:p w14:paraId="45EFEA68" w14:textId="10BE4159" w:rsidR="009917D1" w:rsidRPr="00DA49E9" w:rsidRDefault="00985F28" w:rsidP="00985F28">
      <w:pPr>
        <w:pStyle w:val="Paragraph"/>
        <w:widowControl w:val="0"/>
        <w:numPr>
          <w:ilvl w:val="0"/>
          <w:numId w:val="13"/>
        </w:numPr>
        <w:ind w:left="0" w:firstLine="284"/>
        <w:rPr>
          <w:color w:val="000000" w:themeColor="text1"/>
          <w:lang w:eastAsia="en-GB"/>
        </w:rPr>
      </w:pPr>
      <w:r w:rsidRPr="00DA49E9">
        <w:rPr>
          <w:color w:val="000000" w:themeColor="text1"/>
          <w:lang w:eastAsia="en-GB"/>
        </w:rPr>
        <w:t>ac</w:t>
      </w:r>
      <w:r w:rsidR="009917D1" w:rsidRPr="00DA49E9">
        <w:rPr>
          <w:color w:val="000000" w:themeColor="text1"/>
          <w:lang w:eastAsia="en-GB"/>
        </w:rPr>
        <w:t>tive HESS with dedicated bidirectional converters provides the most effective mitigation of peak battery currents during transient events, thereby reducing electrochemical stress and potentially extending battery lifetime</w:t>
      </w:r>
      <w:r w:rsidRPr="00DA49E9">
        <w:rPr>
          <w:color w:val="000000" w:themeColor="text1"/>
          <w:lang w:eastAsia="en-GB"/>
        </w:rPr>
        <w:t>;</w:t>
      </w:r>
    </w:p>
    <w:p w14:paraId="20008302" w14:textId="6B2726F0" w:rsidR="009917D1" w:rsidRPr="00DA49E9" w:rsidRDefault="00985F28" w:rsidP="00985F28">
      <w:pPr>
        <w:pStyle w:val="Paragraph"/>
        <w:widowControl w:val="0"/>
        <w:numPr>
          <w:ilvl w:val="0"/>
          <w:numId w:val="13"/>
        </w:numPr>
        <w:ind w:left="0" w:firstLine="284"/>
        <w:rPr>
          <w:color w:val="000000" w:themeColor="text1"/>
          <w:lang w:eastAsia="en-GB"/>
        </w:rPr>
      </w:pPr>
      <w:r w:rsidRPr="00DA49E9">
        <w:rPr>
          <w:color w:val="000000" w:themeColor="text1"/>
          <w:lang w:eastAsia="en-GB"/>
        </w:rPr>
        <w:t>in</w:t>
      </w:r>
      <w:r w:rsidR="009917D1" w:rsidRPr="00DA49E9">
        <w:rPr>
          <w:color w:val="000000" w:themeColor="text1"/>
          <w:lang w:eastAsia="en-GB"/>
        </w:rPr>
        <w:t xml:space="preserve"> addition to topological and integration aspects, the effectiveness of hybrid battery–supercapacitor systems strongly depends on the design of the Energy Management System (EMS). A simple rule-based EMS, in which the supercapacitor handles high-power short transients and the battery supplies steady power, is practical for real-time implementation. Optimization-based methods, including Dynamic Programming and Model Predictive Control, offer further potential for maximizing regenerative energy utilization and prolonging battery life. The integration of these EMS paradigms remains an important avenue for future research</w:t>
      </w:r>
      <w:r w:rsidRPr="00DA49E9">
        <w:rPr>
          <w:color w:val="000000" w:themeColor="text1"/>
          <w:lang w:eastAsia="en-GB"/>
        </w:rPr>
        <w:t>;</w:t>
      </w:r>
    </w:p>
    <w:p w14:paraId="4EAE946E" w14:textId="1C490472" w:rsidR="009917D1" w:rsidRPr="00DA49E9" w:rsidRDefault="00985F28" w:rsidP="00985F28">
      <w:pPr>
        <w:pStyle w:val="Paragraph"/>
        <w:widowControl w:val="0"/>
        <w:numPr>
          <w:ilvl w:val="0"/>
          <w:numId w:val="13"/>
        </w:numPr>
        <w:ind w:left="0" w:firstLine="284"/>
        <w:rPr>
          <w:color w:val="000000" w:themeColor="text1"/>
          <w:lang w:eastAsia="en-GB"/>
        </w:rPr>
      </w:pPr>
      <w:r w:rsidRPr="00DA49E9">
        <w:rPr>
          <w:color w:val="000000" w:themeColor="text1"/>
          <w:lang w:eastAsia="en-GB"/>
        </w:rPr>
        <w:t>inte</w:t>
      </w:r>
      <w:r w:rsidR="009917D1" w:rsidRPr="00DA49E9">
        <w:rPr>
          <w:color w:val="000000" w:themeColor="text1"/>
          <w:lang w:eastAsia="en-GB"/>
        </w:rPr>
        <w:t>gration with photovoltaic (PV) charging and vehicle-to-grid (V2G) operation is technically feasible and can provide ancillary grid services, but requires coordinated control strategies and careful co</w:t>
      </w:r>
      <w:r w:rsidRPr="00DA49E9">
        <w:rPr>
          <w:color w:val="000000" w:themeColor="text1"/>
          <w:lang w:eastAsia="en-GB"/>
        </w:rPr>
        <w:t>nsideration of converter sizing;</w:t>
      </w:r>
    </w:p>
    <w:p w14:paraId="21E29C05" w14:textId="77777777" w:rsidR="00985F28" w:rsidRPr="00DA49E9" w:rsidRDefault="00985F28" w:rsidP="00E22AB6">
      <w:pPr>
        <w:pStyle w:val="Paragraph"/>
        <w:widowControl w:val="0"/>
        <w:numPr>
          <w:ilvl w:val="0"/>
          <w:numId w:val="13"/>
        </w:numPr>
        <w:ind w:left="0" w:firstLine="284"/>
        <w:rPr>
          <w:color w:val="000000" w:themeColor="text1"/>
          <w:lang w:eastAsia="en-GB"/>
        </w:rPr>
      </w:pPr>
      <w:r w:rsidRPr="00DA49E9">
        <w:rPr>
          <w:color w:val="000000" w:themeColor="text1"/>
          <w:lang w:eastAsia="en-GB"/>
        </w:rPr>
        <w:t>struc</w:t>
      </w:r>
      <w:r w:rsidR="009917D1" w:rsidRPr="00DA49E9">
        <w:rPr>
          <w:color w:val="000000" w:themeColor="text1"/>
          <w:lang w:eastAsia="en-GB"/>
        </w:rPr>
        <w:t>tural packaging of SC modules into vehicle components (e.g., doors, roof panels) can improve volumetric utilization; however, this introduces significant challenges in terms of mechanical ro</w:t>
      </w:r>
      <w:r w:rsidRPr="00DA49E9">
        <w:rPr>
          <w:color w:val="000000" w:themeColor="text1"/>
          <w:lang w:eastAsia="en-GB"/>
        </w:rPr>
        <w:t>bustness and thermal management;</w:t>
      </w:r>
    </w:p>
    <w:p w14:paraId="66295ABF" w14:textId="73D73394" w:rsidR="009917D1" w:rsidRPr="00DA49E9" w:rsidRDefault="00985F28" w:rsidP="00E22AB6">
      <w:pPr>
        <w:pStyle w:val="Paragraph"/>
        <w:widowControl w:val="0"/>
        <w:numPr>
          <w:ilvl w:val="0"/>
          <w:numId w:val="13"/>
        </w:numPr>
        <w:ind w:left="0" w:firstLine="284"/>
        <w:rPr>
          <w:color w:val="000000" w:themeColor="text1"/>
          <w:lang w:eastAsia="en-GB"/>
        </w:rPr>
      </w:pPr>
      <w:r w:rsidRPr="00DA49E9">
        <w:rPr>
          <w:color w:val="000000" w:themeColor="text1"/>
          <w:lang w:eastAsia="en-GB"/>
        </w:rPr>
        <w:t>con</w:t>
      </w:r>
      <w:r w:rsidR="009917D1" w:rsidRPr="00DA49E9">
        <w:rPr>
          <w:color w:val="000000" w:themeColor="text1"/>
          <w:lang w:eastAsia="en-GB"/>
        </w:rPr>
        <w:t>verter efficiency and control complexity remain the key trade-offs: active topologies provide superior dynamic performance but at the expense of higher hardware cost and more demanding control requirements.</w:t>
      </w:r>
    </w:p>
    <w:p w14:paraId="06F48B80" w14:textId="77777777" w:rsidR="009917D1" w:rsidRPr="00DA49E9" w:rsidRDefault="009917D1" w:rsidP="00985F28">
      <w:pPr>
        <w:pStyle w:val="Paragraph"/>
        <w:widowControl w:val="0"/>
        <w:rPr>
          <w:color w:val="000000" w:themeColor="text1"/>
          <w:lang w:eastAsia="en-GB"/>
        </w:rPr>
      </w:pPr>
      <w:r w:rsidRPr="00DA49E9">
        <w:rPr>
          <w:color w:val="000000" w:themeColor="text1"/>
          <w:lang w:eastAsia="en-GB"/>
        </w:rPr>
        <w:t>Limitations and future work:</w:t>
      </w:r>
    </w:p>
    <w:p w14:paraId="6E98749B" w14:textId="49A6C6D8" w:rsidR="009917D1" w:rsidRPr="00DA49E9" w:rsidRDefault="00985F28" w:rsidP="00985F28">
      <w:pPr>
        <w:pStyle w:val="Paragraph"/>
        <w:widowControl w:val="0"/>
        <w:numPr>
          <w:ilvl w:val="0"/>
          <w:numId w:val="15"/>
        </w:numPr>
        <w:ind w:left="0" w:firstLine="284"/>
        <w:rPr>
          <w:color w:val="000000" w:themeColor="text1"/>
          <w:lang w:eastAsia="en-GB"/>
        </w:rPr>
      </w:pPr>
      <w:r w:rsidRPr="00DA49E9">
        <w:rPr>
          <w:color w:val="000000" w:themeColor="text1"/>
          <w:lang w:eastAsia="en-GB"/>
        </w:rPr>
        <w:t>th</w:t>
      </w:r>
      <w:r w:rsidR="009917D1" w:rsidRPr="00DA49E9">
        <w:rPr>
          <w:color w:val="000000" w:themeColor="text1"/>
          <w:lang w:eastAsia="en-GB"/>
        </w:rPr>
        <w:t>e presented numerical case study is illustrative in nature. Comprehensive validation through detailed drive-cycle simulations, Hardware-in-the-Loop testing, and experimental measurements is required</w:t>
      </w:r>
      <w:r w:rsidRPr="00DA49E9">
        <w:rPr>
          <w:color w:val="000000" w:themeColor="text1"/>
          <w:lang w:eastAsia="en-GB"/>
        </w:rPr>
        <w:t>;</w:t>
      </w:r>
    </w:p>
    <w:p w14:paraId="69BE469B" w14:textId="5DD04390" w:rsidR="009917D1" w:rsidRPr="00DA49E9" w:rsidRDefault="00985F28" w:rsidP="00985F28">
      <w:pPr>
        <w:pStyle w:val="Paragraph"/>
        <w:widowControl w:val="0"/>
        <w:numPr>
          <w:ilvl w:val="0"/>
          <w:numId w:val="15"/>
        </w:numPr>
        <w:ind w:left="0" w:firstLine="284"/>
        <w:rPr>
          <w:color w:val="000000" w:themeColor="text1"/>
          <w:lang w:eastAsia="en-GB"/>
        </w:rPr>
      </w:pPr>
      <w:r w:rsidRPr="00DA49E9">
        <w:rPr>
          <w:color w:val="000000" w:themeColor="text1"/>
          <w:lang w:eastAsia="en-GB"/>
        </w:rPr>
        <w:t>bat</w:t>
      </w:r>
      <w:r w:rsidR="009917D1" w:rsidRPr="00DA49E9">
        <w:rPr>
          <w:color w:val="000000" w:themeColor="text1"/>
          <w:lang w:eastAsia="en-GB"/>
        </w:rPr>
        <w:t>tery degradation and ageing mechanisms were not explicitly modeled. Future studies should quantify lifetime benefits of HESS by coupling electrochemical ageing models with system-level energy management</w:t>
      </w:r>
      <w:r w:rsidRPr="00DA49E9">
        <w:rPr>
          <w:color w:val="000000" w:themeColor="text1"/>
          <w:lang w:eastAsia="en-GB"/>
        </w:rPr>
        <w:t>;</w:t>
      </w:r>
    </w:p>
    <w:p w14:paraId="3AC42332" w14:textId="7993BE75" w:rsidR="009917D1" w:rsidRPr="00DA49E9" w:rsidRDefault="00985F28" w:rsidP="00985F28">
      <w:pPr>
        <w:pStyle w:val="Paragraph"/>
        <w:widowControl w:val="0"/>
        <w:numPr>
          <w:ilvl w:val="0"/>
          <w:numId w:val="15"/>
        </w:numPr>
        <w:ind w:left="0" w:firstLine="284"/>
        <w:rPr>
          <w:color w:val="000000" w:themeColor="text1"/>
          <w:lang w:eastAsia="en-GB"/>
        </w:rPr>
      </w:pPr>
      <w:r w:rsidRPr="00DA49E9">
        <w:rPr>
          <w:color w:val="000000" w:themeColor="text1"/>
          <w:lang w:eastAsia="en-GB"/>
        </w:rPr>
        <w:t>me</w:t>
      </w:r>
      <w:r w:rsidR="009917D1" w:rsidRPr="00DA49E9">
        <w:rPr>
          <w:color w:val="000000" w:themeColor="text1"/>
          <w:lang w:eastAsia="en-GB"/>
        </w:rPr>
        <w:t>chanical and thermal integration of large-scale SC banks requires dedicated investigation, especially when considering distributed packaging into vehicle structures.</w:t>
      </w:r>
    </w:p>
    <w:p w14:paraId="2CFDFE81" w14:textId="77777777" w:rsidR="00A855BD" w:rsidRPr="00DA49E9" w:rsidRDefault="00A855BD" w:rsidP="00A855BD">
      <w:pPr>
        <w:pStyle w:val="1"/>
        <w:rPr>
          <w:color w:val="000000" w:themeColor="text1"/>
        </w:rPr>
      </w:pPr>
      <w:r w:rsidRPr="00DA49E9">
        <w:rPr>
          <w:rFonts w:asciiTheme="majorBidi" w:hAnsiTheme="majorBidi" w:cstheme="majorBidi"/>
          <w:color w:val="000000" w:themeColor="text1"/>
        </w:rPr>
        <w:t xml:space="preserve">ACKNOWLEDGMENTS </w:t>
      </w:r>
    </w:p>
    <w:p w14:paraId="271963D8" w14:textId="77777777" w:rsidR="00A855BD" w:rsidRPr="00DA49E9" w:rsidRDefault="00A855BD" w:rsidP="00A855BD">
      <w:pPr>
        <w:pBdr>
          <w:top w:val="nil"/>
          <w:left w:val="nil"/>
          <w:bottom w:val="nil"/>
          <w:right w:val="nil"/>
          <w:between w:val="nil"/>
        </w:pBdr>
        <w:ind w:firstLine="284"/>
        <w:jc w:val="both"/>
        <w:rPr>
          <w:color w:val="000000"/>
          <w:sz w:val="20"/>
        </w:rPr>
      </w:pPr>
      <w:r w:rsidRPr="00DA49E9">
        <w:rPr>
          <w:color w:val="000000"/>
          <w:sz w:val="20"/>
        </w:rPr>
        <w:t>The authors would like to express their gratitude to Kharkiv National Automobile and Highway University and the organizing committee of the Modern Automotive Industry, Transport and Road Infrastructure (MAITRI) conference.</w:t>
      </w:r>
    </w:p>
    <w:p w14:paraId="14182C2A" w14:textId="0F3E4DD5" w:rsidR="00A855BD" w:rsidRPr="00DA49E9" w:rsidRDefault="00381F51" w:rsidP="00A855BD">
      <w:pPr>
        <w:pStyle w:val="1"/>
        <w:rPr>
          <w:color w:val="000000" w:themeColor="text1"/>
        </w:rPr>
      </w:pPr>
      <w:r w:rsidRPr="00DA49E9">
        <w:rPr>
          <w:rFonts w:asciiTheme="majorBidi" w:hAnsiTheme="majorBidi" w:cstheme="majorBidi"/>
          <w:color w:val="000000" w:themeColor="text1"/>
        </w:rPr>
        <w:t>CONFLICT OF INTERESTS</w:t>
      </w:r>
      <w:r w:rsidR="00A855BD" w:rsidRPr="00DA49E9">
        <w:rPr>
          <w:rFonts w:asciiTheme="majorBidi" w:hAnsiTheme="majorBidi" w:cstheme="majorBidi"/>
          <w:color w:val="000000" w:themeColor="text1"/>
        </w:rPr>
        <w:t xml:space="preserve"> </w:t>
      </w:r>
    </w:p>
    <w:p w14:paraId="7E6300CD" w14:textId="77777777" w:rsidR="00A855BD" w:rsidRPr="00DA49E9" w:rsidRDefault="00A855BD" w:rsidP="00A855BD">
      <w:pPr>
        <w:pStyle w:val="Paragraph"/>
      </w:pPr>
      <w:r w:rsidRPr="00DA49E9">
        <w:t>The authors declare that there is no conflict of interests regarding the publication of this paper.</w:t>
      </w:r>
    </w:p>
    <w:p w14:paraId="45DAD2BB" w14:textId="39979A1C" w:rsidR="000422EE" w:rsidRPr="00DA49E9" w:rsidRDefault="000422EE" w:rsidP="000422EE">
      <w:pPr>
        <w:pStyle w:val="1"/>
        <w:rPr>
          <w:color w:val="000000" w:themeColor="text1"/>
        </w:rPr>
      </w:pPr>
      <w:r w:rsidRPr="00DA49E9">
        <w:rPr>
          <w:rFonts w:asciiTheme="majorBidi" w:hAnsiTheme="majorBidi" w:cstheme="majorBidi"/>
          <w:color w:val="000000" w:themeColor="text1"/>
        </w:rPr>
        <w:t>References</w:t>
      </w:r>
      <w:r w:rsidRPr="00DA49E9">
        <w:rPr>
          <w:color w:val="000000" w:themeColor="text1"/>
        </w:rPr>
        <w:t xml:space="preserve"> </w:t>
      </w:r>
    </w:p>
    <w:p w14:paraId="5804D5FE" w14:textId="7E7D62BA" w:rsidR="000422EE" w:rsidRPr="00DA49E9" w:rsidRDefault="001C1009" w:rsidP="001C1009">
      <w:pPr>
        <w:pStyle w:val="Reference"/>
        <w:numPr>
          <w:ilvl w:val="0"/>
          <w:numId w:val="0"/>
        </w:numPr>
        <w:ind w:left="426" w:hanging="426"/>
        <w:rPr>
          <w:color w:val="000000" w:themeColor="text1"/>
        </w:rPr>
      </w:pPr>
      <w:r>
        <w:rPr>
          <w:color w:val="000000" w:themeColor="text1"/>
        </w:rPr>
        <w:t xml:space="preserve">[1] </w:t>
      </w:r>
      <w:r w:rsidR="000422EE" w:rsidRPr="00DA49E9">
        <w:rPr>
          <w:color w:val="000000" w:themeColor="text1"/>
        </w:rPr>
        <w:t>F. Liu, M. Shafique</w:t>
      </w:r>
      <w:r w:rsidR="00E641F0" w:rsidRPr="00DA49E9">
        <w:rPr>
          <w:color w:val="000000" w:themeColor="text1"/>
        </w:rPr>
        <w:t xml:space="preserve"> and </w:t>
      </w:r>
      <w:r w:rsidR="000422EE" w:rsidRPr="00DA49E9">
        <w:rPr>
          <w:color w:val="000000" w:themeColor="text1"/>
        </w:rPr>
        <w:t xml:space="preserve">X. Luo, "Unveiling the determinants of battery electric vehicle performance: A systematic review and meta-analysis", </w:t>
      </w:r>
      <w:proofErr w:type="spellStart"/>
      <w:r w:rsidR="000422EE" w:rsidRPr="00DA49E9">
        <w:rPr>
          <w:color w:val="000000" w:themeColor="text1"/>
        </w:rPr>
        <w:t>Commun</w:t>
      </w:r>
      <w:proofErr w:type="spellEnd"/>
      <w:r w:rsidR="000422EE" w:rsidRPr="00DA49E9">
        <w:rPr>
          <w:color w:val="000000" w:themeColor="text1"/>
        </w:rPr>
        <w:t>. Transp. Res.</w:t>
      </w:r>
      <w:r w:rsidR="00FD13EA" w:rsidRPr="00DA49E9">
        <w:rPr>
          <w:color w:val="000000" w:themeColor="text1"/>
        </w:rPr>
        <w:t xml:space="preserve"> </w:t>
      </w:r>
      <w:r w:rsidR="000422EE" w:rsidRPr="00DA49E9">
        <w:rPr>
          <w:rStyle w:val="ac"/>
          <w:color w:val="000000" w:themeColor="text1"/>
        </w:rPr>
        <w:t>4</w:t>
      </w:r>
      <w:r w:rsidR="000422EE" w:rsidRPr="00DA49E9">
        <w:rPr>
          <w:color w:val="000000" w:themeColor="text1"/>
        </w:rPr>
        <w:t>, 100148 (2024)</w:t>
      </w:r>
      <w:r w:rsidR="00FD13EA" w:rsidRPr="00DA49E9">
        <w:rPr>
          <w:color w:val="000000" w:themeColor="text1"/>
        </w:rPr>
        <w:t xml:space="preserve">. </w:t>
      </w:r>
      <w:hyperlink r:id="rId27" w:tgtFrame="_blank" w:history="1">
        <w:r w:rsidR="000422EE" w:rsidRPr="00DA49E9">
          <w:rPr>
            <w:rStyle w:val="a8"/>
            <w:color w:val="000000" w:themeColor="text1"/>
          </w:rPr>
          <w:t>https://doi.org/10.1016/j.commtr.2024.100148</w:t>
        </w:r>
      </w:hyperlink>
    </w:p>
    <w:p w14:paraId="40FB3978" w14:textId="17BE4B90" w:rsidR="000422EE" w:rsidRPr="00DA49E9" w:rsidRDefault="001C1009" w:rsidP="001C1009">
      <w:pPr>
        <w:pStyle w:val="Reference"/>
        <w:numPr>
          <w:ilvl w:val="0"/>
          <w:numId w:val="0"/>
        </w:numPr>
        <w:ind w:left="426" w:hanging="426"/>
        <w:rPr>
          <w:color w:val="000000" w:themeColor="text1"/>
        </w:rPr>
      </w:pPr>
      <w:r>
        <w:rPr>
          <w:color w:val="000000" w:themeColor="text1"/>
        </w:rPr>
        <w:t xml:space="preserve">[2] </w:t>
      </w:r>
      <w:r w:rsidR="000422EE" w:rsidRPr="00DA49E9">
        <w:rPr>
          <w:color w:val="000000" w:themeColor="text1"/>
        </w:rPr>
        <w:t>S. Wang, Y. Wang</w:t>
      </w:r>
      <w:r w:rsidR="00E641F0" w:rsidRPr="00DA49E9">
        <w:rPr>
          <w:color w:val="000000" w:themeColor="text1"/>
        </w:rPr>
        <w:t xml:space="preserve"> and </w:t>
      </w:r>
      <w:r w:rsidR="000422EE" w:rsidRPr="00DA49E9">
        <w:rPr>
          <w:color w:val="000000" w:themeColor="text1"/>
        </w:rPr>
        <w:t>Y.-Y. Soo, "Evaluation and prediction of lithium-ion battery pack inconsistency in electric vehicles based on actual operating data", Energy</w:t>
      </w:r>
      <w:r w:rsidR="00A21C91" w:rsidRPr="00DA49E9">
        <w:rPr>
          <w:color w:val="000000" w:themeColor="text1"/>
        </w:rPr>
        <w:t xml:space="preserve"> </w:t>
      </w:r>
      <w:r w:rsidR="000422EE" w:rsidRPr="00DA49E9">
        <w:rPr>
          <w:rStyle w:val="ac"/>
          <w:color w:val="000000" w:themeColor="text1"/>
        </w:rPr>
        <w:t>319</w:t>
      </w:r>
      <w:r w:rsidR="00A21C91" w:rsidRPr="00DA49E9">
        <w:rPr>
          <w:color w:val="000000" w:themeColor="text1"/>
        </w:rPr>
        <w:t xml:space="preserve">, 134879 (2025). </w:t>
      </w:r>
      <w:hyperlink r:id="rId28" w:tgtFrame="_new" w:history="1">
        <w:r w:rsidR="00A21C91" w:rsidRPr="00DA49E9">
          <w:rPr>
            <w:rStyle w:val="a8"/>
            <w:color w:val="000000" w:themeColor="text1"/>
          </w:rPr>
          <w:t>https://doi.org/10.1016/j.energy.2025.134879</w:t>
        </w:r>
      </w:hyperlink>
    </w:p>
    <w:p w14:paraId="7F1EF5D7" w14:textId="42D4E2D4" w:rsidR="000422EE" w:rsidRPr="00DA49E9" w:rsidRDefault="001C1009" w:rsidP="001C1009">
      <w:pPr>
        <w:pStyle w:val="Reference"/>
        <w:numPr>
          <w:ilvl w:val="0"/>
          <w:numId w:val="0"/>
        </w:numPr>
        <w:ind w:left="426" w:hanging="426"/>
        <w:rPr>
          <w:color w:val="000000" w:themeColor="text1"/>
        </w:rPr>
      </w:pPr>
      <w:r>
        <w:rPr>
          <w:color w:val="000000" w:themeColor="text1"/>
        </w:rPr>
        <w:t xml:space="preserve">[3] </w:t>
      </w:r>
      <w:r w:rsidR="000422EE" w:rsidRPr="00DA49E9">
        <w:rPr>
          <w:color w:val="000000" w:themeColor="text1"/>
        </w:rPr>
        <w:t>M. </w:t>
      </w:r>
      <w:proofErr w:type="spellStart"/>
      <w:r w:rsidR="000422EE" w:rsidRPr="00DA49E9">
        <w:rPr>
          <w:color w:val="000000" w:themeColor="text1"/>
        </w:rPr>
        <w:t>Şen</w:t>
      </w:r>
      <w:proofErr w:type="spellEnd"/>
      <w:r w:rsidR="000422EE" w:rsidRPr="00DA49E9">
        <w:rPr>
          <w:color w:val="000000" w:themeColor="text1"/>
        </w:rPr>
        <w:t>, M. </w:t>
      </w:r>
      <w:proofErr w:type="spellStart"/>
      <w:r w:rsidR="000422EE" w:rsidRPr="00DA49E9">
        <w:rPr>
          <w:color w:val="000000" w:themeColor="text1"/>
        </w:rPr>
        <w:t>Özcan</w:t>
      </w:r>
      <w:proofErr w:type="spellEnd"/>
      <w:r w:rsidR="00E641F0" w:rsidRPr="00DA49E9">
        <w:rPr>
          <w:color w:val="000000" w:themeColor="text1"/>
        </w:rPr>
        <w:t xml:space="preserve"> and </w:t>
      </w:r>
      <w:r w:rsidR="000422EE" w:rsidRPr="00DA49E9">
        <w:rPr>
          <w:color w:val="000000" w:themeColor="text1"/>
        </w:rPr>
        <w:t>Y. R. </w:t>
      </w:r>
      <w:proofErr w:type="spellStart"/>
      <w:r w:rsidR="000422EE" w:rsidRPr="00DA49E9">
        <w:rPr>
          <w:color w:val="000000" w:themeColor="text1"/>
        </w:rPr>
        <w:t>Eker</w:t>
      </w:r>
      <w:proofErr w:type="spellEnd"/>
      <w:r w:rsidR="000422EE" w:rsidRPr="00DA49E9">
        <w:rPr>
          <w:color w:val="000000" w:themeColor="text1"/>
        </w:rPr>
        <w:t xml:space="preserve">, "A review on the lithium-ion battery problems used in electric vehicles", </w:t>
      </w:r>
      <w:proofErr w:type="gramStart"/>
      <w:r w:rsidR="000422EE" w:rsidRPr="00DA49E9">
        <w:rPr>
          <w:color w:val="000000" w:themeColor="text1"/>
        </w:rPr>
        <w:t>Next</w:t>
      </w:r>
      <w:proofErr w:type="gramEnd"/>
      <w:r w:rsidR="000422EE" w:rsidRPr="00DA49E9">
        <w:rPr>
          <w:color w:val="000000" w:themeColor="text1"/>
        </w:rPr>
        <w:t xml:space="preserve"> Sustain. </w:t>
      </w:r>
      <w:r w:rsidR="000422EE" w:rsidRPr="00DA49E9">
        <w:rPr>
          <w:rStyle w:val="ac"/>
          <w:color w:val="000000" w:themeColor="text1"/>
        </w:rPr>
        <w:t>3</w:t>
      </w:r>
      <w:r w:rsidR="000422EE" w:rsidRPr="00DA49E9">
        <w:rPr>
          <w:color w:val="000000" w:themeColor="text1"/>
        </w:rPr>
        <w:t>, 100036 (2024). </w:t>
      </w:r>
      <w:hyperlink r:id="rId29" w:tgtFrame="_blank" w:history="1">
        <w:r w:rsidR="000422EE" w:rsidRPr="00DA49E9">
          <w:rPr>
            <w:rStyle w:val="a8"/>
            <w:color w:val="000000" w:themeColor="text1"/>
          </w:rPr>
          <w:t>https://doi.org/10.1016/j.nxsust.2024.100036</w:t>
        </w:r>
      </w:hyperlink>
    </w:p>
    <w:p w14:paraId="2C033CFA" w14:textId="3C4A8F93" w:rsidR="000422EE" w:rsidRPr="00DA49E9" w:rsidRDefault="001C1009" w:rsidP="001C1009">
      <w:pPr>
        <w:pStyle w:val="Reference"/>
        <w:numPr>
          <w:ilvl w:val="0"/>
          <w:numId w:val="0"/>
        </w:numPr>
        <w:ind w:left="426" w:hanging="426"/>
        <w:rPr>
          <w:color w:val="000000" w:themeColor="text1"/>
        </w:rPr>
      </w:pPr>
      <w:r>
        <w:rPr>
          <w:color w:val="000000" w:themeColor="text1"/>
        </w:rPr>
        <w:t xml:space="preserve">[4] </w:t>
      </w:r>
      <w:r w:rsidR="000422EE" w:rsidRPr="00DA49E9">
        <w:rPr>
          <w:color w:val="000000" w:themeColor="text1"/>
        </w:rPr>
        <w:t>L. </w:t>
      </w:r>
      <w:proofErr w:type="spellStart"/>
      <w:r w:rsidR="000422EE" w:rsidRPr="00DA49E9">
        <w:rPr>
          <w:color w:val="000000" w:themeColor="text1"/>
        </w:rPr>
        <w:t>Kouchachvili</w:t>
      </w:r>
      <w:proofErr w:type="spellEnd"/>
      <w:r w:rsidR="000422EE" w:rsidRPr="00DA49E9">
        <w:rPr>
          <w:color w:val="000000" w:themeColor="text1"/>
        </w:rPr>
        <w:t>, W. </w:t>
      </w:r>
      <w:proofErr w:type="spellStart"/>
      <w:r w:rsidR="000422EE" w:rsidRPr="00DA49E9">
        <w:rPr>
          <w:color w:val="000000" w:themeColor="text1"/>
        </w:rPr>
        <w:t>Yaïci</w:t>
      </w:r>
      <w:proofErr w:type="spellEnd"/>
      <w:r w:rsidR="00E641F0" w:rsidRPr="00DA49E9">
        <w:rPr>
          <w:color w:val="000000" w:themeColor="text1"/>
        </w:rPr>
        <w:t xml:space="preserve"> and </w:t>
      </w:r>
      <w:r w:rsidR="000422EE" w:rsidRPr="00DA49E9">
        <w:rPr>
          <w:color w:val="000000" w:themeColor="text1"/>
        </w:rPr>
        <w:t>E. </w:t>
      </w:r>
      <w:proofErr w:type="spellStart"/>
      <w:r w:rsidR="000422EE" w:rsidRPr="00DA49E9">
        <w:rPr>
          <w:color w:val="000000" w:themeColor="text1"/>
        </w:rPr>
        <w:t>Entchev</w:t>
      </w:r>
      <w:proofErr w:type="spellEnd"/>
      <w:r w:rsidR="000422EE" w:rsidRPr="00DA49E9">
        <w:rPr>
          <w:color w:val="000000" w:themeColor="text1"/>
        </w:rPr>
        <w:t>, "Hybrid battery/supercapacitor energy storage system for the electric vehicles", J. Power Sources</w:t>
      </w:r>
      <w:r w:rsidR="00FD13EA" w:rsidRPr="00DA49E9">
        <w:rPr>
          <w:color w:val="000000" w:themeColor="text1"/>
        </w:rPr>
        <w:t xml:space="preserve"> </w:t>
      </w:r>
      <w:r w:rsidR="000422EE" w:rsidRPr="00DA49E9">
        <w:rPr>
          <w:rStyle w:val="ac"/>
          <w:color w:val="000000" w:themeColor="text1"/>
        </w:rPr>
        <w:t>374</w:t>
      </w:r>
      <w:r w:rsidR="000422EE" w:rsidRPr="00DA49E9">
        <w:rPr>
          <w:color w:val="000000" w:themeColor="text1"/>
        </w:rPr>
        <w:t>, 237–248 (2018).</w:t>
      </w:r>
      <w:r w:rsidR="00A21C91" w:rsidRPr="00DA49E9">
        <w:rPr>
          <w:color w:val="000000" w:themeColor="text1"/>
        </w:rPr>
        <w:t xml:space="preserve"> </w:t>
      </w:r>
      <w:hyperlink r:id="rId30" w:tgtFrame="_blank" w:history="1">
        <w:r w:rsidR="000422EE" w:rsidRPr="00DA49E9">
          <w:rPr>
            <w:rStyle w:val="a8"/>
            <w:color w:val="000000" w:themeColor="text1"/>
          </w:rPr>
          <w:t>https://doi.org/10.1016/j.jpowsour.2017.11.040</w:t>
        </w:r>
      </w:hyperlink>
    </w:p>
    <w:p w14:paraId="320FF2D1" w14:textId="563878B2" w:rsidR="000422EE" w:rsidRPr="00DA49E9" w:rsidRDefault="001C1009" w:rsidP="001C1009">
      <w:pPr>
        <w:pStyle w:val="Reference"/>
        <w:numPr>
          <w:ilvl w:val="0"/>
          <w:numId w:val="0"/>
        </w:numPr>
        <w:ind w:left="426" w:hanging="426"/>
        <w:rPr>
          <w:color w:val="000000" w:themeColor="text1"/>
        </w:rPr>
      </w:pPr>
      <w:r>
        <w:rPr>
          <w:color w:val="000000" w:themeColor="text1"/>
        </w:rPr>
        <w:lastRenderedPageBreak/>
        <w:t xml:space="preserve">[5] </w:t>
      </w:r>
      <w:r w:rsidR="000422EE" w:rsidRPr="00DA49E9">
        <w:rPr>
          <w:color w:val="000000" w:themeColor="text1"/>
        </w:rPr>
        <w:t>S. M. </w:t>
      </w:r>
      <w:proofErr w:type="spellStart"/>
      <w:r w:rsidR="000422EE" w:rsidRPr="00DA49E9">
        <w:rPr>
          <w:color w:val="000000" w:themeColor="text1"/>
        </w:rPr>
        <w:t>Benoy</w:t>
      </w:r>
      <w:proofErr w:type="spellEnd"/>
      <w:r w:rsidR="000422EE" w:rsidRPr="00DA49E9">
        <w:rPr>
          <w:color w:val="000000" w:themeColor="text1"/>
        </w:rPr>
        <w:t>, M. Pandey, D. </w:t>
      </w:r>
      <w:proofErr w:type="spellStart"/>
      <w:r w:rsidR="000422EE" w:rsidRPr="00DA49E9">
        <w:rPr>
          <w:color w:val="000000" w:themeColor="text1"/>
        </w:rPr>
        <w:t>Bhattacharjya</w:t>
      </w:r>
      <w:proofErr w:type="spellEnd"/>
      <w:r w:rsidR="00E641F0" w:rsidRPr="00DA49E9">
        <w:rPr>
          <w:color w:val="000000" w:themeColor="text1"/>
        </w:rPr>
        <w:t xml:space="preserve"> and </w:t>
      </w:r>
      <w:r w:rsidR="000422EE" w:rsidRPr="00DA49E9">
        <w:rPr>
          <w:color w:val="000000" w:themeColor="text1"/>
        </w:rPr>
        <w:t>B. K. </w:t>
      </w:r>
      <w:proofErr w:type="spellStart"/>
      <w:r w:rsidR="000422EE" w:rsidRPr="00DA49E9">
        <w:rPr>
          <w:color w:val="000000" w:themeColor="text1"/>
        </w:rPr>
        <w:t>Saikia</w:t>
      </w:r>
      <w:proofErr w:type="spellEnd"/>
      <w:r w:rsidR="000422EE" w:rsidRPr="00DA49E9">
        <w:rPr>
          <w:color w:val="000000" w:themeColor="text1"/>
        </w:rPr>
        <w:t>, "Recent trends in supercapacitor-battery hybrid energy storage devices based on carbon materials", J. Energy Storage</w:t>
      </w:r>
      <w:r w:rsidR="00A21C91" w:rsidRPr="00DA49E9">
        <w:rPr>
          <w:color w:val="000000" w:themeColor="text1"/>
        </w:rPr>
        <w:t xml:space="preserve"> </w:t>
      </w:r>
      <w:r w:rsidR="000422EE" w:rsidRPr="00DA49E9">
        <w:rPr>
          <w:rStyle w:val="ac"/>
          <w:color w:val="000000" w:themeColor="text1"/>
        </w:rPr>
        <w:t>52</w:t>
      </w:r>
      <w:r w:rsidR="000422EE" w:rsidRPr="00DA49E9">
        <w:rPr>
          <w:color w:val="000000" w:themeColor="text1"/>
        </w:rPr>
        <w:t>, 104938 (2022).</w:t>
      </w:r>
      <w:r w:rsidR="00A21C91" w:rsidRPr="00DA49E9">
        <w:rPr>
          <w:color w:val="000000" w:themeColor="text1"/>
        </w:rPr>
        <w:t xml:space="preserve"> </w:t>
      </w:r>
      <w:hyperlink r:id="rId31" w:tgtFrame="_blank" w:history="1">
        <w:r w:rsidR="000422EE" w:rsidRPr="00DA49E9">
          <w:rPr>
            <w:rStyle w:val="a8"/>
            <w:color w:val="000000" w:themeColor="text1"/>
          </w:rPr>
          <w:t>https://doi.org/10.1016/j.est.2022.104938</w:t>
        </w:r>
      </w:hyperlink>
    </w:p>
    <w:p w14:paraId="51930213" w14:textId="1B0725D4" w:rsidR="00A21C91" w:rsidRPr="00DA49E9" w:rsidRDefault="001C1009" w:rsidP="001C1009">
      <w:pPr>
        <w:pStyle w:val="Reference"/>
        <w:numPr>
          <w:ilvl w:val="0"/>
          <w:numId w:val="0"/>
        </w:numPr>
        <w:ind w:left="426" w:hanging="426"/>
        <w:rPr>
          <w:color w:val="000000" w:themeColor="text1"/>
        </w:rPr>
      </w:pPr>
      <w:r>
        <w:rPr>
          <w:color w:val="000000" w:themeColor="text1"/>
        </w:rPr>
        <w:t xml:space="preserve">[6] </w:t>
      </w:r>
      <w:r w:rsidR="00A21C91" w:rsidRPr="00DA49E9">
        <w:rPr>
          <w:color w:val="000000" w:themeColor="text1"/>
        </w:rPr>
        <w:t xml:space="preserve">A. </w:t>
      </w:r>
      <w:proofErr w:type="spellStart"/>
      <w:r w:rsidR="00A21C91" w:rsidRPr="00DA49E9">
        <w:rPr>
          <w:color w:val="000000" w:themeColor="text1"/>
        </w:rPr>
        <w:t>Hnatov</w:t>
      </w:r>
      <w:proofErr w:type="spellEnd"/>
      <w:r w:rsidR="00A21C91" w:rsidRPr="00DA49E9">
        <w:rPr>
          <w:color w:val="000000" w:themeColor="text1"/>
        </w:rPr>
        <w:t xml:space="preserve">, S. </w:t>
      </w:r>
      <w:proofErr w:type="spellStart"/>
      <w:r w:rsidR="00A21C91" w:rsidRPr="00DA49E9">
        <w:rPr>
          <w:color w:val="000000" w:themeColor="text1"/>
        </w:rPr>
        <w:t>Arhun</w:t>
      </w:r>
      <w:proofErr w:type="spellEnd"/>
      <w:r w:rsidR="00A21C91" w:rsidRPr="00DA49E9">
        <w:rPr>
          <w:color w:val="000000" w:themeColor="text1"/>
        </w:rPr>
        <w:t xml:space="preserve">, and S. </w:t>
      </w:r>
      <w:proofErr w:type="spellStart"/>
      <w:r w:rsidR="00A21C91" w:rsidRPr="00DA49E9">
        <w:rPr>
          <w:color w:val="000000" w:themeColor="text1"/>
        </w:rPr>
        <w:t>Ponikarovska</w:t>
      </w:r>
      <w:proofErr w:type="spellEnd"/>
      <w:r w:rsidR="00A21C91" w:rsidRPr="00DA49E9">
        <w:rPr>
          <w:color w:val="000000" w:themeColor="text1"/>
        </w:rPr>
        <w:t xml:space="preserve">, "Energy saving technologies for urban bus transport," Int. J. </w:t>
      </w:r>
      <w:proofErr w:type="spellStart"/>
      <w:r w:rsidR="00A21C91" w:rsidRPr="00DA49E9">
        <w:rPr>
          <w:color w:val="000000" w:themeColor="text1"/>
        </w:rPr>
        <w:t>Automot</w:t>
      </w:r>
      <w:proofErr w:type="spellEnd"/>
      <w:r w:rsidR="00A21C91" w:rsidRPr="00DA49E9">
        <w:rPr>
          <w:color w:val="000000" w:themeColor="text1"/>
        </w:rPr>
        <w:t xml:space="preserve">. Mech. Eng. </w:t>
      </w:r>
      <w:r w:rsidR="00A21C91" w:rsidRPr="00DA49E9">
        <w:rPr>
          <w:rStyle w:val="ac"/>
          <w:color w:val="000000" w:themeColor="text1"/>
        </w:rPr>
        <w:t>14</w:t>
      </w:r>
      <w:r w:rsidR="00A21C91" w:rsidRPr="00DA49E9">
        <w:rPr>
          <w:color w:val="000000" w:themeColor="text1"/>
        </w:rPr>
        <w:t xml:space="preserve">(4), 4649–4664 (2017). </w:t>
      </w:r>
      <w:hyperlink r:id="rId32" w:tgtFrame="_new" w:history="1">
        <w:r w:rsidR="00A21C91" w:rsidRPr="00DA49E9">
          <w:rPr>
            <w:rStyle w:val="a8"/>
            <w:color w:val="000000" w:themeColor="text1"/>
          </w:rPr>
          <w:t>https://doi.org/10.15282/ijame.14.4.2017.5.0366</w:t>
        </w:r>
      </w:hyperlink>
    </w:p>
    <w:p w14:paraId="702813D4" w14:textId="0D49451E" w:rsidR="00AF4DC0" w:rsidRPr="00DA49E9" w:rsidRDefault="001C1009" w:rsidP="001C1009">
      <w:pPr>
        <w:pStyle w:val="Reference"/>
        <w:numPr>
          <w:ilvl w:val="0"/>
          <w:numId w:val="0"/>
        </w:numPr>
        <w:ind w:left="426" w:hanging="426"/>
        <w:rPr>
          <w:color w:val="000000" w:themeColor="text1"/>
        </w:rPr>
      </w:pPr>
      <w:r>
        <w:rPr>
          <w:color w:val="000000" w:themeColor="text1"/>
        </w:rPr>
        <w:t xml:space="preserve">[7] </w:t>
      </w:r>
      <w:r w:rsidR="00AF4DC0" w:rsidRPr="00DA49E9">
        <w:rPr>
          <w:color w:val="000000" w:themeColor="text1"/>
        </w:rPr>
        <w:t>C. V. M. Gopi</w:t>
      </w:r>
      <w:r w:rsidR="00E641F0" w:rsidRPr="00DA49E9">
        <w:rPr>
          <w:color w:val="000000" w:themeColor="text1"/>
        </w:rPr>
        <w:t xml:space="preserve"> and </w:t>
      </w:r>
      <w:r w:rsidR="00AF4DC0" w:rsidRPr="00DA49E9">
        <w:rPr>
          <w:color w:val="000000" w:themeColor="text1"/>
        </w:rPr>
        <w:t>R. Ramesh, "Review of battery-supercapacitor hybrid energy storage systems for electric vehicles", Eng. </w:t>
      </w:r>
      <w:r w:rsidR="00AF4DC0" w:rsidRPr="00DA49E9">
        <w:rPr>
          <w:rStyle w:val="ac"/>
          <w:color w:val="000000" w:themeColor="text1"/>
        </w:rPr>
        <w:t>24</w:t>
      </w:r>
      <w:r w:rsidR="00AF4DC0" w:rsidRPr="00DA49E9">
        <w:rPr>
          <w:color w:val="000000" w:themeColor="text1"/>
        </w:rPr>
        <w:t>, 103598 (2024). </w:t>
      </w:r>
      <w:hyperlink r:id="rId33" w:tgtFrame="_blank" w:history="1">
        <w:r w:rsidR="00AF4DC0" w:rsidRPr="00DA49E9">
          <w:rPr>
            <w:rStyle w:val="a8"/>
            <w:color w:val="000000" w:themeColor="text1"/>
          </w:rPr>
          <w:t>https://doi.org/10.1016/j.rineng.2024.103598</w:t>
        </w:r>
      </w:hyperlink>
    </w:p>
    <w:p w14:paraId="362A90F1" w14:textId="54138536" w:rsidR="00503DD2" w:rsidRPr="00DA49E9" w:rsidRDefault="001C1009" w:rsidP="001C1009">
      <w:pPr>
        <w:pStyle w:val="Reference"/>
        <w:numPr>
          <w:ilvl w:val="0"/>
          <w:numId w:val="0"/>
        </w:numPr>
        <w:ind w:left="426" w:hanging="426"/>
        <w:rPr>
          <w:color w:val="000000" w:themeColor="text1"/>
        </w:rPr>
      </w:pPr>
      <w:r>
        <w:rPr>
          <w:color w:val="000000" w:themeColor="text1"/>
        </w:rPr>
        <w:t xml:space="preserve">[8] </w:t>
      </w:r>
      <w:r w:rsidR="00AF4DC0" w:rsidRPr="00DA49E9">
        <w:rPr>
          <w:color w:val="000000" w:themeColor="text1"/>
        </w:rPr>
        <w:t>M. S. </w:t>
      </w:r>
      <w:proofErr w:type="spellStart"/>
      <w:r w:rsidR="00AF4DC0" w:rsidRPr="00DA49E9">
        <w:rPr>
          <w:color w:val="000000" w:themeColor="text1"/>
        </w:rPr>
        <w:t>Ramkumar</w:t>
      </w:r>
      <w:proofErr w:type="spellEnd"/>
      <w:r w:rsidR="00AF4DC0" w:rsidRPr="00DA49E9">
        <w:rPr>
          <w:color w:val="000000" w:themeColor="text1"/>
        </w:rPr>
        <w:t>, S. </w:t>
      </w:r>
      <w:proofErr w:type="spellStart"/>
      <w:r w:rsidR="00AF4DC0" w:rsidRPr="00DA49E9">
        <w:rPr>
          <w:color w:val="000000" w:themeColor="text1"/>
        </w:rPr>
        <w:t>Muthukrishnan</w:t>
      </w:r>
      <w:proofErr w:type="spellEnd"/>
      <w:r w:rsidR="00AF4DC0" w:rsidRPr="00DA49E9">
        <w:rPr>
          <w:color w:val="000000" w:themeColor="text1"/>
        </w:rPr>
        <w:t>, J. </w:t>
      </w:r>
      <w:proofErr w:type="spellStart"/>
      <w:r w:rsidR="00AF4DC0" w:rsidRPr="00DA49E9">
        <w:rPr>
          <w:color w:val="000000" w:themeColor="text1"/>
        </w:rPr>
        <w:t>Giri</w:t>
      </w:r>
      <w:proofErr w:type="spellEnd"/>
      <w:r w:rsidR="00AF4DC0" w:rsidRPr="00DA49E9">
        <w:rPr>
          <w:color w:val="000000" w:themeColor="text1"/>
        </w:rPr>
        <w:t>, T. </w:t>
      </w:r>
      <w:proofErr w:type="spellStart"/>
      <w:r w:rsidR="00AF4DC0" w:rsidRPr="00DA49E9">
        <w:rPr>
          <w:color w:val="000000" w:themeColor="text1"/>
        </w:rPr>
        <w:t>Sathish</w:t>
      </w:r>
      <w:proofErr w:type="spellEnd"/>
      <w:r w:rsidR="00E641F0" w:rsidRPr="00DA49E9">
        <w:rPr>
          <w:color w:val="000000" w:themeColor="text1"/>
        </w:rPr>
        <w:t xml:space="preserve"> and </w:t>
      </w:r>
      <w:r w:rsidR="00AF4DC0" w:rsidRPr="00DA49E9">
        <w:rPr>
          <w:color w:val="000000" w:themeColor="text1"/>
        </w:rPr>
        <w:t>A. </w:t>
      </w:r>
      <w:proofErr w:type="spellStart"/>
      <w:r w:rsidR="00AF4DC0" w:rsidRPr="00DA49E9">
        <w:rPr>
          <w:color w:val="000000" w:themeColor="text1"/>
        </w:rPr>
        <w:t>Fatehmulla</w:t>
      </w:r>
      <w:proofErr w:type="spellEnd"/>
      <w:r w:rsidR="00AF4DC0" w:rsidRPr="00DA49E9">
        <w:rPr>
          <w:color w:val="000000" w:themeColor="text1"/>
        </w:rPr>
        <w:t>, "</w:t>
      </w:r>
      <w:r w:rsidR="00440CAB" w:rsidRPr="00DA49E9">
        <w:rPr>
          <w:color w:val="000000" w:themeColor="text1"/>
        </w:rPr>
        <w:t>Optimizing battery and supercapacitor management in electric vehicles: A hybrid approach for enhanced performance and reduced harmonics</w:t>
      </w:r>
      <w:r w:rsidR="00AF4DC0" w:rsidRPr="00DA49E9">
        <w:rPr>
          <w:color w:val="000000" w:themeColor="text1"/>
        </w:rPr>
        <w:t>,</w:t>
      </w:r>
      <w:r w:rsidR="00440CAB" w:rsidRPr="00DA49E9">
        <w:rPr>
          <w:color w:val="000000" w:themeColor="text1"/>
        </w:rPr>
        <w:t>"</w:t>
      </w:r>
      <w:r w:rsidR="00AF4DC0" w:rsidRPr="00DA49E9">
        <w:rPr>
          <w:color w:val="000000" w:themeColor="text1"/>
        </w:rPr>
        <w:t xml:space="preserve"> Case Stud. Therm. Eng. </w:t>
      </w:r>
      <w:r w:rsidR="00AF4DC0" w:rsidRPr="00DA49E9">
        <w:rPr>
          <w:rStyle w:val="ac"/>
          <w:color w:val="000000" w:themeColor="text1"/>
        </w:rPr>
        <w:t>2025</w:t>
      </w:r>
      <w:r w:rsidR="00AF4DC0" w:rsidRPr="00DA49E9">
        <w:rPr>
          <w:color w:val="000000" w:themeColor="text1"/>
        </w:rPr>
        <w:t>, 105815. </w:t>
      </w:r>
      <w:hyperlink r:id="rId34" w:tgtFrame="_blank" w:history="1">
        <w:r w:rsidR="00AF4DC0" w:rsidRPr="00DA49E9">
          <w:rPr>
            <w:rStyle w:val="a8"/>
            <w:color w:val="000000" w:themeColor="text1"/>
          </w:rPr>
          <w:t>https://doi.org/10.1016/j.csite.2025.105815</w:t>
        </w:r>
      </w:hyperlink>
    </w:p>
    <w:p w14:paraId="1502EF0B" w14:textId="383AE0C4" w:rsidR="00AF4DC0" w:rsidRPr="00DA49E9" w:rsidRDefault="001C1009" w:rsidP="001C1009">
      <w:pPr>
        <w:pStyle w:val="Reference"/>
        <w:numPr>
          <w:ilvl w:val="0"/>
          <w:numId w:val="0"/>
        </w:numPr>
        <w:ind w:left="426" w:hanging="426"/>
        <w:rPr>
          <w:color w:val="000000" w:themeColor="text1"/>
        </w:rPr>
      </w:pPr>
      <w:r>
        <w:rPr>
          <w:color w:val="000000" w:themeColor="text1"/>
        </w:rPr>
        <w:t xml:space="preserve">[9] </w:t>
      </w:r>
      <w:r w:rsidR="00AF4DC0" w:rsidRPr="00DA49E9">
        <w:rPr>
          <w:color w:val="000000" w:themeColor="text1"/>
        </w:rPr>
        <w:t>K. </w:t>
      </w:r>
      <w:proofErr w:type="spellStart"/>
      <w:r w:rsidR="00AF4DC0" w:rsidRPr="00DA49E9">
        <w:rPr>
          <w:color w:val="000000" w:themeColor="text1"/>
        </w:rPr>
        <w:t>Raut</w:t>
      </w:r>
      <w:proofErr w:type="spellEnd"/>
      <w:r w:rsidR="00AF4DC0" w:rsidRPr="00DA49E9">
        <w:rPr>
          <w:color w:val="000000" w:themeColor="text1"/>
        </w:rPr>
        <w:t>, A. </w:t>
      </w:r>
      <w:proofErr w:type="spellStart"/>
      <w:r w:rsidR="00AF4DC0" w:rsidRPr="00DA49E9">
        <w:rPr>
          <w:color w:val="000000" w:themeColor="text1"/>
        </w:rPr>
        <w:t>Shendge</w:t>
      </w:r>
      <w:proofErr w:type="spellEnd"/>
      <w:r w:rsidR="00AF4DC0" w:rsidRPr="00DA49E9">
        <w:rPr>
          <w:color w:val="000000" w:themeColor="text1"/>
        </w:rPr>
        <w:t>, J. </w:t>
      </w:r>
      <w:proofErr w:type="spellStart"/>
      <w:r w:rsidR="00AF4DC0" w:rsidRPr="00DA49E9">
        <w:rPr>
          <w:color w:val="000000" w:themeColor="text1"/>
        </w:rPr>
        <w:t>Chaudhari</w:t>
      </w:r>
      <w:proofErr w:type="spellEnd"/>
      <w:r w:rsidR="00AF4DC0" w:rsidRPr="00DA49E9">
        <w:rPr>
          <w:color w:val="000000" w:themeColor="text1"/>
        </w:rPr>
        <w:t>, R. </w:t>
      </w:r>
      <w:proofErr w:type="spellStart"/>
      <w:r w:rsidR="00AF4DC0" w:rsidRPr="00DA49E9">
        <w:rPr>
          <w:color w:val="000000" w:themeColor="text1"/>
        </w:rPr>
        <w:t>Lamba</w:t>
      </w:r>
      <w:proofErr w:type="spellEnd"/>
      <w:r w:rsidR="00E641F0" w:rsidRPr="00DA49E9">
        <w:rPr>
          <w:color w:val="000000" w:themeColor="text1"/>
        </w:rPr>
        <w:t xml:space="preserve"> and </w:t>
      </w:r>
      <w:r w:rsidR="00AF4DC0" w:rsidRPr="00DA49E9">
        <w:rPr>
          <w:color w:val="000000" w:themeColor="text1"/>
        </w:rPr>
        <w:t>N. F. </w:t>
      </w:r>
      <w:proofErr w:type="spellStart"/>
      <w:r w:rsidR="00AF4DC0" w:rsidRPr="00DA49E9">
        <w:rPr>
          <w:color w:val="000000" w:themeColor="text1"/>
        </w:rPr>
        <w:t>Alshammari</w:t>
      </w:r>
      <w:proofErr w:type="spellEnd"/>
      <w:r w:rsidR="00AF4DC0" w:rsidRPr="00DA49E9">
        <w:rPr>
          <w:color w:val="000000" w:themeColor="text1"/>
        </w:rPr>
        <w:t>, "Modeling and simulation of photovoltaic powered battery-supercapacitor hybrid energy storage system for electric vehicles", J. Energy Storage </w:t>
      </w:r>
      <w:r w:rsidR="00AF4DC0" w:rsidRPr="00DA49E9">
        <w:rPr>
          <w:rStyle w:val="ac"/>
          <w:color w:val="000000" w:themeColor="text1"/>
        </w:rPr>
        <w:t>82</w:t>
      </w:r>
      <w:r w:rsidR="00AF4DC0" w:rsidRPr="00DA49E9">
        <w:rPr>
          <w:color w:val="000000" w:themeColor="text1"/>
        </w:rPr>
        <w:t>, 110324 (2024). </w:t>
      </w:r>
      <w:hyperlink r:id="rId35" w:tgtFrame="_blank" w:history="1">
        <w:r w:rsidR="00AF4DC0" w:rsidRPr="00DA49E9">
          <w:rPr>
            <w:rStyle w:val="a8"/>
            <w:color w:val="000000" w:themeColor="text1"/>
          </w:rPr>
          <w:t>https://doi.org/10.1016/j.est.2023.110324</w:t>
        </w:r>
      </w:hyperlink>
    </w:p>
    <w:p w14:paraId="507918D6" w14:textId="78A66CFF" w:rsidR="00AF4DC0" w:rsidRPr="00DA49E9" w:rsidRDefault="001C1009" w:rsidP="001C1009">
      <w:pPr>
        <w:pStyle w:val="Reference"/>
        <w:numPr>
          <w:ilvl w:val="0"/>
          <w:numId w:val="0"/>
        </w:numPr>
        <w:ind w:left="426" w:hanging="426"/>
        <w:rPr>
          <w:color w:val="000000" w:themeColor="text1"/>
        </w:rPr>
      </w:pPr>
      <w:r>
        <w:rPr>
          <w:color w:val="000000" w:themeColor="text1"/>
        </w:rPr>
        <w:t xml:space="preserve">[10] </w:t>
      </w:r>
      <w:r w:rsidR="00AF4DC0" w:rsidRPr="00DA49E9">
        <w:rPr>
          <w:color w:val="000000" w:themeColor="text1"/>
        </w:rPr>
        <w:t>B. Yang, J. Wang, X. Zhang, J. Wang, H. Shu, S. Li, T. He, C. </w:t>
      </w:r>
      <w:proofErr w:type="gramStart"/>
      <w:r w:rsidR="00AF4DC0" w:rsidRPr="00DA49E9">
        <w:rPr>
          <w:color w:val="000000" w:themeColor="text1"/>
        </w:rPr>
        <w:t>Lan</w:t>
      </w:r>
      <w:proofErr w:type="gramEnd"/>
      <w:r w:rsidR="00E641F0" w:rsidRPr="00DA49E9">
        <w:rPr>
          <w:color w:val="000000" w:themeColor="text1"/>
        </w:rPr>
        <w:t xml:space="preserve"> and </w:t>
      </w:r>
      <w:r w:rsidR="00AF4DC0" w:rsidRPr="00DA49E9">
        <w:rPr>
          <w:color w:val="000000" w:themeColor="text1"/>
        </w:rPr>
        <w:t>T. Yu, "Applications of battery/supercapacitor hybrid energy storage systems for electric vehicles using perturbation observer based ro</w:t>
      </w:r>
      <w:r w:rsidR="00A21C91" w:rsidRPr="00DA49E9">
        <w:rPr>
          <w:color w:val="000000" w:themeColor="text1"/>
        </w:rPr>
        <w:t xml:space="preserve">bust control", J. Power Sources </w:t>
      </w:r>
      <w:r w:rsidR="00AF4DC0" w:rsidRPr="00DA49E9">
        <w:rPr>
          <w:rStyle w:val="ac"/>
          <w:color w:val="000000" w:themeColor="text1"/>
        </w:rPr>
        <w:t>448</w:t>
      </w:r>
      <w:r w:rsidR="00A21C91" w:rsidRPr="00DA49E9">
        <w:rPr>
          <w:color w:val="000000" w:themeColor="text1"/>
        </w:rPr>
        <w:t xml:space="preserve">, 227444 (2020). </w:t>
      </w:r>
      <w:hyperlink r:id="rId36" w:tgtFrame="_blank" w:history="1">
        <w:r w:rsidR="00AF4DC0" w:rsidRPr="00DA49E9">
          <w:rPr>
            <w:rStyle w:val="a8"/>
            <w:color w:val="000000" w:themeColor="text1"/>
          </w:rPr>
          <w:t>https://doi.org/10.1016/j.jpowsour.2019.227444</w:t>
        </w:r>
      </w:hyperlink>
    </w:p>
    <w:p w14:paraId="512349D4" w14:textId="424C7E33" w:rsidR="00503DD2" w:rsidRPr="00DA49E9" w:rsidRDefault="001C1009" w:rsidP="001C1009">
      <w:pPr>
        <w:pStyle w:val="Reference"/>
        <w:numPr>
          <w:ilvl w:val="0"/>
          <w:numId w:val="0"/>
        </w:numPr>
        <w:ind w:left="426" w:hanging="426"/>
        <w:rPr>
          <w:color w:val="000000" w:themeColor="text1"/>
        </w:rPr>
      </w:pPr>
      <w:r>
        <w:rPr>
          <w:color w:val="000000" w:themeColor="text1"/>
        </w:rPr>
        <w:t xml:space="preserve">[11] </w:t>
      </w:r>
      <w:r w:rsidR="00440CAB" w:rsidRPr="00DA49E9">
        <w:rPr>
          <w:color w:val="000000" w:themeColor="text1"/>
        </w:rPr>
        <w:t xml:space="preserve">O. A. </w:t>
      </w:r>
      <w:proofErr w:type="spellStart"/>
      <w:r w:rsidR="00440CAB" w:rsidRPr="00DA49E9">
        <w:rPr>
          <w:color w:val="000000" w:themeColor="text1"/>
        </w:rPr>
        <w:t>AlKawak</w:t>
      </w:r>
      <w:proofErr w:type="spellEnd"/>
      <w:r w:rsidR="00440CAB" w:rsidRPr="00DA49E9">
        <w:rPr>
          <w:color w:val="000000" w:themeColor="text1"/>
        </w:rPr>
        <w:t xml:space="preserve">, J. R. R. Kumar, S. S. Daniel, and C. V. K. Reddy, "Hybrid method-based energy management of electric vehicles using battery-supercapacitor energy storage," J. Energy Storage </w:t>
      </w:r>
      <w:r w:rsidR="00440CAB" w:rsidRPr="00DA49E9">
        <w:rPr>
          <w:rStyle w:val="ac"/>
          <w:color w:val="000000" w:themeColor="text1"/>
        </w:rPr>
        <w:t>77</w:t>
      </w:r>
      <w:r w:rsidR="00440CAB" w:rsidRPr="00DA49E9">
        <w:rPr>
          <w:color w:val="000000" w:themeColor="text1"/>
        </w:rPr>
        <w:t xml:space="preserve">, 109835 (2024). </w:t>
      </w:r>
      <w:hyperlink r:id="rId37" w:tgtFrame="_new" w:history="1">
        <w:r w:rsidR="00440CAB" w:rsidRPr="00DA49E9">
          <w:rPr>
            <w:rStyle w:val="a8"/>
            <w:color w:val="000000" w:themeColor="text1"/>
          </w:rPr>
          <w:t>https://doi.org/10.1016/j.est.2023.109835</w:t>
        </w:r>
      </w:hyperlink>
    </w:p>
    <w:p w14:paraId="096AF195" w14:textId="03F9CB79" w:rsidR="00AF4DC0" w:rsidRPr="00DA49E9" w:rsidRDefault="001C1009" w:rsidP="001C1009">
      <w:pPr>
        <w:pStyle w:val="Reference"/>
        <w:numPr>
          <w:ilvl w:val="0"/>
          <w:numId w:val="0"/>
        </w:numPr>
        <w:ind w:left="426" w:hanging="426"/>
        <w:rPr>
          <w:color w:val="000000" w:themeColor="text1"/>
        </w:rPr>
      </w:pPr>
      <w:r>
        <w:rPr>
          <w:color w:val="000000" w:themeColor="text1"/>
        </w:rPr>
        <w:t xml:space="preserve">[12] </w:t>
      </w:r>
      <w:r w:rsidR="00AF4DC0" w:rsidRPr="00DA49E9">
        <w:rPr>
          <w:color w:val="000000" w:themeColor="text1"/>
        </w:rPr>
        <w:t>M. A. </w:t>
      </w:r>
      <w:proofErr w:type="spellStart"/>
      <w:r w:rsidR="00AF4DC0" w:rsidRPr="00DA49E9">
        <w:rPr>
          <w:color w:val="000000" w:themeColor="text1"/>
        </w:rPr>
        <w:t>Takrouri</w:t>
      </w:r>
      <w:proofErr w:type="spellEnd"/>
      <w:r w:rsidR="00AF4DC0" w:rsidRPr="00DA49E9">
        <w:rPr>
          <w:color w:val="000000" w:themeColor="text1"/>
        </w:rPr>
        <w:t>, N. R. N. Idris, M. J. A. Aziz, R. </w:t>
      </w:r>
      <w:proofErr w:type="spellStart"/>
      <w:r w:rsidR="00AF4DC0" w:rsidRPr="00DA49E9">
        <w:rPr>
          <w:color w:val="000000" w:themeColor="text1"/>
        </w:rPr>
        <w:t>Ayop</w:t>
      </w:r>
      <w:proofErr w:type="spellEnd"/>
      <w:r w:rsidR="00E641F0" w:rsidRPr="00DA49E9">
        <w:rPr>
          <w:color w:val="000000" w:themeColor="text1"/>
        </w:rPr>
        <w:t xml:space="preserve"> and </w:t>
      </w:r>
      <w:r w:rsidR="00AF4DC0" w:rsidRPr="00DA49E9">
        <w:rPr>
          <w:color w:val="000000" w:themeColor="text1"/>
        </w:rPr>
        <w:t>W. Y. Low, "Refined power follower strategy for enhancing the performance of hybrid energy storage systems in electric vehicles", Eng. </w:t>
      </w:r>
      <w:r w:rsidR="00AF4DC0" w:rsidRPr="00DA49E9">
        <w:rPr>
          <w:rStyle w:val="ac"/>
          <w:color w:val="000000" w:themeColor="text1"/>
        </w:rPr>
        <w:t>25</w:t>
      </w:r>
      <w:r w:rsidR="00AF4DC0" w:rsidRPr="00DA49E9">
        <w:rPr>
          <w:color w:val="000000" w:themeColor="text1"/>
        </w:rPr>
        <w:t>, 103960 (2025). </w:t>
      </w:r>
      <w:hyperlink r:id="rId38" w:tgtFrame="_blank" w:history="1">
        <w:r w:rsidR="00AF4DC0" w:rsidRPr="00DA49E9">
          <w:rPr>
            <w:rStyle w:val="a8"/>
            <w:color w:val="000000" w:themeColor="text1"/>
          </w:rPr>
          <w:t>https://doi.org/10.1016/j.rineng.2025.103960</w:t>
        </w:r>
      </w:hyperlink>
    </w:p>
    <w:p w14:paraId="2D0D9AA7" w14:textId="07DA18E8" w:rsidR="00AF4DC0" w:rsidRPr="00DA49E9" w:rsidRDefault="001C1009" w:rsidP="001C1009">
      <w:pPr>
        <w:pStyle w:val="Reference"/>
        <w:numPr>
          <w:ilvl w:val="0"/>
          <w:numId w:val="0"/>
        </w:numPr>
        <w:ind w:left="426" w:hanging="426"/>
        <w:rPr>
          <w:color w:val="000000" w:themeColor="text1"/>
        </w:rPr>
      </w:pPr>
      <w:r>
        <w:rPr>
          <w:color w:val="000000" w:themeColor="text1"/>
        </w:rPr>
        <w:t xml:space="preserve">[13] </w:t>
      </w:r>
      <w:r w:rsidR="00AF4DC0" w:rsidRPr="00DA49E9">
        <w:rPr>
          <w:color w:val="000000" w:themeColor="text1"/>
        </w:rPr>
        <w:t>N. </w:t>
      </w:r>
      <w:proofErr w:type="spellStart"/>
      <w:r w:rsidR="00AF4DC0" w:rsidRPr="00DA49E9">
        <w:rPr>
          <w:color w:val="000000" w:themeColor="text1"/>
        </w:rPr>
        <w:t>Kumaresan</w:t>
      </w:r>
      <w:proofErr w:type="spellEnd"/>
      <w:r w:rsidR="00E641F0" w:rsidRPr="00DA49E9">
        <w:rPr>
          <w:color w:val="000000" w:themeColor="text1"/>
        </w:rPr>
        <w:t xml:space="preserve"> and </w:t>
      </w:r>
      <w:r w:rsidR="00AF4DC0" w:rsidRPr="00DA49E9">
        <w:rPr>
          <w:color w:val="000000" w:themeColor="text1"/>
        </w:rPr>
        <w:t>A. </w:t>
      </w:r>
      <w:proofErr w:type="spellStart"/>
      <w:r w:rsidR="00AF4DC0" w:rsidRPr="00DA49E9">
        <w:rPr>
          <w:color w:val="000000" w:themeColor="text1"/>
        </w:rPr>
        <w:t>Rammohan</w:t>
      </w:r>
      <w:proofErr w:type="spellEnd"/>
      <w:r w:rsidR="00AF4DC0" w:rsidRPr="00DA49E9">
        <w:rPr>
          <w:color w:val="000000" w:themeColor="text1"/>
        </w:rPr>
        <w:t>, "Adaptive neuro fuzzy inference system based optimized energy management strategy for the power integration of battery and supercapacitor in electric vehicle", J. Energy Storage </w:t>
      </w:r>
      <w:r w:rsidR="00AF4DC0" w:rsidRPr="00DA49E9">
        <w:rPr>
          <w:rStyle w:val="ac"/>
          <w:color w:val="000000" w:themeColor="text1"/>
        </w:rPr>
        <w:t>126</w:t>
      </w:r>
      <w:r w:rsidR="00AF4DC0" w:rsidRPr="00DA49E9">
        <w:rPr>
          <w:color w:val="000000" w:themeColor="text1"/>
        </w:rPr>
        <w:t>, 117073 (2025). </w:t>
      </w:r>
      <w:hyperlink r:id="rId39" w:tgtFrame="_blank" w:history="1">
        <w:r w:rsidR="00AF4DC0" w:rsidRPr="00DA49E9">
          <w:rPr>
            <w:rStyle w:val="a8"/>
            <w:color w:val="000000" w:themeColor="text1"/>
          </w:rPr>
          <w:t>https://doi.org/10.1016/j.est.2025.117073</w:t>
        </w:r>
      </w:hyperlink>
    </w:p>
    <w:p w14:paraId="14C12E71" w14:textId="1B88A85A" w:rsidR="00AF4DC0" w:rsidRPr="00DA49E9" w:rsidRDefault="001C1009" w:rsidP="001C1009">
      <w:pPr>
        <w:pStyle w:val="Reference"/>
        <w:numPr>
          <w:ilvl w:val="0"/>
          <w:numId w:val="0"/>
        </w:numPr>
        <w:ind w:left="426" w:hanging="426"/>
        <w:rPr>
          <w:color w:val="000000" w:themeColor="text1"/>
        </w:rPr>
      </w:pPr>
      <w:r>
        <w:rPr>
          <w:color w:val="000000" w:themeColor="text1"/>
        </w:rPr>
        <w:t xml:space="preserve">[14] </w:t>
      </w:r>
      <w:r w:rsidR="00AF4DC0" w:rsidRPr="00DA49E9">
        <w:rPr>
          <w:color w:val="000000" w:themeColor="text1"/>
        </w:rPr>
        <w:t>F. </w:t>
      </w:r>
      <w:proofErr w:type="spellStart"/>
      <w:r w:rsidR="00AF4DC0" w:rsidRPr="00DA49E9">
        <w:rPr>
          <w:color w:val="000000" w:themeColor="text1"/>
        </w:rPr>
        <w:t>Abdelhedi</w:t>
      </w:r>
      <w:proofErr w:type="spellEnd"/>
      <w:r w:rsidR="00AF4DC0" w:rsidRPr="00DA49E9">
        <w:rPr>
          <w:color w:val="000000" w:themeColor="text1"/>
        </w:rPr>
        <w:t>, I. </w:t>
      </w:r>
      <w:proofErr w:type="spellStart"/>
      <w:r w:rsidR="00AF4DC0" w:rsidRPr="00DA49E9">
        <w:rPr>
          <w:color w:val="000000" w:themeColor="text1"/>
        </w:rPr>
        <w:t>Jarraya</w:t>
      </w:r>
      <w:proofErr w:type="spellEnd"/>
      <w:r w:rsidR="00AF4DC0" w:rsidRPr="00DA49E9">
        <w:rPr>
          <w:color w:val="000000" w:themeColor="text1"/>
        </w:rPr>
        <w:t>, H. </w:t>
      </w:r>
      <w:proofErr w:type="spellStart"/>
      <w:r w:rsidR="00AF4DC0" w:rsidRPr="00DA49E9">
        <w:rPr>
          <w:color w:val="000000" w:themeColor="text1"/>
        </w:rPr>
        <w:t>Bawayan</w:t>
      </w:r>
      <w:proofErr w:type="spellEnd"/>
      <w:r w:rsidR="00AF4DC0" w:rsidRPr="00DA49E9">
        <w:rPr>
          <w:color w:val="000000" w:themeColor="text1"/>
        </w:rPr>
        <w:t>, M. </w:t>
      </w:r>
      <w:proofErr w:type="spellStart"/>
      <w:r w:rsidR="00AF4DC0" w:rsidRPr="00DA49E9">
        <w:rPr>
          <w:color w:val="000000" w:themeColor="text1"/>
        </w:rPr>
        <w:t>Abdelkeder</w:t>
      </w:r>
      <w:proofErr w:type="spellEnd"/>
      <w:r w:rsidR="00AF4DC0" w:rsidRPr="00DA49E9">
        <w:rPr>
          <w:color w:val="000000" w:themeColor="text1"/>
        </w:rPr>
        <w:t>, N. </w:t>
      </w:r>
      <w:proofErr w:type="spellStart"/>
      <w:r w:rsidR="00AF4DC0" w:rsidRPr="00DA49E9">
        <w:rPr>
          <w:color w:val="000000" w:themeColor="text1"/>
        </w:rPr>
        <w:t>Rizoug</w:t>
      </w:r>
      <w:proofErr w:type="spellEnd"/>
      <w:r w:rsidR="00E641F0" w:rsidRPr="00DA49E9">
        <w:rPr>
          <w:color w:val="000000" w:themeColor="text1"/>
        </w:rPr>
        <w:t xml:space="preserve"> and </w:t>
      </w:r>
      <w:r w:rsidR="00AF4DC0" w:rsidRPr="00DA49E9">
        <w:rPr>
          <w:color w:val="000000" w:themeColor="text1"/>
        </w:rPr>
        <w:t>A. </w:t>
      </w:r>
      <w:proofErr w:type="spellStart"/>
      <w:r w:rsidR="00AF4DC0" w:rsidRPr="00DA49E9">
        <w:rPr>
          <w:color w:val="000000" w:themeColor="text1"/>
        </w:rPr>
        <w:t>Koubaa</w:t>
      </w:r>
      <w:proofErr w:type="spellEnd"/>
      <w:r w:rsidR="00AF4DC0" w:rsidRPr="00DA49E9">
        <w:rPr>
          <w:color w:val="000000" w:themeColor="text1"/>
        </w:rPr>
        <w:t>, "Optimizing Electric Vehicles efficiency with hybrid energy storage: Comparative analysis of rule-based and neural network power management systems", Energy </w:t>
      </w:r>
      <w:r w:rsidR="00AF4DC0" w:rsidRPr="00DA49E9">
        <w:rPr>
          <w:rStyle w:val="ac"/>
          <w:color w:val="000000" w:themeColor="text1"/>
        </w:rPr>
        <w:t>313</w:t>
      </w:r>
      <w:r w:rsidR="00AF4DC0" w:rsidRPr="00DA49E9">
        <w:rPr>
          <w:color w:val="000000" w:themeColor="text1"/>
        </w:rPr>
        <w:t>, 133979 (2024). </w:t>
      </w:r>
      <w:hyperlink r:id="rId40" w:tgtFrame="_blank" w:history="1">
        <w:r w:rsidR="00AF4DC0" w:rsidRPr="00DA49E9">
          <w:rPr>
            <w:rStyle w:val="a8"/>
            <w:color w:val="000000" w:themeColor="text1"/>
          </w:rPr>
          <w:t>https://doi.org/10.1016/j.energy.2024.133979</w:t>
        </w:r>
      </w:hyperlink>
    </w:p>
    <w:p w14:paraId="08D92D0B" w14:textId="32A00F6C" w:rsidR="008B6756" w:rsidRPr="00DA49E9" w:rsidRDefault="001C1009" w:rsidP="001C1009">
      <w:pPr>
        <w:pStyle w:val="Reference"/>
        <w:numPr>
          <w:ilvl w:val="0"/>
          <w:numId w:val="0"/>
        </w:numPr>
        <w:ind w:left="426" w:hanging="426"/>
        <w:rPr>
          <w:color w:val="000000" w:themeColor="text1"/>
        </w:rPr>
      </w:pPr>
      <w:r>
        <w:rPr>
          <w:color w:val="000000" w:themeColor="text1"/>
        </w:rPr>
        <w:t xml:space="preserve">[15] </w:t>
      </w:r>
      <w:r w:rsidR="008B6756" w:rsidRPr="00DA49E9">
        <w:rPr>
          <w:color w:val="000000" w:themeColor="text1"/>
        </w:rPr>
        <w:t xml:space="preserve">M. </w:t>
      </w:r>
      <w:proofErr w:type="spellStart"/>
      <w:r w:rsidR="008B6756" w:rsidRPr="00DA49E9">
        <w:rPr>
          <w:color w:val="000000" w:themeColor="text1"/>
        </w:rPr>
        <w:t>Kazemi</w:t>
      </w:r>
      <w:proofErr w:type="spellEnd"/>
      <w:r w:rsidR="008B6756" w:rsidRPr="00DA49E9">
        <w:rPr>
          <w:color w:val="000000" w:themeColor="text1"/>
        </w:rPr>
        <w:t xml:space="preserve">, H. </w:t>
      </w:r>
      <w:proofErr w:type="spellStart"/>
      <w:r w:rsidR="008B6756" w:rsidRPr="00DA49E9">
        <w:rPr>
          <w:color w:val="000000" w:themeColor="text1"/>
        </w:rPr>
        <w:t>Noorizadeh</w:t>
      </w:r>
      <w:proofErr w:type="spellEnd"/>
      <w:r w:rsidR="008B6756" w:rsidRPr="00DA49E9">
        <w:rPr>
          <w:color w:val="000000" w:themeColor="text1"/>
        </w:rPr>
        <w:t xml:space="preserve">, Y. Jadeja, S. K. Saraswat, R. M. M., A. </w:t>
      </w:r>
      <w:proofErr w:type="spellStart"/>
      <w:r w:rsidR="008B6756" w:rsidRPr="00DA49E9">
        <w:rPr>
          <w:color w:val="000000" w:themeColor="text1"/>
        </w:rPr>
        <w:t>Shankhyan</w:t>
      </w:r>
      <w:proofErr w:type="spellEnd"/>
      <w:r w:rsidR="008B6756" w:rsidRPr="00DA49E9">
        <w:rPr>
          <w:color w:val="000000" w:themeColor="text1"/>
        </w:rPr>
        <w:t xml:space="preserve">, S. </w:t>
      </w:r>
      <w:proofErr w:type="spellStart"/>
      <w:r w:rsidR="008B6756" w:rsidRPr="00DA49E9">
        <w:rPr>
          <w:color w:val="000000" w:themeColor="text1"/>
        </w:rPr>
        <w:t>Supriya</w:t>
      </w:r>
      <w:proofErr w:type="spellEnd"/>
      <w:r w:rsidR="008B6756" w:rsidRPr="00DA49E9">
        <w:rPr>
          <w:color w:val="000000" w:themeColor="text1"/>
        </w:rPr>
        <w:t xml:space="preserve">, and K. K. Joshi, "Advancing </w:t>
      </w:r>
      <w:proofErr w:type="spellStart"/>
      <w:r w:rsidR="008B6756" w:rsidRPr="00DA49E9">
        <w:rPr>
          <w:color w:val="000000" w:themeColor="text1"/>
        </w:rPr>
        <w:t>CdSe</w:t>
      </w:r>
      <w:proofErr w:type="spellEnd"/>
      <w:r w:rsidR="008B6756" w:rsidRPr="00DA49E9">
        <w:rPr>
          <w:color w:val="000000" w:themeColor="text1"/>
        </w:rPr>
        <w:t xml:space="preserve"> quantum dots for batteries and supercapacitors: electrochemical frontiers," RSC Adv. </w:t>
      </w:r>
      <w:r w:rsidR="008B6756" w:rsidRPr="00DA49E9">
        <w:rPr>
          <w:b/>
          <w:color w:val="000000" w:themeColor="text1"/>
        </w:rPr>
        <w:t>15</w:t>
      </w:r>
      <w:r w:rsidR="008B6756" w:rsidRPr="00DA49E9">
        <w:rPr>
          <w:color w:val="000000" w:themeColor="text1"/>
        </w:rPr>
        <w:t xml:space="preserve">, 16134–16163 (2025). </w:t>
      </w:r>
      <w:hyperlink r:id="rId41" w:tgtFrame="_new" w:history="1">
        <w:r w:rsidR="008B6756" w:rsidRPr="00DA49E9">
          <w:rPr>
            <w:rStyle w:val="a8"/>
            <w:color w:val="000000" w:themeColor="text1"/>
          </w:rPr>
          <w:t>https://doi.org/10.1039/D5RA02414E</w:t>
        </w:r>
      </w:hyperlink>
    </w:p>
    <w:p w14:paraId="02FF91B2" w14:textId="5EC7E10C" w:rsidR="00AF4DC0" w:rsidRPr="00DA49E9" w:rsidRDefault="001C1009" w:rsidP="001C1009">
      <w:pPr>
        <w:pStyle w:val="Reference"/>
        <w:numPr>
          <w:ilvl w:val="0"/>
          <w:numId w:val="0"/>
        </w:numPr>
        <w:ind w:left="426" w:hanging="426"/>
        <w:rPr>
          <w:color w:val="000000" w:themeColor="text1"/>
        </w:rPr>
      </w:pPr>
      <w:r>
        <w:rPr>
          <w:color w:val="000000" w:themeColor="text1"/>
        </w:rPr>
        <w:t xml:space="preserve">[16] </w:t>
      </w:r>
      <w:r w:rsidR="009A114B" w:rsidRPr="00DA49E9">
        <w:rPr>
          <w:color w:val="000000" w:themeColor="text1"/>
        </w:rPr>
        <w:t>R. K. </w:t>
      </w:r>
      <w:proofErr w:type="spellStart"/>
      <w:r w:rsidR="009A114B" w:rsidRPr="00DA49E9">
        <w:rPr>
          <w:color w:val="000000" w:themeColor="text1"/>
        </w:rPr>
        <w:t>Azega</w:t>
      </w:r>
      <w:proofErr w:type="spellEnd"/>
      <w:r w:rsidR="009A114B" w:rsidRPr="00DA49E9">
        <w:rPr>
          <w:color w:val="000000" w:themeColor="text1"/>
        </w:rPr>
        <w:t>, A. D. Smith, N. R. Chowdhury, A. Vyas, Q. Li, M. Haque, Q. </w:t>
      </w:r>
      <w:proofErr w:type="spellStart"/>
      <w:r w:rsidR="009A114B" w:rsidRPr="00DA49E9">
        <w:rPr>
          <w:color w:val="000000" w:themeColor="text1"/>
        </w:rPr>
        <w:t>Xun</w:t>
      </w:r>
      <w:proofErr w:type="spellEnd"/>
      <w:r w:rsidR="009A114B" w:rsidRPr="00DA49E9">
        <w:rPr>
          <w:color w:val="000000" w:themeColor="text1"/>
        </w:rPr>
        <w:t>, X. Zhang, S. </w:t>
      </w:r>
      <w:proofErr w:type="spellStart"/>
      <w:r w:rsidR="009A114B" w:rsidRPr="00DA49E9">
        <w:rPr>
          <w:color w:val="000000" w:themeColor="text1"/>
        </w:rPr>
        <w:t>Thurakkal</w:t>
      </w:r>
      <w:proofErr w:type="spellEnd"/>
      <w:r w:rsidR="009A114B" w:rsidRPr="00DA49E9">
        <w:rPr>
          <w:color w:val="000000" w:themeColor="text1"/>
        </w:rPr>
        <w:t>, T. </w:t>
      </w:r>
      <w:proofErr w:type="spellStart"/>
      <w:r w:rsidR="009A114B" w:rsidRPr="00DA49E9">
        <w:rPr>
          <w:color w:val="000000" w:themeColor="text1"/>
        </w:rPr>
        <w:t>Thiringer</w:t>
      </w:r>
      <w:proofErr w:type="spellEnd"/>
      <w:r w:rsidR="009A114B" w:rsidRPr="00DA49E9">
        <w:rPr>
          <w:color w:val="000000" w:themeColor="text1"/>
        </w:rPr>
        <w:t>, P. </w:t>
      </w:r>
      <w:proofErr w:type="spellStart"/>
      <w:r w:rsidR="009A114B" w:rsidRPr="00DA49E9">
        <w:rPr>
          <w:color w:val="000000" w:themeColor="text1"/>
        </w:rPr>
        <w:t>Enoksson</w:t>
      </w:r>
      <w:proofErr w:type="spellEnd"/>
      <w:r w:rsidR="00E641F0" w:rsidRPr="00DA49E9">
        <w:rPr>
          <w:color w:val="000000" w:themeColor="text1"/>
        </w:rPr>
        <w:t xml:space="preserve"> and </w:t>
      </w:r>
      <w:r w:rsidR="009A114B" w:rsidRPr="00DA49E9">
        <w:rPr>
          <w:color w:val="000000" w:themeColor="text1"/>
        </w:rPr>
        <w:t>P. Lundgren, "Supercapacitors and rechargeable batteries, a tale of two technologies: Past, present and beyond", Sustain. Mater. Technol. </w:t>
      </w:r>
      <w:r w:rsidR="009A114B" w:rsidRPr="00DA49E9">
        <w:rPr>
          <w:rStyle w:val="ac"/>
          <w:color w:val="000000" w:themeColor="text1"/>
        </w:rPr>
        <w:t>41</w:t>
      </w:r>
      <w:r w:rsidR="009A114B" w:rsidRPr="00DA49E9">
        <w:rPr>
          <w:color w:val="000000" w:themeColor="text1"/>
        </w:rPr>
        <w:t>, e01111 (2024). </w:t>
      </w:r>
      <w:hyperlink r:id="rId42" w:tgtFrame="_blank" w:history="1">
        <w:r w:rsidR="009A114B" w:rsidRPr="00DA49E9">
          <w:rPr>
            <w:rStyle w:val="a8"/>
            <w:color w:val="000000" w:themeColor="text1"/>
          </w:rPr>
          <w:t>https://doi.org/10.1016/j.susmat.2024.e01111</w:t>
        </w:r>
      </w:hyperlink>
    </w:p>
    <w:p w14:paraId="1D7D2E24" w14:textId="7B0E1F8B" w:rsidR="009A114B" w:rsidRPr="00DA49E9" w:rsidRDefault="001C1009" w:rsidP="001C1009">
      <w:pPr>
        <w:pStyle w:val="Reference"/>
        <w:numPr>
          <w:ilvl w:val="0"/>
          <w:numId w:val="0"/>
        </w:numPr>
        <w:ind w:left="426" w:hanging="426"/>
        <w:rPr>
          <w:color w:val="000000" w:themeColor="text1"/>
        </w:rPr>
      </w:pPr>
      <w:r>
        <w:rPr>
          <w:color w:val="000000" w:themeColor="text1"/>
        </w:rPr>
        <w:t xml:space="preserve">[17] </w:t>
      </w:r>
      <w:r w:rsidR="009A114B" w:rsidRPr="00DA49E9">
        <w:rPr>
          <w:color w:val="000000" w:themeColor="text1"/>
        </w:rPr>
        <w:t>H. Liu, Z. Deng, Y. Yang, C. Lu, B. Li, C. Liu</w:t>
      </w:r>
      <w:r w:rsidR="00E641F0" w:rsidRPr="00DA49E9">
        <w:rPr>
          <w:color w:val="000000" w:themeColor="text1"/>
        </w:rPr>
        <w:t xml:space="preserve"> and </w:t>
      </w:r>
      <w:r w:rsidR="009A114B" w:rsidRPr="00DA49E9">
        <w:rPr>
          <w:color w:val="000000" w:themeColor="text1"/>
        </w:rPr>
        <w:t>D. Cheng, "Capacity evaluation and degradation analysis of lithium-ion battery packs for on-road electric vehicles", J. Energy Storage </w:t>
      </w:r>
      <w:r w:rsidR="009A114B" w:rsidRPr="00DA49E9">
        <w:rPr>
          <w:rStyle w:val="ac"/>
          <w:color w:val="000000" w:themeColor="text1"/>
        </w:rPr>
        <w:t>65</w:t>
      </w:r>
      <w:r w:rsidR="009A114B" w:rsidRPr="00DA49E9">
        <w:rPr>
          <w:color w:val="000000" w:themeColor="text1"/>
        </w:rPr>
        <w:t>, 107270 (2023). </w:t>
      </w:r>
      <w:hyperlink r:id="rId43" w:tgtFrame="_blank" w:history="1">
        <w:r w:rsidR="009A114B" w:rsidRPr="00DA49E9">
          <w:rPr>
            <w:rStyle w:val="a8"/>
            <w:color w:val="000000" w:themeColor="text1"/>
          </w:rPr>
          <w:t>https://doi.org/10.1016/j.est.2023.107270</w:t>
        </w:r>
      </w:hyperlink>
    </w:p>
    <w:p w14:paraId="4BCC38F4" w14:textId="28479B2D" w:rsidR="009A114B" w:rsidRPr="00DA49E9" w:rsidRDefault="001C1009" w:rsidP="001C1009">
      <w:pPr>
        <w:pStyle w:val="Reference"/>
        <w:numPr>
          <w:ilvl w:val="0"/>
          <w:numId w:val="0"/>
        </w:numPr>
        <w:ind w:left="426" w:hanging="426"/>
        <w:rPr>
          <w:color w:val="000000" w:themeColor="text1"/>
        </w:rPr>
      </w:pPr>
      <w:r>
        <w:rPr>
          <w:color w:val="000000" w:themeColor="text1"/>
        </w:rPr>
        <w:t xml:space="preserve">[18] </w:t>
      </w:r>
      <w:r w:rsidR="009A114B" w:rsidRPr="00DA49E9">
        <w:rPr>
          <w:color w:val="000000" w:themeColor="text1"/>
        </w:rPr>
        <w:t>S. </w:t>
      </w:r>
      <w:proofErr w:type="spellStart"/>
      <w:r w:rsidR="009A114B" w:rsidRPr="00DA49E9">
        <w:rPr>
          <w:color w:val="000000" w:themeColor="text1"/>
        </w:rPr>
        <w:t>Chavan</w:t>
      </w:r>
      <w:proofErr w:type="spellEnd"/>
      <w:r w:rsidR="009A114B" w:rsidRPr="00DA49E9">
        <w:rPr>
          <w:color w:val="000000" w:themeColor="text1"/>
        </w:rPr>
        <w:t>, B. </w:t>
      </w:r>
      <w:proofErr w:type="spellStart"/>
      <w:r w:rsidR="009A114B" w:rsidRPr="00DA49E9">
        <w:rPr>
          <w:color w:val="000000" w:themeColor="text1"/>
        </w:rPr>
        <w:t>Venkateswarlu</w:t>
      </w:r>
      <w:proofErr w:type="spellEnd"/>
      <w:r w:rsidR="009A114B" w:rsidRPr="00DA49E9">
        <w:rPr>
          <w:color w:val="000000" w:themeColor="text1"/>
        </w:rPr>
        <w:t>, M. Salman, J. Liu, P. Pawar, S. W. </w:t>
      </w:r>
      <w:proofErr w:type="spellStart"/>
      <w:r w:rsidR="009A114B" w:rsidRPr="00DA49E9">
        <w:rPr>
          <w:color w:val="000000" w:themeColor="text1"/>
        </w:rPr>
        <w:t>Joo</w:t>
      </w:r>
      <w:proofErr w:type="spellEnd"/>
      <w:r w:rsidR="009A114B" w:rsidRPr="00DA49E9">
        <w:rPr>
          <w:color w:val="000000" w:themeColor="text1"/>
        </w:rPr>
        <w:t>, G. S. Choi</w:t>
      </w:r>
      <w:r w:rsidR="00E641F0" w:rsidRPr="00DA49E9">
        <w:rPr>
          <w:color w:val="000000" w:themeColor="text1"/>
        </w:rPr>
        <w:t xml:space="preserve"> and </w:t>
      </w:r>
      <w:r w:rsidR="009A114B" w:rsidRPr="00DA49E9">
        <w:rPr>
          <w:color w:val="000000" w:themeColor="text1"/>
        </w:rPr>
        <w:t>S. C. Kim, "Thermal management strategies for lithium-ion batteries in electric vehicles: Fundamentals, recent advances, thermal models, and cooling techniques", Int. J. Heat Mass Transf. </w:t>
      </w:r>
      <w:r w:rsidR="009A114B" w:rsidRPr="00DA49E9">
        <w:rPr>
          <w:rStyle w:val="ac"/>
          <w:color w:val="000000" w:themeColor="text1"/>
        </w:rPr>
        <w:t>232</w:t>
      </w:r>
      <w:r w:rsidR="009A114B" w:rsidRPr="00DA49E9">
        <w:rPr>
          <w:color w:val="000000" w:themeColor="text1"/>
        </w:rPr>
        <w:t>, 125918 (2024). </w:t>
      </w:r>
      <w:hyperlink r:id="rId44" w:tgtFrame="_blank" w:history="1">
        <w:r w:rsidR="009A114B" w:rsidRPr="00DA49E9">
          <w:rPr>
            <w:rStyle w:val="a8"/>
            <w:color w:val="000000" w:themeColor="text1"/>
          </w:rPr>
          <w:t>https://doi.org/10.1016/j.ijheatmasstransfer.2024.125918</w:t>
        </w:r>
      </w:hyperlink>
    </w:p>
    <w:p w14:paraId="7DDBA0B4" w14:textId="77FA8131" w:rsidR="009A114B" w:rsidRPr="00DA49E9" w:rsidRDefault="001C1009" w:rsidP="001C1009">
      <w:pPr>
        <w:pStyle w:val="Reference"/>
        <w:numPr>
          <w:ilvl w:val="0"/>
          <w:numId w:val="0"/>
        </w:numPr>
        <w:ind w:left="426" w:hanging="426"/>
        <w:rPr>
          <w:color w:val="000000" w:themeColor="text1"/>
        </w:rPr>
      </w:pPr>
      <w:r>
        <w:rPr>
          <w:color w:val="000000" w:themeColor="text1"/>
        </w:rPr>
        <w:t xml:space="preserve">[19] </w:t>
      </w:r>
      <w:r w:rsidR="008B6756" w:rsidRPr="00DA49E9">
        <w:rPr>
          <w:color w:val="000000" w:themeColor="text1"/>
        </w:rPr>
        <w:t xml:space="preserve">Y. Wang, "Rational design of anode materials for high-performance lithium-ion batteries," in </w:t>
      </w:r>
      <w:r w:rsidR="008B6756" w:rsidRPr="00DA49E9">
        <w:rPr>
          <w:rStyle w:val="ad"/>
          <w:color w:val="000000" w:themeColor="text1"/>
        </w:rPr>
        <w:t>International Conference on Optoelectronic Materials and Devices (ICOMD 2022)</w:t>
      </w:r>
      <w:r w:rsidR="008B6756" w:rsidRPr="00DA49E9">
        <w:rPr>
          <w:color w:val="000000" w:themeColor="text1"/>
        </w:rPr>
        <w:t xml:space="preserve">, edited by Q. Huang (SPIE, Bellingham, WA, 2023), Vol. 12600, p. 126000D. </w:t>
      </w:r>
      <w:hyperlink r:id="rId45" w:tgtFrame="_new" w:history="1">
        <w:r w:rsidR="008B6756" w:rsidRPr="00DA49E9">
          <w:rPr>
            <w:rStyle w:val="a8"/>
            <w:color w:val="000000" w:themeColor="text1"/>
          </w:rPr>
          <w:t>https://doi.org/10.1117/12.2674115</w:t>
        </w:r>
      </w:hyperlink>
    </w:p>
    <w:p w14:paraId="307890E4" w14:textId="61080065" w:rsidR="009A114B" w:rsidRPr="00DA49E9" w:rsidRDefault="001C1009" w:rsidP="001C1009">
      <w:pPr>
        <w:pStyle w:val="Reference"/>
        <w:numPr>
          <w:ilvl w:val="0"/>
          <w:numId w:val="0"/>
        </w:numPr>
        <w:ind w:left="426" w:hanging="426"/>
        <w:rPr>
          <w:color w:val="000000" w:themeColor="text1"/>
        </w:rPr>
      </w:pPr>
      <w:r>
        <w:rPr>
          <w:color w:val="000000" w:themeColor="text1"/>
        </w:rPr>
        <w:t xml:space="preserve">[20] </w:t>
      </w:r>
      <w:r w:rsidR="009A114B" w:rsidRPr="00DA49E9">
        <w:rPr>
          <w:color w:val="000000" w:themeColor="text1"/>
        </w:rPr>
        <w:t>P. V. </w:t>
      </w:r>
      <w:proofErr w:type="spellStart"/>
      <w:r w:rsidR="009A114B" w:rsidRPr="00DA49E9">
        <w:rPr>
          <w:color w:val="000000" w:themeColor="text1"/>
        </w:rPr>
        <w:t>Chombo</w:t>
      </w:r>
      <w:proofErr w:type="spellEnd"/>
      <w:r w:rsidR="00E641F0" w:rsidRPr="00DA49E9">
        <w:rPr>
          <w:color w:val="000000" w:themeColor="text1"/>
        </w:rPr>
        <w:t xml:space="preserve"> and </w:t>
      </w:r>
      <w:r w:rsidR="009A114B" w:rsidRPr="00DA49E9">
        <w:rPr>
          <w:color w:val="000000" w:themeColor="text1"/>
        </w:rPr>
        <w:t>Y. </w:t>
      </w:r>
      <w:proofErr w:type="spellStart"/>
      <w:r w:rsidR="009A114B" w:rsidRPr="00DA49E9">
        <w:rPr>
          <w:color w:val="000000" w:themeColor="text1"/>
        </w:rPr>
        <w:t>Laoonual</w:t>
      </w:r>
      <w:proofErr w:type="spellEnd"/>
      <w:r w:rsidR="009A114B" w:rsidRPr="00DA49E9">
        <w:rPr>
          <w:color w:val="000000" w:themeColor="text1"/>
        </w:rPr>
        <w:t>, "A review of safety strategies of a Li-ion battery", J. Sources </w:t>
      </w:r>
      <w:r w:rsidR="009A114B" w:rsidRPr="00DA49E9">
        <w:rPr>
          <w:rStyle w:val="ac"/>
          <w:color w:val="000000" w:themeColor="text1"/>
        </w:rPr>
        <w:t>478</w:t>
      </w:r>
      <w:r w:rsidR="009A114B" w:rsidRPr="00DA49E9">
        <w:rPr>
          <w:color w:val="000000" w:themeColor="text1"/>
        </w:rPr>
        <w:t>, 228649 (2020).</w:t>
      </w:r>
      <w:r w:rsidR="00A21C91" w:rsidRPr="00DA49E9">
        <w:rPr>
          <w:color w:val="000000" w:themeColor="text1"/>
        </w:rPr>
        <w:t xml:space="preserve"> </w:t>
      </w:r>
      <w:hyperlink r:id="rId46" w:tgtFrame="_blank" w:history="1">
        <w:r w:rsidR="009A114B" w:rsidRPr="00DA49E9">
          <w:rPr>
            <w:rStyle w:val="a8"/>
            <w:color w:val="000000" w:themeColor="text1"/>
          </w:rPr>
          <w:t>https://doi.org/10.1016/j.jpowsour.2020.228649</w:t>
        </w:r>
      </w:hyperlink>
    </w:p>
    <w:p w14:paraId="4DBC2B4D" w14:textId="30925819" w:rsidR="008B6756" w:rsidRPr="00DA49E9" w:rsidRDefault="001C1009" w:rsidP="001C1009">
      <w:pPr>
        <w:pStyle w:val="Reference"/>
        <w:numPr>
          <w:ilvl w:val="0"/>
          <w:numId w:val="0"/>
        </w:numPr>
        <w:ind w:left="426" w:hanging="426"/>
        <w:rPr>
          <w:color w:val="000000" w:themeColor="text1"/>
        </w:rPr>
      </w:pPr>
      <w:r>
        <w:rPr>
          <w:color w:val="000000" w:themeColor="text1"/>
        </w:rPr>
        <w:t xml:space="preserve">[21] </w:t>
      </w:r>
      <w:r w:rsidR="008B6756" w:rsidRPr="00DA49E9">
        <w:rPr>
          <w:color w:val="000000" w:themeColor="text1"/>
        </w:rPr>
        <w:t xml:space="preserve">A. G. </w:t>
      </w:r>
      <w:proofErr w:type="spellStart"/>
      <w:r w:rsidR="008B6756" w:rsidRPr="00DA49E9">
        <w:rPr>
          <w:color w:val="000000" w:themeColor="text1"/>
        </w:rPr>
        <w:t>Olabi</w:t>
      </w:r>
      <w:proofErr w:type="spellEnd"/>
      <w:r w:rsidR="008B6756" w:rsidRPr="00DA49E9">
        <w:rPr>
          <w:color w:val="000000" w:themeColor="text1"/>
        </w:rPr>
        <w:t xml:space="preserve">, M. A. </w:t>
      </w:r>
      <w:proofErr w:type="spellStart"/>
      <w:r w:rsidR="008B6756" w:rsidRPr="00DA49E9">
        <w:rPr>
          <w:color w:val="000000" w:themeColor="text1"/>
        </w:rPr>
        <w:t>Abdelkareem</w:t>
      </w:r>
      <w:proofErr w:type="spellEnd"/>
      <w:r w:rsidR="008B6756" w:rsidRPr="00DA49E9">
        <w:rPr>
          <w:color w:val="000000" w:themeColor="text1"/>
        </w:rPr>
        <w:t xml:space="preserve">, T. Wilberforce, A. </w:t>
      </w:r>
      <w:proofErr w:type="spellStart"/>
      <w:r w:rsidR="008B6756" w:rsidRPr="00DA49E9">
        <w:rPr>
          <w:color w:val="000000" w:themeColor="text1"/>
        </w:rPr>
        <w:t>Alkhalidi</w:t>
      </w:r>
      <w:proofErr w:type="spellEnd"/>
      <w:r w:rsidR="008B6756" w:rsidRPr="00DA49E9">
        <w:rPr>
          <w:color w:val="000000" w:themeColor="text1"/>
        </w:rPr>
        <w:t xml:space="preserve">, T. Salameh, A. G. Abo-Khalil, M. M. Hassan, and E. T. Sayed, "Battery electric vehicles: Progress, power electronic converters, strength (S), weakness (W), opportunity (O), and threats (T)," Int. J. </w:t>
      </w:r>
      <w:proofErr w:type="spellStart"/>
      <w:r w:rsidR="008B6756" w:rsidRPr="00DA49E9">
        <w:rPr>
          <w:color w:val="000000" w:themeColor="text1"/>
        </w:rPr>
        <w:t>Thermofluids</w:t>
      </w:r>
      <w:proofErr w:type="spellEnd"/>
      <w:r w:rsidR="008B6756" w:rsidRPr="00DA49E9">
        <w:rPr>
          <w:color w:val="000000" w:themeColor="text1"/>
        </w:rPr>
        <w:t xml:space="preserve"> 16, 100212 (</w:t>
      </w:r>
      <w:r w:rsidR="008B6756" w:rsidRPr="00DA49E9">
        <w:rPr>
          <w:b/>
          <w:color w:val="000000" w:themeColor="text1"/>
        </w:rPr>
        <w:t>2022</w:t>
      </w:r>
      <w:r w:rsidR="008B6756" w:rsidRPr="00DA49E9">
        <w:rPr>
          <w:color w:val="000000" w:themeColor="text1"/>
        </w:rPr>
        <w:t xml:space="preserve">). </w:t>
      </w:r>
      <w:hyperlink r:id="rId47" w:history="1">
        <w:r w:rsidR="008B6756" w:rsidRPr="00DA49E9">
          <w:rPr>
            <w:rStyle w:val="a8"/>
            <w:color w:val="000000" w:themeColor="text1"/>
          </w:rPr>
          <w:t>https://doi.org/10.1016/j.ijft.2022.100212</w:t>
        </w:r>
      </w:hyperlink>
    </w:p>
    <w:p w14:paraId="6E1838BF" w14:textId="1D4CE845" w:rsidR="009A114B" w:rsidRPr="00DA49E9" w:rsidRDefault="001C1009" w:rsidP="001C1009">
      <w:pPr>
        <w:pStyle w:val="Reference"/>
        <w:numPr>
          <w:ilvl w:val="0"/>
          <w:numId w:val="0"/>
        </w:numPr>
        <w:ind w:left="426" w:hanging="426"/>
        <w:rPr>
          <w:color w:val="000000" w:themeColor="text1"/>
        </w:rPr>
      </w:pPr>
      <w:r>
        <w:rPr>
          <w:color w:val="000000" w:themeColor="text1"/>
        </w:rPr>
        <w:t xml:space="preserve">[22] </w:t>
      </w:r>
      <w:r w:rsidR="009A114B" w:rsidRPr="00DA49E9">
        <w:rPr>
          <w:color w:val="000000" w:themeColor="text1"/>
        </w:rPr>
        <w:t>E. Hossain, D. Murtaugh, J. </w:t>
      </w:r>
      <w:proofErr w:type="spellStart"/>
      <w:r w:rsidR="009A114B" w:rsidRPr="00DA49E9">
        <w:rPr>
          <w:color w:val="000000" w:themeColor="text1"/>
        </w:rPr>
        <w:t>Mody</w:t>
      </w:r>
      <w:proofErr w:type="spellEnd"/>
      <w:r w:rsidR="009A114B" w:rsidRPr="00DA49E9">
        <w:rPr>
          <w:color w:val="000000" w:themeColor="text1"/>
        </w:rPr>
        <w:t>, H. M. R. </w:t>
      </w:r>
      <w:proofErr w:type="spellStart"/>
      <w:r w:rsidR="009A114B" w:rsidRPr="00DA49E9">
        <w:rPr>
          <w:color w:val="000000" w:themeColor="text1"/>
        </w:rPr>
        <w:t>Faruque</w:t>
      </w:r>
      <w:proofErr w:type="spellEnd"/>
      <w:r w:rsidR="009A114B" w:rsidRPr="00DA49E9">
        <w:rPr>
          <w:color w:val="000000" w:themeColor="text1"/>
        </w:rPr>
        <w:t>, M. S. </w:t>
      </w:r>
      <w:proofErr w:type="spellStart"/>
      <w:r w:rsidR="009A114B" w:rsidRPr="00DA49E9">
        <w:rPr>
          <w:color w:val="000000" w:themeColor="text1"/>
        </w:rPr>
        <w:t>Haque</w:t>
      </w:r>
      <w:proofErr w:type="spellEnd"/>
      <w:r w:rsidR="009A114B" w:rsidRPr="00DA49E9">
        <w:rPr>
          <w:color w:val="000000" w:themeColor="text1"/>
        </w:rPr>
        <w:t xml:space="preserve"> Sunny</w:t>
      </w:r>
      <w:r w:rsidR="00E641F0" w:rsidRPr="00DA49E9">
        <w:rPr>
          <w:color w:val="000000" w:themeColor="text1"/>
        </w:rPr>
        <w:t xml:space="preserve"> and </w:t>
      </w:r>
      <w:r w:rsidR="009A114B" w:rsidRPr="00DA49E9">
        <w:rPr>
          <w:color w:val="000000" w:themeColor="text1"/>
        </w:rPr>
        <w:t>N. Mohammad, "A Comprehensive Review on Second-Life Batteries: Current State, Manufacturing Considerations, Applications, Impacts, Barriers &amp; Potential Solutions, Business Strategies, and Policies", IEEE Access </w:t>
      </w:r>
      <w:r w:rsidR="009A114B" w:rsidRPr="00DA49E9">
        <w:rPr>
          <w:rStyle w:val="ac"/>
          <w:color w:val="000000" w:themeColor="text1"/>
        </w:rPr>
        <w:t>7</w:t>
      </w:r>
      <w:r w:rsidR="009A114B" w:rsidRPr="00DA49E9">
        <w:rPr>
          <w:color w:val="000000" w:themeColor="text1"/>
        </w:rPr>
        <w:t>, 73215–73252 (2019).</w:t>
      </w:r>
      <w:r w:rsidR="00A21C91" w:rsidRPr="00DA49E9">
        <w:rPr>
          <w:color w:val="000000" w:themeColor="text1"/>
        </w:rPr>
        <w:t xml:space="preserve"> </w:t>
      </w:r>
      <w:hyperlink r:id="rId48" w:tgtFrame="_blank" w:history="1">
        <w:r w:rsidR="009A114B" w:rsidRPr="00DA49E9">
          <w:rPr>
            <w:rStyle w:val="a8"/>
            <w:color w:val="000000" w:themeColor="text1"/>
          </w:rPr>
          <w:t>https://doi.org/10.1109/access.2019.2917859</w:t>
        </w:r>
      </w:hyperlink>
    </w:p>
    <w:p w14:paraId="20C38C41" w14:textId="1BCB8C70" w:rsidR="00F517B9" w:rsidRPr="00DA49E9" w:rsidRDefault="001C1009" w:rsidP="001C1009">
      <w:pPr>
        <w:pStyle w:val="Reference"/>
        <w:numPr>
          <w:ilvl w:val="0"/>
          <w:numId w:val="0"/>
        </w:numPr>
        <w:ind w:left="426" w:hanging="426"/>
        <w:rPr>
          <w:color w:val="000000" w:themeColor="text1"/>
        </w:rPr>
      </w:pPr>
      <w:r>
        <w:rPr>
          <w:color w:val="000000" w:themeColor="text1"/>
        </w:rPr>
        <w:lastRenderedPageBreak/>
        <w:t xml:space="preserve">[23] </w:t>
      </w:r>
      <w:r w:rsidR="00F517B9" w:rsidRPr="00DA49E9">
        <w:rPr>
          <w:color w:val="000000" w:themeColor="text1"/>
        </w:rPr>
        <w:t xml:space="preserve">A. </w:t>
      </w:r>
      <w:proofErr w:type="spellStart"/>
      <w:r w:rsidR="00F517B9" w:rsidRPr="00DA49E9">
        <w:rPr>
          <w:color w:val="000000" w:themeColor="text1"/>
        </w:rPr>
        <w:t>Shuja</w:t>
      </w:r>
      <w:proofErr w:type="spellEnd"/>
      <w:r w:rsidR="00F517B9" w:rsidRPr="00DA49E9">
        <w:rPr>
          <w:color w:val="000000" w:themeColor="text1"/>
        </w:rPr>
        <w:t>, H. R. Khan, I. Murtaza, S. Ashraf, Y. Abid, F. Farid, and F. Sajid,</w:t>
      </w:r>
      <w:r w:rsidR="00503DD2" w:rsidRPr="00DA49E9">
        <w:rPr>
          <w:color w:val="000000" w:themeColor="text1"/>
        </w:rPr>
        <w:t xml:space="preserve"> </w:t>
      </w:r>
      <w:r w:rsidR="00F517B9" w:rsidRPr="00DA49E9">
        <w:rPr>
          <w:color w:val="000000" w:themeColor="text1"/>
        </w:rPr>
        <w:t xml:space="preserve">"Supercapacitors for energy storage applications: Materials, devices and future directions: A comprehensive review," </w:t>
      </w:r>
      <w:r w:rsidR="00F517B9" w:rsidRPr="00DA49E9">
        <w:rPr>
          <w:rStyle w:val="ad"/>
          <w:color w:val="000000" w:themeColor="text1"/>
        </w:rPr>
        <w:t>J. Alloys Compd.</w:t>
      </w:r>
      <w:r w:rsidR="00F517B9" w:rsidRPr="00DA49E9">
        <w:rPr>
          <w:color w:val="000000" w:themeColor="text1"/>
        </w:rPr>
        <w:t xml:space="preserve"> </w:t>
      </w:r>
      <w:r w:rsidR="00F517B9" w:rsidRPr="00DA49E9">
        <w:rPr>
          <w:rStyle w:val="ac"/>
          <w:color w:val="000000" w:themeColor="text1"/>
        </w:rPr>
        <w:t>1009</w:t>
      </w:r>
      <w:r w:rsidR="00F517B9" w:rsidRPr="00DA49E9">
        <w:rPr>
          <w:color w:val="000000" w:themeColor="text1"/>
        </w:rPr>
        <w:t xml:space="preserve">, 176924 (2024). </w:t>
      </w:r>
      <w:hyperlink r:id="rId49" w:tgtFrame="_new" w:history="1">
        <w:r w:rsidR="00F517B9" w:rsidRPr="00DA49E9">
          <w:rPr>
            <w:rStyle w:val="a8"/>
            <w:color w:val="000000" w:themeColor="text1"/>
          </w:rPr>
          <w:t>https://doi.org/10.1016/j.jallcom.2024.176924</w:t>
        </w:r>
      </w:hyperlink>
    </w:p>
    <w:p w14:paraId="7E2FE268" w14:textId="39DB81EE" w:rsidR="005A6FE0" w:rsidRPr="00DA49E9" w:rsidRDefault="001C1009" w:rsidP="001C1009">
      <w:pPr>
        <w:pStyle w:val="Reference"/>
        <w:numPr>
          <w:ilvl w:val="0"/>
          <w:numId w:val="0"/>
        </w:numPr>
        <w:ind w:left="426" w:hanging="426"/>
        <w:rPr>
          <w:color w:val="000000" w:themeColor="text1"/>
        </w:rPr>
      </w:pPr>
      <w:r>
        <w:rPr>
          <w:color w:val="000000" w:themeColor="text1"/>
        </w:rPr>
        <w:t xml:space="preserve">[24] </w:t>
      </w:r>
      <w:r w:rsidR="005A6FE0" w:rsidRPr="00DA49E9">
        <w:rPr>
          <w:color w:val="000000" w:themeColor="text1"/>
        </w:rPr>
        <w:t>M. </w:t>
      </w:r>
      <w:proofErr w:type="spellStart"/>
      <w:r w:rsidR="005A6FE0" w:rsidRPr="00DA49E9">
        <w:rPr>
          <w:color w:val="000000" w:themeColor="text1"/>
        </w:rPr>
        <w:t>Yaseen</w:t>
      </w:r>
      <w:proofErr w:type="spellEnd"/>
      <w:r w:rsidR="005A6FE0" w:rsidRPr="00DA49E9">
        <w:rPr>
          <w:color w:val="000000" w:themeColor="text1"/>
        </w:rPr>
        <w:t>, M. A. K. Khattak, M. Humayun, M. Usman, S. S. Shah, S. Bibi, B. S. U. Hasnain, S. M. Ahmad, A. Khan, N. Shah, A. A. Tahir</w:t>
      </w:r>
      <w:r w:rsidR="00E641F0" w:rsidRPr="00DA49E9">
        <w:rPr>
          <w:color w:val="000000" w:themeColor="text1"/>
        </w:rPr>
        <w:t xml:space="preserve"> </w:t>
      </w:r>
      <w:r w:rsidR="007A3674" w:rsidRPr="00DA49E9">
        <w:rPr>
          <w:color w:val="000000" w:themeColor="text1"/>
        </w:rPr>
        <w:t>and</w:t>
      </w:r>
      <w:r w:rsidR="00E641F0" w:rsidRPr="00DA49E9">
        <w:rPr>
          <w:color w:val="000000" w:themeColor="text1"/>
        </w:rPr>
        <w:t xml:space="preserve"> </w:t>
      </w:r>
      <w:r w:rsidR="005A6FE0" w:rsidRPr="00DA49E9">
        <w:rPr>
          <w:color w:val="000000" w:themeColor="text1"/>
        </w:rPr>
        <w:t>H. Ullah, "A Review of Supercapacitors: Materials Design, Modification, and Applications", Energies </w:t>
      </w:r>
      <w:r w:rsidR="005A6FE0" w:rsidRPr="00DA49E9">
        <w:rPr>
          <w:rStyle w:val="ac"/>
          <w:color w:val="000000" w:themeColor="text1"/>
        </w:rPr>
        <w:t>14</w:t>
      </w:r>
      <w:r w:rsidR="005A6FE0" w:rsidRPr="00DA49E9">
        <w:rPr>
          <w:color w:val="000000" w:themeColor="text1"/>
        </w:rPr>
        <w:t>(22), 7779 (2021). </w:t>
      </w:r>
      <w:hyperlink r:id="rId50" w:tgtFrame="_blank" w:history="1">
        <w:r w:rsidR="005A6FE0" w:rsidRPr="00DA49E9">
          <w:rPr>
            <w:rStyle w:val="a8"/>
            <w:color w:val="000000" w:themeColor="text1"/>
          </w:rPr>
          <w:t>https://doi.org/10.3390/en14227779</w:t>
        </w:r>
      </w:hyperlink>
    </w:p>
    <w:p w14:paraId="3BD8B859" w14:textId="49C93098" w:rsidR="005A6FE0" w:rsidRPr="00DA49E9" w:rsidRDefault="001C1009" w:rsidP="001C1009">
      <w:pPr>
        <w:pStyle w:val="Reference"/>
        <w:numPr>
          <w:ilvl w:val="0"/>
          <w:numId w:val="0"/>
        </w:numPr>
        <w:ind w:left="426" w:hanging="426"/>
        <w:rPr>
          <w:color w:val="000000" w:themeColor="text1"/>
        </w:rPr>
      </w:pPr>
      <w:r>
        <w:rPr>
          <w:color w:val="000000" w:themeColor="text1"/>
        </w:rPr>
        <w:t xml:space="preserve">[25] </w:t>
      </w:r>
      <w:r w:rsidR="005A6FE0" w:rsidRPr="00DA49E9">
        <w:rPr>
          <w:color w:val="000000" w:themeColor="text1"/>
        </w:rPr>
        <w:t>Poonam, K. Sharma, A. Arora</w:t>
      </w:r>
      <w:r w:rsidR="00E641F0" w:rsidRPr="00DA49E9">
        <w:rPr>
          <w:color w:val="000000" w:themeColor="text1"/>
        </w:rPr>
        <w:t xml:space="preserve"> </w:t>
      </w:r>
      <w:r w:rsidR="007A3674" w:rsidRPr="00DA49E9">
        <w:rPr>
          <w:color w:val="000000" w:themeColor="text1"/>
        </w:rPr>
        <w:t>and</w:t>
      </w:r>
      <w:r w:rsidR="00E641F0" w:rsidRPr="00DA49E9">
        <w:rPr>
          <w:color w:val="000000" w:themeColor="text1"/>
        </w:rPr>
        <w:t xml:space="preserve"> </w:t>
      </w:r>
      <w:r w:rsidR="005A6FE0" w:rsidRPr="00DA49E9">
        <w:rPr>
          <w:color w:val="000000" w:themeColor="text1"/>
        </w:rPr>
        <w:t>S. K. Tripathi, "Review of supercapacitors: Materials and devices", J. Energy Storage </w:t>
      </w:r>
      <w:r w:rsidR="005A6FE0" w:rsidRPr="00DA49E9">
        <w:rPr>
          <w:rStyle w:val="ac"/>
          <w:color w:val="000000" w:themeColor="text1"/>
        </w:rPr>
        <w:t>21</w:t>
      </w:r>
      <w:r w:rsidR="005A6FE0" w:rsidRPr="00DA49E9">
        <w:rPr>
          <w:color w:val="000000" w:themeColor="text1"/>
        </w:rPr>
        <w:t>, 801–825 (2019). </w:t>
      </w:r>
      <w:hyperlink r:id="rId51" w:tgtFrame="_blank" w:history="1">
        <w:r w:rsidR="005A6FE0" w:rsidRPr="00DA49E9">
          <w:rPr>
            <w:rStyle w:val="a8"/>
            <w:color w:val="000000" w:themeColor="text1"/>
          </w:rPr>
          <w:t>https://doi.org/10.1016/j.est.2019.01.010</w:t>
        </w:r>
      </w:hyperlink>
    </w:p>
    <w:p w14:paraId="082BEC5E" w14:textId="06DFA9EE" w:rsidR="002E14A1" w:rsidRPr="00DA49E9" w:rsidRDefault="001C1009" w:rsidP="001C1009">
      <w:pPr>
        <w:pStyle w:val="Reference"/>
        <w:numPr>
          <w:ilvl w:val="0"/>
          <w:numId w:val="0"/>
        </w:numPr>
        <w:ind w:left="426" w:hanging="426"/>
        <w:rPr>
          <w:color w:val="000000" w:themeColor="text1"/>
        </w:rPr>
      </w:pPr>
      <w:r>
        <w:rPr>
          <w:color w:val="000000" w:themeColor="text1"/>
        </w:rPr>
        <w:t xml:space="preserve">[26] </w:t>
      </w:r>
      <w:r w:rsidR="002E14A1" w:rsidRPr="00DA49E9">
        <w:rPr>
          <w:color w:val="000000" w:themeColor="text1"/>
        </w:rPr>
        <w:t xml:space="preserve">A. </w:t>
      </w:r>
      <w:proofErr w:type="spellStart"/>
      <w:r w:rsidR="002E14A1" w:rsidRPr="00DA49E9">
        <w:rPr>
          <w:color w:val="000000" w:themeColor="text1"/>
        </w:rPr>
        <w:t>Hnatov</w:t>
      </w:r>
      <w:proofErr w:type="spellEnd"/>
      <w:r w:rsidR="002E14A1" w:rsidRPr="00DA49E9">
        <w:rPr>
          <w:color w:val="000000" w:themeColor="text1"/>
        </w:rPr>
        <w:t xml:space="preserve">, S. </w:t>
      </w:r>
      <w:proofErr w:type="spellStart"/>
      <w:r w:rsidR="002E14A1" w:rsidRPr="00DA49E9">
        <w:rPr>
          <w:color w:val="000000" w:themeColor="text1"/>
        </w:rPr>
        <w:t>Arhun</w:t>
      </w:r>
      <w:proofErr w:type="spellEnd"/>
      <w:r w:rsidR="002E14A1" w:rsidRPr="00DA49E9">
        <w:rPr>
          <w:color w:val="000000" w:themeColor="text1"/>
        </w:rPr>
        <w:t xml:space="preserve">, O. </w:t>
      </w:r>
      <w:proofErr w:type="spellStart"/>
      <w:r w:rsidR="002E14A1" w:rsidRPr="00DA49E9">
        <w:t>Ulyanets</w:t>
      </w:r>
      <w:proofErr w:type="spellEnd"/>
      <w:r w:rsidR="002E14A1" w:rsidRPr="00DA49E9">
        <w:t xml:space="preserve"> </w:t>
      </w:r>
      <w:proofErr w:type="spellStart"/>
      <w:r w:rsidR="002E14A1" w:rsidRPr="00DA49E9">
        <w:t>та</w:t>
      </w:r>
      <w:proofErr w:type="spellEnd"/>
      <w:r w:rsidR="002E14A1" w:rsidRPr="00DA49E9">
        <w:t xml:space="preserve"> S. </w:t>
      </w:r>
      <w:proofErr w:type="spellStart"/>
      <w:r w:rsidR="002E14A1" w:rsidRPr="00DA49E9">
        <w:t>Ponikarovska</w:t>
      </w:r>
      <w:proofErr w:type="spellEnd"/>
      <w:r w:rsidR="002E14A1" w:rsidRPr="00DA49E9">
        <w:t>, "</w:t>
      </w:r>
      <w:proofErr w:type="spellStart"/>
      <w:r w:rsidR="002E14A1" w:rsidRPr="00DA49E9">
        <w:t>Ultracapacitors</w:t>
      </w:r>
      <w:proofErr w:type="spellEnd"/>
      <w:r w:rsidR="002E14A1" w:rsidRPr="00DA49E9">
        <w:t xml:space="preserve"> </w:t>
      </w:r>
      <w:proofErr w:type="spellStart"/>
      <w:r w:rsidR="002E14A1" w:rsidRPr="00DA49E9">
        <w:t>Electrobus</w:t>
      </w:r>
      <w:proofErr w:type="spellEnd"/>
      <w:r w:rsidR="002E14A1" w:rsidRPr="00DA49E9">
        <w:t xml:space="preserve"> for Urban Transport", у 2018 IEEE 38th International Conference on Electronics and Nanotechnology (ELNANO), Kiev, 24–26 </w:t>
      </w:r>
      <w:proofErr w:type="spellStart"/>
      <w:r w:rsidR="002E14A1" w:rsidRPr="00DA49E9">
        <w:t>квітня</w:t>
      </w:r>
      <w:proofErr w:type="spellEnd"/>
      <w:r w:rsidR="002E14A1" w:rsidRPr="00DA49E9">
        <w:t xml:space="preserve"> 2018 (IEEE, 2018). </w:t>
      </w:r>
      <w:hyperlink r:id="rId52" w:history="1">
        <w:r w:rsidR="002E14A1" w:rsidRPr="00DA49E9">
          <w:rPr>
            <w:rStyle w:val="a8"/>
            <w:color w:val="auto"/>
          </w:rPr>
          <w:t>https://doi.org/10.1109/elnano.2018.8477449</w:t>
        </w:r>
      </w:hyperlink>
    </w:p>
    <w:p w14:paraId="1C34516D" w14:textId="5B5978AC" w:rsidR="002E14A1" w:rsidRPr="00DA49E9" w:rsidRDefault="001C1009" w:rsidP="001C1009">
      <w:pPr>
        <w:pStyle w:val="Reference"/>
        <w:numPr>
          <w:ilvl w:val="0"/>
          <w:numId w:val="0"/>
        </w:numPr>
        <w:ind w:left="426" w:hanging="426"/>
      </w:pPr>
      <w:r>
        <w:rPr>
          <w:color w:val="000000" w:themeColor="text1"/>
        </w:rPr>
        <w:t xml:space="preserve">[27] </w:t>
      </w:r>
      <w:r w:rsidR="002E14A1" w:rsidRPr="00DA49E9">
        <w:rPr>
          <w:color w:val="000000" w:themeColor="text1"/>
        </w:rPr>
        <w:t xml:space="preserve">A. </w:t>
      </w:r>
      <w:proofErr w:type="spellStart"/>
      <w:r w:rsidR="002E14A1" w:rsidRPr="00DA49E9">
        <w:rPr>
          <w:color w:val="000000" w:themeColor="text1"/>
        </w:rPr>
        <w:t>Hnatov</w:t>
      </w:r>
      <w:proofErr w:type="spellEnd"/>
      <w:r w:rsidR="002E14A1" w:rsidRPr="00DA49E9">
        <w:rPr>
          <w:color w:val="000000" w:themeColor="text1"/>
        </w:rPr>
        <w:t xml:space="preserve">, A. </w:t>
      </w:r>
      <w:proofErr w:type="spellStart"/>
      <w:r w:rsidR="002E14A1" w:rsidRPr="00DA49E9">
        <w:rPr>
          <w:color w:val="000000" w:themeColor="text1"/>
        </w:rPr>
        <w:t>Patlins</w:t>
      </w:r>
      <w:proofErr w:type="spellEnd"/>
      <w:r w:rsidR="002E14A1" w:rsidRPr="00DA49E9">
        <w:rPr>
          <w:color w:val="000000" w:themeColor="text1"/>
        </w:rPr>
        <w:t xml:space="preserve">, S. </w:t>
      </w:r>
      <w:proofErr w:type="spellStart"/>
      <w:r w:rsidR="002E14A1" w:rsidRPr="00DA49E9">
        <w:rPr>
          <w:color w:val="000000" w:themeColor="text1"/>
        </w:rPr>
        <w:t>Arhun</w:t>
      </w:r>
      <w:proofErr w:type="spellEnd"/>
      <w:r w:rsidR="002E14A1" w:rsidRPr="00DA49E9">
        <w:rPr>
          <w:color w:val="000000" w:themeColor="text1"/>
        </w:rPr>
        <w:t xml:space="preserve">, N. </w:t>
      </w:r>
      <w:proofErr w:type="spellStart"/>
      <w:r w:rsidR="002E14A1" w:rsidRPr="00DA49E9">
        <w:rPr>
          <w:color w:val="000000" w:themeColor="text1"/>
        </w:rPr>
        <w:t>Kunicina</w:t>
      </w:r>
      <w:proofErr w:type="spellEnd"/>
      <w:r w:rsidR="002E14A1" w:rsidRPr="00DA49E9">
        <w:rPr>
          <w:color w:val="000000" w:themeColor="text1"/>
        </w:rPr>
        <w:t xml:space="preserve">, H. </w:t>
      </w:r>
      <w:proofErr w:type="spellStart"/>
      <w:r w:rsidR="002E14A1" w:rsidRPr="00DA49E9">
        <w:rPr>
          <w:color w:val="000000" w:themeColor="text1"/>
        </w:rPr>
        <w:t>Hnatova</w:t>
      </w:r>
      <w:proofErr w:type="spellEnd"/>
      <w:r w:rsidR="002E14A1" w:rsidRPr="00DA49E9">
        <w:rPr>
          <w:color w:val="000000" w:themeColor="text1"/>
        </w:rPr>
        <w:t xml:space="preserve">, O. </w:t>
      </w:r>
      <w:proofErr w:type="spellStart"/>
      <w:r w:rsidR="002E14A1" w:rsidRPr="00DA49E9">
        <w:rPr>
          <w:color w:val="000000" w:themeColor="text1"/>
        </w:rPr>
        <w:t>Ulianets</w:t>
      </w:r>
      <w:proofErr w:type="spellEnd"/>
      <w:r w:rsidR="002E14A1" w:rsidRPr="00DA49E9">
        <w:rPr>
          <w:color w:val="000000" w:themeColor="text1"/>
        </w:rPr>
        <w:t xml:space="preserve"> </w:t>
      </w:r>
      <w:proofErr w:type="spellStart"/>
      <w:r w:rsidR="002E14A1" w:rsidRPr="00DA49E9">
        <w:rPr>
          <w:color w:val="000000" w:themeColor="text1"/>
        </w:rPr>
        <w:t>та</w:t>
      </w:r>
      <w:proofErr w:type="spellEnd"/>
      <w:r w:rsidR="002E14A1" w:rsidRPr="00DA49E9">
        <w:rPr>
          <w:color w:val="000000" w:themeColor="text1"/>
        </w:rPr>
        <w:t xml:space="preserve"> A. Romanovs, "Development of an unified energy-efficient </w:t>
      </w:r>
      <w:r w:rsidR="002E14A1" w:rsidRPr="00DA49E9">
        <w:t>system for urban transport", у 2020 6th IEEE International Energy Conference (</w:t>
      </w:r>
      <w:proofErr w:type="spellStart"/>
      <w:r w:rsidR="002E14A1" w:rsidRPr="00DA49E9">
        <w:t>ENERGYCon</w:t>
      </w:r>
      <w:proofErr w:type="spellEnd"/>
      <w:r w:rsidR="002E14A1" w:rsidRPr="00DA49E9">
        <w:t xml:space="preserve">), </w:t>
      </w:r>
      <w:proofErr w:type="spellStart"/>
      <w:r w:rsidR="002E14A1" w:rsidRPr="00DA49E9">
        <w:t>Gammarth</w:t>
      </w:r>
      <w:proofErr w:type="spellEnd"/>
      <w:r w:rsidR="002E14A1" w:rsidRPr="00DA49E9">
        <w:t xml:space="preserve">, Tunis, Tunisia, 28 </w:t>
      </w:r>
      <w:proofErr w:type="spellStart"/>
      <w:r w:rsidR="002E14A1" w:rsidRPr="00DA49E9">
        <w:t>вересня</w:t>
      </w:r>
      <w:proofErr w:type="spellEnd"/>
      <w:r w:rsidR="002E14A1" w:rsidRPr="00DA49E9">
        <w:t xml:space="preserve">–1 </w:t>
      </w:r>
      <w:proofErr w:type="spellStart"/>
      <w:r w:rsidR="002E14A1" w:rsidRPr="00DA49E9">
        <w:t>жовтня</w:t>
      </w:r>
      <w:proofErr w:type="spellEnd"/>
      <w:r w:rsidR="002E14A1" w:rsidRPr="00DA49E9">
        <w:t xml:space="preserve"> 2020 (IEEE, 2020). </w:t>
      </w:r>
      <w:hyperlink r:id="rId53" w:history="1">
        <w:r w:rsidR="002E14A1" w:rsidRPr="00DA49E9">
          <w:rPr>
            <w:rStyle w:val="a8"/>
            <w:color w:val="auto"/>
          </w:rPr>
          <w:t>https://doi.org/10.1109/energycon48941.2020.9236606</w:t>
        </w:r>
      </w:hyperlink>
      <w:r w:rsidR="002E14A1" w:rsidRPr="00DA49E9">
        <w:t xml:space="preserve"> </w:t>
      </w:r>
    </w:p>
    <w:p w14:paraId="0F9A456E" w14:textId="60F552CD" w:rsidR="00EF01C3" w:rsidRPr="00DA49E9" w:rsidRDefault="001C1009" w:rsidP="001C1009">
      <w:pPr>
        <w:pStyle w:val="Reference"/>
        <w:numPr>
          <w:ilvl w:val="0"/>
          <w:numId w:val="0"/>
        </w:numPr>
        <w:ind w:left="426" w:hanging="426"/>
      </w:pPr>
      <w:r>
        <w:rPr>
          <w:color w:val="000000" w:themeColor="text1"/>
        </w:rPr>
        <w:t xml:space="preserve">[28] </w:t>
      </w:r>
      <w:r w:rsidR="00EF01C3" w:rsidRPr="00DA49E9">
        <w:t xml:space="preserve">N. </w:t>
      </w:r>
      <w:proofErr w:type="spellStart"/>
      <w:r w:rsidR="00EF01C3" w:rsidRPr="00DA49E9">
        <w:t>Fesakis</w:t>
      </w:r>
      <w:proofErr w:type="spellEnd"/>
      <w:r w:rsidR="00EF01C3" w:rsidRPr="00DA49E9">
        <w:t xml:space="preserve">, G. </w:t>
      </w:r>
      <w:proofErr w:type="spellStart"/>
      <w:r w:rsidR="00EF01C3" w:rsidRPr="00DA49E9">
        <w:t>Falekas</w:t>
      </w:r>
      <w:proofErr w:type="spellEnd"/>
      <w:r w:rsidR="00EF01C3" w:rsidRPr="00DA49E9">
        <w:t xml:space="preserve">, I. </w:t>
      </w:r>
      <w:proofErr w:type="spellStart"/>
      <w:r w:rsidR="00EF01C3" w:rsidRPr="00DA49E9">
        <w:t>Palaiologou</w:t>
      </w:r>
      <w:proofErr w:type="spellEnd"/>
      <w:r w:rsidR="00EF01C3" w:rsidRPr="00DA49E9">
        <w:t xml:space="preserve">, G. E. </w:t>
      </w:r>
      <w:proofErr w:type="spellStart"/>
      <w:r w:rsidR="00EF01C3" w:rsidRPr="00DA49E9">
        <w:t>Lazaridou</w:t>
      </w:r>
      <w:proofErr w:type="spellEnd"/>
      <w:r w:rsidR="00EF01C3" w:rsidRPr="00DA49E9">
        <w:t xml:space="preserve">, and A. </w:t>
      </w:r>
      <w:proofErr w:type="spellStart"/>
      <w:r w:rsidR="00EF01C3" w:rsidRPr="00DA49E9">
        <w:t>Karlis</w:t>
      </w:r>
      <w:proofErr w:type="spellEnd"/>
      <w:r w:rsidR="00EF01C3" w:rsidRPr="00DA49E9">
        <w:t xml:space="preserve">, “Integration and optimization of multisource electric vehicles: A critical review of hybrid energy systems, topologies, and control algorithms,” Energies 17(17), 4364 (2024). </w:t>
      </w:r>
      <w:hyperlink r:id="rId54" w:history="1">
        <w:r w:rsidR="00EF01C3" w:rsidRPr="00DA49E9">
          <w:rPr>
            <w:rStyle w:val="a8"/>
            <w:color w:val="auto"/>
          </w:rPr>
          <w:t>https://doi.org/10.3390/en17174364</w:t>
        </w:r>
      </w:hyperlink>
      <w:r w:rsidR="00EF01C3" w:rsidRPr="00DA49E9">
        <w:t xml:space="preserve"> </w:t>
      </w:r>
    </w:p>
    <w:p w14:paraId="279AA31A" w14:textId="3E60C764" w:rsidR="00EF01C3" w:rsidRPr="00DA49E9" w:rsidRDefault="001C1009" w:rsidP="001C1009">
      <w:pPr>
        <w:pStyle w:val="Reference"/>
        <w:numPr>
          <w:ilvl w:val="0"/>
          <w:numId w:val="0"/>
        </w:numPr>
        <w:ind w:left="426" w:hanging="426"/>
      </w:pPr>
      <w:r>
        <w:rPr>
          <w:color w:val="000000" w:themeColor="text1"/>
        </w:rPr>
        <w:t xml:space="preserve">[29] </w:t>
      </w:r>
      <w:r w:rsidR="00EF01C3" w:rsidRPr="00DA49E9">
        <w:t xml:space="preserve">I. A. </w:t>
      </w:r>
      <w:proofErr w:type="spellStart"/>
      <w:r w:rsidR="00EF01C3" w:rsidRPr="00DA49E9">
        <w:t>Gadai</w:t>
      </w:r>
      <w:proofErr w:type="spellEnd"/>
      <w:r w:rsidR="00EF01C3" w:rsidRPr="00DA49E9">
        <w:t xml:space="preserve">, et al., “Enhancing electric vehicle performance: A comparative study of full active and passive hybrid energy storage systems via MATLAB Simulink,” </w:t>
      </w:r>
      <w:r w:rsidR="00EF01C3" w:rsidRPr="00DA49E9">
        <w:rPr>
          <w:rStyle w:val="ad"/>
        </w:rPr>
        <w:t>Int. Res. J. Eng. Technol.</w:t>
      </w:r>
      <w:r w:rsidR="00EF01C3" w:rsidRPr="00DA49E9">
        <w:t xml:space="preserve"> (IRJET) </w:t>
      </w:r>
      <w:r w:rsidR="00EF01C3" w:rsidRPr="00DA49E9">
        <w:rPr>
          <w:rStyle w:val="ac"/>
        </w:rPr>
        <w:t>11</w:t>
      </w:r>
      <w:r w:rsidR="00EF01C3" w:rsidRPr="00DA49E9">
        <w:t xml:space="preserve">(7), (2024), available at </w:t>
      </w:r>
      <w:hyperlink r:id="rId55" w:history="1">
        <w:r w:rsidR="00EF01C3" w:rsidRPr="00DA49E9">
          <w:rPr>
            <w:rStyle w:val="a8"/>
            <w:color w:val="auto"/>
          </w:rPr>
          <w:t>https://www.irjet.net/archives/V11/i7/IRJET-V11I7100.pdf</w:t>
        </w:r>
      </w:hyperlink>
      <w:r w:rsidR="00EF01C3" w:rsidRPr="00DA49E9">
        <w:t xml:space="preserve"> </w:t>
      </w:r>
    </w:p>
    <w:p w14:paraId="15B18D31" w14:textId="1B7DA81B" w:rsidR="00E641F0" w:rsidRPr="00DA49E9" w:rsidRDefault="001C1009" w:rsidP="001C1009">
      <w:pPr>
        <w:pStyle w:val="Reference"/>
        <w:numPr>
          <w:ilvl w:val="0"/>
          <w:numId w:val="0"/>
        </w:numPr>
        <w:ind w:left="426" w:hanging="426"/>
      </w:pPr>
      <w:r>
        <w:rPr>
          <w:color w:val="000000" w:themeColor="text1"/>
        </w:rPr>
        <w:t xml:space="preserve">[30] </w:t>
      </w:r>
      <w:r w:rsidR="00E641F0" w:rsidRPr="00DA49E9">
        <w:t xml:space="preserve">G. M. S. Kumar, X. Guo, S. Zhou, H. Luo, Q. Wu, Y. Liu, Z. Dou, K. Pan, Y. Xu, H. Yang </w:t>
      </w:r>
      <w:r w:rsidR="007A3674" w:rsidRPr="00DA49E9">
        <w:t>and</w:t>
      </w:r>
      <w:r w:rsidR="00E641F0" w:rsidRPr="00DA49E9">
        <w:t xml:space="preserve"> S. Cao, "State-of-the-art review of smart energy management systems for supporting zero-emission electric vehicles with X2V and V2X interactions", Renew. Sustain. Energy Rev. </w:t>
      </w:r>
      <w:r w:rsidR="00E641F0" w:rsidRPr="00DA49E9">
        <w:rPr>
          <w:rStyle w:val="ac"/>
        </w:rPr>
        <w:t>208</w:t>
      </w:r>
      <w:r w:rsidR="00E641F0" w:rsidRPr="00DA49E9">
        <w:t>, 115050 (2025).</w:t>
      </w:r>
      <w:r w:rsidR="00FD13EA" w:rsidRPr="00DA49E9">
        <w:t xml:space="preserve"> </w:t>
      </w:r>
      <w:hyperlink r:id="rId56" w:history="1">
        <w:r w:rsidR="00084286" w:rsidRPr="00DA49E9">
          <w:rPr>
            <w:rStyle w:val="a8"/>
            <w:color w:val="auto"/>
          </w:rPr>
          <w:t>https://doi.org/10.1016/j.rser.2024.115050</w:t>
        </w:r>
      </w:hyperlink>
    </w:p>
    <w:p w14:paraId="27418C53" w14:textId="6C7CFDEC" w:rsidR="00E641F0" w:rsidRPr="00DA49E9" w:rsidRDefault="001C1009" w:rsidP="001C1009">
      <w:pPr>
        <w:pStyle w:val="Reference"/>
        <w:numPr>
          <w:ilvl w:val="0"/>
          <w:numId w:val="0"/>
        </w:numPr>
        <w:ind w:left="426" w:hanging="426"/>
        <w:rPr>
          <w:rStyle w:val="a8"/>
          <w:color w:val="000000" w:themeColor="text1"/>
          <w:u w:val="none"/>
        </w:rPr>
      </w:pPr>
      <w:r>
        <w:rPr>
          <w:color w:val="000000" w:themeColor="text1"/>
        </w:rPr>
        <w:t xml:space="preserve">[31] </w:t>
      </w:r>
      <w:r w:rsidR="00F517B9" w:rsidRPr="00DA49E9">
        <w:rPr>
          <w:color w:val="000000" w:themeColor="text1"/>
        </w:rPr>
        <w:t>O. </w:t>
      </w:r>
      <w:proofErr w:type="spellStart"/>
      <w:r w:rsidR="00F517B9" w:rsidRPr="00DA49E9">
        <w:rPr>
          <w:color w:val="000000" w:themeColor="text1"/>
        </w:rPr>
        <w:t>Smyrnov</w:t>
      </w:r>
      <w:proofErr w:type="spellEnd"/>
      <w:r w:rsidR="00F517B9" w:rsidRPr="00DA49E9">
        <w:rPr>
          <w:color w:val="000000" w:themeColor="text1"/>
        </w:rPr>
        <w:t xml:space="preserve">, A. </w:t>
      </w:r>
      <w:proofErr w:type="spellStart"/>
      <w:r w:rsidR="00F517B9" w:rsidRPr="00DA49E9">
        <w:rPr>
          <w:color w:val="000000" w:themeColor="text1"/>
        </w:rPr>
        <w:t>Borysenko</w:t>
      </w:r>
      <w:proofErr w:type="spellEnd"/>
      <w:r w:rsidR="00F517B9" w:rsidRPr="00DA49E9">
        <w:rPr>
          <w:color w:val="000000" w:themeColor="text1"/>
        </w:rPr>
        <w:t xml:space="preserve">, and I. </w:t>
      </w:r>
      <w:proofErr w:type="spellStart"/>
      <w:r w:rsidR="00F517B9" w:rsidRPr="00DA49E9">
        <w:rPr>
          <w:color w:val="000000" w:themeColor="text1"/>
        </w:rPr>
        <w:t>Trunova</w:t>
      </w:r>
      <w:proofErr w:type="spellEnd"/>
      <w:r w:rsidR="00F517B9" w:rsidRPr="00DA49E9">
        <w:rPr>
          <w:color w:val="000000" w:themeColor="text1"/>
        </w:rPr>
        <w:t xml:space="preserve">, "Development of Vehicle-to-Grid in Ukraine," in </w:t>
      </w:r>
      <w:r w:rsidR="00F517B9" w:rsidRPr="00DA49E9">
        <w:rPr>
          <w:rStyle w:val="ad"/>
          <w:color w:val="000000" w:themeColor="text1"/>
        </w:rPr>
        <w:t>Proc. 28th Int. Sci. Conf. Transport Means 2024</w:t>
      </w:r>
      <w:r w:rsidR="00F517B9" w:rsidRPr="00DA49E9">
        <w:rPr>
          <w:color w:val="000000" w:themeColor="text1"/>
        </w:rPr>
        <w:t xml:space="preserve">, pp. 503–506. </w:t>
      </w:r>
      <w:hyperlink r:id="rId57" w:tgtFrame="_new" w:history="1">
        <w:r w:rsidR="00F517B9" w:rsidRPr="00DA49E9">
          <w:rPr>
            <w:rStyle w:val="a8"/>
            <w:color w:val="000000" w:themeColor="text1"/>
          </w:rPr>
          <w:t>https://doi.org/10.5755/e01.2351-7034.2024.P503-506</w:t>
        </w:r>
      </w:hyperlink>
    </w:p>
    <w:p w14:paraId="191435E9" w14:textId="76F1F3C6" w:rsidR="00084286" w:rsidRPr="00DA49E9" w:rsidRDefault="001C1009" w:rsidP="001C1009">
      <w:pPr>
        <w:pStyle w:val="Reference"/>
        <w:numPr>
          <w:ilvl w:val="0"/>
          <w:numId w:val="0"/>
        </w:numPr>
        <w:ind w:left="426" w:hanging="426"/>
        <w:rPr>
          <w:rStyle w:val="a8"/>
          <w:color w:val="000000" w:themeColor="text1"/>
          <w:u w:val="none"/>
        </w:rPr>
      </w:pPr>
      <w:r>
        <w:rPr>
          <w:color w:val="000000" w:themeColor="text1"/>
        </w:rPr>
        <w:t xml:space="preserve">[32] </w:t>
      </w:r>
      <w:r w:rsidR="00E641F0" w:rsidRPr="00DA49E9">
        <w:rPr>
          <w:color w:val="000000" w:themeColor="text1"/>
        </w:rPr>
        <w:t>K. B. </w:t>
      </w:r>
      <w:proofErr w:type="spellStart"/>
      <w:r w:rsidR="00E641F0" w:rsidRPr="00DA49E9">
        <w:rPr>
          <w:color w:val="000000" w:themeColor="text1"/>
        </w:rPr>
        <w:t>Tawfiq</w:t>
      </w:r>
      <w:proofErr w:type="spellEnd"/>
      <w:r w:rsidR="00E641F0" w:rsidRPr="00DA49E9">
        <w:rPr>
          <w:color w:val="000000" w:themeColor="text1"/>
        </w:rPr>
        <w:t>, H. </w:t>
      </w:r>
      <w:proofErr w:type="spellStart"/>
      <w:r w:rsidR="00E641F0" w:rsidRPr="00DA49E9">
        <w:rPr>
          <w:color w:val="000000" w:themeColor="text1"/>
        </w:rPr>
        <w:t>Zeineldin</w:t>
      </w:r>
      <w:proofErr w:type="spellEnd"/>
      <w:r w:rsidR="00E641F0" w:rsidRPr="00DA49E9">
        <w:rPr>
          <w:color w:val="000000" w:themeColor="text1"/>
        </w:rPr>
        <w:t xml:space="preserve">, A. Al-Durra </w:t>
      </w:r>
      <w:r w:rsidR="007A3674" w:rsidRPr="00DA49E9">
        <w:rPr>
          <w:color w:val="000000" w:themeColor="text1"/>
        </w:rPr>
        <w:t>and</w:t>
      </w:r>
      <w:r w:rsidR="00E641F0" w:rsidRPr="00DA49E9">
        <w:rPr>
          <w:color w:val="000000" w:themeColor="text1"/>
        </w:rPr>
        <w:t xml:space="preserve"> E. F. El-</w:t>
      </w:r>
      <w:proofErr w:type="spellStart"/>
      <w:r w:rsidR="00E641F0" w:rsidRPr="00DA49E9">
        <w:rPr>
          <w:color w:val="000000" w:themeColor="text1"/>
        </w:rPr>
        <w:t>Sadaany</w:t>
      </w:r>
      <w:proofErr w:type="spellEnd"/>
      <w:r w:rsidR="00E641F0" w:rsidRPr="00DA49E9">
        <w:rPr>
          <w:color w:val="000000" w:themeColor="text1"/>
        </w:rPr>
        <w:t xml:space="preserve">, "Enhancing photovoltaic grid integration with hybrid energy storage and a novel three-phase ten-switch inverter for superior power quality", Int. J. </w:t>
      </w:r>
      <w:proofErr w:type="spellStart"/>
      <w:r w:rsidR="00E641F0" w:rsidRPr="00DA49E9">
        <w:rPr>
          <w:color w:val="000000" w:themeColor="text1"/>
        </w:rPr>
        <w:t>Electr</w:t>
      </w:r>
      <w:proofErr w:type="spellEnd"/>
      <w:r w:rsidR="00E641F0" w:rsidRPr="00DA49E9">
        <w:rPr>
          <w:color w:val="000000" w:themeColor="text1"/>
        </w:rPr>
        <w:t>. Power &amp; Syst. </w:t>
      </w:r>
      <w:r w:rsidR="00E641F0" w:rsidRPr="00DA49E9">
        <w:rPr>
          <w:rStyle w:val="ac"/>
          <w:color w:val="000000" w:themeColor="text1"/>
        </w:rPr>
        <w:t>167</w:t>
      </w:r>
      <w:r w:rsidR="00E641F0" w:rsidRPr="00DA49E9">
        <w:rPr>
          <w:color w:val="000000" w:themeColor="text1"/>
        </w:rPr>
        <w:t>, 110580 (2025). </w:t>
      </w:r>
      <w:hyperlink r:id="rId58" w:tgtFrame="_blank" w:history="1">
        <w:r w:rsidR="00E641F0" w:rsidRPr="00DA49E9">
          <w:rPr>
            <w:rStyle w:val="a8"/>
            <w:color w:val="000000" w:themeColor="text1"/>
          </w:rPr>
          <w:t>https://doi.org/10.1016/j.ijepes.2025.110580</w:t>
        </w:r>
      </w:hyperlink>
    </w:p>
    <w:p w14:paraId="31F415D2" w14:textId="5487DA86" w:rsidR="00084286" w:rsidRPr="00DA49E9" w:rsidRDefault="001C1009" w:rsidP="001C1009">
      <w:pPr>
        <w:pStyle w:val="Reference"/>
        <w:numPr>
          <w:ilvl w:val="0"/>
          <w:numId w:val="0"/>
        </w:numPr>
        <w:ind w:left="426" w:hanging="426"/>
        <w:rPr>
          <w:rStyle w:val="a8"/>
          <w:color w:val="auto"/>
          <w:u w:val="none"/>
        </w:rPr>
      </w:pPr>
      <w:r>
        <w:rPr>
          <w:color w:val="000000" w:themeColor="text1"/>
        </w:rPr>
        <w:t xml:space="preserve">[33] </w:t>
      </w:r>
      <w:r w:rsidR="000653F9" w:rsidRPr="00DA49E9">
        <w:t xml:space="preserve">L. Nicoletti, A. Romano, A. König, F. </w:t>
      </w:r>
      <w:proofErr w:type="spellStart"/>
      <w:r w:rsidR="000653F9" w:rsidRPr="00DA49E9">
        <w:t>Schockenhoff</w:t>
      </w:r>
      <w:proofErr w:type="spellEnd"/>
      <w:r w:rsidR="000653F9" w:rsidRPr="00DA49E9">
        <w:t xml:space="preserve">, and M. </w:t>
      </w:r>
      <w:proofErr w:type="spellStart"/>
      <w:r w:rsidR="000653F9" w:rsidRPr="00DA49E9">
        <w:t>Lienkamp</w:t>
      </w:r>
      <w:proofErr w:type="spellEnd"/>
      <w:r w:rsidR="000653F9" w:rsidRPr="00DA49E9">
        <w:t xml:space="preserve">, “Parametric modeling of mass and volume effects for battery electric vehicles, with focus on the wheel components,” </w:t>
      </w:r>
      <w:r w:rsidR="000653F9" w:rsidRPr="00DA49E9">
        <w:rPr>
          <w:rStyle w:val="ad"/>
        </w:rPr>
        <w:t xml:space="preserve">World </w:t>
      </w:r>
      <w:proofErr w:type="spellStart"/>
      <w:r w:rsidR="000653F9" w:rsidRPr="00DA49E9">
        <w:rPr>
          <w:rStyle w:val="ad"/>
        </w:rPr>
        <w:t>Electr</w:t>
      </w:r>
      <w:proofErr w:type="spellEnd"/>
      <w:r w:rsidR="000653F9" w:rsidRPr="00DA49E9">
        <w:rPr>
          <w:rStyle w:val="ad"/>
        </w:rPr>
        <w:t xml:space="preserve">. </w:t>
      </w:r>
      <w:proofErr w:type="spellStart"/>
      <w:r w:rsidR="000653F9" w:rsidRPr="00DA49E9">
        <w:rPr>
          <w:rStyle w:val="ad"/>
        </w:rPr>
        <w:t>Veh</w:t>
      </w:r>
      <w:proofErr w:type="spellEnd"/>
      <w:r w:rsidR="000653F9" w:rsidRPr="00DA49E9">
        <w:rPr>
          <w:rStyle w:val="ad"/>
        </w:rPr>
        <w:t>. J.</w:t>
      </w:r>
      <w:r w:rsidR="000653F9" w:rsidRPr="00DA49E9">
        <w:t xml:space="preserve"> </w:t>
      </w:r>
      <w:r w:rsidR="000653F9" w:rsidRPr="00DA49E9">
        <w:rPr>
          <w:rStyle w:val="ac"/>
        </w:rPr>
        <w:t>11</w:t>
      </w:r>
      <w:r w:rsidR="000653F9" w:rsidRPr="00DA49E9">
        <w:t xml:space="preserve">(4), 63 (2020). </w:t>
      </w:r>
      <w:hyperlink r:id="rId59" w:tgtFrame="_new" w:history="1">
        <w:r w:rsidR="000653F9" w:rsidRPr="00DA49E9">
          <w:rPr>
            <w:rStyle w:val="a8"/>
            <w:color w:val="auto"/>
          </w:rPr>
          <w:t>https://doi.org/10.3390/wevj11040063</w:t>
        </w:r>
      </w:hyperlink>
    </w:p>
    <w:p w14:paraId="42159DE9" w14:textId="77777777" w:rsidR="009F60A2" w:rsidRPr="00E4060F" w:rsidRDefault="001C1009" w:rsidP="009F60A2">
      <w:pPr>
        <w:pStyle w:val="Reference"/>
        <w:numPr>
          <w:ilvl w:val="0"/>
          <w:numId w:val="0"/>
        </w:numPr>
        <w:ind w:left="426" w:hanging="426"/>
      </w:pPr>
      <w:r w:rsidRPr="00E4060F">
        <w:rPr>
          <w:color w:val="000000" w:themeColor="text1"/>
        </w:rPr>
        <w:t xml:space="preserve">[34] </w:t>
      </w:r>
      <w:r w:rsidR="009F60A2" w:rsidRPr="00E4060F">
        <w:rPr>
          <w:rStyle w:val="ad"/>
        </w:rPr>
        <w:t>Analyses of Rear-End Crashes and Near-Crashes in the 100-Car Naturalistic Driving Study to Support Rear-Signaling Countermeasure Development</w:t>
      </w:r>
      <w:r w:rsidR="009F60A2" w:rsidRPr="00E4060F">
        <w:t>, Report No. DOT HS 810 208, National Highway Traffic Safety Administration, U.S. Department of Transportation, Washington, DC (2007). https://www.nhtsa.gov/sites/nhtsa.gov/files/analyses20of20rear-end20crashes20and20near-crashes20dot20hs2081020846.pdf</w:t>
      </w:r>
    </w:p>
    <w:p w14:paraId="65BE4C75" w14:textId="6DC89353" w:rsidR="00EF01C3" w:rsidRPr="00E4060F" w:rsidRDefault="001C1009" w:rsidP="001C1009">
      <w:pPr>
        <w:pStyle w:val="Reference"/>
        <w:numPr>
          <w:ilvl w:val="0"/>
          <w:numId w:val="0"/>
        </w:numPr>
        <w:ind w:left="426" w:hanging="426"/>
      </w:pPr>
      <w:r w:rsidRPr="00E4060F">
        <w:rPr>
          <w:color w:val="000000" w:themeColor="text1"/>
        </w:rPr>
        <w:t xml:space="preserve">[35] </w:t>
      </w:r>
      <w:r w:rsidR="00EF01C3" w:rsidRPr="00E4060F">
        <w:t xml:space="preserve">A. </w:t>
      </w:r>
      <w:proofErr w:type="spellStart"/>
      <w:r w:rsidR="00EF01C3" w:rsidRPr="00E4060F">
        <w:t>Kashkanov</w:t>
      </w:r>
      <w:proofErr w:type="spellEnd"/>
      <w:r w:rsidR="00EF01C3" w:rsidRPr="00E4060F">
        <w:t xml:space="preserve">, A. Semenov, A. </w:t>
      </w:r>
      <w:proofErr w:type="spellStart"/>
      <w:r w:rsidR="00EF01C3" w:rsidRPr="00E4060F">
        <w:t>Kashkanova</w:t>
      </w:r>
      <w:proofErr w:type="spellEnd"/>
      <w:r w:rsidR="00EF01C3" w:rsidRPr="00E4060F">
        <w:t xml:space="preserve">, et al., “Estimating the effectiveness of electric vehicles braking when determining the circumstances of a traffic accident,” </w:t>
      </w:r>
      <w:r w:rsidR="00EF01C3" w:rsidRPr="00E4060F">
        <w:rPr>
          <w:rStyle w:val="ad"/>
        </w:rPr>
        <w:t>Sci. Rep.</w:t>
      </w:r>
      <w:r w:rsidR="00EF01C3" w:rsidRPr="00E4060F">
        <w:t xml:space="preserve"> </w:t>
      </w:r>
      <w:r w:rsidR="00EF01C3" w:rsidRPr="00E4060F">
        <w:rPr>
          <w:rStyle w:val="ac"/>
        </w:rPr>
        <w:t>13</w:t>
      </w:r>
      <w:r w:rsidR="00EF01C3" w:rsidRPr="00E4060F">
        <w:t xml:space="preserve">, 19916 (2023). </w:t>
      </w:r>
      <w:hyperlink r:id="rId60" w:tgtFrame="_new" w:history="1">
        <w:r w:rsidR="00EF01C3" w:rsidRPr="00E4060F">
          <w:rPr>
            <w:rStyle w:val="a8"/>
            <w:color w:val="auto"/>
          </w:rPr>
          <w:t>https://doi.org/10.1038/s41598-023-47123-7</w:t>
        </w:r>
      </w:hyperlink>
    </w:p>
    <w:p w14:paraId="042F1CAE" w14:textId="76E93DDF" w:rsidR="00937F8A" w:rsidRPr="00E4060F" w:rsidRDefault="001C1009" w:rsidP="001C1009">
      <w:pPr>
        <w:pStyle w:val="Reference"/>
        <w:numPr>
          <w:ilvl w:val="0"/>
          <w:numId w:val="0"/>
        </w:numPr>
        <w:ind w:left="426" w:hanging="426"/>
      </w:pPr>
      <w:r w:rsidRPr="00E4060F">
        <w:rPr>
          <w:color w:val="000000" w:themeColor="text1"/>
        </w:rPr>
        <w:t xml:space="preserve">[36] </w:t>
      </w:r>
      <w:r w:rsidR="000653F9" w:rsidRPr="00E4060F">
        <w:t xml:space="preserve">ZVEI, </w:t>
      </w:r>
      <w:r w:rsidR="000653F9" w:rsidRPr="00E4060F">
        <w:rPr>
          <w:rStyle w:val="ad"/>
        </w:rPr>
        <w:t>Voltage Classes for Electric Mobility</w:t>
      </w:r>
      <w:r w:rsidR="000653F9" w:rsidRPr="00E4060F">
        <w:t xml:space="preserve"> (ZVEI, Frankfurt, 2021), available at </w:t>
      </w:r>
      <w:hyperlink r:id="rId61" w:tgtFrame="_new" w:history="1">
        <w:r w:rsidR="000653F9" w:rsidRPr="00E4060F">
          <w:rPr>
            <w:rStyle w:val="a8"/>
            <w:color w:val="auto"/>
          </w:rPr>
          <w:t>https://www.zvei.org/fileadmin/user_upload/Presse_und_Medien/Publikationen/2014/april/Voltage_Classes_for_Electric_Mobility/Voltage_Classes_for_Electric_Mobility.pdf</w:t>
        </w:r>
      </w:hyperlink>
      <w:r w:rsidR="00937F8A" w:rsidRPr="00E4060F">
        <w:t xml:space="preserve"> </w:t>
      </w:r>
    </w:p>
    <w:p w14:paraId="3BE1F85D" w14:textId="44706322" w:rsidR="00EF01C3" w:rsidRPr="00E4060F" w:rsidRDefault="001C1009" w:rsidP="001C1009">
      <w:pPr>
        <w:pStyle w:val="Reference"/>
        <w:numPr>
          <w:ilvl w:val="0"/>
          <w:numId w:val="0"/>
        </w:numPr>
        <w:ind w:left="426" w:hanging="426"/>
      </w:pPr>
      <w:r w:rsidRPr="00E4060F">
        <w:rPr>
          <w:color w:val="000000" w:themeColor="text1"/>
        </w:rPr>
        <w:t xml:space="preserve">[37] </w:t>
      </w:r>
      <w:proofErr w:type="spellStart"/>
      <w:r w:rsidR="009F60A2" w:rsidRPr="00E4060F">
        <w:t>Wolfspeed</w:t>
      </w:r>
      <w:proofErr w:type="spellEnd"/>
      <w:r w:rsidR="009F60A2" w:rsidRPr="00E4060F">
        <w:t xml:space="preserve">. (2024). EV </w:t>
      </w:r>
      <w:r w:rsidR="009F60A2" w:rsidRPr="00E4060F">
        <w:rPr>
          <w:i/>
        </w:rPr>
        <w:t>Charging Power Topologies Design Guidebook</w:t>
      </w:r>
      <w:r w:rsidR="009F60A2" w:rsidRPr="00E4060F">
        <w:t xml:space="preserve"> (Application Note PRD-08367). </w:t>
      </w:r>
      <w:hyperlink r:id="rId62" w:history="1">
        <w:r w:rsidR="009F60A2" w:rsidRPr="00E4060F">
          <w:rPr>
            <w:rStyle w:val="a8"/>
            <w:color w:val="auto"/>
          </w:rPr>
          <w:t>https://assets.wolfspeed.com/uploads/2024/01/Wolfspeed_PRD-08367_EV_Charging_Power_Topologies_Design_Guidebook_Application_Note.pdf</w:t>
        </w:r>
      </w:hyperlink>
    </w:p>
    <w:p w14:paraId="4FE98002" w14:textId="69A3A76E" w:rsidR="00937F8A" w:rsidRPr="00E4060F" w:rsidRDefault="001C1009" w:rsidP="001C1009">
      <w:pPr>
        <w:pStyle w:val="Reference"/>
        <w:numPr>
          <w:ilvl w:val="0"/>
          <w:numId w:val="0"/>
        </w:numPr>
        <w:ind w:left="426" w:hanging="426"/>
      </w:pPr>
      <w:r w:rsidRPr="00E4060F">
        <w:rPr>
          <w:color w:val="000000" w:themeColor="text1"/>
        </w:rPr>
        <w:t xml:space="preserve">[38] </w:t>
      </w:r>
      <w:r w:rsidR="00937F8A" w:rsidRPr="00E4060F">
        <w:t xml:space="preserve">J. Wang, B. Wang, L. Zhang, J. Wang, N. I. </w:t>
      </w:r>
      <w:proofErr w:type="spellStart"/>
      <w:r w:rsidR="00937F8A" w:rsidRPr="00E4060F">
        <w:t>Shchurov</w:t>
      </w:r>
      <w:proofErr w:type="spellEnd"/>
      <w:r w:rsidR="00937F8A" w:rsidRPr="00E4060F">
        <w:t xml:space="preserve">, and B. V. </w:t>
      </w:r>
      <w:proofErr w:type="spellStart"/>
      <w:r w:rsidR="00937F8A" w:rsidRPr="00E4060F">
        <w:t>Malozyomov</w:t>
      </w:r>
      <w:proofErr w:type="spellEnd"/>
      <w:r w:rsidR="00937F8A" w:rsidRPr="00E4060F">
        <w:t xml:space="preserve">, “Review of bidirectional DC–DC converter topologies for hybrid energy storage system of new energy vehicles,” </w:t>
      </w:r>
      <w:r w:rsidR="00937F8A" w:rsidRPr="00E4060F">
        <w:rPr>
          <w:rStyle w:val="ad"/>
        </w:rPr>
        <w:t xml:space="preserve">Green Energy </w:t>
      </w:r>
      <w:proofErr w:type="spellStart"/>
      <w:r w:rsidR="00937F8A" w:rsidRPr="00E4060F">
        <w:rPr>
          <w:rStyle w:val="ad"/>
        </w:rPr>
        <w:t>Intell</w:t>
      </w:r>
      <w:proofErr w:type="spellEnd"/>
      <w:r w:rsidR="00937F8A" w:rsidRPr="00E4060F">
        <w:rPr>
          <w:rStyle w:val="ad"/>
        </w:rPr>
        <w:t>. Transp.</w:t>
      </w:r>
      <w:r w:rsidR="00937F8A" w:rsidRPr="00E4060F">
        <w:t xml:space="preserve"> </w:t>
      </w:r>
      <w:r w:rsidR="00937F8A" w:rsidRPr="00E4060F">
        <w:rPr>
          <w:rStyle w:val="ac"/>
        </w:rPr>
        <w:t>1</w:t>
      </w:r>
      <w:r w:rsidR="00937F8A" w:rsidRPr="00E4060F">
        <w:t xml:space="preserve">(2), 100010 (2022). </w:t>
      </w:r>
      <w:hyperlink r:id="rId63" w:tgtFrame="_new" w:history="1">
        <w:r w:rsidR="00937F8A" w:rsidRPr="00E4060F">
          <w:rPr>
            <w:rStyle w:val="a8"/>
            <w:color w:val="auto"/>
          </w:rPr>
          <w:t>https://doi.org/10.1016/j.geits.2022.100010</w:t>
        </w:r>
      </w:hyperlink>
    </w:p>
    <w:p w14:paraId="0797FBED" w14:textId="6A41E062" w:rsidR="000653F9" w:rsidRPr="00DA49E9" w:rsidRDefault="001C1009" w:rsidP="001C1009">
      <w:pPr>
        <w:pStyle w:val="Reference"/>
        <w:numPr>
          <w:ilvl w:val="0"/>
          <w:numId w:val="0"/>
        </w:numPr>
        <w:ind w:left="426" w:hanging="426"/>
      </w:pPr>
      <w:r w:rsidRPr="00E4060F">
        <w:rPr>
          <w:color w:val="000000" w:themeColor="text1"/>
        </w:rPr>
        <w:t xml:space="preserve">[39] </w:t>
      </w:r>
      <w:r w:rsidR="000653F9" w:rsidRPr="00E4060F">
        <w:t>Battery University, “BU-808: How to Prolong Lithium-based Batteries,” available at</w:t>
      </w:r>
      <w:bookmarkStart w:id="0" w:name="_GoBack"/>
      <w:bookmarkEnd w:id="0"/>
      <w:r w:rsidR="000653F9" w:rsidRPr="00DA49E9">
        <w:t xml:space="preserve"> </w:t>
      </w:r>
      <w:hyperlink r:id="rId64" w:tgtFrame="_new" w:history="1">
        <w:r w:rsidR="000653F9" w:rsidRPr="00DA49E9">
          <w:rPr>
            <w:rStyle w:val="a8"/>
            <w:color w:val="auto"/>
          </w:rPr>
          <w:t>https://batteryuniversity.com/article/bu-808-how-to-prolong-lithium-based-batteries</w:t>
        </w:r>
      </w:hyperlink>
      <w:r w:rsidR="000653F9" w:rsidRPr="00DA49E9">
        <w:t xml:space="preserve"> (accessed 2023)</w:t>
      </w:r>
    </w:p>
    <w:p w14:paraId="36D421DD" w14:textId="2A060926" w:rsidR="00937F8A" w:rsidRPr="00DA49E9" w:rsidRDefault="001C1009" w:rsidP="001C1009">
      <w:pPr>
        <w:pStyle w:val="Reference"/>
        <w:numPr>
          <w:ilvl w:val="0"/>
          <w:numId w:val="0"/>
        </w:numPr>
        <w:ind w:left="426" w:hanging="426"/>
      </w:pPr>
      <w:r>
        <w:rPr>
          <w:color w:val="000000" w:themeColor="text1"/>
        </w:rPr>
        <w:t xml:space="preserve">[40] </w:t>
      </w:r>
      <w:r w:rsidR="000653F9" w:rsidRPr="00DA49E9">
        <w:t xml:space="preserve">A. Ranjan and S. </w:t>
      </w:r>
      <w:proofErr w:type="spellStart"/>
      <w:r w:rsidR="000653F9" w:rsidRPr="00DA49E9">
        <w:t>Bodkhe</w:t>
      </w:r>
      <w:proofErr w:type="spellEnd"/>
      <w:r w:rsidR="000653F9" w:rsidRPr="00DA49E9">
        <w:t xml:space="preserve">, “Energy management strategy for hybrid energy storage systems in electric vehicle – A review,” </w:t>
      </w:r>
      <w:r w:rsidR="000653F9" w:rsidRPr="00DA49E9">
        <w:rPr>
          <w:rStyle w:val="ad"/>
        </w:rPr>
        <w:t xml:space="preserve">Int. J. </w:t>
      </w:r>
      <w:proofErr w:type="spellStart"/>
      <w:r w:rsidR="000653F9" w:rsidRPr="00DA49E9">
        <w:rPr>
          <w:rStyle w:val="ad"/>
        </w:rPr>
        <w:t>Electr</w:t>
      </w:r>
      <w:proofErr w:type="spellEnd"/>
      <w:r w:rsidR="000653F9" w:rsidRPr="00DA49E9">
        <w:rPr>
          <w:rStyle w:val="ad"/>
        </w:rPr>
        <w:t xml:space="preserve">. Electron. Eng. </w:t>
      </w:r>
      <w:proofErr w:type="spellStart"/>
      <w:r w:rsidR="000653F9" w:rsidRPr="00DA49E9">
        <w:rPr>
          <w:rStyle w:val="ad"/>
        </w:rPr>
        <w:t>Telecommun</w:t>
      </w:r>
      <w:proofErr w:type="spellEnd"/>
      <w:r w:rsidR="000653F9" w:rsidRPr="00DA49E9">
        <w:rPr>
          <w:rStyle w:val="ad"/>
        </w:rPr>
        <w:t>.</w:t>
      </w:r>
      <w:r w:rsidR="000653F9" w:rsidRPr="00DA49E9">
        <w:t xml:space="preserve"> </w:t>
      </w:r>
      <w:r w:rsidR="000653F9" w:rsidRPr="00DA49E9">
        <w:rPr>
          <w:rStyle w:val="ac"/>
        </w:rPr>
        <w:t>11</w:t>
      </w:r>
      <w:r w:rsidR="000653F9" w:rsidRPr="00DA49E9">
        <w:t xml:space="preserve">(2), 88–101 (2022). </w:t>
      </w:r>
      <w:hyperlink r:id="rId65" w:history="1">
        <w:r w:rsidR="000653F9" w:rsidRPr="00DA49E9">
          <w:rPr>
            <w:rStyle w:val="a8"/>
            <w:color w:val="auto"/>
          </w:rPr>
          <w:t>https://doi.org/10.18178/ijeetc.11.2.88-101</w:t>
        </w:r>
      </w:hyperlink>
      <w:r w:rsidR="000653F9" w:rsidRPr="00DA49E9">
        <w:t xml:space="preserve"> </w:t>
      </w:r>
    </w:p>
    <w:p w14:paraId="1B334C3D" w14:textId="0A24CDAE" w:rsidR="00084286" w:rsidRPr="00DA49E9" w:rsidRDefault="001C1009" w:rsidP="001C1009">
      <w:pPr>
        <w:pStyle w:val="Reference"/>
        <w:numPr>
          <w:ilvl w:val="0"/>
          <w:numId w:val="0"/>
        </w:numPr>
        <w:ind w:left="426" w:hanging="426"/>
      </w:pPr>
      <w:r>
        <w:rPr>
          <w:color w:val="000000" w:themeColor="text1"/>
        </w:rPr>
        <w:lastRenderedPageBreak/>
        <w:t xml:space="preserve">[41] </w:t>
      </w:r>
      <w:r w:rsidR="00937F8A" w:rsidRPr="00DA49E9">
        <w:t xml:space="preserve">D. </w:t>
      </w:r>
      <w:proofErr w:type="spellStart"/>
      <w:r w:rsidR="00937F8A" w:rsidRPr="00DA49E9">
        <w:t>Lemian</w:t>
      </w:r>
      <w:proofErr w:type="spellEnd"/>
      <w:r w:rsidR="00937F8A" w:rsidRPr="00DA49E9">
        <w:t xml:space="preserve"> and F. Bode, “Battery-supercapacitor energy storage systems for electrical vehicles: A review,” </w:t>
      </w:r>
      <w:r w:rsidR="00937F8A" w:rsidRPr="00DA49E9">
        <w:rPr>
          <w:rStyle w:val="ad"/>
        </w:rPr>
        <w:t>Energies</w:t>
      </w:r>
      <w:r w:rsidR="00937F8A" w:rsidRPr="00DA49E9">
        <w:t xml:space="preserve"> </w:t>
      </w:r>
      <w:r w:rsidR="00937F8A" w:rsidRPr="00DA49E9">
        <w:rPr>
          <w:rStyle w:val="ac"/>
        </w:rPr>
        <w:t>15</w:t>
      </w:r>
      <w:r w:rsidR="00937F8A" w:rsidRPr="00DA49E9">
        <w:t xml:space="preserve">, 5683 (2022). </w:t>
      </w:r>
      <w:hyperlink r:id="rId66" w:history="1">
        <w:r w:rsidR="00084286" w:rsidRPr="00DA49E9">
          <w:rPr>
            <w:rStyle w:val="a8"/>
            <w:color w:val="auto"/>
          </w:rPr>
          <w:t>https://doi.org/10.3390/en15155683</w:t>
        </w:r>
      </w:hyperlink>
    </w:p>
    <w:p w14:paraId="0347618F" w14:textId="6B637AD4" w:rsidR="00937F8A" w:rsidRPr="00DA49E9" w:rsidRDefault="001C1009" w:rsidP="001C1009">
      <w:pPr>
        <w:pStyle w:val="Reference"/>
        <w:numPr>
          <w:ilvl w:val="0"/>
          <w:numId w:val="0"/>
        </w:numPr>
        <w:ind w:left="426" w:hanging="426"/>
      </w:pPr>
      <w:r>
        <w:rPr>
          <w:color w:val="000000" w:themeColor="text1"/>
        </w:rPr>
        <w:t xml:space="preserve">[42] </w:t>
      </w:r>
      <w:r w:rsidR="00937F8A" w:rsidRPr="00DA49E9">
        <w:t xml:space="preserve">A. Urooj and A. Nasir, “Review of hybrid energy storage systems for hybrid electric vehicles,” </w:t>
      </w:r>
      <w:r w:rsidR="00937F8A" w:rsidRPr="00DA49E9">
        <w:rPr>
          <w:rStyle w:val="ad"/>
        </w:rPr>
        <w:t xml:space="preserve">World </w:t>
      </w:r>
      <w:proofErr w:type="spellStart"/>
      <w:r w:rsidR="00937F8A" w:rsidRPr="00DA49E9">
        <w:rPr>
          <w:rStyle w:val="ad"/>
        </w:rPr>
        <w:t>Electr</w:t>
      </w:r>
      <w:proofErr w:type="spellEnd"/>
      <w:r w:rsidR="00937F8A" w:rsidRPr="00DA49E9">
        <w:rPr>
          <w:rStyle w:val="ad"/>
        </w:rPr>
        <w:t xml:space="preserve">. </w:t>
      </w:r>
      <w:proofErr w:type="spellStart"/>
      <w:r w:rsidR="00937F8A" w:rsidRPr="00DA49E9">
        <w:rPr>
          <w:rStyle w:val="ad"/>
        </w:rPr>
        <w:t>Veh</w:t>
      </w:r>
      <w:proofErr w:type="spellEnd"/>
      <w:r w:rsidR="00937F8A" w:rsidRPr="00DA49E9">
        <w:rPr>
          <w:rStyle w:val="ad"/>
        </w:rPr>
        <w:t>. J.</w:t>
      </w:r>
      <w:r w:rsidR="00937F8A" w:rsidRPr="00DA49E9">
        <w:t xml:space="preserve"> </w:t>
      </w:r>
      <w:r w:rsidR="00937F8A" w:rsidRPr="00DA49E9">
        <w:rPr>
          <w:rStyle w:val="ac"/>
        </w:rPr>
        <w:t>15</w:t>
      </w:r>
      <w:r w:rsidR="00937F8A" w:rsidRPr="00DA49E9">
        <w:t xml:space="preserve">(8), 342 (2024). </w:t>
      </w:r>
      <w:hyperlink r:id="rId67" w:tgtFrame="_new" w:history="1">
        <w:r w:rsidR="00937F8A" w:rsidRPr="00DA49E9">
          <w:rPr>
            <w:rStyle w:val="a8"/>
            <w:color w:val="auto"/>
          </w:rPr>
          <w:t>https://doi.org/10.3390/wevj15080342</w:t>
        </w:r>
      </w:hyperlink>
    </w:p>
    <w:p w14:paraId="692C90D5" w14:textId="77777777" w:rsidR="00937F8A" w:rsidRPr="00DA49E9" w:rsidRDefault="00937F8A" w:rsidP="001C1009">
      <w:pPr>
        <w:pStyle w:val="Reference"/>
        <w:numPr>
          <w:ilvl w:val="0"/>
          <w:numId w:val="0"/>
        </w:numPr>
        <w:ind w:left="426" w:hanging="426"/>
        <w:rPr>
          <w:color w:val="000000" w:themeColor="text1"/>
        </w:rPr>
      </w:pPr>
    </w:p>
    <w:sectPr w:rsidR="00937F8A" w:rsidRPr="00DA49E9" w:rsidSect="0062646B">
      <w:pgSz w:w="12240" w:h="15840" w:code="1"/>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92B01"/>
    <w:multiLevelType w:val="hybridMultilevel"/>
    <w:tmpl w:val="EC9E0A6E"/>
    <w:lvl w:ilvl="0" w:tplc="8946B8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nsid w:val="265B3301"/>
    <w:multiLevelType w:val="hybridMultilevel"/>
    <w:tmpl w:val="3F4E21C8"/>
    <w:lvl w:ilvl="0" w:tplc="E1644C30">
      <w:numFmt w:val="bullet"/>
      <w:lvlText w:val="•"/>
      <w:lvlJc w:val="left"/>
      <w:pPr>
        <w:ind w:left="716" w:hanging="432"/>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2B1D32B4"/>
    <w:multiLevelType w:val="hybridMultilevel"/>
    <w:tmpl w:val="DC86AAA4"/>
    <w:lvl w:ilvl="0" w:tplc="F7D652F4">
      <w:start w:val="1"/>
      <w:numFmt w:val="bullet"/>
      <w:pStyle w:val="a"/>
      <w:lvlText w:val=""/>
      <w:lvlJc w:val="left"/>
      <w:pPr>
        <w:ind w:left="4330"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33C24E2C"/>
    <w:multiLevelType w:val="hybridMultilevel"/>
    <w:tmpl w:val="F4D2B852"/>
    <w:lvl w:ilvl="0" w:tplc="8AF45298">
      <w:numFmt w:val="bullet"/>
      <w:lvlText w:val="-"/>
      <w:lvlJc w:val="left"/>
      <w:pPr>
        <w:ind w:left="716" w:hanging="432"/>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nsid w:val="3A8E242F"/>
    <w:multiLevelType w:val="hybridMultilevel"/>
    <w:tmpl w:val="95A43AFA"/>
    <w:lvl w:ilvl="0" w:tplc="8946B8BE">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7">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DA6D17"/>
    <w:multiLevelType w:val="hybridMultilevel"/>
    <w:tmpl w:val="C4DCC84C"/>
    <w:lvl w:ilvl="0" w:tplc="8946B8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44B8143C"/>
    <w:multiLevelType w:val="hybridMultilevel"/>
    <w:tmpl w:val="2C645DF8"/>
    <w:lvl w:ilvl="0" w:tplc="9572A526">
      <w:start w:val="2"/>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0">
    <w:nsid w:val="47501E5B"/>
    <w:multiLevelType w:val="hybridMultilevel"/>
    <w:tmpl w:val="EAF41832"/>
    <w:lvl w:ilvl="0" w:tplc="22347FD0">
      <w:numFmt w:val="bullet"/>
      <w:lvlText w:val="•"/>
      <w:lvlJc w:val="left"/>
      <w:pPr>
        <w:ind w:left="716" w:hanging="432"/>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514D44DF"/>
    <w:multiLevelType w:val="hybridMultilevel"/>
    <w:tmpl w:val="FB94FC8A"/>
    <w:lvl w:ilvl="0" w:tplc="A5681D3C">
      <w:numFmt w:val="bullet"/>
      <w:lvlText w:val="-"/>
      <w:lvlJc w:val="left"/>
      <w:pPr>
        <w:ind w:left="716" w:hanging="432"/>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5FE17B9F"/>
    <w:multiLevelType w:val="hybridMultilevel"/>
    <w:tmpl w:val="AA8AF144"/>
    <w:lvl w:ilvl="0" w:tplc="8946B8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650C405B"/>
    <w:multiLevelType w:val="hybridMultilevel"/>
    <w:tmpl w:val="33E07196"/>
    <w:lvl w:ilvl="0" w:tplc="8946B8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68DF134A"/>
    <w:multiLevelType w:val="hybridMultilevel"/>
    <w:tmpl w:val="5496772A"/>
    <w:lvl w:ilvl="0" w:tplc="8946B8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6">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17">
    <w:nsid w:val="7D5B6553"/>
    <w:multiLevelType w:val="hybridMultilevel"/>
    <w:tmpl w:val="E190D982"/>
    <w:lvl w:ilvl="0" w:tplc="8946B8BE">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num w:numId="1">
    <w:abstractNumId w:val="7"/>
  </w:num>
  <w:num w:numId="2">
    <w:abstractNumId w:val="5"/>
  </w:num>
  <w:num w:numId="3">
    <w:abstractNumId w:val="15"/>
  </w:num>
  <w:num w:numId="4">
    <w:abstractNumId w:val="9"/>
  </w:num>
  <w:num w:numId="5">
    <w:abstractNumId w:val="3"/>
  </w:num>
  <w:num w:numId="6">
    <w:abstractNumId w:val="8"/>
  </w:num>
  <w:num w:numId="7">
    <w:abstractNumId w:val="11"/>
  </w:num>
  <w:num w:numId="8">
    <w:abstractNumId w:val="14"/>
  </w:num>
  <w:num w:numId="9">
    <w:abstractNumId w:val="4"/>
  </w:num>
  <w:num w:numId="10">
    <w:abstractNumId w:val="17"/>
  </w:num>
  <w:num w:numId="11">
    <w:abstractNumId w:val="6"/>
  </w:num>
  <w:num w:numId="12">
    <w:abstractNumId w:val="12"/>
  </w:num>
  <w:num w:numId="13">
    <w:abstractNumId w:val="0"/>
  </w:num>
  <w:num w:numId="14">
    <w:abstractNumId w:val="10"/>
  </w:num>
  <w:num w:numId="15">
    <w:abstractNumId w:val="13"/>
  </w:num>
  <w:num w:numId="1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intPostScriptOverText/>
  <w:embedSystemFonts/>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B14"/>
    <w:rsid w:val="00003D7C"/>
    <w:rsid w:val="00014140"/>
    <w:rsid w:val="00027428"/>
    <w:rsid w:val="00031EC9"/>
    <w:rsid w:val="0003220E"/>
    <w:rsid w:val="0003396A"/>
    <w:rsid w:val="000422EE"/>
    <w:rsid w:val="000653F9"/>
    <w:rsid w:val="00065F68"/>
    <w:rsid w:val="00066FED"/>
    <w:rsid w:val="00075EA6"/>
    <w:rsid w:val="0007709F"/>
    <w:rsid w:val="00084286"/>
    <w:rsid w:val="00086F62"/>
    <w:rsid w:val="00090674"/>
    <w:rsid w:val="0009320B"/>
    <w:rsid w:val="0009433D"/>
    <w:rsid w:val="00096316"/>
    <w:rsid w:val="00096AE0"/>
    <w:rsid w:val="000B1B74"/>
    <w:rsid w:val="000B3A2D"/>
    <w:rsid w:val="000B49C0"/>
    <w:rsid w:val="000B6227"/>
    <w:rsid w:val="000C3483"/>
    <w:rsid w:val="000C6C87"/>
    <w:rsid w:val="000E382F"/>
    <w:rsid w:val="000E75CD"/>
    <w:rsid w:val="001036BA"/>
    <w:rsid w:val="001146DC"/>
    <w:rsid w:val="00114AB1"/>
    <w:rsid w:val="001230FF"/>
    <w:rsid w:val="00130BD7"/>
    <w:rsid w:val="00146FE2"/>
    <w:rsid w:val="00154CAF"/>
    <w:rsid w:val="001559B6"/>
    <w:rsid w:val="00155B67"/>
    <w:rsid w:val="001562AF"/>
    <w:rsid w:val="001572FC"/>
    <w:rsid w:val="00161A5B"/>
    <w:rsid w:val="0016385D"/>
    <w:rsid w:val="0016782F"/>
    <w:rsid w:val="00176114"/>
    <w:rsid w:val="00187565"/>
    <w:rsid w:val="001937E9"/>
    <w:rsid w:val="001964E5"/>
    <w:rsid w:val="001B263B"/>
    <w:rsid w:val="001B476A"/>
    <w:rsid w:val="001C1009"/>
    <w:rsid w:val="001C3AA3"/>
    <w:rsid w:val="001C764F"/>
    <w:rsid w:val="001C7BB3"/>
    <w:rsid w:val="001D469C"/>
    <w:rsid w:val="001D5374"/>
    <w:rsid w:val="001F335E"/>
    <w:rsid w:val="001F7457"/>
    <w:rsid w:val="00204754"/>
    <w:rsid w:val="002119B6"/>
    <w:rsid w:val="00215073"/>
    <w:rsid w:val="0021619E"/>
    <w:rsid w:val="0023171B"/>
    <w:rsid w:val="00236BFC"/>
    <w:rsid w:val="00237437"/>
    <w:rsid w:val="002502FD"/>
    <w:rsid w:val="00274622"/>
    <w:rsid w:val="00285D24"/>
    <w:rsid w:val="002870EF"/>
    <w:rsid w:val="00290390"/>
    <w:rsid w:val="002915D3"/>
    <w:rsid w:val="002924DB"/>
    <w:rsid w:val="00292C4D"/>
    <w:rsid w:val="002941DA"/>
    <w:rsid w:val="002A09AF"/>
    <w:rsid w:val="002B5648"/>
    <w:rsid w:val="002D33AF"/>
    <w:rsid w:val="002D35B7"/>
    <w:rsid w:val="002E04BA"/>
    <w:rsid w:val="002E14A1"/>
    <w:rsid w:val="002E3C35"/>
    <w:rsid w:val="002F49A4"/>
    <w:rsid w:val="002F5298"/>
    <w:rsid w:val="002F7E28"/>
    <w:rsid w:val="00320531"/>
    <w:rsid w:val="00326AE0"/>
    <w:rsid w:val="00337E4F"/>
    <w:rsid w:val="00340C36"/>
    <w:rsid w:val="00346A9D"/>
    <w:rsid w:val="003561FD"/>
    <w:rsid w:val="00374DF5"/>
    <w:rsid w:val="00381F51"/>
    <w:rsid w:val="0039376F"/>
    <w:rsid w:val="003A040A"/>
    <w:rsid w:val="003A287B"/>
    <w:rsid w:val="003A5C85"/>
    <w:rsid w:val="003A61B1"/>
    <w:rsid w:val="003A7478"/>
    <w:rsid w:val="003B0050"/>
    <w:rsid w:val="003D6312"/>
    <w:rsid w:val="003E7C74"/>
    <w:rsid w:val="003F31C6"/>
    <w:rsid w:val="0040225B"/>
    <w:rsid w:val="00402DA2"/>
    <w:rsid w:val="004136D5"/>
    <w:rsid w:val="00413FD0"/>
    <w:rsid w:val="0041439A"/>
    <w:rsid w:val="00425AC2"/>
    <w:rsid w:val="00425C1A"/>
    <w:rsid w:val="0043512E"/>
    <w:rsid w:val="00440CAB"/>
    <w:rsid w:val="0044771F"/>
    <w:rsid w:val="00451578"/>
    <w:rsid w:val="004B151D"/>
    <w:rsid w:val="004C7243"/>
    <w:rsid w:val="004D34DD"/>
    <w:rsid w:val="004E0C14"/>
    <w:rsid w:val="004E21DE"/>
    <w:rsid w:val="004E3C57"/>
    <w:rsid w:val="004E3CB2"/>
    <w:rsid w:val="00503DD2"/>
    <w:rsid w:val="00505B2D"/>
    <w:rsid w:val="00524170"/>
    <w:rsid w:val="005243FD"/>
    <w:rsid w:val="00525813"/>
    <w:rsid w:val="00530FAB"/>
    <w:rsid w:val="0053513F"/>
    <w:rsid w:val="00545BF0"/>
    <w:rsid w:val="00561DD5"/>
    <w:rsid w:val="00574405"/>
    <w:rsid w:val="0058241C"/>
    <w:rsid w:val="005854B0"/>
    <w:rsid w:val="005A0E21"/>
    <w:rsid w:val="005A6FE0"/>
    <w:rsid w:val="005B3A34"/>
    <w:rsid w:val="005D49AF"/>
    <w:rsid w:val="005E415C"/>
    <w:rsid w:val="005E4C84"/>
    <w:rsid w:val="005E56BE"/>
    <w:rsid w:val="005E5F57"/>
    <w:rsid w:val="005E71ED"/>
    <w:rsid w:val="005E7946"/>
    <w:rsid w:val="005F0E7E"/>
    <w:rsid w:val="005F7475"/>
    <w:rsid w:val="00611299"/>
    <w:rsid w:val="00613B4D"/>
    <w:rsid w:val="00616365"/>
    <w:rsid w:val="00616F3B"/>
    <w:rsid w:val="006249A7"/>
    <w:rsid w:val="0062646B"/>
    <w:rsid w:val="00633C6D"/>
    <w:rsid w:val="0064225B"/>
    <w:rsid w:val="00643662"/>
    <w:rsid w:val="006462C1"/>
    <w:rsid w:val="00671C43"/>
    <w:rsid w:val="006763F9"/>
    <w:rsid w:val="00686D38"/>
    <w:rsid w:val="006949BC"/>
    <w:rsid w:val="006B40AC"/>
    <w:rsid w:val="006B74D8"/>
    <w:rsid w:val="006C487E"/>
    <w:rsid w:val="006C5F7E"/>
    <w:rsid w:val="006D1229"/>
    <w:rsid w:val="006D372F"/>
    <w:rsid w:val="006D7A18"/>
    <w:rsid w:val="006E4474"/>
    <w:rsid w:val="006E60DB"/>
    <w:rsid w:val="006F4DBA"/>
    <w:rsid w:val="00701388"/>
    <w:rsid w:val="00715038"/>
    <w:rsid w:val="00723B7F"/>
    <w:rsid w:val="00725861"/>
    <w:rsid w:val="0073331E"/>
    <w:rsid w:val="0073393A"/>
    <w:rsid w:val="0073539D"/>
    <w:rsid w:val="00767B8A"/>
    <w:rsid w:val="007744F9"/>
    <w:rsid w:val="00775481"/>
    <w:rsid w:val="0078022B"/>
    <w:rsid w:val="007A233B"/>
    <w:rsid w:val="007A3674"/>
    <w:rsid w:val="007B4863"/>
    <w:rsid w:val="007C65E6"/>
    <w:rsid w:val="007D406B"/>
    <w:rsid w:val="007D4407"/>
    <w:rsid w:val="007E09AA"/>
    <w:rsid w:val="007E12FA"/>
    <w:rsid w:val="007E1CA3"/>
    <w:rsid w:val="007E6AAB"/>
    <w:rsid w:val="007F650D"/>
    <w:rsid w:val="00812D62"/>
    <w:rsid w:val="00812F29"/>
    <w:rsid w:val="00821713"/>
    <w:rsid w:val="00822DDE"/>
    <w:rsid w:val="00827050"/>
    <w:rsid w:val="0083278B"/>
    <w:rsid w:val="00833DB6"/>
    <w:rsid w:val="00834538"/>
    <w:rsid w:val="00850E89"/>
    <w:rsid w:val="00865D0B"/>
    <w:rsid w:val="008913B1"/>
    <w:rsid w:val="008930E4"/>
    <w:rsid w:val="00893821"/>
    <w:rsid w:val="00893A85"/>
    <w:rsid w:val="00893C97"/>
    <w:rsid w:val="00894190"/>
    <w:rsid w:val="008A7B9C"/>
    <w:rsid w:val="008B39FA"/>
    <w:rsid w:val="008B4754"/>
    <w:rsid w:val="008B6756"/>
    <w:rsid w:val="008E691F"/>
    <w:rsid w:val="008E6A7A"/>
    <w:rsid w:val="008F1038"/>
    <w:rsid w:val="008F7046"/>
    <w:rsid w:val="009005FC"/>
    <w:rsid w:val="009009C4"/>
    <w:rsid w:val="0092252A"/>
    <w:rsid w:val="00922E5A"/>
    <w:rsid w:val="00934D04"/>
    <w:rsid w:val="00937F8A"/>
    <w:rsid w:val="00943315"/>
    <w:rsid w:val="00944B32"/>
    <w:rsid w:val="00946C27"/>
    <w:rsid w:val="009519F3"/>
    <w:rsid w:val="0095437C"/>
    <w:rsid w:val="009841F8"/>
    <w:rsid w:val="00985F28"/>
    <w:rsid w:val="009917D1"/>
    <w:rsid w:val="00997568"/>
    <w:rsid w:val="009A114B"/>
    <w:rsid w:val="009A4F3D"/>
    <w:rsid w:val="009B3037"/>
    <w:rsid w:val="009B696B"/>
    <w:rsid w:val="009B7671"/>
    <w:rsid w:val="009E42D5"/>
    <w:rsid w:val="009E5BA1"/>
    <w:rsid w:val="009F056E"/>
    <w:rsid w:val="009F1129"/>
    <w:rsid w:val="009F60A2"/>
    <w:rsid w:val="00A21C91"/>
    <w:rsid w:val="00A24F3D"/>
    <w:rsid w:val="00A26DCD"/>
    <w:rsid w:val="00A314BB"/>
    <w:rsid w:val="00A32B7D"/>
    <w:rsid w:val="00A408DC"/>
    <w:rsid w:val="00A550CC"/>
    <w:rsid w:val="00A5596B"/>
    <w:rsid w:val="00A62B85"/>
    <w:rsid w:val="00A64207"/>
    <w:rsid w:val="00A646B3"/>
    <w:rsid w:val="00A6739B"/>
    <w:rsid w:val="00A855BD"/>
    <w:rsid w:val="00A90413"/>
    <w:rsid w:val="00AA728C"/>
    <w:rsid w:val="00AB0A9C"/>
    <w:rsid w:val="00AB5AB8"/>
    <w:rsid w:val="00AB7119"/>
    <w:rsid w:val="00AC6E02"/>
    <w:rsid w:val="00AC7AF4"/>
    <w:rsid w:val="00AD0947"/>
    <w:rsid w:val="00AD5855"/>
    <w:rsid w:val="00AE1478"/>
    <w:rsid w:val="00AE7500"/>
    <w:rsid w:val="00AE7F87"/>
    <w:rsid w:val="00AF3542"/>
    <w:rsid w:val="00AF4623"/>
    <w:rsid w:val="00AF4DC0"/>
    <w:rsid w:val="00AF5ABE"/>
    <w:rsid w:val="00B00415"/>
    <w:rsid w:val="00B0231E"/>
    <w:rsid w:val="00B02E99"/>
    <w:rsid w:val="00B03C2A"/>
    <w:rsid w:val="00B054DC"/>
    <w:rsid w:val="00B1000D"/>
    <w:rsid w:val="00B10134"/>
    <w:rsid w:val="00B12591"/>
    <w:rsid w:val="00B13572"/>
    <w:rsid w:val="00B16BFE"/>
    <w:rsid w:val="00B238DF"/>
    <w:rsid w:val="00B35A78"/>
    <w:rsid w:val="00B500E5"/>
    <w:rsid w:val="00BA39BB"/>
    <w:rsid w:val="00BA3B3D"/>
    <w:rsid w:val="00BB092A"/>
    <w:rsid w:val="00BB7EEA"/>
    <w:rsid w:val="00BC5AAC"/>
    <w:rsid w:val="00BD1909"/>
    <w:rsid w:val="00BD1F41"/>
    <w:rsid w:val="00BD3154"/>
    <w:rsid w:val="00BD49F0"/>
    <w:rsid w:val="00BE5E16"/>
    <w:rsid w:val="00BE5FD1"/>
    <w:rsid w:val="00C06E05"/>
    <w:rsid w:val="00C110CE"/>
    <w:rsid w:val="00C12159"/>
    <w:rsid w:val="00C1479C"/>
    <w:rsid w:val="00C14B14"/>
    <w:rsid w:val="00C17370"/>
    <w:rsid w:val="00C2054D"/>
    <w:rsid w:val="00C252EB"/>
    <w:rsid w:val="00C26EC0"/>
    <w:rsid w:val="00C448F2"/>
    <w:rsid w:val="00C47CA0"/>
    <w:rsid w:val="00C56867"/>
    <w:rsid w:val="00C56C77"/>
    <w:rsid w:val="00C702D4"/>
    <w:rsid w:val="00C81170"/>
    <w:rsid w:val="00C84923"/>
    <w:rsid w:val="00C9040D"/>
    <w:rsid w:val="00C90565"/>
    <w:rsid w:val="00C97D50"/>
    <w:rsid w:val="00CA28D8"/>
    <w:rsid w:val="00CB4FAC"/>
    <w:rsid w:val="00CB7B3E"/>
    <w:rsid w:val="00CC5E79"/>
    <w:rsid w:val="00CC739D"/>
    <w:rsid w:val="00CE2751"/>
    <w:rsid w:val="00D01B8A"/>
    <w:rsid w:val="00D04468"/>
    <w:rsid w:val="00D30640"/>
    <w:rsid w:val="00D36257"/>
    <w:rsid w:val="00D41A0E"/>
    <w:rsid w:val="00D4687E"/>
    <w:rsid w:val="00D53A12"/>
    <w:rsid w:val="00D55390"/>
    <w:rsid w:val="00D6260B"/>
    <w:rsid w:val="00D66C9E"/>
    <w:rsid w:val="00D87E2A"/>
    <w:rsid w:val="00DA49E9"/>
    <w:rsid w:val="00DB0C43"/>
    <w:rsid w:val="00DE3354"/>
    <w:rsid w:val="00DE3DC2"/>
    <w:rsid w:val="00DF7DCD"/>
    <w:rsid w:val="00E02C9F"/>
    <w:rsid w:val="00E06C85"/>
    <w:rsid w:val="00E22AB6"/>
    <w:rsid w:val="00E4060F"/>
    <w:rsid w:val="00E50B7D"/>
    <w:rsid w:val="00E608CE"/>
    <w:rsid w:val="00E62F12"/>
    <w:rsid w:val="00E641F0"/>
    <w:rsid w:val="00E76DAA"/>
    <w:rsid w:val="00E827BB"/>
    <w:rsid w:val="00E9046C"/>
    <w:rsid w:val="00E904A1"/>
    <w:rsid w:val="00E933B1"/>
    <w:rsid w:val="00E958A0"/>
    <w:rsid w:val="00EA37FC"/>
    <w:rsid w:val="00EB7D28"/>
    <w:rsid w:val="00EC0D0C"/>
    <w:rsid w:val="00ED3FD0"/>
    <w:rsid w:val="00ED4A2C"/>
    <w:rsid w:val="00ED7969"/>
    <w:rsid w:val="00EF01C3"/>
    <w:rsid w:val="00EF6940"/>
    <w:rsid w:val="00F2044A"/>
    <w:rsid w:val="00F20BFC"/>
    <w:rsid w:val="00F21B8F"/>
    <w:rsid w:val="00F22C4F"/>
    <w:rsid w:val="00F24D5F"/>
    <w:rsid w:val="00F25075"/>
    <w:rsid w:val="00F4265D"/>
    <w:rsid w:val="00F517B9"/>
    <w:rsid w:val="00F53D54"/>
    <w:rsid w:val="00F60E09"/>
    <w:rsid w:val="00F726C3"/>
    <w:rsid w:val="00F820CA"/>
    <w:rsid w:val="00F8554C"/>
    <w:rsid w:val="00F95B0D"/>
    <w:rsid w:val="00F95F82"/>
    <w:rsid w:val="00F97A90"/>
    <w:rsid w:val="00FB0603"/>
    <w:rsid w:val="00FC2F35"/>
    <w:rsid w:val="00FC3FD7"/>
    <w:rsid w:val="00FD13EA"/>
    <w:rsid w:val="00FD1FC6"/>
    <w:rsid w:val="00FE5869"/>
    <w:rsid w:val="00FE6CB6"/>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292C4D"/>
    <w:rPr>
      <w:sz w:val="24"/>
      <w:lang w:val="en-US" w:eastAsia="en-US"/>
    </w:rPr>
  </w:style>
  <w:style w:type="paragraph" w:styleId="1">
    <w:name w:val="heading 1"/>
    <w:basedOn w:val="a0"/>
    <w:next w:val="Paragraph"/>
    <w:qFormat/>
    <w:pPr>
      <w:keepNext/>
      <w:spacing w:before="240" w:after="240"/>
      <w:jc w:val="center"/>
      <w:outlineLvl w:val="0"/>
    </w:pPr>
    <w:rPr>
      <w:b/>
      <w:caps/>
    </w:rPr>
  </w:style>
  <w:style w:type="paragraph" w:styleId="2">
    <w:name w:val="heading 2"/>
    <w:basedOn w:val="a0"/>
    <w:next w:val="Paragraph"/>
    <w:qFormat/>
    <w:pPr>
      <w:keepNext/>
      <w:spacing w:before="240" w:after="240"/>
      <w:jc w:val="center"/>
      <w:outlineLvl w:val="1"/>
    </w:pPr>
    <w:rPr>
      <w:b/>
    </w:rPr>
  </w:style>
  <w:style w:type="paragraph" w:styleId="3">
    <w:name w:val="heading 3"/>
    <w:basedOn w:val="a0"/>
    <w:next w:val="a0"/>
    <w:qFormat/>
    <w:rsid w:val="005854B0"/>
    <w:pPr>
      <w:keepNext/>
      <w:spacing w:before="240" w:after="240"/>
      <w:jc w:val="center"/>
      <w:outlineLvl w:val="2"/>
    </w:pPr>
    <w:rPr>
      <w:i/>
      <w:iCs/>
      <w:sz w:val="20"/>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semiHidden/>
    <w:rPr>
      <w:sz w:val="16"/>
    </w:rPr>
  </w:style>
  <w:style w:type="paragraph" w:customStyle="1" w:styleId="PaperTitle">
    <w:name w:val="Paper Title"/>
    <w:basedOn w:val="a0"/>
    <w:next w:val="AuthorName"/>
    <w:uiPriority w:val="99"/>
    <w:pPr>
      <w:spacing w:before="1200"/>
      <w:jc w:val="center"/>
    </w:pPr>
    <w:rPr>
      <w:b/>
      <w:sz w:val="36"/>
    </w:rPr>
  </w:style>
  <w:style w:type="paragraph" w:customStyle="1" w:styleId="AuthorName">
    <w:name w:val="Author Name"/>
    <w:basedOn w:val="a0"/>
    <w:next w:val="AuthorAffiliation"/>
    <w:pPr>
      <w:spacing w:before="360" w:after="360"/>
      <w:jc w:val="center"/>
    </w:pPr>
    <w:rPr>
      <w:sz w:val="28"/>
    </w:rPr>
  </w:style>
  <w:style w:type="paragraph" w:customStyle="1" w:styleId="AuthorAffiliation">
    <w:name w:val="Author Affiliation"/>
    <w:basedOn w:val="a0"/>
    <w:uiPriority w:val="99"/>
    <w:pPr>
      <w:jc w:val="center"/>
    </w:pPr>
    <w:rPr>
      <w:i/>
      <w:sz w:val="20"/>
    </w:rPr>
  </w:style>
  <w:style w:type="paragraph" w:customStyle="1" w:styleId="Abstract">
    <w:name w:val="Abstract"/>
    <w:basedOn w:val="a0"/>
    <w:next w:val="1"/>
    <w:rsid w:val="00F20BFC"/>
    <w:pPr>
      <w:spacing w:before="360" w:after="360"/>
      <w:ind w:left="289" w:right="289"/>
      <w:jc w:val="both"/>
    </w:pPr>
    <w:rPr>
      <w:sz w:val="18"/>
    </w:rPr>
  </w:style>
  <w:style w:type="paragraph" w:customStyle="1" w:styleId="Paragraph">
    <w:name w:val="Paragraph"/>
    <w:basedOn w:val="a0"/>
    <w:rsid w:val="005E415C"/>
    <w:pPr>
      <w:ind w:firstLine="284"/>
      <w:jc w:val="both"/>
    </w:pPr>
    <w:rPr>
      <w:sz w:val="20"/>
    </w:rPr>
  </w:style>
  <w:style w:type="character" w:styleId="a5">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6">
    <w:name w:val="Balloon Text"/>
    <w:basedOn w:val="a0"/>
    <w:link w:val="a7"/>
    <w:rsid w:val="00114AB1"/>
    <w:rPr>
      <w:rFonts w:ascii="Tahoma" w:hAnsi="Tahoma" w:cs="Tahoma"/>
      <w:sz w:val="16"/>
      <w:szCs w:val="16"/>
    </w:rPr>
  </w:style>
  <w:style w:type="character" w:customStyle="1" w:styleId="a7">
    <w:name w:val="Текст выноски Знак"/>
    <w:basedOn w:val="a1"/>
    <w:link w:val="a6"/>
    <w:rsid w:val="00114AB1"/>
    <w:rPr>
      <w:rFonts w:ascii="Tahoma" w:hAnsi="Tahoma" w:cs="Tahoma"/>
      <w:sz w:val="16"/>
      <w:szCs w:val="16"/>
      <w:lang w:val="en-US" w:eastAsia="en-US"/>
    </w:rPr>
  </w:style>
  <w:style w:type="character" w:styleId="a8">
    <w:name w:val="Hyperlink"/>
    <w:rPr>
      <w:color w:val="0000FF"/>
      <w:u w:val="single"/>
    </w:rPr>
  </w:style>
  <w:style w:type="table" w:styleId="a9">
    <w:name w:val="Table Grid"/>
    <w:basedOn w:val="a2"/>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a0"/>
    <w:qFormat/>
    <w:rsid w:val="001D469C"/>
    <w:pPr>
      <w:jc w:val="center"/>
    </w:pPr>
    <w:rPr>
      <w:sz w:val="20"/>
    </w:rPr>
  </w:style>
  <w:style w:type="paragraph" w:styleId="aa">
    <w:name w:val="Normal (Web)"/>
    <w:basedOn w:val="a0"/>
    <w:link w:val="ab"/>
    <w:uiPriority w:val="99"/>
    <w:unhideWhenUsed/>
    <w:qFormat/>
    <w:rsid w:val="005F7475"/>
    <w:pPr>
      <w:spacing w:before="100" w:beforeAutospacing="1" w:after="100" w:afterAutospacing="1"/>
    </w:pPr>
    <w:rPr>
      <w:szCs w:val="24"/>
      <w:lang w:val="en-GB" w:eastAsia="en-GB"/>
    </w:rPr>
  </w:style>
  <w:style w:type="character" w:styleId="ac">
    <w:name w:val="Strong"/>
    <w:basedOn w:val="a1"/>
    <w:uiPriority w:val="22"/>
    <w:qFormat/>
    <w:rsid w:val="005F7475"/>
    <w:rPr>
      <w:b/>
      <w:bCs/>
    </w:rPr>
  </w:style>
  <w:style w:type="character" w:styleId="ad">
    <w:name w:val="Emphasis"/>
    <w:basedOn w:val="a1"/>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10">
    <w:name w:val="Неразрешенное упоминание1"/>
    <w:basedOn w:val="a1"/>
    <w:uiPriority w:val="99"/>
    <w:semiHidden/>
    <w:unhideWhenUsed/>
    <w:rsid w:val="00613B4D"/>
    <w:rPr>
      <w:color w:val="808080"/>
      <w:shd w:val="clear" w:color="auto" w:fill="E6E6E6"/>
    </w:rPr>
  </w:style>
  <w:style w:type="paragraph" w:styleId="ae">
    <w:name w:val="List Paragraph"/>
    <w:basedOn w:val="a0"/>
    <w:uiPriority w:val="34"/>
    <w:rsid w:val="006E4474"/>
    <w:pPr>
      <w:ind w:left="720"/>
      <w:contextualSpacing/>
    </w:pPr>
  </w:style>
  <w:style w:type="character" w:styleId="af">
    <w:name w:val="annotation reference"/>
    <w:basedOn w:val="a1"/>
    <w:semiHidden/>
    <w:unhideWhenUsed/>
    <w:rsid w:val="005E71ED"/>
    <w:rPr>
      <w:sz w:val="16"/>
      <w:szCs w:val="16"/>
    </w:rPr>
  </w:style>
  <w:style w:type="paragraph" w:styleId="af0">
    <w:name w:val="annotation text"/>
    <w:basedOn w:val="a0"/>
    <w:link w:val="af1"/>
    <w:semiHidden/>
    <w:unhideWhenUsed/>
    <w:rsid w:val="005E71ED"/>
    <w:rPr>
      <w:sz w:val="20"/>
    </w:rPr>
  </w:style>
  <w:style w:type="character" w:customStyle="1" w:styleId="af1">
    <w:name w:val="Текст примечания Знак"/>
    <w:basedOn w:val="a1"/>
    <w:link w:val="af0"/>
    <w:semiHidden/>
    <w:rsid w:val="005E71ED"/>
    <w:rPr>
      <w:lang w:val="en-US" w:eastAsia="en-US"/>
    </w:rPr>
  </w:style>
  <w:style w:type="paragraph" w:styleId="af2">
    <w:name w:val="annotation subject"/>
    <w:basedOn w:val="af0"/>
    <w:next w:val="af0"/>
    <w:link w:val="af3"/>
    <w:semiHidden/>
    <w:unhideWhenUsed/>
    <w:rsid w:val="005E71ED"/>
    <w:rPr>
      <w:b/>
      <w:bCs/>
    </w:rPr>
  </w:style>
  <w:style w:type="character" w:customStyle="1" w:styleId="af3">
    <w:name w:val="Тема примечания Знак"/>
    <w:basedOn w:val="af1"/>
    <w:link w:val="af2"/>
    <w:semiHidden/>
    <w:rsid w:val="005E71ED"/>
    <w:rPr>
      <w:b/>
      <w:bCs/>
      <w:lang w:val="en-US" w:eastAsia="en-US"/>
    </w:rPr>
  </w:style>
  <w:style w:type="character" w:customStyle="1" w:styleId="ab">
    <w:name w:val="Обычный (веб) Знак"/>
    <w:link w:val="aa"/>
    <w:uiPriority w:val="99"/>
    <w:locked/>
    <w:rsid w:val="00C448F2"/>
    <w:rPr>
      <w:sz w:val="24"/>
      <w:szCs w:val="24"/>
    </w:rPr>
  </w:style>
  <w:style w:type="paragraph" w:customStyle="1" w:styleId="a">
    <w:name w:val="Маркери"/>
    <w:basedOn w:val="ae"/>
    <w:link w:val="af4"/>
    <w:qFormat/>
    <w:rsid w:val="002D33AF"/>
    <w:pPr>
      <w:widowControl w:val="0"/>
      <w:numPr>
        <w:numId w:val="5"/>
      </w:numPr>
      <w:tabs>
        <w:tab w:val="left" w:pos="567"/>
      </w:tabs>
      <w:ind w:left="0" w:firstLine="284"/>
      <w:jc w:val="both"/>
    </w:pPr>
    <w:rPr>
      <w:rFonts w:eastAsia="Calibri"/>
      <w:sz w:val="22"/>
      <w:szCs w:val="22"/>
      <w:lang w:val="uk-UA"/>
    </w:rPr>
  </w:style>
  <w:style w:type="character" w:customStyle="1" w:styleId="af4">
    <w:name w:val="Маркери Знак"/>
    <w:link w:val="a"/>
    <w:rsid w:val="002D33AF"/>
    <w:rPr>
      <w:rFonts w:eastAsia="Calibri"/>
      <w:sz w:val="22"/>
      <w:szCs w:val="22"/>
      <w:lang w:val="uk-UA" w:eastAsia="en-US"/>
    </w:rPr>
  </w:style>
  <w:style w:type="character" w:styleId="af5">
    <w:name w:val="FollowedHyperlink"/>
    <w:basedOn w:val="a1"/>
    <w:semiHidden/>
    <w:unhideWhenUsed/>
    <w:rsid w:val="009519F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292C4D"/>
    <w:rPr>
      <w:sz w:val="24"/>
      <w:lang w:val="en-US" w:eastAsia="en-US"/>
    </w:rPr>
  </w:style>
  <w:style w:type="paragraph" w:styleId="1">
    <w:name w:val="heading 1"/>
    <w:basedOn w:val="a0"/>
    <w:next w:val="Paragraph"/>
    <w:qFormat/>
    <w:pPr>
      <w:keepNext/>
      <w:spacing w:before="240" w:after="240"/>
      <w:jc w:val="center"/>
      <w:outlineLvl w:val="0"/>
    </w:pPr>
    <w:rPr>
      <w:b/>
      <w:caps/>
    </w:rPr>
  </w:style>
  <w:style w:type="paragraph" w:styleId="2">
    <w:name w:val="heading 2"/>
    <w:basedOn w:val="a0"/>
    <w:next w:val="Paragraph"/>
    <w:qFormat/>
    <w:pPr>
      <w:keepNext/>
      <w:spacing w:before="240" w:after="240"/>
      <w:jc w:val="center"/>
      <w:outlineLvl w:val="1"/>
    </w:pPr>
    <w:rPr>
      <w:b/>
    </w:rPr>
  </w:style>
  <w:style w:type="paragraph" w:styleId="3">
    <w:name w:val="heading 3"/>
    <w:basedOn w:val="a0"/>
    <w:next w:val="a0"/>
    <w:qFormat/>
    <w:rsid w:val="005854B0"/>
    <w:pPr>
      <w:keepNext/>
      <w:spacing w:before="240" w:after="240"/>
      <w:jc w:val="center"/>
      <w:outlineLvl w:val="2"/>
    </w:pPr>
    <w:rPr>
      <w:i/>
      <w:iCs/>
      <w:sz w:val="20"/>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semiHidden/>
    <w:rPr>
      <w:sz w:val="16"/>
    </w:rPr>
  </w:style>
  <w:style w:type="paragraph" w:customStyle="1" w:styleId="PaperTitle">
    <w:name w:val="Paper Title"/>
    <w:basedOn w:val="a0"/>
    <w:next w:val="AuthorName"/>
    <w:uiPriority w:val="99"/>
    <w:pPr>
      <w:spacing w:before="1200"/>
      <w:jc w:val="center"/>
    </w:pPr>
    <w:rPr>
      <w:b/>
      <w:sz w:val="36"/>
    </w:rPr>
  </w:style>
  <w:style w:type="paragraph" w:customStyle="1" w:styleId="AuthorName">
    <w:name w:val="Author Name"/>
    <w:basedOn w:val="a0"/>
    <w:next w:val="AuthorAffiliation"/>
    <w:pPr>
      <w:spacing w:before="360" w:after="360"/>
      <w:jc w:val="center"/>
    </w:pPr>
    <w:rPr>
      <w:sz w:val="28"/>
    </w:rPr>
  </w:style>
  <w:style w:type="paragraph" w:customStyle="1" w:styleId="AuthorAffiliation">
    <w:name w:val="Author Affiliation"/>
    <w:basedOn w:val="a0"/>
    <w:uiPriority w:val="99"/>
    <w:pPr>
      <w:jc w:val="center"/>
    </w:pPr>
    <w:rPr>
      <w:i/>
      <w:sz w:val="20"/>
    </w:rPr>
  </w:style>
  <w:style w:type="paragraph" w:customStyle="1" w:styleId="Abstract">
    <w:name w:val="Abstract"/>
    <w:basedOn w:val="a0"/>
    <w:next w:val="1"/>
    <w:rsid w:val="00F20BFC"/>
    <w:pPr>
      <w:spacing w:before="360" w:after="360"/>
      <w:ind w:left="289" w:right="289"/>
      <w:jc w:val="both"/>
    </w:pPr>
    <w:rPr>
      <w:sz w:val="18"/>
    </w:rPr>
  </w:style>
  <w:style w:type="paragraph" w:customStyle="1" w:styleId="Paragraph">
    <w:name w:val="Paragraph"/>
    <w:basedOn w:val="a0"/>
    <w:rsid w:val="005E415C"/>
    <w:pPr>
      <w:ind w:firstLine="284"/>
      <w:jc w:val="both"/>
    </w:pPr>
    <w:rPr>
      <w:sz w:val="20"/>
    </w:rPr>
  </w:style>
  <w:style w:type="character" w:styleId="a5">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6">
    <w:name w:val="Balloon Text"/>
    <w:basedOn w:val="a0"/>
    <w:link w:val="a7"/>
    <w:rsid w:val="00114AB1"/>
    <w:rPr>
      <w:rFonts w:ascii="Tahoma" w:hAnsi="Tahoma" w:cs="Tahoma"/>
      <w:sz w:val="16"/>
      <w:szCs w:val="16"/>
    </w:rPr>
  </w:style>
  <w:style w:type="character" w:customStyle="1" w:styleId="a7">
    <w:name w:val="Текст выноски Знак"/>
    <w:basedOn w:val="a1"/>
    <w:link w:val="a6"/>
    <w:rsid w:val="00114AB1"/>
    <w:rPr>
      <w:rFonts w:ascii="Tahoma" w:hAnsi="Tahoma" w:cs="Tahoma"/>
      <w:sz w:val="16"/>
      <w:szCs w:val="16"/>
      <w:lang w:val="en-US" w:eastAsia="en-US"/>
    </w:rPr>
  </w:style>
  <w:style w:type="character" w:styleId="a8">
    <w:name w:val="Hyperlink"/>
    <w:rPr>
      <w:color w:val="0000FF"/>
      <w:u w:val="single"/>
    </w:rPr>
  </w:style>
  <w:style w:type="table" w:styleId="a9">
    <w:name w:val="Table Grid"/>
    <w:basedOn w:val="a2"/>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a0"/>
    <w:qFormat/>
    <w:rsid w:val="001D469C"/>
    <w:pPr>
      <w:jc w:val="center"/>
    </w:pPr>
    <w:rPr>
      <w:sz w:val="20"/>
    </w:rPr>
  </w:style>
  <w:style w:type="paragraph" w:styleId="aa">
    <w:name w:val="Normal (Web)"/>
    <w:basedOn w:val="a0"/>
    <w:link w:val="ab"/>
    <w:uiPriority w:val="99"/>
    <w:unhideWhenUsed/>
    <w:qFormat/>
    <w:rsid w:val="005F7475"/>
    <w:pPr>
      <w:spacing w:before="100" w:beforeAutospacing="1" w:after="100" w:afterAutospacing="1"/>
    </w:pPr>
    <w:rPr>
      <w:szCs w:val="24"/>
      <w:lang w:val="en-GB" w:eastAsia="en-GB"/>
    </w:rPr>
  </w:style>
  <w:style w:type="character" w:styleId="ac">
    <w:name w:val="Strong"/>
    <w:basedOn w:val="a1"/>
    <w:uiPriority w:val="22"/>
    <w:qFormat/>
    <w:rsid w:val="005F7475"/>
    <w:rPr>
      <w:b/>
      <w:bCs/>
    </w:rPr>
  </w:style>
  <w:style w:type="character" w:styleId="ad">
    <w:name w:val="Emphasis"/>
    <w:basedOn w:val="a1"/>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10">
    <w:name w:val="Неразрешенное упоминание1"/>
    <w:basedOn w:val="a1"/>
    <w:uiPriority w:val="99"/>
    <w:semiHidden/>
    <w:unhideWhenUsed/>
    <w:rsid w:val="00613B4D"/>
    <w:rPr>
      <w:color w:val="808080"/>
      <w:shd w:val="clear" w:color="auto" w:fill="E6E6E6"/>
    </w:rPr>
  </w:style>
  <w:style w:type="paragraph" w:styleId="ae">
    <w:name w:val="List Paragraph"/>
    <w:basedOn w:val="a0"/>
    <w:uiPriority w:val="34"/>
    <w:rsid w:val="006E4474"/>
    <w:pPr>
      <w:ind w:left="720"/>
      <w:contextualSpacing/>
    </w:pPr>
  </w:style>
  <w:style w:type="character" w:styleId="af">
    <w:name w:val="annotation reference"/>
    <w:basedOn w:val="a1"/>
    <w:semiHidden/>
    <w:unhideWhenUsed/>
    <w:rsid w:val="005E71ED"/>
    <w:rPr>
      <w:sz w:val="16"/>
      <w:szCs w:val="16"/>
    </w:rPr>
  </w:style>
  <w:style w:type="paragraph" w:styleId="af0">
    <w:name w:val="annotation text"/>
    <w:basedOn w:val="a0"/>
    <w:link w:val="af1"/>
    <w:semiHidden/>
    <w:unhideWhenUsed/>
    <w:rsid w:val="005E71ED"/>
    <w:rPr>
      <w:sz w:val="20"/>
    </w:rPr>
  </w:style>
  <w:style w:type="character" w:customStyle="1" w:styleId="af1">
    <w:name w:val="Текст примечания Знак"/>
    <w:basedOn w:val="a1"/>
    <w:link w:val="af0"/>
    <w:semiHidden/>
    <w:rsid w:val="005E71ED"/>
    <w:rPr>
      <w:lang w:val="en-US" w:eastAsia="en-US"/>
    </w:rPr>
  </w:style>
  <w:style w:type="paragraph" w:styleId="af2">
    <w:name w:val="annotation subject"/>
    <w:basedOn w:val="af0"/>
    <w:next w:val="af0"/>
    <w:link w:val="af3"/>
    <w:semiHidden/>
    <w:unhideWhenUsed/>
    <w:rsid w:val="005E71ED"/>
    <w:rPr>
      <w:b/>
      <w:bCs/>
    </w:rPr>
  </w:style>
  <w:style w:type="character" w:customStyle="1" w:styleId="af3">
    <w:name w:val="Тема примечания Знак"/>
    <w:basedOn w:val="af1"/>
    <w:link w:val="af2"/>
    <w:semiHidden/>
    <w:rsid w:val="005E71ED"/>
    <w:rPr>
      <w:b/>
      <w:bCs/>
      <w:lang w:val="en-US" w:eastAsia="en-US"/>
    </w:rPr>
  </w:style>
  <w:style w:type="character" w:customStyle="1" w:styleId="ab">
    <w:name w:val="Обычный (веб) Знак"/>
    <w:link w:val="aa"/>
    <w:uiPriority w:val="99"/>
    <w:locked/>
    <w:rsid w:val="00C448F2"/>
    <w:rPr>
      <w:sz w:val="24"/>
      <w:szCs w:val="24"/>
    </w:rPr>
  </w:style>
  <w:style w:type="paragraph" w:customStyle="1" w:styleId="a">
    <w:name w:val="Маркери"/>
    <w:basedOn w:val="ae"/>
    <w:link w:val="af4"/>
    <w:qFormat/>
    <w:rsid w:val="002D33AF"/>
    <w:pPr>
      <w:widowControl w:val="0"/>
      <w:numPr>
        <w:numId w:val="5"/>
      </w:numPr>
      <w:tabs>
        <w:tab w:val="left" w:pos="567"/>
      </w:tabs>
      <w:ind w:left="0" w:firstLine="284"/>
      <w:jc w:val="both"/>
    </w:pPr>
    <w:rPr>
      <w:rFonts w:eastAsia="Calibri"/>
      <w:sz w:val="22"/>
      <w:szCs w:val="22"/>
      <w:lang w:val="uk-UA"/>
    </w:rPr>
  </w:style>
  <w:style w:type="character" w:customStyle="1" w:styleId="af4">
    <w:name w:val="Маркери Знак"/>
    <w:link w:val="a"/>
    <w:rsid w:val="002D33AF"/>
    <w:rPr>
      <w:rFonts w:eastAsia="Calibri"/>
      <w:sz w:val="22"/>
      <w:szCs w:val="22"/>
      <w:lang w:val="uk-UA" w:eastAsia="en-US"/>
    </w:rPr>
  </w:style>
  <w:style w:type="character" w:styleId="af5">
    <w:name w:val="FollowedHyperlink"/>
    <w:basedOn w:val="a1"/>
    <w:semiHidden/>
    <w:unhideWhenUsed/>
    <w:rsid w:val="009519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0193">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1124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hyperlink" Target="https://doi.org/10.1016/j.est.2025.117073" TargetMode="External"/><Relationship Id="rId21" Type="http://schemas.openxmlformats.org/officeDocument/2006/relationships/image" Target="media/image12.wmf"/><Relationship Id="rId34" Type="http://schemas.openxmlformats.org/officeDocument/2006/relationships/hyperlink" Target="https://doi.org/10.1016/j.csite.2025.105815" TargetMode="External"/><Relationship Id="rId42" Type="http://schemas.openxmlformats.org/officeDocument/2006/relationships/hyperlink" Target="https://doi.org/10.1016/j.susmat.2024.e01111" TargetMode="External"/><Relationship Id="rId47" Type="http://schemas.openxmlformats.org/officeDocument/2006/relationships/hyperlink" Target="https://doi.org/10.1016/j.ijft.2022.100212" TargetMode="External"/><Relationship Id="rId50" Type="http://schemas.openxmlformats.org/officeDocument/2006/relationships/hyperlink" Target="https://doi.org/10.3390/en14227779" TargetMode="External"/><Relationship Id="rId55" Type="http://schemas.openxmlformats.org/officeDocument/2006/relationships/hyperlink" Target="https://www.irjet.net/archives/V11/i7/IRJET-V11I7100.pdf" TargetMode="External"/><Relationship Id="rId63" Type="http://schemas.openxmlformats.org/officeDocument/2006/relationships/hyperlink" Target="https://doi.org/10.1016/j.geits.2022.100010" TargetMode="External"/><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doi.org/10.1016/j.nxsust.2024.10003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wmf"/><Relationship Id="rId32" Type="http://schemas.openxmlformats.org/officeDocument/2006/relationships/hyperlink" Target="https://doi.org/10.15282/ijame.14.4.2017.5.0366?utm_source=chatgpt.com" TargetMode="External"/><Relationship Id="rId37" Type="http://schemas.openxmlformats.org/officeDocument/2006/relationships/hyperlink" Target="https://doi.org/10.1016/j.est.2023.109835?utm_source=chatgpt.com" TargetMode="External"/><Relationship Id="rId40" Type="http://schemas.openxmlformats.org/officeDocument/2006/relationships/hyperlink" Target="https://doi.org/10.1016/j.energy.2024.133979" TargetMode="External"/><Relationship Id="rId45" Type="http://schemas.openxmlformats.org/officeDocument/2006/relationships/hyperlink" Target="https://doi.org/10.1117/12.2674115?utm_source=chatgpt.com" TargetMode="External"/><Relationship Id="rId53" Type="http://schemas.openxmlformats.org/officeDocument/2006/relationships/hyperlink" Target="https://doi.org/10.1109/energycon48941.2020.9236606" TargetMode="External"/><Relationship Id="rId58" Type="http://schemas.openxmlformats.org/officeDocument/2006/relationships/hyperlink" Target="https://doi.org/10.1016/j.ijepes.2025.110580" TargetMode="External"/><Relationship Id="rId66" Type="http://schemas.openxmlformats.org/officeDocument/2006/relationships/hyperlink" Target="https://doi.org/10.3390/en15155683"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hyperlink" Target="https://doi.org/10.1016/j.energy.2025.134879?utm_source=chatgpt.com" TargetMode="External"/><Relationship Id="rId36" Type="http://schemas.openxmlformats.org/officeDocument/2006/relationships/hyperlink" Target="https://doi.org/10.1016/j.jpowsour.2019.227444" TargetMode="External"/><Relationship Id="rId49" Type="http://schemas.openxmlformats.org/officeDocument/2006/relationships/hyperlink" Target="https://doi.org/10.1016/j.jallcom.2024.176924?utm_source=chatgpt.com" TargetMode="External"/><Relationship Id="rId57" Type="http://schemas.openxmlformats.org/officeDocument/2006/relationships/hyperlink" Target="https://doi.org/10.5755/e01.2351-7034.2024.P503-506?utm_source=chatgpt.com" TargetMode="External"/><Relationship Id="rId61" Type="http://schemas.openxmlformats.org/officeDocument/2006/relationships/hyperlink" Target="https://www.zvei.org/fileadmin/user_upload/Presse_und_Medien/Publikationen/2014/april/Voltage_Classes_for_Electric_Mobility/Voltage_Classes_for_Electric_Mobility.pdf" TargetMode="External"/><Relationship Id="rId10" Type="http://schemas.openxmlformats.org/officeDocument/2006/relationships/image" Target="media/image1.png"/><Relationship Id="rId19" Type="http://schemas.openxmlformats.org/officeDocument/2006/relationships/image" Target="media/image10.wmf"/><Relationship Id="rId31" Type="http://schemas.openxmlformats.org/officeDocument/2006/relationships/hyperlink" Target="https://doi.org/10.1016/j.est.2022.104938" TargetMode="External"/><Relationship Id="rId44" Type="http://schemas.openxmlformats.org/officeDocument/2006/relationships/hyperlink" Target="https://doi.org/10.1016/j.ijheatmasstransfer.2024.125918" TargetMode="External"/><Relationship Id="rId52" Type="http://schemas.openxmlformats.org/officeDocument/2006/relationships/hyperlink" Target="https://doi.org/10.1109/elnano.2018.8477449" TargetMode="External"/><Relationship Id="rId60" Type="http://schemas.openxmlformats.org/officeDocument/2006/relationships/hyperlink" Target="https://doi.org/10.1038/s41598-023-47123-7" TargetMode="External"/><Relationship Id="rId65" Type="http://schemas.openxmlformats.org/officeDocument/2006/relationships/hyperlink" Target="https://doi.org/10.18178/ijeetc.11.2.88-10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hyperlink" Target="https://doi.org/10.1016/j.commtr.2024.100148" TargetMode="External"/><Relationship Id="rId30" Type="http://schemas.openxmlformats.org/officeDocument/2006/relationships/hyperlink" Target="https://doi.org/10.1016/j.jpowsour.2017.11.040" TargetMode="External"/><Relationship Id="rId35" Type="http://schemas.openxmlformats.org/officeDocument/2006/relationships/hyperlink" Target="https://doi.org/10.1016/j.est.2023.110324" TargetMode="External"/><Relationship Id="rId43" Type="http://schemas.openxmlformats.org/officeDocument/2006/relationships/hyperlink" Target="https://doi.org/10.1016/j.est.2023.107270" TargetMode="External"/><Relationship Id="rId48" Type="http://schemas.openxmlformats.org/officeDocument/2006/relationships/hyperlink" Target="https://doi.org/10.1109/access.2019.2917859" TargetMode="External"/><Relationship Id="rId56" Type="http://schemas.openxmlformats.org/officeDocument/2006/relationships/hyperlink" Target="https://doi.org/10.1016/j.rser.2024.115050" TargetMode="External"/><Relationship Id="rId64" Type="http://schemas.openxmlformats.org/officeDocument/2006/relationships/hyperlink" Target="https://batteryuniversity.com/article/bu-808-how-to-prolong-lithium-based-batteries"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doi.org/10.1016/j.est.2019.01.010"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hyperlink" Target="https://doi.org/10.1016/j.rineng.2024.103598" TargetMode="External"/><Relationship Id="rId38" Type="http://schemas.openxmlformats.org/officeDocument/2006/relationships/hyperlink" Target="https://doi.org/10.1016/j.rineng.2025.103960" TargetMode="External"/><Relationship Id="rId46" Type="http://schemas.openxmlformats.org/officeDocument/2006/relationships/hyperlink" Target="https://doi.org/10.1016/j.jpowsour.2020.228649" TargetMode="External"/><Relationship Id="rId59" Type="http://schemas.openxmlformats.org/officeDocument/2006/relationships/hyperlink" Target="https://doi.org/10.3390/wevj11040063" TargetMode="External"/><Relationship Id="rId67" Type="http://schemas.openxmlformats.org/officeDocument/2006/relationships/hyperlink" Target="https://doi.org/10.3390/wevj15080342" TargetMode="External"/><Relationship Id="rId20" Type="http://schemas.openxmlformats.org/officeDocument/2006/relationships/image" Target="media/image11.wmf"/><Relationship Id="rId41" Type="http://schemas.openxmlformats.org/officeDocument/2006/relationships/hyperlink" Target="https://doi.org/10.1039/D5RA02414E?utm_source=chatgpt.com" TargetMode="External"/><Relationship Id="rId54" Type="http://schemas.openxmlformats.org/officeDocument/2006/relationships/hyperlink" Target="https://doi.org/10.3390/en17174364" TargetMode="External"/><Relationship Id="rId62" Type="http://schemas.openxmlformats.org/officeDocument/2006/relationships/hyperlink" Target="https://assets.wolfspeed.com/uploads/2024/01/Wolfspeed_PRD-08367_EV_Charging_Power_Topologies_Design_Guidebook_Application_Not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F18609-B6F7-443F-8912-9457C575B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327</TotalTime>
  <Pages>13</Pages>
  <Words>7904</Words>
  <Characters>45055</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52854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VolodimyrSSD</cp:lastModifiedBy>
  <cp:revision>33</cp:revision>
  <cp:lastPrinted>2011-03-03T08:29:00Z</cp:lastPrinted>
  <dcterms:created xsi:type="dcterms:W3CDTF">2025-09-15T09:31:00Z</dcterms:created>
  <dcterms:modified xsi:type="dcterms:W3CDTF">2025-11-14T12:18:00Z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