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F6700" w14:textId="5436BB4C" w:rsidR="00A66DBF" w:rsidRPr="00A66A30" w:rsidRDefault="00A66DBF" w:rsidP="00A66DBF">
      <w:pPr>
        <w:widowControl w:val="0"/>
        <w:pBdr>
          <w:top w:val="nil"/>
          <w:left w:val="nil"/>
          <w:bottom w:val="nil"/>
          <w:right w:val="nil"/>
          <w:between w:val="nil"/>
        </w:pBdr>
        <w:spacing w:before="1200"/>
        <w:jc w:val="center"/>
        <w:rPr>
          <w:color w:val="000000"/>
          <w:szCs w:val="24"/>
          <w:lang w:val="en-US"/>
        </w:rPr>
      </w:pPr>
      <w:bookmarkStart w:id="0" w:name="_Hlk175847103"/>
      <w:bookmarkStart w:id="1" w:name="_GoBack"/>
      <w:r w:rsidRPr="00A66A30">
        <w:rPr>
          <w:b/>
          <w:color w:val="000000"/>
          <w:sz w:val="36"/>
          <w:szCs w:val="36"/>
          <w:lang w:val="en-US"/>
        </w:rPr>
        <w:t>Method for Calculating the Mineral Part of Asphalt Concrete Mixture to Obtain Strong Asphalt Concrete</w:t>
      </w:r>
    </w:p>
    <w:bookmarkEnd w:id="0"/>
    <w:p w14:paraId="140F5D32" w14:textId="0BEEB8E7" w:rsidR="00A66DBF" w:rsidRPr="00A66A30" w:rsidRDefault="00A66DBF" w:rsidP="00A66DBF">
      <w:pPr>
        <w:widowControl w:val="0"/>
        <w:pBdr>
          <w:top w:val="nil"/>
          <w:left w:val="nil"/>
          <w:bottom w:val="nil"/>
          <w:right w:val="nil"/>
          <w:between w:val="nil"/>
        </w:pBdr>
        <w:spacing w:before="360" w:after="360"/>
        <w:jc w:val="center"/>
        <w:rPr>
          <w:color w:val="000000"/>
          <w:szCs w:val="28"/>
          <w:lang w:val="en-US"/>
        </w:rPr>
      </w:pPr>
      <w:proofErr w:type="spellStart"/>
      <w:r w:rsidRPr="00A66A30">
        <w:rPr>
          <w:color w:val="000000"/>
          <w:szCs w:val="28"/>
          <w:lang w:val="en-US"/>
        </w:rPr>
        <w:t>Volodymyr</w:t>
      </w:r>
      <w:proofErr w:type="spellEnd"/>
      <w:r w:rsidRPr="00A66A30">
        <w:rPr>
          <w:color w:val="000000"/>
          <w:szCs w:val="28"/>
          <w:lang w:val="en-US"/>
        </w:rPr>
        <w:t xml:space="preserve"> Maliar</w:t>
      </w:r>
      <w:r w:rsidRPr="00A66A30">
        <w:rPr>
          <w:color w:val="000000"/>
          <w:szCs w:val="28"/>
          <w:vertAlign w:val="superscript"/>
          <w:lang w:val="en-US"/>
        </w:rPr>
        <w:t>1</w:t>
      </w:r>
      <w:r w:rsidRPr="00A66A30">
        <w:rPr>
          <w:color w:val="000000"/>
          <w:szCs w:val="28"/>
          <w:lang w:val="en-US"/>
        </w:rPr>
        <w:t xml:space="preserve">, </w:t>
      </w:r>
      <w:proofErr w:type="spellStart"/>
      <w:r w:rsidRPr="00A66A30">
        <w:rPr>
          <w:color w:val="000000"/>
          <w:szCs w:val="28"/>
          <w:lang w:val="en-US"/>
        </w:rPr>
        <w:t>Serhii</w:t>
      </w:r>
      <w:proofErr w:type="spellEnd"/>
      <w:r w:rsidRPr="00A66A30">
        <w:rPr>
          <w:color w:val="000000"/>
          <w:szCs w:val="28"/>
          <w:lang w:val="en-US"/>
        </w:rPr>
        <w:t xml:space="preserve"> Oksak</w:t>
      </w:r>
      <w:r w:rsidRPr="00A66A30">
        <w:rPr>
          <w:color w:val="000000"/>
          <w:szCs w:val="28"/>
          <w:vertAlign w:val="superscript"/>
          <w:lang w:val="en-US"/>
        </w:rPr>
        <w:t>1</w:t>
      </w:r>
      <w:r w:rsidRPr="00A66A30">
        <w:rPr>
          <w:color w:val="000000"/>
          <w:szCs w:val="28"/>
          <w:lang w:val="en-US"/>
        </w:rPr>
        <w:t xml:space="preserve">, </w:t>
      </w:r>
      <w:proofErr w:type="spellStart"/>
      <w:r w:rsidRPr="0015686B">
        <w:rPr>
          <w:szCs w:val="28"/>
          <w:lang w:val="en-US"/>
        </w:rPr>
        <w:t>Iaroslav</w:t>
      </w:r>
      <w:proofErr w:type="spellEnd"/>
      <w:r w:rsidRPr="0015686B">
        <w:rPr>
          <w:szCs w:val="28"/>
          <w:lang w:val="en-US"/>
        </w:rPr>
        <w:t xml:space="preserve"> </w:t>
      </w:r>
      <w:r w:rsidRPr="00A66A30">
        <w:rPr>
          <w:color w:val="000000"/>
          <w:szCs w:val="28"/>
          <w:lang w:val="en-US"/>
        </w:rPr>
        <w:t>Ilin</w:t>
      </w:r>
      <w:r w:rsidRPr="00A66A30">
        <w:rPr>
          <w:color w:val="000000"/>
          <w:szCs w:val="28"/>
          <w:vertAlign w:val="superscript"/>
          <w:lang w:val="en-US"/>
        </w:rPr>
        <w:t>1, a)</w:t>
      </w:r>
    </w:p>
    <w:p w14:paraId="3006EE53" w14:textId="4DA52B27" w:rsidR="00FA207F" w:rsidRPr="00A66A30" w:rsidRDefault="00A66DBF" w:rsidP="002C22A4">
      <w:pPr>
        <w:spacing w:after="0"/>
        <w:jc w:val="center"/>
        <w:rPr>
          <w:i/>
          <w:sz w:val="20"/>
          <w:szCs w:val="24"/>
          <w:lang w:val="en-US"/>
        </w:rPr>
      </w:pPr>
      <w:r w:rsidRPr="00A66A30">
        <w:rPr>
          <w:color w:val="000000"/>
          <w:sz w:val="20"/>
          <w:vertAlign w:val="superscript"/>
          <w:lang w:val="en-US"/>
        </w:rPr>
        <w:t>1</w:t>
      </w:r>
      <w:r w:rsidRPr="00A66A30">
        <w:rPr>
          <w:i/>
          <w:color w:val="000000"/>
          <w:sz w:val="20"/>
          <w:lang w:val="en-US"/>
        </w:rPr>
        <w:t xml:space="preserve">Kharkiv National Automobile and Highway University, </w:t>
      </w:r>
      <w:r w:rsidRPr="00A66A30">
        <w:rPr>
          <w:i/>
          <w:color w:val="000000"/>
          <w:sz w:val="20"/>
          <w:lang w:val="en-US"/>
        </w:rPr>
        <w:br/>
      </w:r>
      <w:r w:rsidR="00FA207F" w:rsidRPr="00A66A30">
        <w:rPr>
          <w:i/>
          <w:sz w:val="20"/>
          <w:szCs w:val="24"/>
          <w:lang w:val="en-US"/>
        </w:rPr>
        <w:t xml:space="preserve">Department of </w:t>
      </w:r>
      <w:r w:rsidR="000D1B0E" w:rsidRPr="00A66A30">
        <w:rPr>
          <w:i/>
          <w:sz w:val="20"/>
          <w:szCs w:val="24"/>
          <w:lang w:val="en-US"/>
        </w:rPr>
        <w:t xml:space="preserve">Technologies of Road Construction Materials Named After </w:t>
      </w:r>
      <w:r w:rsidR="00FA207F" w:rsidRPr="00A66A30">
        <w:rPr>
          <w:i/>
          <w:sz w:val="20"/>
          <w:szCs w:val="24"/>
          <w:lang w:val="en-US"/>
        </w:rPr>
        <w:t xml:space="preserve">M.I. </w:t>
      </w:r>
      <w:proofErr w:type="spellStart"/>
      <w:r w:rsidR="00FA207F" w:rsidRPr="00A66A30">
        <w:rPr>
          <w:i/>
          <w:sz w:val="20"/>
          <w:szCs w:val="24"/>
          <w:lang w:val="en-US"/>
        </w:rPr>
        <w:t>Volkov</w:t>
      </w:r>
      <w:proofErr w:type="spellEnd"/>
      <w:r w:rsidR="00FA207F" w:rsidRPr="00A66A30">
        <w:rPr>
          <w:i/>
          <w:sz w:val="20"/>
          <w:szCs w:val="24"/>
          <w:lang w:val="en-US"/>
        </w:rPr>
        <w:t>,</w:t>
      </w:r>
    </w:p>
    <w:p w14:paraId="6530F951" w14:textId="14F1B967" w:rsidR="002C22A4" w:rsidRPr="00A66A30" w:rsidRDefault="002C22A4" w:rsidP="002C22A4">
      <w:pPr>
        <w:spacing w:after="0"/>
        <w:jc w:val="center"/>
        <w:rPr>
          <w:i/>
          <w:sz w:val="20"/>
          <w:szCs w:val="24"/>
          <w:lang w:val="en-US"/>
        </w:rPr>
      </w:pPr>
      <w:r w:rsidRPr="00A66A30">
        <w:rPr>
          <w:i/>
          <w:sz w:val="20"/>
          <w:szCs w:val="24"/>
          <w:lang w:val="en-US"/>
        </w:rPr>
        <w:t xml:space="preserve">61002 </w:t>
      </w:r>
      <w:proofErr w:type="spellStart"/>
      <w:r w:rsidRPr="00A66A30">
        <w:rPr>
          <w:i/>
          <w:sz w:val="20"/>
          <w:szCs w:val="24"/>
          <w:lang w:val="en-US"/>
        </w:rPr>
        <w:t>Kharkiv</w:t>
      </w:r>
      <w:proofErr w:type="spellEnd"/>
      <w:r w:rsidRPr="00A66A30">
        <w:rPr>
          <w:i/>
          <w:sz w:val="20"/>
          <w:szCs w:val="24"/>
          <w:lang w:val="en-US"/>
        </w:rPr>
        <w:t>, Ukraine</w:t>
      </w:r>
    </w:p>
    <w:p w14:paraId="2C76F3BF" w14:textId="79A85186" w:rsidR="00A66DBF" w:rsidRPr="00A66A30" w:rsidRDefault="00A66DBF" w:rsidP="00A66DBF">
      <w:pPr>
        <w:widowControl w:val="0"/>
        <w:pBdr>
          <w:top w:val="nil"/>
          <w:left w:val="nil"/>
          <w:bottom w:val="nil"/>
          <w:right w:val="nil"/>
          <w:between w:val="nil"/>
        </w:pBdr>
        <w:spacing w:before="360" w:after="360"/>
        <w:jc w:val="center"/>
        <w:rPr>
          <w:i/>
          <w:color w:val="000000"/>
          <w:sz w:val="20"/>
          <w:lang w:val="en-US"/>
        </w:rPr>
      </w:pPr>
      <w:r w:rsidRPr="00A66A30">
        <w:rPr>
          <w:color w:val="000000"/>
          <w:sz w:val="20"/>
          <w:vertAlign w:val="superscript"/>
          <w:lang w:val="en-US"/>
        </w:rPr>
        <w:t>a)</w:t>
      </w:r>
      <w:r w:rsidRPr="00A66A30">
        <w:rPr>
          <w:i/>
          <w:color w:val="000000"/>
          <w:sz w:val="20"/>
          <w:lang w:val="en-US"/>
        </w:rPr>
        <w:t xml:space="preserve"> Corresponding author: </w:t>
      </w:r>
      <w:r w:rsidR="002C22A4" w:rsidRPr="00A66A30">
        <w:rPr>
          <w:i/>
          <w:iCs/>
          <w:sz w:val="20"/>
          <w:szCs w:val="24"/>
          <w:lang w:val="en-US"/>
        </w:rPr>
        <w:t>yailin12011993@gmail.com</w:t>
      </w:r>
    </w:p>
    <w:p w14:paraId="6A71C325" w14:textId="3F7A0FFE" w:rsidR="00A66DBF" w:rsidRPr="00A66A30" w:rsidRDefault="00A66DBF" w:rsidP="00A66DBF">
      <w:pPr>
        <w:widowControl w:val="0"/>
        <w:pBdr>
          <w:top w:val="nil"/>
          <w:left w:val="nil"/>
          <w:bottom w:val="nil"/>
          <w:right w:val="nil"/>
          <w:between w:val="nil"/>
        </w:pBdr>
        <w:spacing w:before="360" w:after="360"/>
        <w:ind w:left="289" w:right="289"/>
        <w:jc w:val="both"/>
        <w:rPr>
          <w:color w:val="000000"/>
          <w:sz w:val="18"/>
          <w:szCs w:val="18"/>
          <w:lang w:val="en-US"/>
        </w:rPr>
      </w:pPr>
      <w:r w:rsidRPr="00A66A30">
        <w:rPr>
          <w:b/>
          <w:color w:val="000000"/>
          <w:sz w:val="18"/>
          <w:szCs w:val="18"/>
          <w:lang w:val="en-US"/>
        </w:rPr>
        <w:t>Abstract.</w:t>
      </w:r>
      <w:r w:rsidRPr="00A66A30">
        <w:rPr>
          <w:color w:val="000000"/>
          <w:sz w:val="18"/>
          <w:szCs w:val="18"/>
          <w:lang w:val="en-US"/>
        </w:rPr>
        <w:t xml:space="preserve"> </w:t>
      </w:r>
      <w:r w:rsidR="002C22A4" w:rsidRPr="00A66A30">
        <w:rPr>
          <w:color w:val="000000"/>
          <w:sz w:val="18"/>
          <w:szCs w:val="18"/>
          <w:lang w:val="en-US"/>
        </w:rPr>
        <w:t xml:space="preserve">The article presents a new method for calculating the mineral composition of asphalt concrete mixtures aimed at improving both strength and density. The approach evaluates all possible combinations of crushed stone, sand, and mineral powder with the help of a computer algorithm based on nested cycles, selecting the option that most closely matches the theoretical dense mixture curve defined by DSTU B.V.2.7-119:2011. By minimizing deviations from the standard curve and maximizing packing density, the method significantly enhances the physical and mechanical properties of asphalt concrete: the average density increases, residual porosity decreases, and compressive strength shows stable growth under different temperature conditions. A key advantage is the automation of calculations, which reduces processing time to less than one second and substantially raises the efficiency of mixture design. Importantly, these improvements are achieved without modifying existing technological processes of mixture preparation and compaction. The method also ensures accurate adjustment of the grain composition when components fall outside standard limits, providing high reproducibility and reliability of results. </w:t>
      </w:r>
    </w:p>
    <w:p w14:paraId="29585DB3" w14:textId="6B7D3404" w:rsidR="00A66DBF" w:rsidRPr="00A66A30" w:rsidRDefault="00A66DBF" w:rsidP="00A66DBF">
      <w:pPr>
        <w:pBdr>
          <w:top w:val="nil"/>
          <w:left w:val="nil"/>
          <w:bottom w:val="nil"/>
          <w:right w:val="nil"/>
          <w:between w:val="nil"/>
        </w:pBdr>
        <w:spacing w:before="360" w:after="360"/>
        <w:ind w:left="289" w:right="289"/>
        <w:jc w:val="both"/>
        <w:rPr>
          <w:color w:val="000000"/>
          <w:sz w:val="18"/>
          <w:szCs w:val="18"/>
          <w:lang w:val="en-US"/>
        </w:rPr>
      </w:pPr>
      <w:r w:rsidRPr="00A66A30">
        <w:rPr>
          <w:b/>
          <w:color w:val="000000"/>
          <w:sz w:val="18"/>
          <w:szCs w:val="18"/>
          <w:lang w:val="en-US"/>
        </w:rPr>
        <w:t>Keywords:</w:t>
      </w:r>
      <w:r w:rsidRPr="00A66A30">
        <w:rPr>
          <w:color w:val="000000"/>
          <w:sz w:val="18"/>
          <w:szCs w:val="18"/>
          <w:lang w:val="en-US"/>
        </w:rPr>
        <w:t xml:space="preserve"> </w:t>
      </w:r>
      <w:r w:rsidR="002C22A4" w:rsidRPr="00A66A30">
        <w:rPr>
          <w:sz w:val="18"/>
          <w:szCs w:val="24"/>
          <w:lang w:val="en-US"/>
        </w:rPr>
        <w:t>mineral composition; asphalt concrete; strength; density; compressive strength; porosity</w:t>
      </w:r>
      <w:r w:rsidR="002C22A4" w:rsidRPr="00A66A30">
        <w:rPr>
          <w:color w:val="000000"/>
          <w:sz w:val="18"/>
          <w:szCs w:val="18"/>
          <w:lang w:val="en-US"/>
        </w:rPr>
        <w:t xml:space="preserve"> </w:t>
      </w:r>
    </w:p>
    <w:p w14:paraId="19BED8DA" w14:textId="77777777" w:rsidR="00F55663" w:rsidRPr="00A66A30" w:rsidRDefault="00F55663" w:rsidP="00F55663">
      <w:pPr>
        <w:widowControl w:val="0"/>
        <w:spacing w:before="240" w:after="240"/>
        <w:jc w:val="center"/>
        <w:outlineLvl w:val="0"/>
        <w:rPr>
          <w:rFonts w:eastAsia="Times New Roman" w:cs="Times New Roman"/>
          <w:caps/>
          <w:kern w:val="0"/>
          <w:sz w:val="20"/>
          <w:szCs w:val="20"/>
          <w:lang w:val="en-US" w:eastAsia="ru-RU"/>
          <w14:ligatures w14:val="none"/>
        </w:rPr>
      </w:pPr>
      <w:r w:rsidRPr="00A66A30">
        <w:rPr>
          <w:rFonts w:eastAsia="Times New Roman" w:cs="Times New Roman"/>
          <w:b/>
          <w:caps/>
          <w:kern w:val="0"/>
          <w:sz w:val="24"/>
          <w:szCs w:val="20"/>
          <w:lang w:val="en-US" w:eastAsia="ru-RU"/>
          <w14:ligatures w14:val="none"/>
        </w:rPr>
        <w:t>Introduction</w:t>
      </w:r>
    </w:p>
    <w:p w14:paraId="18D7F7D1" w14:textId="341906BE" w:rsidR="00C027F0" w:rsidRPr="00A66A30" w:rsidRDefault="00C027F0" w:rsidP="0020483D">
      <w:pPr>
        <w:spacing w:after="0"/>
        <w:ind w:firstLine="284"/>
        <w:jc w:val="both"/>
        <w:rPr>
          <w:sz w:val="20"/>
          <w:lang w:val="en-US"/>
        </w:rPr>
      </w:pPr>
      <w:r w:rsidRPr="00A66A30">
        <w:rPr>
          <w:sz w:val="20"/>
          <w:lang w:val="en-US"/>
        </w:rPr>
        <w:t xml:space="preserve">The selection of the </w:t>
      </w:r>
      <w:proofErr w:type="spellStart"/>
      <w:r w:rsidRPr="00A66A30">
        <w:rPr>
          <w:sz w:val="20"/>
          <w:lang w:val="en-US"/>
        </w:rPr>
        <w:t>granulometric</w:t>
      </w:r>
      <w:proofErr w:type="spellEnd"/>
      <w:r w:rsidRPr="00A66A30">
        <w:rPr>
          <w:sz w:val="20"/>
          <w:lang w:val="en-US"/>
        </w:rPr>
        <w:t xml:space="preserve"> composition of the mineral part of asphalt concrete mixtures remains one of the key tasks of modern road construction, since it is the structure of the mineral skeleton that largely determines the bearing capacity, durability and resistance to climatic and operational factors. Conceptually, the goal of selecting dense mixtures is to ensure the most compact packing of grains of different fractions: large grains form a strength framework, medium and small grains reduce porosity, and mineral powder together with a binder compact the structure at the micro level, reducing water saturation and </w:t>
      </w:r>
      <w:r w:rsidR="00A66A30" w:rsidRPr="00A66A30">
        <w:rPr>
          <w:sz w:val="20"/>
          <w:lang w:val="en-US"/>
        </w:rPr>
        <w:t>optimizing</w:t>
      </w:r>
      <w:r w:rsidRPr="00A66A30">
        <w:rPr>
          <w:sz w:val="20"/>
          <w:lang w:val="en-US"/>
        </w:rPr>
        <w:t xml:space="preserve"> bitumen consumption. The historical foundations of ‘dense’ gradation date back to Fuller and Thompson's laws of proportion [1], which showed the dependence of strength and density on grain size distribution, which led to numerous modifications for asphalt concretes [2].</w:t>
      </w:r>
    </w:p>
    <w:p w14:paraId="6A04D9BE" w14:textId="3F6D9976" w:rsidR="00BA4086" w:rsidRPr="00A66A30" w:rsidRDefault="00C027F0" w:rsidP="0020483D">
      <w:pPr>
        <w:spacing w:after="0"/>
        <w:ind w:firstLine="284"/>
        <w:jc w:val="both"/>
        <w:rPr>
          <w:sz w:val="20"/>
          <w:lang w:val="en-US"/>
        </w:rPr>
      </w:pPr>
      <w:r w:rsidRPr="00A66A30">
        <w:rPr>
          <w:sz w:val="20"/>
          <w:lang w:val="en-US"/>
        </w:rPr>
        <w:t xml:space="preserve">Modern design practice is based on the </w:t>
      </w:r>
      <w:proofErr w:type="spellStart"/>
      <w:r w:rsidRPr="00A66A30">
        <w:rPr>
          <w:sz w:val="20"/>
          <w:lang w:val="en-US"/>
        </w:rPr>
        <w:t>Superpave</w:t>
      </w:r>
      <w:proofErr w:type="spellEnd"/>
      <w:r w:rsidRPr="00A66A30">
        <w:rPr>
          <w:sz w:val="20"/>
          <w:lang w:val="en-US"/>
        </w:rPr>
        <w:t>/AASHTO regulatory approaches and the European EN 13108 series, which specify gradation ranges, void structure criteria (</w:t>
      </w:r>
      <w:proofErr w:type="spellStart"/>
      <w:r w:rsidRPr="00A66A30">
        <w:rPr>
          <w:sz w:val="20"/>
          <w:lang w:val="en-US"/>
        </w:rPr>
        <w:t>Va</w:t>
      </w:r>
      <w:proofErr w:type="spellEnd"/>
      <w:r w:rsidRPr="00A66A30">
        <w:rPr>
          <w:sz w:val="20"/>
          <w:lang w:val="en-US"/>
        </w:rPr>
        <w:t>, VMA, VFA), and restrictions on the content of dust-like particles (dust-to-binder), ensuring the reproducibility of properties and the comparability of laboratory and field test results [3–6]. These documents serve as a framework within which a ‘working’ gradation curve is selected to achieve the required performance characteristics of asphalt concrete.</w:t>
      </w:r>
    </w:p>
    <w:p w14:paraId="428BBF99" w14:textId="77777777" w:rsidR="00C027F0" w:rsidRPr="00A66A30" w:rsidRDefault="00C027F0" w:rsidP="0020483D">
      <w:pPr>
        <w:spacing w:after="0"/>
        <w:ind w:firstLine="284"/>
        <w:jc w:val="both"/>
        <w:rPr>
          <w:sz w:val="20"/>
          <w:lang w:val="en-US"/>
        </w:rPr>
      </w:pPr>
      <w:r w:rsidRPr="00A66A30">
        <w:rPr>
          <w:sz w:val="20"/>
          <w:lang w:val="en-US"/>
        </w:rPr>
        <w:t>Along with standard methods, the Bailey method is widely used in engineering practice as a tool for forming a ‘stone’ skeleton through systematic relationships between key sieve fractions. Recent studies show that adapting this method to local materials increases resistance to rutting and allows for more accurate determination of the optimal binder content, especially when using alternative fillers [7–10].</w:t>
      </w:r>
    </w:p>
    <w:p w14:paraId="34EEF10F" w14:textId="77777777" w:rsidR="00C027F0" w:rsidRPr="00A66A30" w:rsidRDefault="00C027F0" w:rsidP="0020483D">
      <w:pPr>
        <w:spacing w:after="0"/>
        <w:ind w:firstLine="284"/>
        <w:jc w:val="both"/>
        <w:rPr>
          <w:sz w:val="20"/>
          <w:lang w:val="en-US"/>
        </w:rPr>
      </w:pPr>
      <w:r w:rsidRPr="00A66A30">
        <w:rPr>
          <w:sz w:val="20"/>
          <w:lang w:val="en-US"/>
        </w:rPr>
        <w:lastRenderedPageBreak/>
        <w:t xml:space="preserve">In recent years, there has been considerable interest in the development of improved methods for selecting the particle size distribution, which take into account both modern requirements for asphalt concrete (high resistance to rutting, crack resistance at low temperatures, durability under the influence of moisture and salt) [8,9], and the characteristics of local mineral materials [7,10]. This confirms the </w:t>
      </w:r>
      <w:r w:rsidRPr="00A66A30">
        <w:rPr>
          <w:b/>
          <w:sz w:val="20"/>
          <w:lang w:val="en-US"/>
        </w:rPr>
        <w:t>relevance</w:t>
      </w:r>
      <w:r w:rsidRPr="00A66A30">
        <w:rPr>
          <w:sz w:val="20"/>
          <w:lang w:val="en-US"/>
        </w:rPr>
        <w:t xml:space="preserve"> of the search for new methods capable of ensuring more accurate control of the mineral component structure and increasing the efficiency of binder use.</w:t>
      </w:r>
    </w:p>
    <w:p w14:paraId="7F505C1E" w14:textId="6CEC51EE" w:rsidR="00D41741" w:rsidRPr="00A66A30" w:rsidRDefault="00C027F0" w:rsidP="0020483D">
      <w:pPr>
        <w:spacing w:after="0"/>
        <w:ind w:firstLine="284"/>
        <w:jc w:val="both"/>
        <w:rPr>
          <w:sz w:val="20"/>
          <w:lang w:val="en-US"/>
        </w:rPr>
      </w:pPr>
      <w:r w:rsidRPr="00A66A30">
        <w:rPr>
          <w:sz w:val="20"/>
          <w:lang w:val="en-US"/>
        </w:rPr>
        <w:t>Asphalt concrete [11] and its modern varieties [12] are mainly used in the upper layers of non-rigid road pavements. In addition to mechanical stress, this material is affected by the environment. Therefore, it must be strong, dense and water-resistant, and accordingly frost-resistant [13]. Obtaining strong asphalt concrete using standard technology involves the following stages: designing the composition of the asphalt concrete mixture, preparing the mixture at the plant (mixing hot components: crushed stone, sand, mineral powder and bitumen) and compacting it on the road. The quality of the asphalt concrete components and the technological parameters must comply with the applicable regulatory documents. The resulting asphalt concrete must be as dense as possible, as its strength and durability depend on this. The design stage of the asphalt concrete mixture is particularly important, as it is at this stage that the mineral particles, which vary in size and shape, form a dense packing. Bitumen acts as a binding material.</w:t>
      </w:r>
    </w:p>
    <w:p w14:paraId="075A7CA6" w14:textId="77777777" w:rsidR="00C027F0" w:rsidRPr="00A66A30" w:rsidRDefault="00C027F0" w:rsidP="0020483D">
      <w:pPr>
        <w:spacing w:after="0"/>
        <w:ind w:firstLine="284"/>
        <w:jc w:val="both"/>
        <w:rPr>
          <w:sz w:val="20"/>
          <w:lang w:val="en-US"/>
        </w:rPr>
      </w:pPr>
      <w:r w:rsidRPr="00A66A30">
        <w:rPr>
          <w:sz w:val="20"/>
          <w:lang w:val="en-US"/>
        </w:rPr>
        <w:t xml:space="preserve">The design of the mixture includes calculating the composition of the mineral part and determining the amount of bitumen. While the amount of bitumen is usually determined experimentally in laboratory conditions using a standard method [14], the composition of the mineral part is calculated using an analytical method based on the known </w:t>
      </w:r>
      <w:proofErr w:type="spellStart"/>
      <w:r w:rsidRPr="00A66A30">
        <w:rPr>
          <w:sz w:val="20"/>
          <w:lang w:val="en-US"/>
        </w:rPr>
        <w:t>granulometric</w:t>
      </w:r>
      <w:proofErr w:type="spellEnd"/>
      <w:r w:rsidRPr="00A66A30">
        <w:rPr>
          <w:sz w:val="20"/>
          <w:lang w:val="en-US"/>
        </w:rPr>
        <w:t xml:space="preserve"> compositions of mineral materials: crushed stone, artificial and natural sand, and mineral powder [15].</w:t>
      </w:r>
    </w:p>
    <w:p w14:paraId="356CA314" w14:textId="77777777" w:rsidR="00C027F0" w:rsidRPr="00A66A30" w:rsidRDefault="00C027F0" w:rsidP="0020483D">
      <w:pPr>
        <w:spacing w:after="0"/>
        <w:ind w:firstLine="284"/>
        <w:jc w:val="both"/>
        <w:rPr>
          <w:sz w:val="20"/>
          <w:lang w:val="en-US"/>
        </w:rPr>
      </w:pPr>
      <w:r w:rsidRPr="00A66A30">
        <w:rPr>
          <w:sz w:val="20"/>
          <w:lang w:val="en-US"/>
        </w:rPr>
        <w:t>The optimal ratio between the components is established in such a way that the complete passes of the mixture on standard sieves meet the requirements of DSTU B.V.2.7-119:2011. The standard limits for each sieve determine the permissible range of deviations from the values of the theoretical curve of a dense mixture. This theoretical curve is the average line between the standard limits. The mixture of the mineral part of asphalt concrete meets the requirements of DSTU if its indicators are within the established limits. However, it is optimal for the values of complete passes on all sieves to be as close as possible to the average line. Such a mixture of mineral materials will have maximum density.</w:t>
      </w:r>
    </w:p>
    <w:p w14:paraId="23B907A4" w14:textId="77777777" w:rsidR="00C027F0" w:rsidRPr="00A66A30" w:rsidRDefault="00C027F0" w:rsidP="0020483D">
      <w:pPr>
        <w:spacing w:after="0"/>
        <w:ind w:firstLine="284"/>
        <w:jc w:val="both"/>
        <w:rPr>
          <w:sz w:val="20"/>
          <w:lang w:val="en-US"/>
        </w:rPr>
      </w:pPr>
      <w:r w:rsidRPr="00A66A30">
        <w:rPr>
          <w:sz w:val="20"/>
          <w:lang w:val="en-US"/>
        </w:rPr>
        <w:t>The calculation using the existing method is carried out in tabular form, as a rule, in accordance with [15]. The proportion of coarse-grained components (crushed stone) is determined as the ratio of the average value of the total residue established by the standard to the actual total residue on the control sieve. The proportion of mineral powder is calculated as the ratio of the minimum standard total passage on a 0.071 mm sieve to the actual total passage of powder. The proportion of sand is determined as the difference between one (100%) and the sum of the proportions of coarse-grained components and mineral powder.</w:t>
      </w:r>
    </w:p>
    <w:p w14:paraId="6116636D" w14:textId="77777777" w:rsidR="00C027F0" w:rsidRPr="00A66A30" w:rsidRDefault="00C027F0" w:rsidP="0020483D">
      <w:pPr>
        <w:spacing w:after="0"/>
        <w:ind w:firstLine="284"/>
        <w:jc w:val="both"/>
        <w:rPr>
          <w:sz w:val="20"/>
          <w:lang w:val="en-US"/>
        </w:rPr>
      </w:pPr>
      <w:r w:rsidRPr="00A66A30">
        <w:rPr>
          <w:sz w:val="20"/>
          <w:lang w:val="en-US"/>
        </w:rPr>
        <w:t>The existing method has the following disadvantages: firstly, if the crushed stone or other mineral material is unfractionated, it is difficult to select a control sieve, which affects the accuracy of the calculation; secondly, this method does not always provide a satisfactory result. In addition, it requires a significant amount of time for calculations, even when using spreadsheets.</w:t>
      </w:r>
    </w:p>
    <w:p w14:paraId="1D9F8014" w14:textId="77777777" w:rsidR="00862859" w:rsidRPr="00A66A30" w:rsidRDefault="00C027F0" w:rsidP="0020483D">
      <w:pPr>
        <w:spacing w:after="0"/>
        <w:ind w:firstLine="284"/>
        <w:jc w:val="both"/>
        <w:rPr>
          <w:sz w:val="20"/>
          <w:lang w:val="en-US"/>
        </w:rPr>
      </w:pPr>
      <w:r w:rsidRPr="00A66A30">
        <w:rPr>
          <w:sz w:val="20"/>
          <w:lang w:val="en-US"/>
        </w:rPr>
        <w:t xml:space="preserve">Thus, the </w:t>
      </w:r>
      <w:r w:rsidRPr="00A66A30">
        <w:rPr>
          <w:b/>
          <w:i/>
          <w:sz w:val="20"/>
          <w:lang w:val="en-US"/>
        </w:rPr>
        <w:t>problem</w:t>
      </w:r>
      <w:r w:rsidRPr="00A66A30">
        <w:rPr>
          <w:sz w:val="20"/>
          <w:lang w:val="en-US"/>
        </w:rPr>
        <w:t xml:space="preserve"> lies in the insufficient effectiveness of existing methods for determining the composition of the mineral part, which do not always ensure that the mixture corresponds to the theoretical curve of a dense mixture. This necessitates the search for new calculation methods.</w:t>
      </w:r>
    </w:p>
    <w:p w14:paraId="304B359D" w14:textId="19F5AF50" w:rsidR="00940E80" w:rsidRPr="00A66A30" w:rsidRDefault="00862859" w:rsidP="0020483D">
      <w:pPr>
        <w:spacing w:after="0"/>
        <w:ind w:firstLine="284"/>
        <w:jc w:val="both"/>
        <w:rPr>
          <w:sz w:val="20"/>
          <w:lang w:val="en-US"/>
        </w:rPr>
      </w:pPr>
      <w:r w:rsidRPr="00A66A30">
        <w:rPr>
          <w:sz w:val="20"/>
          <w:lang w:val="en-US"/>
        </w:rPr>
        <w:t xml:space="preserve">The proposed method is based on the </w:t>
      </w:r>
      <w:r w:rsidRPr="00A66A30">
        <w:rPr>
          <w:b/>
          <w:i/>
          <w:sz w:val="20"/>
          <w:lang w:val="en-US"/>
        </w:rPr>
        <w:t>purpose</w:t>
      </w:r>
      <w:r w:rsidRPr="00A66A30">
        <w:rPr>
          <w:sz w:val="20"/>
          <w:lang w:val="en-US"/>
        </w:rPr>
        <w:t xml:space="preserve"> of increasing the strength of asphalt concrete due to the higher density of the mineral skeleton by improving the existing method of determining the composition of the mineral part. As a result, the indicators of such a composition should be as close as possible to the values of the theoretical curve of a dense mixture, which corresponds to the average line of the standard.</w:t>
      </w:r>
    </w:p>
    <w:p w14:paraId="577CF141" w14:textId="5C6644BF" w:rsidR="00862859" w:rsidRPr="00A66A30" w:rsidRDefault="00862859" w:rsidP="003A0526">
      <w:pPr>
        <w:spacing w:before="240" w:after="240"/>
        <w:jc w:val="center"/>
        <w:rPr>
          <w:b/>
          <w:sz w:val="24"/>
          <w:lang w:val="en-US"/>
        </w:rPr>
      </w:pPr>
      <w:r w:rsidRPr="00A66A30">
        <w:rPr>
          <w:b/>
          <w:sz w:val="24"/>
          <w:lang w:val="en-US"/>
        </w:rPr>
        <w:t>RESEARCH METHOD</w:t>
      </w:r>
    </w:p>
    <w:p w14:paraId="6DE24F9D" w14:textId="77777777" w:rsidR="00862859" w:rsidRPr="00A66A30" w:rsidRDefault="00862859" w:rsidP="0020483D">
      <w:pPr>
        <w:spacing w:after="0"/>
        <w:ind w:firstLine="284"/>
        <w:jc w:val="both"/>
        <w:rPr>
          <w:sz w:val="20"/>
          <w:lang w:val="en-US"/>
        </w:rPr>
      </w:pPr>
      <w:r w:rsidRPr="00A66A30">
        <w:rPr>
          <w:sz w:val="20"/>
          <w:lang w:val="en-US"/>
        </w:rPr>
        <w:t>The goal is achieved by calculating the composition of the mineral part of asphalt concrete, taking into account the analysis of all possible combinations of components.</w:t>
      </w:r>
    </w:p>
    <w:p w14:paraId="7F79086C" w14:textId="1E151A3F" w:rsidR="001D7197" w:rsidRPr="00A66A30" w:rsidRDefault="00862859" w:rsidP="0020483D">
      <w:pPr>
        <w:spacing w:after="0"/>
        <w:ind w:firstLine="284"/>
        <w:jc w:val="both"/>
        <w:rPr>
          <w:sz w:val="20"/>
          <w:lang w:val="en-US"/>
        </w:rPr>
      </w:pPr>
      <w:r w:rsidRPr="00A66A30">
        <w:rPr>
          <w:sz w:val="20"/>
          <w:lang w:val="en-US"/>
        </w:rPr>
        <w:t>If the calculation gives acceptable options (i.e., all values of the total passes of the mixture on twelve standard sieves are within the standard), the one that meets the condition is selected:</w:t>
      </w:r>
    </w:p>
    <w:p w14:paraId="6F6CDE6B" w14:textId="0D60AB2D" w:rsidR="000D1B0E" w:rsidRPr="00A66A30" w:rsidRDefault="000D1B0E" w:rsidP="000D1B0E">
      <w:pPr>
        <w:pStyle w:val="Equation"/>
      </w:pPr>
      <w:r w:rsidRPr="00A66A30">
        <w:tab/>
      </w:r>
      <w:r w:rsidR="001F649E" w:rsidRPr="00A66A30">
        <w:rPr>
          <w:position w:val="-24"/>
        </w:rPr>
        <w:object w:dxaOrig="1260" w:dyaOrig="580" w14:anchorId="76859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5pt;height:29pt" o:ole="">
            <v:imagedata r:id="rId6" o:title=""/>
          </v:shape>
          <o:OLEObject Type="Embed" ProgID="Equation.DSMT4" ShapeID="_x0000_i1025" DrawAspect="Content" ObjectID="_1826700492" r:id="rId7"/>
        </w:object>
      </w:r>
      <w:r w:rsidRPr="00A66A30">
        <w:tab/>
        <w:t>(1)</w:t>
      </w:r>
    </w:p>
    <w:p w14:paraId="14E919C3" w14:textId="07FD6AFE" w:rsidR="00862859" w:rsidRPr="00A66A30" w:rsidRDefault="00862859" w:rsidP="008E0AFB">
      <w:pPr>
        <w:spacing w:after="0"/>
        <w:jc w:val="both"/>
        <w:rPr>
          <w:sz w:val="20"/>
          <w:lang w:val="en-US"/>
        </w:rPr>
      </w:pPr>
      <w:proofErr w:type="gramStart"/>
      <w:r w:rsidRPr="00A66A30">
        <w:rPr>
          <w:sz w:val="20"/>
          <w:lang w:val="en-US"/>
        </w:rPr>
        <w:t>where</w:t>
      </w:r>
      <w:proofErr w:type="gramEnd"/>
      <w:r w:rsidRPr="00A66A30">
        <w:rPr>
          <w:sz w:val="20"/>
          <w:lang w:val="en-US"/>
        </w:rPr>
        <w:t xml:space="preserve"> </w:t>
      </w:r>
      <w:proofErr w:type="spellStart"/>
      <w:r w:rsidRPr="00A66A30">
        <w:rPr>
          <w:i/>
          <w:sz w:val="20"/>
          <w:lang w:val="en-US"/>
        </w:rPr>
        <w:t>i</w:t>
      </w:r>
      <w:proofErr w:type="spellEnd"/>
      <w:r w:rsidRPr="00A66A30">
        <w:rPr>
          <w:sz w:val="20"/>
          <w:lang w:val="en-US"/>
        </w:rPr>
        <w:t xml:space="preserve"> – is the ordinal number of the sieve, ε – is the deviation from the </w:t>
      </w:r>
      <w:proofErr w:type="spellStart"/>
      <w:r w:rsidRPr="00A66A30">
        <w:rPr>
          <w:sz w:val="20"/>
          <w:lang w:val="en-US"/>
        </w:rPr>
        <w:t>centre</w:t>
      </w:r>
      <w:proofErr w:type="spellEnd"/>
      <w:r w:rsidRPr="00A66A30">
        <w:rPr>
          <w:sz w:val="20"/>
          <w:lang w:val="en-US"/>
        </w:rPr>
        <w:t xml:space="preserve"> line.</w:t>
      </w:r>
    </w:p>
    <w:bookmarkEnd w:id="1"/>
    <w:p w14:paraId="1B16166B" w14:textId="10AEB0AE" w:rsidR="00906E81" w:rsidRPr="00A66A30" w:rsidRDefault="00862859" w:rsidP="0020483D">
      <w:pPr>
        <w:spacing w:after="0"/>
        <w:ind w:firstLine="284"/>
        <w:jc w:val="both"/>
        <w:rPr>
          <w:sz w:val="20"/>
          <w:lang w:val="en-US"/>
        </w:rPr>
      </w:pPr>
      <w:r w:rsidRPr="00A66A30">
        <w:rPr>
          <w:sz w:val="20"/>
          <w:lang w:val="en-US"/>
        </w:rPr>
        <w:lastRenderedPageBreak/>
        <w:t>That is, so that the full passes of the calculated mixture are as close as possible to the average line. The average line is a curve that passes through the average values of the standard limits (Fig. 1).</w:t>
      </w:r>
    </w:p>
    <w:p w14:paraId="37DDEB3C" w14:textId="77777777" w:rsidR="005F4B74" w:rsidRPr="00A66A30" w:rsidRDefault="005F4B74" w:rsidP="0020483D">
      <w:pPr>
        <w:spacing w:after="0"/>
        <w:ind w:firstLine="284"/>
        <w:jc w:val="both"/>
        <w:rPr>
          <w:sz w:val="20"/>
          <w:lang w:val="en-US"/>
        </w:rPr>
      </w:pPr>
    </w:p>
    <w:p w14:paraId="786150F7" w14:textId="5387C96A" w:rsidR="001D7197" w:rsidRPr="00A66A30" w:rsidRDefault="00A60524" w:rsidP="007A62C8">
      <w:pPr>
        <w:spacing w:after="0"/>
        <w:jc w:val="center"/>
        <w:rPr>
          <w:sz w:val="20"/>
          <w:szCs w:val="20"/>
          <w:lang w:val="en-US"/>
        </w:rPr>
      </w:pPr>
      <w:r w:rsidRPr="00A66A30">
        <w:rPr>
          <w:noProof/>
          <w:lang w:eastAsia="ru-RU"/>
        </w:rPr>
        <w:drawing>
          <wp:inline distT="0" distB="0" distL="0" distR="0" wp14:anchorId="1B46BE6D" wp14:editId="243067FE">
            <wp:extent cx="3241964" cy="174866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58195" cy="1757420"/>
                    </a:xfrm>
                    <a:prstGeom prst="rect">
                      <a:avLst/>
                    </a:prstGeom>
                  </pic:spPr>
                </pic:pic>
              </a:graphicData>
            </a:graphic>
          </wp:inline>
        </w:drawing>
      </w:r>
    </w:p>
    <w:p w14:paraId="471C873E" w14:textId="77777777" w:rsidR="005F4B74" w:rsidRPr="00A66A30" w:rsidRDefault="005F4B74" w:rsidP="007A62C8">
      <w:pPr>
        <w:spacing w:after="0"/>
        <w:jc w:val="center"/>
        <w:rPr>
          <w:sz w:val="20"/>
          <w:szCs w:val="20"/>
          <w:lang w:val="en-US"/>
        </w:rPr>
      </w:pPr>
    </w:p>
    <w:p w14:paraId="718294D1" w14:textId="71098554" w:rsidR="001D7197" w:rsidRPr="00A66A30" w:rsidRDefault="004600C3" w:rsidP="007A62C8">
      <w:pPr>
        <w:spacing w:after="0"/>
        <w:jc w:val="center"/>
        <w:rPr>
          <w:sz w:val="18"/>
          <w:szCs w:val="24"/>
          <w:lang w:val="en-US"/>
        </w:rPr>
      </w:pPr>
      <w:proofErr w:type="gramStart"/>
      <w:r w:rsidRPr="00A66A30">
        <w:rPr>
          <w:b/>
          <w:sz w:val="18"/>
          <w:szCs w:val="24"/>
          <w:lang w:val="en-US"/>
        </w:rPr>
        <w:t>FIGURE 1</w:t>
      </w:r>
      <w:r w:rsidR="00AA7A11" w:rsidRPr="00A66A30">
        <w:rPr>
          <w:b/>
          <w:sz w:val="18"/>
          <w:szCs w:val="24"/>
          <w:lang w:val="en-US"/>
        </w:rPr>
        <w:t>.</w:t>
      </w:r>
      <w:proofErr w:type="gramEnd"/>
      <w:r w:rsidR="00A0021C" w:rsidRPr="00A66A30">
        <w:rPr>
          <w:sz w:val="18"/>
          <w:szCs w:val="24"/>
          <w:lang w:val="en-US"/>
        </w:rPr>
        <w:t xml:space="preserve"> Deviations from standard limits</w:t>
      </w:r>
    </w:p>
    <w:p w14:paraId="5C177C2B" w14:textId="77777777" w:rsidR="00A0021C" w:rsidRPr="00A66A30" w:rsidRDefault="00A0021C" w:rsidP="007A62C8">
      <w:pPr>
        <w:spacing w:after="0"/>
        <w:jc w:val="center"/>
        <w:rPr>
          <w:sz w:val="20"/>
          <w:szCs w:val="20"/>
          <w:lang w:val="en-US"/>
        </w:rPr>
      </w:pPr>
    </w:p>
    <w:p w14:paraId="32124572" w14:textId="07F17745" w:rsidR="00BB4DC8" w:rsidRPr="00A66A30" w:rsidRDefault="00862859" w:rsidP="0020483D">
      <w:pPr>
        <w:spacing w:after="0"/>
        <w:ind w:firstLine="284"/>
        <w:jc w:val="both"/>
        <w:rPr>
          <w:sz w:val="20"/>
          <w:lang w:val="en-US"/>
        </w:rPr>
      </w:pPr>
      <w:r w:rsidRPr="00A66A30">
        <w:rPr>
          <w:sz w:val="20"/>
          <w:lang w:val="en-US"/>
        </w:rPr>
        <w:t>If there is no exact option that meets the standard limits, the one that provides the minimum sum of squares of deviations outside the standard is selected, i.e. the following condition is met:</w:t>
      </w:r>
    </w:p>
    <w:p w14:paraId="6D5EA6EA" w14:textId="77777777" w:rsidR="001D2EF2" w:rsidRPr="00A66A30" w:rsidRDefault="001D2EF2" w:rsidP="0020483D">
      <w:pPr>
        <w:spacing w:after="0"/>
        <w:ind w:firstLine="284"/>
        <w:jc w:val="both"/>
        <w:rPr>
          <w:sz w:val="20"/>
          <w:lang w:val="en-US"/>
        </w:rPr>
      </w:pPr>
    </w:p>
    <w:p w14:paraId="24A7C996" w14:textId="5DE015A1" w:rsidR="000D1B0E" w:rsidRPr="00A66A30" w:rsidRDefault="000D1B0E" w:rsidP="000D1B0E">
      <w:pPr>
        <w:pStyle w:val="Equation"/>
      </w:pPr>
      <w:r w:rsidRPr="00A66A30">
        <w:tab/>
      </w:r>
      <w:r w:rsidR="00D330D5" w:rsidRPr="00A66A30">
        <w:rPr>
          <w:position w:val="-24"/>
        </w:rPr>
        <w:object w:dxaOrig="1320" w:dyaOrig="580" w14:anchorId="6501522F">
          <v:shape id="_x0000_i1026" type="#_x0000_t75" style="width:67.7pt;height:29pt" o:ole="">
            <v:imagedata r:id="rId9" o:title=""/>
          </v:shape>
          <o:OLEObject Type="Embed" ProgID="Equation.DSMT4" ShapeID="_x0000_i1026" DrawAspect="Content" ObjectID="_1826700493" r:id="rId10"/>
        </w:object>
      </w:r>
      <w:r w:rsidRPr="00A66A30">
        <w:tab/>
        <w:t>(2)</w:t>
      </w:r>
    </w:p>
    <w:p w14:paraId="6336497B" w14:textId="77777777" w:rsidR="001D2EF2" w:rsidRPr="00A66A30" w:rsidRDefault="001D2EF2" w:rsidP="001D2EF2">
      <w:pPr>
        <w:pStyle w:val="Equation"/>
        <w:jc w:val="left"/>
      </w:pPr>
    </w:p>
    <w:p w14:paraId="6DB2A05C" w14:textId="6717B5A1" w:rsidR="00862859" w:rsidRPr="00A66A30" w:rsidRDefault="00862859" w:rsidP="008E0AFB">
      <w:pPr>
        <w:spacing w:after="0"/>
        <w:jc w:val="both"/>
        <w:rPr>
          <w:sz w:val="20"/>
          <w:lang w:val="en-US"/>
        </w:rPr>
      </w:pPr>
      <w:proofErr w:type="gramStart"/>
      <w:r w:rsidRPr="00A66A30">
        <w:rPr>
          <w:sz w:val="20"/>
          <w:lang w:val="en-US"/>
        </w:rPr>
        <w:t>where</w:t>
      </w:r>
      <w:proofErr w:type="gramEnd"/>
      <w:r w:rsidRPr="00A66A30">
        <w:rPr>
          <w:sz w:val="20"/>
          <w:lang w:val="en-US"/>
        </w:rPr>
        <w:t xml:space="preserve"> ∆ – is the deviation beyond the limits.</w:t>
      </w:r>
    </w:p>
    <w:p w14:paraId="6B5F3E13" w14:textId="77777777" w:rsidR="005B25D1" w:rsidRPr="00A66A30" w:rsidRDefault="005B25D1" w:rsidP="0020483D">
      <w:pPr>
        <w:spacing w:after="0"/>
        <w:ind w:firstLine="284"/>
        <w:jc w:val="both"/>
        <w:rPr>
          <w:sz w:val="20"/>
          <w:lang w:val="en-US"/>
        </w:rPr>
      </w:pPr>
      <w:r w:rsidRPr="00A66A30">
        <w:rPr>
          <w:sz w:val="20"/>
          <w:lang w:val="en-US"/>
        </w:rPr>
        <w:t>In this case, the option closest to the standard limits allows for analysis of changes in the grain composition of a particular component.</w:t>
      </w:r>
    </w:p>
    <w:p w14:paraId="1E0D8DF0" w14:textId="3FDD5FDB" w:rsidR="00183961" w:rsidRPr="00A66A30" w:rsidRDefault="005B25D1" w:rsidP="0020483D">
      <w:pPr>
        <w:spacing w:after="0"/>
        <w:ind w:firstLine="284"/>
        <w:jc w:val="both"/>
        <w:rPr>
          <w:sz w:val="20"/>
          <w:lang w:val="en-US"/>
        </w:rPr>
      </w:pPr>
      <w:r w:rsidRPr="00A66A30">
        <w:rPr>
          <w:sz w:val="20"/>
          <w:lang w:val="en-US"/>
        </w:rPr>
        <w:t>The algorithm for calculating the mineral composition of asphalt concrete using the proposed method is presented in the form of a flowchart in Fig. 2.</w:t>
      </w:r>
    </w:p>
    <w:p w14:paraId="252E1E0D" w14:textId="77777777" w:rsidR="00E34A38" w:rsidRPr="00A66A30" w:rsidRDefault="00E34A38" w:rsidP="007A62C8">
      <w:pPr>
        <w:spacing w:after="0"/>
        <w:ind w:firstLine="709"/>
        <w:jc w:val="both"/>
        <w:rPr>
          <w:color w:val="000000" w:themeColor="text1"/>
          <w:sz w:val="20"/>
          <w:szCs w:val="20"/>
          <w:lang w:val="en-US"/>
        </w:rPr>
      </w:pPr>
    </w:p>
    <w:p w14:paraId="75439423" w14:textId="460A0699" w:rsidR="00E34A38" w:rsidRPr="00A66A30" w:rsidRDefault="00EB0042" w:rsidP="00EB0042">
      <w:pPr>
        <w:spacing w:after="0"/>
        <w:jc w:val="center"/>
        <w:rPr>
          <w:lang w:val="en-US"/>
        </w:rPr>
      </w:pPr>
      <w:r w:rsidRPr="00A66A30">
        <w:rPr>
          <w:noProof/>
          <w:lang w:eastAsia="ru-RU"/>
        </w:rPr>
        <w:drawing>
          <wp:inline distT="0" distB="0" distL="0" distR="0" wp14:anchorId="09ABFCC5" wp14:editId="357078FA">
            <wp:extent cx="4037610" cy="345160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47196" cy="3459800"/>
                    </a:xfrm>
                    <a:prstGeom prst="rect">
                      <a:avLst/>
                    </a:prstGeom>
                  </pic:spPr>
                </pic:pic>
              </a:graphicData>
            </a:graphic>
          </wp:inline>
        </w:drawing>
      </w:r>
    </w:p>
    <w:p w14:paraId="36DDE537" w14:textId="77777777" w:rsidR="001D2EF2" w:rsidRPr="00A66A30" w:rsidRDefault="001D2EF2" w:rsidP="007A62C8">
      <w:pPr>
        <w:spacing w:after="0"/>
        <w:jc w:val="center"/>
        <w:rPr>
          <w:sz w:val="20"/>
          <w:szCs w:val="24"/>
          <w:lang w:val="en-US"/>
        </w:rPr>
      </w:pPr>
    </w:p>
    <w:p w14:paraId="3C97047E" w14:textId="7532D48F" w:rsidR="00E34A38" w:rsidRPr="00A66A30" w:rsidRDefault="00AA7A11" w:rsidP="007A62C8">
      <w:pPr>
        <w:spacing w:after="0"/>
        <w:jc w:val="center"/>
        <w:rPr>
          <w:sz w:val="18"/>
          <w:szCs w:val="18"/>
          <w:lang w:val="en-US"/>
        </w:rPr>
      </w:pPr>
      <w:proofErr w:type="gramStart"/>
      <w:r w:rsidRPr="00A66A30">
        <w:rPr>
          <w:b/>
          <w:sz w:val="18"/>
          <w:szCs w:val="18"/>
          <w:lang w:val="en-US"/>
        </w:rPr>
        <w:t>FIGURE 2</w:t>
      </w:r>
      <w:r w:rsidRPr="00A66A30">
        <w:rPr>
          <w:sz w:val="18"/>
          <w:szCs w:val="18"/>
          <w:lang w:val="en-US"/>
        </w:rPr>
        <w:t>.</w:t>
      </w:r>
      <w:proofErr w:type="gramEnd"/>
      <w:r w:rsidR="00A0021C" w:rsidRPr="00A66A30">
        <w:rPr>
          <w:sz w:val="18"/>
          <w:szCs w:val="18"/>
          <w:lang w:val="en-US"/>
        </w:rPr>
        <w:t xml:space="preserve"> Block-scheme of the program (main elements)</w:t>
      </w:r>
    </w:p>
    <w:p w14:paraId="21B698DD" w14:textId="4B0A2BD7" w:rsidR="00862859" w:rsidRPr="00A66A30" w:rsidRDefault="005B25D1" w:rsidP="003A0526">
      <w:pPr>
        <w:spacing w:after="0"/>
        <w:ind w:firstLine="284"/>
        <w:jc w:val="both"/>
        <w:rPr>
          <w:sz w:val="20"/>
          <w:lang w:val="en-US"/>
        </w:rPr>
      </w:pPr>
      <w:r w:rsidRPr="00A66A30">
        <w:rPr>
          <w:sz w:val="20"/>
          <w:lang w:val="en-US"/>
        </w:rPr>
        <w:lastRenderedPageBreak/>
        <w:t xml:space="preserve">Nested loops are used to search through all possible combinations of components. Next, deviations from standard limits and the average line are </w:t>
      </w:r>
      <w:r w:rsidR="00A66A30" w:rsidRPr="00A66A30">
        <w:rPr>
          <w:sz w:val="20"/>
          <w:lang w:val="en-US"/>
        </w:rPr>
        <w:t>analyzed</w:t>
      </w:r>
      <w:r w:rsidRPr="00A66A30">
        <w:rPr>
          <w:sz w:val="20"/>
          <w:lang w:val="en-US"/>
        </w:rPr>
        <w:t>, followed by the selection of the optimal option. This algorithm is implemented in an application computer program. For modern personal computers, the calculation time is insignificant: for example, for a mixture of four components, it is no more than 1 second.</w:t>
      </w:r>
    </w:p>
    <w:p w14:paraId="470D2E6A" w14:textId="0FBBDD7F" w:rsidR="001402FB" w:rsidRPr="00A66A30" w:rsidRDefault="005B25D1" w:rsidP="003A0526">
      <w:pPr>
        <w:spacing w:before="240" w:after="240"/>
        <w:jc w:val="center"/>
        <w:rPr>
          <w:b/>
          <w:color w:val="000000" w:themeColor="text1"/>
          <w:sz w:val="24"/>
          <w:lang w:val="en-US"/>
        </w:rPr>
      </w:pPr>
      <w:r w:rsidRPr="00A66A30">
        <w:rPr>
          <w:b/>
          <w:color w:val="000000" w:themeColor="text1"/>
          <w:sz w:val="24"/>
          <w:lang w:val="en-US"/>
        </w:rPr>
        <w:t>RESEARCH RESULTS</w:t>
      </w:r>
    </w:p>
    <w:p w14:paraId="5118FF60" w14:textId="77777777" w:rsidR="005B25D1" w:rsidRPr="00A66A30" w:rsidRDefault="005B25D1" w:rsidP="0020483D">
      <w:pPr>
        <w:spacing w:after="0"/>
        <w:ind w:firstLine="284"/>
        <w:jc w:val="both"/>
        <w:rPr>
          <w:color w:val="000000" w:themeColor="text1"/>
          <w:sz w:val="20"/>
          <w:lang w:val="en-US"/>
        </w:rPr>
      </w:pPr>
      <w:proofErr w:type="gramStart"/>
      <w:r w:rsidRPr="00A66A30">
        <w:rPr>
          <w:color w:val="000000" w:themeColor="text1"/>
          <w:sz w:val="20"/>
          <w:lang w:val="en-US"/>
        </w:rPr>
        <w:t>Comparison of the results of existing and proposed methods for calculating the mineral composition of asphalt concrete for obtaining durable asphalt concrete.</w:t>
      </w:r>
      <w:proofErr w:type="gramEnd"/>
    </w:p>
    <w:p w14:paraId="636C84ED" w14:textId="18224474" w:rsidR="00BB4834" w:rsidRPr="00A66A30" w:rsidRDefault="005B25D1" w:rsidP="0020483D">
      <w:pPr>
        <w:spacing w:after="0"/>
        <w:ind w:firstLine="284"/>
        <w:jc w:val="both"/>
        <w:rPr>
          <w:color w:val="000000" w:themeColor="text1"/>
          <w:sz w:val="20"/>
          <w:lang w:val="en-US"/>
        </w:rPr>
      </w:pPr>
      <w:r w:rsidRPr="00A66A30">
        <w:rPr>
          <w:color w:val="000000" w:themeColor="text1"/>
          <w:sz w:val="20"/>
          <w:lang w:val="en-US"/>
        </w:rPr>
        <w:t xml:space="preserve">Table 1 shows an example of calculating the composition of fine-grained dense asphalt concrete type B with continuous </w:t>
      </w:r>
      <w:proofErr w:type="spellStart"/>
      <w:r w:rsidRPr="00A66A30">
        <w:rPr>
          <w:color w:val="000000" w:themeColor="text1"/>
          <w:sz w:val="20"/>
          <w:lang w:val="en-US"/>
        </w:rPr>
        <w:t>granulometry</w:t>
      </w:r>
      <w:proofErr w:type="spellEnd"/>
      <w:r w:rsidRPr="00A66A30">
        <w:rPr>
          <w:color w:val="000000" w:themeColor="text1"/>
          <w:sz w:val="20"/>
          <w:lang w:val="en-US"/>
        </w:rPr>
        <w:t xml:space="preserve"> using the existing method based on the grain composition of crushed stone, sand and mineral powder. The volume fractions of these components in the mixture are respectively: 0.44; 0.45; 0.11. The summary of squares of deviations from the mean line is 48.2. The proposed method provides the following volume fractions of crushed stone, sand and mineral powder: 0.41; 0.47; 0.12. The summary of squares of deviations from the mean line is 18.6, which is 2.5 times less than with the existing method.</w:t>
      </w:r>
    </w:p>
    <w:p w14:paraId="09108A2C" w14:textId="77777777" w:rsidR="007A62C8" w:rsidRPr="00A66A30" w:rsidRDefault="007A62C8" w:rsidP="007A62C8">
      <w:pPr>
        <w:spacing w:after="0"/>
        <w:ind w:firstLine="709"/>
        <w:jc w:val="both"/>
        <w:rPr>
          <w:color w:val="000000" w:themeColor="text1"/>
          <w:sz w:val="20"/>
          <w:lang w:val="en-US"/>
        </w:rPr>
      </w:pPr>
    </w:p>
    <w:p w14:paraId="4A760B7B" w14:textId="1CA6AE26" w:rsidR="003B0548" w:rsidRPr="00A66A30" w:rsidRDefault="00AA7A11" w:rsidP="00885E66">
      <w:pPr>
        <w:spacing w:after="0"/>
        <w:jc w:val="center"/>
        <w:rPr>
          <w:sz w:val="18"/>
          <w:szCs w:val="18"/>
          <w:lang w:val="en-US"/>
        </w:rPr>
      </w:pPr>
      <w:proofErr w:type="gramStart"/>
      <w:r w:rsidRPr="00A66A30">
        <w:rPr>
          <w:b/>
          <w:color w:val="000000"/>
          <w:sz w:val="18"/>
          <w:szCs w:val="18"/>
          <w:lang w:val="en-US"/>
        </w:rPr>
        <w:t>TABLE 1.</w:t>
      </w:r>
      <w:proofErr w:type="gramEnd"/>
      <w:r w:rsidRPr="00A66A30">
        <w:rPr>
          <w:color w:val="000000"/>
          <w:sz w:val="18"/>
          <w:szCs w:val="18"/>
          <w:lang w:val="en-US"/>
        </w:rPr>
        <w:t xml:space="preserve"> </w:t>
      </w:r>
      <w:r w:rsidR="00A0021C" w:rsidRPr="00A66A30">
        <w:rPr>
          <w:color w:val="000000"/>
          <w:sz w:val="18"/>
          <w:szCs w:val="18"/>
          <w:lang w:val="en-US"/>
        </w:rPr>
        <w:t>Calculation of the particle size distribution of asphalt concrete mix using the existing method and the result of calculation using the proposed method</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992"/>
        <w:gridCol w:w="590"/>
        <w:gridCol w:w="564"/>
        <w:gridCol w:w="731"/>
        <w:gridCol w:w="775"/>
        <w:gridCol w:w="733"/>
        <w:gridCol w:w="733"/>
        <w:gridCol w:w="733"/>
        <w:gridCol w:w="733"/>
        <w:gridCol w:w="680"/>
        <w:gridCol w:w="1041"/>
      </w:tblGrid>
      <w:tr w:rsidR="00EE709B" w:rsidRPr="00491BD0" w14:paraId="082A5030" w14:textId="77777777" w:rsidTr="003918A6">
        <w:trPr>
          <w:cantSplit/>
          <w:trHeight w:val="153"/>
          <w:jc w:val="center"/>
        </w:trPr>
        <w:tc>
          <w:tcPr>
            <w:tcW w:w="9718" w:type="dxa"/>
            <w:gridSpan w:val="12"/>
            <w:tcBorders>
              <w:left w:val="nil"/>
              <w:bottom w:val="single" w:sz="4" w:space="0" w:color="auto"/>
              <w:right w:val="nil"/>
            </w:tcBorders>
            <w:noWrap/>
            <w:tcMar>
              <w:top w:w="15" w:type="dxa"/>
              <w:left w:w="15" w:type="dxa"/>
              <w:bottom w:w="0" w:type="dxa"/>
              <w:right w:w="15" w:type="dxa"/>
            </w:tcMar>
            <w:vAlign w:val="bottom"/>
          </w:tcPr>
          <w:p w14:paraId="1078DFB1" w14:textId="2DF7985D" w:rsidR="00EE709B" w:rsidRPr="00A66A30" w:rsidRDefault="00CF74FF" w:rsidP="00217D5A">
            <w:pPr>
              <w:pStyle w:val="21"/>
              <w:spacing w:after="0" w:line="240" w:lineRule="auto"/>
              <w:jc w:val="center"/>
              <w:rPr>
                <w:b/>
                <w:bCs/>
                <w:color w:val="000000"/>
                <w:sz w:val="18"/>
                <w:szCs w:val="18"/>
                <w:lang w:val="en-US"/>
              </w:rPr>
            </w:pPr>
            <w:r w:rsidRPr="00A66A30">
              <w:rPr>
                <w:b/>
                <w:bCs/>
                <w:color w:val="000000"/>
                <w:sz w:val="18"/>
                <w:szCs w:val="18"/>
                <w:lang w:val="en-US"/>
              </w:rPr>
              <w:t>Calculation using the existing method</w:t>
            </w:r>
          </w:p>
        </w:tc>
      </w:tr>
      <w:tr w:rsidR="002766D6" w:rsidRPr="00491BD0" w14:paraId="41E93C9E" w14:textId="78AC3787" w:rsidTr="003918A6">
        <w:trPr>
          <w:cantSplit/>
          <w:trHeight w:val="254"/>
          <w:jc w:val="center"/>
        </w:trPr>
        <w:tc>
          <w:tcPr>
            <w:tcW w:w="1413" w:type="dxa"/>
            <w:vMerge w:val="restart"/>
            <w:tcBorders>
              <w:top w:val="single" w:sz="4" w:space="0" w:color="auto"/>
              <w:left w:val="nil"/>
              <w:bottom w:val="nil"/>
              <w:right w:val="nil"/>
            </w:tcBorders>
            <w:noWrap/>
            <w:tcMar>
              <w:top w:w="15" w:type="dxa"/>
              <w:left w:w="15" w:type="dxa"/>
              <w:bottom w:w="0" w:type="dxa"/>
              <w:right w:w="15" w:type="dxa"/>
            </w:tcMar>
            <w:vAlign w:val="center"/>
          </w:tcPr>
          <w:p w14:paraId="2DA35B88" w14:textId="3AFAEA30" w:rsidR="002766D6" w:rsidRPr="00A66A30" w:rsidRDefault="002766D6" w:rsidP="00186483">
            <w:pPr>
              <w:pStyle w:val="1"/>
              <w:rPr>
                <w:lang w:val="en-US"/>
              </w:rPr>
            </w:pPr>
            <w:r w:rsidRPr="00A66A30">
              <w:rPr>
                <w:lang w:val="en-US"/>
              </w:rPr>
              <w:t>Material</w:t>
            </w:r>
          </w:p>
        </w:tc>
        <w:tc>
          <w:tcPr>
            <w:tcW w:w="992" w:type="dxa"/>
            <w:vMerge w:val="restart"/>
            <w:tcBorders>
              <w:top w:val="single" w:sz="4" w:space="0" w:color="auto"/>
              <w:left w:val="nil"/>
              <w:bottom w:val="nil"/>
              <w:right w:val="nil"/>
            </w:tcBorders>
            <w:tcMar>
              <w:top w:w="15" w:type="dxa"/>
              <w:left w:w="15" w:type="dxa"/>
              <w:bottom w:w="0" w:type="dxa"/>
              <w:right w:w="15" w:type="dxa"/>
            </w:tcMar>
            <w:vAlign w:val="center"/>
          </w:tcPr>
          <w:p w14:paraId="6EFB2ED2" w14:textId="7E123FF2" w:rsidR="002766D6" w:rsidRPr="00A66A30" w:rsidRDefault="002766D6" w:rsidP="00CD6711">
            <w:pPr>
              <w:spacing w:after="0"/>
              <w:jc w:val="center"/>
              <w:rPr>
                <w:rFonts w:cs="Times New Roman"/>
                <w:b/>
                <w:sz w:val="18"/>
                <w:szCs w:val="18"/>
                <w:lang w:val="en-US"/>
              </w:rPr>
            </w:pPr>
            <w:r w:rsidRPr="00A66A30">
              <w:rPr>
                <w:rFonts w:cs="Times New Roman"/>
                <w:b/>
                <w:sz w:val="18"/>
                <w:szCs w:val="18"/>
                <w:lang w:val="en-US"/>
              </w:rPr>
              <w:t>Volume</w:t>
            </w:r>
            <w:r w:rsidR="00247082" w:rsidRPr="00A66A30">
              <w:rPr>
                <w:rFonts w:cs="Times New Roman"/>
                <w:b/>
                <w:sz w:val="18"/>
                <w:szCs w:val="18"/>
                <w:lang w:val="en-US"/>
              </w:rPr>
              <w:t xml:space="preserve"> of the</w:t>
            </w:r>
            <w:r w:rsidRPr="00A66A30">
              <w:rPr>
                <w:rFonts w:cs="Times New Roman"/>
                <w:b/>
                <w:sz w:val="18"/>
                <w:szCs w:val="18"/>
                <w:lang w:val="en-US"/>
              </w:rPr>
              <w:t xml:space="preserve"> fraction in a mixture</w:t>
            </w:r>
          </w:p>
        </w:tc>
        <w:tc>
          <w:tcPr>
            <w:tcW w:w="6272" w:type="dxa"/>
            <w:gridSpan w:val="9"/>
            <w:tcBorders>
              <w:top w:val="single" w:sz="4" w:space="0" w:color="auto"/>
              <w:left w:val="nil"/>
              <w:bottom w:val="nil"/>
              <w:right w:val="nil"/>
            </w:tcBorders>
            <w:vAlign w:val="center"/>
          </w:tcPr>
          <w:p w14:paraId="77017390" w14:textId="77777777" w:rsidR="002766D6" w:rsidRPr="00A66A30" w:rsidRDefault="002766D6" w:rsidP="000D0C85">
            <w:pPr>
              <w:spacing w:after="0"/>
              <w:ind w:left="90"/>
              <w:jc w:val="center"/>
              <w:rPr>
                <w:rFonts w:cs="Times New Roman"/>
                <w:b/>
                <w:sz w:val="18"/>
                <w:szCs w:val="18"/>
                <w:lang w:val="en-US"/>
              </w:rPr>
            </w:pPr>
            <w:r w:rsidRPr="00A66A30">
              <w:rPr>
                <w:rFonts w:cs="Times New Roman"/>
                <w:b/>
                <w:sz w:val="18"/>
                <w:szCs w:val="18"/>
                <w:lang w:val="en-US"/>
              </w:rPr>
              <w:t>Content by mass, % of mineral grains larger than this</w:t>
            </w:r>
          </w:p>
          <w:p w14:paraId="7647F75A" w14:textId="0DBB5D77" w:rsidR="002766D6" w:rsidRPr="00A66A30" w:rsidRDefault="002766D6" w:rsidP="000D0C85">
            <w:pPr>
              <w:spacing w:after="0"/>
              <w:ind w:left="90"/>
              <w:jc w:val="center"/>
              <w:rPr>
                <w:rFonts w:cs="Times New Roman"/>
                <w:b/>
                <w:sz w:val="18"/>
                <w:szCs w:val="18"/>
                <w:lang w:val="en-US"/>
              </w:rPr>
            </w:pPr>
            <w:r w:rsidRPr="00A66A30">
              <w:rPr>
                <w:rFonts w:cs="Times New Roman"/>
                <w:b/>
                <w:sz w:val="18"/>
                <w:szCs w:val="18"/>
                <w:lang w:val="en-US"/>
              </w:rPr>
              <w:t>size, mm (total residue)</w:t>
            </w:r>
          </w:p>
        </w:tc>
        <w:tc>
          <w:tcPr>
            <w:tcW w:w="1041" w:type="dxa"/>
            <w:vMerge w:val="restart"/>
            <w:tcBorders>
              <w:top w:val="single" w:sz="4" w:space="0" w:color="auto"/>
              <w:left w:val="nil"/>
              <w:bottom w:val="nil"/>
              <w:right w:val="nil"/>
            </w:tcBorders>
            <w:vAlign w:val="bottom"/>
          </w:tcPr>
          <w:p w14:paraId="01DB319B" w14:textId="095C43FB" w:rsidR="002766D6" w:rsidRPr="00A66A30" w:rsidRDefault="002766D6" w:rsidP="006C6212">
            <w:pPr>
              <w:spacing w:after="0"/>
              <w:jc w:val="center"/>
              <w:rPr>
                <w:rFonts w:cs="Times New Roman"/>
                <w:b/>
                <w:sz w:val="18"/>
                <w:szCs w:val="18"/>
                <w:lang w:val="en-US"/>
              </w:rPr>
            </w:pPr>
            <w:r w:rsidRPr="00A66A30">
              <w:rPr>
                <w:rFonts w:cs="Times New Roman"/>
                <w:b/>
                <w:sz w:val="18"/>
                <w:szCs w:val="18"/>
                <w:lang w:val="en-US"/>
              </w:rPr>
              <w:t>Summary of squares of deviations Σε</w:t>
            </w:r>
            <w:r w:rsidRPr="00A66A30">
              <w:rPr>
                <w:rFonts w:cs="Times New Roman"/>
                <w:b/>
                <w:sz w:val="18"/>
                <w:szCs w:val="18"/>
                <w:vertAlign w:val="superscript"/>
                <w:lang w:val="en-US"/>
              </w:rPr>
              <w:t>2</w:t>
            </w:r>
          </w:p>
        </w:tc>
      </w:tr>
      <w:tr w:rsidR="002766D6" w:rsidRPr="00A66A30" w14:paraId="1537CC63" w14:textId="77777777" w:rsidTr="003918A6">
        <w:trPr>
          <w:cantSplit/>
          <w:trHeight w:val="223"/>
          <w:jc w:val="center"/>
        </w:trPr>
        <w:tc>
          <w:tcPr>
            <w:tcW w:w="1413" w:type="dxa"/>
            <w:vMerge/>
            <w:tcBorders>
              <w:top w:val="nil"/>
              <w:left w:val="nil"/>
              <w:bottom w:val="single" w:sz="4" w:space="0" w:color="auto"/>
              <w:right w:val="nil"/>
            </w:tcBorders>
            <w:vAlign w:val="center"/>
          </w:tcPr>
          <w:p w14:paraId="2BC75C3B" w14:textId="77777777" w:rsidR="002766D6" w:rsidRPr="00A66A30" w:rsidRDefault="002766D6" w:rsidP="00EE709B">
            <w:pPr>
              <w:spacing w:after="0"/>
              <w:jc w:val="center"/>
              <w:rPr>
                <w:rFonts w:cs="Times New Roman"/>
                <w:b/>
                <w:sz w:val="18"/>
                <w:szCs w:val="18"/>
                <w:lang w:val="en-US"/>
              </w:rPr>
            </w:pPr>
          </w:p>
        </w:tc>
        <w:tc>
          <w:tcPr>
            <w:tcW w:w="992" w:type="dxa"/>
            <w:vMerge/>
            <w:tcBorders>
              <w:top w:val="nil"/>
              <w:left w:val="nil"/>
              <w:bottom w:val="single" w:sz="4" w:space="0" w:color="auto"/>
              <w:right w:val="nil"/>
            </w:tcBorders>
            <w:vAlign w:val="center"/>
          </w:tcPr>
          <w:p w14:paraId="1A2A0D51" w14:textId="77777777" w:rsidR="002766D6" w:rsidRPr="00A66A30" w:rsidRDefault="002766D6" w:rsidP="00EE709B">
            <w:pPr>
              <w:spacing w:after="0"/>
              <w:jc w:val="center"/>
              <w:rPr>
                <w:rFonts w:cs="Times New Roman"/>
                <w:b/>
                <w:sz w:val="18"/>
                <w:szCs w:val="18"/>
                <w:lang w:val="en-US"/>
              </w:rPr>
            </w:pPr>
          </w:p>
        </w:tc>
        <w:tc>
          <w:tcPr>
            <w:tcW w:w="590" w:type="dxa"/>
            <w:tcBorders>
              <w:top w:val="nil"/>
              <w:left w:val="nil"/>
              <w:bottom w:val="single" w:sz="4" w:space="0" w:color="auto"/>
              <w:right w:val="nil"/>
            </w:tcBorders>
            <w:vAlign w:val="center"/>
          </w:tcPr>
          <w:p w14:paraId="5A4D93A6" w14:textId="4A3FBC11" w:rsidR="002766D6" w:rsidRPr="00A66A30" w:rsidRDefault="002766D6" w:rsidP="00EE709B">
            <w:pPr>
              <w:spacing w:after="0"/>
              <w:jc w:val="center"/>
              <w:rPr>
                <w:rFonts w:cs="Times New Roman"/>
                <w:b/>
                <w:sz w:val="18"/>
                <w:szCs w:val="18"/>
                <w:lang w:val="en-US"/>
              </w:rPr>
            </w:pPr>
            <w:r w:rsidRPr="00A66A30">
              <w:rPr>
                <w:rFonts w:cs="Times New Roman"/>
                <w:b/>
                <w:sz w:val="18"/>
                <w:szCs w:val="18"/>
                <w:lang w:val="en-US"/>
              </w:rPr>
              <w:t>15</w:t>
            </w:r>
          </w:p>
        </w:tc>
        <w:tc>
          <w:tcPr>
            <w:tcW w:w="564" w:type="dxa"/>
            <w:tcBorders>
              <w:top w:val="nil"/>
              <w:left w:val="nil"/>
              <w:bottom w:val="single" w:sz="4" w:space="0" w:color="auto"/>
              <w:right w:val="nil"/>
            </w:tcBorders>
            <w:vAlign w:val="center"/>
          </w:tcPr>
          <w:p w14:paraId="6D261C1F" w14:textId="0A1EB53E" w:rsidR="002766D6" w:rsidRPr="00A66A30" w:rsidRDefault="002766D6" w:rsidP="00EE709B">
            <w:pPr>
              <w:spacing w:after="0"/>
              <w:jc w:val="center"/>
              <w:rPr>
                <w:rFonts w:cs="Times New Roman"/>
                <w:b/>
                <w:sz w:val="18"/>
                <w:szCs w:val="18"/>
                <w:lang w:val="en-US"/>
              </w:rPr>
            </w:pPr>
            <w:r w:rsidRPr="00A66A30">
              <w:rPr>
                <w:rFonts w:cs="Times New Roman"/>
                <w:b/>
                <w:sz w:val="18"/>
                <w:szCs w:val="18"/>
                <w:lang w:val="en-US"/>
              </w:rPr>
              <w:t>10</w:t>
            </w:r>
          </w:p>
        </w:tc>
        <w:tc>
          <w:tcPr>
            <w:tcW w:w="731" w:type="dxa"/>
            <w:tcBorders>
              <w:top w:val="nil"/>
              <w:left w:val="nil"/>
              <w:bottom w:val="single" w:sz="4" w:space="0" w:color="auto"/>
              <w:right w:val="nil"/>
            </w:tcBorders>
            <w:vAlign w:val="center"/>
          </w:tcPr>
          <w:p w14:paraId="6A11C2C7" w14:textId="571BAF90" w:rsidR="002766D6" w:rsidRPr="00A66A30" w:rsidRDefault="002766D6" w:rsidP="00EE709B">
            <w:pPr>
              <w:spacing w:after="0"/>
              <w:jc w:val="center"/>
              <w:rPr>
                <w:rFonts w:cs="Times New Roman"/>
                <w:b/>
                <w:sz w:val="18"/>
                <w:szCs w:val="18"/>
                <w:lang w:val="en-US"/>
              </w:rPr>
            </w:pPr>
            <w:r w:rsidRPr="00A66A30">
              <w:rPr>
                <w:rFonts w:cs="Times New Roman"/>
                <w:b/>
                <w:sz w:val="18"/>
                <w:szCs w:val="18"/>
                <w:lang w:val="en-US"/>
              </w:rPr>
              <w:t>5</w:t>
            </w:r>
          </w:p>
        </w:tc>
        <w:tc>
          <w:tcPr>
            <w:tcW w:w="775" w:type="dxa"/>
            <w:tcBorders>
              <w:top w:val="nil"/>
              <w:left w:val="nil"/>
              <w:bottom w:val="single" w:sz="4" w:space="0" w:color="auto"/>
              <w:right w:val="nil"/>
            </w:tcBorders>
            <w:vAlign w:val="center"/>
          </w:tcPr>
          <w:p w14:paraId="466A2D53" w14:textId="46DD7F95" w:rsidR="002766D6" w:rsidRPr="00A66A30" w:rsidRDefault="007C7AEE" w:rsidP="00EE709B">
            <w:pPr>
              <w:spacing w:after="0"/>
              <w:jc w:val="center"/>
              <w:rPr>
                <w:rFonts w:cs="Times New Roman"/>
                <w:b/>
                <w:sz w:val="18"/>
                <w:szCs w:val="18"/>
                <w:lang w:val="en-US"/>
              </w:rPr>
            </w:pPr>
            <w:r w:rsidRPr="00A66A30">
              <w:rPr>
                <w:rFonts w:cs="Times New Roman"/>
                <w:b/>
                <w:sz w:val="18"/>
                <w:szCs w:val="18"/>
                <w:lang w:val="en-US"/>
              </w:rPr>
              <w:t>2.</w:t>
            </w:r>
            <w:r w:rsidR="002766D6" w:rsidRPr="00A66A30">
              <w:rPr>
                <w:rFonts w:cs="Times New Roman"/>
                <w:b/>
                <w:sz w:val="18"/>
                <w:szCs w:val="18"/>
                <w:lang w:val="en-US"/>
              </w:rPr>
              <w:t>5</w:t>
            </w:r>
          </w:p>
        </w:tc>
        <w:tc>
          <w:tcPr>
            <w:tcW w:w="733" w:type="dxa"/>
            <w:tcBorders>
              <w:top w:val="nil"/>
              <w:left w:val="nil"/>
              <w:bottom w:val="single" w:sz="4" w:space="0" w:color="auto"/>
              <w:right w:val="nil"/>
            </w:tcBorders>
            <w:vAlign w:val="center"/>
          </w:tcPr>
          <w:p w14:paraId="7259AB9B" w14:textId="19CC1D5B" w:rsidR="002766D6" w:rsidRPr="00A66A30" w:rsidRDefault="002766D6" w:rsidP="007C7AEE">
            <w:pPr>
              <w:spacing w:after="0"/>
              <w:jc w:val="center"/>
              <w:rPr>
                <w:rFonts w:cs="Times New Roman"/>
                <w:b/>
                <w:sz w:val="18"/>
                <w:szCs w:val="18"/>
                <w:lang w:val="en-US"/>
              </w:rPr>
            </w:pPr>
            <w:r w:rsidRPr="00A66A30">
              <w:rPr>
                <w:rFonts w:cs="Times New Roman"/>
                <w:b/>
                <w:sz w:val="18"/>
                <w:szCs w:val="18"/>
                <w:lang w:val="en-US"/>
              </w:rPr>
              <w:t>1</w:t>
            </w:r>
            <w:r w:rsidR="007C7AEE" w:rsidRPr="00A66A30">
              <w:rPr>
                <w:rFonts w:cs="Times New Roman"/>
                <w:b/>
                <w:sz w:val="18"/>
                <w:szCs w:val="18"/>
                <w:lang w:val="en-US"/>
              </w:rPr>
              <w:t>.</w:t>
            </w:r>
            <w:r w:rsidRPr="00A66A30">
              <w:rPr>
                <w:rFonts w:cs="Times New Roman"/>
                <w:b/>
                <w:sz w:val="18"/>
                <w:szCs w:val="18"/>
                <w:lang w:val="en-US"/>
              </w:rPr>
              <w:t>25</w:t>
            </w:r>
          </w:p>
        </w:tc>
        <w:tc>
          <w:tcPr>
            <w:tcW w:w="733" w:type="dxa"/>
            <w:tcBorders>
              <w:top w:val="nil"/>
              <w:left w:val="nil"/>
              <w:bottom w:val="single" w:sz="4" w:space="0" w:color="auto"/>
              <w:right w:val="nil"/>
            </w:tcBorders>
            <w:vAlign w:val="center"/>
          </w:tcPr>
          <w:p w14:paraId="75194D12" w14:textId="7591F4DD" w:rsidR="002766D6" w:rsidRPr="00A66A30" w:rsidRDefault="002766D6" w:rsidP="007C7AEE">
            <w:pPr>
              <w:spacing w:after="0"/>
              <w:jc w:val="center"/>
              <w:rPr>
                <w:rFonts w:cs="Times New Roman"/>
                <w:b/>
                <w:sz w:val="18"/>
                <w:szCs w:val="18"/>
                <w:lang w:val="en-US"/>
              </w:rPr>
            </w:pPr>
            <w:r w:rsidRPr="00A66A30">
              <w:rPr>
                <w:rFonts w:cs="Times New Roman"/>
                <w:b/>
                <w:sz w:val="18"/>
                <w:szCs w:val="18"/>
                <w:lang w:val="en-US"/>
              </w:rPr>
              <w:t>0</w:t>
            </w:r>
            <w:r w:rsidR="007C7AEE" w:rsidRPr="00A66A30">
              <w:rPr>
                <w:rFonts w:cs="Times New Roman"/>
                <w:b/>
                <w:sz w:val="18"/>
                <w:szCs w:val="18"/>
                <w:lang w:val="en-US"/>
              </w:rPr>
              <w:t>.</w:t>
            </w:r>
            <w:r w:rsidRPr="00A66A30">
              <w:rPr>
                <w:rFonts w:cs="Times New Roman"/>
                <w:b/>
                <w:sz w:val="18"/>
                <w:szCs w:val="18"/>
                <w:lang w:val="en-US"/>
              </w:rPr>
              <w:t>63</w:t>
            </w:r>
          </w:p>
        </w:tc>
        <w:tc>
          <w:tcPr>
            <w:tcW w:w="733" w:type="dxa"/>
            <w:tcBorders>
              <w:top w:val="nil"/>
              <w:left w:val="nil"/>
              <w:bottom w:val="single" w:sz="4" w:space="0" w:color="auto"/>
              <w:right w:val="nil"/>
            </w:tcBorders>
            <w:vAlign w:val="center"/>
          </w:tcPr>
          <w:p w14:paraId="66AE9DCD" w14:textId="70BD7F65" w:rsidR="002766D6" w:rsidRPr="00A66A30" w:rsidRDefault="002766D6" w:rsidP="007C7AEE">
            <w:pPr>
              <w:spacing w:after="0"/>
              <w:jc w:val="center"/>
              <w:rPr>
                <w:rFonts w:cs="Times New Roman"/>
                <w:b/>
                <w:sz w:val="18"/>
                <w:szCs w:val="18"/>
                <w:lang w:val="en-US"/>
              </w:rPr>
            </w:pPr>
            <w:r w:rsidRPr="00A66A30">
              <w:rPr>
                <w:rFonts w:cs="Times New Roman"/>
                <w:b/>
                <w:sz w:val="18"/>
                <w:szCs w:val="18"/>
                <w:lang w:val="en-US"/>
              </w:rPr>
              <w:t>0</w:t>
            </w:r>
            <w:r w:rsidR="007C7AEE" w:rsidRPr="00A66A30">
              <w:rPr>
                <w:rFonts w:cs="Times New Roman"/>
                <w:b/>
                <w:sz w:val="18"/>
                <w:szCs w:val="18"/>
                <w:lang w:val="en-US"/>
              </w:rPr>
              <w:t>.</w:t>
            </w:r>
            <w:r w:rsidRPr="00A66A30">
              <w:rPr>
                <w:rFonts w:cs="Times New Roman"/>
                <w:b/>
                <w:sz w:val="18"/>
                <w:szCs w:val="18"/>
                <w:lang w:val="en-US"/>
              </w:rPr>
              <w:t>315</w:t>
            </w:r>
          </w:p>
        </w:tc>
        <w:tc>
          <w:tcPr>
            <w:tcW w:w="733" w:type="dxa"/>
            <w:tcBorders>
              <w:top w:val="nil"/>
              <w:left w:val="nil"/>
              <w:bottom w:val="single" w:sz="4" w:space="0" w:color="auto"/>
              <w:right w:val="nil"/>
            </w:tcBorders>
            <w:vAlign w:val="center"/>
          </w:tcPr>
          <w:p w14:paraId="53E8C1D3" w14:textId="4C6CC60B" w:rsidR="002766D6" w:rsidRPr="00A66A30" w:rsidRDefault="002766D6" w:rsidP="007C7AEE">
            <w:pPr>
              <w:spacing w:after="0"/>
              <w:jc w:val="center"/>
              <w:rPr>
                <w:rFonts w:cs="Times New Roman"/>
                <w:b/>
                <w:sz w:val="18"/>
                <w:szCs w:val="18"/>
                <w:lang w:val="en-US"/>
              </w:rPr>
            </w:pPr>
            <w:r w:rsidRPr="00A66A30">
              <w:rPr>
                <w:rFonts w:cs="Times New Roman"/>
                <w:b/>
                <w:sz w:val="18"/>
                <w:szCs w:val="18"/>
                <w:lang w:val="en-US"/>
              </w:rPr>
              <w:t>0</w:t>
            </w:r>
            <w:r w:rsidR="007C7AEE" w:rsidRPr="00A66A30">
              <w:rPr>
                <w:rFonts w:cs="Times New Roman"/>
                <w:b/>
                <w:sz w:val="18"/>
                <w:szCs w:val="18"/>
                <w:lang w:val="en-US"/>
              </w:rPr>
              <w:t>.</w:t>
            </w:r>
            <w:r w:rsidRPr="00A66A30">
              <w:rPr>
                <w:rFonts w:cs="Times New Roman"/>
                <w:b/>
                <w:sz w:val="18"/>
                <w:szCs w:val="18"/>
                <w:lang w:val="en-US"/>
              </w:rPr>
              <w:t>14</w:t>
            </w:r>
          </w:p>
        </w:tc>
        <w:tc>
          <w:tcPr>
            <w:tcW w:w="680" w:type="dxa"/>
            <w:tcBorders>
              <w:top w:val="nil"/>
              <w:left w:val="nil"/>
              <w:bottom w:val="single" w:sz="4" w:space="0" w:color="auto"/>
              <w:right w:val="nil"/>
            </w:tcBorders>
            <w:vAlign w:val="center"/>
          </w:tcPr>
          <w:p w14:paraId="23609B43" w14:textId="21140E94" w:rsidR="002766D6" w:rsidRPr="00A66A30" w:rsidRDefault="002766D6" w:rsidP="007C7AEE">
            <w:pPr>
              <w:spacing w:after="0"/>
              <w:jc w:val="center"/>
              <w:rPr>
                <w:rFonts w:cs="Times New Roman"/>
                <w:b/>
                <w:sz w:val="18"/>
                <w:szCs w:val="18"/>
                <w:lang w:val="en-US"/>
              </w:rPr>
            </w:pPr>
            <w:r w:rsidRPr="00A66A30">
              <w:rPr>
                <w:rFonts w:cs="Times New Roman"/>
                <w:b/>
                <w:sz w:val="18"/>
                <w:szCs w:val="18"/>
                <w:lang w:val="en-US"/>
              </w:rPr>
              <w:t>0</w:t>
            </w:r>
            <w:r w:rsidR="007C7AEE" w:rsidRPr="00A66A30">
              <w:rPr>
                <w:rFonts w:cs="Times New Roman"/>
                <w:b/>
                <w:sz w:val="18"/>
                <w:szCs w:val="18"/>
                <w:lang w:val="en-US"/>
              </w:rPr>
              <w:t>.</w:t>
            </w:r>
            <w:r w:rsidRPr="00A66A30">
              <w:rPr>
                <w:rFonts w:cs="Times New Roman"/>
                <w:b/>
                <w:sz w:val="18"/>
                <w:szCs w:val="18"/>
                <w:lang w:val="en-US"/>
              </w:rPr>
              <w:t>071</w:t>
            </w:r>
          </w:p>
        </w:tc>
        <w:tc>
          <w:tcPr>
            <w:tcW w:w="1041" w:type="dxa"/>
            <w:vMerge/>
            <w:tcBorders>
              <w:top w:val="nil"/>
              <w:left w:val="nil"/>
              <w:bottom w:val="single" w:sz="4" w:space="0" w:color="auto"/>
              <w:right w:val="nil"/>
            </w:tcBorders>
            <w:vAlign w:val="center"/>
          </w:tcPr>
          <w:p w14:paraId="4C312A7D" w14:textId="013EAC85" w:rsidR="002766D6" w:rsidRPr="00A66A30" w:rsidRDefault="002766D6" w:rsidP="00EE709B">
            <w:pPr>
              <w:spacing w:after="0"/>
              <w:jc w:val="center"/>
              <w:rPr>
                <w:rFonts w:cs="Times New Roman"/>
                <w:b/>
                <w:bCs/>
                <w:sz w:val="18"/>
                <w:szCs w:val="18"/>
                <w:lang w:val="en-US"/>
              </w:rPr>
            </w:pPr>
          </w:p>
        </w:tc>
      </w:tr>
      <w:tr w:rsidR="00885E66" w:rsidRPr="00A66A30" w14:paraId="03F43B34" w14:textId="77777777" w:rsidTr="003918A6">
        <w:trPr>
          <w:cantSplit/>
          <w:trHeight w:val="48"/>
          <w:jc w:val="center"/>
        </w:trPr>
        <w:tc>
          <w:tcPr>
            <w:tcW w:w="1413" w:type="dxa"/>
            <w:tcBorders>
              <w:left w:val="nil"/>
              <w:bottom w:val="nil"/>
              <w:right w:val="nil"/>
            </w:tcBorders>
            <w:noWrap/>
            <w:tcMar>
              <w:top w:w="15" w:type="dxa"/>
              <w:left w:w="15" w:type="dxa"/>
              <w:bottom w:w="0" w:type="dxa"/>
              <w:right w:w="15" w:type="dxa"/>
            </w:tcMar>
            <w:vAlign w:val="bottom"/>
          </w:tcPr>
          <w:p w14:paraId="18A8B6AD" w14:textId="58F9E76B" w:rsidR="00885E66" w:rsidRPr="00A66A30" w:rsidRDefault="00885E66" w:rsidP="00FF767F">
            <w:pPr>
              <w:spacing w:after="0"/>
              <w:rPr>
                <w:rFonts w:cs="Times New Roman"/>
                <w:sz w:val="20"/>
                <w:szCs w:val="20"/>
                <w:lang w:val="en-US"/>
              </w:rPr>
            </w:pPr>
            <w:r w:rsidRPr="00A66A30">
              <w:rPr>
                <w:rFonts w:cs="Times New Roman"/>
                <w:sz w:val="20"/>
                <w:szCs w:val="20"/>
                <w:lang w:val="en-US"/>
              </w:rPr>
              <w:t>Crushed stone</w:t>
            </w:r>
          </w:p>
        </w:tc>
        <w:tc>
          <w:tcPr>
            <w:tcW w:w="992" w:type="dxa"/>
            <w:vMerge w:val="restart"/>
            <w:tcBorders>
              <w:left w:val="nil"/>
              <w:bottom w:val="nil"/>
              <w:right w:val="nil"/>
            </w:tcBorders>
            <w:noWrap/>
            <w:tcMar>
              <w:top w:w="15" w:type="dxa"/>
              <w:left w:w="15" w:type="dxa"/>
              <w:bottom w:w="0" w:type="dxa"/>
              <w:right w:w="15" w:type="dxa"/>
            </w:tcMar>
            <w:vAlign w:val="bottom"/>
          </w:tcPr>
          <w:p w14:paraId="1B74D3FB" w14:textId="77777777" w:rsidR="00885E66" w:rsidRPr="00A66A30" w:rsidRDefault="00885E66" w:rsidP="00FF767F">
            <w:pPr>
              <w:spacing w:after="0"/>
              <w:jc w:val="center"/>
              <w:rPr>
                <w:rFonts w:cs="Times New Roman"/>
                <w:sz w:val="20"/>
                <w:szCs w:val="20"/>
                <w:lang w:val="en-US"/>
              </w:rPr>
            </w:pPr>
            <w:r w:rsidRPr="00A66A30">
              <w:rPr>
                <w:rFonts w:cs="Times New Roman"/>
                <w:sz w:val="20"/>
                <w:szCs w:val="20"/>
                <w:lang w:val="en-US"/>
              </w:rPr>
              <w:t> </w:t>
            </w:r>
          </w:p>
          <w:p w14:paraId="6BF50272" w14:textId="77777777" w:rsidR="00885E66" w:rsidRPr="00A66A30" w:rsidRDefault="00885E66" w:rsidP="00FF767F">
            <w:pPr>
              <w:spacing w:after="0"/>
              <w:jc w:val="center"/>
              <w:rPr>
                <w:rFonts w:cs="Times New Roman"/>
                <w:sz w:val="20"/>
                <w:szCs w:val="20"/>
                <w:lang w:val="en-US"/>
              </w:rPr>
            </w:pPr>
            <w:r w:rsidRPr="00A66A30">
              <w:rPr>
                <w:rFonts w:cs="Times New Roman"/>
                <w:sz w:val="20"/>
                <w:szCs w:val="20"/>
                <w:lang w:val="en-US"/>
              </w:rPr>
              <w:t> </w:t>
            </w:r>
          </w:p>
          <w:p w14:paraId="316BCD72" w14:textId="77777777" w:rsidR="00885E66" w:rsidRPr="00A66A30" w:rsidRDefault="00885E66" w:rsidP="00FF767F">
            <w:pPr>
              <w:spacing w:after="0"/>
              <w:jc w:val="center"/>
              <w:rPr>
                <w:rFonts w:cs="Times New Roman"/>
                <w:sz w:val="20"/>
                <w:szCs w:val="20"/>
                <w:lang w:val="en-US"/>
              </w:rPr>
            </w:pPr>
            <w:r w:rsidRPr="00A66A30">
              <w:rPr>
                <w:rFonts w:cs="Times New Roman"/>
                <w:sz w:val="20"/>
                <w:szCs w:val="20"/>
                <w:lang w:val="en-US"/>
              </w:rPr>
              <w:t> </w:t>
            </w:r>
          </w:p>
        </w:tc>
        <w:tc>
          <w:tcPr>
            <w:tcW w:w="590" w:type="dxa"/>
            <w:tcBorders>
              <w:left w:val="nil"/>
              <w:bottom w:val="nil"/>
              <w:right w:val="nil"/>
            </w:tcBorders>
            <w:vAlign w:val="center"/>
          </w:tcPr>
          <w:p w14:paraId="0FB555F9" w14:textId="39DF7492" w:rsidR="00885E66" w:rsidRPr="00A66A30" w:rsidRDefault="00885E66" w:rsidP="00FF767F">
            <w:pPr>
              <w:spacing w:after="0"/>
              <w:jc w:val="center"/>
              <w:rPr>
                <w:rFonts w:cs="Times New Roman"/>
                <w:sz w:val="20"/>
                <w:szCs w:val="20"/>
                <w:lang w:val="en-US"/>
              </w:rPr>
            </w:pPr>
            <w:r w:rsidRPr="00A66A30">
              <w:rPr>
                <w:rFonts w:cs="Times New Roman"/>
                <w:sz w:val="20"/>
                <w:szCs w:val="20"/>
                <w:lang w:val="en-US"/>
              </w:rPr>
              <w:t>0</w:t>
            </w:r>
          </w:p>
        </w:tc>
        <w:tc>
          <w:tcPr>
            <w:tcW w:w="564" w:type="dxa"/>
            <w:tcBorders>
              <w:left w:val="nil"/>
              <w:bottom w:val="nil"/>
              <w:right w:val="nil"/>
            </w:tcBorders>
            <w:noWrap/>
            <w:tcMar>
              <w:top w:w="15" w:type="dxa"/>
              <w:left w:w="15" w:type="dxa"/>
              <w:bottom w:w="0" w:type="dxa"/>
              <w:right w:w="15" w:type="dxa"/>
            </w:tcMar>
            <w:vAlign w:val="center"/>
          </w:tcPr>
          <w:p w14:paraId="3AAFF6D7" w14:textId="319FA755" w:rsidR="00885E66" w:rsidRPr="00A66A30" w:rsidRDefault="00885E66" w:rsidP="007C7AEE">
            <w:pPr>
              <w:spacing w:after="0"/>
              <w:jc w:val="center"/>
              <w:rPr>
                <w:rFonts w:cs="Times New Roman"/>
                <w:sz w:val="20"/>
                <w:szCs w:val="20"/>
                <w:lang w:val="en-US"/>
              </w:rPr>
            </w:pPr>
            <w:r w:rsidRPr="00A66A30">
              <w:rPr>
                <w:rFonts w:cs="Times New Roman"/>
                <w:spacing w:val="-20"/>
                <w:sz w:val="20"/>
                <w:szCs w:val="20"/>
                <w:lang w:val="en-US"/>
              </w:rPr>
              <w:t>8</w:t>
            </w:r>
            <w:r w:rsidR="007C7AEE" w:rsidRPr="00A66A30">
              <w:rPr>
                <w:rFonts w:cs="Times New Roman"/>
                <w:spacing w:val="-20"/>
                <w:sz w:val="20"/>
                <w:szCs w:val="20"/>
                <w:lang w:val="en-US"/>
              </w:rPr>
              <w:t>.</w:t>
            </w:r>
            <w:r w:rsidRPr="00A66A30">
              <w:rPr>
                <w:rFonts w:cs="Times New Roman"/>
                <w:spacing w:val="-20"/>
                <w:sz w:val="20"/>
                <w:szCs w:val="20"/>
                <w:lang w:val="en-US"/>
              </w:rPr>
              <w:t>2</w:t>
            </w:r>
          </w:p>
        </w:tc>
        <w:tc>
          <w:tcPr>
            <w:tcW w:w="731" w:type="dxa"/>
            <w:tcBorders>
              <w:left w:val="nil"/>
              <w:bottom w:val="nil"/>
              <w:right w:val="nil"/>
            </w:tcBorders>
            <w:noWrap/>
            <w:tcMar>
              <w:top w:w="15" w:type="dxa"/>
              <w:left w:w="15" w:type="dxa"/>
              <w:bottom w:w="0" w:type="dxa"/>
              <w:right w:w="15" w:type="dxa"/>
            </w:tcMar>
            <w:vAlign w:val="center"/>
          </w:tcPr>
          <w:p w14:paraId="0B9D7797" w14:textId="3C37209C" w:rsidR="00885E66" w:rsidRPr="00A66A30" w:rsidRDefault="00885E66" w:rsidP="007C7AEE">
            <w:pPr>
              <w:spacing w:after="0"/>
              <w:jc w:val="center"/>
              <w:rPr>
                <w:rFonts w:cs="Times New Roman"/>
                <w:spacing w:val="-20"/>
                <w:sz w:val="20"/>
                <w:szCs w:val="20"/>
                <w:lang w:val="en-US"/>
              </w:rPr>
            </w:pPr>
            <w:r w:rsidRPr="00A66A30">
              <w:rPr>
                <w:rFonts w:cs="Times New Roman"/>
                <w:spacing w:val="-20"/>
                <w:sz w:val="20"/>
                <w:szCs w:val="20"/>
                <w:lang w:val="en-US"/>
              </w:rPr>
              <w:t>68</w:t>
            </w:r>
            <w:r w:rsidR="007C7AEE" w:rsidRPr="00A66A30">
              <w:rPr>
                <w:rFonts w:cs="Times New Roman"/>
                <w:spacing w:val="-20"/>
                <w:sz w:val="20"/>
                <w:szCs w:val="20"/>
                <w:lang w:val="en-US"/>
              </w:rPr>
              <w:t>.</w:t>
            </w:r>
            <w:r w:rsidRPr="00A66A30">
              <w:rPr>
                <w:rFonts w:cs="Times New Roman"/>
                <w:spacing w:val="-20"/>
                <w:sz w:val="20"/>
                <w:szCs w:val="20"/>
                <w:lang w:val="en-US"/>
              </w:rPr>
              <w:t>9</w:t>
            </w:r>
          </w:p>
        </w:tc>
        <w:tc>
          <w:tcPr>
            <w:tcW w:w="775" w:type="dxa"/>
            <w:tcBorders>
              <w:left w:val="nil"/>
              <w:bottom w:val="nil"/>
              <w:right w:val="nil"/>
            </w:tcBorders>
            <w:noWrap/>
            <w:tcMar>
              <w:top w:w="15" w:type="dxa"/>
              <w:left w:w="15" w:type="dxa"/>
              <w:bottom w:w="0" w:type="dxa"/>
              <w:right w:w="15" w:type="dxa"/>
            </w:tcMar>
            <w:vAlign w:val="center"/>
          </w:tcPr>
          <w:p w14:paraId="33019B65" w14:textId="2DE4FD3D" w:rsidR="00885E66" w:rsidRPr="00A66A30" w:rsidRDefault="00885E66" w:rsidP="007C7AEE">
            <w:pPr>
              <w:spacing w:after="0"/>
              <w:jc w:val="center"/>
              <w:rPr>
                <w:rFonts w:cs="Times New Roman"/>
                <w:spacing w:val="-20"/>
                <w:sz w:val="20"/>
                <w:szCs w:val="20"/>
                <w:lang w:val="en-US"/>
              </w:rPr>
            </w:pPr>
            <w:r w:rsidRPr="00A66A30">
              <w:rPr>
                <w:rFonts w:cs="Times New Roman"/>
                <w:spacing w:val="-20"/>
                <w:sz w:val="20"/>
                <w:szCs w:val="20"/>
                <w:lang w:val="en-US"/>
              </w:rPr>
              <w:t>99</w:t>
            </w:r>
            <w:r w:rsidR="007C7AEE" w:rsidRPr="00A66A30">
              <w:rPr>
                <w:rFonts w:cs="Times New Roman"/>
                <w:spacing w:val="-20"/>
                <w:sz w:val="20"/>
                <w:szCs w:val="20"/>
                <w:lang w:val="en-US"/>
              </w:rPr>
              <w:t>.</w:t>
            </w:r>
            <w:r w:rsidRPr="00A66A30">
              <w:rPr>
                <w:rFonts w:cs="Times New Roman"/>
                <w:spacing w:val="-20"/>
                <w:sz w:val="20"/>
                <w:szCs w:val="20"/>
                <w:lang w:val="en-US"/>
              </w:rPr>
              <w:t>0</w:t>
            </w:r>
          </w:p>
        </w:tc>
        <w:tc>
          <w:tcPr>
            <w:tcW w:w="733" w:type="dxa"/>
            <w:tcBorders>
              <w:left w:val="nil"/>
              <w:bottom w:val="nil"/>
              <w:right w:val="nil"/>
            </w:tcBorders>
            <w:noWrap/>
            <w:tcMar>
              <w:top w:w="15" w:type="dxa"/>
              <w:left w:w="15" w:type="dxa"/>
              <w:bottom w:w="0" w:type="dxa"/>
              <w:right w:w="15" w:type="dxa"/>
            </w:tcMar>
            <w:vAlign w:val="center"/>
          </w:tcPr>
          <w:p w14:paraId="5FB34CBA" w14:textId="2D3E5DAD" w:rsidR="00885E66" w:rsidRPr="00A66A30" w:rsidRDefault="00885E66" w:rsidP="007C7AEE">
            <w:pPr>
              <w:spacing w:after="0"/>
              <w:jc w:val="center"/>
              <w:rPr>
                <w:rFonts w:cs="Times New Roman"/>
                <w:spacing w:val="-20"/>
                <w:sz w:val="20"/>
                <w:szCs w:val="20"/>
                <w:lang w:val="en-US"/>
              </w:rPr>
            </w:pPr>
            <w:r w:rsidRPr="00A66A30">
              <w:rPr>
                <w:rFonts w:cs="Times New Roman"/>
                <w:spacing w:val="-20"/>
                <w:sz w:val="20"/>
                <w:szCs w:val="20"/>
                <w:lang w:val="en-US"/>
              </w:rPr>
              <w:t>99</w:t>
            </w:r>
            <w:r w:rsidR="007C7AEE" w:rsidRPr="00A66A30">
              <w:rPr>
                <w:rFonts w:cs="Times New Roman"/>
                <w:spacing w:val="-20"/>
                <w:sz w:val="20"/>
                <w:szCs w:val="20"/>
                <w:lang w:val="en-US"/>
              </w:rPr>
              <w:t>.</w:t>
            </w:r>
            <w:r w:rsidRPr="00A66A30">
              <w:rPr>
                <w:rFonts w:cs="Times New Roman"/>
                <w:spacing w:val="-20"/>
                <w:sz w:val="20"/>
                <w:szCs w:val="20"/>
                <w:lang w:val="en-US"/>
              </w:rPr>
              <w:t>7</w:t>
            </w:r>
          </w:p>
        </w:tc>
        <w:tc>
          <w:tcPr>
            <w:tcW w:w="733" w:type="dxa"/>
            <w:tcBorders>
              <w:left w:val="nil"/>
              <w:bottom w:val="nil"/>
              <w:right w:val="nil"/>
            </w:tcBorders>
            <w:noWrap/>
            <w:tcMar>
              <w:top w:w="15" w:type="dxa"/>
              <w:left w:w="15" w:type="dxa"/>
              <w:bottom w:w="0" w:type="dxa"/>
              <w:right w:w="15" w:type="dxa"/>
            </w:tcMar>
          </w:tcPr>
          <w:p w14:paraId="7C937001" w14:textId="2067024F" w:rsidR="00885E66" w:rsidRPr="00A66A30" w:rsidRDefault="007C7AEE" w:rsidP="00FF767F">
            <w:pPr>
              <w:spacing w:after="0"/>
              <w:jc w:val="center"/>
              <w:rPr>
                <w:rFonts w:cs="Times New Roman"/>
                <w:spacing w:val="-20"/>
                <w:sz w:val="20"/>
                <w:szCs w:val="20"/>
                <w:lang w:val="en-US"/>
              </w:rPr>
            </w:pPr>
            <w:r w:rsidRPr="00A66A30">
              <w:rPr>
                <w:rFonts w:cs="Times New Roman"/>
                <w:spacing w:val="-20"/>
                <w:sz w:val="20"/>
                <w:szCs w:val="20"/>
                <w:lang w:val="en-US"/>
              </w:rPr>
              <w:t>99.</w:t>
            </w:r>
            <w:r w:rsidR="00885E66" w:rsidRPr="00A66A30">
              <w:rPr>
                <w:rFonts w:cs="Times New Roman"/>
                <w:spacing w:val="-20"/>
                <w:sz w:val="20"/>
                <w:szCs w:val="20"/>
                <w:lang w:val="en-US"/>
              </w:rPr>
              <w:t>7</w:t>
            </w:r>
          </w:p>
        </w:tc>
        <w:tc>
          <w:tcPr>
            <w:tcW w:w="733" w:type="dxa"/>
            <w:tcBorders>
              <w:left w:val="nil"/>
              <w:bottom w:val="nil"/>
              <w:right w:val="nil"/>
            </w:tcBorders>
            <w:noWrap/>
            <w:tcMar>
              <w:top w:w="15" w:type="dxa"/>
              <w:left w:w="15" w:type="dxa"/>
              <w:bottom w:w="0" w:type="dxa"/>
              <w:right w:w="15" w:type="dxa"/>
            </w:tcMar>
          </w:tcPr>
          <w:p w14:paraId="3F3CE0E8" w14:textId="217343FA" w:rsidR="00885E66" w:rsidRPr="00A66A30" w:rsidRDefault="007C7AEE" w:rsidP="00FF767F">
            <w:pPr>
              <w:spacing w:after="0"/>
              <w:jc w:val="center"/>
              <w:rPr>
                <w:rFonts w:cs="Times New Roman"/>
                <w:sz w:val="20"/>
                <w:szCs w:val="20"/>
                <w:lang w:val="en-US"/>
              </w:rPr>
            </w:pPr>
            <w:r w:rsidRPr="00A66A30">
              <w:rPr>
                <w:rFonts w:cs="Times New Roman"/>
                <w:spacing w:val="-20"/>
                <w:sz w:val="20"/>
                <w:szCs w:val="20"/>
                <w:lang w:val="en-US"/>
              </w:rPr>
              <w:t>99.</w:t>
            </w:r>
            <w:r w:rsidR="00885E66" w:rsidRPr="00A66A30">
              <w:rPr>
                <w:rFonts w:cs="Times New Roman"/>
                <w:spacing w:val="-20"/>
                <w:sz w:val="20"/>
                <w:szCs w:val="20"/>
                <w:lang w:val="en-US"/>
              </w:rPr>
              <w:t>7</w:t>
            </w:r>
          </w:p>
        </w:tc>
        <w:tc>
          <w:tcPr>
            <w:tcW w:w="733" w:type="dxa"/>
            <w:tcBorders>
              <w:left w:val="nil"/>
              <w:bottom w:val="nil"/>
              <w:right w:val="nil"/>
            </w:tcBorders>
            <w:noWrap/>
            <w:tcMar>
              <w:top w:w="15" w:type="dxa"/>
              <w:left w:w="15" w:type="dxa"/>
              <w:bottom w:w="0" w:type="dxa"/>
              <w:right w:w="15" w:type="dxa"/>
            </w:tcMar>
          </w:tcPr>
          <w:p w14:paraId="1D8CF894" w14:textId="51FBF2BF" w:rsidR="00885E66" w:rsidRPr="00A66A30" w:rsidRDefault="007C7AEE" w:rsidP="00FF767F">
            <w:pPr>
              <w:spacing w:after="0"/>
              <w:jc w:val="center"/>
              <w:rPr>
                <w:rFonts w:cs="Times New Roman"/>
                <w:sz w:val="20"/>
                <w:szCs w:val="20"/>
                <w:lang w:val="en-US"/>
              </w:rPr>
            </w:pPr>
            <w:r w:rsidRPr="00A66A30">
              <w:rPr>
                <w:rFonts w:cs="Times New Roman"/>
                <w:spacing w:val="-20"/>
                <w:sz w:val="20"/>
                <w:szCs w:val="20"/>
                <w:lang w:val="en-US"/>
              </w:rPr>
              <w:t>99.</w:t>
            </w:r>
            <w:r w:rsidR="00885E66" w:rsidRPr="00A66A30">
              <w:rPr>
                <w:rFonts w:cs="Times New Roman"/>
                <w:spacing w:val="-20"/>
                <w:sz w:val="20"/>
                <w:szCs w:val="20"/>
                <w:lang w:val="en-US"/>
              </w:rPr>
              <w:t>7</w:t>
            </w:r>
          </w:p>
        </w:tc>
        <w:tc>
          <w:tcPr>
            <w:tcW w:w="680" w:type="dxa"/>
            <w:tcBorders>
              <w:left w:val="nil"/>
              <w:bottom w:val="nil"/>
              <w:right w:val="nil"/>
            </w:tcBorders>
            <w:noWrap/>
            <w:tcMar>
              <w:top w:w="15" w:type="dxa"/>
              <w:left w:w="15" w:type="dxa"/>
              <w:bottom w:w="0" w:type="dxa"/>
              <w:right w:w="15" w:type="dxa"/>
            </w:tcMar>
          </w:tcPr>
          <w:p w14:paraId="44290681" w14:textId="5A4F15E5" w:rsidR="00885E66" w:rsidRPr="00A66A30" w:rsidRDefault="00885E66" w:rsidP="00FF767F">
            <w:pPr>
              <w:spacing w:after="0"/>
              <w:jc w:val="center"/>
              <w:rPr>
                <w:rFonts w:cs="Times New Roman"/>
                <w:sz w:val="20"/>
                <w:szCs w:val="20"/>
                <w:lang w:val="en-US"/>
              </w:rPr>
            </w:pPr>
            <w:r w:rsidRPr="00A66A30">
              <w:rPr>
                <w:rFonts w:cs="Times New Roman"/>
                <w:sz w:val="20"/>
                <w:szCs w:val="20"/>
                <w:lang w:val="en-US"/>
              </w:rPr>
              <w:t>100</w:t>
            </w:r>
          </w:p>
        </w:tc>
        <w:tc>
          <w:tcPr>
            <w:tcW w:w="1041" w:type="dxa"/>
            <w:vMerge w:val="restart"/>
            <w:tcBorders>
              <w:left w:val="nil"/>
              <w:bottom w:val="nil"/>
              <w:right w:val="nil"/>
            </w:tcBorders>
            <w:noWrap/>
            <w:tcMar>
              <w:top w:w="15" w:type="dxa"/>
              <w:left w:w="15" w:type="dxa"/>
              <w:bottom w:w="0" w:type="dxa"/>
              <w:right w:w="15" w:type="dxa"/>
            </w:tcMar>
            <w:vAlign w:val="center"/>
          </w:tcPr>
          <w:p w14:paraId="74EB5A4D" w14:textId="60141679" w:rsidR="00885E66" w:rsidRPr="00A66A30" w:rsidRDefault="00885E66" w:rsidP="007C7AEE">
            <w:pPr>
              <w:spacing w:after="0"/>
              <w:jc w:val="center"/>
              <w:rPr>
                <w:rFonts w:cs="Times New Roman"/>
                <w:sz w:val="18"/>
                <w:szCs w:val="18"/>
                <w:lang w:val="en-US"/>
              </w:rPr>
            </w:pPr>
            <w:r w:rsidRPr="00A66A30">
              <w:rPr>
                <w:rFonts w:cs="Times New Roman"/>
                <w:bCs/>
                <w:sz w:val="20"/>
                <w:szCs w:val="18"/>
                <w:lang w:val="en-US"/>
              </w:rPr>
              <w:t>48</w:t>
            </w:r>
            <w:r w:rsidR="007C7AEE" w:rsidRPr="00A66A30">
              <w:rPr>
                <w:rFonts w:cs="Times New Roman"/>
                <w:bCs/>
                <w:sz w:val="20"/>
                <w:szCs w:val="18"/>
                <w:lang w:val="en-US"/>
              </w:rPr>
              <w:t>.</w:t>
            </w:r>
            <w:r w:rsidRPr="00A66A30">
              <w:rPr>
                <w:rFonts w:cs="Times New Roman"/>
                <w:bCs/>
                <w:sz w:val="20"/>
                <w:szCs w:val="18"/>
                <w:lang w:val="en-US"/>
              </w:rPr>
              <w:t>2</w:t>
            </w:r>
          </w:p>
        </w:tc>
      </w:tr>
      <w:tr w:rsidR="00885E66" w:rsidRPr="00A66A30" w14:paraId="6F5D3717" w14:textId="77777777" w:rsidTr="003918A6">
        <w:trPr>
          <w:cantSplit/>
          <w:trHeight w:val="58"/>
          <w:jc w:val="center"/>
        </w:trPr>
        <w:tc>
          <w:tcPr>
            <w:tcW w:w="1413" w:type="dxa"/>
            <w:tcBorders>
              <w:top w:val="nil"/>
              <w:left w:val="nil"/>
              <w:bottom w:val="nil"/>
              <w:right w:val="nil"/>
            </w:tcBorders>
            <w:noWrap/>
            <w:tcMar>
              <w:top w:w="15" w:type="dxa"/>
              <w:left w:w="15" w:type="dxa"/>
              <w:bottom w:w="0" w:type="dxa"/>
              <w:right w:w="15" w:type="dxa"/>
            </w:tcMar>
            <w:vAlign w:val="bottom"/>
          </w:tcPr>
          <w:p w14:paraId="4B8FFDDA" w14:textId="1508A3B5" w:rsidR="00885E66" w:rsidRPr="00A66A30" w:rsidRDefault="00885E66" w:rsidP="00FF767F">
            <w:pPr>
              <w:spacing w:after="0"/>
              <w:rPr>
                <w:rFonts w:cs="Times New Roman"/>
                <w:sz w:val="20"/>
                <w:szCs w:val="20"/>
                <w:lang w:val="en-US"/>
              </w:rPr>
            </w:pPr>
            <w:r w:rsidRPr="00A66A30">
              <w:rPr>
                <w:rFonts w:cs="Times New Roman"/>
                <w:sz w:val="20"/>
                <w:szCs w:val="20"/>
                <w:lang w:val="en-US"/>
              </w:rPr>
              <w:t>Sand</w:t>
            </w:r>
          </w:p>
        </w:tc>
        <w:tc>
          <w:tcPr>
            <w:tcW w:w="992" w:type="dxa"/>
            <w:vMerge/>
            <w:tcBorders>
              <w:top w:val="nil"/>
              <w:left w:val="nil"/>
              <w:bottom w:val="nil"/>
              <w:right w:val="nil"/>
            </w:tcBorders>
            <w:noWrap/>
            <w:tcMar>
              <w:top w:w="15" w:type="dxa"/>
              <w:left w:w="15" w:type="dxa"/>
              <w:bottom w:w="0" w:type="dxa"/>
              <w:right w:w="15" w:type="dxa"/>
            </w:tcMar>
            <w:vAlign w:val="bottom"/>
          </w:tcPr>
          <w:p w14:paraId="6E0A645E" w14:textId="77777777" w:rsidR="00885E66" w:rsidRPr="00A66A30" w:rsidRDefault="00885E66" w:rsidP="00FF767F">
            <w:pPr>
              <w:spacing w:after="0"/>
              <w:jc w:val="center"/>
              <w:rPr>
                <w:rFonts w:cs="Times New Roman"/>
                <w:sz w:val="20"/>
                <w:szCs w:val="20"/>
                <w:lang w:val="en-US"/>
              </w:rPr>
            </w:pPr>
          </w:p>
        </w:tc>
        <w:tc>
          <w:tcPr>
            <w:tcW w:w="590" w:type="dxa"/>
            <w:tcBorders>
              <w:top w:val="nil"/>
              <w:left w:val="nil"/>
              <w:bottom w:val="nil"/>
              <w:right w:val="nil"/>
            </w:tcBorders>
            <w:vAlign w:val="bottom"/>
          </w:tcPr>
          <w:p w14:paraId="1FB951A0" w14:textId="3A5C9AEC"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564" w:type="dxa"/>
            <w:tcBorders>
              <w:top w:val="nil"/>
              <w:left w:val="nil"/>
              <w:bottom w:val="nil"/>
              <w:right w:val="nil"/>
            </w:tcBorders>
            <w:noWrap/>
            <w:tcMar>
              <w:top w:w="15" w:type="dxa"/>
              <w:left w:w="15" w:type="dxa"/>
              <w:bottom w:w="0" w:type="dxa"/>
              <w:right w:w="15" w:type="dxa"/>
            </w:tcMar>
            <w:vAlign w:val="bottom"/>
          </w:tcPr>
          <w:p w14:paraId="237D3B1F" w14:textId="0DB0199E"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731" w:type="dxa"/>
            <w:tcBorders>
              <w:top w:val="nil"/>
              <w:left w:val="nil"/>
              <w:bottom w:val="nil"/>
              <w:right w:val="nil"/>
            </w:tcBorders>
            <w:noWrap/>
            <w:tcMar>
              <w:top w:w="15" w:type="dxa"/>
              <w:left w:w="15" w:type="dxa"/>
              <w:bottom w:w="0" w:type="dxa"/>
              <w:right w:w="15" w:type="dxa"/>
            </w:tcMar>
            <w:vAlign w:val="bottom"/>
          </w:tcPr>
          <w:p w14:paraId="1651DF7E" w14:textId="37D3799F"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775" w:type="dxa"/>
            <w:tcBorders>
              <w:top w:val="nil"/>
              <w:left w:val="nil"/>
              <w:bottom w:val="nil"/>
              <w:right w:val="nil"/>
            </w:tcBorders>
            <w:noWrap/>
            <w:tcMar>
              <w:top w:w="15" w:type="dxa"/>
              <w:left w:w="15" w:type="dxa"/>
              <w:bottom w:w="0" w:type="dxa"/>
              <w:right w:w="15" w:type="dxa"/>
            </w:tcMar>
            <w:vAlign w:val="bottom"/>
          </w:tcPr>
          <w:p w14:paraId="5DF7A656" w14:textId="0F8B6599" w:rsidR="00885E66" w:rsidRPr="00A66A30" w:rsidRDefault="00885E66" w:rsidP="007C7AEE">
            <w:pPr>
              <w:spacing w:after="0"/>
              <w:jc w:val="center"/>
              <w:rPr>
                <w:rFonts w:cs="Times New Roman"/>
                <w:spacing w:val="-20"/>
                <w:sz w:val="20"/>
                <w:szCs w:val="20"/>
                <w:lang w:val="en-US"/>
              </w:rPr>
            </w:pPr>
            <w:r w:rsidRPr="00A66A30">
              <w:rPr>
                <w:rFonts w:cs="Times New Roman"/>
                <w:spacing w:val="-20"/>
                <w:sz w:val="20"/>
                <w:szCs w:val="20"/>
                <w:lang w:val="en-US"/>
              </w:rPr>
              <w:t>9</w:t>
            </w:r>
            <w:r w:rsidR="007C7AEE" w:rsidRPr="00A66A30">
              <w:rPr>
                <w:rFonts w:cs="Times New Roman"/>
                <w:spacing w:val="-20"/>
                <w:sz w:val="20"/>
                <w:szCs w:val="20"/>
                <w:lang w:val="en-US"/>
              </w:rPr>
              <w:t>.</w:t>
            </w:r>
            <w:r w:rsidRPr="00A66A30">
              <w:rPr>
                <w:rFonts w:cs="Times New Roman"/>
                <w:spacing w:val="-20"/>
                <w:sz w:val="20"/>
                <w:szCs w:val="20"/>
                <w:lang w:val="en-US"/>
              </w:rPr>
              <w:t>6</w:t>
            </w:r>
          </w:p>
        </w:tc>
        <w:tc>
          <w:tcPr>
            <w:tcW w:w="733" w:type="dxa"/>
            <w:tcBorders>
              <w:top w:val="nil"/>
              <w:left w:val="nil"/>
              <w:bottom w:val="nil"/>
              <w:right w:val="nil"/>
            </w:tcBorders>
            <w:noWrap/>
            <w:tcMar>
              <w:top w:w="15" w:type="dxa"/>
              <w:left w:w="15" w:type="dxa"/>
              <w:bottom w:w="0" w:type="dxa"/>
              <w:right w:w="15" w:type="dxa"/>
            </w:tcMar>
            <w:vAlign w:val="bottom"/>
          </w:tcPr>
          <w:p w14:paraId="00B5089D" w14:textId="1FC3D2CF" w:rsidR="00885E66" w:rsidRPr="00A66A30" w:rsidRDefault="007C7AEE" w:rsidP="00FF767F">
            <w:pPr>
              <w:spacing w:after="0"/>
              <w:jc w:val="center"/>
              <w:rPr>
                <w:rFonts w:cs="Times New Roman"/>
                <w:spacing w:val="-20"/>
                <w:sz w:val="20"/>
                <w:szCs w:val="20"/>
                <w:lang w:val="en-US"/>
              </w:rPr>
            </w:pPr>
            <w:r w:rsidRPr="00A66A30">
              <w:rPr>
                <w:rFonts w:cs="Times New Roman"/>
                <w:spacing w:val="-20"/>
                <w:sz w:val="20"/>
                <w:szCs w:val="20"/>
                <w:lang w:val="en-US"/>
              </w:rPr>
              <w:t>28.</w:t>
            </w:r>
            <w:r w:rsidR="00885E66" w:rsidRPr="00A66A30">
              <w:rPr>
                <w:rFonts w:cs="Times New Roman"/>
                <w:spacing w:val="-20"/>
                <w:sz w:val="20"/>
                <w:szCs w:val="20"/>
                <w:lang w:val="en-US"/>
              </w:rPr>
              <w:t>4</w:t>
            </w:r>
          </w:p>
        </w:tc>
        <w:tc>
          <w:tcPr>
            <w:tcW w:w="733" w:type="dxa"/>
            <w:tcBorders>
              <w:top w:val="nil"/>
              <w:left w:val="nil"/>
              <w:bottom w:val="nil"/>
              <w:right w:val="nil"/>
            </w:tcBorders>
            <w:noWrap/>
            <w:tcMar>
              <w:top w:w="15" w:type="dxa"/>
              <w:left w:w="15" w:type="dxa"/>
              <w:bottom w:w="0" w:type="dxa"/>
              <w:right w:w="15" w:type="dxa"/>
            </w:tcMar>
            <w:vAlign w:val="bottom"/>
          </w:tcPr>
          <w:p w14:paraId="3C181A92" w14:textId="1AAB7D4C" w:rsidR="00885E66" w:rsidRPr="00A66A30" w:rsidRDefault="007C7AEE" w:rsidP="00FF767F">
            <w:pPr>
              <w:spacing w:after="0"/>
              <w:jc w:val="center"/>
              <w:rPr>
                <w:rFonts w:cs="Times New Roman"/>
                <w:spacing w:val="-20"/>
                <w:sz w:val="20"/>
                <w:szCs w:val="20"/>
                <w:lang w:val="en-US"/>
              </w:rPr>
            </w:pPr>
            <w:r w:rsidRPr="00A66A30">
              <w:rPr>
                <w:rFonts w:cs="Times New Roman"/>
                <w:spacing w:val="-20"/>
                <w:sz w:val="20"/>
                <w:szCs w:val="20"/>
                <w:lang w:val="en-US"/>
              </w:rPr>
              <w:t>58.</w:t>
            </w:r>
            <w:r w:rsidR="00885E66" w:rsidRPr="00A66A30">
              <w:rPr>
                <w:rFonts w:cs="Times New Roman"/>
                <w:spacing w:val="-20"/>
                <w:sz w:val="20"/>
                <w:szCs w:val="20"/>
                <w:lang w:val="en-US"/>
              </w:rPr>
              <w:t>9</w:t>
            </w:r>
          </w:p>
        </w:tc>
        <w:tc>
          <w:tcPr>
            <w:tcW w:w="733" w:type="dxa"/>
            <w:tcBorders>
              <w:top w:val="nil"/>
              <w:left w:val="nil"/>
              <w:bottom w:val="nil"/>
              <w:right w:val="nil"/>
            </w:tcBorders>
            <w:noWrap/>
            <w:tcMar>
              <w:top w:w="15" w:type="dxa"/>
              <w:left w:w="15" w:type="dxa"/>
              <w:bottom w:w="0" w:type="dxa"/>
              <w:right w:w="15" w:type="dxa"/>
            </w:tcMar>
            <w:vAlign w:val="bottom"/>
          </w:tcPr>
          <w:p w14:paraId="03C01AFA" w14:textId="34F73893" w:rsidR="00885E66" w:rsidRPr="00A66A30" w:rsidRDefault="007C7AEE" w:rsidP="00FF767F">
            <w:pPr>
              <w:spacing w:after="0"/>
              <w:jc w:val="center"/>
              <w:rPr>
                <w:rFonts w:cs="Times New Roman"/>
                <w:spacing w:val="-20"/>
                <w:sz w:val="20"/>
                <w:szCs w:val="20"/>
                <w:lang w:val="en-US"/>
              </w:rPr>
            </w:pPr>
            <w:r w:rsidRPr="00A66A30">
              <w:rPr>
                <w:rFonts w:cs="Times New Roman"/>
                <w:spacing w:val="-20"/>
                <w:sz w:val="20"/>
                <w:szCs w:val="20"/>
                <w:lang w:val="en-US"/>
              </w:rPr>
              <w:t>76.</w:t>
            </w:r>
            <w:r w:rsidR="00885E66" w:rsidRPr="00A66A30">
              <w:rPr>
                <w:rFonts w:cs="Times New Roman"/>
                <w:spacing w:val="-20"/>
                <w:sz w:val="20"/>
                <w:szCs w:val="20"/>
                <w:lang w:val="en-US"/>
              </w:rPr>
              <w:t>2</w:t>
            </w:r>
          </w:p>
        </w:tc>
        <w:tc>
          <w:tcPr>
            <w:tcW w:w="733" w:type="dxa"/>
            <w:tcBorders>
              <w:top w:val="nil"/>
              <w:left w:val="nil"/>
              <w:bottom w:val="nil"/>
              <w:right w:val="nil"/>
            </w:tcBorders>
            <w:noWrap/>
            <w:tcMar>
              <w:top w:w="15" w:type="dxa"/>
              <w:left w:w="15" w:type="dxa"/>
              <w:bottom w:w="0" w:type="dxa"/>
              <w:right w:w="15" w:type="dxa"/>
            </w:tcMar>
            <w:vAlign w:val="bottom"/>
          </w:tcPr>
          <w:p w14:paraId="7BD78FC8" w14:textId="2D85CD3E" w:rsidR="00885E66" w:rsidRPr="00A66A30" w:rsidRDefault="007C7AEE" w:rsidP="00FF767F">
            <w:pPr>
              <w:spacing w:after="0"/>
              <w:jc w:val="center"/>
              <w:rPr>
                <w:rFonts w:cs="Times New Roman"/>
                <w:spacing w:val="-20"/>
                <w:sz w:val="20"/>
                <w:szCs w:val="20"/>
                <w:lang w:val="en-US"/>
              </w:rPr>
            </w:pPr>
            <w:r w:rsidRPr="00A66A30">
              <w:rPr>
                <w:rFonts w:cs="Times New Roman"/>
                <w:spacing w:val="-20"/>
                <w:sz w:val="20"/>
                <w:szCs w:val="20"/>
                <w:lang w:val="en-US"/>
              </w:rPr>
              <w:t>91.</w:t>
            </w:r>
            <w:r w:rsidR="00885E66" w:rsidRPr="00A66A30">
              <w:rPr>
                <w:rFonts w:cs="Times New Roman"/>
                <w:spacing w:val="-20"/>
                <w:sz w:val="20"/>
                <w:szCs w:val="20"/>
                <w:lang w:val="en-US"/>
              </w:rPr>
              <w:t>2</w:t>
            </w:r>
          </w:p>
        </w:tc>
        <w:tc>
          <w:tcPr>
            <w:tcW w:w="680" w:type="dxa"/>
            <w:tcBorders>
              <w:top w:val="nil"/>
              <w:left w:val="nil"/>
              <w:bottom w:val="nil"/>
              <w:right w:val="nil"/>
            </w:tcBorders>
            <w:noWrap/>
            <w:tcMar>
              <w:top w:w="15" w:type="dxa"/>
              <w:left w:w="15" w:type="dxa"/>
              <w:bottom w:w="0" w:type="dxa"/>
              <w:right w:w="15" w:type="dxa"/>
            </w:tcMar>
            <w:vAlign w:val="bottom"/>
          </w:tcPr>
          <w:p w14:paraId="17B3D6E2" w14:textId="63D01955" w:rsidR="00885E66" w:rsidRPr="00A66A30" w:rsidRDefault="00885E66" w:rsidP="00FF767F">
            <w:pPr>
              <w:spacing w:after="0"/>
              <w:jc w:val="center"/>
              <w:rPr>
                <w:rFonts w:cs="Times New Roman"/>
                <w:spacing w:val="-20"/>
                <w:sz w:val="20"/>
                <w:szCs w:val="20"/>
                <w:lang w:val="en-US"/>
              </w:rPr>
            </w:pPr>
            <w:r w:rsidRPr="00A66A30">
              <w:rPr>
                <w:rFonts w:cs="Times New Roman"/>
                <w:spacing w:val="-20"/>
                <w:sz w:val="20"/>
                <w:szCs w:val="20"/>
                <w:lang w:val="en-US"/>
              </w:rPr>
              <w:t>96,2</w:t>
            </w:r>
          </w:p>
        </w:tc>
        <w:tc>
          <w:tcPr>
            <w:tcW w:w="1041" w:type="dxa"/>
            <w:vMerge/>
            <w:tcBorders>
              <w:top w:val="nil"/>
              <w:left w:val="nil"/>
              <w:bottom w:val="nil"/>
              <w:right w:val="nil"/>
            </w:tcBorders>
            <w:noWrap/>
            <w:tcMar>
              <w:top w:w="15" w:type="dxa"/>
              <w:left w:w="15" w:type="dxa"/>
              <w:bottom w:w="0" w:type="dxa"/>
              <w:right w:w="15" w:type="dxa"/>
            </w:tcMar>
            <w:vAlign w:val="bottom"/>
          </w:tcPr>
          <w:p w14:paraId="69474CE1" w14:textId="46F04BD9" w:rsidR="00885E66" w:rsidRPr="00A66A30" w:rsidRDefault="00885E66" w:rsidP="00FF767F">
            <w:pPr>
              <w:spacing w:after="0"/>
              <w:jc w:val="center"/>
              <w:rPr>
                <w:rFonts w:cs="Times New Roman"/>
                <w:spacing w:val="-20"/>
                <w:sz w:val="18"/>
                <w:szCs w:val="18"/>
                <w:lang w:val="en-US"/>
              </w:rPr>
            </w:pPr>
          </w:p>
        </w:tc>
      </w:tr>
      <w:tr w:rsidR="00885E66" w:rsidRPr="00A66A30" w14:paraId="04C0D6EE" w14:textId="77777777" w:rsidTr="003918A6">
        <w:trPr>
          <w:cantSplit/>
          <w:trHeight w:val="58"/>
          <w:jc w:val="center"/>
        </w:trPr>
        <w:tc>
          <w:tcPr>
            <w:tcW w:w="1413" w:type="dxa"/>
            <w:tcBorders>
              <w:top w:val="nil"/>
              <w:left w:val="nil"/>
              <w:bottom w:val="nil"/>
              <w:right w:val="nil"/>
            </w:tcBorders>
            <w:noWrap/>
            <w:tcMar>
              <w:top w:w="15" w:type="dxa"/>
              <w:left w:w="15" w:type="dxa"/>
              <w:bottom w:w="0" w:type="dxa"/>
              <w:right w:w="15" w:type="dxa"/>
            </w:tcMar>
            <w:vAlign w:val="bottom"/>
          </w:tcPr>
          <w:p w14:paraId="66176803" w14:textId="2B1F4B73" w:rsidR="00885E66" w:rsidRPr="00A66A30" w:rsidRDefault="00885E66" w:rsidP="00FF767F">
            <w:pPr>
              <w:spacing w:after="0"/>
              <w:rPr>
                <w:rFonts w:cs="Times New Roman"/>
                <w:sz w:val="20"/>
                <w:szCs w:val="20"/>
                <w:lang w:val="en-US"/>
              </w:rPr>
            </w:pPr>
            <w:r w:rsidRPr="00A66A30">
              <w:rPr>
                <w:rFonts w:cs="Times New Roman"/>
                <w:sz w:val="20"/>
                <w:szCs w:val="20"/>
                <w:lang w:val="en-US"/>
              </w:rPr>
              <w:t>Mineral powder</w:t>
            </w:r>
          </w:p>
        </w:tc>
        <w:tc>
          <w:tcPr>
            <w:tcW w:w="992" w:type="dxa"/>
            <w:vMerge/>
            <w:tcBorders>
              <w:top w:val="nil"/>
              <w:left w:val="nil"/>
              <w:bottom w:val="nil"/>
              <w:right w:val="nil"/>
            </w:tcBorders>
            <w:noWrap/>
            <w:tcMar>
              <w:top w:w="15" w:type="dxa"/>
              <w:left w:w="15" w:type="dxa"/>
              <w:bottom w:w="0" w:type="dxa"/>
              <w:right w:w="15" w:type="dxa"/>
            </w:tcMar>
            <w:vAlign w:val="bottom"/>
          </w:tcPr>
          <w:p w14:paraId="2AFE2245" w14:textId="77777777" w:rsidR="00885E66" w:rsidRPr="00A66A30" w:rsidRDefault="00885E66" w:rsidP="00FF767F">
            <w:pPr>
              <w:spacing w:after="0"/>
              <w:jc w:val="center"/>
              <w:rPr>
                <w:rFonts w:cs="Times New Roman"/>
                <w:sz w:val="20"/>
                <w:szCs w:val="20"/>
                <w:lang w:val="en-US"/>
              </w:rPr>
            </w:pPr>
          </w:p>
        </w:tc>
        <w:tc>
          <w:tcPr>
            <w:tcW w:w="590" w:type="dxa"/>
            <w:tcBorders>
              <w:top w:val="nil"/>
              <w:left w:val="nil"/>
              <w:bottom w:val="nil"/>
              <w:right w:val="nil"/>
            </w:tcBorders>
            <w:vAlign w:val="bottom"/>
          </w:tcPr>
          <w:p w14:paraId="7275691C" w14:textId="46ED9D95"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564" w:type="dxa"/>
            <w:tcBorders>
              <w:top w:val="nil"/>
              <w:left w:val="nil"/>
              <w:bottom w:val="nil"/>
              <w:right w:val="nil"/>
            </w:tcBorders>
            <w:noWrap/>
            <w:tcMar>
              <w:top w:w="15" w:type="dxa"/>
              <w:left w:w="15" w:type="dxa"/>
              <w:bottom w:w="0" w:type="dxa"/>
              <w:right w:w="15" w:type="dxa"/>
            </w:tcMar>
            <w:vAlign w:val="bottom"/>
          </w:tcPr>
          <w:p w14:paraId="1D4E5248" w14:textId="24C32849"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731" w:type="dxa"/>
            <w:tcBorders>
              <w:top w:val="nil"/>
              <w:left w:val="nil"/>
              <w:bottom w:val="nil"/>
              <w:right w:val="nil"/>
            </w:tcBorders>
            <w:noWrap/>
            <w:tcMar>
              <w:top w:w="15" w:type="dxa"/>
              <w:left w:w="15" w:type="dxa"/>
              <w:bottom w:w="0" w:type="dxa"/>
              <w:right w:w="15" w:type="dxa"/>
            </w:tcMar>
            <w:vAlign w:val="bottom"/>
          </w:tcPr>
          <w:p w14:paraId="60B7586A" w14:textId="6DED331C"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775" w:type="dxa"/>
            <w:tcBorders>
              <w:top w:val="nil"/>
              <w:left w:val="nil"/>
              <w:bottom w:val="nil"/>
              <w:right w:val="nil"/>
            </w:tcBorders>
            <w:noWrap/>
            <w:tcMar>
              <w:top w:w="15" w:type="dxa"/>
              <w:left w:w="15" w:type="dxa"/>
              <w:bottom w:w="0" w:type="dxa"/>
              <w:right w:w="15" w:type="dxa"/>
            </w:tcMar>
            <w:vAlign w:val="bottom"/>
          </w:tcPr>
          <w:p w14:paraId="74C7C68D" w14:textId="3FCEBB06"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733" w:type="dxa"/>
            <w:tcBorders>
              <w:top w:val="nil"/>
              <w:left w:val="nil"/>
              <w:bottom w:val="nil"/>
              <w:right w:val="nil"/>
            </w:tcBorders>
            <w:noWrap/>
            <w:tcMar>
              <w:top w:w="15" w:type="dxa"/>
              <w:left w:w="15" w:type="dxa"/>
              <w:bottom w:w="0" w:type="dxa"/>
              <w:right w:w="15" w:type="dxa"/>
            </w:tcMar>
            <w:vAlign w:val="bottom"/>
          </w:tcPr>
          <w:p w14:paraId="2F190C94" w14:textId="78E9A6C6" w:rsidR="00885E66" w:rsidRPr="00A66A30" w:rsidRDefault="00885E66" w:rsidP="00FF767F">
            <w:pPr>
              <w:spacing w:after="0"/>
              <w:jc w:val="center"/>
              <w:rPr>
                <w:rFonts w:cs="Times New Roman"/>
                <w:sz w:val="20"/>
                <w:szCs w:val="20"/>
                <w:lang w:val="en-US"/>
              </w:rPr>
            </w:pPr>
            <w:r w:rsidRPr="00A66A30">
              <w:rPr>
                <w:rFonts w:cs="Times New Roman"/>
                <w:color w:val="000000"/>
                <w:sz w:val="20"/>
                <w:szCs w:val="20"/>
                <w:lang w:val="en-US"/>
              </w:rPr>
              <w:t>0</w:t>
            </w:r>
          </w:p>
        </w:tc>
        <w:tc>
          <w:tcPr>
            <w:tcW w:w="733" w:type="dxa"/>
            <w:tcBorders>
              <w:top w:val="nil"/>
              <w:left w:val="nil"/>
              <w:bottom w:val="nil"/>
              <w:right w:val="nil"/>
            </w:tcBorders>
            <w:noWrap/>
            <w:tcMar>
              <w:top w:w="15" w:type="dxa"/>
              <w:left w:w="15" w:type="dxa"/>
              <w:bottom w:w="0" w:type="dxa"/>
              <w:right w:w="15" w:type="dxa"/>
            </w:tcMar>
            <w:vAlign w:val="bottom"/>
          </w:tcPr>
          <w:p w14:paraId="6F045F42" w14:textId="4E0FCC91" w:rsidR="00885E66" w:rsidRPr="00A66A30" w:rsidRDefault="007C7AEE" w:rsidP="00FF767F">
            <w:pPr>
              <w:spacing w:after="0"/>
              <w:jc w:val="center"/>
              <w:rPr>
                <w:rFonts w:cs="Times New Roman"/>
                <w:sz w:val="20"/>
                <w:szCs w:val="20"/>
                <w:lang w:val="en-US"/>
              </w:rPr>
            </w:pPr>
            <w:r w:rsidRPr="00A66A30">
              <w:rPr>
                <w:rFonts w:cs="Times New Roman"/>
                <w:color w:val="000000"/>
                <w:sz w:val="20"/>
                <w:szCs w:val="20"/>
                <w:lang w:val="en-US"/>
              </w:rPr>
              <w:t>0.</w:t>
            </w:r>
            <w:r w:rsidR="00885E66" w:rsidRPr="00A66A30">
              <w:rPr>
                <w:rFonts w:cs="Times New Roman"/>
                <w:color w:val="000000"/>
                <w:sz w:val="20"/>
                <w:szCs w:val="20"/>
                <w:lang w:val="en-US"/>
              </w:rPr>
              <w:t>1</w:t>
            </w:r>
          </w:p>
        </w:tc>
        <w:tc>
          <w:tcPr>
            <w:tcW w:w="733" w:type="dxa"/>
            <w:tcBorders>
              <w:top w:val="nil"/>
              <w:left w:val="nil"/>
              <w:bottom w:val="nil"/>
              <w:right w:val="nil"/>
            </w:tcBorders>
            <w:noWrap/>
            <w:tcMar>
              <w:top w:w="15" w:type="dxa"/>
              <w:left w:w="15" w:type="dxa"/>
              <w:bottom w:w="0" w:type="dxa"/>
              <w:right w:w="15" w:type="dxa"/>
            </w:tcMar>
            <w:vAlign w:val="bottom"/>
          </w:tcPr>
          <w:p w14:paraId="15C74A7C" w14:textId="4AAD0709" w:rsidR="00885E66" w:rsidRPr="00A66A30" w:rsidRDefault="007C7AEE" w:rsidP="00FF767F">
            <w:pPr>
              <w:spacing w:after="0"/>
              <w:jc w:val="center"/>
              <w:rPr>
                <w:rFonts w:cs="Times New Roman"/>
                <w:sz w:val="20"/>
                <w:szCs w:val="20"/>
                <w:lang w:val="en-US"/>
              </w:rPr>
            </w:pPr>
            <w:r w:rsidRPr="00A66A30">
              <w:rPr>
                <w:rFonts w:cs="Times New Roman"/>
                <w:spacing w:val="-20"/>
                <w:sz w:val="20"/>
                <w:szCs w:val="20"/>
                <w:lang w:val="en-US"/>
              </w:rPr>
              <w:t>0.</w:t>
            </w:r>
            <w:r w:rsidR="00885E66" w:rsidRPr="00A66A30">
              <w:rPr>
                <w:rFonts w:cs="Times New Roman"/>
                <w:spacing w:val="-20"/>
                <w:sz w:val="20"/>
                <w:szCs w:val="20"/>
                <w:lang w:val="en-US"/>
              </w:rPr>
              <w:t>3</w:t>
            </w:r>
          </w:p>
        </w:tc>
        <w:tc>
          <w:tcPr>
            <w:tcW w:w="733" w:type="dxa"/>
            <w:tcBorders>
              <w:top w:val="nil"/>
              <w:left w:val="nil"/>
              <w:bottom w:val="nil"/>
              <w:right w:val="nil"/>
            </w:tcBorders>
            <w:noWrap/>
            <w:tcMar>
              <w:top w:w="15" w:type="dxa"/>
              <w:left w:w="15" w:type="dxa"/>
              <w:bottom w:w="0" w:type="dxa"/>
              <w:right w:w="15" w:type="dxa"/>
            </w:tcMar>
            <w:vAlign w:val="bottom"/>
          </w:tcPr>
          <w:p w14:paraId="198132EB" w14:textId="2238DC36" w:rsidR="00885E66" w:rsidRPr="00A66A30" w:rsidRDefault="00885E66" w:rsidP="007C7AEE">
            <w:pPr>
              <w:spacing w:after="0"/>
              <w:jc w:val="center"/>
              <w:rPr>
                <w:rFonts w:cs="Times New Roman"/>
                <w:spacing w:val="-20"/>
                <w:sz w:val="20"/>
                <w:szCs w:val="20"/>
                <w:lang w:val="en-US"/>
              </w:rPr>
            </w:pPr>
            <w:r w:rsidRPr="00A66A30">
              <w:rPr>
                <w:rFonts w:cs="Times New Roman"/>
                <w:color w:val="000000"/>
                <w:sz w:val="20"/>
                <w:szCs w:val="20"/>
                <w:lang w:val="en-US"/>
              </w:rPr>
              <w:t>5</w:t>
            </w:r>
            <w:r w:rsidR="007C7AEE" w:rsidRPr="00A66A30">
              <w:rPr>
                <w:rFonts w:cs="Times New Roman"/>
                <w:color w:val="000000"/>
                <w:sz w:val="20"/>
                <w:szCs w:val="20"/>
                <w:lang w:val="en-US"/>
              </w:rPr>
              <w:t>.</w:t>
            </w:r>
            <w:r w:rsidRPr="00A66A30">
              <w:rPr>
                <w:rFonts w:cs="Times New Roman"/>
                <w:color w:val="000000"/>
                <w:sz w:val="20"/>
                <w:szCs w:val="20"/>
                <w:lang w:val="en-US"/>
              </w:rPr>
              <w:t>5</w:t>
            </w:r>
          </w:p>
        </w:tc>
        <w:tc>
          <w:tcPr>
            <w:tcW w:w="680" w:type="dxa"/>
            <w:tcBorders>
              <w:top w:val="nil"/>
              <w:left w:val="nil"/>
              <w:bottom w:val="nil"/>
              <w:right w:val="nil"/>
            </w:tcBorders>
            <w:noWrap/>
            <w:tcMar>
              <w:top w:w="15" w:type="dxa"/>
              <w:left w:w="15" w:type="dxa"/>
              <w:bottom w:w="0" w:type="dxa"/>
              <w:right w:w="15" w:type="dxa"/>
            </w:tcMar>
            <w:vAlign w:val="bottom"/>
          </w:tcPr>
          <w:p w14:paraId="0C8B19DF" w14:textId="4718514F" w:rsidR="00885E66" w:rsidRPr="00A66A30" w:rsidRDefault="007C7AEE" w:rsidP="00FF767F">
            <w:pPr>
              <w:spacing w:after="0"/>
              <w:jc w:val="center"/>
              <w:rPr>
                <w:rFonts w:cs="Times New Roman"/>
                <w:spacing w:val="-20"/>
                <w:sz w:val="20"/>
                <w:szCs w:val="20"/>
                <w:lang w:val="en-US"/>
              </w:rPr>
            </w:pPr>
            <w:r w:rsidRPr="00A66A30">
              <w:rPr>
                <w:rFonts w:cs="Times New Roman"/>
                <w:spacing w:val="-20"/>
                <w:sz w:val="20"/>
                <w:szCs w:val="20"/>
                <w:lang w:val="en-US"/>
              </w:rPr>
              <w:t>24.</w:t>
            </w:r>
            <w:r w:rsidR="00885E66" w:rsidRPr="00A66A30">
              <w:rPr>
                <w:rFonts w:cs="Times New Roman"/>
                <w:spacing w:val="-20"/>
                <w:sz w:val="20"/>
                <w:szCs w:val="20"/>
                <w:lang w:val="en-US"/>
              </w:rPr>
              <w:t>3</w:t>
            </w:r>
          </w:p>
        </w:tc>
        <w:tc>
          <w:tcPr>
            <w:tcW w:w="1041" w:type="dxa"/>
            <w:vMerge/>
            <w:tcBorders>
              <w:top w:val="nil"/>
              <w:left w:val="nil"/>
              <w:bottom w:val="nil"/>
              <w:right w:val="nil"/>
            </w:tcBorders>
            <w:noWrap/>
            <w:tcMar>
              <w:top w:w="15" w:type="dxa"/>
              <w:left w:w="15" w:type="dxa"/>
              <w:bottom w:w="0" w:type="dxa"/>
              <w:right w:w="15" w:type="dxa"/>
            </w:tcMar>
            <w:vAlign w:val="bottom"/>
          </w:tcPr>
          <w:p w14:paraId="4F6C31D7" w14:textId="0B9AA0AC" w:rsidR="00885E66" w:rsidRPr="00A66A30" w:rsidRDefault="00885E66" w:rsidP="00FF767F">
            <w:pPr>
              <w:spacing w:after="0"/>
              <w:jc w:val="center"/>
              <w:rPr>
                <w:rFonts w:cs="Times New Roman"/>
                <w:spacing w:val="-20"/>
                <w:sz w:val="18"/>
                <w:szCs w:val="18"/>
                <w:lang w:val="en-US"/>
              </w:rPr>
            </w:pPr>
          </w:p>
        </w:tc>
      </w:tr>
      <w:tr w:rsidR="00885E66" w:rsidRPr="00A66A30" w14:paraId="18FBE82E" w14:textId="77777777" w:rsidTr="003918A6">
        <w:trPr>
          <w:cantSplit/>
          <w:trHeight w:val="302"/>
          <w:jc w:val="center"/>
        </w:trPr>
        <w:tc>
          <w:tcPr>
            <w:tcW w:w="2405" w:type="dxa"/>
            <w:gridSpan w:val="2"/>
            <w:tcBorders>
              <w:top w:val="nil"/>
              <w:left w:val="nil"/>
              <w:bottom w:val="nil"/>
              <w:right w:val="nil"/>
            </w:tcBorders>
            <w:noWrap/>
            <w:tcMar>
              <w:top w:w="15" w:type="dxa"/>
              <w:left w:w="15" w:type="dxa"/>
              <w:bottom w:w="0" w:type="dxa"/>
              <w:right w:w="15" w:type="dxa"/>
            </w:tcMar>
          </w:tcPr>
          <w:p w14:paraId="54AF20C8" w14:textId="6B579115" w:rsidR="00885E66" w:rsidRPr="00A66A30" w:rsidRDefault="00885E66" w:rsidP="00247082">
            <w:pPr>
              <w:pStyle w:val="a8"/>
              <w:rPr>
                <w:sz w:val="20"/>
                <w:szCs w:val="20"/>
                <w:lang w:val="en-US"/>
              </w:rPr>
            </w:pPr>
            <w:r w:rsidRPr="00A66A30">
              <w:rPr>
                <w:sz w:val="20"/>
                <w:szCs w:val="20"/>
                <w:lang w:val="en-US"/>
              </w:rPr>
              <w:t>Limits according to Ukrainian standard</w:t>
            </w:r>
          </w:p>
        </w:tc>
        <w:tc>
          <w:tcPr>
            <w:tcW w:w="590" w:type="dxa"/>
            <w:tcBorders>
              <w:top w:val="nil"/>
              <w:left w:val="nil"/>
              <w:bottom w:val="nil"/>
              <w:right w:val="nil"/>
            </w:tcBorders>
            <w:vAlign w:val="center"/>
          </w:tcPr>
          <w:p w14:paraId="5D896B9A" w14:textId="1CA917D6" w:rsidR="00885E66" w:rsidRPr="00A66A30" w:rsidRDefault="003918A6" w:rsidP="003918A6">
            <w:pPr>
              <w:spacing w:after="0"/>
              <w:jc w:val="center"/>
              <w:rPr>
                <w:rFonts w:cs="Times New Roman"/>
                <w:iCs/>
                <w:sz w:val="20"/>
                <w:szCs w:val="20"/>
                <w:lang w:val="en-US"/>
              </w:rPr>
            </w:pPr>
            <w:r w:rsidRPr="00A66A30">
              <w:rPr>
                <w:rFonts w:cs="Times New Roman"/>
                <w:iCs/>
                <w:sz w:val="20"/>
                <w:szCs w:val="20"/>
                <w:lang w:val="en-US"/>
              </w:rPr>
              <w:t>0</w:t>
            </w:r>
          </w:p>
        </w:tc>
        <w:tc>
          <w:tcPr>
            <w:tcW w:w="564" w:type="dxa"/>
            <w:tcBorders>
              <w:top w:val="nil"/>
              <w:left w:val="nil"/>
              <w:bottom w:val="nil"/>
              <w:right w:val="nil"/>
            </w:tcBorders>
            <w:noWrap/>
            <w:tcMar>
              <w:top w:w="15" w:type="dxa"/>
              <w:left w:w="15" w:type="dxa"/>
              <w:bottom w:w="0" w:type="dxa"/>
              <w:right w:w="15" w:type="dxa"/>
            </w:tcMar>
            <w:vAlign w:val="center"/>
          </w:tcPr>
          <w:p w14:paraId="7BF1CFB4" w14:textId="7F9D8A0A" w:rsidR="00885E66" w:rsidRPr="00A66A30" w:rsidRDefault="003918A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r w:rsidR="00885E66" w:rsidRPr="00A66A30">
              <w:rPr>
                <w:rFonts w:cs="Times New Roman"/>
                <w:iCs/>
                <w:sz w:val="20"/>
                <w:szCs w:val="20"/>
                <w:lang w:val="en-US"/>
              </w:rPr>
              <w:t>0</w:t>
            </w:r>
            <w:r w:rsidRPr="00A66A30">
              <w:rPr>
                <w:rFonts w:cs="Times New Roman"/>
                <w:iCs/>
                <w:sz w:val="20"/>
                <w:szCs w:val="20"/>
                <w:lang w:val="en-US"/>
              </w:rPr>
              <w:t xml:space="preserve"> to</w:t>
            </w:r>
            <w:r w:rsidR="00885E66" w:rsidRPr="00A66A30">
              <w:rPr>
                <w:rFonts w:cs="Times New Roman"/>
                <w:iCs/>
                <w:sz w:val="20"/>
                <w:szCs w:val="20"/>
                <w:lang w:val="en-US"/>
              </w:rPr>
              <w:t>10</w:t>
            </w:r>
          </w:p>
        </w:tc>
        <w:tc>
          <w:tcPr>
            <w:tcW w:w="731" w:type="dxa"/>
            <w:tcBorders>
              <w:top w:val="nil"/>
              <w:left w:val="nil"/>
              <w:bottom w:val="nil"/>
              <w:right w:val="nil"/>
            </w:tcBorders>
            <w:noWrap/>
            <w:tcMar>
              <w:top w:w="15" w:type="dxa"/>
              <w:left w:w="15" w:type="dxa"/>
              <w:bottom w:w="0" w:type="dxa"/>
              <w:right w:w="15" w:type="dxa"/>
            </w:tcMar>
            <w:vAlign w:val="center"/>
          </w:tcPr>
          <w:p w14:paraId="1E0439B2" w14:textId="77777777" w:rsidR="003918A6" w:rsidRPr="00A66A30" w:rsidRDefault="003918A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p>
          <w:p w14:paraId="06BA27A7" w14:textId="23262A0C" w:rsidR="00885E66" w:rsidRPr="00A66A30" w:rsidRDefault="00885E6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25</w:t>
            </w:r>
            <w:r w:rsidR="003918A6" w:rsidRPr="00A66A30">
              <w:rPr>
                <w:rFonts w:cs="Times New Roman"/>
                <w:iCs/>
                <w:sz w:val="20"/>
                <w:szCs w:val="20"/>
                <w:lang w:val="en-US"/>
              </w:rPr>
              <w:t xml:space="preserve"> to </w:t>
            </w:r>
            <w:r w:rsidRPr="00A66A30">
              <w:rPr>
                <w:rFonts w:cs="Times New Roman"/>
                <w:iCs/>
                <w:sz w:val="20"/>
                <w:szCs w:val="20"/>
                <w:lang w:val="en-US"/>
              </w:rPr>
              <w:t>35</w:t>
            </w:r>
          </w:p>
        </w:tc>
        <w:tc>
          <w:tcPr>
            <w:tcW w:w="775" w:type="dxa"/>
            <w:tcBorders>
              <w:top w:val="nil"/>
              <w:left w:val="nil"/>
              <w:bottom w:val="nil"/>
              <w:right w:val="nil"/>
            </w:tcBorders>
            <w:noWrap/>
            <w:tcMar>
              <w:top w:w="15" w:type="dxa"/>
              <w:left w:w="15" w:type="dxa"/>
              <w:bottom w:w="0" w:type="dxa"/>
              <w:right w:w="15" w:type="dxa"/>
            </w:tcMar>
            <w:vAlign w:val="center"/>
          </w:tcPr>
          <w:p w14:paraId="0A27D3AC" w14:textId="77777777" w:rsidR="003918A6" w:rsidRPr="00A66A30" w:rsidRDefault="003918A6" w:rsidP="00F1616A">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p>
          <w:p w14:paraId="2E8FDD81" w14:textId="34F021A3" w:rsidR="00885E66" w:rsidRPr="00A66A30" w:rsidRDefault="003918A6" w:rsidP="00F1616A">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36 to </w:t>
            </w:r>
            <w:r w:rsidR="00885E66" w:rsidRPr="00A66A30">
              <w:rPr>
                <w:rFonts w:cs="Times New Roman"/>
                <w:iCs/>
                <w:sz w:val="20"/>
                <w:szCs w:val="20"/>
                <w:lang w:val="en-US"/>
              </w:rPr>
              <w:t>49</w:t>
            </w:r>
          </w:p>
        </w:tc>
        <w:tc>
          <w:tcPr>
            <w:tcW w:w="733" w:type="dxa"/>
            <w:tcBorders>
              <w:top w:val="nil"/>
              <w:left w:val="nil"/>
              <w:bottom w:val="nil"/>
              <w:right w:val="nil"/>
            </w:tcBorders>
            <w:noWrap/>
            <w:tcMar>
              <w:top w:w="15" w:type="dxa"/>
              <w:left w:w="15" w:type="dxa"/>
              <w:bottom w:w="0" w:type="dxa"/>
              <w:right w:w="15" w:type="dxa"/>
            </w:tcMar>
            <w:vAlign w:val="center"/>
          </w:tcPr>
          <w:p w14:paraId="7B472DDF" w14:textId="77777777" w:rsidR="003918A6" w:rsidRPr="00A66A30" w:rsidRDefault="003918A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p>
          <w:p w14:paraId="60315B4E" w14:textId="74B7C509" w:rsidR="00885E66" w:rsidRPr="00A66A30" w:rsidRDefault="00885E6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48</w:t>
            </w:r>
            <w:r w:rsidR="003918A6" w:rsidRPr="00A66A30">
              <w:rPr>
                <w:rFonts w:cs="Times New Roman"/>
                <w:iCs/>
                <w:sz w:val="20"/>
                <w:szCs w:val="20"/>
                <w:lang w:val="en-US"/>
              </w:rPr>
              <w:t xml:space="preserve"> to </w:t>
            </w:r>
            <w:r w:rsidRPr="00A66A30">
              <w:rPr>
                <w:rFonts w:cs="Times New Roman"/>
                <w:iCs/>
                <w:sz w:val="20"/>
                <w:szCs w:val="20"/>
                <w:lang w:val="en-US"/>
              </w:rPr>
              <w:t>63</w:t>
            </w:r>
          </w:p>
        </w:tc>
        <w:tc>
          <w:tcPr>
            <w:tcW w:w="733" w:type="dxa"/>
            <w:tcBorders>
              <w:top w:val="nil"/>
              <w:left w:val="nil"/>
              <w:bottom w:val="nil"/>
              <w:right w:val="nil"/>
            </w:tcBorders>
            <w:noWrap/>
            <w:tcMar>
              <w:top w:w="15" w:type="dxa"/>
              <w:left w:w="15" w:type="dxa"/>
              <w:bottom w:w="0" w:type="dxa"/>
              <w:right w:w="15" w:type="dxa"/>
            </w:tcMar>
            <w:vAlign w:val="center"/>
          </w:tcPr>
          <w:p w14:paraId="490EE261" w14:textId="77777777" w:rsidR="003918A6" w:rsidRPr="00A66A30" w:rsidRDefault="003918A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p>
          <w:p w14:paraId="60889713" w14:textId="5B0F83AB" w:rsidR="00885E66" w:rsidRPr="00A66A30" w:rsidRDefault="00885E6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60</w:t>
            </w:r>
            <w:r w:rsidR="003918A6" w:rsidRPr="00A66A30">
              <w:rPr>
                <w:rFonts w:cs="Times New Roman"/>
                <w:iCs/>
                <w:sz w:val="20"/>
                <w:szCs w:val="20"/>
                <w:lang w:val="en-US"/>
              </w:rPr>
              <w:t xml:space="preserve"> to </w:t>
            </w:r>
            <w:r w:rsidRPr="00A66A30">
              <w:rPr>
                <w:rFonts w:cs="Times New Roman"/>
                <w:iCs/>
                <w:sz w:val="20"/>
                <w:szCs w:val="20"/>
                <w:lang w:val="en-US"/>
              </w:rPr>
              <w:t>75</w:t>
            </w:r>
          </w:p>
        </w:tc>
        <w:tc>
          <w:tcPr>
            <w:tcW w:w="733" w:type="dxa"/>
            <w:tcBorders>
              <w:top w:val="nil"/>
              <w:left w:val="nil"/>
              <w:bottom w:val="nil"/>
              <w:right w:val="nil"/>
            </w:tcBorders>
            <w:noWrap/>
            <w:tcMar>
              <w:top w:w="15" w:type="dxa"/>
              <w:left w:w="15" w:type="dxa"/>
              <w:bottom w:w="0" w:type="dxa"/>
              <w:right w:w="15" w:type="dxa"/>
            </w:tcMar>
            <w:vAlign w:val="center"/>
          </w:tcPr>
          <w:p w14:paraId="7D3B2E8E" w14:textId="77777777" w:rsidR="003918A6" w:rsidRPr="00A66A30" w:rsidRDefault="003918A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p>
          <w:p w14:paraId="7318A8A3" w14:textId="6275EBF4" w:rsidR="00885E66" w:rsidRPr="00A66A30" w:rsidRDefault="00885E6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71</w:t>
            </w:r>
            <w:r w:rsidR="003918A6" w:rsidRPr="00A66A30">
              <w:rPr>
                <w:rFonts w:cs="Times New Roman"/>
                <w:iCs/>
                <w:sz w:val="20"/>
                <w:szCs w:val="20"/>
                <w:lang w:val="en-US"/>
              </w:rPr>
              <w:t xml:space="preserve"> to </w:t>
            </w:r>
            <w:r w:rsidRPr="00A66A30">
              <w:rPr>
                <w:rFonts w:cs="Times New Roman"/>
                <w:iCs/>
                <w:sz w:val="20"/>
                <w:szCs w:val="20"/>
                <w:lang w:val="en-US"/>
              </w:rPr>
              <w:t>84</w:t>
            </w:r>
          </w:p>
        </w:tc>
        <w:tc>
          <w:tcPr>
            <w:tcW w:w="733" w:type="dxa"/>
            <w:tcBorders>
              <w:top w:val="nil"/>
              <w:left w:val="nil"/>
              <w:bottom w:val="nil"/>
              <w:right w:val="nil"/>
            </w:tcBorders>
            <w:noWrap/>
            <w:tcMar>
              <w:top w:w="15" w:type="dxa"/>
              <w:left w:w="15" w:type="dxa"/>
              <w:bottom w:w="0" w:type="dxa"/>
              <w:right w:w="15" w:type="dxa"/>
            </w:tcMar>
            <w:vAlign w:val="center"/>
          </w:tcPr>
          <w:p w14:paraId="60E9DEE8" w14:textId="77777777" w:rsidR="003918A6" w:rsidRPr="00A66A30" w:rsidRDefault="003918A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p>
          <w:p w14:paraId="140A7545" w14:textId="0719605F" w:rsidR="00885E66" w:rsidRPr="00A66A30" w:rsidRDefault="00885E6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80</w:t>
            </w:r>
            <w:r w:rsidR="003918A6" w:rsidRPr="00A66A30">
              <w:rPr>
                <w:rFonts w:cs="Times New Roman"/>
                <w:iCs/>
                <w:sz w:val="20"/>
                <w:szCs w:val="20"/>
                <w:lang w:val="en-US"/>
              </w:rPr>
              <w:t xml:space="preserve"> to </w:t>
            </w:r>
            <w:r w:rsidRPr="00A66A30">
              <w:rPr>
                <w:rFonts w:cs="Times New Roman"/>
                <w:iCs/>
                <w:sz w:val="20"/>
                <w:szCs w:val="20"/>
                <w:lang w:val="en-US"/>
              </w:rPr>
              <w:t>89</w:t>
            </w:r>
          </w:p>
        </w:tc>
        <w:tc>
          <w:tcPr>
            <w:tcW w:w="680" w:type="dxa"/>
            <w:tcBorders>
              <w:top w:val="nil"/>
              <w:left w:val="nil"/>
              <w:bottom w:val="nil"/>
              <w:right w:val="nil"/>
            </w:tcBorders>
            <w:noWrap/>
            <w:tcMar>
              <w:top w:w="15" w:type="dxa"/>
              <w:left w:w="15" w:type="dxa"/>
              <w:bottom w:w="0" w:type="dxa"/>
              <w:right w:w="15" w:type="dxa"/>
            </w:tcMar>
            <w:vAlign w:val="center"/>
          </w:tcPr>
          <w:p w14:paraId="7392DA2D" w14:textId="77777777" w:rsidR="003918A6" w:rsidRPr="00A66A30" w:rsidRDefault="003918A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 xml:space="preserve">from </w:t>
            </w:r>
          </w:p>
          <w:p w14:paraId="70419BE0" w14:textId="63C8DCFE" w:rsidR="00885E66" w:rsidRPr="00A66A30" w:rsidRDefault="00885E66" w:rsidP="003918A6">
            <w:pPr>
              <w:shd w:val="clear" w:color="auto" w:fill="FFFFFF"/>
              <w:spacing w:after="0"/>
              <w:jc w:val="center"/>
              <w:rPr>
                <w:rFonts w:cs="Times New Roman"/>
                <w:iCs/>
                <w:sz w:val="20"/>
                <w:szCs w:val="20"/>
                <w:lang w:val="en-US"/>
              </w:rPr>
            </w:pPr>
            <w:r w:rsidRPr="00A66A30">
              <w:rPr>
                <w:rFonts w:cs="Times New Roman"/>
                <w:iCs/>
                <w:sz w:val="20"/>
                <w:szCs w:val="20"/>
                <w:lang w:val="en-US"/>
              </w:rPr>
              <w:t>84</w:t>
            </w:r>
            <w:r w:rsidR="003918A6" w:rsidRPr="00A66A30">
              <w:rPr>
                <w:rFonts w:cs="Times New Roman"/>
                <w:iCs/>
                <w:sz w:val="20"/>
                <w:szCs w:val="20"/>
                <w:lang w:val="en-US"/>
              </w:rPr>
              <w:t xml:space="preserve"> to</w:t>
            </w:r>
            <w:r w:rsidRPr="00A66A30">
              <w:rPr>
                <w:rFonts w:cs="Times New Roman"/>
                <w:iCs/>
                <w:sz w:val="20"/>
                <w:szCs w:val="20"/>
                <w:lang w:val="en-US"/>
              </w:rPr>
              <w:t>91</w:t>
            </w:r>
          </w:p>
        </w:tc>
        <w:tc>
          <w:tcPr>
            <w:tcW w:w="1041" w:type="dxa"/>
            <w:vMerge/>
            <w:tcBorders>
              <w:top w:val="nil"/>
              <w:left w:val="nil"/>
              <w:bottom w:val="nil"/>
              <w:right w:val="nil"/>
            </w:tcBorders>
            <w:noWrap/>
            <w:tcMar>
              <w:top w:w="15" w:type="dxa"/>
              <w:left w:w="15" w:type="dxa"/>
              <w:bottom w:w="0" w:type="dxa"/>
              <w:right w:w="15" w:type="dxa"/>
            </w:tcMar>
            <w:vAlign w:val="center"/>
          </w:tcPr>
          <w:p w14:paraId="2005C8FA" w14:textId="46129BFC" w:rsidR="00885E66" w:rsidRPr="00A66A30" w:rsidRDefault="00885E66" w:rsidP="00F1616A">
            <w:pPr>
              <w:shd w:val="clear" w:color="auto" w:fill="FFFFFF"/>
              <w:spacing w:after="0"/>
              <w:jc w:val="center"/>
              <w:rPr>
                <w:rFonts w:cs="Times New Roman"/>
                <w:b/>
                <w:bCs/>
                <w:sz w:val="18"/>
                <w:szCs w:val="18"/>
                <w:lang w:val="en-US"/>
              </w:rPr>
            </w:pPr>
          </w:p>
        </w:tc>
      </w:tr>
      <w:tr w:rsidR="00885E66" w:rsidRPr="00A66A30" w14:paraId="3F766E53" w14:textId="77777777" w:rsidTr="003918A6">
        <w:trPr>
          <w:cantSplit/>
          <w:trHeight w:val="48"/>
          <w:jc w:val="center"/>
        </w:trPr>
        <w:tc>
          <w:tcPr>
            <w:tcW w:w="1413" w:type="dxa"/>
            <w:tcBorders>
              <w:top w:val="nil"/>
              <w:left w:val="nil"/>
              <w:bottom w:val="nil"/>
              <w:right w:val="nil"/>
            </w:tcBorders>
            <w:noWrap/>
            <w:tcMar>
              <w:top w:w="15" w:type="dxa"/>
              <w:left w:w="15" w:type="dxa"/>
              <w:bottom w:w="0" w:type="dxa"/>
              <w:right w:w="15" w:type="dxa"/>
            </w:tcMar>
            <w:vAlign w:val="bottom"/>
          </w:tcPr>
          <w:p w14:paraId="1306D985" w14:textId="3128AEAE" w:rsidR="00885E66" w:rsidRPr="00A66A30" w:rsidRDefault="00885E66" w:rsidP="00FA7242">
            <w:pPr>
              <w:spacing w:after="0"/>
              <w:rPr>
                <w:rFonts w:cs="Times New Roman"/>
                <w:sz w:val="20"/>
                <w:szCs w:val="20"/>
                <w:lang w:val="en-US"/>
              </w:rPr>
            </w:pPr>
            <w:r w:rsidRPr="00A66A30">
              <w:rPr>
                <w:rFonts w:cs="Times New Roman"/>
                <w:sz w:val="20"/>
                <w:szCs w:val="20"/>
                <w:lang w:val="en-US"/>
              </w:rPr>
              <w:t>Crushed stone</w:t>
            </w:r>
          </w:p>
        </w:tc>
        <w:tc>
          <w:tcPr>
            <w:tcW w:w="992" w:type="dxa"/>
            <w:tcBorders>
              <w:top w:val="nil"/>
              <w:left w:val="nil"/>
              <w:bottom w:val="nil"/>
              <w:right w:val="nil"/>
            </w:tcBorders>
            <w:noWrap/>
            <w:tcMar>
              <w:top w:w="15" w:type="dxa"/>
              <w:left w:w="15" w:type="dxa"/>
              <w:bottom w:w="0" w:type="dxa"/>
              <w:right w:w="15" w:type="dxa"/>
            </w:tcMar>
            <w:vAlign w:val="bottom"/>
          </w:tcPr>
          <w:p w14:paraId="08D38E9F" w14:textId="078F8663"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44</w:t>
            </w:r>
          </w:p>
        </w:tc>
        <w:tc>
          <w:tcPr>
            <w:tcW w:w="590" w:type="dxa"/>
            <w:tcBorders>
              <w:top w:val="nil"/>
              <w:left w:val="nil"/>
              <w:bottom w:val="nil"/>
              <w:right w:val="nil"/>
            </w:tcBorders>
          </w:tcPr>
          <w:p w14:paraId="3713324B" w14:textId="72C673BE" w:rsidR="00885E66" w:rsidRPr="00A66A30" w:rsidRDefault="00885E66" w:rsidP="00FA7242">
            <w:pPr>
              <w:spacing w:after="0"/>
              <w:jc w:val="center"/>
              <w:rPr>
                <w:rFonts w:cs="Times New Roman"/>
                <w:sz w:val="20"/>
                <w:szCs w:val="20"/>
                <w:lang w:val="en-US"/>
              </w:rPr>
            </w:pPr>
            <w:r w:rsidRPr="00A66A30">
              <w:rPr>
                <w:rFonts w:cs="Times New Roman"/>
                <w:sz w:val="20"/>
                <w:szCs w:val="20"/>
                <w:lang w:val="en-US"/>
              </w:rPr>
              <w:t>0</w:t>
            </w:r>
          </w:p>
        </w:tc>
        <w:tc>
          <w:tcPr>
            <w:tcW w:w="564" w:type="dxa"/>
            <w:tcBorders>
              <w:top w:val="nil"/>
              <w:left w:val="nil"/>
              <w:bottom w:val="nil"/>
              <w:right w:val="nil"/>
            </w:tcBorders>
            <w:noWrap/>
            <w:tcMar>
              <w:top w:w="15" w:type="dxa"/>
              <w:left w:w="15" w:type="dxa"/>
              <w:bottom w:w="0" w:type="dxa"/>
              <w:right w:w="15" w:type="dxa"/>
            </w:tcMar>
          </w:tcPr>
          <w:p w14:paraId="767D3A7D" w14:textId="45801F07"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3.</w:t>
            </w:r>
            <w:r w:rsidR="00885E66" w:rsidRPr="00A66A30">
              <w:rPr>
                <w:rFonts w:cs="Times New Roman"/>
                <w:sz w:val="20"/>
                <w:szCs w:val="20"/>
                <w:lang w:val="en-US"/>
              </w:rPr>
              <w:t>6</w:t>
            </w:r>
          </w:p>
        </w:tc>
        <w:tc>
          <w:tcPr>
            <w:tcW w:w="731" w:type="dxa"/>
            <w:tcBorders>
              <w:top w:val="nil"/>
              <w:left w:val="nil"/>
              <w:bottom w:val="nil"/>
              <w:right w:val="nil"/>
            </w:tcBorders>
            <w:noWrap/>
            <w:tcMar>
              <w:top w:w="15" w:type="dxa"/>
              <w:left w:w="15" w:type="dxa"/>
              <w:bottom w:w="0" w:type="dxa"/>
              <w:right w:w="15" w:type="dxa"/>
            </w:tcMar>
          </w:tcPr>
          <w:p w14:paraId="3D39C60C" w14:textId="345EF9C2"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30.</w:t>
            </w:r>
            <w:r w:rsidR="00885E66" w:rsidRPr="00A66A30">
              <w:rPr>
                <w:rFonts w:cs="Times New Roman"/>
                <w:sz w:val="20"/>
                <w:szCs w:val="20"/>
                <w:lang w:val="en-US"/>
              </w:rPr>
              <w:t>3</w:t>
            </w:r>
          </w:p>
        </w:tc>
        <w:tc>
          <w:tcPr>
            <w:tcW w:w="775" w:type="dxa"/>
            <w:tcBorders>
              <w:top w:val="nil"/>
              <w:left w:val="nil"/>
              <w:bottom w:val="nil"/>
              <w:right w:val="nil"/>
            </w:tcBorders>
            <w:noWrap/>
            <w:tcMar>
              <w:top w:w="15" w:type="dxa"/>
              <w:left w:w="15" w:type="dxa"/>
              <w:bottom w:w="0" w:type="dxa"/>
              <w:right w:w="15" w:type="dxa"/>
            </w:tcMar>
          </w:tcPr>
          <w:p w14:paraId="6C6F7EEB" w14:textId="3597140A"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43</w:t>
            </w:r>
            <w:r w:rsidR="007C7AEE" w:rsidRPr="00A66A30">
              <w:rPr>
                <w:rFonts w:cs="Times New Roman"/>
                <w:sz w:val="20"/>
                <w:szCs w:val="20"/>
                <w:lang w:val="en-US"/>
              </w:rPr>
              <w:t>.</w:t>
            </w:r>
            <w:r w:rsidRPr="00A66A30">
              <w:rPr>
                <w:rFonts w:cs="Times New Roman"/>
                <w:sz w:val="20"/>
                <w:szCs w:val="20"/>
                <w:lang w:val="en-US"/>
              </w:rPr>
              <w:t>6</w:t>
            </w:r>
          </w:p>
        </w:tc>
        <w:tc>
          <w:tcPr>
            <w:tcW w:w="733" w:type="dxa"/>
            <w:tcBorders>
              <w:top w:val="nil"/>
              <w:left w:val="nil"/>
              <w:bottom w:val="nil"/>
              <w:right w:val="nil"/>
            </w:tcBorders>
            <w:noWrap/>
            <w:tcMar>
              <w:top w:w="15" w:type="dxa"/>
              <w:left w:w="15" w:type="dxa"/>
              <w:bottom w:w="0" w:type="dxa"/>
              <w:right w:w="15" w:type="dxa"/>
            </w:tcMar>
          </w:tcPr>
          <w:p w14:paraId="0C64DEEE" w14:textId="17A0B725"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43</w:t>
            </w:r>
            <w:r w:rsidR="007C7AEE" w:rsidRPr="00A66A30">
              <w:rPr>
                <w:rFonts w:cs="Times New Roman"/>
                <w:sz w:val="20"/>
                <w:szCs w:val="20"/>
                <w:lang w:val="en-US"/>
              </w:rPr>
              <w:t>.</w:t>
            </w:r>
            <w:r w:rsidRPr="00A66A30">
              <w:rPr>
                <w:rFonts w:cs="Times New Roman"/>
                <w:sz w:val="20"/>
                <w:szCs w:val="20"/>
                <w:lang w:val="en-US"/>
              </w:rPr>
              <w:t>9</w:t>
            </w:r>
          </w:p>
        </w:tc>
        <w:tc>
          <w:tcPr>
            <w:tcW w:w="733" w:type="dxa"/>
            <w:tcBorders>
              <w:top w:val="nil"/>
              <w:left w:val="nil"/>
              <w:bottom w:val="nil"/>
              <w:right w:val="nil"/>
            </w:tcBorders>
            <w:noWrap/>
            <w:tcMar>
              <w:top w:w="15" w:type="dxa"/>
              <w:left w:w="15" w:type="dxa"/>
              <w:bottom w:w="0" w:type="dxa"/>
              <w:right w:w="15" w:type="dxa"/>
            </w:tcMar>
          </w:tcPr>
          <w:p w14:paraId="14C9171F" w14:textId="63607D44"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43</w:t>
            </w:r>
            <w:r w:rsidR="007C7AEE" w:rsidRPr="00A66A30">
              <w:rPr>
                <w:rFonts w:cs="Times New Roman"/>
                <w:sz w:val="20"/>
                <w:szCs w:val="20"/>
                <w:lang w:val="en-US"/>
              </w:rPr>
              <w:t>.</w:t>
            </w:r>
            <w:r w:rsidRPr="00A66A30">
              <w:rPr>
                <w:rFonts w:cs="Times New Roman"/>
                <w:sz w:val="20"/>
                <w:szCs w:val="20"/>
                <w:lang w:val="en-US"/>
              </w:rPr>
              <w:t>9</w:t>
            </w:r>
          </w:p>
        </w:tc>
        <w:tc>
          <w:tcPr>
            <w:tcW w:w="733" w:type="dxa"/>
            <w:tcBorders>
              <w:top w:val="nil"/>
              <w:left w:val="nil"/>
              <w:bottom w:val="nil"/>
              <w:right w:val="nil"/>
            </w:tcBorders>
            <w:noWrap/>
            <w:tcMar>
              <w:top w:w="15" w:type="dxa"/>
              <w:left w:w="15" w:type="dxa"/>
              <w:bottom w:w="0" w:type="dxa"/>
              <w:right w:w="15" w:type="dxa"/>
            </w:tcMar>
          </w:tcPr>
          <w:p w14:paraId="0188BEC2" w14:textId="66015668"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43</w:t>
            </w:r>
            <w:r w:rsidR="007C7AEE" w:rsidRPr="00A66A30">
              <w:rPr>
                <w:rFonts w:cs="Times New Roman"/>
                <w:sz w:val="20"/>
                <w:szCs w:val="20"/>
                <w:lang w:val="en-US"/>
              </w:rPr>
              <w:t>.</w:t>
            </w:r>
            <w:r w:rsidRPr="00A66A30">
              <w:rPr>
                <w:rFonts w:cs="Times New Roman"/>
                <w:sz w:val="20"/>
                <w:szCs w:val="20"/>
                <w:lang w:val="en-US"/>
              </w:rPr>
              <w:t>9</w:t>
            </w:r>
          </w:p>
        </w:tc>
        <w:tc>
          <w:tcPr>
            <w:tcW w:w="733" w:type="dxa"/>
            <w:tcBorders>
              <w:top w:val="nil"/>
              <w:left w:val="nil"/>
              <w:bottom w:val="nil"/>
              <w:right w:val="nil"/>
            </w:tcBorders>
            <w:noWrap/>
            <w:tcMar>
              <w:top w:w="15" w:type="dxa"/>
              <w:left w:w="15" w:type="dxa"/>
              <w:bottom w:w="0" w:type="dxa"/>
              <w:right w:w="15" w:type="dxa"/>
            </w:tcMar>
          </w:tcPr>
          <w:p w14:paraId="760AB851" w14:textId="02FAF184"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43</w:t>
            </w:r>
            <w:r w:rsidR="007C7AEE" w:rsidRPr="00A66A30">
              <w:rPr>
                <w:rFonts w:cs="Times New Roman"/>
                <w:sz w:val="20"/>
                <w:szCs w:val="20"/>
                <w:lang w:val="en-US"/>
              </w:rPr>
              <w:t>.</w:t>
            </w:r>
            <w:r w:rsidRPr="00A66A30">
              <w:rPr>
                <w:rFonts w:cs="Times New Roman"/>
                <w:sz w:val="20"/>
                <w:szCs w:val="20"/>
                <w:lang w:val="en-US"/>
              </w:rPr>
              <w:t>9</w:t>
            </w:r>
          </w:p>
        </w:tc>
        <w:tc>
          <w:tcPr>
            <w:tcW w:w="680" w:type="dxa"/>
            <w:tcBorders>
              <w:top w:val="nil"/>
              <w:left w:val="nil"/>
              <w:bottom w:val="nil"/>
              <w:right w:val="nil"/>
            </w:tcBorders>
            <w:noWrap/>
            <w:tcMar>
              <w:top w:w="15" w:type="dxa"/>
              <w:left w:w="15" w:type="dxa"/>
              <w:bottom w:w="0" w:type="dxa"/>
              <w:right w:w="15" w:type="dxa"/>
            </w:tcMar>
          </w:tcPr>
          <w:p w14:paraId="144E0333" w14:textId="2F31F764"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44</w:t>
            </w:r>
            <w:r w:rsidR="007C7AEE" w:rsidRPr="00A66A30">
              <w:rPr>
                <w:rFonts w:cs="Times New Roman"/>
                <w:sz w:val="20"/>
                <w:szCs w:val="20"/>
                <w:lang w:val="en-US"/>
              </w:rPr>
              <w:t>.</w:t>
            </w:r>
            <w:r w:rsidRPr="00A66A30">
              <w:rPr>
                <w:rFonts w:cs="Times New Roman"/>
                <w:sz w:val="20"/>
                <w:szCs w:val="20"/>
                <w:lang w:val="en-US"/>
              </w:rPr>
              <w:t>0</w:t>
            </w:r>
          </w:p>
        </w:tc>
        <w:tc>
          <w:tcPr>
            <w:tcW w:w="1041" w:type="dxa"/>
            <w:vMerge/>
            <w:tcBorders>
              <w:top w:val="nil"/>
              <w:left w:val="nil"/>
              <w:bottom w:val="nil"/>
              <w:right w:val="nil"/>
            </w:tcBorders>
            <w:noWrap/>
            <w:tcMar>
              <w:top w:w="15" w:type="dxa"/>
              <w:left w:w="15" w:type="dxa"/>
              <w:bottom w:w="0" w:type="dxa"/>
              <w:right w:w="15" w:type="dxa"/>
            </w:tcMar>
          </w:tcPr>
          <w:p w14:paraId="0FDD7FA4" w14:textId="52F6E08C" w:rsidR="00885E66" w:rsidRPr="00A66A30" w:rsidRDefault="00885E66" w:rsidP="00FA7242">
            <w:pPr>
              <w:spacing w:after="0"/>
              <w:jc w:val="center"/>
              <w:rPr>
                <w:rFonts w:cs="Times New Roman"/>
                <w:sz w:val="18"/>
                <w:szCs w:val="18"/>
                <w:lang w:val="en-US"/>
              </w:rPr>
            </w:pPr>
          </w:p>
        </w:tc>
      </w:tr>
      <w:tr w:rsidR="00885E66" w:rsidRPr="00A66A30" w14:paraId="429CD01A" w14:textId="77777777" w:rsidTr="003918A6">
        <w:trPr>
          <w:cantSplit/>
          <w:trHeight w:val="58"/>
          <w:jc w:val="center"/>
        </w:trPr>
        <w:tc>
          <w:tcPr>
            <w:tcW w:w="1413" w:type="dxa"/>
            <w:tcBorders>
              <w:top w:val="nil"/>
              <w:left w:val="nil"/>
              <w:bottom w:val="nil"/>
              <w:right w:val="nil"/>
            </w:tcBorders>
            <w:noWrap/>
            <w:tcMar>
              <w:top w:w="15" w:type="dxa"/>
              <w:left w:w="15" w:type="dxa"/>
              <w:bottom w:w="0" w:type="dxa"/>
              <w:right w:w="15" w:type="dxa"/>
            </w:tcMar>
            <w:vAlign w:val="bottom"/>
          </w:tcPr>
          <w:p w14:paraId="3D734563" w14:textId="0F0430A2" w:rsidR="00885E66" w:rsidRPr="00A66A30" w:rsidRDefault="00885E66" w:rsidP="00FA7242">
            <w:pPr>
              <w:spacing w:after="0"/>
              <w:rPr>
                <w:rFonts w:cs="Times New Roman"/>
                <w:sz w:val="20"/>
                <w:szCs w:val="20"/>
                <w:lang w:val="en-US"/>
              </w:rPr>
            </w:pPr>
            <w:r w:rsidRPr="00A66A30">
              <w:rPr>
                <w:rFonts w:cs="Times New Roman"/>
                <w:sz w:val="20"/>
                <w:szCs w:val="20"/>
                <w:lang w:val="en-US"/>
              </w:rPr>
              <w:t>Bran</w:t>
            </w:r>
          </w:p>
        </w:tc>
        <w:tc>
          <w:tcPr>
            <w:tcW w:w="992" w:type="dxa"/>
            <w:tcBorders>
              <w:top w:val="nil"/>
              <w:left w:val="nil"/>
              <w:bottom w:val="nil"/>
              <w:right w:val="nil"/>
            </w:tcBorders>
            <w:noWrap/>
            <w:tcMar>
              <w:top w:w="15" w:type="dxa"/>
              <w:left w:w="15" w:type="dxa"/>
              <w:bottom w:w="0" w:type="dxa"/>
              <w:right w:w="15" w:type="dxa"/>
            </w:tcMar>
            <w:vAlign w:val="bottom"/>
          </w:tcPr>
          <w:p w14:paraId="0A39BBA3" w14:textId="69744636"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45</w:t>
            </w:r>
          </w:p>
        </w:tc>
        <w:tc>
          <w:tcPr>
            <w:tcW w:w="590" w:type="dxa"/>
            <w:tcBorders>
              <w:top w:val="nil"/>
              <w:left w:val="nil"/>
              <w:bottom w:val="nil"/>
              <w:right w:val="nil"/>
            </w:tcBorders>
          </w:tcPr>
          <w:p w14:paraId="63E0196E" w14:textId="227B547E" w:rsidR="00885E66" w:rsidRPr="00A66A30" w:rsidRDefault="00885E66" w:rsidP="00FA7242">
            <w:pPr>
              <w:spacing w:after="0"/>
              <w:jc w:val="center"/>
              <w:rPr>
                <w:rFonts w:cs="Times New Roman"/>
                <w:sz w:val="20"/>
                <w:szCs w:val="20"/>
                <w:lang w:val="en-US"/>
              </w:rPr>
            </w:pPr>
            <w:r w:rsidRPr="00A66A30">
              <w:rPr>
                <w:rFonts w:cs="Times New Roman"/>
                <w:sz w:val="20"/>
                <w:szCs w:val="20"/>
                <w:lang w:val="en-US"/>
              </w:rPr>
              <w:t>0</w:t>
            </w:r>
          </w:p>
        </w:tc>
        <w:tc>
          <w:tcPr>
            <w:tcW w:w="564" w:type="dxa"/>
            <w:tcBorders>
              <w:top w:val="nil"/>
              <w:left w:val="nil"/>
              <w:bottom w:val="nil"/>
              <w:right w:val="nil"/>
            </w:tcBorders>
            <w:noWrap/>
            <w:tcMar>
              <w:top w:w="15" w:type="dxa"/>
              <w:left w:w="15" w:type="dxa"/>
              <w:bottom w:w="0" w:type="dxa"/>
              <w:right w:w="15" w:type="dxa"/>
            </w:tcMar>
          </w:tcPr>
          <w:p w14:paraId="273C7A29" w14:textId="4E62091F"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0</w:t>
            </w:r>
            <w:r w:rsidR="007C7AEE" w:rsidRPr="00A66A30">
              <w:rPr>
                <w:rFonts w:cs="Times New Roman"/>
                <w:sz w:val="20"/>
                <w:szCs w:val="20"/>
                <w:lang w:val="en-US"/>
              </w:rPr>
              <w:t>.</w:t>
            </w:r>
            <w:r w:rsidRPr="00A66A30">
              <w:rPr>
                <w:rFonts w:cs="Times New Roman"/>
                <w:sz w:val="20"/>
                <w:szCs w:val="20"/>
                <w:lang w:val="en-US"/>
              </w:rPr>
              <w:t>0</w:t>
            </w:r>
          </w:p>
        </w:tc>
        <w:tc>
          <w:tcPr>
            <w:tcW w:w="731" w:type="dxa"/>
            <w:tcBorders>
              <w:top w:val="nil"/>
              <w:left w:val="nil"/>
              <w:bottom w:val="nil"/>
              <w:right w:val="nil"/>
            </w:tcBorders>
            <w:noWrap/>
            <w:tcMar>
              <w:top w:w="15" w:type="dxa"/>
              <w:left w:w="15" w:type="dxa"/>
              <w:bottom w:w="0" w:type="dxa"/>
              <w:right w:w="15" w:type="dxa"/>
            </w:tcMar>
          </w:tcPr>
          <w:p w14:paraId="562751A2" w14:textId="2F6A8283"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0</w:t>
            </w:r>
            <w:r w:rsidR="007C7AEE" w:rsidRPr="00A66A30">
              <w:rPr>
                <w:rFonts w:cs="Times New Roman"/>
                <w:sz w:val="20"/>
                <w:szCs w:val="20"/>
                <w:lang w:val="en-US"/>
              </w:rPr>
              <w:t>.</w:t>
            </w:r>
            <w:r w:rsidRPr="00A66A30">
              <w:rPr>
                <w:rFonts w:cs="Times New Roman"/>
                <w:sz w:val="20"/>
                <w:szCs w:val="20"/>
                <w:lang w:val="en-US"/>
              </w:rPr>
              <w:t>0</w:t>
            </w:r>
          </w:p>
        </w:tc>
        <w:tc>
          <w:tcPr>
            <w:tcW w:w="775" w:type="dxa"/>
            <w:tcBorders>
              <w:top w:val="nil"/>
              <w:left w:val="nil"/>
              <w:bottom w:val="nil"/>
              <w:right w:val="nil"/>
            </w:tcBorders>
            <w:noWrap/>
            <w:tcMar>
              <w:top w:w="15" w:type="dxa"/>
              <w:left w:w="15" w:type="dxa"/>
              <w:bottom w:w="0" w:type="dxa"/>
              <w:right w:w="15" w:type="dxa"/>
            </w:tcMar>
          </w:tcPr>
          <w:p w14:paraId="3D738C6B" w14:textId="1E81BFC7"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w:t>
            </w:r>
            <w:r w:rsidR="007C7AEE" w:rsidRPr="00A66A30">
              <w:rPr>
                <w:rFonts w:cs="Times New Roman"/>
                <w:sz w:val="20"/>
                <w:szCs w:val="20"/>
                <w:lang w:val="en-US"/>
              </w:rPr>
              <w:t>.</w:t>
            </w:r>
            <w:r w:rsidRPr="00A66A30">
              <w:rPr>
                <w:rFonts w:cs="Times New Roman"/>
                <w:sz w:val="20"/>
                <w:szCs w:val="20"/>
                <w:lang w:val="en-US"/>
              </w:rPr>
              <w:t>3</w:t>
            </w:r>
          </w:p>
        </w:tc>
        <w:tc>
          <w:tcPr>
            <w:tcW w:w="733" w:type="dxa"/>
            <w:tcBorders>
              <w:top w:val="nil"/>
              <w:left w:val="nil"/>
              <w:bottom w:val="nil"/>
              <w:right w:val="nil"/>
            </w:tcBorders>
            <w:noWrap/>
            <w:tcMar>
              <w:top w:w="15" w:type="dxa"/>
              <w:left w:w="15" w:type="dxa"/>
              <w:bottom w:w="0" w:type="dxa"/>
              <w:right w:w="15" w:type="dxa"/>
            </w:tcMar>
          </w:tcPr>
          <w:p w14:paraId="14DEB32D" w14:textId="0CE2A9B3"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12</w:t>
            </w:r>
            <w:r w:rsidR="007C7AEE" w:rsidRPr="00A66A30">
              <w:rPr>
                <w:rFonts w:cs="Times New Roman"/>
                <w:sz w:val="20"/>
                <w:szCs w:val="20"/>
                <w:lang w:val="en-US"/>
              </w:rPr>
              <w:t>.</w:t>
            </w:r>
            <w:r w:rsidRPr="00A66A30">
              <w:rPr>
                <w:rFonts w:cs="Times New Roman"/>
                <w:sz w:val="20"/>
                <w:szCs w:val="20"/>
                <w:lang w:val="en-US"/>
              </w:rPr>
              <w:t>8</w:t>
            </w:r>
          </w:p>
        </w:tc>
        <w:tc>
          <w:tcPr>
            <w:tcW w:w="733" w:type="dxa"/>
            <w:tcBorders>
              <w:top w:val="nil"/>
              <w:left w:val="nil"/>
              <w:bottom w:val="nil"/>
              <w:right w:val="nil"/>
            </w:tcBorders>
            <w:noWrap/>
            <w:tcMar>
              <w:top w:w="15" w:type="dxa"/>
              <w:left w:w="15" w:type="dxa"/>
              <w:bottom w:w="0" w:type="dxa"/>
              <w:right w:w="15" w:type="dxa"/>
            </w:tcMar>
          </w:tcPr>
          <w:p w14:paraId="3E8C71B5" w14:textId="65126364"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26</w:t>
            </w:r>
            <w:r w:rsidR="007C7AEE" w:rsidRPr="00A66A30">
              <w:rPr>
                <w:rFonts w:cs="Times New Roman"/>
                <w:sz w:val="20"/>
                <w:szCs w:val="20"/>
                <w:lang w:val="en-US"/>
              </w:rPr>
              <w:t>.</w:t>
            </w:r>
            <w:r w:rsidRPr="00A66A30">
              <w:rPr>
                <w:rFonts w:cs="Times New Roman"/>
                <w:sz w:val="20"/>
                <w:szCs w:val="20"/>
                <w:lang w:val="en-US"/>
              </w:rPr>
              <w:t>5</w:t>
            </w:r>
          </w:p>
        </w:tc>
        <w:tc>
          <w:tcPr>
            <w:tcW w:w="733" w:type="dxa"/>
            <w:tcBorders>
              <w:top w:val="nil"/>
              <w:left w:val="nil"/>
              <w:bottom w:val="nil"/>
              <w:right w:val="nil"/>
            </w:tcBorders>
            <w:noWrap/>
            <w:tcMar>
              <w:top w:w="15" w:type="dxa"/>
              <w:left w:w="15" w:type="dxa"/>
              <w:bottom w:w="0" w:type="dxa"/>
              <w:right w:w="15" w:type="dxa"/>
            </w:tcMar>
          </w:tcPr>
          <w:p w14:paraId="2CF2F49D" w14:textId="4DB46736"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34.</w:t>
            </w:r>
            <w:r w:rsidR="00885E66" w:rsidRPr="00A66A30">
              <w:rPr>
                <w:rFonts w:cs="Times New Roman"/>
                <w:sz w:val="20"/>
                <w:szCs w:val="20"/>
                <w:lang w:val="en-US"/>
              </w:rPr>
              <w:t>3</w:t>
            </w:r>
          </w:p>
        </w:tc>
        <w:tc>
          <w:tcPr>
            <w:tcW w:w="733" w:type="dxa"/>
            <w:tcBorders>
              <w:top w:val="nil"/>
              <w:left w:val="nil"/>
              <w:bottom w:val="nil"/>
              <w:right w:val="nil"/>
            </w:tcBorders>
            <w:noWrap/>
            <w:tcMar>
              <w:top w:w="15" w:type="dxa"/>
              <w:left w:w="15" w:type="dxa"/>
              <w:bottom w:w="0" w:type="dxa"/>
              <w:right w:w="15" w:type="dxa"/>
            </w:tcMar>
          </w:tcPr>
          <w:p w14:paraId="7F9EE5ED" w14:textId="1863AF5C"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41</w:t>
            </w:r>
            <w:r w:rsidR="007C7AEE" w:rsidRPr="00A66A30">
              <w:rPr>
                <w:rFonts w:cs="Times New Roman"/>
                <w:sz w:val="20"/>
                <w:szCs w:val="20"/>
                <w:lang w:val="en-US"/>
              </w:rPr>
              <w:t>.</w:t>
            </w:r>
            <w:r w:rsidRPr="00A66A30">
              <w:rPr>
                <w:rFonts w:cs="Times New Roman"/>
                <w:sz w:val="20"/>
                <w:szCs w:val="20"/>
                <w:lang w:val="en-US"/>
              </w:rPr>
              <w:t>0</w:t>
            </w:r>
          </w:p>
        </w:tc>
        <w:tc>
          <w:tcPr>
            <w:tcW w:w="680" w:type="dxa"/>
            <w:tcBorders>
              <w:top w:val="nil"/>
              <w:left w:val="nil"/>
              <w:bottom w:val="nil"/>
              <w:right w:val="nil"/>
            </w:tcBorders>
            <w:noWrap/>
            <w:tcMar>
              <w:top w:w="15" w:type="dxa"/>
              <w:left w:w="15" w:type="dxa"/>
              <w:bottom w:w="0" w:type="dxa"/>
              <w:right w:w="15" w:type="dxa"/>
            </w:tcMar>
          </w:tcPr>
          <w:p w14:paraId="0DE7AC76" w14:textId="3537337D"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43</w:t>
            </w:r>
            <w:r w:rsidR="007C7AEE" w:rsidRPr="00A66A30">
              <w:rPr>
                <w:rFonts w:cs="Times New Roman"/>
                <w:sz w:val="20"/>
                <w:szCs w:val="20"/>
                <w:lang w:val="en-US"/>
              </w:rPr>
              <w:t>.</w:t>
            </w:r>
            <w:r w:rsidRPr="00A66A30">
              <w:rPr>
                <w:rFonts w:cs="Times New Roman"/>
                <w:sz w:val="20"/>
                <w:szCs w:val="20"/>
                <w:lang w:val="en-US"/>
              </w:rPr>
              <w:t>3</w:t>
            </w:r>
          </w:p>
        </w:tc>
        <w:tc>
          <w:tcPr>
            <w:tcW w:w="1041" w:type="dxa"/>
            <w:vMerge/>
            <w:tcBorders>
              <w:top w:val="nil"/>
              <w:left w:val="nil"/>
              <w:bottom w:val="nil"/>
              <w:right w:val="nil"/>
            </w:tcBorders>
            <w:noWrap/>
            <w:tcMar>
              <w:top w:w="15" w:type="dxa"/>
              <w:left w:w="15" w:type="dxa"/>
              <w:bottom w:w="0" w:type="dxa"/>
              <w:right w:w="15" w:type="dxa"/>
            </w:tcMar>
          </w:tcPr>
          <w:p w14:paraId="0BCFEBFC" w14:textId="64113811" w:rsidR="00885E66" w:rsidRPr="00A66A30" w:rsidRDefault="00885E66" w:rsidP="00FA7242">
            <w:pPr>
              <w:spacing w:after="0"/>
              <w:jc w:val="center"/>
              <w:rPr>
                <w:rFonts w:cs="Times New Roman"/>
                <w:sz w:val="18"/>
                <w:szCs w:val="18"/>
                <w:lang w:val="en-US"/>
              </w:rPr>
            </w:pPr>
          </w:p>
        </w:tc>
      </w:tr>
      <w:tr w:rsidR="00885E66" w:rsidRPr="00A66A30" w14:paraId="4B51EE07" w14:textId="77777777" w:rsidTr="003918A6">
        <w:trPr>
          <w:cantSplit/>
          <w:trHeight w:val="58"/>
          <w:jc w:val="center"/>
        </w:trPr>
        <w:tc>
          <w:tcPr>
            <w:tcW w:w="1413" w:type="dxa"/>
            <w:tcBorders>
              <w:top w:val="nil"/>
              <w:left w:val="nil"/>
              <w:bottom w:val="nil"/>
              <w:right w:val="nil"/>
            </w:tcBorders>
            <w:noWrap/>
            <w:tcMar>
              <w:top w:w="15" w:type="dxa"/>
              <w:left w:w="15" w:type="dxa"/>
              <w:bottom w:w="0" w:type="dxa"/>
              <w:right w:w="15" w:type="dxa"/>
            </w:tcMar>
            <w:vAlign w:val="bottom"/>
          </w:tcPr>
          <w:p w14:paraId="14E86012" w14:textId="32E0FB12" w:rsidR="00885E66" w:rsidRPr="00A66A30" w:rsidRDefault="00885E66" w:rsidP="00FA7242">
            <w:pPr>
              <w:spacing w:after="0"/>
              <w:rPr>
                <w:rFonts w:cs="Times New Roman"/>
                <w:sz w:val="20"/>
                <w:szCs w:val="20"/>
                <w:lang w:val="en-US"/>
              </w:rPr>
            </w:pPr>
            <w:r w:rsidRPr="00A66A30">
              <w:rPr>
                <w:rFonts w:cs="Times New Roman"/>
                <w:sz w:val="20"/>
                <w:szCs w:val="20"/>
                <w:lang w:val="en-US"/>
              </w:rPr>
              <w:t>Mineral powder</w:t>
            </w:r>
          </w:p>
        </w:tc>
        <w:tc>
          <w:tcPr>
            <w:tcW w:w="992" w:type="dxa"/>
            <w:tcBorders>
              <w:top w:val="nil"/>
              <w:left w:val="nil"/>
              <w:bottom w:val="nil"/>
              <w:right w:val="nil"/>
            </w:tcBorders>
            <w:noWrap/>
            <w:tcMar>
              <w:top w:w="15" w:type="dxa"/>
              <w:left w:w="15" w:type="dxa"/>
              <w:bottom w:w="0" w:type="dxa"/>
              <w:right w:w="15" w:type="dxa"/>
            </w:tcMar>
            <w:vAlign w:val="bottom"/>
          </w:tcPr>
          <w:p w14:paraId="31BA5839" w14:textId="39FED2BE"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11</w:t>
            </w:r>
          </w:p>
        </w:tc>
        <w:tc>
          <w:tcPr>
            <w:tcW w:w="590" w:type="dxa"/>
            <w:tcBorders>
              <w:top w:val="nil"/>
              <w:left w:val="nil"/>
              <w:bottom w:val="nil"/>
              <w:right w:val="nil"/>
            </w:tcBorders>
          </w:tcPr>
          <w:p w14:paraId="54D759B3" w14:textId="0C6FEFAB" w:rsidR="00885E66" w:rsidRPr="00A66A30" w:rsidRDefault="00885E66" w:rsidP="00FA7242">
            <w:pPr>
              <w:spacing w:after="0"/>
              <w:jc w:val="center"/>
              <w:rPr>
                <w:rFonts w:cs="Times New Roman"/>
                <w:sz w:val="20"/>
                <w:szCs w:val="20"/>
                <w:lang w:val="en-US"/>
              </w:rPr>
            </w:pPr>
            <w:r w:rsidRPr="00A66A30">
              <w:rPr>
                <w:rFonts w:cs="Times New Roman"/>
                <w:sz w:val="20"/>
                <w:szCs w:val="20"/>
                <w:lang w:val="en-US"/>
              </w:rPr>
              <w:t>0</w:t>
            </w:r>
          </w:p>
        </w:tc>
        <w:tc>
          <w:tcPr>
            <w:tcW w:w="564" w:type="dxa"/>
            <w:tcBorders>
              <w:top w:val="nil"/>
              <w:left w:val="nil"/>
              <w:bottom w:val="nil"/>
              <w:right w:val="nil"/>
            </w:tcBorders>
            <w:noWrap/>
            <w:tcMar>
              <w:top w:w="15" w:type="dxa"/>
              <w:left w:w="15" w:type="dxa"/>
              <w:bottom w:w="0" w:type="dxa"/>
              <w:right w:w="15" w:type="dxa"/>
            </w:tcMar>
          </w:tcPr>
          <w:p w14:paraId="6498FD72" w14:textId="14AD6236"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0</w:t>
            </w:r>
          </w:p>
        </w:tc>
        <w:tc>
          <w:tcPr>
            <w:tcW w:w="731" w:type="dxa"/>
            <w:tcBorders>
              <w:top w:val="nil"/>
              <w:left w:val="nil"/>
              <w:bottom w:val="nil"/>
              <w:right w:val="nil"/>
            </w:tcBorders>
            <w:noWrap/>
            <w:tcMar>
              <w:top w:w="15" w:type="dxa"/>
              <w:left w:w="15" w:type="dxa"/>
              <w:bottom w:w="0" w:type="dxa"/>
              <w:right w:w="15" w:type="dxa"/>
            </w:tcMar>
          </w:tcPr>
          <w:p w14:paraId="5C3FDAF3" w14:textId="4A7E5D33"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0</w:t>
            </w:r>
          </w:p>
        </w:tc>
        <w:tc>
          <w:tcPr>
            <w:tcW w:w="775" w:type="dxa"/>
            <w:tcBorders>
              <w:top w:val="nil"/>
              <w:left w:val="nil"/>
              <w:bottom w:val="nil"/>
              <w:right w:val="nil"/>
            </w:tcBorders>
            <w:noWrap/>
            <w:tcMar>
              <w:top w:w="15" w:type="dxa"/>
              <w:left w:w="15" w:type="dxa"/>
              <w:bottom w:w="0" w:type="dxa"/>
              <w:right w:w="15" w:type="dxa"/>
            </w:tcMar>
          </w:tcPr>
          <w:p w14:paraId="18BF82A2" w14:textId="5FF99104"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060338FA" w14:textId="5CFA476B"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44AD842B" w14:textId="7BA30AF3"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0</w:t>
            </w:r>
            <w:r w:rsidR="007C7AEE" w:rsidRPr="00A66A30">
              <w:rPr>
                <w:rFonts w:cs="Times New Roman"/>
                <w:sz w:val="20"/>
                <w:szCs w:val="20"/>
                <w:lang w:val="en-US"/>
              </w:rPr>
              <w:t>.</w:t>
            </w:r>
            <w:r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4FB44C0C" w14:textId="239267BB" w:rsidR="00885E66" w:rsidRPr="00A66A30" w:rsidRDefault="007C7AEE" w:rsidP="00FA7242">
            <w:pPr>
              <w:spacing w:after="0"/>
              <w:jc w:val="center"/>
              <w:rPr>
                <w:rFonts w:cs="Times New Roman"/>
                <w:sz w:val="20"/>
                <w:szCs w:val="20"/>
                <w:lang w:val="en-US"/>
              </w:rPr>
            </w:pPr>
            <w:r w:rsidRPr="00A66A30">
              <w:rPr>
                <w:rFonts w:cs="Times New Roman"/>
                <w:sz w:val="20"/>
                <w:szCs w:val="20"/>
                <w:lang w:val="en-US"/>
              </w:rPr>
              <w:t>0.</w:t>
            </w:r>
            <w:r w:rsidR="00885E66"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52D64DD0" w14:textId="615BA1D1"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0</w:t>
            </w:r>
            <w:r w:rsidR="007C7AEE" w:rsidRPr="00A66A30">
              <w:rPr>
                <w:rFonts w:cs="Times New Roman"/>
                <w:sz w:val="20"/>
                <w:szCs w:val="20"/>
                <w:lang w:val="en-US"/>
              </w:rPr>
              <w:t>.</w:t>
            </w:r>
            <w:r w:rsidRPr="00A66A30">
              <w:rPr>
                <w:rFonts w:cs="Times New Roman"/>
                <w:sz w:val="20"/>
                <w:szCs w:val="20"/>
                <w:lang w:val="en-US"/>
              </w:rPr>
              <w:t>6</w:t>
            </w:r>
          </w:p>
        </w:tc>
        <w:tc>
          <w:tcPr>
            <w:tcW w:w="680" w:type="dxa"/>
            <w:tcBorders>
              <w:top w:val="nil"/>
              <w:left w:val="nil"/>
              <w:bottom w:val="nil"/>
              <w:right w:val="nil"/>
            </w:tcBorders>
            <w:noWrap/>
            <w:tcMar>
              <w:top w:w="15" w:type="dxa"/>
              <w:left w:w="15" w:type="dxa"/>
              <w:bottom w:w="0" w:type="dxa"/>
              <w:right w:w="15" w:type="dxa"/>
            </w:tcMar>
          </w:tcPr>
          <w:p w14:paraId="0273FC28" w14:textId="3C88EAF7" w:rsidR="00885E66" w:rsidRPr="00A66A30" w:rsidRDefault="00885E66" w:rsidP="007C7AEE">
            <w:pPr>
              <w:spacing w:after="0"/>
              <w:jc w:val="center"/>
              <w:rPr>
                <w:rFonts w:cs="Times New Roman"/>
                <w:sz w:val="20"/>
                <w:szCs w:val="20"/>
                <w:lang w:val="en-US"/>
              </w:rPr>
            </w:pPr>
            <w:r w:rsidRPr="00A66A30">
              <w:rPr>
                <w:rFonts w:cs="Times New Roman"/>
                <w:sz w:val="20"/>
                <w:szCs w:val="20"/>
                <w:lang w:val="en-US"/>
              </w:rPr>
              <w:t>2</w:t>
            </w:r>
            <w:r w:rsidR="007C7AEE" w:rsidRPr="00A66A30">
              <w:rPr>
                <w:rFonts w:cs="Times New Roman"/>
                <w:sz w:val="20"/>
                <w:szCs w:val="20"/>
                <w:lang w:val="en-US"/>
              </w:rPr>
              <w:t>.</w:t>
            </w:r>
            <w:r w:rsidRPr="00A66A30">
              <w:rPr>
                <w:rFonts w:cs="Times New Roman"/>
                <w:sz w:val="20"/>
                <w:szCs w:val="20"/>
                <w:lang w:val="en-US"/>
              </w:rPr>
              <w:t>7</w:t>
            </w:r>
          </w:p>
        </w:tc>
        <w:tc>
          <w:tcPr>
            <w:tcW w:w="1041" w:type="dxa"/>
            <w:vMerge/>
            <w:tcBorders>
              <w:top w:val="nil"/>
              <w:left w:val="nil"/>
              <w:bottom w:val="nil"/>
              <w:right w:val="nil"/>
            </w:tcBorders>
            <w:noWrap/>
            <w:tcMar>
              <w:top w:w="15" w:type="dxa"/>
              <w:left w:w="15" w:type="dxa"/>
              <w:bottom w:w="0" w:type="dxa"/>
              <w:right w:w="15" w:type="dxa"/>
            </w:tcMar>
          </w:tcPr>
          <w:p w14:paraId="369D4AF8" w14:textId="03A0E2E2" w:rsidR="00885E66" w:rsidRPr="00A66A30" w:rsidRDefault="00885E66" w:rsidP="00FA7242">
            <w:pPr>
              <w:spacing w:after="0"/>
              <w:jc w:val="center"/>
              <w:rPr>
                <w:rFonts w:cs="Times New Roman"/>
                <w:sz w:val="18"/>
                <w:szCs w:val="18"/>
                <w:lang w:val="en-US"/>
              </w:rPr>
            </w:pPr>
          </w:p>
        </w:tc>
      </w:tr>
      <w:tr w:rsidR="00885E66" w:rsidRPr="00A66A30" w14:paraId="16D71BBC" w14:textId="77777777" w:rsidTr="003918A6">
        <w:trPr>
          <w:cantSplit/>
          <w:trHeight w:val="48"/>
          <w:jc w:val="center"/>
        </w:trPr>
        <w:tc>
          <w:tcPr>
            <w:tcW w:w="2405" w:type="dxa"/>
            <w:gridSpan w:val="2"/>
            <w:tcBorders>
              <w:top w:val="nil"/>
              <w:left w:val="nil"/>
              <w:bottom w:val="single" w:sz="4" w:space="0" w:color="auto"/>
              <w:right w:val="nil"/>
            </w:tcBorders>
            <w:noWrap/>
            <w:tcMar>
              <w:top w:w="15" w:type="dxa"/>
              <w:left w:w="15" w:type="dxa"/>
              <w:bottom w:w="0" w:type="dxa"/>
              <w:right w:w="15" w:type="dxa"/>
            </w:tcMar>
            <w:vAlign w:val="bottom"/>
          </w:tcPr>
          <w:p w14:paraId="315BAD04" w14:textId="1353F880" w:rsidR="00885E66" w:rsidRPr="00A66A30" w:rsidRDefault="00885E66" w:rsidP="002E1582">
            <w:pPr>
              <w:spacing w:after="0"/>
              <w:jc w:val="center"/>
              <w:rPr>
                <w:rFonts w:cs="Times New Roman"/>
                <w:sz w:val="20"/>
                <w:szCs w:val="20"/>
                <w:lang w:val="en-US"/>
              </w:rPr>
            </w:pPr>
            <w:r w:rsidRPr="00A66A30">
              <w:rPr>
                <w:rFonts w:cs="Times New Roman"/>
                <w:iCs/>
                <w:sz w:val="20"/>
                <w:szCs w:val="20"/>
                <w:lang w:val="en-US"/>
              </w:rPr>
              <w:t>Total</w:t>
            </w:r>
          </w:p>
        </w:tc>
        <w:tc>
          <w:tcPr>
            <w:tcW w:w="590" w:type="dxa"/>
            <w:tcBorders>
              <w:top w:val="nil"/>
              <w:left w:val="nil"/>
              <w:bottom w:val="single" w:sz="4" w:space="0" w:color="auto"/>
              <w:right w:val="nil"/>
            </w:tcBorders>
          </w:tcPr>
          <w:p w14:paraId="2509439A" w14:textId="179888C7" w:rsidR="00885E66" w:rsidRPr="00A66A30" w:rsidRDefault="00885E66" w:rsidP="00F1616A">
            <w:pPr>
              <w:spacing w:after="0"/>
              <w:jc w:val="center"/>
              <w:rPr>
                <w:rFonts w:cs="Times New Roman"/>
                <w:iCs/>
                <w:sz w:val="20"/>
                <w:szCs w:val="20"/>
                <w:lang w:val="en-US"/>
              </w:rPr>
            </w:pPr>
            <w:r w:rsidRPr="00A66A30">
              <w:rPr>
                <w:rFonts w:cs="Times New Roman"/>
                <w:iCs/>
                <w:sz w:val="20"/>
                <w:szCs w:val="20"/>
                <w:lang w:val="en-US"/>
              </w:rPr>
              <w:t>0</w:t>
            </w:r>
          </w:p>
        </w:tc>
        <w:tc>
          <w:tcPr>
            <w:tcW w:w="564" w:type="dxa"/>
            <w:tcBorders>
              <w:top w:val="nil"/>
              <w:left w:val="nil"/>
              <w:bottom w:val="single" w:sz="4" w:space="0" w:color="auto"/>
              <w:right w:val="nil"/>
            </w:tcBorders>
            <w:noWrap/>
            <w:tcMar>
              <w:top w:w="15" w:type="dxa"/>
              <w:left w:w="15" w:type="dxa"/>
              <w:bottom w:w="0" w:type="dxa"/>
              <w:right w:w="15" w:type="dxa"/>
            </w:tcMar>
          </w:tcPr>
          <w:p w14:paraId="6F7339EB" w14:textId="6AACAF33" w:rsidR="00885E66" w:rsidRPr="00A66A30" w:rsidRDefault="007C7AEE" w:rsidP="00F1616A">
            <w:pPr>
              <w:spacing w:after="0"/>
              <w:jc w:val="center"/>
              <w:rPr>
                <w:rFonts w:cs="Times New Roman"/>
                <w:iCs/>
                <w:sz w:val="20"/>
                <w:szCs w:val="20"/>
                <w:lang w:val="en-US"/>
              </w:rPr>
            </w:pPr>
            <w:r w:rsidRPr="00A66A30">
              <w:rPr>
                <w:rFonts w:cs="Times New Roman"/>
                <w:iCs/>
                <w:sz w:val="20"/>
                <w:szCs w:val="20"/>
                <w:lang w:val="en-US"/>
              </w:rPr>
              <w:t>3.</w:t>
            </w:r>
            <w:r w:rsidR="00885E66" w:rsidRPr="00A66A30">
              <w:rPr>
                <w:rFonts w:cs="Times New Roman"/>
                <w:iCs/>
                <w:sz w:val="20"/>
                <w:szCs w:val="20"/>
                <w:lang w:val="en-US"/>
              </w:rPr>
              <w:t>6</w:t>
            </w:r>
          </w:p>
        </w:tc>
        <w:tc>
          <w:tcPr>
            <w:tcW w:w="731" w:type="dxa"/>
            <w:tcBorders>
              <w:top w:val="nil"/>
              <w:left w:val="nil"/>
              <w:bottom w:val="single" w:sz="4" w:space="0" w:color="auto"/>
              <w:right w:val="nil"/>
            </w:tcBorders>
            <w:noWrap/>
            <w:tcMar>
              <w:top w:w="15" w:type="dxa"/>
              <w:left w:w="15" w:type="dxa"/>
              <w:bottom w:w="0" w:type="dxa"/>
              <w:right w:w="15" w:type="dxa"/>
            </w:tcMar>
          </w:tcPr>
          <w:p w14:paraId="3281D772" w14:textId="0D3F7536" w:rsidR="00885E66" w:rsidRPr="00A66A30" w:rsidRDefault="007C7AEE" w:rsidP="00F1616A">
            <w:pPr>
              <w:spacing w:after="0"/>
              <w:jc w:val="center"/>
              <w:rPr>
                <w:rFonts w:cs="Times New Roman"/>
                <w:iCs/>
                <w:sz w:val="20"/>
                <w:szCs w:val="20"/>
                <w:lang w:val="en-US"/>
              </w:rPr>
            </w:pPr>
            <w:r w:rsidRPr="00A66A30">
              <w:rPr>
                <w:rFonts w:cs="Times New Roman"/>
                <w:iCs/>
                <w:sz w:val="20"/>
                <w:szCs w:val="20"/>
                <w:lang w:val="en-US"/>
              </w:rPr>
              <w:t>30.</w:t>
            </w:r>
            <w:r w:rsidR="00885E66" w:rsidRPr="00A66A30">
              <w:rPr>
                <w:rFonts w:cs="Times New Roman"/>
                <w:iCs/>
                <w:sz w:val="20"/>
                <w:szCs w:val="20"/>
                <w:lang w:val="en-US"/>
              </w:rPr>
              <w:t>3</w:t>
            </w:r>
          </w:p>
        </w:tc>
        <w:tc>
          <w:tcPr>
            <w:tcW w:w="775" w:type="dxa"/>
            <w:tcBorders>
              <w:top w:val="nil"/>
              <w:left w:val="nil"/>
              <w:bottom w:val="single" w:sz="4" w:space="0" w:color="auto"/>
              <w:right w:val="nil"/>
            </w:tcBorders>
            <w:noWrap/>
            <w:tcMar>
              <w:top w:w="15" w:type="dxa"/>
              <w:left w:w="15" w:type="dxa"/>
              <w:bottom w:w="0" w:type="dxa"/>
              <w:right w:w="15" w:type="dxa"/>
            </w:tcMar>
          </w:tcPr>
          <w:p w14:paraId="3A32F99F" w14:textId="65636B36" w:rsidR="00885E66" w:rsidRPr="00A66A30" w:rsidRDefault="007C7AEE" w:rsidP="00F1616A">
            <w:pPr>
              <w:spacing w:after="0"/>
              <w:jc w:val="center"/>
              <w:rPr>
                <w:rFonts w:cs="Times New Roman"/>
                <w:iCs/>
                <w:sz w:val="20"/>
                <w:szCs w:val="20"/>
                <w:lang w:val="en-US"/>
              </w:rPr>
            </w:pPr>
            <w:r w:rsidRPr="00A66A30">
              <w:rPr>
                <w:rFonts w:cs="Times New Roman"/>
                <w:iCs/>
                <w:sz w:val="20"/>
                <w:szCs w:val="20"/>
                <w:lang w:val="en-US"/>
              </w:rPr>
              <w:t>47.</w:t>
            </w:r>
            <w:r w:rsidR="00885E66" w:rsidRPr="00A66A30">
              <w:rPr>
                <w:rFonts w:cs="Times New Roman"/>
                <w:iCs/>
                <w:sz w:val="20"/>
                <w:szCs w:val="20"/>
                <w:lang w:val="en-US"/>
              </w:rPr>
              <w:t>9</w:t>
            </w:r>
          </w:p>
        </w:tc>
        <w:tc>
          <w:tcPr>
            <w:tcW w:w="733" w:type="dxa"/>
            <w:tcBorders>
              <w:top w:val="nil"/>
              <w:left w:val="nil"/>
              <w:bottom w:val="single" w:sz="4" w:space="0" w:color="auto"/>
              <w:right w:val="nil"/>
            </w:tcBorders>
            <w:noWrap/>
            <w:tcMar>
              <w:top w:w="15" w:type="dxa"/>
              <w:left w:w="15" w:type="dxa"/>
              <w:bottom w:w="0" w:type="dxa"/>
              <w:right w:w="15" w:type="dxa"/>
            </w:tcMar>
          </w:tcPr>
          <w:p w14:paraId="509F0DFF" w14:textId="61C6F21E" w:rsidR="00885E66" w:rsidRPr="00A66A30" w:rsidRDefault="007C7AEE" w:rsidP="00F1616A">
            <w:pPr>
              <w:spacing w:after="0"/>
              <w:jc w:val="center"/>
              <w:rPr>
                <w:rFonts w:cs="Times New Roman"/>
                <w:iCs/>
                <w:sz w:val="20"/>
                <w:szCs w:val="20"/>
                <w:lang w:val="en-US"/>
              </w:rPr>
            </w:pPr>
            <w:r w:rsidRPr="00A66A30">
              <w:rPr>
                <w:rFonts w:cs="Times New Roman"/>
                <w:iCs/>
                <w:sz w:val="20"/>
                <w:szCs w:val="20"/>
                <w:lang w:val="en-US"/>
              </w:rPr>
              <w:t>56.</w:t>
            </w:r>
            <w:r w:rsidR="00885E66" w:rsidRPr="00A66A30">
              <w:rPr>
                <w:rFonts w:cs="Times New Roman"/>
                <w:iCs/>
                <w:sz w:val="20"/>
                <w:szCs w:val="20"/>
                <w:lang w:val="en-US"/>
              </w:rPr>
              <w:t>6</w:t>
            </w:r>
          </w:p>
        </w:tc>
        <w:tc>
          <w:tcPr>
            <w:tcW w:w="733" w:type="dxa"/>
            <w:tcBorders>
              <w:top w:val="nil"/>
              <w:left w:val="nil"/>
              <w:bottom w:val="single" w:sz="4" w:space="0" w:color="auto"/>
              <w:right w:val="nil"/>
            </w:tcBorders>
            <w:noWrap/>
            <w:tcMar>
              <w:top w:w="15" w:type="dxa"/>
              <w:left w:w="15" w:type="dxa"/>
              <w:bottom w:w="0" w:type="dxa"/>
              <w:right w:w="15" w:type="dxa"/>
            </w:tcMar>
          </w:tcPr>
          <w:p w14:paraId="00E8C330" w14:textId="3C0748EC" w:rsidR="00885E66" w:rsidRPr="00A66A30" w:rsidRDefault="00885E66" w:rsidP="007C7AEE">
            <w:pPr>
              <w:spacing w:after="0"/>
              <w:jc w:val="center"/>
              <w:rPr>
                <w:rFonts w:cs="Times New Roman"/>
                <w:iCs/>
                <w:sz w:val="20"/>
                <w:szCs w:val="20"/>
                <w:lang w:val="en-US"/>
              </w:rPr>
            </w:pPr>
            <w:r w:rsidRPr="00A66A30">
              <w:rPr>
                <w:rFonts w:cs="Times New Roman"/>
                <w:iCs/>
                <w:sz w:val="20"/>
                <w:szCs w:val="20"/>
                <w:lang w:val="en-US"/>
              </w:rPr>
              <w:t>70</w:t>
            </w:r>
            <w:r w:rsidR="007C7AEE" w:rsidRPr="00A66A30">
              <w:rPr>
                <w:rFonts w:cs="Times New Roman"/>
                <w:iCs/>
                <w:sz w:val="20"/>
                <w:szCs w:val="20"/>
                <w:lang w:val="en-US"/>
              </w:rPr>
              <w:t>.</w:t>
            </w:r>
            <w:r w:rsidRPr="00A66A30">
              <w:rPr>
                <w:rFonts w:cs="Times New Roman"/>
                <w:iCs/>
                <w:sz w:val="20"/>
                <w:szCs w:val="20"/>
                <w:lang w:val="en-US"/>
              </w:rPr>
              <w:t>4</w:t>
            </w:r>
          </w:p>
        </w:tc>
        <w:tc>
          <w:tcPr>
            <w:tcW w:w="733" w:type="dxa"/>
            <w:tcBorders>
              <w:top w:val="nil"/>
              <w:left w:val="nil"/>
              <w:bottom w:val="single" w:sz="4" w:space="0" w:color="auto"/>
              <w:right w:val="nil"/>
            </w:tcBorders>
            <w:noWrap/>
            <w:tcMar>
              <w:top w:w="15" w:type="dxa"/>
              <w:left w:w="15" w:type="dxa"/>
              <w:bottom w:w="0" w:type="dxa"/>
              <w:right w:w="15" w:type="dxa"/>
            </w:tcMar>
          </w:tcPr>
          <w:p w14:paraId="7C94A9DA" w14:textId="5B859508" w:rsidR="00885E66" w:rsidRPr="00A66A30" w:rsidRDefault="00885E66" w:rsidP="007C7AEE">
            <w:pPr>
              <w:spacing w:after="0"/>
              <w:jc w:val="center"/>
              <w:rPr>
                <w:rFonts w:cs="Times New Roman"/>
                <w:iCs/>
                <w:sz w:val="20"/>
                <w:szCs w:val="20"/>
                <w:lang w:val="en-US"/>
              </w:rPr>
            </w:pPr>
            <w:r w:rsidRPr="00A66A30">
              <w:rPr>
                <w:rFonts w:cs="Times New Roman"/>
                <w:iCs/>
                <w:sz w:val="20"/>
                <w:szCs w:val="20"/>
                <w:lang w:val="en-US"/>
              </w:rPr>
              <w:t>78</w:t>
            </w:r>
            <w:r w:rsidR="007C7AEE" w:rsidRPr="00A66A30">
              <w:rPr>
                <w:rFonts w:cs="Times New Roman"/>
                <w:iCs/>
                <w:sz w:val="20"/>
                <w:szCs w:val="20"/>
                <w:lang w:val="en-US"/>
              </w:rPr>
              <w:t>.</w:t>
            </w:r>
            <w:r w:rsidRPr="00A66A30">
              <w:rPr>
                <w:rFonts w:cs="Times New Roman"/>
                <w:iCs/>
                <w:sz w:val="20"/>
                <w:szCs w:val="20"/>
                <w:lang w:val="en-US"/>
              </w:rPr>
              <w:t>2</w:t>
            </w:r>
          </w:p>
        </w:tc>
        <w:tc>
          <w:tcPr>
            <w:tcW w:w="733" w:type="dxa"/>
            <w:tcBorders>
              <w:top w:val="nil"/>
              <w:left w:val="nil"/>
              <w:bottom w:val="single" w:sz="4" w:space="0" w:color="auto"/>
              <w:right w:val="nil"/>
            </w:tcBorders>
            <w:noWrap/>
            <w:tcMar>
              <w:top w:w="15" w:type="dxa"/>
              <w:left w:w="15" w:type="dxa"/>
              <w:bottom w:w="0" w:type="dxa"/>
              <w:right w:w="15" w:type="dxa"/>
            </w:tcMar>
          </w:tcPr>
          <w:p w14:paraId="6E4510D9" w14:textId="2E4D1BEC" w:rsidR="00885E66" w:rsidRPr="00A66A30" w:rsidRDefault="00885E66" w:rsidP="007C7AEE">
            <w:pPr>
              <w:spacing w:after="0"/>
              <w:jc w:val="center"/>
              <w:rPr>
                <w:rFonts w:cs="Times New Roman"/>
                <w:iCs/>
                <w:sz w:val="20"/>
                <w:szCs w:val="20"/>
                <w:lang w:val="en-US"/>
              </w:rPr>
            </w:pPr>
            <w:r w:rsidRPr="00A66A30">
              <w:rPr>
                <w:rFonts w:cs="Times New Roman"/>
                <w:iCs/>
                <w:sz w:val="20"/>
                <w:szCs w:val="20"/>
                <w:lang w:val="en-US"/>
              </w:rPr>
              <w:t>85</w:t>
            </w:r>
            <w:r w:rsidR="007C7AEE" w:rsidRPr="00A66A30">
              <w:rPr>
                <w:rFonts w:cs="Times New Roman"/>
                <w:iCs/>
                <w:sz w:val="20"/>
                <w:szCs w:val="20"/>
                <w:lang w:val="en-US"/>
              </w:rPr>
              <w:t>.</w:t>
            </w:r>
            <w:r w:rsidRPr="00A66A30">
              <w:rPr>
                <w:rFonts w:cs="Times New Roman"/>
                <w:iCs/>
                <w:sz w:val="20"/>
                <w:szCs w:val="20"/>
                <w:lang w:val="en-US"/>
              </w:rPr>
              <w:t>5</w:t>
            </w:r>
          </w:p>
        </w:tc>
        <w:tc>
          <w:tcPr>
            <w:tcW w:w="680" w:type="dxa"/>
            <w:tcBorders>
              <w:top w:val="nil"/>
              <w:left w:val="nil"/>
              <w:bottom w:val="single" w:sz="4" w:space="0" w:color="auto"/>
              <w:right w:val="nil"/>
            </w:tcBorders>
            <w:noWrap/>
            <w:tcMar>
              <w:top w:w="15" w:type="dxa"/>
              <w:left w:w="15" w:type="dxa"/>
              <w:bottom w:w="0" w:type="dxa"/>
              <w:right w:w="15" w:type="dxa"/>
            </w:tcMar>
          </w:tcPr>
          <w:p w14:paraId="6AA43590" w14:textId="13AEE877" w:rsidR="00885E66" w:rsidRPr="00A66A30" w:rsidRDefault="00885E66" w:rsidP="007C7AEE">
            <w:pPr>
              <w:spacing w:after="0"/>
              <w:jc w:val="center"/>
              <w:rPr>
                <w:rFonts w:cs="Times New Roman"/>
                <w:iCs/>
                <w:sz w:val="20"/>
                <w:szCs w:val="20"/>
                <w:lang w:val="en-US"/>
              </w:rPr>
            </w:pPr>
            <w:r w:rsidRPr="00A66A30">
              <w:rPr>
                <w:rFonts w:cs="Times New Roman"/>
                <w:iCs/>
                <w:sz w:val="20"/>
                <w:szCs w:val="20"/>
                <w:lang w:val="en-US"/>
              </w:rPr>
              <w:t>90</w:t>
            </w:r>
            <w:r w:rsidR="007C7AEE" w:rsidRPr="00A66A30">
              <w:rPr>
                <w:rFonts w:cs="Times New Roman"/>
                <w:iCs/>
                <w:sz w:val="20"/>
                <w:szCs w:val="20"/>
                <w:lang w:val="en-US"/>
              </w:rPr>
              <w:t>.</w:t>
            </w:r>
            <w:r w:rsidRPr="00A66A30">
              <w:rPr>
                <w:rFonts w:cs="Times New Roman"/>
                <w:iCs/>
                <w:sz w:val="20"/>
                <w:szCs w:val="20"/>
                <w:lang w:val="en-US"/>
              </w:rPr>
              <w:t>0</w:t>
            </w:r>
          </w:p>
        </w:tc>
        <w:tc>
          <w:tcPr>
            <w:tcW w:w="1041" w:type="dxa"/>
            <w:vMerge/>
            <w:tcBorders>
              <w:top w:val="nil"/>
              <w:left w:val="nil"/>
              <w:bottom w:val="single" w:sz="4" w:space="0" w:color="auto"/>
              <w:right w:val="nil"/>
            </w:tcBorders>
            <w:noWrap/>
            <w:tcMar>
              <w:top w:w="15" w:type="dxa"/>
              <w:left w:w="15" w:type="dxa"/>
              <w:bottom w:w="0" w:type="dxa"/>
              <w:right w:w="15" w:type="dxa"/>
            </w:tcMar>
          </w:tcPr>
          <w:p w14:paraId="38A7C255" w14:textId="4E2CB17F" w:rsidR="00885E66" w:rsidRPr="00A66A30" w:rsidRDefault="00885E66" w:rsidP="00F1616A">
            <w:pPr>
              <w:spacing w:after="0"/>
              <w:jc w:val="center"/>
              <w:rPr>
                <w:rFonts w:cs="Times New Roman"/>
                <w:b/>
                <w:bCs/>
                <w:sz w:val="18"/>
                <w:szCs w:val="18"/>
                <w:lang w:val="en-US"/>
              </w:rPr>
            </w:pPr>
          </w:p>
        </w:tc>
      </w:tr>
      <w:tr w:rsidR="00FF767F" w:rsidRPr="00491BD0" w14:paraId="303002B5" w14:textId="77777777" w:rsidTr="003918A6">
        <w:trPr>
          <w:cantSplit/>
          <w:trHeight w:val="92"/>
          <w:jc w:val="center"/>
        </w:trPr>
        <w:tc>
          <w:tcPr>
            <w:tcW w:w="9718" w:type="dxa"/>
            <w:gridSpan w:val="12"/>
            <w:tcBorders>
              <w:top w:val="single" w:sz="4" w:space="0" w:color="auto"/>
              <w:left w:val="nil"/>
              <w:bottom w:val="single" w:sz="4" w:space="0" w:color="auto"/>
              <w:right w:val="nil"/>
            </w:tcBorders>
            <w:noWrap/>
            <w:tcMar>
              <w:top w:w="15" w:type="dxa"/>
              <w:left w:w="15" w:type="dxa"/>
              <w:bottom w:w="0" w:type="dxa"/>
              <w:right w:w="15" w:type="dxa"/>
            </w:tcMar>
            <w:vAlign w:val="bottom"/>
          </w:tcPr>
          <w:p w14:paraId="78DF78F3" w14:textId="07E3A9F5" w:rsidR="00FF767F" w:rsidRPr="00A66A30" w:rsidRDefault="00CF74FF" w:rsidP="00FF767F">
            <w:pPr>
              <w:pStyle w:val="21"/>
              <w:spacing w:after="0" w:line="240" w:lineRule="auto"/>
              <w:jc w:val="center"/>
              <w:rPr>
                <w:b/>
                <w:bCs/>
                <w:sz w:val="18"/>
                <w:szCs w:val="20"/>
                <w:lang w:val="en-US"/>
              </w:rPr>
            </w:pPr>
            <w:r w:rsidRPr="00A66A30">
              <w:rPr>
                <w:b/>
                <w:bCs/>
                <w:color w:val="000000"/>
                <w:sz w:val="18"/>
                <w:szCs w:val="20"/>
                <w:lang w:val="en-US"/>
              </w:rPr>
              <w:t>Result of calculation using the proposed method</w:t>
            </w:r>
          </w:p>
        </w:tc>
      </w:tr>
      <w:tr w:rsidR="004C374D" w:rsidRPr="00A66A30" w14:paraId="7CDD275D" w14:textId="77777777" w:rsidTr="003918A6">
        <w:trPr>
          <w:cantSplit/>
          <w:trHeight w:val="48"/>
          <w:jc w:val="center"/>
        </w:trPr>
        <w:tc>
          <w:tcPr>
            <w:tcW w:w="1413" w:type="dxa"/>
            <w:tcBorders>
              <w:top w:val="single" w:sz="4" w:space="0" w:color="auto"/>
              <w:left w:val="nil"/>
              <w:bottom w:val="nil"/>
              <w:right w:val="nil"/>
            </w:tcBorders>
            <w:noWrap/>
            <w:tcMar>
              <w:top w:w="15" w:type="dxa"/>
              <w:left w:w="15" w:type="dxa"/>
              <w:bottom w:w="0" w:type="dxa"/>
              <w:right w:w="15" w:type="dxa"/>
            </w:tcMar>
            <w:vAlign w:val="bottom"/>
          </w:tcPr>
          <w:p w14:paraId="1DFB920D" w14:textId="26A4AE12" w:rsidR="004C374D" w:rsidRPr="00A66A30" w:rsidRDefault="000D0C85" w:rsidP="004C374D">
            <w:pPr>
              <w:spacing w:after="0"/>
              <w:rPr>
                <w:rFonts w:cs="Times New Roman"/>
                <w:sz w:val="20"/>
                <w:szCs w:val="20"/>
                <w:lang w:val="en-US"/>
              </w:rPr>
            </w:pPr>
            <w:r w:rsidRPr="00A66A30">
              <w:rPr>
                <w:rFonts w:cs="Times New Roman"/>
                <w:sz w:val="20"/>
                <w:szCs w:val="20"/>
                <w:lang w:val="en-US"/>
              </w:rPr>
              <w:t>Crushed stone</w:t>
            </w:r>
          </w:p>
        </w:tc>
        <w:tc>
          <w:tcPr>
            <w:tcW w:w="992" w:type="dxa"/>
            <w:tcBorders>
              <w:top w:val="single" w:sz="4" w:space="0" w:color="auto"/>
              <w:left w:val="nil"/>
              <w:bottom w:val="nil"/>
              <w:right w:val="nil"/>
            </w:tcBorders>
            <w:noWrap/>
            <w:tcMar>
              <w:top w:w="15" w:type="dxa"/>
              <w:left w:w="15" w:type="dxa"/>
              <w:bottom w:w="0" w:type="dxa"/>
              <w:right w:w="15" w:type="dxa"/>
            </w:tcMar>
            <w:vAlign w:val="bottom"/>
          </w:tcPr>
          <w:p w14:paraId="571EB2F8" w14:textId="54A04EDC"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0</w:t>
            </w:r>
            <w:r w:rsidR="003918A6" w:rsidRPr="00A66A30">
              <w:rPr>
                <w:rFonts w:cs="Times New Roman"/>
                <w:sz w:val="20"/>
                <w:szCs w:val="20"/>
                <w:lang w:val="en-US"/>
              </w:rPr>
              <w:t>.</w:t>
            </w:r>
            <w:r w:rsidRPr="00A66A30">
              <w:rPr>
                <w:rFonts w:cs="Times New Roman"/>
                <w:sz w:val="20"/>
                <w:szCs w:val="20"/>
                <w:lang w:val="en-US"/>
              </w:rPr>
              <w:t>41</w:t>
            </w:r>
          </w:p>
        </w:tc>
        <w:tc>
          <w:tcPr>
            <w:tcW w:w="590" w:type="dxa"/>
            <w:tcBorders>
              <w:top w:val="single" w:sz="4" w:space="0" w:color="auto"/>
              <w:left w:val="nil"/>
              <w:bottom w:val="nil"/>
              <w:right w:val="nil"/>
            </w:tcBorders>
          </w:tcPr>
          <w:p w14:paraId="4FC4C16A" w14:textId="77777777" w:rsidR="004C374D" w:rsidRPr="00A66A30" w:rsidRDefault="004C374D" w:rsidP="004C374D">
            <w:pPr>
              <w:spacing w:after="0"/>
              <w:jc w:val="center"/>
              <w:rPr>
                <w:rFonts w:cs="Times New Roman"/>
                <w:sz w:val="20"/>
                <w:szCs w:val="20"/>
                <w:lang w:val="en-US"/>
              </w:rPr>
            </w:pPr>
            <w:r w:rsidRPr="00A66A30">
              <w:rPr>
                <w:rFonts w:cs="Times New Roman"/>
                <w:sz w:val="20"/>
                <w:szCs w:val="20"/>
                <w:lang w:val="en-US"/>
              </w:rPr>
              <w:t>0</w:t>
            </w:r>
          </w:p>
        </w:tc>
        <w:tc>
          <w:tcPr>
            <w:tcW w:w="564" w:type="dxa"/>
            <w:tcBorders>
              <w:top w:val="single" w:sz="4" w:space="0" w:color="auto"/>
              <w:left w:val="nil"/>
              <w:bottom w:val="nil"/>
              <w:right w:val="nil"/>
            </w:tcBorders>
            <w:noWrap/>
            <w:tcMar>
              <w:top w:w="15" w:type="dxa"/>
              <w:left w:w="15" w:type="dxa"/>
              <w:bottom w:w="0" w:type="dxa"/>
              <w:right w:w="15" w:type="dxa"/>
            </w:tcMar>
          </w:tcPr>
          <w:p w14:paraId="4A3CD9DF" w14:textId="7C80D509"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3</w:t>
            </w:r>
            <w:r w:rsidR="003918A6" w:rsidRPr="00A66A30">
              <w:rPr>
                <w:rFonts w:cs="Times New Roman"/>
                <w:sz w:val="20"/>
                <w:szCs w:val="20"/>
                <w:lang w:val="en-US"/>
              </w:rPr>
              <w:t>.</w:t>
            </w:r>
            <w:r w:rsidRPr="00A66A30">
              <w:rPr>
                <w:rFonts w:cs="Times New Roman"/>
                <w:sz w:val="20"/>
                <w:szCs w:val="20"/>
                <w:lang w:val="en-US"/>
              </w:rPr>
              <w:t>4</w:t>
            </w:r>
          </w:p>
        </w:tc>
        <w:tc>
          <w:tcPr>
            <w:tcW w:w="731" w:type="dxa"/>
            <w:tcBorders>
              <w:top w:val="single" w:sz="4" w:space="0" w:color="auto"/>
              <w:left w:val="nil"/>
              <w:bottom w:val="nil"/>
              <w:right w:val="nil"/>
            </w:tcBorders>
            <w:noWrap/>
            <w:tcMar>
              <w:top w:w="15" w:type="dxa"/>
              <w:left w:w="15" w:type="dxa"/>
              <w:bottom w:w="0" w:type="dxa"/>
              <w:right w:w="15" w:type="dxa"/>
            </w:tcMar>
          </w:tcPr>
          <w:p w14:paraId="1B7F1C1A" w14:textId="71259442"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28</w:t>
            </w:r>
            <w:r w:rsidR="003918A6" w:rsidRPr="00A66A30">
              <w:rPr>
                <w:rFonts w:cs="Times New Roman"/>
                <w:sz w:val="20"/>
                <w:szCs w:val="20"/>
                <w:lang w:val="en-US"/>
              </w:rPr>
              <w:t>.</w:t>
            </w:r>
            <w:r w:rsidRPr="00A66A30">
              <w:rPr>
                <w:rFonts w:cs="Times New Roman"/>
                <w:sz w:val="20"/>
                <w:szCs w:val="20"/>
                <w:lang w:val="en-US"/>
              </w:rPr>
              <w:t>2</w:t>
            </w:r>
          </w:p>
        </w:tc>
        <w:tc>
          <w:tcPr>
            <w:tcW w:w="775" w:type="dxa"/>
            <w:tcBorders>
              <w:top w:val="single" w:sz="4" w:space="0" w:color="auto"/>
              <w:left w:val="nil"/>
              <w:bottom w:val="nil"/>
              <w:right w:val="nil"/>
            </w:tcBorders>
            <w:noWrap/>
            <w:tcMar>
              <w:top w:w="15" w:type="dxa"/>
              <w:left w:w="15" w:type="dxa"/>
              <w:bottom w:w="0" w:type="dxa"/>
              <w:right w:w="15" w:type="dxa"/>
            </w:tcMar>
          </w:tcPr>
          <w:p w14:paraId="7665CDFC" w14:textId="6C0F5AEA"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40</w:t>
            </w:r>
            <w:r w:rsidR="003918A6" w:rsidRPr="00A66A30">
              <w:rPr>
                <w:rFonts w:cs="Times New Roman"/>
                <w:sz w:val="20"/>
                <w:szCs w:val="20"/>
                <w:lang w:val="en-US"/>
              </w:rPr>
              <w:t>.</w:t>
            </w:r>
            <w:r w:rsidRPr="00A66A30">
              <w:rPr>
                <w:rFonts w:cs="Times New Roman"/>
                <w:sz w:val="20"/>
                <w:szCs w:val="20"/>
                <w:lang w:val="en-US"/>
              </w:rPr>
              <w:t>6</w:t>
            </w:r>
          </w:p>
        </w:tc>
        <w:tc>
          <w:tcPr>
            <w:tcW w:w="733" w:type="dxa"/>
            <w:tcBorders>
              <w:top w:val="single" w:sz="4" w:space="0" w:color="auto"/>
              <w:left w:val="nil"/>
              <w:bottom w:val="nil"/>
              <w:right w:val="nil"/>
            </w:tcBorders>
            <w:noWrap/>
            <w:tcMar>
              <w:top w:w="15" w:type="dxa"/>
              <w:left w:w="15" w:type="dxa"/>
              <w:bottom w:w="0" w:type="dxa"/>
              <w:right w:w="15" w:type="dxa"/>
            </w:tcMar>
          </w:tcPr>
          <w:p w14:paraId="3A9C33C2" w14:textId="3ED9431A"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40</w:t>
            </w:r>
            <w:r w:rsidR="003918A6" w:rsidRPr="00A66A30">
              <w:rPr>
                <w:rFonts w:cs="Times New Roman"/>
                <w:sz w:val="20"/>
                <w:szCs w:val="20"/>
                <w:lang w:val="en-US"/>
              </w:rPr>
              <w:t>.</w:t>
            </w:r>
            <w:r w:rsidRPr="00A66A30">
              <w:rPr>
                <w:rFonts w:cs="Times New Roman"/>
                <w:sz w:val="20"/>
                <w:szCs w:val="20"/>
                <w:lang w:val="en-US"/>
              </w:rPr>
              <w:t>9</w:t>
            </w:r>
          </w:p>
        </w:tc>
        <w:tc>
          <w:tcPr>
            <w:tcW w:w="733" w:type="dxa"/>
            <w:tcBorders>
              <w:top w:val="single" w:sz="4" w:space="0" w:color="auto"/>
              <w:left w:val="nil"/>
              <w:bottom w:val="nil"/>
              <w:right w:val="nil"/>
            </w:tcBorders>
            <w:noWrap/>
            <w:tcMar>
              <w:top w:w="15" w:type="dxa"/>
              <w:left w:w="15" w:type="dxa"/>
              <w:bottom w:w="0" w:type="dxa"/>
              <w:right w:w="15" w:type="dxa"/>
            </w:tcMar>
          </w:tcPr>
          <w:p w14:paraId="157A7305" w14:textId="0C026649"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40</w:t>
            </w:r>
            <w:r w:rsidR="003918A6" w:rsidRPr="00A66A30">
              <w:rPr>
                <w:rFonts w:cs="Times New Roman"/>
                <w:sz w:val="20"/>
                <w:szCs w:val="20"/>
                <w:lang w:val="en-US"/>
              </w:rPr>
              <w:t>.</w:t>
            </w:r>
            <w:r w:rsidRPr="00A66A30">
              <w:rPr>
                <w:rFonts w:cs="Times New Roman"/>
                <w:sz w:val="20"/>
                <w:szCs w:val="20"/>
                <w:lang w:val="en-US"/>
              </w:rPr>
              <w:t>9</w:t>
            </w:r>
          </w:p>
        </w:tc>
        <w:tc>
          <w:tcPr>
            <w:tcW w:w="733" w:type="dxa"/>
            <w:tcBorders>
              <w:top w:val="single" w:sz="4" w:space="0" w:color="auto"/>
              <w:left w:val="nil"/>
              <w:bottom w:val="nil"/>
              <w:right w:val="nil"/>
            </w:tcBorders>
            <w:noWrap/>
            <w:tcMar>
              <w:top w:w="15" w:type="dxa"/>
              <w:left w:w="15" w:type="dxa"/>
              <w:bottom w:w="0" w:type="dxa"/>
              <w:right w:w="15" w:type="dxa"/>
            </w:tcMar>
          </w:tcPr>
          <w:p w14:paraId="159B3C9E" w14:textId="32BA7F16"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40</w:t>
            </w:r>
            <w:r w:rsidR="003918A6" w:rsidRPr="00A66A30">
              <w:rPr>
                <w:rFonts w:cs="Times New Roman"/>
                <w:sz w:val="20"/>
                <w:szCs w:val="20"/>
                <w:lang w:val="en-US"/>
              </w:rPr>
              <w:t>.</w:t>
            </w:r>
            <w:r w:rsidRPr="00A66A30">
              <w:rPr>
                <w:rFonts w:cs="Times New Roman"/>
                <w:sz w:val="20"/>
                <w:szCs w:val="20"/>
                <w:lang w:val="en-US"/>
              </w:rPr>
              <w:t>9</w:t>
            </w:r>
          </w:p>
        </w:tc>
        <w:tc>
          <w:tcPr>
            <w:tcW w:w="733" w:type="dxa"/>
            <w:tcBorders>
              <w:top w:val="single" w:sz="4" w:space="0" w:color="auto"/>
              <w:left w:val="nil"/>
              <w:bottom w:val="nil"/>
              <w:right w:val="nil"/>
            </w:tcBorders>
            <w:noWrap/>
            <w:tcMar>
              <w:top w:w="15" w:type="dxa"/>
              <w:left w:w="15" w:type="dxa"/>
              <w:bottom w:w="0" w:type="dxa"/>
              <w:right w:w="15" w:type="dxa"/>
            </w:tcMar>
          </w:tcPr>
          <w:p w14:paraId="7F713CE8" w14:textId="436559B8" w:rsidR="004C374D" w:rsidRPr="00A66A30" w:rsidRDefault="004C374D" w:rsidP="003918A6">
            <w:pPr>
              <w:spacing w:after="0"/>
              <w:jc w:val="center"/>
              <w:rPr>
                <w:rFonts w:cs="Times New Roman"/>
                <w:sz w:val="20"/>
                <w:szCs w:val="20"/>
                <w:lang w:val="en-US"/>
              </w:rPr>
            </w:pPr>
            <w:r w:rsidRPr="00A66A30">
              <w:rPr>
                <w:rFonts w:cs="Times New Roman"/>
                <w:sz w:val="20"/>
                <w:szCs w:val="20"/>
                <w:lang w:val="en-US"/>
              </w:rPr>
              <w:t>40</w:t>
            </w:r>
            <w:r w:rsidR="003918A6" w:rsidRPr="00A66A30">
              <w:rPr>
                <w:rFonts w:cs="Times New Roman"/>
                <w:sz w:val="20"/>
                <w:szCs w:val="20"/>
                <w:lang w:val="en-US"/>
              </w:rPr>
              <w:t>.</w:t>
            </w:r>
            <w:r w:rsidRPr="00A66A30">
              <w:rPr>
                <w:rFonts w:cs="Times New Roman"/>
                <w:sz w:val="20"/>
                <w:szCs w:val="20"/>
                <w:lang w:val="en-US"/>
              </w:rPr>
              <w:t>9</w:t>
            </w:r>
          </w:p>
        </w:tc>
        <w:tc>
          <w:tcPr>
            <w:tcW w:w="680" w:type="dxa"/>
            <w:tcBorders>
              <w:top w:val="single" w:sz="4" w:space="0" w:color="auto"/>
              <w:left w:val="nil"/>
              <w:bottom w:val="nil"/>
              <w:right w:val="nil"/>
            </w:tcBorders>
            <w:noWrap/>
            <w:tcMar>
              <w:top w:w="15" w:type="dxa"/>
              <w:left w:w="15" w:type="dxa"/>
              <w:bottom w:w="0" w:type="dxa"/>
              <w:right w:w="15" w:type="dxa"/>
            </w:tcMar>
          </w:tcPr>
          <w:p w14:paraId="363A835F" w14:textId="2423F40D" w:rsidR="004C374D" w:rsidRPr="00A66A30" w:rsidRDefault="004C374D" w:rsidP="00F7007E">
            <w:pPr>
              <w:spacing w:after="0"/>
              <w:jc w:val="center"/>
              <w:rPr>
                <w:rFonts w:cs="Times New Roman"/>
                <w:sz w:val="20"/>
                <w:szCs w:val="20"/>
                <w:lang w:val="en-US"/>
              </w:rPr>
            </w:pPr>
            <w:r w:rsidRPr="00A66A30">
              <w:rPr>
                <w:rFonts w:cs="Times New Roman"/>
                <w:sz w:val="20"/>
                <w:szCs w:val="20"/>
                <w:lang w:val="en-US"/>
              </w:rPr>
              <w:t>41</w:t>
            </w:r>
            <w:r w:rsidR="00F7007E" w:rsidRPr="00A66A30">
              <w:rPr>
                <w:rFonts w:cs="Times New Roman"/>
                <w:sz w:val="20"/>
                <w:szCs w:val="20"/>
                <w:lang w:val="en-US"/>
              </w:rPr>
              <w:t>.</w:t>
            </w:r>
            <w:r w:rsidRPr="00A66A30">
              <w:rPr>
                <w:rFonts w:cs="Times New Roman"/>
                <w:sz w:val="20"/>
                <w:szCs w:val="20"/>
                <w:lang w:val="en-US"/>
              </w:rPr>
              <w:t>0</w:t>
            </w:r>
          </w:p>
        </w:tc>
        <w:tc>
          <w:tcPr>
            <w:tcW w:w="1041" w:type="dxa"/>
            <w:vMerge w:val="restart"/>
            <w:tcBorders>
              <w:top w:val="single" w:sz="4" w:space="0" w:color="auto"/>
              <w:left w:val="nil"/>
              <w:bottom w:val="nil"/>
              <w:right w:val="nil"/>
            </w:tcBorders>
            <w:noWrap/>
            <w:tcMar>
              <w:top w:w="15" w:type="dxa"/>
              <w:left w:w="15" w:type="dxa"/>
              <w:bottom w:w="0" w:type="dxa"/>
              <w:right w:w="15" w:type="dxa"/>
            </w:tcMar>
            <w:vAlign w:val="center"/>
          </w:tcPr>
          <w:p w14:paraId="7DCEAD59" w14:textId="0C2ABB99" w:rsidR="004C374D" w:rsidRPr="00A66A30" w:rsidRDefault="004C374D" w:rsidP="00F7007E">
            <w:pPr>
              <w:spacing w:after="0"/>
              <w:jc w:val="center"/>
              <w:rPr>
                <w:rFonts w:cs="Times New Roman"/>
                <w:sz w:val="20"/>
                <w:szCs w:val="20"/>
                <w:lang w:val="en-US"/>
              </w:rPr>
            </w:pPr>
            <w:r w:rsidRPr="00A66A30">
              <w:rPr>
                <w:rFonts w:cs="Times New Roman"/>
                <w:bCs/>
                <w:sz w:val="20"/>
                <w:szCs w:val="20"/>
                <w:lang w:val="en-US"/>
              </w:rPr>
              <w:t>18</w:t>
            </w:r>
            <w:r w:rsidR="00F7007E" w:rsidRPr="00A66A30">
              <w:rPr>
                <w:rFonts w:cs="Times New Roman"/>
                <w:bCs/>
                <w:sz w:val="20"/>
                <w:szCs w:val="20"/>
                <w:lang w:val="en-US"/>
              </w:rPr>
              <w:t>.</w:t>
            </w:r>
            <w:r w:rsidRPr="00A66A30">
              <w:rPr>
                <w:rFonts w:cs="Times New Roman"/>
                <w:bCs/>
                <w:sz w:val="20"/>
                <w:szCs w:val="20"/>
                <w:lang w:val="en-US"/>
              </w:rPr>
              <w:t>6</w:t>
            </w:r>
          </w:p>
        </w:tc>
      </w:tr>
      <w:tr w:rsidR="008E1787" w:rsidRPr="00A66A30" w14:paraId="25DF2644" w14:textId="77777777" w:rsidTr="003918A6">
        <w:trPr>
          <w:cantSplit/>
          <w:trHeight w:val="58"/>
          <w:jc w:val="center"/>
        </w:trPr>
        <w:tc>
          <w:tcPr>
            <w:tcW w:w="1413" w:type="dxa"/>
            <w:tcBorders>
              <w:top w:val="nil"/>
              <w:left w:val="nil"/>
              <w:bottom w:val="nil"/>
              <w:right w:val="nil"/>
            </w:tcBorders>
            <w:noWrap/>
            <w:tcMar>
              <w:top w:w="15" w:type="dxa"/>
              <w:left w:w="15" w:type="dxa"/>
              <w:bottom w:w="0" w:type="dxa"/>
              <w:right w:w="15" w:type="dxa"/>
            </w:tcMar>
            <w:vAlign w:val="bottom"/>
          </w:tcPr>
          <w:p w14:paraId="4B3C1AB0" w14:textId="4ED03F44" w:rsidR="008E1787" w:rsidRPr="00A66A30" w:rsidRDefault="000D0C85" w:rsidP="008E1787">
            <w:pPr>
              <w:spacing w:after="0"/>
              <w:rPr>
                <w:rFonts w:cs="Times New Roman"/>
                <w:sz w:val="20"/>
                <w:szCs w:val="20"/>
                <w:lang w:val="en-US"/>
              </w:rPr>
            </w:pPr>
            <w:r w:rsidRPr="00A66A30">
              <w:rPr>
                <w:rFonts w:cs="Times New Roman"/>
                <w:sz w:val="20"/>
                <w:szCs w:val="20"/>
                <w:lang w:val="en-US"/>
              </w:rPr>
              <w:t>Bran</w:t>
            </w:r>
          </w:p>
        </w:tc>
        <w:tc>
          <w:tcPr>
            <w:tcW w:w="992" w:type="dxa"/>
            <w:tcBorders>
              <w:top w:val="nil"/>
              <w:left w:val="nil"/>
              <w:bottom w:val="nil"/>
              <w:right w:val="nil"/>
            </w:tcBorders>
            <w:noWrap/>
            <w:tcMar>
              <w:top w:w="15" w:type="dxa"/>
              <w:left w:w="15" w:type="dxa"/>
              <w:bottom w:w="0" w:type="dxa"/>
              <w:right w:w="15" w:type="dxa"/>
            </w:tcMar>
            <w:vAlign w:val="bottom"/>
          </w:tcPr>
          <w:p w14:paraId="5BD8AE2C" w14:textId="5E6B827F"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0</w:t>
            </w:r>
            <w:r w:rsidR="00F7007E" w:rsidRPr="00A66A30">
              <w:rPr>
                <w:rFonts w:cs="Times New Roman"/>
                <w:sz w:val="20"/>
                <w:szCs w:val="20"/>
                <w:lang w:val="en-US"/>
              </w:rPr>
              <w:t>.</w:t>
            </w:r>
            <w:r w:rsidR="008E1787" w:rsidRPr="00A66A30">
              <w:rPr>
                <w:rFonts w:cs="Times New Roman"/>
                <w:sz w:val="20"/>
                <w:szCs w:val="20"/>
                <w:lang w:val="en-US"/>
              </w:rPr>
              <w:t>47</w:t>
            </w:r>
          </w:p>
        </w:tc>
        <w:tc>
          <w:tcPr>
            <w:tcW w:w="590" w:type="dxa"/>
            <w:tcBorders>
              <w:top w:val="nil"/>
              <w:left w:val="nil"/>
              <w:bottom w:val="nil"/>
              <w:right w:val="nil"/>
            </w:tcBorders>
          </w:tcPr>
          <w:p w14:paraId="229EBED4" w14:textId="77777777" w:rsidR="008E1787" w:rsidRPr="00A66A30" w:rsidRDefault="008E1787" w:rsidP="008E1787">
            <w:pPr>
              <w:spacing w:after="0"/>
              <w:jc w:val="center"/>
              <w:rPr>
                <w:rFonts w:cs="Times New Roman"/>
                <w:sz w:val="20"/>
                <w:szCs w:val="20"/>
                <w:lang w:val="en-US"/>
              </w:rPr>
            </w:pPr>
            <w:r w:rsidRPr="00A66A30">
              <w:rPr>
                <w:rFonts w:cs="Times New Roman"/>
                <w:sz w:val="20"/>
                <w:szCs w:val="20"/>
                <w:lang w:val="en-US"/>
              </w:rPr>
              <w:t>0</w:t>
            </w:r>
          </w:p>
        </w:tc>
        <w:tc>
          <w:tcPr>
            <w:tcW w:w="564" w:type="dxa"/>
            <w:tcBorders>
              <w:top w:val="nil"/>
              <w:left w:val="nil"/>
              <w:bottom w:val="nil"/>
              <w:right w:val="nil"/>
            </w:tcBorders>
            <w:noWrap/>
            <w:tcMar>
              <w:top w:w="15" w:type="dxa"/>
              <w:left w:w="15" w:type="dxa"/>
              <w:bottom w:w="0" w:type="dxa"/>
              <w:right w:w="15" w:type="dxa"/>
            </w:tcMar>
          </w:tcPr>
          <w:p w14:paraId="3F0B939F" w14:textId="56E2C915" w:rsidR="008E1787" w:rsidRPr="00A66A30" w:rsidRDefault="008E1787" w:rsidP="003918A6">
            <w:pPr>
              <w:spacing w:after="0"/>
              <w:jc w:val="center"/>
              <w:rPr>
                <w:rFonts w:cs="Times New Roman"/>
                <w:sz w:val="20"/>
                <w:szCs w:val="20"/>
                <w:lang w:val="en-US"/>
              </w:rPr>
            </w:pPr>
            <w:r w:rsidRPr="00A66A30">
              <w:rPr>
                <w:rFonts w:cs="Times New Roman"/>
                <w:sz w:val="20"/>
                <w:szCs w:val="20"/>
                <w:lang w:val="en-US"/>
              </w:rPr>
              <w:t>0</w:t>
            </w:r>
            <w:r w:rsidR="003918A6" w:rsidRPr="00A66A30">
              <w:rPr>
                <w:rFonts w:cs="Times New Roman"/>
                <w:sz w:val="20"/>
                <w:szCs w:val="20"/>
                <w:lang w:val="en-US"/>
              </w:rPr>
              <w:t>.</w:t>
            </w:r>
            <w:r w:rsidRPr="00A66A30">
              <w:rPr>
                <w:rFonts w:cs="Times New Roman"/>
                <w:sz w:val="20"/>
                <w:szCs w:val="20"/>
                <w:lang w:val="en-US"/>
              </w:rPr>
              <w:t>0</w:t>
            </w:r>
          </w:p>
        </w:tc>
        <w:tc>
          <w:tcPr>
            <w:tcW w:w="731" w:type="dxa"/>
            <w:tcBorders>
              <w:top w:val="nil"/>
              <w:left w:val="nil"/>
              <w:bottom w:val="nil"/>
              <w:right w:val="nil"/>
            </w:tcBorders>
            <w:noWrap/>
            <w:tcMar>
              <w:top w:w="15" w:type="dxa"/>
              <w:left w:w="15" w:type="dxa"/>
              <w:bottom w:w="0" w:type="dxa"/>
              <w:right w:w="15" w:type="dxa"/>
            </w:tcMar>
          </w:tcPr>
          <w:p w14:paraId="3A2B14FA" w14:textId="56BD1895" w:rsidR="008E1787" w:rsidRPr="00A66A30" w:rsidRDefault="008E1787" w:rsidP="003918A6">
            <w:pPr>
              <w:spacing w:after="0"/>
              <w:jc w:val="center"/>
              <w:rPr>
                <w:rFonts w:cs="Times New Roman"/>
                <w:sz w:val="20"/>
                <w:szCs w:val="20"/>
                <w:lang w:val="en-US"/>
              </w:rPr>
            </w:pPr>
            <w:r w:rsidRPr="00A66A30">
              <w:rPr>
                <w:rFonts w:cs="Times New Roman"/>
                <w:sz w:val="20"/>
                <w:szCs w:val="20"/>
                <w:lang w:val="en-US"/>
              </w:rPr>
              <w:t>0</w:t>
            </w:r>
            <w:r w:rsidR="003918A6" w:rsidRPr="00A66A30">
              <w:rPr>
                <w:rFonts w:cs="Times New Roman"/>
                <w:sz w:val="20"/>
                <w:szCs w:val="20"/>
                <w:lang w:val="en-US"/>
              </w:rPr>
              <w:t>.</w:t>
            </w:r>
            <w:r w:rsidRPr="00A66A30">
              <w:rPr>
                <w:rFonts w:cs="Times New Roman"/>
                <w:sz w:val="20"/>
                <w:szCs w:val="20"/>
                <w:lang w:val="en-US"/>
              </w:rPr>
              <w:t>0</w:t>
            </w:r>
          </w:p>
        </w:tc>
        <w:tc>
          <w:tcPr>
            <w:tcW w:w="775" w:type="dxa"/>
            <w:tcBorders>
              <w:top w:val="nil"/>
              <w:left w:val="nil"/>
              <w:bottom w:val="nil"/>
              <w:right w:val="nil"/>
            </w:tcBorders>
            <w:noWrap/>
            <w:tcMar>
              <w:top w:w="15" w:type="dxa"/>
              <w:left w:w="15" w:type="dxa"/>
              <w:bottom w:w="0" w:type="dxa"/>
              <w:right w:w="15" w:type="dxa"/>
            </w:tcMar>
          </w:tcPr>
          <w:p w14:paraId="21D088F9" w14:textId="282EED44"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4.</w:t>
            </w:r>
            <w:r w:rsidR="008E1787" w:rsidRPr="00A66A30">
              <w:rPr>
                <w:rFonts w:cs="Times New Roman"/>
                <w:sz w:val="20"/>
                <w:szCs w:val="20"/>
                <w:lang w:val="en-US"/>
              </w:rPr>
              <w:t>5</w:t>
            </w:r>
          </w:p>
        </w:tc>
        <w:tc>
          <w:tcPr>
            <w:tcW w:w="733" w:type="dxa"/>
            <w:tcBorders>
              <w:top w:val="nil"/>
              <w:left w:val="nil"/>
              <w:bottom w:val="nil"/>
              <w:right w:val="nil"/>
            </w:tcBorders>
            <w:noWrap/>
            <w:tcMar>
              <w:top w:w="15" w:type="dxa"/>
              <w:left w:w="15" w:type="dxa"/>
              <w:bottom w:w="0" w:type="dxa"/>
              <w:right w:w="15" w:type="dxa"/>
            </w:tcMar>
          </w:tcPr>
          <w:p w14:paraId="58237D3D" w14:textId="2DEBCAD4"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13.</w:t>
            </w:r>
            <w:r w:rsidR="008E1787" w:rsidRPr="00A66A30">
              <w:rPr>
                <w:rFonts w:cs="Times New Roman"/>
                <w:sz w:val="20"/>
                <w:szCs w:val="20"/>
                <w:lang w:val="en-US"/>
              </w:rPr>
              <w:t>3</w:t>
            </w:r>
          </w:p>
        </w:tc>
        <w:tc>
          <w:tcPr>
            <w:tcW w:w="733" w:type="dxa"/>
            <w:tcBorders>
              <w:top w:val="nil"/>
              <w:left w:val="nil"/>
              <w:bottom w:val="nil"/>
              <w:right w:val="nil"/>
            </w:tcBorders>
            <w:noWrap/>
            <w:tcMar>
              <w:top w:w="15" w:type="dxa"/>
              <w:left w:w="15" w:type="dxa"/>
              <w:bottom w:w="0" w:type="dxa"/>
              <w:right w:w="15" w:type="dxa"/>
            </w:tcMar>
          </w:tcPr>
          <w:p w14:paraId="6488839F" w14:textId="416D9DD8" w:rsidR="008E1787" w:rsidRPr="00A66A30" w:rsidRDefault="008E1787" w:rsidP="003918A6">
            <w:pPr>
              <w:spacing w:after="0"/>
              <w:jc w:val="center"/>
              <w:rPr>
                <w:rFonts w:cs="Times New Roman"/>
                <w:sz w:val="20"/>
                <w:szCs w:val="20"/>
                <w:lang w:val="en-US"/>
              </w:rPr>
            </w:pPr>
            <w:r w:rsidRPr="00A66A30">
              <w:rPr>
                <w:rFonts w:cs="Times New Roman"/>
                <w:sz w:val="20"/>
                <w:szCs w:val="20"/>
                <w:lang w:val="en-US"/>
              </w:rPr>
              <w:t>27</w:t>
            </w:r>
            <w:r w:rsidR="003918A6" w:rsidRPr="00A66A30">
              <w:rPr>
                <w:rFonts w:cs="Times New Roman"/>
                <w:sz w:val="20"/>
                <w:szCs w:val="20"/>
                <w:lang w:val="en-US"/>
              </w:rPr>
              <w:t>.</w:t>
            </w:r>
            <w:r w:rsidRPr="00A66A30">
              <w:rPr>
                <w:rFonts w:cs="Times New Roman"/>
                <w:sz w:val="20"/>
                <w:szCs w:val="20"/>
                <w:lang w:val="en-US"/>
              </w:rPr>
              <w:t>7</w:t>
            </w:r>
          </w:p>
        </w:tc>
        <w:tc>
          <w:tcPr>
            <w:tcW w:w="733" w:type="dxa"/>
            <w:tcBorders>
              <w:top w:val="nil"/>
              <w:left w:val="nil"/>
              <w:bottom w:val="nil"/>
              <w:right w:val="nil"/>
            </w:tcBorders>
            <w:noWrap/>
            <w:tcMar>
              <w:top w:w="15" w:type="dxa"/>
              <w:left w:w="15" w:type="dxa"/>
              <w:bottom w:w="0" w:type="dxa"/>
              <w:right w:w="15" w:type="dxa"/>
            </w:tcMar>
          </w:tcPr>
          <w:p w14:paraId="642E4B44" w14:textId="48883AD7"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35.</w:t>
            </w:r>
            <w:r w:rsidR="008E1787" w:rsidRPr="00A66A30">
              <w:rPr>
                <w:rFonts w:cs="Times New Roman"/>
                <w:sz w:val="20"/>
                <w:szCs w:val="20"/>
                <w:lang w:val="en-US"/>
              </w:rPr>
              <w:t>8</w:t>
            </w:r>
          </w:p>
        </w:tc>
        <w:tc>
          <w:tcPr>
            <w:tcW w:w="733" w:type="dxa"/>
            <w:tcBorders>
              <w:top w:val="nil"/>
              <w:left w:val="nil"/>
              <w:bottom w:val="nil"/>
              <w:right w:val="nil"/>
            </w:tcBorders>
            <w:noWrap/>
            <w:tcMar>
              <w:top w:w="15" w:type="dxa"/>
              <w:left w:w="15" w:type="dxa"/>
              <w:bottom w:w="0" w:type="dxa"/>
              <w:right w:w="15" w:type="dxa"/>
            </w:tcMar>
          </w:tcPr>
          <w:p w14:paraId="5F0A6E1B" w14:textId="0EAE439B"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42.</w:t>
            </w:r>
            <w:r w:rsidR="008E1787" w:rsidRPr="00A66A30">
              <w:rPr>
                <w:rFonts w:cs="Times New Roman"/>
                <w:sz w:val="20"/>
                <w:szCs w:val="20"/>
                <w:lang w:val="en-US"/>
              </w:rPr>
              <w:t>9</w:t>
            </w:r>
          </w:p>
        </w:tc>
        <w:tc>
          <w:tcPr>
            <w:tcW w:w="680" w:type="dxa"/>
            <w:tcBorders>
              <w:top w:val="nil"/>
              <w:left w:val="nil"/>
              <w:bottom w:val="nil"/>
              <w:right w:val="nil"/>
            </w:tcBorders>
            <w:noWrap/>
            <w:tcMar>
              <w:top w:w="15" w:type="dxa"/>
              <w:left w:w="15" w:type="dxa"/>
              <w:bottom w:w="0" w:type="dxa"/>
              <w:right w:w="15" w:type="dxa"/>
            </w:tcMar>
          </w:tcPr>
          <w:p w14:paraId="2E2EEC0F" w14:textId="683E9BA4" w:rsidR="008E1787" w:rsidRPr="00A66A30" w:rsidRDefault="00F7007E" w:rsidP="008E1787">
            <w:pPr>
              <w:spacing w:after="0"/>
              <w:jc w:val="center"/>
              <w:rPr>
                <w:rFonts w:cs="Times New Roman"/>
                <w:sz w:val="20"/>
                <w:szCs w:val="20"/>
                <w:lang w:val="en-US"/>
              </w:rPr>
            </w:pPr>
            <w:r w:rsidRPr="00A66A30">
              <w:rPr>
                <w:rFonts w:cs="Times New Roman"/>
                <w:sz w:val="20"/>
                <w:szCs w:val="20"/>
                <w:lang w:val="en-US"/>
              </w:rPr>
              <w:t>45.</w:t>
            </w:r>
            <w:r w:rsidR="008E1787" w:rsidRPr="00A66A30">
              <w:rPr>
                <w:rFonts w:cs="Times New Roman"/>
                <w:sz w:val="20"/>
                <w:szCs w:val="20"/>
                <w:lang w:val="en-US"/>
              </w:rPr>
              <w:t>2</w:t>
            </w:r>
          </w:p>
        </w:tc>
        <w:tc>
          <w:tcPr>
            <w:tcW w:w="1041" w:type="dxa"/>
            <w:vMerge/>
            <w:tcBorders>
              <w:top w:val="nil"/>
              <w:left w:val="nil"/>
              <w:bottom w:val="nil"/>
              <w:right w:val="nil"/>
            </w:tcBorders>
            <w:noWrap/>
            <w:tcMar>
              <w:top w:w="15" w:type="dxa"/>
              <w:left w:w="15" w:type="dxa"/>
              <w:bottom w:w="0" w:type="dxa"/>
              <w:right w:w="15" w:type="dxa"/>
            </w:tcMar>
          </w:tcPr>
          <w:p w14:paraId="5922C4A7" w14:textId="6A04E255" w:rsidR="008E1787" w:rsidRPr="00A66A30" w:rsidRDefault="008E1787" w:rsidP="008E1787">
            <w:pPr>
              <w:spacing w:after="0"/>
              <w:jc w:val="center"/>
              <w:rPr>
                <w:rFonts w:cs="Times New Roman"/>
                <w:sz w:val="20"/>
                <w:szCs w:val="20"/>
                <w:lang w:val="en-US"/>
              </w:rPr>
            </w:pPr>
          </w:p>
        </w:tc>
      </w:tr>
      <w:tr w:rsidR="008E1787" w:rsidRPr="00A66A30" w14:paraId="1C7FF04D" w14:textId="77777777" w:rsidTr="003918A6">
        <w:trPr>
          <w:cantSplit/>
          <w:trHeight w:val="58"/>
          <w:jc w:val="center"/>
        </w:trPr>
        <w:tc>
          <w:tcPr>
            <w:tcW w:w="1413" w:type="dxa"/>
            <w:tcBorders>
              <w:top w:val="nil"/>
              <w:left w:val="nil"/>
              <w:bottom w:val="nil"/>
              <w:right w:val="nil"/>
            </w:tcBorders>
            <w:noWrap/>
            <w:tcMar>
              <w:top w:w="15" w:type="dxa"/>
              <w:left w:w="15" w:type="dxa"/>
              <w:bottom w:w="0" w:type="dxa"/>
              <w:right w:w="15" w:type="dxa"/>
            </w:tcMar>
            <w:vAlign w:val="bottom"/>
          </w:tcPr>
          <w:p w14:paraId="7CCBD23F" w14:textId="16A85095" w:rsidR="008E1787" w:rsidRPr="00A66A30" w:rsidRDefault="000D0C85" w:rsidP="008E1787">
            <w:pPr>
              <w:spacing w:after="0"/>
              <w:rPr>
                <w:rFonts w:cs="Times New Roman"/>
                <w:sz w:val="20"/>
                <w:szCs w:val="20"/>
                <w:lang w:val="en-US"/>
              </w:rPr>
            </w:pPr>
            <w:r w:rsidRPr="00A66A30">
              <w:rPr>
                <w:rFonts w:cs="Times New Roman"/>
                <w:sz w:val="20"/>
                <w:szCs w:val="20"/>
                <w:lang w:val="en-US"/>
              </w:rPr>
              <w:t>Mineral powder</w:t>
            </w:r>
          </w:p>
        </w:tc>
        <w:tc>
          <w:tcPr>
            <w:tcW w:w="992" w:type="dxa"/>
            <w:tcBorders>
              <w:top w:val="nil"/>
              <w:left w:val="nil"/>
              <w:bottom w:val="nil"/>
              <w:right w:val="nil"/>
            </w:tcBorders>
            <w:noWrap/>
            <w:tcMar>
              <w:top w:w="15" w:type="dxa"/>
              <w:left w:w="15" w:type="dxa"/>
              <w:bottom w:w="0" w:type="dxa"/>
              <w:right w:w="15" w:type="dxa"/>
            </w:tcMar>
            <w:vAlign w:val="bottom"/>
          </w:tcPr>
          <w:p w14:paraId="324DA908" w14:textId="56559F5A"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0.</w:t>
            </w:r>
            <w:r w:rsidR="008E1787" w:rsidRPr="00A66A30">
              <w:rPr>
                <w:rFonts w:cs="Times New Roman"/>
                <w:sz w:val="20"/>
                <w:szCs w:val="20"/>
                <w:lang w:val="en-US"/>
              </w:rPr>
              <w:t>12</w:t>
            </w:r>
          </w:p>
        </w:tc>
        <w:tc>
          <w:tcPr>
            <w:tcW w:w="590" w:type="dxa"/>
            <w:tcBorders>
              <w:top w:val="nil"/>
              <w:left w:val="nil"/>
              <w:bottom w:val="nil"/>
              <w:right w:val="nil"/>
            </w:tcBorders>
          </w:tcPr>
          <w:p w14:paraId="685A7258" w14:textId="77777777" w:rsidR="008E1787" w:rsidRPr="00A66A30" w:rsidRDefault="008E1787" w:rsidP="008E1787">
            <w:pPr>
              <w:spacing w:after="0"/>
              <w:jc w:val="center"/>
              <w:rPr>
                <w:rFonts w:cs="Times New Roman"/>
                <w:sz w:val="20"/>
                <w:szCs w:val="20"/>
                <w:lang w:val="en-US"/>
              </w:rPr>
            </w:pPr>
            <w:r w:rsidRPr="00A66A30">
              <w:rPr>
                <w:rFonts w:cs="Times New Roman"/>
                <w:sz w:val="20"/>
                <w:szCs w:val="20"/>
                <w:lang w:val="en-US"/>
              </w:rPr>
              <w:t>0</w:t>
            </w:r>
          </w:p>
        </w:tc>
        <w:tc>
          <w:tcPr>
            <w:tcW w:w="564" w:type="dxa"/>
            <w:tcBorders>
              <w:top w:val="nil"/>
              <w:left w:val="nil"/>
              <w:bottom w:val="nil"/>
              <w:right w:val="nil"/>
            </w:tcBorders>
            <w:noWrap/>
            <w:tcMar>
              <w:top w:w="15" w:type="dxa"/>
              <w:left w:w="15" w:type="dxa"/>
              <w:bottom w:w="0" w:type="dxa"/>
              <w:right w:w="15" w:type="dxa"/>
            </w:tcMar>
          </w:tcPr>
          <w:p w14:paraId="70E17D05" w14:textId="6F1450E6" w:rsidR="008E1787" w:rsidRPr="00A66A30" w:rsidRDefault="008E1787" w:rsidP="003918A6">
            <w:pPr>
              <w:spacing w:after="0"/>
              <w:jc w:val="center"/>
              <w:rPr>
                <w:rFonts w:cs="Times New Roman"/>
                <w:sz w:val="20"/>
                <w:szCs w:val="20"/>
                <w:lang w:val="en-US"/>
              </w:rPr>
            </w:pPr>
            <w:r w:rsidRPr="00A66A30">
              <w:rPr>
                <w:rFonts w:cs="Times New Roman"/>
                <w:sz w:val="20"/>
                <w:szCs w:val="20"/>
                <w:lang w:val="en-US"/>
              </w:rPr>
              <w:t>0</w:t>
            </w:r>
            <w:r w:rsidR="003918A6" w:rsidRPr="00A66A30">
              <w:rPr>
                <w:rFonts w:cs="Times New Roman"/>
                <w:sz w:val="20"/>
                <w:szCs w:val="20"/>
                <w:lang w:val="en-US"/>
              </w:rPr>
              <w:t>.</w:t>
            </w:r>
            <w:r w:rsidRPr="00A66A30">
              <w:rPr>
                <w:rFonts w:cs="Times New Roman"/>
                <w:sz w:val="20"/>
                <w:szCs w:val="20"/>
                <w:lang w:val="en-US"/>
              </w:rPr>
              <w:t>0</w:t>
            </w:r>
          </w:p>
        </w:tc>
        <w:tc>
          <w:tcPr>
            <w:tcW w:w="731" w:type="dxa"/>
            <w:tcBorders>
              <w:top w:val="nil"/>
              <w:left w:val="nil"/>
              <w:bottom w:val="nil"/>
              <w:right w:val="nil"/>
            </w:tcBorders>
            <w:noWrap/>
            <w:tcMar>
              <w:top w:w="15" w:type="dxa"/>
              <w:left w:w="15" w:type="dxa"/>
              <w:bottom w:w="0" w:type="dxa"/>
              <w:right w:w="15" w:type="dxa"/>
            </w:tcMar>
          </w:tcPr>
          <w:p w14:paraId="15862DF8" w14:textId="4C16956E" w:rsidR="008E1787" w:rsidRPr="00A66A30" w:rsidRDefault="008E1787" w:rsidP="003918A6">
            <w:pPr>
              <w:spacing w:after="0"/>
              <w:jc w:val="center"/>
              <w:rPr>
                <w:rFonts w:cs="Times New Roman"/>
                <w:sz w:val="20"/>
                <w:szCs w:val="20"/>
                <w:lang w:val="en-US"/>
              </w:rPr>
            </w:pPr>
            <w:r w:rsidRPr="00A66A30">
              <w:rPr>
                <w:rFonts w:cs="Times New Roman"/>
                <w:sz w:val="20"/>
                <w:szCs w:val="20"/>
                <w:lang w:val="en-US"/>
              </w:rPr>
              <w:t>0</w:t>
            </w:r>
            <w:r w:rsidR="003918A6" w:rsidRPr="00A66A30">
              <w:rPr>
                <w:rFonts w:cs="Times New Roman"/>
                <w:sz w:val="20"/>
                <w:szCs w:val="20"/>
                <w:lang w:val="en-US"/>
              </w:rPr>
              <w:t>.</w:t>
            </w:r>
            <w:r w:rsidRPr="00A66A30">
              <w:rPr>
                <w:rFonts w:cs="Times New Roman"/>
                <w:sz w:val="20"/>
                <w:szCs w:val="20"/>
                <w:lang w:val="en-US"/>
              </w:rPr>
              <w:t>0</w:t>
            </w:r>
          </w:p>
        </w:tc>
        <w:tc>
          <w:tcPr>
            <w:tcW w:w="775" w:type="dxa"/>
            <w:tcBorders>
              <w:top w:val="nil"/>
              <w:left w:val="nil"/>
              <w:bottom w:val="nil"/>
              <w:right w:val="nil"/>
            </w:tcBorders>
            <w:noWrap/>
            <w:tcMar>
              <w:top w:w="15" w:type="dxa"/>
              <w:left w:w="15" w:type="dxa"/>
              <w:bottom w:w="0" w:type="dxa"/>
              <w:right w:w="15" w:type="dxa"/>
            </w:tcMar>
          </w:tcPr>
          <w:p w14:paraId="579E2E07" w14:textId="7A11A45F"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0.</w:t>
            </w:r>
            <w:r w:rsidR="008E1787"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6A589F74" w14:textId="4C7CD2F7"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0.</w:t>
            </w:r>
            <w:r w:rsidR="008E1787"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64EA07F8" w14:textId="28A5B288"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0.</w:t>
            </w:r>
            <w:r w:rsidR="008E1787"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0140A557" w14:textId="2A951780"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0.</w:t>
            </w:r>
            <w:r w:rsidR="008E1787" w:rsidRPr="00A66A30">
              <w:rPr>
                <w:rFonts w:cs="Times New Roman"/>
                <w:sz w:val="20"/>
                <w:szCs w:val="20"/>
                <w:lang w:val="en-US"/>
              </w:rPr>
              <w:t>0</w:t>
            </w:r>
          </w:p>
        </w:tc>
        <w:tc>
          <w:tcPr>
            <w:tcW w:w="733" w:type="dxa"/>
            <w:tcBorders>
              <w:top w:val="nil"/>
              <w:left w:val="nil"/>
              <w:bottom w:val="nil"/>
              <w:right w:val="nil"/>
            </w:tcBorders>
            <w:noWrap/>
            <w:tcMar>
              <w:top w:w="15" w:type="dxa"/>
              <w:left w:w="15" w:type="dxa"/>
              <w:bottom w:w="0" w:type="dxa"/>
              <w:right w:w="15" w:type="dxa"/>
            </w:tcMar>
          </w:tcPr>
          <w:p w14:paraId="2813B1D4" w14:textId="1A43089B" w:rsidR="008E1787" w:rsidRPr="00A66A30" w:rsidRDefault="003918A6" w:rsidP="008E1787">
            <w:pPr>
              <w:spacing w:after="0"/>
              <w:jc w:val="center"/>
              <w:rPr>
                <w:rFonts w:cs="Times New Roman"/>
                <w:sz w:val="20"/>
                <w:szCs w:val="20"/>
                <w:lang w:val="en-US"/>
              </w:rPr>
            </w:pPr>
            <w:r w:rsidRPr="00A66A30">
              <w:rPr>
                <w:rFonts w:cs="Times New Roman"/>
                <w:sz w:val="20"/>
                <w:szCs w:val="20"/>
                <w:lang w:val="en-US"/>
              </w:rPr>
              <w:t>0.</w:t>
            </w:r>
            <w:r w:rsidR="008E1787" w:rsidRPr="00A66A30">
              <w:rPr>
                <w:rFonts w:cs="Times New Roman"/>
                <w:sz w:val="20"/>
                <w:szCs w:val="20"/>
                <w:lang w:val="en-US"/>
              </w:rPr>
              <w:t>7</w:t>
            </w:r>
          </w:p>
        </w:tc>
        <w:tc>
          <w:tcPr>
            <w:tcW w:w="680" w:type="dxa"/>
            <w:tcBorders>
              <w:top w:val="nil"/>
              <w:left w:val="nil"/>
              <w:bottom w:val="nil"/>
              <w:right w:val="nil"/>
            </w:tcBorders>
            <w:noWrap/>
            <w:tcMar>
              <w:top w:w="15" w:type="dxa"/>
              <w:left w:w="15" w:type="dxa"/>
              <w:bottom w:w="0" w:type="dxa"/>
              <w:right w:w="15" w:type="dxa"/>
            </w:tcMar>
          </w:tcPr>
          <w:p w14:paraId="1699E6D7" w14:textId="5A305377" w:rsidR="008E1787" w:rsidRPr="00A66A30" w:rsidRDefault="00F7007E" w:rsidP="008E1787">
            <w:pPr>
              <w:spacing w:after="0"/>
              <w:jc w:val="center"/>
              <w:rPr>
                <w:rFonts w:cs="Times New Roman"/>
                <w:sz w:val="20"/>
                <w:szCs w:val="20"/>
                <w:lang w:val="en-US"/>
              </w:rPr>
            </w:pPr>
            <w:r w:rsidRPr="00A66A30">
              <w:rPr>
                <w:rFonts w:cs="Times New Roman"/>
                <w:sz w:val="20"/>
                <w:szCs w:val="20"/>
                <w:lang w:val="en-US"/>
              </w:rPr>
              <w:t>2.</w:t>
            </w:r>
            <w:r w:rsidR="008E1787" w:rsidRPr="00A66A30">
              <w:rPr>
                <w:rFonts w:cs="Times New Roman"/>
                <w:sz w:val="20"/>
                <w:szCs w:val="20"/>
                <w:lang w:val="en-US"/>
              </w:rPr>
              <w:t>9</w:t>
            </w:r>
          </w:p>
        </w:tc>
        <w:tc>
          <w:tcPr>
            <w:tcW w:w="1041" w:type="dxa"/>
            <w:vMerge/>
            <w:tcBorders>
              <w:top w:val="nil"/>
              <w:left w:val="nil"/>
              <w:bottom w:val="nil"/>
              <w:right w:val="nil"/>
            </w:tcBorders>
            <w:noWrap/>
            <w:tcMar>
              <w:top w:w="15" w:type="dxa"/>
              <w:left w:w="15" w:type="dxa"/>
              <w:bottom w:w="0" w:type="dxa"/>
              <w:right w:w="15" w:type="dxa"/>
            </w:tcMar>
          </w:tcPr>
          <w:p w14:paraId="29397666" w14:textId="117599C8" w:rsidR="008E1787" w:rsidRPr="00A66A30" w:rsidRDefault="008E1787" w:rsidP="008E1787">
            <w:pPr>
              <w:spacing w:after="0"/>
              <w:jc w:val="center"/>
              <w:rPr>
                <w:rFonts w:cs="Times New Roman"/>
                <w:sz w:val="20"/>
                <w:szCs w:val="20"/>
                <w:lang w:val="en-US"/>
              </w:rPr>
            </w:pPr>
          </w:p>
        </w:tc>
      </w:tr>
      <w:tr w:rsidR="00C427A4" w:rsidRPr="00A66A30" w14:paraId="753FE13F" w14:textId="77777777" w:rsidTr="003918A6">
        <w:trPr>
          <w:cantSplit/>
          <w:trHeight w:val="215"/>
          <w:jc w:val="center"/>
        </w:trPr>
        <w:tc>
          <w:tcPr>
            <w:tcW w:w="2405" w:type="dxa"/>
            <w:gridSpan w:val="2"/>
            <w:tcBorders>
              <w:top w:val="nil"/>
              <w:left w:val="nil"/>
              <w:right w:val="nil"/>
            </w:tcBorders>
            <w:noWrap/>
            <w:tcMar>
              <w:top w:w="15" w:type="dxa"/>
              <w:left w:w="15" w:type="dxa"/>
              <w:bottom w:w="0" w:type="dxa"/>
              <w:right w:w="15" w:type="dxa"/>
            </w:tcMar>
            <w:vAlign w:val="center"/>
          </w:tcPr>
          <w:p w14:paraId="72C80753" w14:textId="130B6BE0" w:rsidR="00C427A4" w:rsidRPr="00A66A30" w:rsidRDefault="000D0C85" w:rsidP="00CD6711">
            <w:pPr>
              <w:spacing w:after="0"/>
              <w:jc w:val="center"/>
              <w:rPr>
                <w:rFonts w:cs="Times New Roman"/>
                <w:iCs/>
                <w:sz w:val="20"/>
                <w:szCs w:val="20"/>
                <w:lang w:val="en-US"/>
              </w:rPr>
            </w:pPr>
            <w:r w:rsidRPr="00A66A30">
              <w:rPr>
                <w:rFonts w:cs="Times New Roman"/>
                <w:iCs/>
                <w:sz w:val="20"/>
                <w:szCs w:val="20"/>
                <w:lang w:val="en-US"/>
              </w:rPr>
              <w:t>Total</w:t>
            </w:r>
          </w:p>
        </w:tc>
        <w:tc>
          <w:tcPr>
            <w:tcW w:w="590" w:type="dxa"/>
            <w:tcBorders>
              <w:top w:val="nil"/>
              <w:left w:val="nil"/>
              <w:right w:val="nil"/>
            </w:tcBorders>
            <w:vAlign w:val="center"/>
          </w:tcPr>
          <w:p w14:paraId="7ECDF129" w14:textId="69786D0D" w:rsidR="00C427A4" w:rsidRPr="00A66A30" w:rsidRDefault="00C427A4" w:rsidP="00CD6711">
            <w:pPr>
              <w:spacing w:after="0"/>
              <w:jc w:val="center"/>
              <w:rPr>
                <w:rFonts w:cs="Times New Roman"/>
                <w:iCs/>
                <w:sz w:val="20"/>
                <w:szCs w:val="20"/>
                <w:lang w:val="en-US"/>
              </w:rPr>
            </w:pPr>
            <w:r w:rsidRPr="00A66A30">
              <w:rPr>
                <w:rFonts w:cs="Times New Roman"/>
                <w:iCs/>
                <w:sz w:val="20"/>
                <w:szCs w:val="20"/>
                <w:lang w:val="en-US"/>
              </w:rPr>
              <w:t>0</w:t>
            </w:r>
          </w:p>
        </w:tc>
        <w:tc>
          <w:tcPr>
            <w:tcW w:w="564" w:type="dxa"/>
            <w:tcBorders>
              <w:top w:val="nil"/>
              <w:left w:val="nil"/>
              <w:right w:val="nil"/>
            </w:tcBorders>
            <w:noWrap/>
            <w:tcMar>
              <w:top w:w="15" w:type="dxa"/>
              <w:left w:w="15" w:type="dxa"/>
              <w:bottom w:w="0" w:type="dxa"/>
              <w:right w:w="15" w:type="dxa"/>
            </w:tcMar>
            <w:vAlign w:val="center"/>
          </w:tcPr>
          <w:p w14:paraId="3DA9B565" w14:textId="2A7378DE" w:rsidR="00C427A4" w:rsidRPr="00A66A30" w:rsidRDefault="00C427A4" w:rsidP="003918A6">
            <w:pPr>
              <w:spacing w:after="0"/>
              <w:jc w:val="center"/>
              <w:rPr>
                <w:rFonts w:cs="Times New Roman"/>
                <w:iCs/>
                <w:sz w:val="20"/>
                <w:szCs w:val="20"/>
                <w:lang w:val="en-US"/>
              </w:rPr>
            </w:pPr>
            <w:r w:rsidRPr="00A66A30">
              <w:rPr>
                <w:rFonts w:cs="Times New Roman"/>
                <w:iCs/>
                <w:sz w:val="20"/>
                <w:szCs w:val="20"/>
                <w:lang w:val="en-US"/>
              </w:rPr>
              <w:t>3</w:t>
            </w:r>
            <w:r w:rsidR="003918A6" w:rsidRPr="00A66A30">
              <w:rPr>
                <w:rFonts w:cs="Times New Roman"/>
                <w:iCs/>
                <w:sz w:val="20"/>
                <w:szCs w:val="20"/>
                <w:lang w:val="en-US"/>
              </w:rPr>
              <w:t>.</w:t>
            </w:r>
            <w:r w:rsidRPr="00A66A30">
              <w:rPr>
                <w:rFonts w:cs="Times New Roman"/>
                <w:iCs/>
                <w:sz w:val="20"/>
                <w:szCs w:val="20"/>
                <w:lang w:val="en-US"/>
              </w:rPr>
              <w:t>4</w:t>
            </w:r>
          </w:p>
        </w:tc>
        <w:tc>
          <w:tcPr>
            <w:tcW w:w="731" w:type="dxa"/>
            <w:tcBorders>
              <w:top w:val="nil"/>
              <w:left w:val="nil"/>
              <w:right w:val="nil"/>
            </w:tcBorders>
            <w:noWrap/>
            <w:tcMar>
              <w:top w:w="15" w:type="dxa"/>
              <w:left w:w="15" w:type="dxa"/>
              <w:bottom w:w="0" w:type="dxa"/>
              <w:right w:w="15" w:type="dxa"/>
            </w:tcMar>
            <w:vAlign w:val="center"/>
          </w:tcPr>
          <w:p w14:paraId="32A0B524" w14:textId="653E7BDB" w:rsidR="00C427A4" w:rsidRPr="00A66A30" w:rsidRDefault="00C427A4" w:rsidP="003918A6">
            <w:pPr>
              <w:spacing w:after="0"/>
              <w:jc w:val="center"/>
              <w:rPr>
                <w:rFonts w:cs="Times New Roman"/>
                <w:iCs/>
                <w:sz w:val="20"/>
                <w:szCs w:val="20"/>
                <w:lang w:val="en-US"/>
              </w:rPr>
            </w:pPr>
            <w:r w:rsidRPr="00A66A30">
              <w:rPr>
                <w:rFonts w:cs="Times New Roman"/>
                <w:iCs/>
                <w:sz w:val="20"/>
                <w:szCs w:val="20"/>
                <w:lang w:val="en-US"/>
              </w:rPr>
              <w:t>28</w:t>
            </w:r>
            <w:r w:rsidR="003918A6" w:rsidRPr="00A66A30">
              <w:rPr>
                <w:rFonts w:cs="Times New Roman"/>
                <w:iCs/>
                <w:sz w:val="20"/>
                <w:szCs w:val="20"/>
                <w:lang w:val="en-US"/>
              </w:rPr>
              <w:t>.</w:t>
            </w:r>
            <w:r w:rsidRPr="00A66A30">
              <w:rPr>
                <w:rFonts w:cs="Times New Roman"/>
                <w:iCs/>
                <w:sz w:val="20"/>
                <w:szCs w:val="20"/>
                <w:lang w:val="en-US"/>
              </w:rPr>
              <w:t>2</w:t>
            </w:r>
          </w:p>
        </w:tc>
        <w:tc>
          <w:tcPr>
            <w:tcW w:w="775" w:type="dxa"/>
            <w:tcBorders>
              <w:top w:val="nil"/>
              <w:left w:val="nil"/>
              <w:right w:val="nil"/>
            </w:tcBorders>
            <w:noWrap/>
            <w:tcMar>
              <w:top w:w="15" w:type="dxa"/>
              <w:left w:w="15" w:type="dxa"/>
              <w:bottom w:w="0" w:type="dxa"/>
              <w:right w:w="15" w:type="dxa"/>
            </w:tcMar>
            <w:vAlign w:val="center"/>
          </w:tcPr>
          <w:p w14:paraId="5A51EA90" w14:textId="37C63AF5" w:rsidR="00C427A4" w:rsidRPr="00A66A30" w:rsidRDefault="00C427A4" w:rsidP="003918A6">
            <w:pPr>
              <w:spacing w:after="0"/>
              <w:jc w:val="center"/>
              <w:rPr>
                <w:rFonts w:cs="Times New Roman"/>
                <w:iCs/>
                <w:sz w:val="20"/>
                <w:szCs w:val="20"/>
                <w:lang w:val="en-US"/>
              </w:rPr>
            </w:pPr>
            <w:r w:rsidRPr="00A66A30">
              <w:rPr>
                <w:rFonts w:cs="Times New Roman"/>
                <w:iCs/>
                <w:sz w:val="20"/>
                <w:szCs w:val="20"/>
                <w:lang w:val="en-US"/>
              </w:rPr>
              <w:t>45</w:t>
            </w:r>
            <w:r w:rsidR="003918A6" w:rsidRPr="00A66A30">
              <w:rPr>
                <w:rFonts w:cs="Times New Roman"/>
                <w:iCs/>
                <w:sz w:val="20"/>
                <w:szCs w:val="20"/>
                <w:lang w:val="en-US"/>
              </w:rPr>
              <w:t>.</w:t>
            </w:r>
            <w:r w:rsidRPr="00A66A30">
              <w:rPr>
                <w:rFonts w:cs="Times New Roman"/>
                <w:iCs/>
                <w:sz w:val="20"/>
                <w:szCs w:val="20"/>
                <w:lang w:val="en-US"/>
              </w:rPr>
              <w:t>1</w:t>
            </w:r>
          </w:p>
        </w:tc>
        <w:tc>
          <w:tcPr>
            <w:tcW w:w="733" w:type="dxa"/>
            <w:tcBorders>
              <w:top w:val="nil"/>
              <w:left w:val="nil"/>
              <w:right w:val="nil"/>
            </w:tcBorders>
            <w:noWrap/>
            <w:tcMar>
              <w:top w:w="15" w:type="dxa"/>
              <w:left w:w="15" w:type="dxa"/>
              <w:bottom w:w="0" w:type="dxa"/>
              <w:right w:w="15" w:type="dxa"/>
            </w:tcMar>
            <w:vAlign w:val="center"/>
          </w:tcPr>
          <w:p w14:paraId="13A070E7" w14:textId="4743D043" w:rsidR="00C427A4" w:rsidRPr="00A66A30" w:rsidRDefault="00C427A4" w:rsidP="003918A6">
            <w:pPr>
              <w:spacing w:after="0"/>
              <w:jc w:val="center"/>
              <w:rPr>
                <w:rFonts w:cs="Times New Roman"/>
                <w:iCs/>
                <w:sz w:val="20"/>
                <w:szCs w:val="20"/>
                <w:lang w:val="en-US"/>
              </w:rPr>
            </w:pPr>
            <w:r w:rsidRPr="00A66A30">
              <w:rPr>
                <w:rFonts w:cs="Times New Roman"/>
                <w:iCs/>
                <w:sz w:val="20"/>
                <w:szCs w:val="20"/>
                <w:lang w:val="en-US"/>
              </w:rPr>
              <w:t>54</w:t>
            </w:r>
            <w:r w:rsidR="003918A6" w:rsidRPr="00A66A30">
              <w:rPr>
                <w:rFonts w:cs="Times New Roman"/>
                <w:iCs/>
                <w:sz w:val="20"/>
                <w:szCs w:val="20"/>
                <w:lang w:val="en-US"/>
              </w:rPr>
              <w:t>.</w:t>
            </w:r>
            <w:r w:rsidRPr="00A66A30">
              <w:rPr>
                <w:rFonts w:cs="Times New Roman"/>
                <w:iCs/>
                <w:sz w:val="20"/>
                <w:szCs w:val="20"/>
                <w:lang w:val="en-US"/>
              </w:rPr>
              <w:t>2</w:t>
            </w:r>
          </w:p>
        </w:tc>
        <w:tc>
          <w:tcPr>
            <w:tcW w:w="733" w:type="dxa"/>
            <w:tcBorders>
              <w:top w:val="nil"/>
              <w:left w:val="nil"/>
              <w:right w:val="nil"/>
            </w:tcBorders>
            <w:noWrap/>
            <w:tcMar>
              <w:top w:w="15" w:type="dxa"/>
              <w:left w:w="15" w:type="dxa"/>
              <w:bottom w:w="0" w:type="dxa"/>
              <w:right w:w="15" w:type="dxa"/>
            </w:tcMar>
            <w:vAlign w:val="center"/>
          </w:tcPr>
          <w:p w14:paraId="0D18188D" w14:textId="6C2F0FF4" w:rsidR="00C427A4" w:rsidRPr="00A66A30" w:rsidRDefault="00C427A4" w:rsidP="003918A6">
            <w:pPr>
              <w:spacing w:after="0"/>
              <w:jc w:val="center"/>
              <w:rPr>
                <w:rFonts w:cs="Times New Roman"/>
                <w:iCs/>
                <w:sz w:val="20"/>
                <w:szCs w:val="20"/>
                <w:lang w:val="en-US"/>
              </w:rPr>
            </w:pPr>
            <w:r w:rsidRPr="00A66A30">
              <w:rPr>
                <w:rFonts w:cs="Times New Roman"/>
                <w:iCs/>
                <w:sz w:val="20"/>
                <w:szCs w:val="20"/>
                <w:lang w:val="en-US"/>
              </w:rPr>
              <w:t>68</w:t>
            </w:r>
            <w:r w:rsidR="003918A6" w:rsidRPr="00A66A30">
              <w:rPr>
                <w:rFonts w:cs="Times New Roman"/>
                <w:iCs/>
                <w:sz w:val="20"/>
                <w:szCs w:val="20"/>
                <w:lang w:val="en-US"/>
              </w:rPr>
              <w:t>.</w:t>
            </w:r>
            <w:r w:rsidRPr="00A66A30">
              <w:rPr>
                <w:rFonts w:cs="Times New Roman"/>
                <w:iCs/>
                <w:sz w:val="20"/>
                <w:szCs w:val="20"/>
                <w:lang w:val="en-US"/>
              </w:rPr>
              <w:t>6</w:t>
            </w:r>
          </w:p>
        </w:tc>
        <w:tc>
          <w:tcPr>
            <w:tcW w:w="733" w:type="dxa"/>
            <w:tcBorders>
              <w:top w:val="nil"/>
              <w:left w:val="nil"/>
              <w:right w:val="nil"/>
            </w:tcBorders>
            <w:noWrap/>
            <w:tcMar>
              <w:top w:w="15" w:type="dxa"/>
              <w:left w:w="15" w:type="dxa"/>
              <w:bottom w:w="0" w:type="dxa"/>
              <w:right w:w="15" w:type="dxa"/>
            </w:tcMar>
            <w:vAlign w:val="center"/>
          </w:tcPr>
          <w:p w14:paraId="70728966" w14:textId="5E9B2D6F" w:rsidR="00C427A4" w:rsidRPr="00A66A30" w:rsidRDefault="00C427A4" w:rsidP="003918A6">
            <w:pPr>
              <w:spacing w:after="0"/>
              <w:jc w:val="center"/>
              <w:rPr>
                <w:rFonts w:cs="Times New Roman"/>
                <w:iCs/>
                <w:sz w:val="20"/>
                <w:szCs w:val="20"/>
                <w:lang w:val="en-US"/>
              </w:rPr>
            </w:pPr>
            <w:r w:rsidRPr="00A66A30">
              <w:rPr>
                <w:rFonts w:cs="Times New Roman"/>
                <w:iCs/>
                <w:sz w:val="20"/>
                <w:szCs w:val="20"/>
                <w:lang w:val="en-US"/>
              </w:rPr>
              <w:t>76</w:t>
            </w:r>
            <w:r w:rsidR="003918A6" w:rsidRPr="00A66A30">
              <w:rPr>
                <w:rFonts w:cs="Times New Roman"/>
                <w:iCs/>
                <w:sz w:val="20"/>
                <w:szCs w:val="20"/>
                <w:lang w:val="en-US"/>
              </w:rPr>
              <w:t>.</w:t>
            </w:r>
            <w:r w:rsidRPr="00A66A30">
              <w:rPr>
                <w:rFonts w:cs="Times New Roman"/>
                <w:iCs/>
                <w:sz w:val="20"/>
                <w:szCs w:val="20"/>
                <w:lang w:val="en-US"/>
              </w:rPr>
              <w:t>7</w:t>
            </w:r>
          </w:p>
        </w:tc>
        <w:tc>
          <w:tcPr>
            <w:tcW w:w="733" w:type="dxa"/>
            <w:tcBorders>
              <w:top w:val="nil"/>
              <w:left w:val="nil"/>
              <w:right w:val="nil"/>
            </w:tcBorders>
            <w:noWrap/>
            <w:tcMar>
              <w:top w:w="15" w:type="dxa"/>
              <w:left w:w="15" w:type="dxa"/>
              <w:bottom w:w="0" w:type="dxa"/>
              <w:right w:w="15" w:type="dxa"/>
            </w:tcMar>
            <w:vAlign w:val="center"/>
          </w:tcPr>
          <w:p w14:paraId="750E0663" w14:textId="60344E96" w:rsidR="00C427A4" w:rsidRPr="00A66A30" w:rsidRDefault="00C427A4" w:rsidP="003918A6">
            <w:pPr>
              <w:spacing w:after="0"/>
              <w:jc w:val="center"/>
              <w:rPr>
                <w:rFonts w:cs="Times New Roman"/>
                <w:iCs/>
                <w:sz w:val="20"/>
                <w:szCs w:val="20"/>
                <w:lang w:val="en-US"/>
              </w:rPr>
            </w:pPr>
            <w:r w:rsidRPr="00A66A30">
              <w:rPr>
                <w:rFonts w:cs="Times New Roman"/>
                <w:iCs/>
                <w:sz w:val="20"/>
                <w:szCs w:val="20"/>
                <w:lang w:val="en-US"/>
              </w:rPr>
              <w:t>84</w:t>
            </w:r>
            <w:r w:rsidR="003918A6" w:rsidRPr="00A66A30">
              <w:rPr>
                <w:rFonts w:cs="Times New Roman"/>
                <w:iCs/>
                <w:sz w:val="20"/>
                <w:szCs w:val="20"/>
                <w:lang w:val="en-US"/>
              </w:rPr>
              <w:t>.</w:t>
            </w:r>
            <w:r w:rsidRPr="00A66A30">
              <w:rPr>
                <w:rFonts w:cs="Times New Roman"/>
                <w:iCs/>
                <w:sz w:val="20"/>
                <w:szCs w:val="20"/>
                <w:lang w:val="en-US"/>
              </w:rPr>
              <w:t>4</w:t>
            </w:r>
          </w:p>
        </w:tc>
        <w:tc>
          <w:tcPr>
            <w:tcW w:w="680" w:type="dxa"/>
            <w:tcBorders>
              <w:top w:val="nil"/>
              <w:left w:val="nil"/>
              <w:right w:val="nil"/>
            </w:tcBorders>
            <w:noWrap/>
            <w:tcMar>
              <w:top w:w="15" w:type="dxa"/>
              <w:left w:w="15" w:type="dxa"/>
              <w:bottom w:w="0" w:type="dxa"/>
              <w:right w:w="15" w:type="dxa"/>
            </w:tcMar>
            <w:vAlign w:val="center"/>
          </w:tcPr>
          <w:p w14:paraId="3617F961" w14:textId="6E6156F5" w:rsidR="00C427A4" w:rsidRPr="00A66A30" w:rsidRDefault="00C427A4" w:rsidP="00F7007E">
            <w:pPr>
              <w:spacing w:after="0"/>
              <w:jc w:val="center"/>
              <w:rPr>
                <w:rFonts w:cs="Times New Roman"/>
                <w:iCs/>
                <w:sz w:val="20"/>
                <w:szCs w:val="20"/>
                <w:lang w:val="en-US"/>
              </w:rPr>
            </w:pPr>
            <w:r w:rsidRPr="00A66A30">
              <w:rPr>
                <w:rFonts w:cs="Times New Roman"/>
                <w:iCs/>
                <w:sz w:val="20"/>
                <w:szCs w:val="20"/>
                <w:lang w:val="en-US"/>
              </w:rPr>
              <w:t>89</w:t>
            </w:r>
            <w:r w:rsidR="00F7007E" w:rsidRPr="00A66A30">
              <w:rPr>
                <w:rFonts w:cs="Times New Roman"/>
                <w:iCs/>
                <w:sz w:val="20"/>
                <w:szCs w:val="20"/>
                <w:lang w:val="en-US"/>
              </w:rPr>
              <w:t>.</w:t>
            </w:r>
            <w:r w:rsidRPr="00A66A30">
              <w:rPr>
                <w:rFonts w:cs="Times New Roman"/>
                <w:iCs/>
                <w:sz w:val="20"/>
                <w:szCs w:val="20"/>
                <w:lang w:val="en-US"/>
              </w:rPr>
              <w:t>1</w:t>
            </w:r>
          </w:p>
        </w:tc>
        <w:tc>
          <w:tcPr>
            <w:tcW w:w="1041" w:type="dxa"/>
            <w:vMerge/>
            <w:tcBorders>
              <w:top w:val="nil"/>
              <w:left w:val="nil"/>
              <w:right w:val="nil"/>
            </w:tcBorders>
            <w:noWrap/>
            <w:tcMar>
              <w:top w:w="15" w:type="dxa"/>
              <w:left w:w="15" w:type="dxa"/>
              <w:bottom w:w="0" w:type="dxa"/>
              <w:right w:w="15" w:type="dxa"/>
            </w:tcMar>
            <w:vAlign w:val="center"/>
          </w:tcPr>
          <w:p w14:paraId="50C6C9FD" w14:textId="3114EAEE" w:rsidR="00C427A4" w:rsidRPr="00A66A30" w:rsidRDefault="00C427A4" w:rsidP="00CD6711">
            <w:pPr>
              <w:spacing w:after="0"/>
              <w:jc w:val="center"/>
              <w:rPr>
                <w:rFonts w:cs="Times New Roman"/>
                <w:bCs/>
                <w:sz w:val="20"/>
                <w:szCs w:val="20"/>
                <w:lang w:val="en-US"/>
              </w:rPr>
            </w:pPr>
          </w:p>
        </w:tc>
      </w:tr>
    </w:tbl>
    <w:p w14:paraId="240D8EF6" w14:textId="77777777" w:rsidR="0014311A" w:rsidRPr="00A66A30" w:rsidRDefault="0014311A" w:rsidP="007A62C8">
      <w:pPr>
        <w:spacing w:after="0"/>
        <w:ind w:firstLine="709"/>
        <w:jc w:val="both"/>
        <w:rPr>
          <w:color w:val="000000" w:themeColor="text1"/>
          <w:sz w:val="20"/>
          <w:szCs w:val="20"/>
          <w:lang w:val="en-US"/>
        </w:rPr>
      </w:pPr>
    </w:p>
    <w:p w14:paraId="77D8B49A" w14:textId="302C7EEB" w:rsidR="00BD68BE" w:rsidRPr="00A66A30" w:rsidRDefault="005B25D1" w:rsidP="00866144">
      <w:pPr>
        <w:spacing w:after="0"/>
        <w:ind w:firstLine="284"/>
        <w:jc w:val="both"/>
        <w:rPr>
          <w:color w:val="000000" w:themeColor="text1"/>
          <w:sz w:val="20"/>
          <w:lang w:val="en-US"/>
        </w:rPr>
      </w:pPr>
      <w:r w:rsidRPr="00A66A30">
        <w:rPr>
          <w:color w:val="000000" w:themeColor="text1"/>
          <w:sz w:val="20"/>
          <w:lang w:val="en-US"/>
        </w:rPr>
        <w:t>Using the method [16], the packing density of mineral material mixtures calculated using existing and proposed methods was determined experimentally. For these methods, the packing density is 74.2</w:t>
      </w:r>
      <w:r w:rsidR="008E0AFB" w:rsidRPr="00A66A30">
        <w:rPr>
          <w:color w:val="000000" w:themeColor="text1"/>
          <w:sz w:val="20"/>
          <w:lang w:val="en-US"/>
        </w:rPr>
        <w:t xml:space="preserve"> </w:t>
      </w:r>
      <w:r w:rsidRPr="00A66A30">
        <w:rPr>
          <w:color w:val="000000" w:themeColor="text1"/>
          <w:sz w:val="20"/>
          <w:lang w:val="en-US"/>
        </w:rPr>
        <w:t>% and 76.9</w:t>
      </w:r>
      <w:r w:rsidR="008E0AFB" w:rsidRPr="00A66A30">
        <w:rPr>
          <w:color w:val="000000" w:themeColor="text1"/>
          <w:sz w:val="20"/>
          <w:lang w:val="en-US"/>
        </w:rPr>
        <w:t xml:space="preserve"> </w:t>
      </w:r>
      <w:r w:rsidRPr="00A66A30">
        <w:rPr>
          <w:color w:val="000000" w:themeColor="text1"/>
          <w:sz w:val="20"/>
          <w:lang w:val="en-US"/>
        </w:rPr>
        <w:t>%, respectively. Thus, approximation to the average line according to the criterion of the minimum summary of squares of deviations (Σε</w:t>
      </w:r>
      <w:r w:rsidRPr="00A66A30">
        <w:rPr>
          <w:color w:val="000000" w:themeColor="text1"/>
          <w:sz w:val="20"/>
          <w:vertAlign w:val="superscript"/>
          <w:lang w:val="en-US"/>
        </w:rPr>
        <w:t>2</w:t>
      </w:r>
      <w:r w:rsidRPr="00A66A30">
        <w:rPr>
          <w:color w:val="000000" w:themeColor="text1"/>
          <w:sz w:val="20"/>
          <w:lang w:val="en-US"/>
        </w:rPr>
        <w:t xml:space="preserve">) ensures the </w:t>
      </w:r>
      <w:r w:rsidR="00A66A30" w:rsidRPr="00A66A30">
        <w:rPr>
          <w:color w:val="000000" w:themeColor="text1"/>
          <w:sz w:val="20"/>
          <w:lang w:val="en-US"/>
        </w:rPr>
        <w:t>densest</w:t>
      </w:r>
      <w:r w:rsidRPr="00A66A30">
        <w:rPr>
          <w:color w:val="000000" w:themeColor="text1"/>
          <w:sz w:val="20"/>
          <w:lang w:val="en-US"/>
        </w:rPr>
        <w:t xml:space="preserve"> packing of mineral materials.</w:t>
      </w:r>
    </w:p>
    <w:p w14:paraId="75A8D54D" w14:textId="77777777" w:rsidR="00C706D6" w:rsidRPr="00A66A30" w:rsidRDefault="00C706D6" w:rsidP="000C03F7">
      <w:pPr>
        <w:spacing w:after="0"/>
        <w:ind w:firstLine="709"/>
        <w:jc w:val="right"/>
        <w:rPr>
          <w:color w:val="000000"/>
          <w:sz w:val="20"/>
          <w:szCs w:val="20"/>
          <w:lang w:val="en-US"/>
        </w:rPr>
      </w:pPr>
    </w:p>
    <w:p w14:paraId="3D2658D3" w14:textId="2E016C3D" w:rsidR="000C03F7" w:rsidRPr="00A66A30" w:rsidRDefault="00F76CD4" w:rsidP="003A0526">
      <w:pPr>
        <w:spacing w:after="0"/>
        <w:jc w:val="center"/>
        <w:rPr>
          <w:color w:val="000000"/>
          <w:sz w:val="18"/>
          <w:szCs w:val="18"/>
          <w:lang w:val="en-US"/>
        </w:rPr>
      </w:pPr>
      <w:proofErr w:type="gramStart"/>
      <w:r w:rsidRPr="00A66A30">
        <w:rPr>
          <w:b/>
          <w:color w:val="000000"/>
          <w:sz w:val="18"/>
          <w:szCs w:val="18"/>
          <w:lang w:val="en-US"/>
        </w:rPr>
        <w:t>TABLE 2.</w:t>
      </w:r>
      <w:proofErr w:type="gramEnd"/>
      <w:r w:rsidRPr="00A66A30">
        <w:rPr>
          <w:color w:val="000000"/>
          <w:sz w:val="18"/>
          <w:szCs w:val="18"/>
          <w:lang w:val="en-US"/>
        </w:rPr>
        <w:t xml:space="preserve"> </w:t>
      </w:r>
      <w:r w:rsidR="00CF74FF" w:rsidRPr="00A66A30">
        <w:rPr>
          <w:color w:val="000000"/>
          <w:sz w:val="18"/>
          <w:szCs w:val="18"/>
          <w:lang w:val="en-US"/>
        </w:rPr>
        <w:t>Physical and mechanical properties of asphalt concretes [1], the composition of which is calculated using the existing method and the proposed method</w:t>
      </w:r>
    </w:p>
    <w:tbl>
      <w:tblPr>
        <w:tblStyle w:val="a4"/>
        <w:tblW w:w="0" w:type="auto"/>
        <w:tblInd w:w="108" w:type="dxa"/>
        <w:tblLook w:val="04A0" w:firstRow="1" w:lastRow="0" w:firstColumn="1" w:lastColumn="0" w:noHBand="0" w:noVBand="1"/>
      </w:tblPr>
      <w:tblGrid>
        <w:gridCol w:w="3127"/>
        <w:gridCol w:w="3110"/>
        <w:gridCol w:w="3121"/>
      </w:tblGrid>
      <w:tr w:rsidR="00A60524" w:rsidRPr="00A66A30" w14:paraId="4D260819" w14:textId="77777777" w:rsidTr="00AA1A07">
        <w:tc>
          <w:tcPr>
            <w:tcW w:w="3127" w:type="dxa"/>
            <w:tcBorders>
              <w:left w:val="nil"/>
              <w:bottom w:val="single" w:sz="4" w:space="0" w:color="auto"/>
              <w:right w:val="nil"/>
            </w:tcBorders>
            <w:vAlign w:val="center"/>
          </w:tcPr>
          <w:p w14:paraId="04457882" w14:textId="4659667A" w:rsidR="00A60524" w:rsidRPr="00A66A30" w:rsidRDefault="002A1709" w:rsidP="002A1709">
            <w:pPr>
              <w:pStyle w:val="a8"/>
              <w:jc w:val="center"/>
              <w:rPr>
                <w:b/>
                <w:sz w:val="18"/>
                <w:szCs w:val="18"/>
                <w:lang w:val="en-US"/>
              </w:rPr>
            </w:pPr>
            <w:r w:rsidRPr="00A66A30">
              <w:rPr>
                <w:b/>
                <w:sz w:val="18"/>
                <w:szCs w:val="18"/>
                <w:lang w:val="en-US"/>
              </w:rPr>
              <w:t>Asphalt concrete manufactured according to</w:t>
            </w:r>
          </w:p>
        </w:tc>
        <w:tc>
          <w:tcPr>
            <w:tcW w:w="3110" w:type="dxa"/>
            <w:tcBorders>
              <w:left w:val="nil"/>
              <w:bottom w:val="single" w:sz="4" w:space="0" w:color="auto"/>
              <w:right w:val="nil"/>
            </w:tcBorders>
            <w:vAlign w:val="center"/>
          </w:tcPr>
          <w:p w14:paraId="782CBA7C" w14:textId="2959FEE5" w:rsidR="00A60524" w:rsidRPr="00A66A30" w:rsidRDefault="00A60524" w:rsidP="002A1709">
            <w:pPr>
              <w:pStyle w:val="a8"/>
              <w:jc w:val="center"/>
              <w:rPr>
                <w:b/>
                <w:sz w:val="18"/>
                <w:szCs w:val="18"/>
                <w:lang w:val="en-US"/>
              </w:rPr>
            </w:pPr>
            <w:r w:rsidRPr="00A66A30">
              <w:rPr>
                <w:b/>
                <w:sz w:val="18"/>
                <w:szCs w:val="18"/>
                <w:lang w:val="en-US"/>
              </w:rPr>
              <w:t>The existing method</w:t>
            </w:r>
          </w:p>
        </w:tc>
        <w:tc>
          <w:tcPr>
            <w:tcW w:w="3121" w:type="dxa"/>
            <w:tcBorders>
              <w:left w:val="nil"/>
              <w:bottom w:val="single" w:sz="4" w:space="0" w:color="auto"/>
              <w:right w:val="nil"/>
            </w:tcBorders>
            <w:vAlign w:val="center"/>
          </w:tcPr>
          <w:p w14:paraId="66FB2E24" w14:textId="4889BC25" w:rsidR="00A60524" w:rsidRPr="00A66A30" w:rsidRDefault="00A60524" w:rsidP="002A1709">
            <w:pPr>
              <w:pStyle w:val="a8"/>
              <w:jc w:val="center"/>
              <w:rPr>
                <w:b/>
                <w:sz w:val="18"/>
                <w:szCs w:val="18"/>
                <w:lang w:val="en-US"/>
              </w:rPr>
            </w:pPr>
            <w:r w:rsidRPr="00A66A30">
              <w:rPr>
                <w:b/>
                <w:sz w:val="18"/>
                <w:szCs w:val="18"/>
                <w:lang w:val="en-US"/>
              </w:rPr>
              <w:t>Proposed method</w:t>
            </w:r>
          </w:p>
        </w:tc>
      </w:tr>
      <w:tr w:rsidR="00A60524" w:rsidRPr="00A66A30" w14:paraId="1D932E05" w14:textId="77777777" w:rsidTr="00247082">
        <w:tc>
          <w:tcPr>
            <w:tcW w:w="3127" w:type="dxa"/>
            <w:tcBorders>
              <w:left w:val="nil"/>
              <w:bottom w:val="nil"/>
              <w:right w:val="nil"/>
            </w:tcBorders>
          </w:tcPr>
          <w:p w14:paraId="47118BEF" w14:textId="41441760" w:rsidR="00A60524" w:rsidRPr="00A66A30" w:rsidRDefault="002A1709" w:rsidP="000C03F7">
            <w:pPr>
              <w:pStyle w:val="21"/>
              <w:spacing w:after="0" w:line="240" w:lineRule="auto"/>
              <w:jc w:val="center"/>
              <w:rPr>
                <w:color w:val="000000"/>
                <w:sz w:val="20"/>
                <w:szCs w:val="18"/>
                <w:lang w:val="en-US"/>
              </w:rPr>
            </w:pPr>
            <w:r w:rsidRPr="00A66A30">
              <w:rPr>
                <w:color w:val="000000"/>
                <w:sz w:val="20"/>
                <w:szCs w:val="18"/>
                <w:lang w:val="en-US"/>
              </w:rPr>
              <w:t>Average density, kg/m</w:t>
            </w:r>
            <w:r w:rsidRPr="00A66A30">
              <w:rPr>
                <w:color w:val="000000"/>
                <w:sz w:val="20"/>
                <w:szCs w:val="18"/>
                <w:vertAlign w:val="superscript"/>
                <w:lang w:val="en-US"/>
              </w:rPr>
              <w:t>3</w:t>
            </w:r>
          </w:p>
        </w:tc>
        <w:tc>
          <w:tcPr>
            <w:tcW w:w="3110" w:type="dxa"/>
            <w:tcBorders>
              <w:left w:val="nil"/>
              <w:bottom w:val="nil"/>
              <w:right w:val="nil"/>
            </w:tcBorders>
            <w:vAlign w:val="center"/>
          </w:tcPr>
          <w:p w14:paraId="07323C66" w14:textId="5D7A1887" w:rsidR="00A60524" w:rsidRPr="00A66A30" w:rsidRDefault="002A1709" w:rsidP="002A1709">
            <w:pPr>
              <w:pStyle w:val="21"/>
              <w:spacing w:after="0" w:line="240" w:lineRule="auto"/>
              <w:jc w:val="center"/>
              <w:rPr>
                <w:color w:val="000000"/>
                <w:sz w:val="20"/>
                <w:szCs w:val="18"/>
                <w:lang w:val="en-US"/>
              </w:rPr>
            </w:pPr>
            <w:r w:rsidRPr="00A66A30">
              <w:rPr>
                <w:color w:val="000000"/>
                <w:sz w:val="20"/>
                <w:szCs w:val="18"/>
                <w:lang w:val="en-US"/>
              </w:rPr>
              <w:t>2</w:t>
            </w:r>
            <w:r w:rsidR="00F7007E" w:rsidRPr="00A66A30">
              <w:rPr>
                <w:color w:val="000000"/>
                <w:sz w:val="20"/>
                <w:szCs w:val="18"/>
                <w:lang w:val="en-US"/>
              </w:rPr>
              <w:t>,</w:t>
            </w:r>
            <w:r w:rsidRPr="00A66A30">
              <w:rPr>
                <w:color w:val="000000"/>
                <w:sz w:val="20"/>
                <w:szCs w:val="18"/>
                <w:lang w:val="en-US"/>
              </w:rPr>
              <w:t>393</w:t>
            </w:r>
          </w:p>
        </w:tc>
        <w:tc>
          <w:tcPr>
            <w:tcW w:w="3121" w:type="dxa"/>
            <w:tcBorders>
              <w:left w:val="nil"/>
              <w:bottom w:val="nil"/>
              <w:right w:val="nil"/>
            </w:tcBorders>
            <w:vAlign w:val="center"/>
          </w:tcPr>
          <w:p w14:paraId="2D43D01A" w14:textId="4C99A5E2" w:rsidR="00A60524" w:rsidRPr="00A66A30" w:rsidRDefault="002A1709" w:rsidP="002A1709">
            <w:pPr>
              <w:pStyle w:val="21"/>
              <w:spacing w:after="0" w:line="240" w:lineRule="auto"/>
              <w:jc w:val="center"/>
              <w:rPr>
                <w:color w:val="000000"/>
                <w:sz w:val="20"/>
                <w:szCs w:val="18"/>
                <w:lang w:val="en-US"/>
              </w:rPr>
            </w:pPr>
            <w:r w:rsidRPr="00A66A30">
              <w:rPr>
                <w:color w:val="000000"/>
                <w:sz w:val="20"/>
                <w:szCs w:val="18"/>
                <w:lang w:val="en-US"/>
              </w:rPr>
              <w:t>2</w:t>
            </w:r>
            <w:r w:rsidR="00F7007E" w:rsidRPr="00A66A30">
              <w:rPr>
                <w:color w:val="000000"/>
                <w:sz w:val="20"/>
                <w:szCs w:val="18"/>
                <w:lang w:val="en-US"/>
              </w:rPr>
              <w:t>,</w:t>
            </w:r>
            <w:r w:rsidRPr="00A66A30">
              <w:rPr>
                <w:color w:val="000000"/>
                <w:sz w:val="20"/>
                <w:szCs w:val="18"/>
                <w:lang w:val="en-US"/>
              </w:rPr>
              <w:t>402</w:t>
            </w:r>
          </w:p>
        </w:tc>
      </w:tr>
      <w:tr w:rsidR="00A60524" w:rsidRPr="00A66A30" w14:paraId="7128E075" w14:textId="77777777" w:rsidTr="00247082">
        <w:tc>
          <w:tcPr>
            <w:tcW w:w="3127" w:type="dxa"/>
            <w:tcBorders>
              <w:top w:val="nil"/>
              <w:left w:val="nil"/>
              <w:bottom w:val="nil"/>
              <w:right w:val="nil"/>
            </w:tcBorders>
          </w:tcPr>
          <w:p w14:paraId="32592E9D" w14:textId="2CADCA69" w:rsidR="00A60524" w:rsidRPr="00A66A30" w:rsidRDefault="002A1709" w:rsidP="000C03F7">
            <w:pPr>
              <w:pStyle w:val="21"/>
              <w:spacing w:after="0" w:line="240" w:lineRule="auto"/>
              <w:jc w:val="center"/>
              <w:rPr>
                <w:color w:val="000000"/>
                <w:sz w:val="20"/>
                <w:szCs w:val="18"/>
                <w:lang w:val="en-US"/>
              </w:rPr>
            </w:pPr>
            <w:r w:rsidRPr="00A66A30">
              <w:rPr>
                <w:color w:val="000000"/>
                <w:sz w:val="20"/>
                <w:szCs w:val="18"/>
                <w:lang w:val="en-US"/>
              </w:rPr>
              <w:t>Residual porosity, % by volume</w:t>
            </w:r>
          </w:p>
        </w:tc>
        <w:tc>
          <w:tcPr>
            <w:tcW w:w="3110" w:type="dxa"/>
            <w:tcBorders>
              <w:top w:val="nil"/>
              <w:left w:val="nil"/>
              <w:bottom w:val="nil"/>
              <w:right w:val="nil"/>
            </w:tcBorders>
            <w:vAlign w:val="center"/>
          </w:tcPr>
          <w:p w14:paraId="225E0ABD" w14:textId="523B0F31" w:rsidR="00A60524" w:rsidRPr="00A66A30" w:rsidRDefault="002A1709" w:rsidP="00F7007E">
            <w:pPr>
              <w:pStyle w:val="21"/>
              <w:spacing w:after="0" w:line="240" w:lineRule="auto"/>
              <w:jc w:val="center"/>
              <w:rPr>
                <w:color w:val="000000"/>
                <w:sz w:val="20"/>
                <w:szCs w:val="18"/>
                <w:lang w:val="en-US"/>
              </w:rPr>
            </w:pPr>
            <w:r w:rsidRPr="00A66A30">
              <w:rPr>
                <w:color w:val="000000"/>
                <w:sz w:val="20"/>
                <w:szCs w:val="18"/>
                <w:lang w:val="en-US"/>
              </w:rPr>
              <w:t>2</w:t>
            </w:r>
            <w:r w:rsidR="00F7007E" w:rsidRPr="00A66A30">
              <w:rPr>
                <w:color w:val="000000"/>
                <w:sz w:val="20"/>
                <w:szCs w:val="18"/>
                <w:lang w:val="en-US"/>
              </w:rPr>
              <w:t>.</w:t>
            </w:r>
            <w:r w:rsidRPr="00A66A30">
              <w:rPr>
                <w:color w:val="000000"/>
                <w:sz w:val="20"/>
                <w:szCs w:val="18"/>
                <w:lang w:val="en-US"/>
              </w:rPr>
              <w:t>59</w:t>
            </w:r>
          </w:p>
        </w:tc>
        <w:tc>
          <w:tcPr>
            <w:tcW w:w="3121" w:type="dxa"/>
            <w:tcBorders>
              <w:top w:val="nil"/>
              <w:left w:val="nil"/>
              <w:bottom w:val="nil"/>
              <w:right w:val="nil"/>
            </w:tcBorders>
            <w:vAlign w:val="center"/>
          </w:tcPr>
          <w:p w14:paraId="0CCEB600" w14:textId="5EAA01F3" w:rsidR="00A60524" w:rsidRPr="00A66A30" w:rsidRDefault="002A1709" w:rsidP="00F7007E">
            <w:pPr>
              <w:pStyle w:val="21"/>
              <w:spacing w:after="0" w:line="240" w:lineRule="auto"/>
              <w:jc w:val="center"/>
              <w:rPr>
                <w:color w:val="000000"/>
                <w:sz w:val="20"/>
                <w:szCs w:val="18"/>
                <w:lang w:val="en-US"/>
              </w:rPr>
            </w:pPr>
            <w:r w:rsidRPr="00A66A30">
              <w:rPr>
                <w:color w:val="000000"/>
                <w:sz w:val="20"/>
                <w:szCs w:val="18"/>
                <w:lang w:val="en-US"/>
              </w:rPr>
              <w:t>2</w:t>
            </w:r>
            <w:r w:rsidR="00F7007E" w:rsidRPr="00A66A30">
              <w:rPr>
                <w:color w:val="000000"/>
                <w:sz w:val="20"/>
                <w:szCs w:val="18"/>
                <w:lang w:val="en-US"/>
              </w:rPr>
              <w:t>.</w:t>
            </w:r>
            <w:r w:rsidRPr="00A66A30">
              <w:rPr>
                <w:color w:val="000000"/>
                <w:sz w:val="20"/>
                <w:szCs w:val="18"/>
                <w:lang w:val="en-US"/>
              </w:rPr>
              <w:t>22</w:t>
            </w:r>
          </w:p>
        </w:tc>
      </w:tr>
      <w:tr w:rsidR="00A60524" w:rsidRPr="00A66A30" w14:paraId="55647EE1" w14:textId="77777777" w:rsidTr="00247082">
        <w:tc>
          <w:tcPr>
            <w:tcW w:w="3127" w:type="dxa"/>
            <w:tcBorders>
              <w:top w:val="nil"/>
              <w:left w:val="nil"/>
              <w:bottom w:val="nil"/>
              <w:right w:val="nil"/>
            </w:tcBorders>
          </w:tcPr>
          <w:p w14:paraId="4837ED20" w14:textId="53EBB42A" w:rsidR="00A60524" w:rsidRPr="00A66A30" w:rsidRDefault="002A1709" w:rsidP="000C03F7">
            <w:pPr>
              <w:pStyle w:val="21"/>
              <w:spacing w:after="0" w:line="240" w:lineRule="auto"/>
              <w:jc w:val="center"/>
              <w:rPr>
                <w:color w:val="000000"/>
                <w:sz w:val="20"/>
                <w:szCs w:val="18"/>
                <w:lang w:val="en-US"/>
              </w:rPr>
            </w:pPr>
            <w:r w:rsidRPr="00A66A30">
              <w:rPr>
                <w:color w:val="000000"/>
                <w:sz w:val="20"/>
                <w:szCs w:val="18"/>
                <w:lang w:val="en-US"/>
              </w:rPr>
              <w:t>Compressive strength, MPa, at a temperature of 20 °C</w:t>
            </w:r>
          </w:p>
        </w:tc>
        <w:tc>
          <w:tcPr>
            <w:tcW w:w="3110" w:type="dxa"/>
            <w:tcBorders>
              <w:top w:val="nil"/>
              <w:left w:val="nil"/>
              <w:bottom w:val="nil"/>
              <w:right w:val="nil"/>
            </w:tcBorders>
            <w:vAlign w:val="center"/>
          </w:tcPr>
          <w:p w14:paraId="2490D1F3" w14:textId="4DA008D3" w:rsidR="00A60524" w:rsidRPr="00A66A30" w:rsidRDefault="002A1709" w:rsidP="00F7007E">
            <w:pPr>
              <w:pStyle w:val="21"/>
              <w:spacing w:after="0" w:line="240" w:lineRule="auto"/>
              <w:jc w:val="center"/>
              <w:rPr>
                <w:color w:val="000000"/>
                <w:sz w:val="20"/>
                <w:szCs w:val="18"/>
                <w:lang w:val="en-US"/>
              </w:rPr>
            </w:pPr>
            <w:r w:rsidRPr="00A66A30">
              <w:rPr>
                <w:color w:val="000000"/>
                <w:sz w:val="20"/>
                <w:szCs w:val="18"/>
                <w:lang w:val="en-US"/>
              </w:rPr>
              <w:t>6</w:t>
            </w:r>
            <w:r w:rsidR="00F7007E" w:rsidRPr="00A66A30">
              <w:rPr>
                <w:color w:val="000000"/>
                <w:sz w:val="20"/>
                <w:szCs w:val="18"/>
                <w:lang w:val="en-US"/>
              </w:rPr>
              <w:t>.</w:t>
            </w:r>
            <w:r w:rsidRPr="00A66A30">
              <w:rPr>
                <w:color w:val="000000"/>
                <w:sz w:val="20"/>
                <w:szCs w:val="18"/>
                <w:lang w:val="en-US"/>
              </w:rPr>
              <w:t>19</w:t>
            </w:r>
          </w:p>
        </w:tc>
        <w:tc>
          <w:tcPr>
            <w:tcW w:w="3121" w:type="dxa"/>
            <w:tcBorders>
              <w:top w:val="nil"/>
              <w:left w:val="nil"/>
              <w:bottom w:val="nil"/>
              <w:right w:val="nil"/>
            </w:tcBorders>
            <w:vAlign w:val="center"/>
          </w:tcPr>
          <w:p w14:paraId="62D30B47" w14:textId="637D1417" w:rsidR="00A60524" w:rsidRPr="00A66A30" w:rsidRDefault="002A1709" w:rsidP="00F7007E">
            <w:pPr>
              <w:pStyle w:val="21"/>
              <w:spacing w:after="0" w:line="240" w:lineRule="auto"/>
              <w:jc w:val="center"/>
              <w:rPr>
                <w:color w:val="000000"/>
                <w:sz w:val="20"/>
                <w:szCs w:val="18"/>
                <w:lang w:val="en-US"/>
              </w:rPr>
            </w:pPr>
            <w:r w:rsidRPr="00A66A30">
              <w:rPr>
                <w:color w:val="000000"/>
                <w:sz w:val="20"/>
                <w:szCs w:val="18"/>
                <w:lang w:val="en-US"/>
              </w:rPr>
              <w:t>6</w:t>
            </w:r>
            <w:r w:rsidR="00F7007E" w:rsidRPr="00A66A30">
              <w:rPr>
                <w:color w:val="000000"/>
                <w:sz w:val="20"/>
                <w:szCs w:val="18"/>
                <w:lang w:val="en-US"/>
              </w:rPr>
              <w:t>.</w:t>
            </w:r>
            <w:r w:rsidRPr="00A66A30">
              <w:rPr>
                <w:color w:val="000000"/>
                <w:sz w:val="20"/>
                <w:szCs w:val="18"/>
                <w:lang w:val="en-US"/>
              </w:rPr>
              <w:t>41</w:t>
            </w:r>
          </w:p>
        </w:tc>
      </w:tr>
      <w:tr w:rsidR="00A60524" w:rsidRPr="00A66A30" w14:paraId="219C7A07" w14:textId="77777777" w:rsidTr="00247082">
        <w:tc>
          <w:tcPr>
            <w:tcW w:w="3127" w:type="dxa"/>
            <w:tcBorders>
              <w:top w:val="nil"/>
              <w:left w:val="nil"/>
              <w:right w:val="nil"/>
            </w:tcBorders>
          </w:tcPr>
          <w:p w14:paraId="0B6460A6" w14:textId="109E19A8" w:rsidR="00A60524" w:rsidRPr="00A66A30" w:rsidRDefault="002A1709" w:rsidP="000C03F7">
            <w:pPr>
              <w:pStyle w:val="21"/>
              <w:spacing w:after="0" w:line="240" w:lineRule="auto"/>
              <w:jc w:val="center"/>
              <w:rPr>
                <w:color w:val="000000"/>
                <w:sz w:val="20"/>
                <w:szCs w:val="18"/>
                <w:lang w:val="en-US"/>
              </w:rPr>
            </w:pPr>
            <w:r w:rsidRPr="00A66A30">
              <w:rPr>
                <w:color w:val="000000"/>
                <w:sz w:val="20"/>
                <w:szCs w:val="18"/>
                <w:lang w:val="en-US"/>
              </w:rPr>
              <w:t>Compressive strength, MPa, at a temperature of 50 °C</w:t>
            </w:r>
          </w:p>
        </w:tc>
        <w:tc>
          <w:tcPr>
            <w:tcW w:w="3110" w:type="dxa"/>
            <w:tcBorders>
              <w:top w:val="nil"/>
              <w:left w:val="nil"/>
              <w:right w:val="nil"/>
            </w:tcBorders>
            <w:vAlign w:val="center"/>
          </w:tcPr>
          <w:p w14:paraId="24DC6ACB" w14:textId="26A25C8E" w:rsidR="00A60524" w:rsidRPr="00A66A30" w:rsidRDefault="002A1709" w:rsidP="00F7007E">
            <w:pPr>
              <w:pStyle w:val="21"/>
              <w:spacing w:after="0" w:line="240" w:lineRule="auto"/>
              <w:jc w:val="center"/>
              <w:rPr>
                <w:color w:val="000000"/>
                <w:sz w:val="20"/>
                <w:szCs w:val="18"/>
                <w:lang w:val="en-US"/>
              </w:rPr>
            </w:pPr>
            <w:r w:rsidRPr="00A66A30">
              <w:rPr>
                <w:color w:val="000000"/>
                <w:sz w:val="20"/>
                <w:szCs w:val="18"/>
                <w:lang w:val="en-US"/>
              </w:rPr>
              <w:t>1</w:t>
            </w:r>
            <w:r w:rsidR="00F7007E" w:rsidRPr="00A66A30">
              <w:rPr>
                <w:color w:val="000000"/>
                <w:sz w:val="20"/>
                <w:szCs w:val="18"/>
                <w:lang w:val="en-US"/>
              </w:rPr>
              <w:t>.</w:t>
            </w:r>
            <w:r w:rsidRPr="00A66A30">
              <w:rPr>
                <w:color w:val="000000"/>
                <w:sz w:val="20"/>
                <w:szCs w:val="18"/>
                <w:lang w:val="en-US"/>
              </w:rPr>
              <w:t>90</w:t>
            </w:r>
          </w:p>
        </w:tc>
        <w:tc>
          <w:tcPr>
            <w:tcW w:w="3121" w:type="dxa"/>
            <w:tcBorders>
              <w:top w:val="nil"/>
              <w:left w:val="nil"/>
              <w:right w:val="nil"/>
            </w:tcBorders>
            <w:vAlign w:val="center"/>
          </w:tcPr>
          <w:p w14:paraId="36F9A0D9" w14:textId="41008922" w:rsidR="00A60524" w:rsidRPr="00A66A30" w:rsidRDefault="002A1709" w:rsidP="00F7007E">
            <w:pPr>
              <w:pStyle w:val="21"/>
              <w:spacing w:after="0" w:line="240" w:lineRule="auto"/>
              <w:jc w:val="center"/>
              <w:rPr>
                <w:color w:val="000000"/>
                <w:sz w:val="20"/>
                <w:szCs w:val="18"/>
                <w:lang w:val="en-US"/>
              </w:rPr>
            </w:pPr>
            <w:r w:rsidRPr="00A66A30">
              <w:rPr>
                <w:color w:val="000000"/>
                <w:sz w:val="20"/>
                <w:szCs w:val="18"/>
                <w:lang w:val="en-US"/>
              </w:rPr>
              <w:t>1</w:t>
            </w:r>
            <w:r w:rsidR="00F7007E" w:rsidRPr="00A66A30">
              <w:rPr>
                <w:color w:val="000000"/>
                <w:sz w:val="20"/>
                <w:szCs w:val="18"/>
                <w:lang w:val="en-US"/>
              </w:rPr>
              <w:t>.</w:t>
            </w:r>
            <w:r w:rsidRPr="00A66A30">
              <w:rPr>
                <w:color w:val="000000"/>
                <w:sz w:val="20"/>
                <w:szCs w:val="18"/>
                <w:lang w:val="en-US"/>
              </w:rPr>
              <w:t>98</w:t>
            </w:r>
          </w:p>
        </w:tc>
      </w:tr>
    </w:tbl>
    <w:p w14:paraId="1AB502FE" w14:textId="77777777" w:rsidR="00CF4B08" w:rsidRPr="00A66A30" w:rsidRDefault="00CF4B08" w:rsidP="007A62C8">
      <w:pPr>
        <w:spacing w:after="0"/>
        <w:ind w:firstLine="708"/>
        <w:jc w:val="both"/>
        <w:rPr>
          <w:sz w:val="20"/>
          <w:lang w:val="en-US"/>
        </w:rPr>
      </w:pPr>
    </w:p>
    <w:p w14:paraId="66B6DE26" w14:textId="4B456CF4" w:rsidR="005B7A12" w:rsidRPr="00A66A30" w:rsidRDefault="00657AB6" w:rsidP="00037F84">
      <w:pPr>
        <w:spacing w:after="0"/>
        <w:ind w:firstLine="284"/>
        <w:jc w:val="both"/>
        <w:rPr>
          <w:sz w:val="20"/>
          <w:lang w:val="en-US"/>
        </w:rPr>
      </w:pPr>
      <w:r w:rsidRPr="00A66A30">
        <w:rPr>
          <w:sz w:val="20"/>
          <w:lang w:val="en-US"/>
        </w:rPr>
        <w:lastRenderedPageBreak/>
        <w:t xml:space="preserve">The test results shown in Table 2 indicate that </w:t>
      </w:r>
      <w:r w:rsidR="00A66A30" w:rsidRPr="00A66A30">
        <w:rPr>
          <w:sz w:val="20"/>
          <w:lang w:val="en-US"/>
        </w:rPr>
        <w:t>optimizing</w:t>
      </w:r>
      <w:r w:rsidRPr="00A66A30">
        <w:rPr>
          <w:sz w:val="20"/>
          <w:lang w:val="en-US"/>
        </w:rPr>
        <w:t xml:space="preserve"> the mineral composition of asphalt concrete using the proposed method makes it possible to obtain asphalt concrete with higher density, lower porosity and higher strength characteristics. The peculiarity of this method is that it achieves such results without changing the existing technological regulations at the stages of preparation and compaction of the asphalt concrete mixture.</w:t>
      </w:r>
    </w:p>
    <w:p w14:paraId="650ACDE3" w14:textId="6B83CEE3" w:rsidR="00657AB6" w:rsidRPr="00A66A30" w:rsidRDefault="00657AB6" w:rsidP="000B2919">
      <w:pPr>
        <w:spacing w:before="240" w:after="240"/>
        <w:jc w:val="center"/>
        <w:rPr>
          <w:b/>
          <w:sz w:val="24"/>
          <w:lang w:val="en-US"/>
        </w:rPr>
      </w:pPr>
      <w:r w:rsidRPr="00A66A30">
        <w:rPr>
          <w:b/>
          <w:sz w:val="24"/>
          <w:lang w:val="en-US"/>
        </w:rPr>
        <w:t>CONCLUSIONS</w:t>
      </w:r>
    </w:p>
    <w:p w14:paraId="57FFACD2" w14:textId="1E053E77" w:rsidR="00657AB6" w:rsidRPr="00A66A30" w:rsidRDefault="00657AB6" w:rsidP="00081850">
      <w:pPr>
        <w:spacing w:after="0"/>
        <w:ind w:left="284" w:hanging="284"/>
        <w:jc w:val="both"/>
        <w:rPr>
          <w:sz w:val="20"/>
          <w:lang w:val="en-US"/>
        </w:rPr>
      </w:pPr>
      <w:r w:rsidRPr="00A66A30">
        <w:rPr>
          <w:sz w:val="20"/>
          <w:lang w:val="en-US"/>
        </w:rPr>
        <w:t xml:space="preserve">1. The proposed method for calculating the composition of the mineral part of the asphalt concrete mixture ensures the production of asphalt concrete with greater strength due to the formation of the densest possible mineral skeleton, which is achieved by bringing the </w:t>
      </w:r>
      <w:proofErr w:type="spellStart"/>
      <w:r w:rsidRPr="00A66A30">
        <w:rPr>
          <w:sz w:val="20"/>
          <w:lang w:val="en-US"/>
        </w:rPr>
        <w:t>granulometric</w:t>
      </w:r>
      <w:proofErr w:type="spellEnd"/>
      <w:r w:rsidRPr="00A66A30">
        <w:rPr>
          <w:sz w:val="20"/>
          <w:lang w:val="en-US"/>
        </w:rPr>
        <w:t xml:space="preserve"> curve of the mixture as close as possible to the theoretical curve of a dense mixture (the average line of the DSTU B.V.2.7-119:2011 standard). Using the example of fine-grained asphalt concrete, this is confirmed by an increase in the packing density of mineral materials from 74.2</w:t>
      </w:r>
      <w:r w:rsidR="008E0AFB" w:rsidRPr="00A66A30">
        <w:rPr>
          <w:sz w:val="20"/>
          <w:lang w:val="en-US"/>
        </w:rPr>
        <w:t xml:space="preserve"> </w:t>
      </w:r>
      <w:r w:rsidRPr="00A66A30">
        <w:rPr>
          <w:sz w:val="20"/>
          <w:lang w:val="en-US"/>
        </w:rPr>
        <w:t>% (using the existing method) to 76.9</w:t>
      </w:r>
      <w:r w:rsidR="008E0AFB" w:rsidRPr="00A66A30">
        <w:rPr>
          <w:sz w:val="20"/>
          <w:lang w:val="en-US"/>
        </w:rPr>
        <w:t xml:space="preserve"> </w:t>
      </w:r>
      <w:r w:rsidRPr="00A66A30">
        <w:rPr>
          <w:sz w:val="20"/>
          <w:lang w:val="en-US"/>
        </w:rPr>
        <w:t>% (using the proposed method). As a result, asphalt concrete demonstrates improved physical and mechanical properties: average density of 2</w:t>
      </w:r>
      <w:r w:rsidR="00F7007E" w:rsidRPr="00A66A30">
        <w:rPr>
          <w:sz w:val="20"/>
          <w:lang w:val="en-US"/>
        </w:rPr>
        <w:t>,</w:t>
      </w:r>
      <w:r w:rsidRPr="00A66A30">
        <w:rPr>
          <w:sz w:val="20"/>
          <w:lang w:val="en-US"/>
        </w:rPr>
        <w:t>402 kg/m³ (compared to 2</w:t>
      </w:r>
      <w:r w:rsidR="00F7007E" w:rsidRPr="00A66A30">
        <w:rPr>
          <w:sz w:val="20"/>
          <w:lang w:val="en-US"/>
        </w:rPr>
        <w:t>,</w:t>
      </w:r>
      <w:r w:rsidRPr="00A66A30">
        <w:rPr>
          <w:sz w:val="20"/>
          <w:lang w:val="en-US"/>
        </w:rPr>
        <w:t>393 kg/m³), residual porosity of 2.22</w:t>
      </w:r>
      <w:r w:rsidR="008E0AFB" w:rsidRPr="00A66A30">
        <w:rPr>
          <w:sz w:val="20"/>
          <w:lang w:val="en-US"/>
        </w:rPr>
        <w:t xml:space="preserve"> </w:t>
      </w:r>
      <w:r w:rsidRPr="00A66A30">
        <w:rPr>
          <w:sz w:val="20"/>
          <w:lang w:val="en-US"/>
        </w:rPr>
        <w:t>% (compared to 2.59</w:t>
      </w:r>
      <w:r w:rsidR="008E0AFB" w:rsidRPr="00A66A30">
        <w:rPr>
          <w:sz w:val="20"/>
          <w:lang w:val="en-US"/>
        </w:rPr>
        <w:t xml:space="preserve"> </w:t>
      </w:r>
      <w:r w:rsidRPr="00A66A30">
        <w:rPr>
          <w:sz w:val="20"/>
          <w:lang w:val="en-US"/>
        </w:rPr>
        <w:t>%), compressive strength at a temperature of 20</w:t>
      </w:r>
      <w:r w:rsidR="00F7007E" w:rsidRPr="00A66A30">
        <w:rPr>
          <w:sz w:val="20"/>
          <w:lang w:val="en-US"/>
        </w:rPr>
        <w:t> </w:t>
      </w:r>
      <w:r w:rsidRPr="00A66A30">
        <w:rPr>
          <w:sz w:val="20"/>
          <w:lang w:val="en-US"/>
        </w:rPr>
        <w:t>°C – 6.41 MPa (compared to 6.19 MPa) and at 50 °C – 1.98 MPa (compared to 1.90 MPa).</w:t>
      </w:r>
    </w:p>
    <w:p w14:paraId="0695C9A3" w14:textId="5D60981E" w:rsidR="00657AB6" w:rsidRPr="00A66A30" w:rsidRDefault="00657AB6" w:rsidP="00081850">
      <w:pPr>
        <w:spacing w:after="0"/>
        <w:ind w:left="284" w:hanging="284"/>
        <w:jc w:val="both"/>
        <w:rPr>
          <w:sz w:val="20"/>
          <w:lang w:val="en-US"/>
        </w:rPr>
      </w:pPr>
      <w:r w:rsidRPr="00A66A30">
        <w:rPr>
          <w:sz w:val="20"/>
          <w:lang w:val="en-US"/>
        </w:rPr>
        <w:t>2. Automation of calculations based on searching through all possible combinations of components (using nested cycles) significantly reduces calculation time to less than 1 s for a mixture of four components on modern personal computers, allowing the selection of the optimal option from among many that meet the requirements of the standard.</w:t>
      </w:r>
    </w:p>
    <w:p w14:paraId="606B73F4" w14:textId="22C86411" w:rsidR="00470261" w:rsidRPr="00A66A30" w:rsidRDefault="00657AB6" w:rsidP="00081850">
      <w:pPr>
        <w:spacing w:after="0"/>
        <w:ind w:left="284" w:hanging="284"/>
        <w:jc w:val="both"/>
        <w:rPr>
          <w:sz w:val="20"/>
          <w:lang w:val="en-US"/>
        </w:rPr>
      </w:pPr>
      <w:r w:rsidRPr="00A66A30">
        <w:rPr>
          <w:sz w:val="20"/>
          <w:lang w:val="en-US"/>
        </w:rPr>
        <w:t>3. In the absence of options that fully comply with the standard limits, the method offers the closest option based on the criterion of the minimum summary of squares of deviations outside the limits (Σ∆²), which facilitates further analysis and adjustment of the grain composition of individual components of the mineral mixture to achieve the normative indicators.</w:t>
      </w:r>
      <w:r w:rsidR="00186483" w:rsidRPr="00A66A30">
        <w:rPr>
          <w:sz w:val="20"/>
          <w:lang w:val="en-US"/>
        </w:rPr>
        <w:tab/>
      </w:r>
    </w:p>
    <w:p w14:paraId="0AE30E89" w14:textId="17310559" w:rsidR="00186483" w:rsidRPr="00A66A30" w:rsidRDefault="00186483" w:rsidP="00186483">
      <w:pPr>
        <w:pStyle w:val="1"/>
        <w:rPr>
          <w:sz w:val="20"/>
          <w:lang w:val="en-US"/>
        </w:rPr>
      </w:pPr>
      <w:r w:rsidRPr="00A66A30">
        <w:rPr>
          <w:lang w:val="en-US"/>
        </w:rPr>
        <w:t>ACKNOWLEDGMENTS</w:t>
      </w:r>
    </w:p>
    <w:p w14:paraId="43B16600" w14:textId="77777777" w:rsidR="00186483" w:rsidRPr="00A66A30" w:rsidRDefault="00186483" w:rsidP="00186483">
      <w:pPr>
        <w:pBdr>
          <w:top w:val="nil"/>
          <w:left w:val="nil"/>
          <w:bottom w:val="nil"/>
          <w:right w:val="nil"/>
          <w:between w:val="nil"/>
        </w:pBdr>
        <w:ind w:firstLine="284"/>
        <w:jc w:val="both"/>
        <w:rPr>
          <w:color w:val="000000"/>
          <w:sz w:val="20"/>
          <w:lang w:val="en-US"/>
        </w:rPr>
      </w:pPr>
      <w:r w:rsidRPr="00A66A30">
        <w:rPr>
          <w:color w:val="000000"/>
          <w:sz w:val="20"/>
          <w:lang w:val="en-US"/>
        </w:rPr>
        <w:t xml:space="preserve">The authors would like to express their gratitude to </w:t>
      </w:r>
      <w:proofErr w:type="spellStart"/>
      <w:r w:rsidRPr="00A66A30">
        <w:rPr>
          <w:color w:val="000000"/>
          <w:sz w:val="20"/>
          <w:lang w:val="en-US"/>
        </w:rPr>
        <w:t>Kharkiv</w:t>
      </w:r>
      <w:proofErr w:type="spellEnd"/>
      <w:r w:rsidRPr="00A66A30">
        <w:rPr>
          <w:color w:val="000000"/>
          <w:sz w:val="20"/>
          <w:lang w:val="en-US"/>
        </w:rPr>
        <w:t xml:space="preserve"> National Automobile and Highway University and the organizing committee of the Modern Automotive Industry, Transport and Road Infrastructure (MAITRI) conference.</w:t>
      </w:r>
    </w:p>
    <w:p w14:paraId="43DE364B" w14:textId="3ED5AA25" w:rsidR="00186483" w:rsidRPr="00A66A30" w:rsidRDefault="00186483" w:rsidP="00186483">
      <w:pPr>
        <w:pStyle w:val="1"/>
        <w:rPr>
          <w:lang w:val="en-US"/>
        </w:rPr>
      </w:pPr>
      <w:r w:rsidRPr="00A66A30">
        <w:rPr>
          <w:lang w:val="en-US"/>
        </w:rPr>
        <w:t>CONFLICT OF INTERESTS</w:t>
      </w:r>
    </w:p>
    <w:p w14:paraId="103A6E0E" w14:textId="0A611B22" w:rsidR="00186483" w:rsidRPr="00A66A30" w:rsidRDefault="003779FA" w:rsidP="003779FA">
      <w:pPr>
        <w:pStyle w:val="1"/>
        <w:jc w:val="left"/>
        <w:rPr>
          <w:b w:val="0"/>
          <w:sz w:val="20"/>
          <w:highlight w:val="yellow"/>
          <w:lang w:val="en-US"/>
        </w:rPr>
      </w:pPr>
      <w:r w:rsidRPr="00A66A30">
        <w:rPr>
          <w:b w:val="0"/>
          <w:sz w:val="20"/>
          <w:lang w:val="en-US"/>
        </w:rPr>
        <w:t>The authors declare that there is no conflict of interests regarding the publication of this paper.</w:t>
      </w:r>
    </w:p>
    <w:p w14:paraId="5573C8C9" w14:textId="190AD0F9" w:rsidR="00F61EEB" w:rsidRPr="00CD6D5F" w:rsidRDefault="00186483" w:rsidP="00CD6D5F">
      <w:pPr>
        <w:spacing w:before="240" w:after="240"/>
        <w:jc w:val="center"/>
        <w:rPr>
          <w:b/>
          <w:bCs/>
          <w:sz w:val="24"/>
          <w:lang w:val="uk-UA"/>
        </w:rPr>
      </w:pPr>
      <w:r w:rsidRPr="00A66A30">
        <w:rPr>
          <w:b/>
          <w:bCs/>
          <w:sz w:val="24"/>
          <w:lang w:val="en-US"/>
        </w:rPr>
        <w:t>REFERENCES</w:t>
      </w:r>
    </w:p>
    <w:p w14:paraId="4DBB4C59" w14:textId="3723E3D3"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[1] </w:t>
      </w:r>
      <w:r w:rsidR="00A572F1" w:rsidRPr="00340D00">
        <w:rPr>
          <w:rFonts w:eastAsia="Times New Roman" w:cs="Times New Roman"/>
          <w:kern w:val="0"/>
          <w:sz w:val="20"/>
          <w:szCs w:val="20"/>
          <w:lang w:val="en-US" w:eastAsia="ru-RU"/>
          <w14:ligatures w14:val="none"/>
        </w:rPr>
        <w:t xml:space="preserve">M. Fang, D. Park, J. L. </w:t>
      </w:r>
      <w:proofErr w:type="spellStart"/>
      <w:r w:rsidR="00A572F1" w:rsidRPr="00340D00">
        <w:rPr>
          <w:rFonts w:eastAsia="Times New Roman" w:cs="Times New Roman"/>
          <w:kern w:val="0"/>
          <w:sz w:val="20"/>
          <w:szCs w:val="20"/>
          <w:lang w:val="en-US" w:eastAsia="ru-RU"/>
          <w14:ligatures w14:val="none"/>
        </w:rPr>
        <w:t>Singuranayo</w:t>
      </w:r>
      <w:proofErr w:type="spellEnd"/>
      <w:r w:rsidR="00A572F1" w:rsidRPr="00340D00">
        <w:rPr>
          <w:rFonts w:eastAsia="Times New Roman" w:cs="Times New Roman"/>
          <w:kern w:val="0"/>
          <w:sz w:val="20"/>
          <w:szCs w:val="20"/>
          <w:lang w:val="en-US" w:eastAsia="ru-RU"/>
          <w14:ligatures w14:val="none"/>
        </w:rPr>
        <w:t xml:space="preserve">, H. Chen, and Y. Li, </w:t>
      </w:r>
      <w:r w:rsidR="00A572F1" w:rsidRPr="00340D00">
        <w:rPr>
          <w:rFonts w:eastAsia="Times New Roman" w:cs="Times New Roman"/>
          <w:i/>
          <w:iCs/>
          <w:kern w:val="0"/>
          <w:sz w:val="20"/>
          <w:szCs w:val="20"/>
          <w:lang w:val="en-US" w:eastAsia="ru-RU"/>
          <w14:ligatures w14:val="none"/>
        </w:rPr>
        <w:t>Int. J. Pavement Eng.</w:t>
      </w:r>
      <w:r w:rsidR="00A572F1" w:rsidRPr="00340D00">
        <w:rPr>
          <w:rFonts w:eastAsia="Times New Roman" w:cs="Times New Roman"/>
          <w:kern w:val="0"/>
          <w:sz w:val="20"/>
          <w:szCs w:val="20"/>
          <w:lang w:val="en-US" w:eastAsia="ru-RU"/>
          <w14:ligatures w14:val="none"/>
        </w:rPr>
        <w:t xml:space="preserve"> </w:t>
      </w:r>
      <w:r w:rsidR="00A572F1" w:rsidRPr="00340D00">
        <w:rPr>
          <w:rFonts w:eastAsia="Times New Roman" w:cs="Times New Roman"/>
          <w:b/>
          <w:bCs/>
          <w:kern w:val="0"/>
          <w:sz w:val="20"/>
          <w:szCs w:val="20"/>
          <w:lang w:val="en-US" w:eastAsia="ru-RU"/>
          <w14:ligatures w14:val="none"/>
        </w:rPr>
        <w:t>20</w:t>
      </w:r>
      <w:r w:rsidR="00A572F1" w:rsidRPr="00340D00">
        <w:rPr>
          <w:rFonts w:eastAsia="Times New Roman" w:cs="Times New Roman"/>
          <w:kern w:val="0"/>
          <w:sz w:val="20"/>
          <w:szCs w:val="20"/>
          <w:lang w:val="en-US" w:eastAsia="ru-RU"/>
          <w14:ligatures w14:val="none"/>
        </w:rPr>
        <w:t xml:space="preserve">, 1408–1424 (2019). </w:t>
      </w:r>
      <w:hyperlink r:id="rId12" w:tgtFrame="_new" w:history="1">
        <w:r w:rsidR="00A572F1" w:rsidRPr="00340D00">
          <w:rPr>
            <w:rFonts w:eastAsia="Times New Roman" w:cs="Times New Roman"/>
            <w:color w:val="0000FF"/>
            <w:kern w:val="0"/>
            <w:sz w:val="20"/>
            <w:szCs w:val="20"/>
            <w:u w:val="single"/>
            <w:lang w:val="en-US" w:eastAsia="ru-RU"/>
            <w14:ligatures w14:val="none"/>
          </w:rPr>
          <w:t>https://doi.org/10.1080/10298436.2018.1430365</w:t>
        </w:r>
      </w:hyperlink>
    </w:p>
    <w:p w14:paraId="256CC2BB" w14:textId="75A04165"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[2] </w:t>
      </w:r>
      <w:r w:rsidR="00A572F1" w:rsidRPr="00340D00">
        <w:rPr>
          <w:rFonts w:eastAsia="Times New Roman" w:cs="Times New Roman"/>
          <w:kern w:val="0"/>
          <w:sz w:val="20"/>
          <w:szCs w:val="20"/>
          <w:lang w:val="en-US" w:eastAsia="ru-RU"/>
          <w14:ligatures w14:val="none"/>
        </w:rPr>
        <w:t xml:space="preserve">R. N. Hunter, A. Self, and J. Read, </w:t>
      </w:r>
      <w:proofErr w:type="gramStart"/>
      <w:r w:rsidR="00A572F1" w:rsidRPr="00340D00">
        <w:rPr>
          <w:rFonts w:eastAsia="Times New Roman" w:cs="Times New Roman"/>
          <w:i/>
          <w:iCs/>
          <w:kern w:val="0"/>
          <w:sz w:val="20"/>
          <w:szCs w:val="20"/>
          <w:lang w:val="en-US" w:eastAsia="ru-RU"/>
          <w14:ligatures w14:val="none"/>
        </w:rPr>
        <w:t>The</w:t>
      </w:r>
      <w:proofErr w:type="gramEnd"/>
      <w:r w:rsidR="00A572F1" w:rsidRPr="00340D00">
        <w:rPr>
          <w:rFonts w:eastAsia="Times New Roman" w:cs="Times New Roman"/>
          <w:i/>
          <w:iCs/>
          <w:kern w:val="0"/>
          <w:sz w:val="20"/>
          <w:szCs w:val="20"/>
          <w:lang w:val="en-US" w:eastAsia="ru-RU"/>
          <w14:ligatures w14:val="none"/>
        </w:rPr>
        <w:t xml:space="preserve"> Shell Bitumen Handbook</w:t>
      </w:r>
      <w:r w:rsidR="00A572F1" w:rsidRPr="00340D00">
        <w:rPr>
          <w:rFonts w:eastAsia="Times New Roman" w:cs="Times New Roman"/>
          <w:kern w:val="0"/>
          <w:sz w:val="20"/>
          <w:szCs w:val="20"/>
          <w:lang w:val="en-US" w:eastAsia="ru-RU"/>
          <w14:ligatures w14:val="none"/>
        </w:rPr>
        <w:t>, 6th ed. (ICE Publishing, London, 2015).</w:t>
      </w:r>
    </w:p>
    <w:p w14:paraId="587755F3" w14:textId="7CDCA255"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[3] </w:t>
      </w:r>
      <w:r w:rsidR="00A572F1" w:rsidRPr="00340D00">
        <w:rPr>
          <w:rFonts w:eastAsia="Times New Roman" w:cs="Times New Roman"/>
          <w:kern w:val="0"/>
          <w:sz w:val="20"/>
          <w:szCs w:val="20"/>
          <w:lang w:val="en-US" w:eastAsia="ru-RU"/>
          <w14:ligatures w14:val="none"/>
        </w:rPr>
        <w:t xml:space="preserve">Federal Highway Administration, </w:t>
      </w:r>
      <w:proofErr w:type="spellStart"/>
      <w:r w:rsidR="00A572F1" w:rsidRPr="00340D00">
        <w:rPr>
          <w:rFonts w:eastAsia="Times New Roman" w:cs="Times New Roman"/>
          <w:i/>
          <w:iCs/>
          <w:kern w:val="0"/>
          <w:sz w:val="20"/>
          <w:szCs w:val="20"/>
          <w:lang w:val="en-US" w:eastAsia="ru-RU"/>
          <w14:ligatures w14:val="none"/>
        </w:rPr>
        <w:t>Superpave</w:t>
      </w:r>
      <w:proofErr w:type="spellEnd"/>
      <w:r w:rsidR="00A572F1" w:rsidRPr="00340D00">
        <w:rPr>
          <w:rFonts w:eastAsia="Times New Roman" w:cs="Times New Roman"/>
          <w:i/>
          <w:iCs/>
          <w:kern w:val="0"/>
          <w:sz w:val="20"/>
          <w:szCs w:val="20"/>
          <w:lang w:val="en-US" w:eastAsia="ru-RU"/>
          <w14:ligatures w14:val="none"/>
        </w:rPr>
        <w:t xml:space="preserve"> Mix Design and Gyratory Compaction Levels</w:t>
      </w:r>
      <w:r w:rsidR="00A572F1" w:rsidRPr="00340D00">
        <w:rPr>
          <w:rFonts w:eastAsia="Times New Roman" w:cs="Times New Roman"/>
          <w:kern w:val="0"/>
          <w:sz w:val="20"/>
          <w:szCs w:val="20"/>
          <w:lang w:val="en-US" w:eastAsia="ru-RU"/>
          <w14:ligatures w14:val="none"/>
        </w:rPr>
        <w:t xml:space="preserve"> (U.S. Department of Transportation, Washington, DC, 2016).</w:t>
      </w:r>
    </w:p>
    <w:p w14:paraId="75293932" w14:textId="6617888C"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[4] </w:t>
      </w:r>
      <w:r w:rsidR="00A572F1" w:rsidRPr="00340D00">
        <w:rPr>
          <w:rFonts w:eastAsia="Times New Roman" w:cs="Times New Roman"/>
          <w:kern w:val="0"/>
          <w:sz w:val="20"/>
          <w:szCs w:val="20"/>
          <w:lang w:val="en-US" w:eastAsia="ru-RU"/>
          <w14:ligatures w14:val="none"/>
        </w:rPr>
        <w:t>Pavement Interactive, “</w:t>
      </w:r>
      <w:proofErr w:type="spellStart"/>
      <w:r w:rsidR="00A572F1" w:rsidRPr="00340D00">
        <w:rPr>
          <w:rFonts w:eastAsia="Times New Roman" w:cs="Times New Roman"/>
          <w:kern w:val="0"/>
          <w:sz w:val="20"/>
          <w:szCs w:val="20"/>
          <w:lang w:val="en-US" w:eastAsia="ru-RU"/>
          <w14:ligatures w14:val="none"/>
        </w:rPr>
        <w:t>Superpave</w:t>
      </w:r>
      <w:proofErr w:type="spellEnd"/>
      <w:r w:rsidR="00A572F1" w:rsidRPr="00340D00">
        <w:rPr>
          <w:rFonts w:eastAsia="Times New Roman" w:cs="Times New Roman"/>
          <w:kern w:val="0"/>
          <w:sz w:val="20"/>
          <w:szCs w:val="20"/>
          <w:lang w:val="en-US" w:eastAsia="ru-RU"/>
          <w14:ligatures w14:val="none"/>
        </w:rPr>
        <w:t xml:space="preserve"> mix design” (2024), available at </w:t>
      </w:r>
      <w:hyperlink r:id="rId13" w:tgtFrame="_new" w:history="1">
        <w:r w:rsidR="00A572F1" w:rsidRPr="00340D00">
          <w:rPr>
            <w:rFonts w:eastAsia="Times New Roman" w:cs="Times New Roman"/>
            <w:color w:val="0000FF"/>
            <w:kern w:val="0"/>
            <w:sz w:val="20"/>
            <w:szCs w:val="20"/>
            <w:u w:val="single"/>
            <w:lang w:val="en-US" w:eastAsia="ru-RU"/>
            <w14:ligatures w14:val="none"/>
          </w:rPr>
          <w:t>https://pavementinteractive.org</w:t>
        </w:r>
      </w:hyperlink>
      <w:r w:rsidR="00A572F1" w:rsidRPr="00340D00">
        <w:rPr>
          <w:rFonts w:eastAsia="Times New Roman" w:cs="Times New Roman"/>
          <w:kern w:val="0"/>
          <w:sz w:val="20"/>
          <w:szCs w:val="20"/>
          <w:lang w:val="en-US" w:eastAsia="ru-RU"/>
          <w14:ligatures w14:val="none"/>
        </w:rPr>
        <w:t>.</w:t>
      </w:r>
    </w:p>
    <w:p w14:paraId="49841EE9" w14:textId="287467F7"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[5] </w:t>
      </w:r>
      <w:r w:rsidR="00A572F1" w:rsidRPr="00340D00">
        <w:rPr>
          <w:rFonts w:eastAsia="Times New Roman" w:cs="Times New Roman"/>
          <w:kern w:val="0"/>
          <w:sz w:val="20"/>
          <w:szCs w:val="20"/>
          <w:lang w:val="en-US" w:eastAsia="ru-RU"/>
          <w14:ligatures w14:val="none"/>
        </w:rPr>
        <w:t xml:space="preserve">American Association of State Highway and Transportation Officials, </w:t>
      </w:r>
      <w:r w:rsidR="00A572F1" w:rsidRPr="00340D00">
        <w:rPr>
          <w:rFonts w:eastAsia="Times New Roman" w:cs="Times New Roman"/>
          <w:i/>
          <w:iCs/>
          <w:kern w:val="0"/>
          <w:sz w:val="20"/>
          <w:szCs w:val="20"/>
          <w:lang w:val="en-US" w:eastAsia="ru-RU"/>
          <w14:ligatures w14:val="none"/>
        </w:rPr>
        <w:t xml:space="preserve">AASHTO M 323: </w:t>
      </w:r>
      <w:proofErr w:type="spellStart"/>
      <w:r w:rsidR="00A572F1" w:rsidRPr="00340D00">
        <w:rPr>
          <w:rFonts w:eastAsia="Times New Roman" w:cs="Times New Roman"/>
          <w:i/>
          <w:iCs/>
          <w:kern w:val="0"/>
          <w:sz w:val="20"/>
          <w:szCs w:val="20"/>
          <w:lang w:val="en-US" w:eastAsia="ru-RU"/>
          <w14:ligatures w14:val="none"/>
        </w:rPr>
        <w:t>Superpave</w:t>
      </w:r>
      <w:proofErr w:type="spellEnd"/>
      <w:r w:rsidR="00A572F1" w:rsidRPr="00340D00">
        <w:rPr>
          <w:rFonts w:eastAsia="Times New Roman" w:cs="Times New Roman"/>
          <w:i/>
          <w:iCs/>
          <w:kern w:val="0"/>
          <w:sz w:val="20"/>
          <w:szCs w:val="20"/>
          <w:lang w:val="en-US" w:eastAsia="ru-RU"/>
          <w14:ligatures w14:val="none"/>
        </w:rPr>
        <w:t xml:space="preserve"> Volumetric Mix Design</w:t>
      </w:r>
      <w:r w:rsidR="00A572F1" w:rsidRPr="00340D00">
        <w:rPr>
          <w:rFonts w:eastAsia="Times New Roman" w:cs="Times New Roman"/>
          <w:kern w:val="0"/>
          <w:sz w:val="20"/>
          <w:szCs w:val="20"/>
          <w:lang w:val="en-US" w:eastAsia="ru-RU"/>
          <w14:ligatures w14:val="none"/>
        </w:rPr>
        <w:t xml:space="preserve"> (AASHTO, Washington, DC, 2021).</w:t>
      </w:r>
    </w:p>
    <w:p w14:paraId="6CA2B246" w14:textId="296AB7FF"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[6] </w:t>
      </w:r>
      <w:r w:rsidR="00A572F1" w:rsidRPr="00340D00">
        <w:rPr>
          <w:rFonts w:eastAsia="Times New Roman" w:cs="Times New Roman"/>
          <w:kern w:val="0"/>
          <w:sz w:val="20"/>
          <w:szCs w:val="20"/>
          <w:lang w:val="en-US" w:eastAsia="ru-RU"/>
          <w14:ligatures w14:val="none"/>
        </w:rPr>
        <w:t xml:space="preserve">European Committee for Standardization, </w:t>
      </w:r>
      <w:r w:rsidR="00A572F1" w:rsidRPr="00340D00">
        <w:rPr>
          <w:rFonts w:eastAsia="Times New Roman" w:cs="Times New Roman"/>
          <w:i/>
          <w:iCs/>
          <w:kern w:val="0"/>
          <w:sz w:val="20"/>
          <w:szCs w:val="20"/>
          <w:lang w:val="en-US" w:eastAsia="ru-RU"/>
          <w14:ligatures w14:val="none"/>
        </w:rPr>
        <w:t>EN 13108-1: Bituminous Mixtures — Asphalt Concrete</w:t>
      </w:r>
      <w:r w:rsidR="00A572F1" w:rsidRPr="00340D00">
        <w:rPr>
          <w:rFonts w:eastAsia="Times New Roman" w:cs="Times New Roman"/>
          <w:kern w:val="0"/>
          <w:sz w:val="20"/>
          <w:szCs w:val="20"/>
          <w:lang w:val="en-US" w:eastAsia="ru-RU"/>
          <w14:ligatures w14:val="none"/>
        </w:rPr>
        <w:t xml:space="preserve"> (CEN, Brussels, 2016).</w:t>
      </w:r>
    </w:p>
    <w:p w14:paraId="389E1B45" w14:textId="4031C6FE"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[7] </w:t>
      </w:r>
      <w:r w:rsidR="00A572F1" w:rsidRPr="00340D00">
        <w:rPr>
          <w:rFonts w:eastAsia="Times New Roman" w:cs="Times New Roman"/>
          <w:kern w:val="0"/>
          <w:sz w:val="20"/>
          <w:szCs w:val="20"/>
          <w:lang w:val="en-US" w:eastAsia="ru-RU"/>
          <w14:ligatures w14:val="none"/>
        </w:rPr>
        <w:t xml:space="preserve">L. M. C. Coelho, W. W. dos Santos, A. C. R. </w:t>
      </w:r>
      <w:proofErr w:type="spellStart"/>
      <w:r w:rsidR="00A572F1" w:rsidRPr="00340D00">
        <w:rPr>
          <w:rFonts w:eastAsia="Times New Roman" w:cs="Times New Roman"/>
          <w:kern w:val="0"/>
          <w:sz w:val="20"/>
          <w:szCs w:val="20"/>
          <w:lang w:val="en-US" w:eastAsia="ru-RU"/>
          <w14:ligatures w14:val="none"/>
        </w:rPr>
        <w:t>Guimarães</w:t>
      </w:r>
      <w:proofErr w:type="spellEnd"/>
      <w:r w:rsidR="00A572F1" w:rsidRPr="00340D00">
        <w:rPr>
          <w:rFonts w:eastAsia="Times New Roman" w:cs="Times New Roman"/>
          <w:kern w:val="0"/>
          <w:sz w:val="20"/>
          <w:szCs w:val="20"/>
          <w:lang w:val="en-US" w:eastAsia="ru-RU"/>
          <w14:ligatures w14:val="none"/>
        </w:rPr>
        <w:t xml:space="preserve">, and S. N. Monteiro, </w:t>
      </w:r>
      <w:r w:rsidR="00A572F1" w:rsidRPr="00340D00">
        <w:rPr>
          <w:rFonts w:eastAsia="Times New Roman" w:cs="Times New Roman"/>
          <w:i/>
          <w:iCs/>
          <w:kern w:val="0"/>
          <w:sz w:val="20"/>
          <w:szCs w:val="20"/>
          <w:lang w:val="en-US" w:eastAsia="ru-RU"/>
          <w14:ligatures w14:val="none"/>
        </w:rPr>
        <w:t>Buildings</w:t>
      </w:r>
      <w:r w:rsidR="00A572F1" w:rsidRPr="00340D00">
        <w:rPr>
          <w:rFonts w:eastAsia="Times New Roman" w:cs="Times New Roman"/>
          <w:kern w:val="0"/>
          <w:sz w:val="20"/>
          <w:szCs w:val="20"/>
          <w:lang w:val="en-US" w:eastAsia="ru-RU"/>
          <w14:ligatures w14:val="none"/>
        </w:rPr>
        <w:t xml:space="preserve"> </w:t>
      </w:r>
      <w:r w:rsidR="00A572F1" w:rsidRPr="00340D00">
        <w:rPr>
          <w:rFonts w:eastAsia="Times New Roman" w:cs="Times New Roman"/>
          <w:b/>
          <w:bCs/>
          <w:kern w:val="0"/>
          <w:sz w:val="20"/>
          <w:szCs w:val="20"/>
          <w:lang w:val="en-US" w:eastAsia="ru-RU"/>
          <w14:ligatures w14:val="none"/>
        </w:rPr>
        <w:t>14</w:t>
      </w:r>
      <w:r w:rsidR="00A572F1" w:rsidRPr="00340D00">
        <w:rPr>
          <w:rFonts w:eastAsia="Times New Roman" w:cs="Times New Roman"/>
          <w:kern w:val="0"/>
          <w:sz w:val="20"/>
          <w:szCs w:val="20"/>
          <w:lang w:val="en-US" w:eastAsia="ru-RU"/>
          <w14:ligatures w14:val="none"/>
        </w:rPr>
        <w:t xml:space="preserve">, 3942 (2024). </w:t>
      </w:r>
      <w:hyperlink r:id="rId14" w:tgtFrame="_new" w:history="1">
        <w:r w:rsidR="00A572F1" w:rsidRPr="00340D00">
          <w:rPr>
            <w:rFonts w:eastAsia="Times New Roman" w:cs="Times New Roman"/>
            <w:color w:val="0000FF"/>
            <w:kern w:val="0"/>
            <w:sz w:val="20"/>
            <w:szCs w:val="20"/>
            <w:u w:val="single"/>
            <w:lang w:val="en-US" w:eastAsia="ru-RU"/>
            <w14:ligatures w14:val="none"/>
          </w:rPr>
          <w:t>https://doi.org/10.3390/buildings14123942</w:t>
        </w:r>
      </w:hyperlink>
    </w:p>
    <w:p w14:paraId="2488F904" w14:textId="24C4E251"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[8] </w:t>
      </w:r>
      <w:r w:rsidR="00A572F1" w:rsidRPr="00340D00">
        <w:rPr>
          <w:rFonts w:eastAsia="Times New Roman" w:cs="Times New Roman"/>
          <w:kern w:val="0"/>
          <w:sz w:val="20"/>
          <w:szCs w:val="20"/>
          <w:lang w:val="en-US" w:eastAsia="ru-RU"/>
          <w14:ligatures w14:val="none"/>
        </w:rPr>
        <w:t xml:space="preserve">H. Ge, J. C. Quezada, C. </w:t>
      </w:r>
      <w:proofErr w:type="spellStart"/>
      <w:r w:rsidR="00A572F1" w:rsidRPr="00340D00">
        <w:rPr>
          <w:rFonts w:eastAsia="Times New Roman" w:cs="Times New Roman"/>
          <w:kern w:val="0"/>
          <w:sz w:val="20"/>
          <w:szCs w:val="20"/>
          <w:lang w:val="en-US" w:eastAsia="ru-RU"/>
          <w14:ligatures w14:val="none"/>
        </w:rPr>
        <w:t>Chazallon</w:t>
      </w:r>
      <w:proofErr w:type="spellEnd"/>
      <w:r w:rsidR="00A572F1" w:rsidRPr="00340D00">
        <w:rPr>
          <w:rFonts w:eastAsia="Times New Roman" w:cs="Times New Roman"/>
          <w:kern w:val="0"/>
          <w:sz w:val="20"/>
          <w:szCs w:val="20"/>
          <w:lang w:val="en-US" w:eastAsia="ru-RU"/>
          <w14:ligatures w14:val="none"/>
        </w:rPr>
        <w:t xml:space="preserve">, and V. Le </w:t>
      </w:r>
      <w:proofErr w:type="spellStart"/>
      <w:r w:rsidR="00A572F1" w:rsidRPr="00340D00">
        <w:rPr>
          <w:rFonts w:eastAsia="Times New Roman" w:cs="Times New Roman"/>
          <w:kern w:val="0"/>
          <w:sz w:val="20"/>
          <w:szCs w:val="20"/>
          <w:lang w:val="en-US" w:eastAsia="ru-RU"/>
          <w14:ligatures w14:val="none"/>
        </w:rPr>
        <w:t>Houerou</w:t>
      </w:r>
      <w:proofErr w:type="spellEnd"/>
      <w:r w:rsidR="00A572F1" w:rsidRPr="00340D00">
        <w:rPr>
          <w:rFonts w:eastAsia="Times New Roman" w:cs="Times New Roman"/>
          <w:kern w:val="0"/>
          <w:sz w:val="20"/>
          <w:szCs w:val="20"/>
          <w:lang w:val="en-US" w:eastAsia="ru-RU"/>
          <w14:ligatures w14:val="none"/>
        </w:rPr>
        <w:t xml:space="preserve">, in </w:t>
      </w:r>
      <w:r w:rsidR="00A572F1" w:rsidRPr="00340D00">
        <w:rPr>
          <w:rFonts w:eastAsia="Times New Roman" w:cs="Times New Roman"/>
          <w:i/>
          <w:iCs/>
          <w:kern w:val="0"/>
          <w:sz w:val="20"/>
          <w:szCs w:val="20"/>
          <w:lang w:val="en-US" w:eastAsia="ru-RU"/>
          <w14:ligatures w14:val="none"/>
        </w:rPr>
        <w:t>Proceedings of the 11th International Conference on Bearing Capacity of Roads, Railways and Airfields</w:t>
      </w:r>
      <w:r w:rsidR="00A572F1" w:rsidRPr="00340D00">
        <w:rPr>
          <w:rFonts w:eastAsia="Times New Roman" w:cs="Times New Roman"/>
          <w:kern w:val="0"/>
          <w:sz w:val="20"/>
          <w:szCs w:val="20"/>
          <w:lang w:val="en-US" w:eastAsia="ru-RU"/>
          <w14:ligatures w14:val="none"/>
        </w:rPr>
        <w:t xml:space="preserve"> (CRC Press, 2022), p. 43. </w:t>
      </w:r>
      <w:hyperlink r:id="rId15" w:tgtFrame="_new" w:history="1">
        <w:r w:rsidR="00A572F1" w:rsidRPr="00340D00">
          <w:rPr>
            <w:rFonts w:eastAsia="Times New Roman" w:cs="Times New Roman"/>
            <w:color w:val="0000FF"/>
            <w:kern w:val="0"/>
            <w:sz w:val="20"/>
            <w:szCs w:val="20"/>
            <w:u w:val="single"/>
            <w:lang w:val="en-US" w:eastAsia="ru-RU"/>
            <w14:ligatures w14:val="none"/>
          </w:rPr>
          <w:t>https://doi.org/10.1201/9781003222897-43</w:t>
        </w:r>
      </w:hyperlink>
    </w:p>
    <w:p w14:paraId="35C5C4DA" w14:textId="59111C92"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[9] </w:t>
      </w:r>
      <w:r w:rsidR="00A572F1" w:rsidRPr="00340D00">
        <w:rPr>
          <w:rFonts w:eastAsia="Times New Roman" w:cs="Times New Roman"/>
          <w:kern w:val="0"/>
          <w:sz w:val="20"/>
          <w:szCs w:val="20"/>
          <w:lang w:val="en-US" w:eastAsia="ru-RU"/>
          <w14:ligatures w14:val="none"/>
        </w:rPr>
        <w:t xml:space="preserve">H. Zhang, H. Li, A. </w:t>
      </w:r>
      <w:proofErr w:type="spellStart"/>
      <w:r w:rsidR="00A572F1" w:rsidRPr="00340D00">
        <w:rPr>
          <w:rFonts w:eastAsia="Times New Roman" w:cs="Times New Roman"/>
          <w:kern w:val="0"/>
          <w:sz w:val="20"/>
          <w:szCs w:val="20"/>
          <w:lang w:val="en-US" w:eastAsia="ru-RU"/>
          <w14:ligatures w14:val="none"/>
        </w:rPr>
        <w:t>Abdelhady</w:t>
      </w:r>
      <w:proofErr w:type="spellEnd"/>
      <w:r w:rsidR="00A572F1" w:rsidRPr="00340D00">
        <w:rPr>
          <w:rFonts w:eastAsia="Times New Roman" w:cs="Times New Roman"/>
          <w:kern w:val="0"/>
          <w:sz w:val="20"/>
          <w:szCs w:val="20"/>
          <w:lang w:val="en-US" w:eastAsia="ru-RU"/>
          <w14:ligatures w14:val="none"/>
        </w:rPr>
        <w:t xml:space="preserve">, N. </w:t>
      </w:r>
      <w:proofErr w:type="spellStart"/>
      <w:r w:rsidR="00A572F1" w:rsidRPr="00340D00">
        <w:rPr>
          <w:rFonts w:eastAsia="Times New Roman" w:cs="Times New Roman"/>
          <w:kern w:val="0"/>
          <w:sz w:val="20"/>
          <w:szCs w:val="20"/>
          <w:lang w:val="en-US" w:eastAsia="ru-RU"/>
          <w14:ligatures w14:val="none"/>
        </w:rPr>
        <w:t>Xie</w:t>
      </w:r>
      <w:proofErr w:type="spellEnd"/>
      <w:r w:rsidR="00A572F1" w:rsidRPr="00340D00">
        <w:rPr>
          <w:rFonts w:eastAsia="Times New Roman" w:cs="Times New Roman"/>
          <w:kern w:val="0"/>
          <w:sz w:val="20"/>
          <w:szCs w:val="20"/>
          <w:lang w:val="en-US" w:eastAsia="ru-RU"/>
          <w14:ligatures w14:val="none"/>
        </w:rPr>
        <w:t xml:space="preserve">, W. Li, J. Liu, X. Liang, and B. Yang, </w:t>
      </w:r>
      <w:r w:rsidR="00A572F1" w:rsidRPr="00340D00">
        <w:rPr>
          <w:rFonts w:eastAsia="Times New Roman" w:cs="Times New Roman"/>
          <w:i/>
          <w:iCs/>
          <w:kern w:val="0"/>
          <w:sz w:val="20"/>
          <w:szCs w:val="20"/>
          <w:lang w:val="en-US" w:eastAsia="ru-RU"/>
          <w14:ligatures w14:val="none"/>
        </w:rPr>
        <w:t>J. Clean. Prod.</w:t>
      </w:r>
      <w:r w:rsidR="00A572F1" w:rsidRPr="00340D00">
        <w:rPr>
          <w:rFonts w:eastAsia="Times New Roman" w:cs="Times New Roman"/>
          <w:kern w:val="0"/>
          <w:sz w:val="20"/>
          <w:szCs w:val="20"/>
          <w:lang w:val="en-US" w:eastAsia="ru-RU"/>
          <w14:ligatures w14:val="none"/>
        </w:rPr>
        <w:t xml:space="preserve"> </w:t>
      </w:r>
      <w:proofErr w:type="gramStart"/>
      <w:r w:rsidR="00A572F1" w:rsidRPr="00340D00">
        <w:rPr>
          <w:rFonts w:eastAsia="Times New Roman" w:cs="Times New Roman"/>
          <w:b/>
          <w:bCs/>
          <w:kern w:val="0"/>
          <w:sz w:val="20"/>
          <w:szCs w:val="20"/>
          <w:lang w:val="en-US" w:eastAsia="ru-RU"/>
          <w14:ligatures w14:val="none"/>
        </w:rPr>
        <w:t>283</w:t>
      </w:r>
      <w:r w:rsidR="00A572F1" w:rsidRPr="00340D00">
        <w:rPr>
          <w:rFonts w:eastAsia="Times New Roman" w:cs="Times New Roman"/>
          <w:kern w:val="0"/>
          <w:sz w:val="20"/>
          <w:szCs w:val="20"/>
          <w:lang w:val="en-US" w:eastAsia="ru-RU"/>
          <w14:ligatures w14:val="none"/>
        </w:rPr>
        <w:t>, 124601 (2021).</w:t>
      </w:r>
      <w:proofErr w:type="gramEnd"/>
      <w:r w:rsidR="00A572F1" w:rsidRPr="00340D00">
        <w:rPr>
          <w:rFonts w:eastAsia="Times New Roman" w:cs="Times New Roman"/>
          <w:kern w:val="0"/>
          <w:sz w:val="20"/>
          <w:szCs w:val="20"/>
          <w:lang w:val="en-US" w:eastAsia="ru-RU"/>
          <w14:ligatures w14:val="none"/>
        </w:rPr>
        <w:t xml:space="preserve"> </w:t>
      </w:r>
      <w:hyperlink r:id="rId16" w:tgtFrame="_new" w:history="1">
        <w:r w:rsidR="00A572F1" w:rsidRPr="00340D00">
          <w:rPr>
            <w:rFonts w:eastAsia="Times New Roman" w:cs="Times New Roman"/>
            <w:color w:val="0000FF"/>
            <w:kern w:val="0"/>
            <w:sz w:val="20"/>
            <w:szCs w:val="20"/>
            <w:u w:val="single"/>
            <w:lang w:val="en-US" w:eastAsia="ru-RU"/>
            <w14:ligatures w14:val="none"/>
          </w:rPr>
          <w:t>https://doi.org/10.1016/j.jclepro.2019.119929</w:t>
        </w:r>
      </w:hyperlink>
    </w:p>
    <w:p w14:paraId="7F1DB416" w14:textId="146BC16D"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lastRenderedPageBreak/>
        <w:t xml:space="preserve">[10] </w:t>
      </w:r>
      <w:r w:rsidR="00A572F1" w:rsidRPr="00340D00">
        <w:rPr>
          <w:rFonts w:eastAsia="Times New Roman" w:cs="Times New Roman"/>
          <w:kern w:val="0"/>
          <w:sz w:val="20"/>
          <w:szCs w:val="20"/>
          <w:lang w:val="en-US" w:eastAsia="ru-RU"/>
          <w14:ligatures w14:val="none"/>
        </w:rPr>
        <w:t xml:space="preserve">M. </w:t>
      </w:r>
      <w:proofErr w:type="spellStart"/>
      <w:r w:rsidR="00A572F1" w:rsidRPr="00340D00">
        <w:rPr>
          <w:rFonts w:eastAsia="Times New Roman" w:cs="Times New Roman"/>
          <w:kern w:val="0"/>
          <w:sz w:val="20"/>
          <w:szCs w:val="20"/>
          <w:lang w:val="en-US" w:eastAsia="ru-RU"/>
          <w14:ligatures w14:val="none"/>
        </w:rPr>
        <w:t>Jebur</w:t>
      </w:r>
      <w:proofErr w:type="spellEnd"/>
      <w:r w:rsidR="00A572F1" w:rsidRPr="00340D00">
        <w:rPr>
          <w:rFonts w:eastAsia="Times New Roman" w:cs="Times New Roman"/>
          <w:kern w:val="0"/>
          <w:sz w:val="20"/>
          <w:szCs w:val="20"/>
          <w:lang w:val="en-US" w:eastAsia="ru-RU"/>
          <w14:ligatures w14:val="none"/>
        </w:rPr>
        <w:t xml:space="preserve">, A. H. </w:t>
      </w:r>
      <w:proofErr w:type="spellStart"/>
      <w:r w:rsidR="00A572F1" w:rsidRPr="00340D00">
        <w:rPr>
          <w:rFonts w:eastAsia="Times New Roman" w:cs="Times New Roman"/>
          <w:kern w:val="0"/>
          <w:sz w:val="20"/>
          <w:szCs w:val="20"/>
          <w:lang w:val="en-US" w:eastAsia="ru-RU"/>
          <w14:ligatures w14:val="none"/>
        </w:rPr>
        <w:t>Abedali</w:t>
      </w:r>
      <w:proofErr w:type="spellEnd"/>
      <w:r w:rsidR="00A572F1" w:rsidRPr="00340D00">
        <w:rPr>
          <w:rFonts w:eastAsia="Times New Roman" w:cs="Times New Roman"/>
          <w:kern w:val="0"/>
          <w:sz w:val="20"/>
          <w:szCs w:val="20"/>
          <w:lang w:val="en-US" w:eastAsia="ru-RU"/>
          <w14:ligatures w14:val="none"/>
        </w:rPr>
        <w:t xml:space="preserve">, and Y. A. H. A., </w:t>
      </w:r>
      <w:r w:rsidR="00A572F1" w:rsidRPr="00340D00">
        <w:rPr>
          <w:rFonts w:eastAsia="Times New Roman" w:cs="Times New Roman"/>
          <w:i/>
          <w:iCs/>
          <w:kern w:val="0"/>
          <w:sz w:val="20"/>
          <w:szCs w:val="20"/>
          <w:lang w:val="en-US" w:eastAsia="ru-RU"/>
          <w14:ligatures w14:val="none"/>
        </w:rPr>
        <w:t>AIP Conf. Proc.</w:t>
      </w:r>
      <w:r w:rsidR="00A572F1" w:rsidRPr="00340D00">
        <w:rPr>
          <w:rFonts w:eastAsia="Times New Roman" w:cs="Times New Roman"/>
          <w:kern w:val="0"/>
          <w:sz w:val="20"/>
          <w:szCs w:val="20"/>
          <w:lang w:val="en-US" w:eastAsia="ru-RU"/>
          <w14:ligatures w14:val="none"/>
        </w:rPr>
        <w:t xml:space="preserve"> </w:t>
      </w:r>
      <w:r w:rsidR="00A572F1" w:rsidRPr="00340D00">
        <w:rPr>
          <w:rFonts w:eastAsia="Times New Roman" w:cs="Times New Roman"/>
          <w:b/>
          <w:bCs/>
          <w:kern w:val="0"/>
          <w:sz w:val="20"/>
          <w:szCs w:val="20"/>
          <w:lang w:val="en-US" w:eastAsia="ru-RU"/>
          <w14:ligatures w14:val="none"/>
        </w:rPr>
        <w:t>2213</w:t>
      </w:r>
      <w:r w:rsidR="00A572F1" w:rsidRPr="00340D00">
        <w:rPr>
          <w:rFonts w:eastAsia="Times New Roman" w:cs="Times New Roman"/>
          <w:kern w:val="0"/>
          <w:sz w:val="20"/>
          <w:szCs w:val="20"/>
          <w:lang w:val="en-US" w:eastAsia="ru-RU"/>
          <w14:ligatures w14:val="none"/>
        </w:rPr>
        <w:t xml:space="preserve">, 020162 (2020). </w:t>
      </w:r>
      <w:hyperlink r:id="rId17" w:tgtFrame="_new" w:history="1">
        <w:r w:rsidR="00A572F1" w:rsidRPr="00340D00">
          <w:rPr>
            <w:rFonts w:eastAsia="Times New Roman" w:cs="Times New Roman"/>
            <w:color w:val="0000FF"/>
            <w:kern w:val="0"/>
            <w:sz w:val="20"/>
            <w:szCs w:val="20"/>
            <w:u w:val="single"/>
            <w:lang w:val="en-US" w:eastAsia="ru-RU"/>
            <w14:ligatures w14:val="none"/>
          </w:rPr>
          <w:t>https://doi.org/10.1063/5.0000102</w:t>
        </w:r>
      </w:hyperlink>
    </w:p>
    <w:p w14:paraId="3192A87A" w14:textId="5D36D3F7"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[11] </w:t>
      </w:r>
      <w:r w:rsidR="00A572F1" w:rsidRPr="00340D00">
        <w:rPr>
          <w:rFonts w:eastAsia="Times New Roman" w:cs="Times New Roman"/>
          <w:kern w:val="0"/>
          <w:sz w:val="20"/>
          <w:szCs w:val="20"/>
          <w:lang w:val="en-US" w:eastAsia="ru-RU"/>
          <w14:ligatures w14:val="none"/>
        </w:rPr>
        <w:t xml:space="preserve">DSTU B V.2.7-119:2011, </w:t>
      </w:r>
      <w:r w:rsidR="00A572F1" w:rsidRPr="00340D00">
        <w:rPr>
          <w:rFonts w:eastAsia="Times New Roman" w:cs="Times New Roman"/>
          <w:i/>
          <w:iCs/>
          <w:kern w:val="0"/>
          <w:sz w:val="20"/>
          <w:szCs w:val="20"/>
          <w:lang w:val="en-US" w:eastAsia="ru-RU"/>
          <w14:ligatures w14:val="none"/>
        </w:rPr>
        <w:t xml:space="preserve">Asphalt Concrete Mixtures and Asphalt Concrete for Road and Airfield Pavements. </w:t>
      </w:r>
      <w:proofErr w:type="gramStart"/>
      <w:r w:rsidR="00A572F1" w:rsidRPr="00340D00">
        <w:rPr>
          <w:rFonts w:eastAsia="Times New Roman" w:cs="Times New Roman"/>
          <w:i/>
          <w:iCs/>
          <w:kern w:val="0"/>
          <w:sz w:val="20"/>
          <w:szCs w:val="20"/>
          <w:lang w:val="en-US" w:eastAsia="ru-RU"/>
          <w14:ligatures w14:val="none"/>
        </w:rPr>
        <w:t>Specifications</w:t>
      </w:r>
      <w:r w:rsidR="00A572F1" w:rsidRPr="00340D00">
        <w:rPr>
          <w:rFonts w:eastAsia="Times New Roman" w:cs="Times New Roman"/>
          <w:kern w:val="0"/>
          <w:sz w:val="20"/>
          <w:szCs w:val="20"/>
          <w:lang w:val="en-US" w:eastAsia="ru-RU"/>
          <w14:ligatures w14:val="none"/>
        </w:rPr>
        <w:t xml:space="preserve"> (</w:t>
      </w:r>
      <w:proofErr w:type="spellStart"/>
      <w:r w:rsidR="00A572F1" w:rsidRPr="00340D00">
        <w:rPr>
          <w:rFonts w:eastAsia="Times New Roman" w:cs="Times New Roman"/>
          <w:kern w:val="0"/>
          <w:sz w:val="20"/>
          <w:szCs w:val="20"/>
          <w:lang w:val="en-US" w:eastAsia="ru-RU"/>
          <w14:ligatures w14:val="none"/>
        </w:rPr>
        <w:t>Derzhstandart</w:t>
      </w:r>
      <w:proofErr w:type="spellEnd"/>
      <w:r w:rsidR="00A572F1" w:rsidRPr="00340D00">
        <w:rPr>
          <w:rFonts w:eastAsia="Times New Roman" w:cs="Times New Roman"/>
          <w:kern w:val="0"/>
          <w:sz w:val="20"/>
          <w:szCs w:val="20"/>
          <w:lang w:val="en-US" w:eastAsia="ru-RU"/>
          <w14:ligatures w14:val="none"/>
        </w:rPr>
        <w:t xml:space="preserve"> </w:t>
      </w:r>
      <w:proofErr w:type="spellStart"/>
      <w:r w:rsidR="00A572F1" w:rsidRPr="00340D00">
        <w:rPr>
          <w:rFonts w:eastAsia="Times New Roman" w:cs="Times New Roman"/>
          <w:kern w:val="0"/>
          <w:sz w:val="20"/>
          <w:szCs w:val="20"/>
          <w:lang w:val="en-US" w:eastAsia="ru-RU"/>
          <w14:ligatures w14:val="none"/>
        </w:rPr>
        <w:t>Ukrainy</w:t>
      </w:r>
      <w:proofErr w:type="spellEnd"/>
      <w:r w:rsidR="00A572F1" w:rsidRPr="00340D00">
        <w:rPr>
          <w:rFonts w:eastAsia="Times New Roman" w:cs="Times New Roman"/>
          <w:kern w:val="0"/>
          <w:sz w:val="20"/>
          <w:szCs w:val="20"/>
          <w:lang w:val="en-US" w:eastAsia="ru-RU"/>
          <w14:ligatures w14:val="none"/>
        </w:rPr>
        <w:t>, Kyiv, 2012).</w:t>
      </w:r>
      <w:proofErr w:type="gramEnd"/>
    </w:p>
    <w:p w14:paraId="62562D28" w14:textId="7C3ADBA7"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[12] </w:t>
      </w:r>
      <w:r w:rsidR="00A572F1" w:rsidRPr="00340D00">
        <w:rPr>
          <w:rFonts w:eastAsia="Times New Roman" w:cs="Times New Roman"/>
          <w:kern w:val="0"/>
          <w:sz w:val="20"/>
          <w:szCs w:val="20"/>
          <w:lang w:val="en-US" w:eastAsia="ru-RU"/>
          <w14:ligatures w14:val="none"/>
        </w:rPr>
        <w:t xml:space="preserve">DSTU 8959:2019, </w:t>
      </w:r>
      <w:r w:rsidR="00A572F1" w:rsidRPr="00340D00">
        <w:rPr>
          <w:rFonts w:eastAsia="Times New Roman" w:cs="Times New Roman"/>
          <w:i/>
          <w:iCs/>
          <w:kern w:val="0"/>
          <w:sz w:val="20"/>
          <w:szCs w:val="20"/>
          <w:lang w:val="en-US" w:eastAsia="ru-RU"/>
          <w14:ligatures w14:val="none"/>
        </w:rPr>
        <w:t xml:space="preserve">Asphalt Concrete Mixtures and Asphalt Concrete for Roads Based on Polymer-Modified Bitumen. </w:t>
      </w:r>
      <w:proofErr w:type="gramStart"/>
      <w:r w:rsidR="00A572F1" w:rsidRPr="00340D00">
        <w:rPr>
          <w:rFonts w:eastAsia="Times New Roman" w:cs="Times New Roman"/>
          <w:i/>
          <w:iCs/>
          <w:kern w:val="0"/>
          <w:sz w:val="20"/>
          <w:szCs w:val="20"/>
          <w:lang w:val="en-US" w:eastAsia="ru-RU"/>
          <w14:ligatures w14:val="none"/>
        </w:rPr>
        <w:t>Specifications</w:t>
      </w:r>
      <w:r w:rsidR="00A572F1" w:rsidRPr="00340D00">
        <w:rPr>
          <w:rFonts w:eastAsia="Times New Roman" w:cs="Times New Roman"/>
          <w:kern w:val="0"/>
          <w:sz w:val="20"/>
          <w:szCs w:val="20"/>
          <w:lang w:val="en-US" w:eastAsia="ru-RU"/>
          <w14:ligatures w14:val="none"/>
        </w:rPr>
        <w:t xml:space="preserve"> (</w:t>
      </w:r>
      <w:proofErr w:type="spellStart"/>
      <w:r w:rsidR="00A572F1" w:rsidRPr="00340D00">
        <w:rPr>
          <w:rFonts w:eastAsia="Times New Roman" w:cs="Times New Roman"/>
          <w:kern w:val="0"/>
          <w:sz w:val="20"/>
          <w:szCs w:val="20"/>
          <w:lang w:val="en-US" w:eastAsia="ru-RU"/>
          <w14:ligatures w14:val="none"/>
        </w:rPr>
        <w:t>UkrNDNC</w:t>
      </w:r>
      <w:proofErr w:type="spellEnd"/>
      <w:r w:rsidR="00A572F1" w:rsidRPr="00340D00">
        <w:rPr>
          <w:rFonts w:eastAsia="Times New Roman" w:cs="Times New Roman"/>
          <w:kern w:val="0"/>
          <w:sz w:val="20"/>
          <w:szCs w:val="20"/>
          <w:lang w:val="en-US" w:eastAsia="ru-RU"/>
          <w14:ligatures w14:val="none"/>
        </w:rPr>
        <w:t>, Kyiv, 2019).</w:t>
      </w:r>
      <w:proofErr w:type="gramEnd"/>
    </w:p>
    <w:p w14:paraId="1F0F3365" w14:textId="7D54B9F3"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proofErr w:type="gramStart"/>
      <w:r w:rsidRPr="00340D00">
        <w:rPr>
          <w:rFonts w:eastAsia="Times New Roman" w:cs="Times New Roman"/>
          <w:kern w:val="0"/>
          <w:sz w:val="20"/>
          <w:szCs w:val="20"/>
          <w:lang w:val="en-US" w:eastAsia="ru-RU"/>
          <w14:ligatures w14:val="none"/>
        </w:rPr>
        <w:t xml:space="preserve">[13] </w:t>
      </w:r>
      <w:r w:rsidR="00A572F1" w:rsidRPr="00340D00">
        <w:rPr>
          <w:rFonts w:eastAsia="Times New Roman" w:cs="Times New Roman"/>
          <w:kern w:val="0"/>
          <w:sz w:val="20"/>
          <w:szCs w:val="20"/>
          <w:lang w:val="en-US" w:eastAsia="ru-RU"/>
          <w14:ligatures w14:val="none"/>
        </w:rPr>
        <w:t xml:space="preserve">S. </w:t>
      </w:r>
      <w:proofErr w:type="spellStart"/>
      <w:r w:rsidR="00A572F1" w:rsidRPr="00340D00">
        <w:rPr>
          <w:rFonts w:eastAsia="Times New Roman" w:cs="Times New Roman"/>
          <w:kern w:val="0"/>
          <w:sz w:val="20"/>
          <w:szCs w:val="20"/>
          <w:lang w:val="en-US" w:eastAsia="ru-RU"/>
          <w14:ligatures w14:val="none"/>
        </w:rPr>
        <w:t>Tolmachov</w:t>
      </w:r>
      <w:proofErr w:type="spellEnd"/>
      <w:r w:rsidR="00A572F1" w:rsidRPr="00340D00">
        <w:rPr>
          <w:rFonts w:eastAsia="Times New Roman" w:cs="Times New Roman"/>
          <w:kern w:val="0"/>
          <w:sz w:val="20"/>
          <w:szCs w:val="20"/>
          <w:lang w:val="en-US" w:eastAsia="ru-RU"/>
          <w14:ligatures w14:val="none"/>
        </w:rPr>
        <w:t xml:space="preserve">, I. </w:t>
      </w:r>
      <w:proofErr w:type="spellStart"/>
      <w:r w:rsidR="00A572F1" w:rsidRPr="00340D00">
        <w:rPr>
          <w:rFonts w:eastAsia="Times New Roman" w:cs="Times New Roman"/>
          <w:kern w:val="0"/>
          <w:sz w:val="20"/>
          <w:szCs w:val="20"/>
          <w:lang w:val="en-US" w:eastAsia="ru-RU"/>
          <w14:ligatures w14:val="none"/>
        </w:rPr>
        <w:t>Ilin</w:t>
      </w:r>
      <w:proofErr w:type="spellEnd"/>
      <w:r w:rsidR="00A572F1" w:rsidRPr="00340D00">
        <w:rPr>
          <w:rFonts w:eastAsia="Times New Roman" w:cs="Times New Roman"/>
          <w:kern w:val="0"/>
          <w:sz w:val="20"/>
          <w:szCs w:val="20"/>
          <w:lang w:val="en-US" w:eastAsia="ru-RU"/>
          <w14:ligatures w14:val="none"/>
        </w:rPr>
        <w:t xml:space="preserve">, and V. </w:t>
      </w:r>
      <w:proofErr w:type="spellStart"/>
      <w:r w:rsidR="00A572F1" w:rsidRPr="00340D00">
        <w:rPr>
          <w:rFonts w:eastAsia="Times New Roman" w:cs="Times New Roman"/>
          <w:kern w:val="0"/>
          <w:sz w:val="20"/>
          <w:szCs w:val="20"/>
          <w:lang w:val="en-US" w:eastAsia="ru-RU"/>
          <w14:ligatures w14:val="none"/>
        </w:rPr>
        <w:t>Maliar</w:t>
      </w:r>
      <w:proofErr w:type="spellEnd"/>
      <w:r w:rsidR="00A572F1" w:rsidRPr="00340D00">
        <w:rPr>
          <w:rFonts w:eastAsia="Times New Roman" w:cs="Times New Roman"/>
          <w:kern w:val="0"/>
          <w:sz w:val="20"/>
          <w:szCs w:val="20"/>
          <w:lang w:val="en-US" w:eastAsia="ru-RU"/>
          <w14:ligatures w14:val="none"/>
        </w:rPr>
        <w:t xml:space="preserve">, “Influence of frost-salt destruction on frost resistance of road concretes,” </w:t>
      </w:r>
      <w:r w:rsidR="00A572F1" w:rsidRPr="00340D00">
        <w:rPr>
          <w:rFonts w:eastAsia="Times New Roman" w:cs="Times New Roman"/>
          <w:i/>
          <w:iCs/>
          <w:kern w:val="0"/>
          <w:sz w:val="20"/>
          <w:szCs w:val="20"/>
          <w:lang w:val="en-US" w:eastAsia="ru-RU"/>
          <w14:ligatures w14:val="none"/>
        </w:rPr>
        <w:t>AIP Conf. Proc.</w:t>
      </w:r>
      <w:r w:rsidR="00A572F1" w:rsidRPr="00340D00">
        <w:rPr>
          <w:rFonts w:eastAsia="Times New Roman" w:cs="Times New Roman"/>
          <w:kern w:val="0"/>
          <w:sz w:val="20"/>
          <w:szCs w:val="20"/>
          <w:lang w:val="en-US" w:eastAsia="ru-RU"/>
          <w14:ligatures w14:val="none"/>
        </w:rPr>
        <w:t xml:space="preserve"> </w:t>
      </w:r>
      <w:r w:rsidR="00A572F1" w:rsidRPr="00340D00">
        <w:rPr>
          <w:rFonts w:eastAsia="Times New Roman" w:cs="Times New Roman"/>
          <w:b/>
          <w:bCs/>
          <w:kern w:val="0"/>
          <w:sz w:val="20"/>
          <w:szCs w:val="20"/>
          <w:lang w:val="en-US" w:eastAsia="ru-RU"/>
          <w14:ligatures w14:val="none"/>
        </w:rPr>
        <w:t>3428</w:t>
      </w:r>
      <w:r w:rsidR="00A572F1" w:rsidRPr="00340D00">
        <w:rPr>
          <w:rFonts w:eastAsia="Times New Roman" w:cs="Times New Roman"/>
          <w:kern w:val="0"/>
          <w:sz w:val="20"/>
          <w:szCs w:val="20"/>
          <w:lang w:val="en-US" w:eastAsia="ru-RU"/>
          <w14:ligatures w14:val="none"/>
        </w:rPr>
        <w:t>, 020023 (2025).</w:t>
      </w:r>
      <w:proofErr w:type="gramEnd"/>
      <w:r w:rsidR="00A572F1" w:rsidRPr="00340D00">
        <w:rPr>
          <w:rFonts w:eastAsia="Times New Roman" w:cs="Times New Roman"/>
          <w:kern w:val="0"/>
          <w:sz w:val="20"/>
          <w:szCs w:val="20"/>
          <w:lang w:val="en-US" w:eastAsia="ru-RU"/>
          <w14:ligatures w14:val="none"/>
        </w:rPr>
        <w:t xml:space="preserve"> </w:t>
      </w:r>
      <w:hyperlink r:id="rId18" w:tgtFrame="_new" w:history="1">
        <w:r w:rsidR="00A572F1" w:rsidRPr="00340D00">
          <w:rPr>
            <w:rFonts w:eastAsia="Times New Roman" w:cs="Times New Roman"/>
            <w:color w:val="0000FF"/>
            <w:kern w:val="0"/>
            <w:sz w:val="20"/>
            <w:szCs w:val="20"/>
            <w:u w:val="single"/>
            <w:lang w:val="en-US" w:eastAsia="ru-RU"/>
            <w14:ligatures w14:val="none"/>
          </w:rPr>
          <w:t>https://doi.org/10.1063/12.0038613</w:t>
        </w:r>
      </w:hyperlink>
    </w:p>
    <w:p w14:paraId="253377B2" w14:textId="4A8D5E97"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[14] </w:t>
      </w:r>
      <w:r w:rsidR="00A572F1" w:rsidRPr="00340D00">
        <w:rPr>
          <w:rFonts w:eastAsia="Times New Roman" w:cs="Times New Roman"/>
          <w:kern w:val="0"/>
          <w:sz w:val="20"/>
          <w:szCs w:val="20"/>
          <w:lang w:val="en-US" w:eastAsia="ru-RU"/>
          <w14:ligatures w14:val="none"/>
        </w:rPr>
        <w:t xml:space="preserve">DSTU B V.2.7-319:2016, </w:t>
      </w:r>
      <w:r w:rsidR="00A572F1" w:rsidRPr="00340D00">
        <w:rPr>
          <w:rFonts w:eastAsia="Times New Roman" w:cs="Times New Roman"/>
          <w:i/>
          <w:iCs/>
          <w:kern w:val="0"/>
          <w:sz w:val="20"/>
          <w:szCs w:val="20"/>
          <w:lang w:val="en-US" w:eastAsia="ru-RU"/>
          <w14:ligatures w14:val="none"/>
        </w:rPr>
        <w:t>Asphalt Concrete Mixtures and Asphalt Concrete for Road and Airfield Pavements. Test Methods</w:t>
      </w:r>
      <w:r w:rsidR="00A572F1" w:rsidRPr="00340D00">
        <w:rPr>
          <w:rFonts w:eastAsia="Times New Roman" w:cs="Times New Roman"/>
          <w:kern w:val="0"/>
          <w:sz w:val="20"/>
          <w:szCs w:val="20"/>
          <w:lang w:val="en-US" w:eastAsia="ru-RU"/>
          <w14:ligatures w14:val="none"/>
        </w:rPr>
        <w:t xml:space="preserve"> (</w:t>
      </w:r>
      <w:proofErr w:type="spellStart"/>
      <w:r w:rsidR="00A572F1" w:rsidRPr="00340D00">
        <w:rPr>
          <w:rFonts w:eastAsia="Times New Roman" w:cs="Times New Roman"/>
          <w:kern w:val="0"/>
          <w:sz w:val="20"/>
          <w:szCs w:val="20"/>
          <w:lang w:val="en-US" w:eastAsia="ru-RU"/>
          <w14:ligatures w14:val="none"/>
        </w:rPr>
        <w:t>UkrNDNC</w:t>
      </w:r>
      <w:proofErr w:type="spellEnd"/>
      <w:r w:rsidR="00A572F1" w:rsidRPr="00340D00">
        <w:rPr>
          <w:rFonts w:eastAsia="Times New Roman" w:cs="Times New Roman"/>
          <w:kern w:val="0"/>
          <w:sz w:val="20"/>
          <w:szCs w:val="20"/>
          <w:lang w:val="en-US" w:eastAsia="ru-RU"/>
          <w14:ligatures w14:val="none"/>
        </w:rPr>
        <w:t>, Kyiv, 2017).</w:t>
      </w:r>
    </w:p>
    <w:p w14:paraId="42839E83" w14:textId="42FC1050"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[15] </w:t>
      </w:r>
      <w:r w:rsidR="00A572F1" w:rsidRPr="00340D00">
        <w:rPr>
          <w:rFonts w:eastAsia="Times New Roman" w:cs="Times New Roman"/>
          <w:kern w:val="0"/>
          <w:sz w:val="20"/>
          <w:szCs w:val="20"/>
          <w:lang w:val="en-US" w:eastAsia="ru-RU"/>
          <w14:ligatures w14:val="none"/>
        </w:rPr>
        <w:t xml:space="preserve">S. M. </w:t>
      </w:r>
      <w:proofErr w:type="spellStart"/>
      <w:r w:rsidR="00A572F1" w:rsidRPr="00340D00">
        <w:rPr>
          <w:rFonts w:eastAsia="Times New Roman" w:cs="Times New Roman"/>
          <w:kern w:val="0"/>
          <w:sz w:val="20"/>
          <w:szCs w:val="20"/>
          <w:lang w:val="en-US" w:eastAsia="ru-RU"/>
          <w14:ligatures w14:val="none"/>
        </w:rPr>
        <w:t>Tolmachov</w:t>
      </w:r>
      <w:proofErr w:type="spellEnd"/>
      <w:r w:rsidR="00A572F1" w:rsidRPr="00340D00">
        <w:rPr>
          <w:rFonts w:eastAsia="Times New Roman" w:cs="Times New Roman"/>
          <w:kern w:val="0"/>
          <w:sz w:val="20"/>
          <w:szCs w:val="20"/>
          <w:lang w:val="en-US" w:eastAsia="ru-RU"/>
          <w14:ligatures w14:val="none"/>
        </w:rPr>
        <w:t xml:space="preserve">, S. V. </w:t>
      </w:r>
      <w:proofErr w:type="spellStart"/>
      <w:r w:rsidR="00A572F1" w:rsidRPr="00340D00">
        <w:rPr>
          <w:rFonts w:eastAsia="Times New Roman" w:cs="Times New Roman"/>
          <w:kern w:val="0"/>
          <w:sz w:val="20"/>
          <w:szCs w:val="20"/>
          <w:lang w:val="en-US" w:eastAsia="ru-RU"/>
          <w14:ligatures w14:val="none"/>
        </w:rPr>
        <w:t>Yefremov</w:t>
      </w:r>
      <w:proofErr w:type="spellEnd"/>
      <w:r w:rsidR="00A572F1" w:rsidRPr="00340D00">
        <w:rPr>
          <w:rFonts w:eastAsia="Times New Roman" w:cs="Times New Roman"/>
          <w:kern w:val="0"/>
          <w:sz w:val="20"/>
          <w:szCs w:val="20"/>
          <w:lang w:val="en-US" w:eastAsia="ru-RU"/>
          <w14:ligatures w14:val="none"/>
        </w:rPr>
        <w:t xml:space="preserve">, S. V. </w:t>
      </w:r>
      <w:proofErr w:type="spellStart"/>
      <w:r w:rsidR="00A572F1" w:rsidRPr="00340D00">
        <w:rPr>
          <w:rFonts w:eastAsia="Times New Roman" w:cs="Times New Roman"/>
          <w:kern w:val="0"/>
          <w:sz w:val="20"/>
          <w:szCs w:val="20"/>
          <w:lang w:val="en-US" w:eastAsia="ru-RU"/>
          <w14:ligatures w14:val="none"/>
        </w:rPr>
        <w:t>Oksak</w:t>
      </w:r>
      <w:proofErr w:type="spellEnd"/>
      <w:r w:rsidR="00A572F1" w:rsidRPr="00340D00">
        <w:rPr>
          <w:rFonts w:eastAsia="Times New Roman" w:cs="Times New Roman"/>
          <w:kern w:val="0"/>
          <w:sz w:val="20"/>
          <w:szCs w:val="20"/>
          <w:lang w:val="en-US" w:eastAsia="ru-RU"/>
          <w14:ligatures w14:val="none"/>
        </w:rPr>
        <w:t xml:space="preserve">, V. V. </w:t>
      </w:r>
      <w:proofErr w:type="spellStart"/>
      <w:r w:rsidR="00A572F1" w:rsidRPr="00340D00">
        <w:rPr>
          <w:rFonts w:eastAsia="Times New Roman" w:cs="Times New Roman"/>
          <w:kern w:val="0"/>
          <w:sz w:val="20"/>
          <w:szCs w:val="20"/>
          <w:lang w:val="en-US" w:eastAsia="ru-RU"/>
          <w14:ligatures w14:val="none"/>
        </w:rPr>
        <w:t>Maliar</w:t>
      </w:r>
      <w:proofErr w:type="spellEnd"/>
      <w:r w:rsidR="00A572F1" w:rsidRPr="00340D00">
        <w:rPr>
          <w:rFonts w:eastAsia="Times New Roman" w:cs="Times New Roman"/>
          <w:kern w:val="0"/>
          <w:sz w:val="20"/>
          <w:szCs w:val="20"/>
          <w:lang w:val="en-US" w:eastAsia="ru-RU"/>
          <w14:ligatures w14:val="none"/>
        </w:rPr>
        <w:t xml:space="preserve">, and V. O. </w:t>
      </w:r>
      <w:proofErr w:type="spellStart"/>
      <w:r w:rsidR="00A572F1" w:rsidRPr="00340D00">
        <w:rPr>
          <w:rFonts w:eastAsia="Times New Roman" w:cs="Times New Roman"/>
          <w:kern w:val="0"/>
          <w:sz w:val="20"/>
          <w:szCs w:val="20"/>
          <w:lang w:val="en-US" w:eastAsia="ru-RU"/>
          <w14:ligatures w14:val="none"/>
        </w:rPr>
        <w:t>Psiurnyk</w:t>
      </w:r>
      <w:proofErr w:type="spellEnd"/>
      <w:r w:rsidR="00A572F1" w:rsidRPr="00340D00">
        <w:rPr>
          <w:rFonts w:eastAsia="Times New Roman" w:cs="Times New Roman"/>
          <w:kern w:val="0"/>
          <w:sz w:val="20"/>
          <w:szCs w:val="20"/>
          <w:lang w:val="en-US" w:eastAsia="ru-RU"/>
          <w14:ligatures w14:val="none"/>
        </w:rPr>
        <w:t xml:space="preserve">, </w:t>
      </w:r>
      <w:r w:rsidR="00A572F1" w:rsidRPr="00340D00">
        <w:rPr>
          <w:rFonts w:eastAsia="Times New Roman" w:cs="Times New Roman"/>
          <w:i/>
          <w:iCs/>
          <w:kern w:val="0"/>
          <w:sz w:val="20"/>
          <w:szCs w:val="20"/>
          <w:lang w:val="en-US" w:eastAsia="ru-RU"/>
          <w14:ligatures w14:val="none"/>
        </w:rPr>
        <w:t>Calculation of Technological Processes in Building Materials Production: Textbook</w:t>
      </w:r>
      <w:r w:rsidR="00A572F1" w:rsidRPr="00340D00">
        <w:rPr>
          <w:rFonts w:eastAsia="Times New Roman" w:cs="Times New Roman"/>
          <w:kern w:val="0"/>
          <w:sz w:val="20"/>
          <w:szCs w:val="20"/>
          <w:lang w:val="en-US" w:eastAsia="ru-RU"/>
          <w14:ligatures w14:val="none"/>
        </w:rPr>
        <w:t xml:space="preserve"> (NTMT, </w:t>
      </w:r>
      <w:proofErr w:type="spellStart"/>
      <w:r w:rsidR="00A572F1" w:rsidRPr="00340D00">
        <w:rPr>
          <w:rFonts w:eastAsia="Times New Roman" w:cs="Times New Roman"/>
          <w:kern w:val="0"/>
          <w:sz w:val="20"/>
          <w:szCs w:val="20"/>
          <w:lang w:val="en-US" w:eastAsia="ru-RU"/>
          <w14:ligatures w14:val="none"/>
        </w:rPr>
        <w:t>Kharkiv</w:t>
      </w:r>
      <w:proofErr w:type="spellEnd"/>
      <w:r w:rsidR="00A572F1" w:rsidRPr="00340D00">
        <w:rPr>
          <w:rFonts w:eastAsia="Times New Roman" w:cs="Times New Roman"/>
          <w:kern w:val="0"/>
          <w:sz w:val="20"/>
          <w:szCs w:val="20"/>
          <w:lang w:val="en-US" w:eastAsia="ru-RU"/>
          <w14:ligatures w14:val="none"/>
        </w:rPr>
        <w:t>, 2022).</w:t>
      </w:r>
    </w:p>
    <w:p w14:paraId="4E64DFEE" w14:textId="423BE2E4" w:rsidR="00A572F1" w:rsidRPr="00340D00" w:rsidRDefault="00340D00" w:rsidP="00340D00">
      <w:pPr>
        <w:spacing w:after="0"/>
        <w:ind w:left="426" w:hanging="426"/>
        <w:jc w:val="both"/>
        <w:rPr>
          <w:rFonts w:eastAsia="Times New Roman" w:cs="Times New Roman"/>
          <w:kern w:val="0"/>
          <w:sz w:val="20"/>
          <w:szCs w:val="20"/>
          <w:lang w:val="en-US" w:eastAsia="ru-RU"/>
          <w14:ligatures w14:val="none"/>
        </w:rPr>
      </w:pPr>
      <w:r w:rsidRPr="00340D00">
        <w:rPr>
          <w:rFonts w:eastAsia="Times New Roman" w:cs="Times New Roman"/>
          <w:kern w:val="0"/>
          <w:sz w:val="20"/>
          <w:szCs w:val="20"/>
          <w:lang w:val="en-US" w:eastAsia="ru-RU"/>
          <w14:ligatures w14:val="none"/>
        </w:rPr>
        <w:t xml:space="preserve">[16] </w:t>
      </w:r>
      <w:r w:rsidR="00A572F1" w:rsidRPr="00340D00">
        <w:rPr>
          <w:rFonts w:eastAsia="Times New Roman" w:cs="Times New Roman"/>
          <w:kern w:val="0"/>
          <w:sz w:val="20"/>
          <w:szCs w:val="20"/>
          <w:lang w:val="en-US" w:eastAsia="ru-RU"/>
          <w14:ligatures w14:val="none"/>
        </w:rPr>
        <w:t xml:space="preserve">K. H. Kwan and C. F. Mora, </w:t>
      </w:r>
      <w:r w:rsidR="00A572F1" w:rsidRPr="00340D00">
        <w:rPr>
          <w:rFonts w:eastAsia="Times New Roman" w:cs="Times New Roman"/>
          <w:i/>
          <w:iCs/>
          <w:kern w:val="0"/>
          <w:sz w:val="20"/>
          <w:szCs w:val="20"/>
          <w:lang w:val="en-US" w:eastAsia="ru-RU"/>
          <w14:ligatures w14:val="none"/>
        </w:rPr>
        <w:t xml:space="preserve">Mag. </w:t>
      </w:r>
      <w:proofErr w:type="spellStart"/>
      <w:r w:rsidR="00A572F1" w:rsidRPr="00340D00">
        <w:rPr>
          <w:rFonts w:eastAsia="Times New Roman" w:cs="Times New Roman"/>
          <w:i/>
          <w:iCs/>
          <w:kern w:val="0"/>
          <w:sz w:val="20"/>
          <w:szCs w:val="20"/>
          <w:lang w:val="en-US" w:eastAsia="ru-RU"/>
          <w14:ligatures w14:val="none"/>
        </w:rPr>
        <w:t>Concr</w:t>
      </w:r>
      <w:proofErr w:type="spellEnd"/>
      <w:r w:rsidR="00A572F1" w:rsidRPr="00340D00">
        <w:rPr>
          <w:rFonts w:eastAsia="Times New Roman" w:cs="Times New Roman"/>
          <w:i/>
          <w:iCs/>
          <w:kern w:val="0"/>
          <w:sz w:val="20"/>
          <w:szCs w:val="20"/>
          <w:lang w:val="en-US" w:eastAsia="ru-RU"/>
          <w14:ligatures w14:val="none"/>
        </w:rPr>
        <w:t xml:space="preserve">. </w:t>
      </w:r>
      <w:proofErr w:type="gramStart"/>
      <w:r w:rsidR="00A572F1" w:rsidRPr="00340D00">
        <w:rPr>
          <w:rFonts w:eastAsia="Times New Roman" w:cs="Times New Roman"/>
          <w:i/>
          <w:iCs/>
          <w:kern w:val="0"/>
          <w:sz w:val="20"/>
          <w:szCs w:val="20"/>
          <w:lang w:val="en-US" w:eastAsia="ru-RU"/>
          <w14:ligatures w14:val="none"/>
        </w:rPr>
        <w:t>Res.</w:t>
      </w:r>
      <w:r w:rsidR="00A572F1" w:rsidRPr="00340D00">
        <w:rPr>
          <w:rFonts w:eastAsia="Times New Roman" w:cs="Times New Roman"/>
          <w:kern w:val="0"/>
          <w:sz w:val="20"/>
          <w:szCs w:val="20"/>
          <w:lang w:val="en-US" w:eastAsia="ru-RU"/>
          <w14:ligatures w14:val="none"/>
        </w:rPr>
        <w:t xml:space="preserve"> </w:t>
      </w:r>
      <w:r w:rsidR="00A572F1" w:rsidRPr="00340D00">
        <w:rPr>
          <w:rFonts w:eastAsia="Times New Roman" w:cs="Times New Roman"/>
          <w:b/>
          <w:bCs/>
          <w:kern w:val="0"/>
          <w:sz w:val="20"/>
          <w:szCs w:val="20"/>
          <w:lang w:val="en-US" w:eastAsia="ru-RU"/>
          <w14:ligatures w14:val="none"/>
        </w:rPr>
        <w:t>53</w:t>
      </w:r>
      <w:r w:rsidR="00A572F1" w:rsidRPr="00340D00">
        <w:rPr>
          <w:rFonts w:eastAsia="Times New Roman" w:cs="Times New Roman"/>
          <w:kern w:val="0"/>
          <w:sz w:val="20"/>
          <w:szCs w:val="20"/>
          <w:lang w:val="en-US" w:eastAsia="ru-RU"/>
          <w14:ligatures w14:val="none"/>
        </w:rPr>
        <w:t>, 91 (2001).</w:t>
      </w:r>
      <w:proofErr w:type="gramEnd"/>
      <w:r w:rsidR="00A572F1" w:rsidRPr="00340D00">
        <w:rPr>
          <w:rFonts w:eastAsia="Times New Roman" w:cs="Times New Roman"/>
          <w:kern w:val="0"/>
          <w:sz w:val="20"/>
          <w:szCs w:val="20"/>
          <w:lang w:val="en-US" w:eastAsia="ru-RU"/>
          <w14:ligatures w14:val="none"/>
        </w:rPr>
        <w:t xml:space="preserve"> </w:t>
      </w:r>
      <w:hyperlink r:id="rId19" w:tgtFrame="_new" w:history="1">
        <w:r w:rsidR="00A572F1" w:rsidRPr="00340D00">
          <w:rPr>
            <w:rFonts w:eastAsia="Times New Roman" w:cs="Times New Roman"/>
            <w:color w:val="0000FF"/>
            <w:kern w:val="0"/>
            <w:sz w:val="20"/>
            <w:szCs w:val="20"/>
            <w:u w:val="single"/>
            <w:lang w:val="en-US" w:eastAsia="ru-RU"/>
            <w14:ligatures w14:val="none"/>
          </w:rPr>
          <w:t>https://doi.org/10.1680/macr.2001.53.2.91</w:t>
        </w:r>
      </w:hyperlink>
    </w:p>
    <w:p w14:paraId="52621089" w14:textId="77777777" w:rsidR="00A572F1" w:rsidRPr="00340D00" w:rsidRDefault="00A572F1" w:rsidP="00340D00">
      <w:pPr>
        <w:spacing w:after="0"/>
        <w:ind w:left="426" w:hanging="426"/>
        <w:jc w:val="both"/>
        <w:rPr>
          <w:sz w:val="20"/>
          <w:szCs w:val="20"/>
          <w:lang w:val="en-US"/>
        </w:rPr>
      </w:pPr>
    </w:p>
    <w:sectPr w:rsidR="00A572F1" w:rsidRPr="00340D00" w:rsidSect="00340D00">
      <w:pgSz w:w="12240" w:h="15840" w:code="1"/>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0570"/>
    <w:multiLevelType w:val="hybridMultilevel"/>
    <w:tmpl w:val="A7889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10823"/>
    <w:multiLevelType w:val="hybridMultilevel"/>
    <w:tmpl w:val="23BAF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38315B"/>
    <w:multiLevelType w:val="hybridMultilevel"/>
    <w:tmpl w:val="771E1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9633E7"/>
    <w:multiLevelType w:val="hybridMultilevel"/>
    <w:tmpl w:val="4096344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051F2E"/>
    <w:multiLevelType w:val="hybridMultilevel"/>
    <w:tmpl w:val="BFAE0384"/>
    <w:lvl w:ilvl="0" w:tplc="0419000F">
      <w:start w:val="1"/>
      <w:numFmt w:val="decimal"/>
      <w:lvlText w:val="%1."/>
      <w:lvlJc w:val="left"/>
      <w:pPr>
        <w:ind w:left="720" w:hanging="360"/>
      </w:pPr>
    </w:lvl>
    <w:lvl w:ilvl="1" w:tplc="7400A3E6">
      <w:start w:val="1"/>
      <w:numFmt w:val="upperLetter"/>
      <w:lvlText w:val="%2."/>
      <w:lvlJc w:val="left"/>
      <w:pPr>
        <w:ind w:left="1440" w:hanging="360"/>
      </w:pPr>
      <w:rPr>
        <w:rFonts w:hint="default"/>
      </w:rPr>
    </w:lvl>
    <w:lvl w:ilvl="2" w:tplc="21E25F08">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8B049B"/>
    <w:multiLevelType w:val="hybridMultilevel"/>
    <w:tmpl w:val="158C2216"/>
    <w:lvl w:ilvl="0" w:tplc="98A0D4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6B050B"/>
    <w:multiLevelType w:val="hybridMultilevel"/>
    <w:tmpl w:val="49C20364"/>
    <w:lvl w:ilvl="0" w:tplc="0419000F">
      <w:start w:val="1"/>
      <w:numFmt w:val="decimal"/>
      <w:lvlText w:val="%1."/>
      <w:lvlJc w:val="left"/>
      <w:pPr>
        <w:ind w:left="720" w:hanging="360"/>
      </w:pPr>
    </w:lvl>
    <w:lvl w:ilvl="1" w:tplc="7400A3E6">
      <w:start w:val="1"/>
      <w:numFmt w:val="upperLetter"/>
      <w:lvlText w:val="%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FB1A83"/>
    <w:multiLevelType w:val="hybridMultilevel"/>
    <w:tmpl w:val="11E835D4"/>
    <w:lvl w:ilvl="0" w:tplc="DDB85F8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FF051F8"/>
    <w:multiLevelType w:val="hybridMultilevel"/>
    <w:tmpl w:val="AE102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250408"/>
    <w:multiLevelType w:val="hybridMultilevel"/>
    <w:tmpl w:val="95AA0ABE"/>
    <w:lvl w:ilvl="0" w:tplc="12A6CC40">
      <w:start w:val="1"/>
      <w:numFmt w:val="bullet"/>
      <w:lvlText w:val=""/>
      <w:lvlJc w:val="left"/>
      <w:pPr>
        <w:ind w:left="1428" w:hanging="360"/>
      </w:pPr>
      <w:rPr>
        <w:rFonts w:ascii="Symbol" w:hAnsi="Symbol" w:hint="default"/>
        <w:sz w:val="24"/>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63BC68F7"/>
    <w:multiLevelType w:val="multilevel"/>
    <w:tmpl w:val="287C7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EE51B1"/>
    <w:multiLevelType w:val="hybridMultilevel"/>
    <w:tmpl w:val="60A62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D855BF"/>
    <w:multiLevelType w:val="hybridMultilevel"/>
    <w:tmpl w:val="7AAED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7"/>
  </w:num>
  <w:num w:numId="5">
    <w:abstractNumId w:val="3"/>
  </w:num>
  <w:num w:numId="6">
    <w:abstractNumId w:val="0"/>
  </w:num>
  <w:num w:numId="7">
    <w:abstractNumId w:val="2"/>
  </w:num>
  <w:num w:numId="8">
    <w:abstractNumId w:val="5"/>
  </w:num>
  <w:num w:numId="9">
    <w:abstractNumId w:val="10"/>
  </w:num>
  <w:num w:numId="10">
    <w:abstractNumId w:val="4"/>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B6"/>
    <w:rsid w:val="00001375"/>
    <w:rsid w:val="00005016"/>
    <w:rsid w:val="00020567"/>
    <w:rsid w:val="000214DF"/>
    <w:rsid w:val="00026DF7"/>
    <w:rsid w:val="00031D50"/>
    <w:rsid w:val="000342A1"/>
    <w:rsid w:val="00035E54"/>
    <w:rsid w:val="00036F89"/>
    <w:rsid w:val="00037F84"/>
    <w:rsid w:val="0004155A"/>
    <w:rsid w:val="00053212"/>
    <w:rsid w:val="0006573F"/>
    <w:rsid w:val="00066B4E"/>
    <w:rsid w:val="000706FB"/>
    <w:rsid w:val="00070B60"/>
    <w:rsid w:val="0007110F"/>
    <w:rsid w:val="00081850"/>
    <w:rsid w:val="0008252F"/>
    <w:rsid w:val="00090A2F"/>
    <w:rsid w:val="00092252"/>
    <w:rsid w:val="0009270C"/>
    <w:rsid w:val="00095454"/>
    <w:rsid w:val="00096F08"/>
    <w:rsid w:val="000B24B0"/>
    <w:rsid w:val="000B2919"/>
    <w:rsid w:val="000C03F7"/>
    <w:rsid w:val="000C2570"/>
    <w:rsid w:val="000D0C85"/>
    <w:rsid w:val="000D1B0E"/>
    <w:rsid w:val="000D5D2B"/>
    <w:rsid w:val="000D5FE3"/>
    <w:rsid w:val="000D63C1"/>
    <w:rsid w:val="000E1E56"/>
    <w:rsid w:val="000E6B57"/>
    <w:rsid w:val="000F072B"/>
    <w:rsid w:val="000F75A0"/>
    <w:rsid w:val="00113677"/>
    <w:rsid w:val="001178AB"/>
    <w:rsid w:val="001212DF"/>
    <w:rsid w:val="00122195"/>
    <w:rsid w:val="00123ABC"/>
    <w:rsid w:val="001333D1"/>
    <w:rsid w:val="001402FB"/>
    <w:rsid w:val="0014311A"/>
    <w:rsid w:val="00146384"/>
    <w:rsid w:val="0015561A"/>
    <w:rsid w:val="0015686B"/>
    <w:rsid w:val="00161DE1"/>
    <w:rsid w:val="001709BD"/>
    <w:rsid w:val="001731A2"/>
    <w:rsid w:val="00173A36"/>
    <w:rsid w:val="00183961"/>
    <w:rsid w:val="00186483"/>
    <w:rsid w:val="001B1467"/>
    <w:rsid w:val="001D1885"/>
    <w:rsid w:val="001D2EF2"/>
    <w:rsid w:val="001D5962"/>
    <w:rsid w:val="001D7197"/>
    <w:rsid w:val="001E04A2"/>
    <w:rsid w:val="001E60EB"/>
    <w:rsid w:val="001F649E"/>
    <w:rsid w:val="001F698D"/>
    <w:rsid w:val="0020483D"/>
    <w:rsid w:val="002224A3"/>
    <w:rsid w:val="0022537F"/>
    <w:rsid w:val="002358E6"/>
    <w:rsid w:val="00244AB4"/>
    <w:rsid w:val="002468C4"/>
    <w:rsid w:val="00247082"/>
    <w:rsid w:val="00252D51"/>
    <w:rsid w:val="00253C66"/>
    <w:rsid w:val="002552B3"/>
    <w:rsid w:val="00261EA5"/>
    <w:rsid w:val="00267724"/>
    <w:rsid w:val="002731E3"/>
    <w:rsid w:val="002766D6"/>
    <w:rsid w:val="002810F0"/>
    <w:rsid w:val="002A1709"/>
    <w:rsid w:val="002C22A4"/>
    <w:rsid w:val="002C6AA6"/>
    <w:rsid w:val="002D1766"/>
    <w:rsid w:val="002D3309"/>
    <w:rsid w:val="002E1582"/>
    <w:rsid w:val="002E189D"/>
    <w:rsid w:val="00300BBD"/>
    <w:rsid w:val="00301B6D"/>
    <w:rsid w:val="00305F32"/>
    <w:rsid w:val="00310FA3"/>
    <w:rsid w:val="00316232"/>
    <w:rsid w:val="00321589"/>
    <w:rsid w:val="003245AA"/>
    <w:rsid w:val="003337B5"/>
    <w:rsid w:val="00334576"/>
    <w:rsid w:val="0033783A"/>
    <w:rsid w:val="00340D00"/>
    <w:rsid w:val="0034453E"/>
    <w:rsid w:val="003671BD"/>
    <w:rsid w:val="003769D5"/>
    <w:rsid w:val="003776E8"/>
    <w:rsid w:val="003779FA"/>
    <w:rsid w:val="003837E1"/>
    <w:rsid w:val="00385AB6"/>
    <w:rsid w:val="00387AD6"/>
    <w:rsid w:val="003918A6"/>
    <w:rsid w:val="00392EA9"/>
    <w:rsid w:val="00392F4D"/>
    <w:rsid w:val="00395BCE"/>
    <w:rsid w:val="003A0526"/>
    <w:rsid w:val="003A1A40"/>
    <w:rsid w:val="003B0548"/>
    <w:rsid w:val="003B6D40"/>
    <w:rsid w:val="003C1AB6"/>
    <w:rsid w:val="003D0AF2"/>
    <w:rsid w:val="003D6009"/>
    <w:rsid w:val="003E1C56"/>
    <w:rsid w:val="003E24E1"/>
    <w:rsid w:val="003E5ADF"/>
    <w:rsid w:val="00402253"/>
    <w:rsid w:val="00413808"/>
    <w:rsid w:val="00443895"/>
    <w:rsid w:val="00443DF0"/>
    <w:rsid w:val="0044584B"/>
    <w:rsid w:val="00445C6F"/>
    <w:rsid w:val="00447557"/>
    <w:rsid w:val="0045777E"/>
    <w:rsid w:val="004600C3"/>
    <w:rsid w:val="0046043C"/>
    <w:rsid w:val="004643C4"/>
    <w:rsid w:val="00470261"/>
    <w:rsid w:val="00491BD0"/>
    <w:rsid w:val="00491D34"/>
    <w:rsid w:val="00491D9A"/>
    <w:rsid w:val="004A1F8C"/>
    <w:rsid w:val="004A7D28"/>
    <w:rsid w:val="004C374D"/>
    <w:rsid w:val="004D6002"/>
    <w:rsid w:val="004D686A"/>
    <w:rsid w:val="004F597A"/>
    <w:rsid w:val="004F7ED8"/>
    <w:rsid w:val="005002E1"/>
    <w:rsid w:val="00503A3C"/>
    <w:rsid w:val="00504741"/>
    <w:rsid w:val="00507235"/>
    <w:rsid w:val="005143C9"/>
    <w:rsid w:val="005149D8"/>
    <w:rsid w:val="0051566D"/>
    <w:rsid w:val="00516404"/>
    <w:rsid w:val="00516758"/>
    <w:rsid w:val="005322C1"/>
    <w:rsid w:val="0053482B"/>
    <w:rsid w:val="005443C1"/>
    <w:rsid w:val="00564DFA"/>
    <w:rsid w:val="00572C59"/>
    <w:rsid w:val="005744D9"/>
    <w:rsid w:val="0058277D"/>
    <w:rsid w:val="00587C4A"/>
    <w:rsid w:val="00590B84"/>
    <w:rsid w:val="00591066"/>
    <w:rsid w:val="005960F1"/>
    <w:rsid w:val="00596B0D"/>
    <w:rsid w:val="005A587B"/>
    <w:rsid w:val="005A6E5E"/>
    <w:rsid w:val="005B1234"/>
    <w:rsid w:val="005B157A"/>
    <w:rsid w:val="005B25D1"/>
    <w:rsid w:val="005B7A12"/>
    <w:rsid w:val="005C7D83"/>
    <w:rsid w:val="005C7F8A"/>
    <w:rsid w:val="005D36AE"/>
    <w:rsid w:val="005E038C"/>
    <w:rsid w:val="005E528C"/>
    <w:rsid w:val="005F08A1"/>
    <w:rsid w:val="005F4B74"/>
    <w:rsid w:val="00603A9F"/>
    <w:rsid w:val="00605385"/>
    <w:rsid w:val="006125E1"/>
    <w:rsid w:val="006138B3"/>
    <w:rsid w:val="006222B7"/>
    <w:rsid w:val="0062439A"/>
    <w:rsid w:val="006301DE"/>
    <w:rsid w:val="006374FF"/>
    <w:rsid w:val="00640307"/>
    <w:rsid w:val="00652DEC"/>
    <w:rsid w:val="00654C9C"/>
    <w:rsid w:val="00657AB6"/>
    <w:rsid w:val="0066791D"/>
    <w:rsid w:val="0067043F"/>
    <w:rsid w:val="00671541"/>
    <w:rsid w:val="00675A03"/>
    <w:rsid w:val="00696B2E"/>
    <w:rsid w:val="006A1E96"/>
    <w:rsid w:val="006A3338"/>
    <w:rsid w:val="006B1256"/>
    <w:rsid w:val="006B1989"/>
    <w:rsid w:val="006C0B69"/>
    <w:rsid w:val="006C0B77"/>
    <w:rsid w:val="006C17D7"/>
    <w:rsid w:val="006C3DE8"/>
    <w:rsid w:val="006C4D29"/>
    <w:rsid w:val="006C52CA"/>
    <w:rsid w:val="006C6212"/>
    <w:rsid w:val="006C671C"/>
    <w:rsid w:val="006D507B"/>
    <w:rsid w:val="006E2AEB"/>
    <w:rsid w:val="006E3D47"/>
    <w:rsid w:val="006E3D6F"/>
    <w:rsid w:val="006F4E80"/>
    <w:rsid w:val="0070289D"/>
    <w:rsid w:val="00711401"/>
    <w:rsid w:val="00715088"/>
    <w:rsid w:val="007261C5"/>
    <w:rsid w:val="0072773F"/>
    <w:rsid w:val="00750D4B"/>
    <w:rsid w:val="007539E2"/>
    <w:rsid w:val="00756712"/>
    <w:rsid w:val="00757C8D"/>
    <w:rsid w:val="0076369F"/>
    <w:rsid w:val="007647CF"/>
    <w:rsid w:val="00765066"/>
    <w:rsid w:val="007707D0"/>
    <w:rsid w:val="00773A7F"/>
    <w:rsid w:val="00774467"/>
    <w:rsid w:val="00780590"/>
    <w:rsid w:val="007869F6"/>
    <w:rsid w:val="00791585"/>
    <w:rsid w:val="007A62C8"/>
    <w:rsid w:val="007A7D6E"/>
    <w:rsid w:val="007B2239"/>
    <w:rsid w:val="007B3596"/>
    <w:rsid w:val="007B47C6"/>
    <w:rsid w:val="007C54F9"/>
    <w:rsid w:val="007C7AEE"/>
    <w:rsid w:val="007E0312"/>
    <w:rsid w:val="007E0BF9"/>
    <w:rsid w:val="007F3503"/>
    <w:rsid w:val="00803BBA"/>
    <w:rsid w:val="00807B50"/>
    <w:rsid w:val="0081235F"/>
    <w:rsid w:val="00812907"/>
    <w:rsid w:val="008242FF"/>
    <w:rsid w:val="00834BE9"/>
    <w:rsid w:val="0083712C"/>
    <w:rsid w:val="00837B63"/>
    <w:rsid w:val="008435A7"/>
    <w:rsid w:val="0085113B"/>
    <w:rsid w:val="0086104D"/>
    <w:rsid w:val="00862720"/>
    <w:rsid w:val="00862859"/>
    <w:rsid w:val="00864559"/>
    <w:rsid w:val="00866144"/>
    <w:rsid w:val="00870751"/>
    <w:rsid w:val="0087291F"/>
    <w:rsid w:val="00876CD9"/>
    <w:rsid w:val="00885E66"/>
    <w:rsid w:val="00894BA6"/>
    <w:rsid w:val="008B7CFE"/>
    <w:rsid w:val="008C199A"/>
    <w:rsid w:val="008C45A3"/>
    <w:rsid w:val="008D2730"/>
    <w:rsid w:val="008D5024"/>
    <w:rsid w:val="008E0AFB"/>
    <w:rsid w:val="008E1787"/>
    <w:rsid w:val="008F62E0"/>
    <w:rsid w:val="00906E81"/>
    <w:rsid w:val="00920669"/>
    <w:rsid w:val="00922C48"/>
    <w:rsid w:val="0092757A"/>
    <w:rsid w:val="00935BF2"/>
    <w:rsid w:val="00940E80"/>
    <w:rsid w:val="00952260"/>
    <w:rsid w:val="00981687"/>
    <w:rsid w:val="00981C54"/>
    <w:rsid w:val="00986B6F"/>
    <w:rsid w:val="00994751"/>
    <w:rsid w:val="00997EA5"/>
    <w:rsid w:val="009A4CC7"/>
    <w:rsid w:val="009B2DA6"/>
    <w:rsid w:val="009B6DFE"/>
    <w:rsid w:val="009C1FEC"/>
    <w:rsid w:val="009C3B15"/>
    <w:rsid w:val="009D0881"/>
    <w:rsid w:val="009F0454"/>
    <w:rsid w:val="009F3778"/>
    <w:rsid w:val="00A0021C"/>
    <w:rsid w:val="00A026D7"/>
    <w:rsid w:val="00A06394"/>
    <w:rsid w:val="00A077A3"/>
    <w:rsid w:val="00A114C1"/>
    <w:rsid w:val="00A148D2"/>
    <w:rsid w:val="00A21A20"/>
    <w:rsid w:val="00A2421B"/>
    <w:rsid w:val="00A25436"/>
    <w:rsid w:val="00A306DB"/>
    <w:rsid w:val="00A537B1"/>
    <w:rsid w:val="00A53C1E"/>
    <w:rsid w:val="00A56450"/>
    <w:rsid w:val="00A572F1"/>
    <w:rsid w:val="00A60053"/>
    <w:rsid w:val="00A60524"/>
    <w:rsid w:val="00A66A30"/>
    <w:rsid w:val="00A66DBF"/>
    <w:rsid w:val="00A769EF"/>
    <w:rsid w:val="00A80B1A"/>
    <w:rsid w:val="00A827FE"/>
    <w:rsid w:val="00A85E34"/>
    <w:rsid w:val="00A91CF4"/>
    <w:rsid w:val="00A96DA6"/>
    <w:rsid w:val="00AA1A07"/>
    <w:rsid w:val="00AA3046"/>
    <w:rsid w:val="00AA7A11"/>
    <w:rsid w:val="00AB589D"/>
    <w:rsid w:val="00AC0538"/>
    <w:rsid w:val="00AC0907"/>
    <w:rsid w:val="00AF3836"/>
    <w:rsid w:val="00B04B61"/>
    <w:rsid w:val="00B122E1"/>
    <w:rsid w:val="00B15227"/>
    <w:rsid w:val="00B17D9E"/>
    <w:rsid w:val="00B25139"/>
    <w:rsid w:val="00B270F3"/>
    <w:rsid w:val="00B33FA2"/>
    <w:rsid w:val="00B3467A"/>
    <w:rsid w:val="00B40370"/>
    <w:rsid w:val="00B44B1B"/>
    <w:rsid w:val="00B525F2"/>
    <w:rsid w:val="00B65736"/>
    <w:rsid w:val="00B676E9"/>
    <w:rsid w:val="00B70E68"/>
    <w:rsid w:val="00B7435F"/>
    <w:rsid w:val="00B81977"/>
    <w:rsid w:val="00B913EB"/>
    <w:rsid w:val="00B915B7"/>
    <w:rsid w:val="00BA1547"/>
    <w:rsid w:val="00BA1FB5"/>
    <w:rsid w:val="00BA4086"/>
    <w:rsid w:val="00BB3015"/>
    <w:rsid w:val="00BB4834"/>
    <w:rsid w:val="00BB4DC8"/>
    <w:rsid w:val="00BD025D"/>
    <w:rsid w:val="00BD561E"/>
    <w:rsid w:val="00BD68BE"/>
    <w:rsid w:val="00BF3779"/>
    <w:rsid w:val="00C027F0"/>
    <w:rsid w:val="00C04BB2"/>
    <w:rsid w:val="00C123FA"/>
    <w:rsid w:val="00C26CB6"/>
    <w:rsid w:val="00C27903"/>
    <w:rsid w:val="00C37E66"/>
    <w:rsid w:val="00C413B0"/>
    <w:rsid w:val="00C427A4"/>
    <w:rsid w:val="00C44477"/>
    <w:rsid w:val="00C46074"/>
    <w:rsid w:val="00C60D56"/>
    <w:rsid w:val="00C65640"/>
    <w:rsid w:val="00C706D6"/>
    <w:rsid w:val="00C749A5"/>
    <w:rsid w:val="00C750C4"/>
    <w:rsid w:val="00C8116A"/>
    <w:rsid w:val="00C84426"/>
    <w:rsid w:val="00C9012F"/>
    <w:rsid w:val="00C90F64"/>
    <w:rsid w:val="00CA19BC"/>
    <w:rsid w:val="00CA50B4"/>
    <w:rsid w:val="00CA557F"/>
    <w:rsid w:val="00CC4425"/>
    <w:rsid w:val="00CD5D15"/>
    <w:rsid w:val="00CD6711"/>
    <w:rsid w:val="00CD6D5F"/>
    <w:rsid w:val="00CD7092"/>
    <w:rsid w:val="00CE124F"/>
    <w:rsid w:val="00CE1BBE"/>
    <w:rsid w:val="00CF4610"/>
    <w:rsid w:val="00CF4B08"/>
    <w:rsid w:val="00CF4E3B"/>
    <w:rsid w:val="00CF74FF"/>
    <w:rsid w:val="00D02CD3"/>
    <w:rsid w:val="00D10A31"/>
    <w:rsid w:val="00D12C10"/>
    <w:rsid w:val="00D13EA0"/>
    <w:rsid w:val="00D15C6E"/>
    <w:rsid w:val="00D17C5F"/>
    <w:rsid w:val="00D23AF6"/>
    <w:rsid w:val="00D2645D"/>
    <w:rsid w:val="00D27710"/>
    <w:rsid w:val="00D330D5"/>
    <w:rsid w:val="00D41741"/>
    <w:rsid w:val="00D45422"/>
    <w:rsid w:val="00D61C11"/>
    <w:rsid w:val="00D65696"/>
    <w:rsid w:val="00D66B0E"/>
    <w:rsid w:val="00D748F0"/>
    <w:rsid w:val="00D74F2B"/>
    <w:rsid w:val="00D82C45"/>
    <w:rsid w:val="00D85ADD"/>
    <w:rsid w:val="00D92448"/>
    <w:rsid w:val="00D940A9"/>
    <w:rsid w:val="00D9633E"/>
    <w:rsid w:val="00DA29A8"/>
    <w:rsid w:val="00DB386A"/>
    <w:rsid w:val="00DB5394"/>
    <w:rsid w:val="00DC0B1D"/>
    <w:rsid w:val="00DC426D"/>
    <w:rsid w:val="00DC47B4"/>
    <w:rsid w:val="00DD3178"/>
    <w:rsid w:val="00DD3C94"/>
    <w:rsid w:val="00DD6123"/>
    <w:rsid w:val="00DD7922"/>
    <w:rsid w:val="00DD7FE9"/>
    <w:rsid w:val="00DE008E"/>
    <w:rsid w:val="00DF66EF"/>
    <w:rsid w:val="00E04C30"/>
    <w:rsid w:val="00E1055A"/>
    <w:rsid w:val="00E1648A"/>
    <w:rsid w:val="00E34A38"/>
    <w:rsid w:val="00E34D66"/>
    <w:rsid w:val="00E352CC"/>
    <w:rsid w:val="00E4151E"/>
    <w:rsid w:val="00E41DA5"/>
    <w:rsid w:val="00E445C0"/>
    <w:rsid w:val="00E46464"/>
    <w:rsid w:val="00E52537"/>
    <w:rsid w:val="00E529AD"/>
    <w:rsid w:val="00E62AEE"/>
    <w:rsid w:val="00E62D7A"/>
    <w:rsid w:val="00E73A71"/>
    <w:rsid w:val="00E8153B"/>
    <w:rsid w:val="00E837C2"/>
    <w:rsid w:val="00EA072A"/>
    <w:rsid w:val="00EA5567"/>
    <w:rsid w:val="00EA59DF"/>
    <w:rsid w:val="00EA7569"/>
    <w:rsid w:val="00EB0042"/>
    <w:rsid w:val="00EB0A6D"/>
    <w:rsid w:val="00EC2149"/>
    <w:rsid w:val="00ED4D48"/>
    <w:rsid w:val="00EE1C68"/>
    <w:rsid w:val="00EE213E"/>
    <w:rsid w:val="00EE4070"/>
    <w:rsid w:val="00EE709B"/>
    <w:rsid w:val="00EF5FD3"/>
    <w:rsid w:val="00F03176"/>
    <w:rsid w:val="00F04AFE"/>
    <w:rsid w:val="00F104BB"/>
    <w:rsid w:val="00F122BC"/>
    <w:rsid w:val="00F12C76"/>
    <w:rsid w:val="00F1616A"/>
    <w:rsid w:val="00F2232B"/>
    <w:rsid w:val="00F255F4"/>
    <w:rsid w:val="00F265C8"/>
    <w:rsid w:val="00F26EAA"/>
    <w:rsid w:val="00F308C7"/>
    <w:rsid w:val="00F31E22"/>
    <w:rsid w:val="00F343A6"/>
    <w:rsid w:val="00F4176A"/>
    <w:rsid w:val="00F46A44"/>
    <w:rsid w:val="00F54FE5"/>
    <w:rsid w:val="00F55663"/>
    <w:rsid w:val="00F55CD6"/>
    <w:rsid w:val="00F56E80"/>
    <w:rsid w:val="00F61EEB"/>
    <w:rsid w:val="00F64477"/>
    <w:rsid w:val="00F7007E"/>
    <w:rsid w:val="00F70112"/>
    <w:rsid w:val="00F701F8"/>
    <w:rsid w:val="00F7135A"/>
    <w:rsid w:val="00F71DCC"/>
    <w:rsid w:val="00F727B6"/>
    <w:rsid w:val="00F75A40"/>
    <w:rsid w:val="00F76CD4"/>
    <w:rsid w:val="00F83E49"/>
    <w:rsid w:val="00F86D61"/>
    <w:rsid w:val="00F94281"/>
    <w:rsid w:val="00FA207F"/>
    <w:rsid w:val="00FA46ED"/>
    <w:rsid w:val="00FA7242"/>
    <w:rsid w:val="00FB0015"/>
    <w:rsid w:val="00FB2C49"/>
    <w:rsid w:val="00FB6720"/>
    <w:rsid w:val="00FC12C0"/>
    <w:rsid w:val="00FC1562"/>
    <w:rsid w:val="00FC77EB"/>
    <w:rsid w:val="00FD0255"/>
    <w:rsid w:val="00FD551E"/>
    <w:rsid w:val="00FE42A1"/>
    <w:rsid w:val="00FF7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autoRedefine/>
    <w:qFormat/>
    <w:rsid w:val="00186483"/>
    <w:pPr>
      <w:keepNext/>
      <w:widowControl w:val="0"/>
      <w:shd w:val="clear" w:color="auto" w:fill="FFFFFF"/>
      <w:autoSpaceDE w:val="0"/>
      <w:autoSpaceDN w:val="0"/>
      <w:adjustRightInd w:val="0"/>
      <w:spacing w:before="240" w:after="240"/>
      <w:jc w:val="center"/>
      <w:outlineLvl w:val="0"/>
    </w:pPr>
    <w:rPr>
      <w:rFonts w:eastAsia="Times New Roman" w:cs="Times New Roman"/>
      <w:b/>
      <w:bCs/>
      <w:color w:val="000000"/>
      <w:kern w:val="0"/>
      <w:sz w:val="24"/>
      <w:szCs w:val="24"/>
      <w:lang w:val="uk-UA" w:eastAsia="ru-RU"/>
      <w14:ligatures w14:val="none"/>
    </w:rPr>
  </w:style>
  <w:style w:type="paragraph" w:styleId="2">
    <w:name w:val="heading 2"/>
    <w:basedOn w:val="a"/>
    <w:next w:val="a"/>
    <w:link w:val="20"/>
    <w:qFormat/>
    <w:rsid w:val="003B0548"/>
    <w:pPr>
      <w:keepNext/>
      <w:widowControl w:val="0"/>
      <w:autoSpaceDE w:val="0"/>
      <w:autoSpaceDN w:val="0"/>
      <w:adjustRightInd w:val="0"/>
      <w:spacing w:before="240" w:after="60"/>
      <w:outlineLvl w:val="1"/>
    </w:pPr>
    <w:rPr>
      <w:rFonts w:ascii="Arial" w:eastAsia="Times New Roman" w:hAnsi="Arial" w:cs="Arial"/>
      <w:b/>
      <w:bCs/>
      <w:i/>
      <w:iCs/>
      <w:kern w:val="0"/>
      <w:szCs w:val="28"/>
      <w:lang w:eastAsia="ru-RU"/>
      <w14:ligatures w14:val="none"/>
    </w:rPr>
  </w:style>
  <w:style w:type="paragraph" w:styleId="3">
    <w:name w:val="heading 3"/>
    <w:basedOn w:val="a"/>
    <w:next w:val="a"/>
    <w:link w:val="30"/>
    <w:uiPriority w:val="9"/>
    <w:semiHidden/>
    <w:unhideWhenUsed/>
    <w:qFormat/>
    <w:rsid w:val="00F61EEB"/>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6483"/>
    <w:rPr>
      <w:rFonts w:ascii="Times New Roman" w:eastAsia="Times New Roman" w:hAnsi="Times New Roman" w:cs="Times New Roman"/>
      <w:b/>
      <w:bCs/>
      <w:color w:val="000000"/>
      <w:kern w:val="0"/>
      <w:sz w:val="24"/>
      <w:szCs w:val="24"/>
      <w:shd w:val="clear" w:color="auto" w:fill="FFFFFF"/>
      <w:lang w:val="uk-UA" w:eastAsia="ru-RU"/>
      <w14:ligatures w14:val="none"/>
    </w:rPr>
  </w:style>
  <w:style w:type="character" w:customStyle="1" w:styleId="20">
    <w:name w:val="Заголовок 2 Знак"/>
    <w:basedOn w:val="a0"/>
    <w:link w:val="2"/>
    <w:rsid w:val="003B0548"/>
    <w:rPr>
      <w:rFonts w:ascii="Arial" w:eastAsia="Times New Roman" w:hAnsi="Arial" w:cs="Arial"/>
      <w:b/>
      <w:bCs/>
      <w:i/>
      <w:iCs/>
      <w:kern w:val="0"/>
      <w:sz w:val="28"/>
      <w:szCs w:val="28"/>
      <w:lang w:eastAsia="ru-RU"/>
      <w14:ligatures w14:val="none"/>
    </w:rPr>
  </w:style>
  <w:style w:type="paragraph" w:styleId="21">
    <w:name w:val="Body Text 2"/>
    <w:basedOn w:val="a"/>
    <w:link w:val="22"/>
    <w:rsid w:val="003B0548"/>
    <w:pPr>
      <w:spacing w:after="120" w:line="480" w:lineRule="auto"/>
    </w:pPr>
    <w:rPr>
      <w:rFonts w:eastAsia="Times New Roman" w:cs="Times New Roman"/>
      <w:kern w:val="0"/>
      <w:sz w:val="24"/>
      <w:szCs w:val="24"/>
      <w:lang w:eastAsia="ru-RU"/>
      <w14:ligatures w14:val="none"/>
    </w:rPr>
  </w:style>
  <w:style w:type="character" w:customStyle="1" w:styleId="22">
    <w:name w:val="Основной текст 2 Знак"/>
    <w:basedOn w:val="a0"/>
    <w:link w:val="21"/>
    <w:rsid w:val="003B0548"/>
    <w:rPr>
      <w:rFonts w:ascii="Times New Roman" w:eastAsia="Times New Roman" w:hAnsi="Times New Roman" w:cs="Times New Roman"/>
      <w:kern w:val="0"/>
      <w:sz w:val="24"/>
      <w:szCs w:val="24"/>
      <w:lang w:eastAsia="ru-RU"/>
      <w14:ligatures w14:val="none"/>
    </w:rPr>
  </w:style>
  <w:style w:type="paragraph" w:styleId="a3">
    <w:name w:val="List Paragraph"/>
    <w:basedOn w:val="a"/>
    <w:uiPriority w:val="34"/>
    <w:qFormat/>
    <w:rsid w:val="00A21A20"/>
    <w:pPr>
      <w:ind w:left="720"/>
      <w:contextualSpacing/>
    </w:pPr>
  </w:style>
  <w:style w:type="table" w:styleId="a4">
    <w:name w:val="Table Grid"/>
    <w:basedOn w:val="a1"/>
    <w:uiPriority w:val="39"/>
    <w:rsid w:val="00EA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70261"/>
    <w:rPr>
      <w:color w:val="0563C1" w:themeColor="hyperlink"/>
      <w:u w:val="single"/>
    </w:rPr>
  </w:style>
  <w:style w:type="character" w:customStyle="1" w:styleId="11">
    <w:name w:val="Неразрешенное упоминание1"/>
    <w:basedOn w:val="a0"/>
    <w:uiPriority w:val="99"/>
    <w:semiHidden/>
    <w:unhideWhenUsed/>
    <w:rsid w:val="00C60D56"/>
    <w:rPr>
      <w:color w:val="605E5C"/>
      <w:shd w:val="clear" w:color="auto" w:fill="E1DFDD"/>
    </w:rPr>
  </w:style>
  <w:style w:type="paragraph" w:styleId="a6">
    <w:name w:val="Balloon Text"/>
    <w:basedOn w:val="a"/>
    <w:link w:val="a7"/>
    <w:uiPriority w:val="99"/>
    <w:semiHidden/>
    <w:unhideWhenUsed/>
    <w:rsid w:val="00B17D9E"/>
    <w:pPr>
      <w:spacing w:after="0"/>
    </w:pPr>
    <w:rPr>
      <w:rFonts w:ascii="Tahoma" w:hAnsi="Tahoma" w:cs="Tahoma"/>
      <w:sz w:val="16"/>
      <w:szCs w:val="16"/>
    </w:rPr>
  </w:style>
  <w:style w:type="character" w:customStyle="1" w:styleId="a7">
    <w:name w:val="Текст выноски Знак"/>
    <w:basedOn w:val="a0"/>
    <w:link w:val="a6"/>
    <w:uiPriority w:val="99"/>
    <w:semiHidden/>
    <w:rsid w:val="00B17D9E"/>
    <w:rPr>
      <w:rFonts w:ascii="Tahoma" w:hAnsi="Tahoma" w:cs="Tahoma"/>
      <w:sz w:val="16"/>
      <w:szCs w:val="16"/>
    </w:rPr>
  </w:style>
  <w:style w:type="paragraph" w:styleId="a8">
    <w:name w:val="Normal (Web)"/>
    <w:basedOn w:val="a"/>
    <w:uiPriority w:val="99"/>
    <w:unhideWhenUsed/>
    <w:rsid w:val="00A60524"/>
    <w:pPr>
      <w:spacing w:before="100" w:beforeAutospacing="1" w:after="100" w:afterAutospacing="1"/>
    </w:pPr>
    <w:rPr>
      <w:rFonts w:eastAsia="Times New Roman" w:cs="Times New Roman"/>
      <w:kern w:val="0"/>
      <w:sz w:val="24"/>
      <w:szCs w:val="24"/>
      <w:lang w:eastAsia="ru-RU"/>
      <w14:ligatures w14:val="none"/>
    </w:rPr>
  </w:style>
  <w:style w:type="character" w:customStyle="1" w:styleId="MTConvertedEquation">
    <w:name w:val="MTConvertedEquation"/>
    <w:basedOn w:val="a0"/>
    <w:rsid w:val="00F7007E"/>
    <w:rPr>
      <w:rFonts w:ascii="Cambria Math" w:hAnsi="Cambria Math" w:cs="Times New Roman"/>
      <w:i/>
      <w:sz w:val="20"/>
      <w:szCs w:val="20"/>
      <w:lang w:val="en-US"/>
    </w:rPr>
  </w:style>
  <w:style w:type="paragraph" w:customStyle="1" w:styleId="MTDisplayEquation">
    <w:name w:val="MTDisplayEquation"/>
    <w:basedOn w:val="a"/>
    <w:next w:val="a"/>
    <w:link w:val="MTDisplayEquation0"/>
    <w:rsid w:val="006E2AEB"/>
    <w:pPr>
      <w:tabs>
        <w:tab w:val="center" w:pos="4680"/>
        <w:tab w:val="right" w:pos="9360"/>
      </w:tabs>
      <w:spacing w:after="0"/>
      <w:jc w:val="right"/>
    </w:pPr>
  </w:style>
  <w:style w:type="character" w:customStyle="1" w:styleId="MTDisplayEquation0">
    <w:name w:val="MTDisplayEquation Знак"/>
    <w:basedOn w:val="a0"/>
    <w:link w:val="MTDisplayEquation"/>
    <w:rsid w:val="006E2AEB"/>
    <w:rPr>
      <w:rFonts w:ascii="Times New Roman" w:hAnsi="Times New Roman"/>
      <w:sz w:val="28"/>
    </w:rPr>
  </w:style>
  <w:style w:type="paragraph" w:customStyle="1" w:styleId="Equation">
    <w:name w:val="Equation"/>
    <w:basedOn w:val="a"/>
    <w:rsid w:val="000D1B0E"/>
    <w:pPr>
      <w:tabs>
        <w:tab w:val="center" w:pos="4320"/>
        <w:tab w:val="right" w:pos="9242"/>
      </w:tabs>
      <w:spacing w:after="0"/>
      <w:jc w:val="center"/>
    </w:pPr>
    <w:rPr>
      <w:rFonts w:eastAsia="Times New Roman" w:cs="Times New Roman"/>
      <w:kern w:val="0"/>
      <w:sz w:val="20"/>
      <w:szCs w:val="20"/>
      <w:lang w:val="en-US" w:eastAsia="ru-RU"/>
      <w14:ligatures w14:val="none"/>
    </w:rPr>
  </w:style>
  <w:style w:type="character" w:customStyle="1" w:styleId="30">
    <w:name w:val="Заголовок 3 Знак"/>
    <w:basedOn w:val="a0"/>
    <w:link w:val="3"/>
    <w:uiPriority w:val="9"/>
    <w:semiHidden/>
    <w:rsid w:val="00F61EEB"/>
    <w:rPr>
      <w:rFonts w:asciiTheme="majorHAnsi" w:eastAsiaTheme="majorEastAsia" w:hAnsiTheme="majorHAnsi" w:cstheme="majorBidi"/>
      <w:b/>
      <w:bCs/>
      <w:color w:val="4472C4" w:themeColor="accent1"/>
      <w:sz w:val="28"/>
    </w:rPr>
  </w:style>
  <w:style w:type="character" w:styleId="a9">
    <w:name w:val="Strong"/>
    <w:basedOn w:val="a0"/>
    <w:uiPriority w:val="22"/>
    <w:qFormat/>
    <w:rsid w:val="00F61EEB"/>
    <w:rPr>
      <w:b/>
      <w:bCs/>
    </w:rPr>
  </w:style>
  <w:style w:type="character" w:styleId="aa">
    <w:name w:val="Emphasis"/>
    <w:basedOn w:val="a0"/>
    <w:uiPriority w:val="20"/>
    <w:qFormat/>
    <w:rsid w:val="00F61EEB"/>
    <w:rPr>
      <w:i/>
      <w:iCs/>
    </w:rPr>
  </w:style>
  <w:style w:type="character" w:customStyle="1" w:styleId="ms-1">
    <w:name w:val="ms-1"/>
    <w:basedOn w:val="a0"/>
    <w:rsid w:val="00F61EEB"/>
  </w:style>
  <w:style w:type="character" w:customStyle="1" w:styleId="max-w-15ch">
    <w:name w:val="max-w-[15ch]"/>
    <w:basedOn w:val="a0"/>
    <w:rsid w:val="00F61EEB"/>
  </w:style>
  <w:style w:type="character" w:customStyle="1" w:styleId="-me-1">
    <w:name w:val="-me-1"/>
    <w:basedOn w:val="a0"/>
    <w:rsid w:val="00F61EEB"/>
  </w:style>
  <w:style w:type="character" w:customStyle="1" w:styleId="anchor-text">
    <w:name w:val="anchor-text"/>
    <w:basedOn w:val="a0"/>
    <w:rsid w:val="00491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autoRedefine/>
    <w:qFormat/>
    <w:rsid w:val="00186483"/>
    <w:pPr>
      <w:keepNext/>
      <w:widowControl w:val="0"/>
      <w:shd w:val="clear" w:color="auto" w:fill="FFFFFF"/>
      <w:autoSpaceDE w:val="0"/>
      <w:autoSpaceDN w:val="0"/>
      <w:adjustRightInd w:val="0"/>
      <w:spacing w:before="240" w:after="240"/>
      <w:jc w:val="center"/>
      <w:outlineLvl w:val="0"/>
    </w:pPr>
    <w:rPr>
      <w:rFonts w:eastAsia="Times New Roman" w:cs="Times New Roman"/>
      <w:b/>
      <w:bCs/>
      <w:color w:val="000000"/>
      <w:kern w:val="0"/>
      <w:sz w:val="24"/>
      <w:szCs w:val="24"/>
      <w:lang w:val="uk-UA" w:eastAsia="ru-RU"/>
      <w14:ligatures w14:val="none"/>
    </w:rPr>
  </w:style>
  <w:style w:type="paragraph" w:styleId="2">
    <w:name w:val="heading 2"/>
    <w:basedOn w:val="a"/>
    <w:next w:val="a"/>
    <w:link w:val="20"/>
    <w:qFormat/>
    <w:rsid w:val="003B0548"/>
    <w:pPr>
      <w:keepNext/>
      <w:widowControl w:val="0"/>
      <w:autoSpaceDE w:val="0"/>
      <w:autoSpaceDN w:val="0"/>
      <w:adjustRightInd w:val="0"/>
      <w:spacing w:before="240" w:after="60"/>
      <w:outlineLvl w:val="1"/>
    </w:pPr>
    <w:rPr>
      <w:rFonts w:ascii="Arial" w:eastAsia="Times New Roman" w:hAnsi="Arial" w:cs="Arial"/>
      <w:b/>
      <w:bCs/>
      <w:i/>
      <w:iCs/>
      <w:kern w:val="0"/>
      <w:szCs w:val="28"/>
      <w:lang w:eastAsia="ru-RU"/>
      <w14:ligatures w14:val="none"/>
    </w:rPr>
  </w:style>
  <w:style w:type="paragraph" w:styleId="3">
    <w:name w:val="heading 3"/>
    <w:basedOn w:val="a"/>
    <w:next w:val="a"/>
    <w:link w:val="30"/>
    <w:uiPriority w:val="9"/>
    <w:semiHidden/>
    <w:unhideWhenUsed/>
    <w:qFormat/>
    <w:rsid w:val="00F61EEB"/>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6483"/>
    <w:rPr>
      <w:rFonts w:ascii="Times New Roman" w:eastAsia="Times New Roman" w:hAnsi="Times New Roman" w:cs="Times New Roman"/>
      <w:b/>
      <w:bCs/>
      <w:color w:val="000000"/>
      <w:kern w:val="0"/>
      <w:sz w:val="24"/>
      <w:szCs w:val="24"/>
      <w:shd w:val="clear" w:color="auto" w:fill="FFFFFF"/>
      <w:lang w:val="uk-UA" w:eastAsia="ru-RU"/>
      <w14:ligatures w14:val="none"/>
    </w:rPr>
  </w:style>
  <w:style w:type="character" w:customStyle="1" w:styleId="20">
    <w:name w:val="Заголовок 2 Знак"/>
    <w:basedOn w:val="a0"/>
    <w:link w:val="2"/>
    <w:rsid w:val="003B0548"/>
    <w:rPr>
      <w:rFonts w:ascii="Arial" w:eastAsia="Times New Roman" w:hAnsi="Arial" w:cs="Arial"/>
      <w:b/>
      <w:bCs/>
      <w:i/>
      <w:iCs/>
      <w:kern w:val="0"/>
      <w:sz w:val="28"/>
      <w:szCs w:val="28"/>
      <w:lang w:eastAsia="ru-RU"/>
      <w14:ligatures w14:val="none"/>
    </w:rPr>
  </w:style>
  <w:style w:type="paragraph" w:styleId="21">
    <w:name w:val="Body Text 2"/>
    <w:basedOn w:val="a"/>
    <w:link w:val="22"/>
    <w:rsid w:val="003B0548"/>
    <w:pPr>
      <w:spacing w:after="120" w:line="480" w:lineRule="auto"/>
    </w:pPr>
    <w:rPr>
      <w:rFonts w:eastAsia="Times New Roman" w:cs="Times New Roman"/>
      <w:kern w:val="0"/>
      <w:sz w:val="24"/>
      <w:szCs w:val="24"/>
      <w:lang w:eastAsia="ru-RU"/>
      <w14:ligatures w14:val="none"/>
    </w:rPr>
  </w:style>
  <w:style w:type="character" w:customStyle="1" w:styleId="22">
    <w:name w:val="Основной текст 2 Знак"/>
    <w:basedOn w:val="a0"/>
    <w:link w:val="21"/>
    <w:rsid w:val="003B0548"/>
    <w:rPr>
      <w:rFonts w:ascii="Times New Roman" w:eastAsia="Times New Roman" w:hAnsi="Times New Roman" w:cs="Times New Roman"/>
      <w:kern w:val="0"/>
      <w:sz w:val="24"/>
      <w:szCs w:val="24"/>
      <w:lang w:eastAsia="ru-RU"/>
      <w14:ligatures w14:val="none"/>
    </w:rPr>
  </w:style>
  <w:style w:type="paragraph" w:styleId="a3">
    <w:name w:val="List Paragraph"/>
    <w:basedOn w:val="a"/>
    <w:uiPriority w:val="34"/>
    <w:qFormat/>
    <w:rsid w:val="00A21A20"/>
    <w:pPr>
      <w:ind w:left="720"/>
      <w:contextualSpacing/>
    </w:pPr>
  </w:style>
  <w:style w:type="table" w:styleId="a4">
    <w:name w:val="Table Grid"/>
    <w:basedOn w:val="a1"/>
    <w:uiPriority w:val="39"/>
    <w:rsid w:val="00EA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70261"/>
    <w:rPr>
      <w:color w:val="0563C1" w:themeColor="hyperlink"/>
      <w:u w:val="single"/>
    </w:rPr>
  </w:style>
  <w:style w:type="character" w:customStyle="1" w:styleId="11">
    <w:name w:val="Неразрешенное упоминание1"/>
    <w:basedOn w:val="a0"/>
    <w:uiPriority w:val="99"/>
    <w:semiHidden/>
    <w:unhideWhenUsed/>
    <w:rsid w:val="00C60D56"/>
    <w:rPr>
      <w:color w:val="605E5C"/>
      <w:shd w:val="clear" w:color="auto" w:fill="E1DFDD"/>
    </w:rPr>
  </w:style>
  <w:style w:type="paragraph" w:styleId="a6">
    <w:name w:val="Balloon Text"/>
    <w:basedOn w:val="a"/>
    <w:link w:val="a7"/>
    <w:uiPriority w:val="99"/>
    <w:semiHidden/>
    <w:unhideWhenUsed/>
    <w:rsid w:val="00B17D9E"/>
    <w:pPr>
      <w:spacing w:after="0"/>
    </w:pPr>
    <w:rPr>
      <w:rFonts w:ascii="Tahoma" w:hAnsi="Tahoma" w:cs="Tahoma"/>
      <w:sz w:val="16"/>
      <w:szCs w:val="16"/>
    </w:rPr>
  </w:style>
  <w:style w:type="character" w:customStyle="1" w:styleId="a7">
    <w:name w:val="Текст выноски Знак"/>
    <w:basedOn w:val="a0"/>
    <w:link w:val="a6"/>
    <w:uiPriority w:val="99"/>
    <w:semiHidden/>
    <w:rsid w:val="00B17D9E"/>
    <w:rPr>
      <w:rFonts w:ascii="Tahoma" w:hAnsi="Tahoma" w:cs="Tahoma"/>
      <w:sz w:val="16"/>
      <w:szCs w:val="16"/>
    </w:rPr>
  </w:style>
  <w:style w:type="paragraph" w:styleId="a8">
    <w:name w:val="Normal (Web)"/>
    <w:basedOn w:val="a"/>
    <w:uiPriority w:val="99"/>
    <w:unhideWhenUsed/>
    <w:rsid w:val="00A60524"/>
    <w:pPr>
      <w:spacing w:before="100" w:beforeAutospacing="1" w:after="100" w:afterAutospacing="1"/>
    </w:pPr>
    <w:rPr>
      <w:rFonts w:eastAsia="Times New Roman" w:cs="Times New Roman"/>
      <w:kern w:val="0"/>
      <w:sz w:val="24"/>
      <w:szCs w:val="24"/>
      <w:lang w:eastAsia="ru-RU"/>
      <w14:ligatures w14:val="none"/>
    </w:rPr>
  </w:style>
  <w:style w:type="character" w:customStyle="1" w:styleId="MTConvertedEquation">
    <w:name w:val="MTConvertedEquation"/>
    <w:basedOn w:val="a0"/>
    <w:rsid w:val="00F7007E"/>
    <w:rPr>
      <w:rFonts w:ascii="Cambria Math" w:hAnsi="Cambria Math" w:cs="Times New Roman"/>
      <w:i/>
      <w:sz w:val="20"/>
      <w:szCs w:val="20"/>
      <w:lang w:val="en-US"/>
    </w:rPr>
  </w:style>
  <w:style w:type="paragraph" w:customStyle="1" w:styleId="MTDisplayEquation">
    <w:name w:val="MTDisplayEquation"/>
    <w:basedOn w:val="a"/>
    <w:next w:val="a"/>
    <w:link w:val="MTDisplayEquation0"/>
    <w:rsid w:val="006E2AEB"/>
    <w:pPr>
      <w:tabs>
        <w:tab w:val="center" w:pos="4680"/>
        <w:tab w:val="right" w:pos="9360"/>
      </w:tabs>
      <w:spacing w:after="0"/>
      <w:jc w:val="right"/>
    </w:pPr>
  </w:style>
  <w:style w:type="character" w:customStyle="1" w:styleId="MTDisplayEquation0">
    <w:name w:val="MTDisplayEquation Знак"/>
    <w:basedOn w:val="a0"/>
    <w:link w:val="MTDisplayEquation"/>
    <w:rsid w:val="006E2AEB"/>
    <w:rPr>
      <w:rFonts w:ascii="Times New Roman" w:hAnsi="Times New Roman"/>
      <w:sz w:val="28"/>
    </w:rPr>
  </w:style>
  <w:style w:type="paragraph" w:customStyle="1" w:styleId="Equation">
    <w:name w:val="Equation"/>
    <w:basedOn w:val="a"/>
    <w:rsid w:val="000D1B0E"/>
    <w:pPr>
      <w:tabs>
        <w:tab w:val="center" w:pos="4320"/>
        <w:tab w:val="right" w:pos="9242"/>
      </w:tabs>
      <w:spacing w:after="0"/>
      <w:jc w:val="center"/>
    </w:pPr>
    <w:rPr>
      <w:rFonts w:eastAsia="Times New Roman" w:cs="Times New Roman"/>
      <w:kern w:val="0"/>
      <w:sz w:val="20"/>
      <w:szCs w:val="20"/>
      <w:lang w:val="en-US" w:eastAsia="ru-RU"/>
      <w14:ligatures w14:val="none"/>
    </w:rPr>
  </w:style>
  <w:style w:type="character" w:customStyle="1" w:styleId="30">
    <w:name w:val="Заголовок 3 Знак"/>
    <w:basedOn w:val="a0"/>
    <w:link w:val="3"/>
    <w:uiPriority w:val="9"/>
    <w:semiHidden/>
    <w:rsid w:val="00F61EEB"/>
    <w:rPr>
      <w:rFonts w:asciiTheme="majorHAnsi" w:eastAsiaTheme="majorEastAsia" w:hAnsiTheme="majorHAnsi" w:cstheme="majorBidi"/>
      <w:b/>
      <w:bCs/>
      <w:color w:val="4472C4" w:themeColor="accent1"/>
      <w:sz w:val="28"/>
    </w:rPr>
  </w:style>
  <w:style w:type="character" w:styleId="a9">
    <w:name w:val="Strong"/>
    <w:basedOn w:val="a0"/>
    <w:uiPriority w:val="22"/>
    <w:qFormat/>
    <w:rsid w:val="00F61EEB"/>
    <w:rPr>
      <w:b/>
      <w:bCs/>
    </w:rPr>
  </w:style>
  <w:style w:type="character" w:styleId="aa">
    <w:name w:val="Emphasis"/>
    <w:basedOn w:val="a0"/>
    <w:uiPriority w:val="20"/>
    <w:qFormat/>
    <w:rsid w:val="00F61EEB"/>
    <w:rPr>
      <w:i/>
      <w:iCs/>
    </w:rPr>
  </w:style>
  <w:style w:type="character" w:customStyle="1" w:styleId="ms-1">
    <w:name w:val="ms-1"/>
    <w:basedOn w:val="a0"/>
    <w:rsid w:val="00F61EEB"/>
  </w:style>
  <w:style w:type="character" w:customStyle="1" w:styleId="max-w-15ch">
    <w:name w:val="max-w-[15ch]"/>
    <w:basedOn w:val="a0"/>
    <w:rsid w:val="00F61EEB"/>
  </w:style>
  <w:style w:type="character" w:customStyle="1" w:styleId="-me-1">
    <w:name w:val="-me-1"/>
    <w:basedOn w:val="a0"/>
    <w:rsid w:val="00F61EEB"/>
  </w:style>
  <w:style w:type="character" w:customStyle="1" w:styleId="anchor-text">
    <w:name w:val="anchor-text"/>
    <w:basedOn w:val="a0"/>
    <w:rsid w:val="0049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9854">
      <w:bodyDiv w:val="1"/>
      <w:marLeft w:val="0"/>
      <w:marRight w:val="0"/>
      <w:marTop w:val="0"/>
      <w:marBottom w:val="0"/>
      <w:divBdr>
        <w:top w:val="none" w:sz="0" w:space="0" w:color="auto"/>
        <w:left w:val="none" w:sz="0" w:space="0" w:color="auto"/>
        <w:bottom w:val="none" w:sz="0" w:space="0" w:color="auto"/>
        <w:right w:val="none" w:sz="0" w:space="0" w:color="auto"/>
      </w:divBdr>
    </w:div>
    <w:div w:id="224268546">
      <w:bodyDiv w:val="1"/>
      <w:marLeft w:val="0"/>
      <w:marRight w:val="0"/>
      <w:marTop w:val="0"/>
      <w:marBottom w:val="0"/>
      <w:divBdr>
        <w:top w:val="none" w:sz="0" w:space="0" w:color="auto"/>
        <w:left w:val="none" w:sz="0" w:space="0" w:color="auto"/>
        <w:bottom w:val="none" w:sz="0" w:space="0" w:color="auto"/>
        <w:right w:val="none" w:sz="0" w:space="0" w:color="auto"/>
      </w:divBdr>
    </w:div>
    <w:div w:id="282343077">
      <w:bodyDiv w:val="1"/>
      <w:marLeft w:val="0"/>
      <w:marRight w:val="0"/>
      <w:marTop w:val="0"/>
      <w:marBottom w:val="0"/>
      <w:divBdr>
        <w:top w:val="none" w:sz="0" w:space="0" w:color="auto"/>
        <w:left w:val="none" w:sz="0" w:space="0" w:color="auto"/>
        <w:bottom w:val="none" w:sz="0" w:space="0" w:color="auto"/>
        <w:right w:val="none" w:sz="0" w:space="0" w:color="auto"/>
      </w:divBdr>
      <w:divsChild>
        <w:div w:id="1719163260">
          <w:marLeft w:val="0"/>
          <w:marRight w:val="0"/>
          <w:marTop w:val="0"/>
          <w:marBottom w:val="0"/>
          <w:divBdr>
            <w:top w:val="none" w:sz="0" w:space="0" w:color="auto"/>
            <w:left w:val="none" w:sz="0" w:space="0" w:color="auto"/>
            <w:bottom w:val="none" w:sz="0" w:space="0" w:color="auto"/>
            <w:right w:val="none" w:sz="0" w:space="0" w:color="auto"/>
          </w:divBdr>
        </w:div>
      </w:divsChild>
    </w:div>
    <w:div w:id="307173299">
      <w:bodyDiv w:val="1"/>
      <w:marLeft w:val="0"/>
      <w:marRight w:val="0"/>
      <w:marTop w:val="0"/>
      <w:marBottom w:val="0"/>
      <w:divBdr>
        <w:top w:val="none" w:sz="0" w:space="0" w:color="auto"/>
        <w:left w:val="none" w:sz="0" w:space="0" w:color="auto"/>
        <w:bottom w:val="none" w:sz="0" w:space="0" w:color="auto"/>
        <w:right w:val="none" w:sz="0" w:space="0" w:color="auto"/>
      </w:divBdr>
    </w:div>
    <w:div w:id="413092981">
      <w:bodyDiv w:val="1"/>
      <w:marLeft w:val="0"/>
      <w:marRight w:val="0"/>
      <w:marTop w:val="0"/>
      <w:marBottom w:val="0"/>
      <w:divBdr>
        <w:top w:val="none" w:sz="0" w:space="0" w:color="auto"/>
        <w:left w:val="none" w:sz="0" w:space="0" w:color="auto"/>
        <w:bottom w:val="none" w:sz="0" w:space="0" w:color="auto"/>
        <w:right w:val="none" w:sz="0" w:space="0" w:color="auto"/>
      </w:divBdr>
    </w:div>
    <w:div w:id="436217588">
      <w:bodyDiv w:val="1"/>
      <w:marLeft w:val="0"/>
      <w:marRight w:val="0"/>
      <w:marTop w:val="0"/>
      <w:marBottom w:val="0"/>
      <w:divBdr>
        <w:top w:val="none" w:sz="0" w:space="0" w:color="auto"/>
        <w:left w:val="none" w:sz="0" w:space="0" w:color="auto"/>
        <w:bottom w:val="none" w:sz="0" w:space="0" w:color="auto"/>
        <w:right w:val="none" w:sz="0" w:space="0" w:color="auto"/>
      </w:divBdr>
    </w:div>
    <w:div w:id="513568065">
      <w:bodyDiv w:val="1"/>
      <w:marLeft w:val="0"/>
      <w:marRight w:val="0"/>
      <w:marTop w:val="0"/>
      <w:marBottom w:val="0"/>
      <w:divBdr>
        <w:top w:val="none" w:sz="0" w:space="0" w:color="auto"/>
        <w:left w:val="none" w:sz="0" w:space="0" w:color="auto"/>
        <w:bottom w:val="none" w:sz="0" w:space="0" w:color="auto"/>
        <w:right w:val="none" w:sz="0" w:space="0" w:color="auto"/>
      </w:divBdr>
    </w:div>
    <w:div w:id="516775568">
      <w:bodyDiv w:val="1"/>
      <w:marLeft w:val="0"/>
      <w:marRight w:val="0"/>
      <w:marTop w:val="0"/>
      <w:marBottom w:val="0"/>
      <w:divBdr>
        <w:top w:val="none" w:sz="0" w:space="0" w:color="auto"/>
        <w:left w:val="none" w:sz="0" w:space="0" w:color="auto"/>
        <w:bottom w:val="none" w:sz="0" w:space="0" w:color="auto"/>
        <w:right w:val="none" w:sz="0" w:space="0" w:color="auto"/>
      </w:divBdr>
    </w:div>
    <w:div w:id="604462166">
      <w:bodyDiv w:val="1"/>
      <w:marLeft w:val="0"/>
      <w:marRight w:val="0"/>
      <w:marTop w:val="0"/>
      <w:marBottom w:val="0"/>
      <w:divBdr>
        <w:top w:val="none" w:sz="0" w:space="0" w:color="auto"/>
        <w:left w:val="none" w:sz="0" w:space="0" w:color="auto"/>
        <w:bottom w:val="none" w:sz="0" w:space="0" w:color="auto"/>
        <w:right w:val="none" w:sz="0" w:space="0" w:color="auto"/>
      </w:divBdr>
      <w:divsChild>
        <w:div w:id="1054356755">
          <w:marLeft w:val="0"/>
          <w:marRight w:val="0"/>
          <w:marTop w:val="0"/>
          <w:marBottom w:val="0"/>
          <w:divBdr>
            <w:top w:val="none" w:sz="0" w:space="0" w:color="auto"/>
            <w:left w:val="none" w:sz="0" w:space="0" w:color="auto"/>
            <w:bottom w:val="none" w:sz="0" w:space="0" w:color="auto"/>
            <w:right w:val="none" w:sz="0" w:space="0" w:color="auto"/>
          </w:divBdr>
        </w:div>
      </w:divsChild>
    </w:div>
    <w:div w:id="690106388">
      <w:bodyDiv w:val="1"/>
      <w:marLeft w:val="0"/>
      <w:marRight w:val="0"/>
      <w:marTop w:val="0"/>
      <w:marBottom w:val="0"/>
      <w:divBdr>
        <w:top w:val="none" w:sz="0" w:space="0" w:color="auto"/>
        <w:left w:val="none" w:sz="0" w:space="0" w:color="auto"/>
        <w:bottom w:val="none" w:sz="0" w:space="0" w:color="auto"/>
        <w:right w:val="none" w:sz="0" w:space="0" w:color="auto"/>
      </w:divBdr>
    </w:div>
    <w:div w:id="751126862">
      <w:bodyDiv w:val="1"/>
      <w:marLeft w:val="0"/>
      <w:marRight w:val="0"/>
      <w:marTop w:val="0"/>
      <w:marBottom w:val="0"/>
      <w:divBdr>
        <w:top w:val="none" w:sz="0" w:space="0" w:color="auto"/>
        <w:left w:val="none" w:sz="0" w:space="0" w:color="auto"/>
        <w:bottom w:val="none" w:sz="0" w:space="0" w:color="auto"/>
        <w:right w:val="none" w:sz="0" w:space="0" w:color="auto"/>
      </w:divBdr>
    </w:div>
    <w:div w:id="778724912">
      <w:bodyDiv w:val="1"/>
      <w:marLeft w:val="0"/>
      <w:marRight w:val="0"/>
      <w:marTop w:val="0"/>
      <w:marBottom w:val="0"/>
      <w:divBdr>
        <w:top w:val="none" w:sz="0" w:space="0" w:color="auto"/>
        <w:left w:val="none" w:sz="0" w:space="0" w:color="auto"/>
        <w:bottom w:val="none" w:sz="0" w:space="0" w:color="auto"/>
        <w:right w:val="none" w:sz="0" w:space="0" w:color="auto"/>
      </w:divBdr>
    </w:div>
    <w:div w:id="819535543">
      <w:bodyDiv w:val="1"/>
      <w:marLeft w:val="0"/>
      <w:marRight w:val="0"/>
      <w:marTop w:val="0"/>
      <w:marBottom w:val="0"/>
      <w:divBdr>
        <w:top w:val="none" w:sz="0" w:space="0" w:color="auto"/>
        <w:left w:val="none" w:sz="0" w:space="0" w:color="auto"/>
        <w:bottom w:val="none" w:sz="0" w:space="0" w:color="auto"/>
        <w:right w:val="none" w:sz="0" w:space="0" w:color="auto"/>
      </w:divBdr>
    </w:div>
    <w:div w:id="866986321">
      <w:bodyDiv w:val="1"/>
      <w:marLeft w:val="0"/>
      <w:marRight w:val="0"/>
      <w:marTop w:val="0"/>
      <w:marBottom w:val="0"/>
      <w:divBdr>
        <w:top w:val="none" w:sz="0" w:space="0" w:color="auto"/>
        <w:left w:val="none" w:sz="0" w:space="0" w:color="auto"/>
        <w:bottom w:val="none" w:sz="0" w:space="0" w:color="auto"/>
        <w:right w:val="none" w:sz="0" w:space="0" w:color="auto"/>
      </w:divBdr>
      <w:divsChild>
        <w:div w:id="1678381065">
          <w:marLeft w:val="0"/>
          <w:marRight w:val="0"/>
          <w:marTop w:val="0"/>
          <w:marBottom w:val="0"/>
          <w:divBdr>
            <w:top w:val="none" w:sz="0" w:space="0" w:color="auto"/>
            <w:left w:val="none" w:sz="0" w:space="0" w:color="auto"/>
            <w:bottom w:val="none" w:sz="0" w:space="0" w:color="auto"/>
            <w:right w:val="none" w:sz="0" w:space="0" w:color="auto"/>
          </w:divBdr>
        </w:div>
      </w:divsChild>
    </w:div>
    <w:div w:id="940602044">
      <w:bodyDiv w:val="1"/>
      <w:marLeft w:val="0"/>
      <w:marRight w:val="0"/>
      <w:marTop w:val="0"/>
      <w:marBottom w:val="0"/>
      <w:divBdr>
        <w:top w:val="none" w:sz="0" w:space="0" w:color="auto"/>
        <w:left w:val="none" w:sz="0" w:space="0" w:color="auto"/>
        <w:bottom w:val="none" w:sz="0" w:space="0" w:color="auto"/>
        <w:right w:val="none" w:sz="0" w:space="0" w:color="auto"/>
      </w:divBdr>
    </w:div>
    <w:div w:id="1060712262">
      <w:bodyDiv w:val="1"/>
      <w:marLeft w:val="0"/>
      <w:marRight w:val="0"/>
      <w:marTop w:val="0"/>
      <w:marBottom w:val="0"/>
      <w:divBdr>
        <w:top w:val="none" w:sz="0" w:space="0" w:color="auto"/>
        <w:left w:val="none" w:sz="0" w:space="0" w:color="auto"/>
        <w:bottom w:val="none" w:sz="0" w:space="0" w:color="auto"/>
        <w:right w:val="none" w:sz="0" w:space="0" w:color="auto"/>
      </w:divBdr>
    </w:div>
    <w:div w:id="1143153808">
      <w:bodyDiv w:val="1"/>
      <w:marLeft w:val="0"/>
      <w:marRight w:val="0"/>
      <w:marTop w:val="0"/>
      <w:marBottom w:val="0"/>
      <w:divBdr>
        <w:top w:val="none" w:sz="0" w:space="0" w:color="auto"/>
        <w:left w:val="none" w:sz="0" w:space="0" w:color="auto"/>
        <w:bottom w:val="none" w:sz="0" w:space="0" w:color="auto"/>
        <w:right w:val="none" w:sz="0" w:space="0" w:color="auto"/>
      </w:divBdr>
      <w:divsChild>
        <w:div w:id="1173642872">
          <w:marLeft w:val="0"/>
          <w:marRight w:val="0"/>
          <w:marTop w:val="0"/>
          <w:marBottom w:val="0"/>
          <w:divBdr>
            <w:top w:val="none" w:sz="0" w:space="0" w:color="auto"/>
            <w:left w:val="none" w:sz="0" w:space="0" w:color="auto"/>
            <w:bottom w:val="none" w:sz="0" w:space="0" w:color="auto"/>
            <w:right w:val="none" w:sz="0" w:space="0" w:color="auto"/>
          </w:divBdr>
        </w:div>
      </w:divsChild>
    </w:div>
    <w:div w:id="1150754694">
      <w:bodyDiv w:val="1"/>
      <w:marLeft w:val="0"/>
      <w:marRight w:val="0"/>
      <w:marTop w:val="0"/>
      <w:marBottom w:val="0"/>
      <w:divBdr>
        <w:top w:val="none" w:sz="0" w:space="0" w:color="auto"/>
        <w:left w:val="none" w:sz="0" w:space="0" w:color="auto"/>
        <w:bottom w:val="none" w:sz="0" w:space="0" w:color="auto"/>
        <w:right w:val="none" w:sz="0" w:space="0" w:color="auto"/>
      </w:divBdr>
      <w:divsChild>
        <w:div w:id="1358114557">
          <w:marLeft w:val="0"/>
          <w:marRight w:val="0"/>
          <w:marTop w:val="0"/>
          <w:marBottom w:val="0"/>
          <w:divBdr>
            <w:top w:val="none" w:sz="0" w:space="0" w:color="auto"/>
            <w:left w:val="none" w:sz="0" w:space="0" w:color="auto"/>
            <w:bottom w:val="none" w:sz="0" w:space="0" w:color="auto"/>
            <w:right w:val="none" w:sz="0" w:space="0" w:color="auto"/>
          </w:divBdr>
        </w:div>
      </w:divsChild>
    </w:div>
    <w:div w:id="1174954997">
      <w:bodyDiv w:val="1"/>
      <w:marLeft w:val="0"/>
      <w:marRight w:val="0"/>
      <w:marTop w:val="0"/>
      <w:marBottom w:val="0"/>
      <w:divBdr>
        <w:top w:val="none" w:sz="0" w:space="0" w:color="auto"/>
        <w:left w:val="none" w:sz="0" w:space="0" w:color="auto"/>
        <w:bottom w:val="none" w:sz="0" w:space="0" w:color="auto"/>
        <w:right w:val="none" w:sz="0" w:space="0" w:color="auto"/>
      </w:divBdr>
      <w:divsChild>
        <w:div w:id="1149789006">
          <w:marLeft w:val="0"/>
          <w:marRight w:val="0"/>
          <w:marTop w:val="0"/>
          <w:marBottom w:val="0"/>
          <w:divBdr>
            <w:top w:val="none" w:sz="0" w:space="0" w:color="auto"/>
            <w:left w:val="none" w:sz="0" w:space="0" w:color="auto"/>
            <w:bottom w:val="none" w:sz="0" w:space="0" w:color="auto"/>
            <w:right w:val="none" w:sz="0" w:space="0" w:color="auto"/>
          </w:divBdr>
        </w:div>
      </w:divsChild>
    </w:div>
    <w:div w:id="1285228879">
      <w:bodyDiv w:val="1"/>
      <w:marLeft w:val="0"/>
      <w:marRight w:val="0"/>
      <w:marTop w:val="0"/>
      <w:marBottom w:val="0"/>
      <w:divBdr>
        <w:top w:val="none" w:sz="0" w:space="0" w:color="auto"/>
        <w:left w:val="none" w:sz="0" w:space="0" w:color="auto"/>
        <w:bottom w:val="none" w:sz="0" w:space="0" w:color="auto"/>
        <w:right w:val="none" w:sz="0" w:space="0" w:color="auto"/>
      </w:divBdr>
    </w:div>
    <w:div w:id="1381783082">
      <w:bodyDiv w:val="1"/>
      <w:marLeft w:val="0"/>
      <w:marRight w:val="0"/>
      <w:marTop w:val="0"/>
      <w:marBottom w:val="0"/>
      <w:divBdr>
        <w:top w:val="none" w:sz="0" w:space="0" w:color="auto"/>
        <w:left w:val="none" w:sz="0" w:space="0" w:color="auto"/>
        <w:bottom w:val="none" w:sz="0" w:space="0" w:color="auto"/>
        <w:right w:val="none" w:sz="0" w:space="0" w:color="auto"/>
      </w:divBdr>
    </w:div>
    <w:div w:id="1469594172">
      <w:bodyDiv w:val="1"/>
      <w:marLeft w:val="0"/>
      <w:marRight w:val="0"/>
      <w:marTop w:val="0"/>
      <w:marBottom w:val="0"/>
      <w:divBdr>
        <w:top w:val="none" w:sz="0" w:space="0" w:color="auto"/>
        <w:left w:val="none" w:sz="0" w:space="0" w:color="auto"/>
        <w:bottom w:val="none" w:sz="0" w:space="0" w:color="auto"/>
        <w:right w:val="none" w:sz="0" w:space="0" w:color="auto"/>
      </w:divBdr>
    </w:div>
    <w:div w:id="1558395989">
      <w:bodyDiv w:val="1"/>
      <w:marLeft w:val="0"/>
      <w:marRight w:val="0"/>
      <w:marTop w:val="0"/>
      <w:marBottom w:val="0"/>
      <w:divBdr>
        <w:top w:val="none" w:sz="0" w:space="0" w:color="auto"/>
        <w:left w:val="none" w:sz="0" w:space="0" w:color="auto"/>
        <w:bottom w:val="none" w:sz="0" w:space="0" w:color="auto"/>
        <w:right w:val="none" w:sz="0" w:space="0" w:color="auto"/>
      </w:divBdr>
      <w:divsChild>
        <w:div w:id="2130584177">
          <w:marLeft w:val="0"/>
          <w:marRight w:val="0"/>
          <w:marTop w:val="0"/>
          <w:marBottom w:val="0"/>
          <w:divBdr>
            <w:top w:val="none" w:sz="0" w:space="0" w:color="auto"/>
            <w:left w:val="none" w:sz="0" w:space="0" w:color="auto"/>
            <w:bottom w:val="none" w:sz="0" w:space="0" w:color="auto"/>
            <w:right w:val="none" w:sz="0" w:space="0" w:color="auto"/>
          </w:divBdr>
        </w:div>
      </w:divsChild>
    </w:div>
    <w:div w:id="1576862696">
      <w:bodyDiv w:val="1"/>
      <w:marLeft w:val="0"/>
      <w:marRight w:val="0"/>
      <w:marTop w:val="0"/>
      <w:marBottom w:val="0"/>
      <w:divBdr>
        <w:top w:val="none" w:sz="0" w:space="0" w:color="auto"/>
        <w:left w:val="none" w:sz="0" w:space="0" w:color="auto"/>
        <w:bottom w:val="none" w:sz="0" w:space="0" w:color="auto"/>
        <w:right w:val="none" w:sz="0" w:space="0" w:color="auto"/>
      </w:divBdr>
      <w:divsChild>
        <w:div w:id="2080516939">
          <w:marLeft w:val="0"/>
          <w:marRight w:val="0"/>
          <w:marTop w:val="0"/>
          <w:marBottom w:val="0"/>
          <w:divBdr>
            <w:top w:val="none" w:sz="0" w:space="0" w:color="auto"/>
            <w:left w:val="none" w:sz="0" w:space="0" w:color="auto"/>
            <w:bottom w:val="none" w:sz="0" w:space="0" w:color="auto"/>
            <w:right w:val="none" w:sz="0" w:space="0" w:color="auto"/>
          </w:divBdr>
        </w:div>
      </w:divsChild>
    </w:div>
    <w:div w:id="1783838669">
      <w:bodyDiv w:val="1"/>
      <w:marLeft w:val="0"/>
      <w:marRight w:val="0"/>
      <w:marTop w:val="0"/>
      <w:marBottom w:val="0"/>
      <w:divBdr>
        <w:top w:val="none" w:sz="0" w:space="0" w:color="auto"/>
        <w:left w:val="none" w:sz="0" w:space="0" w:color="auto"/>
        <w:bottom w:val="none" w:sz="0" w:space="0" w:color="auto"/>
        <w:right w:val="none" w:sz="0" w:space="0" w:color="auto"/>
      </w:divBdr>
    </w:div>
    <w:div w:id="1843927692">
      <w:bodyDiv w:val="1"/>
      <w:marLeft w:val="0"/>
      <w:marRight w:val="0"/>
      <w:marTop w:val="0"/>
      <w:marBottom w:val="0"/>
      <w:divBdr>
        <w:top w:val="none" w:sz="0" w:space="0" w:color="auto"/>
        <w:left w:val="none" w:sz="0" w:space="0" w:color="auto"/>
        <w:bottom w:val="none" w:sz="0" w:space="0" w:color="auto"/>
        <w:right w:val="none" w:sz="0" w:space="0" w:color="auto"/>
      </w:divBdr>
      <w:divsChild>
        <w:div w:id="1388261369">
          <w:marLeft w:val="0"/>
          <w:marRight w:val="0"/>
          <w:marTop w:val="0"/>
          <w:marBottom w:val="0"/>
          <w:divBdr>
            <w:top w:val="none" w:sz="0" w:space="0" w:color="auto"/>
            <w:left w:val="none" w:sz="0" w:space="0" w:color="auto"/>
            <w:bottom w:val="none" w:sz="0" w:space="0" w:color="auto"/>
            <w:right w:val="none" w:sz="0" w:space="0" w:color="auto"/>
          </w:divBdr>
        </w:div>
      </w:divsChild>
    </w:div>
    <w:div w:id="1900432897">
      <w:bodyDiv w:val="1"/>
      <w:marLeft w:val="0"/>
      <w:marRight w:val="0"/>
      <w:marTop w:val="0"/>
      <w:marBottom w:val="0"/>
      <w:divBdr>
        <w:top w:val="none" w:sz="0" w:space="0" w:color="auto"/>
        <w:left w:val="none" w:sz="0" w:space="0" w:color="auto"/>
        <w:bottom w:val="none" w:sz="0" w:space="0" w:color="auto"/>
        <w:right w:val="none" w:sz="0" w:space="0" w:color="auto"/>
      </w:divBdr>
      <w:divsChild>
        <w:div w:id="159200813">
          <w:marLeft w:val="0"/>
          <w:marRight w:val="0"/>
          <w:marTop w:val="0"/>
          <w:marBottom w:val="0"/>
          <w:divBdr>
            <w:top w:val="none" w:sz="0" w:space="0" w:color="auto"/>
            <w:left w:val="none" w:sz="0" w:space="0" w:color="auto"/>
            <w:bottom w:val="none" w:sz="0" w:space="0" w:color="auto"/>
            <w:right w:val="none" w:sz="0" w:space="0" w:color="auto"/>
          </w:divBdr>
        </w:div>
      </w:divsChild>
    </w:div>
    <w:div w:id="1933271416">
      <w:bodyDiv w:val="1"/>
      <w:marLeft w:val="0"/>
      <w:marRight w:val="0"/>
      <w:marTop w:val="0"/>
      <w:marBottom w:val="0"/>
      <w:divBdr>
        <w:top w:val="none" w:sz="0" w:space="0" w:color="auto"/>
        <w:left w:val="none" w:sz="0" w:space="0" w:color="auto"/>
        <w:bottom w:val="none" w:sz="0" w:space="0" w:color="auto"/>
        <w:right w:val="none" w:sz="0" w:space="0" w:color="auto"/>
      </w:divBdr>
      <w:divsChild>
        <w:div w:id="626861131">
          <w:marLeft w:val="0"/>
          <w:marRight w:val="0"/>
          <w:marTop w:val="0"/>
          <w:marBottom w:val="0"/>
          <w:divBdr>
            <w:top w:val="none" w:sz="0" w:space="0" w:color="auto"/>
            <w:left w:val="none" w:sz="0" w:space="0" w:color="auto"/>
            <w:bottom w:val="none" w:sz="0" w:space="0" w:color="auto"/>
            <w:right w:val="none" w:sz="0" w:space="0" w:color="auto"/>
          </w:divBdr>
        </w:div>
      </w:divsChild>
    </w:div>
    <w:div w:id="1954360434">
      <w:bodyDiv w:val="1"/>
      <w:marLeft w:val="0"/>
      <w:marRight w:val="0"/>
      <w:marTop w:val="0"/>
      <w:marBottom w:val="0"/>
      <w:divBdr>
        <w:top w:val="none" w:sz="0" w:space="0" w:color="auto"/>
        <w:left w:val="none" w:sz="0" w:space="0" w:color="auto"/>
        <w:bottom w:val="none" w:sz="0" w:space="0" w:color="auto"/>
        <w:right w:val="none" w:sz="0" w:space="0" w:color="auto"/>
      </w:divBdr>
    </w:div>
    <w:div w:id="2046368068">
      <w:bodyDiv w:val="1"/>
      <w:marLeft w:val="0"/>
      <w:marRight w:val="0"/>
      <w:marTop w:val="0"/>
      <w:marBottom w:val="0"/>
      <w:divBdr>
        <w:top w:val="none" w:sz="0" w:space="0" w:color="auto"/>
        <w:left w:val="none" w:sz="0" w:space="0" w:color="auto"/>
        <w:bottom w:val="none" w:sz="0" w:space="0" w:color="auto"/>
        <w:right w:val="none" w:sz="0" w:space="0" w:color="auto"/>
      </w:divBdr>
    </w:div>
    <w:div w:id="2071877257">
      <w:bodyDiv w:val="1"/>
      <w:marLeft w:val="0"/>
      <w:marRight w:val="0"/>
      <w:marTop w:val="0"/>
      <w:marBottom w:val="0"/>
      <w:divBdr>
        <w:top w:val="none" w:sz="0" w:space="0" w:color="auto"/>
        <w:left w:val="none" w:sz="0" w:space="0" w:color="auto"/>
        <w:bottom w:val="none" w:sz="0" w:space="0" w:color="auto"/>
        <w:right w:val="none" w:sz="0" w:space="0" w:color="auto"/>
      </w:divBdr>
      <w:divsChild>
        <w:div w:id="1888642292">
          <w:marLeft w:val="0"/>
          <w:marRight w:val="0"/>
          <w:marTop w:val="0"/>
          <w:marBottom w:val="0"/>
          <w:divBdr>
            <w:top w:val="none" w:sz="0" w:space="0" w:color="auto"/>
            <w:left w:val="none" w:sz="0" w:space="0" w:color="auto"/>
            <w:bottom w:val="none" w:sz="0" w:space="0" w:color="auto"/>
            <w:right w:val="none" w:sz="0" w:space="0" w:color="auto"/>
          </w:divBdr>
        </w:div>
      </w:divsChild>
    </w:div>
    <w:div w:id="2116825644">
      <w:bodyDiv w:val="1"/>
      <w:marLeft w:val="0"/>
      <w:marRight w:val="0"/>
      <w:marTop w:val="0"/>
      <w:marBottom w:val="0"/>
      <w:divBdr>
        <w:top w:val="none" w:sz="0" w:space="0" w:color="auto"/>
        <w:left w:val="none" w:sz="0" w:space="0" w:color="auto"/>
        <w:bottom w:val="none" w:sz="0" w:space="0" w:color="auto"/>
        <w:right w:val="none" w:sz="0" w:space="0" w:color="auto"/>
      </w:divBdr>
      <w:divsChild>
        <w:div w:id="28319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avementinteractive.org" TargetMode="External"/><Relationship Id="rId18" Type="http://schemas.openxmlformats.org/officeDocument/2006/relationships/hyperlink" Target="https://doi.org/10.1063/12.003861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doi.org/10.1080/10298436.2018.1430365" TargetMode="External"/><Relationship Id="rId17" Type="http://schemas.openxmlformats.org/officeDocument/2006/relationships/hyperlink" Target="https://doi.org/10.1063/5.0000102" TargetMode="External"/><Relationship Id="rId2" Type="http://schemas.openxmlformats.org/officeDocument/2006/relationships/styles" Target="styles.xml"/><Relationship Id="rId16" Type="http://schemas.openxmlformats.org/officeDocument/2006/relationships/hyperlink" Target="https://doi.org/10.1016/j.jclepro.2019.1199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201/9781003222897-43" TargetMode="External"/><Relationship Id="rId10" Type="http://schemas.openxmlformats.org/officeDocument/2006/relationships/oleObject" Target="embeddings/oleObject2.bin"/><Relationship Id="rId19" Type="http://schemas.openxmlformats.org/officeDocument/2006/relationships/hyperlink" Target="https://doi.org/10.1680/macr.2001.53.2.91"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https://doi.org/10.3390/buildings14123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2703</Words>
  <Characters>15412</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VVM</dc:creator>
  <cp:lastModifiedBy>VolodimyrSSD</cp:lastModifiedBy>
  <cp:revision>14</cp:revision>
  <cp:lastPrinted>2024-08-28T12:31:00Z</cp:lastPrinted>
  <dcterms:created xsi:type="dcterms:W3CDTF">2025-10-03T10:07:00Z</dcterms:created>
  <dcterms:modified xsi:type="dcterms:W3CDTF">2025-12-08T09:52:00Z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