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11676" w14:textId="29D2DFAD" w:rsidR="00C24E3E" w:rsidRPr="000369F7" w:rsidRDefault="00F4761C" w:rsidP="00C808DA">
      <w:pPr>
        <w:pStyle w:val="PaperTitle"/>
        <w:rPr>
          <w:b w:val="0"/>
          <w:bCs/>
          <w:szCs w:val="36"/>
        </w:rPr>
      </w:pPr>
      <w:r w:rsidRPr="000369F7">
        <w:rPr>
          <w:szCs w:val="36"/>
        </w:rPr>
        <w:t>Thermodynamic analysis and adaptation of hybrid Flash/ORC power plants WHRS to the conditions of industrial enterprises in Ukraine. PART A</w:t>
      </w:r>
    </w:p>
    <w:p w14:paraId="2C97A8A6" w14:textId="3AA77FBF" w:rsidR="00DA0753" w:rsidRPr="000369F7" w:rsidRDefault="00F4761C">
      <w:pPr>
        <w:pBdr>
          <w:top w:val="nil"/>
          <w:left w:val="nil"/>
          <w:bottom w:val="nil"/>
          <w:right w:val="nil"/>
          <w:between w:val="nil"/>
        </w:pBdr>
        <w:spacing w:before="360" w:after="360"/>
        <w:jc w:val="center"/>
        <w:rPr>
          <w:sz w:val="28"/>
          <w:szCs w:val="28"/>
        </w:rPr>
      </w:pPr>
      <w:proofErr w:type="spellStart"/>
      <w:r w:rsidRPr="000369F7">
        <w:rPr>
          <w:color w:val="000000"/>
          <w:sz w:val="28"/>
          <w:szCs w:val="28"/>
        </w:rPr>
        <w:t>Oleksandr</w:t>
      </w:r>
      <w:proofErr w:type="spellEnd"/>
      <w:r w:rsidRPr="000369F7">
        <w:rPr>
          <w:color w:val="000000"/>
          <w:sz w:val="28"/>
          <w:szCs w:val="28"/>
        </w:rPr>
        <w:t xml:space="preserve"> Redko</w:t>
      </w:r>
      <w:r w:rsidR="00741149" w:rsidRPr="000369F7">
        <w:rPr>
          <w:color w:val="000000"/>
          <w:sz w:val="28"/>
          <w:szCs w:val="28"/>
          <w:vertAlign w:val="superscript"/>
        </w:rPr>
        <w:t>1</w:t>
      </w:r>
      <w:r w:rsidR="00741149" w:rsidRPr="000369F7">
        <w:rPr>
          <w:color w:val="000000"/>
          <w:sz w:val="28"/>
          <w:szCs w:val="28"/>
        </w:rPr>
        <w:t xml:space="preserve">, </w:t>
      </w:r>
      <w:proofErr w:type="spellStart"/>
      <w:r w:rsidRPr="000369F7">
        <w:rPr>
          <w:color w:val="000000"/>
          <w:sz w:val="28"/>
          <w:szCs w:val="28"/>
        </w:rPr>
        <w:t>Ihor</w:t>
      </w:r>
      <w:proofErr w:type="spellEnd"/>
      <w:r w:rsidRPr="000369F7">
        <w:rPr>
          <w:color w:val="000000"/>
          <w:sz w:val="28"/>
          <w:szCs w:val="28"/>
        </w:rPr>
        <w:t xml:space="preserve"> Redko</w:t>
      </w:r>
      <w:r w:rsidRPr="000369F7">
        <w:rPr>
          <w:color w:val="000000"/>
          <w:sz w:val="28"/>
          <w:szCs w:val="28"/>
          <w:vertAlign w:val="superscript"/>
        </w:rPr>
        <w:t>2</w:t>
      </w:r>
      <w:r w:rsidR="00741149" w:rsidRPr="000369F7">
        <w:rPr>
          <w:color w:val="000000"/>
          <w:sz w:val="28"/>
          <w:szCs w:val="28"/>
        </w:rPr>
        <w:t xml:space="preserve">, </w:t>
      </w:r>
      <w:proofErr w:type="spellStart"/>
      <w:r w:rsidRPr="000369F7">
        <w:rPr>
          <w:color w:val="000000"/>
          <w:sz w:val="28"/>
          <w:szCs w:val="28"/>
        </w:rPr>
        <w:t>Yurii</w:t>
      </w:r>
      <w:proofErr w:type="spellEnd"/>
      <w:r w:rsidRPr="000369F7">
        <w:rPr>
          <w:color w:val="000000"/>
          <w:sz w:val="28"/>
          <w:szCs w:val="28"/>
        </w:rPr>
        <w:t xml:space="preserve"> Burda</w:t>
      </w:r>
      <w:r w:rsidRPr="000369F7">
        <w:rPr>
          <w:color w:val="000000"/>
          <w:sz w:val="28"/>
          <w:szCs w:val="28"/>
          <w:vertAlign w:val="superscript"/>
        </w:rPr>
        <w:t>1</w:t>
      </w:r>
      <w:r w:rsidR="005B2AC4" w:rsidRPr="000369F7">
        <w:rPr>
          <w:color w:val="000000"/>
          <w:sz w:val="28"/>
          <w:szCs w:val="28"/>
          <w:vertAlign w:val="superscript"/>
        </w:rPr>
        <w:t>, a)</w:t>
      </w:r>
      <w:r w:rsidR="00741149" w:rsidRPr="000369F7">
        <w:rPr>
          <w:color w:val="000000"/>
          <w:sz w:val="28"/>
          <w:szCs w:val="28"/>
        </w:rPr>
        <w:t xml:space="preserve">, </w:t>
      </w:r>
      <w:r w:rsidR="00741149" w:rsidRPr="000369F7">
        <w:rPr>
          <w:color w:val="000000"/>
          <w:sz w:val="28"/>
          <w:szCs w:val="28"/>
        </w:rPr>
        <w:br/>
      </w:r>
      <w:proofErr w:type="spellStart"/>
      <w:r w:rsidRPr="000369F7">
        <w:rPr>
          <w:color w:val="000000"/>
          <w:sz w:val="28"/>
          <w:szCs w:val="28"/>
        </w:rPr>
        <w:t>Yurii</w:t>
      </w:r>
      <w:proofErr w:type="spellEnd"/>
      <w:r w:rsidRPr="000369F7">
        <w:rPr>
          <w:color w:val="000000"/>
          <w:sz w:val="28"/>
          <w:szCs w:val="28"/>
        </w:rPr>
        <w:t xml:space="preserve"> Pivnenko</w:t>
      </w:r>
      <w:r w:rsidRPr="000369F7">
        <w:rPr>
          <w:color w:val="000000"/>
          <w:sz w:val="28"/>
          <w:szCs w:val="28"/>
          <w:vertAlign w:val="superscript"/>
        </w:rPr>
        <w:t>1</w:t>
      </w:r>
      <w:r w:rsidR="00741149" w:rsidRPr="000369F7">
        <w:rPr>
          <w:color w:val="000000"/>
          <w:sz w:val="28"/>
          <w:szCs w:val="28"/>
        </w:rPr>
        <w:t xml:space="preserve">, </w:t>
      </w:r>
      <w:proofErr w:type="spellStart"/>
      <w:r w:rsidR="00F43603" w:rsidRPr="000369F7">
        <w:rPr>
          <w:color w:val="000000"/>
          <w:sz w:val="28"/>
          <w:szCs w:val="28"/>
        </w:rPr>
        <w:t>Aivars</w:t>
      </w:r>
      <w:proofErr w:type="spellEnd"/>
      <w:r w:rsidR="00F43603" w:rsidRPr="000369F7">
        <w:rPr>
          <w:color w:val="000000"/>
          <w:sz w:val="28"/>
          <w:szCs w:val="28"/>
        </w:rPr>
        <w:t xml:space="preserve"> Aboltins</w:t>
      </w:r>
      <w:r w:rsidRPr="000369F7">
        <w:rPr>
          <w:color w:val="000000"/>
          <w:sz w:val="28"/>
          <w:szCs w:val="28"/>
          <w:vertAlign w:val="superscript"/>
        </w:rPr>
        <w:t>3</w:t>
      </w:r>
      <w:r w:rsidR="002712D4" w:rsidRPr="000369F7">
        <w:rPr>
          <w:color w:val="000000"/>
          <w:sz w:val="28"/>
          <w:szCs w:val="28"/>
        </w:rPr>
        <w:t xml:space="preserve">, </w:t>
      </w:r>
      <w:proofErr w:type="spellStart"/>
      <w:r w:rsidR="000369F7" w:rsidRPr="00157ED1">
        <w:rPr>
          <w:iCs/>
          <w:color w:val="000000" w:themeColor="text1"/>
          <w:sz w:val="28"/>
          <w:szCs w:val="28"/>
        </w:rPr>
        <w:t>Dmytro</w:t>
      </w:r>
      <w:proofErr w:type="spellEnd"/>
      <w:r w:rsidR="000369F7" w:rsidRPr="00157ED1">
        <w:rPr>
          <w:color w:val="000000" w:themeColor="text1"/>
          <w:sz w:val="28"/>
          <w:szCs w:val="28"/>
        </w:rPr>
        <w:t xml:space="preserve"> </w:t>
      </w:r>
      <w:r w:rsidR="002712D4" w:rsidRPr="000369F7">
        <w:rPr>
          <w:color w:val="000000"/>
          <w:sz w:val="28"/>
          <w:szCs w:val="28"/>
        </w:rPr>
        <w:t>Borodai</w:t>
      </w:r>
      <w:r w:rsidR="002712D4" w:rsidRPr="000369F7">
        <w:rPr>
          <w:color w:val="000000"/>
          <w:sz w:val="28"/>
          <w:szCs w:val="28"/>
          <w:vertAlign w:val="superscript"/>
        </w:rPr>
        <w:t>4</w:t>
      </w:r>
      <w:r w:rsidR="002712D4" w:rsidRPr="000369F7">
        <w:rPr>
          <w:color w:val="000000"/>
          <w:sz w:val="28"/>
          <w:szCs w:val="28"/>
        </w:rPr>
        <w:t xml:space="preserve"> </w:t>
      </w:r>
    </w:p>
    <w:p w14:paraId="273BECB3" w14:textId="20F0CA31" w:rsidR="000F757B" w:rsidRPr="000369F7" w:rsidRDefault="00741149" w:rsidP="005B2AC4">
      <w:pPr>
        <w:pStyle w:val="AuthorAffiliation"/>
        <w:rPr>
          <w:color w:val="000000"/>
        </w:rPr>
      </w:pPr>
      <w:r w:rsidRPr="000369F7">
        <w:rPr>
          <w:i w:val="0"/>
          <w:color w:val="000000"/>
          <w:vertAlign w:val="superscript"/>
        </w:rPr>
        <w:t>1</w:t>
      </w:r>
      <w:r w:rsidR="00F4761C" w:rsidRPr="000369F7">
        <w:rPr>
          <w:color w:val="000000"/>
        </w:rPr>
        <w:t xml:space="preserve">O.M. </w:t>
      </w:r>
      <w:proofErr w:type="spellStart"/>
      <w:r w:rsidR="00F4761C" w:rsidRPr="000369F7">
        <w:rPr>
          <w:color w:val="000000"/>
        </w:rPr>
        <w:t>Beketov</w:t>
      </w:r>
      <w:proofErr w:type="spellEnd"/>
      <w:r w:rsidR="00F4761C" w:rsidRPr="000369F7">
        <w:rPr>
          <w:color w:val="000000"/>
        </w:rPr>
        <w:t xml:space="preserve"> National University of Urban Economy in Kharkiv</w:t>
      </w:r>
      <w:r w:rsidRPr="000369F7">
        <w:rPr>
          <w:color w:val="000000"/>
        </w:rPr>
        <w:t xml:space="preserve">, </w:t>
      </w:r>
      <w:r w:rsidRPr="000369F7">
        <w:rPr>
          <w:color w:val="000000"/>
        </w:rPr>
        <w:br/>
      </w:r>
      <w:r w:rsidR="00F4761C" w:rsidRPr="000369F7">
        <w:rPr>
          <w:color w:val="000000"/>
        </w:rPr>
        <w:t>Department of Heat and Gas Supply, Ventilation</w:t>
      </w:r>
      <w:r w:rsidRPr="000369F7">
        <w:rPr>
          <w:color w:val="000000"/>
        </w:rPr>
        <w:t xml:space="preserve">, 61002 Kharkiv, Ukraine </w:t>
      </w:r>
      <w:r w:rsidRPr="000369F7">
        <w:rPr>
          <w:color w:val="000000"/>
        </w:rPr>
        <w:br/>
      </w:r>
      <w:r w:rsidRPr="000369F7">
        <w:rPr>
          <w:i w:val="0"/>
          <w:color w:val="000000"/>
          <w:vertAlign w:val="superscript"/>
        </w:rPr>
        <w:t>2</w:t>
      </w:r>
      <w:r w:rsidR="00F4761C" w:rsidRPr="000369F7">
        <w:rPr>
          <w:color w:val="000000"/>
        </w:rPr>
        <w:t>Ukrainian State University of Railway Transport</w:t>
      </w:r>
      <w:r w:rsidRPr="000369F7">
        <w:rPr>
          <w:color w:val="000000"/>
        </w:rPr>
        <w:t xml:space="preserve">, </w:t>
      </w:r>
      <w:r w:rsidRPr="000369F7">
        <w:rPr>
          <w:color w:val="000000"/>
        </w:rPr>
        <w:br/>
      </w:r>
      <w:r w:rsidR="00F4761C" w:rsidRPr="000369F7">
        <w:rPr>
          <w:color w:val="000000"/>
        </w:rPr>
        <w:t>Department of Transport Technology, Design and Exploitation of Machines</w:t>
      </w:r>
      <w:r w:rsidRPr="000369F7">
        <w:rPr>
          <w:color w:val="000000"/>
        </w:rPr>
        <w:t xml:space="preserve">, 61002 Kharkiv, Ukraine </w:t>
      </w:r>
      <w:r w:rsidRPr="000369F7">
        <w:rPr>
          <w:color w:val="000000"/>
        </w:rPr>
        <w:br/>
      </w:r>
      <w:r w:rsidRPr="000369F7">
        <w:rPr>
          <w:i w:val="0"/>
          <w:color w:val="000000"/>
          <w:vertAlign w:val="superscript"/>
        </w:rPr>
        <w:t>3</w:t>
      </w:r>
      <w:r w:rsidR="00F43603" w:rsidRPr="000369F7">
        <w:rPr>
          <w:color w:val="000000"/>
        </w:rPr>
        <w:t>Latvia University of Life Sciences and Technologies</w:t>
      </w:r>
      <w:r w:rsidRPr="000369F7">
        <w:rPr>
          <w:color w:val="000000"/>
        </w:rPr>
        <w:t>,</w:t>
      </w:r>
      <w:r w:rsidR="00F43603" w:rsidRPr="000369F7">
        <w:rPr>
          <w:color w:val="000000"/>
        </w:rPr>
        <w:t xml:space="preserve"> Department of Faculty of Engineering and Information Technologies, Institute of Engineering and Energetics</w:t>
      </w:r>
      <w:r w:rsidR="00BA615E" w:rsidRPr="000369F7">
        <w:rPr>
          <w:color w:val="000000"/>
        </w:rPr>
        <w:t>,</w:t>
      </w:r>
      <w:r w:rsidR="005B2AC4" w:rsidRPr="000369F7">
        <w:rPr>
          <w:color w:val="000000"/>
        </w:rPr>
        <w:t xml:space="preserve"> Riga, Latvia</w:t>
      </w:r>
      <w:r w:rsidR="000F757B" w:rsidRPr="000369F7">
        <w:rPr>
          <w:color w:val="000000"/>
        </w:rPr>
        <w:t>,</w:t>
      </w:r>
    </w:p>
    <w:p w14:paraId="62F9359F" w14:textId="4B874F0F" w:rsidR="00DA0753" w:rsidRPr="000369F7" w:rsidRDefault="000F757B" w:rsidP="005B2AC4">
      <w:pPr>
        <w:pStyle w:val="AuthorAffiliation"/>
        <w:rPr>
          <w:i w:val="0"/>
          <w:color w:val="000000"/>
        </w:rPr>
      </w:pPr>
      <w:r w:rsidRPr="000369F7">
        <w:rPr>
          <w:i w:val="0"/>
          <w:color w:val="000000"/>
          <w:vertAlign w:val="superscript"/>
        </w:rPr>
        <w:t>4</w:t>
      </w:r>
      <w:r w:rsidRPr="000369F7">
        <w:rPr>
          <w:color w:val="000000"/>
        </w:rPr>
        <w:t>Sumy National Agrarian University, Department of Architecture and Engineering Surveys,</w:t>
      </w:r>
      <w:r w:rsidRPr="000369F7">
        <w:t xml:space="preserve"> </w:t>
      </w:r>
      <w:r w:rsidRPr="000369F7">
        <w:rPr>
          <w:color w:val="000000"/>
        </w:rPr>
        <w:t xml:space="preserve">40021, Sumy, </w:t>
      </w:r>
      <w:r w:rsidR="00B70039" w:rsidRPr="000369F7">
        <w:rPr>
          <w:color w:val="000000"/>
        </w:rPr>
        <w:t>Ukraine</w:t>
      </w:r>
      <w:r w:rsidR="00741149" w:rsidRPr="000369F7">
        <w:rPr>
          <w:color w:val="000000"/>
        </w:rPr>
        <w:br/>
      </w:r>
      <w:r w:rsidR="00741149" w:rsidRPr="000369F7">
        <w:rPr>
          <w:color w:val="000000"/>
        </w:rPr>
        <w:br/>
      </w:r>
      <w:r w:rsidR="00741149" w:rsidRPr="000369F7">
        <w:rPr>
          <w:i w:val="0"/>
          <w:color w:val="000000"/>
          <w:vertAlign w:val="superscript"/>
        </w:rPr>
        <w:t>a)</w:t>
      </w:r>
      <w:r w:rsidR="00741149" w:rsidRPr="000369F7">
        <w:rPr>
          <w:color w:val="000000"/>
        </w:rPr>
        <w:t xml:space="preserve"> Corresponding author: </w:t>
      </w:r>
      <w:r w:rsidR="005B2AC4" w:rsidRPr="000369F7">
        <w:rPr>
          <w:color w:val="000000" w:themeColor="text1"/>
        </w:rPr>
        <w:t>science.yurii.burda@gmail.com</w:t>
      </w:r>
      <w:r w:rsidR="00741149" w:rsidRPr="000369F7">
        <w:rPr>
          <w:color w:val="000000" w:themeColor="text1"/>
        </w:rPr>
        <w:t xml:space="preserve"> </w:t>
      </w:r>
    </w:p>
    <w:p w14:paraId="0D8AFB31" w14:textId="7B959EEC" w:rsidR="00DA0753" w:rsidRPr="000369F7" w:rsidRDefault="00DA5923" w:rsidP="00DA5923">
      <w:pPr>
        <w:pStyle w:val="Abstract"/>
        <w:rPr>
          <w:color w:val="000000"/>
          <w:szCs w:val="18"/>
        </w:rPr>
      </w:pPr>
      <w:r w:rsidRPr="000369F7">
        <w:rPr>
          <w:b/>
          <w:bCs/>
        </w:rPr>
        <w:t>Abstract.</w:t>
      </w:r>
      <w:r w:rsidRPr="000369F7">
        <w:t xml:space="preserve"> </w:t>
      </w:r>
      <w:r w:rsidR="005B2AC4" w:rsidRPr="000369F7">
        <w:t xml:space="preserve">The design and efficiency of ORC (Organic Rankine Cycle) systems are heavily influenced by the characteristics of the working fluids, making their selection a critical factor. The properties of these fluids significantly affect the overall system performance. Additionally, at elevated heat source temperatures, the use of organic working fluids is constrained by their thermal stability limits. To address these challenges, thermal circuits for combined power plants in waste heat recovery systems (WHRS) are being developed. This paper presents numerical study results analyzing the parameters of a thermal circuit in a hybrid recovery plant operating within a thermal waste temperature range of 280–300°C. Configurations involving a steam turbine and two turbines utilizing organic working fluids were investigated. Key evaluation criteria included: thermal efficiency of the Flash and ORC cycles, net power output, actual internal turbine efficiency, as well as the gas-dynamic and design parameters of the turbines. A configuration featuring a steam turbine and one turbine with R600a as the working fluid was developed. The findings indicate that with a steam turbine efficiency of 0.80 and an organic turbine efficiency of 0.85, the total estimated electrical power output reaches 349.3 kW, achieving an energy complex efficiency of 0.20. Additionally, a mathematical model of the heat recovery system was integrated with a hydrodynamic model to </w:t>
      </w:r>
      <w:r w:rsidR="000369F7" w:rsidRPr="000369F7">
        <w:t>analyze</w:t>
      </w:r>
      <w:r w:rsidR="005B2AC4" w:rsidRPr="000369F7">
        <w:t xml:space="preserve"> the characteristics of the turbine flow path</w:t>
      </w:r>
      <w:r w:rsidR="006D1B50" w:rsidRPr="000369F7">
        <w:t>.</w:t>
      </w:r>
    </w:p>
    <w:p w14:paraId="27D345E4" w14:textId="5248C299" w:rsidR="0097718E" w:rsidRPr="000369F7" w:rsidRDefault="0097718E">
      <w:pPr>
        <w:pBdr>
          <w:top w:val="nil"/>
          <w:left w:val="nil"/>
          <w:bottom w:val="nil"/>
          <w:right w:val="nil"/>
          <w:between w:val="nil"/>
        </w:pBdr>
        <w:spacing w:before="360" w:after="360"/>
        <w:ind w:left="289" w:right="289"/>
        <w:jc w:val="both"/>
        <w:rPr>
          <w:color w:val="000000"/>
          <w:sz w:val="18"/>
          <w:szCs w:val="18"/>
        </w:rPr>
      </w:pPr>
      <w:r w:rsidRPr="000369F7">
        <w:rPr>
          <w:b/>
          <w:color w:val="000000"/>
          <w:sz w:val="18"/>
          <w:szCs w:val="18"/>
        </w:rPr>
        <w:t>Keywords:</w:t>
      </w:r>
      <w:r w:rsidRPr="000369F7">
        <w:rPr>
          <w:color w:val="000000"/>
          <w:sz w:val="18"/>
          <w:szCs w:val="18"/>
        </w:rPr>
        <w:t xml:space="preserve"> </w:t>
      </w:r>
      <w:r w:rsidR="005B2AC4" w:rsidRPr="000369F7">
        <w:rPr>
          <w:color w:val="000000"/>
          <w:sz w:val="18"/>
          <w:szCs w:val="18"/>
        </w:rPr>
        <w:t>Thermodynamic analysis; Hybrid Flash/ORC power plants; Waste heat recovery systems; Industrial enterprises; Energy efficiency; Power plant adaptation; Ukraine; Heat-to-power conversion; Process integration; Sustainable energy systems.</w:t>
      </w:r>
    </w:p>
    <w:p w14:paraId="6F2D136B" w14:textId="2C77812C" w:rsidR="003A1A4A" w:rsidRPr="000369F7" w:rsidRDefault="003A1A4A" w:rsidP="003A1A4A">
      <w:pPr>
        <w:pStyle w:val="1"/>
        <w:rPr>
          <w:szCs w:val="24"/>
        </w:rPr>
      </w:pPr>
      <w:r w:rsidRPr="000369F7">
        <w:t>INTRODUCTION</w:t>
      </w:r>
    </w:p>
    <w:p w14:paraId="1813701E"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The application of modern steam turbine technologies in WHRS contributes to the enhancement of thermodynamic performance in technological processes.</w:t>
      </w:r>
    </w:p>
    <w:p w14:paraId="3CC0F555"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The selection of ORC technologies is primarily influenced by the low temperatures of heat sources. The use of non-aqueous working fluids for energy conversion in power plants, along with the specific requirements for these fluids, is discussed in [1]. Early investigations into alternatives to water vapor as working fluids were conducted in the [2]. Further analysis of working processes, modelling, optimization of unit characteristics, as well as the evaluation of test data and operational performance of power plants utilizing organic working fluids, can be found in [3].</w:t>
      </w:r>
      <w:bookmarkStart w:id="0" w:name="_GoBack"/>
      <w:bookmarkEnd w:id="0"/>
    </w:p>
    <w:p w14:paraId="51908DD4"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lastRenderedPageBreak/>
        <w:t>Monographs [4], [5], [6], [7], along with numerous modern publications, detail the results of thermodynamic analyses of various technological configurations of power plants, the selection of promising working fluids, and the performance of commercial systems.</w:t>
      </w:r>
    </w:p>
    <w:p w14:paraId="319DD096"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The Organic Rankine Cycle (ORC) technology provides an efficient method for converting heat into electricity. Its primary applications include distributed electricity generation from renewable energy sources (such as geothermal, biomass, and solar) and improving industrial energy efficiency through heat recovery from industrial processes.</w:t>
      </w:r>
    </w:p>
    <w:p w14:paraId="0E57EAC7"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Current Status:</w:t>
      </w:r>
    </w:p>
    <w:p w14:paraId="5DD6976D" w14:textId="5E115BCB"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Total installed capacity: 2</w:t>
      </w:r>
      <w:r w:rsidR="00F8067B" w:rsidRPr="000369F7">
        <w:rPr>
          <w:color w:val="000000"/>
          <w:sz w:val="20"/>
        </w:rPr>
        <w:t>,</w:t>
      </w:r>
      <w:r w:rsidRPr="000369F7">
        <w:rPr>
          <w:color w:val="000000"/>
          <w:sz w:val="20"/>
        </w:rPr>
        <w:t>749.2 MW from 563 power plants.</w:t>
      </w:r>
    </w:p>
    <w:p w14:paraId="0C7C2736"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Planned new capacity: 523.7 MW from 78 plants.</w:t>
      </w:r>
    </w:p>
    <w:p w14:paraId="11F90AB4"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Geothermal power plants account for 76.8% of the global ORC installed capacity, followed by biomass at 10.7%. Heat recovery from gas turbines (e.g., compressor stations along pipelines) and stationary diesel power plants collectively account for 8.8%. Other heat recovery applications constitute 4.2%, while solar thermodynamic applications remain negligible [8].</w:t>
      </w:r>
    </w:p>
    <w:p w14:paraId="1A1C44D4"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 xml:space="preserve">As of the end of 2020, the total installed capacity of ORC systems reached 4.5 GW. Since 2017, the global ORC market has grown significantly, with a 40% increase in installed capacity (+1.18 GW) and a 46.5% rise in the number of installed plants (+859). </w:t>
      </w:r>
    </w:p>
    <w:p w14:paraId="49893DA6"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Between 2017 and 2020, geothermal applications accounted for the largest increase in installed capacity, adding 973 MW (+46%) and 75 new plants. In contrast, waste heat systems experienced the most significant growth in terms of the number of installations, with 630 new plants (+208%) and an additional 125 MW of capacity. Biomass ORC systems also grew, with a 20% increase in installed capacity (68 MW) and a 23% rise in the number of plants (78 plants) [9].</w:t>
      </w:r>
    </w:p>
    <w:p w14:paraId="310EF1D5"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Currently, renewable energy sources (RES) are being increasingly adopted, with geothermal energy playing the leading role in electricity generation [10]. ORC technologies have been implemented in various power plants, but their use is restricted by the steam temperature limits of organic working fluids (OWF), which typically range between 200–220°C. At higher geothermal fluid temperatures, working fluids like butane, pentane, and hexane are viable options [11]. However, these fluids pose significant fire and explosion risks.</w:t>
      </w:r>
    </w:p>
    <w:p w14:paraId="25603AC4"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Ongoing research focuses on developing optimal technological schemes for geothermal power plants that can utilize industrial steam turbines alongside OWF-based systems. Combined technological schemes are particularly effective in metallurgical and cement plants [12].</w:t>
      </w:r>
    </w:p>
    <w:p w14:paraId="77BB487E" w14:textId="55D3C25B"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In Poland, the Polish Geological Institute – National Research Institute has identified several locations suitable for geothermal heat plant construction [13]. The country’s geothermal conditions highlight the potential for using ORC technology in hybrid geothermal power plants to optimize energy production. [14</w:t>
      </w:r>
      <w:r w:rsidR="00CF5677" w:rsidRPr="000369F7">
        <w:rPr>
          <w:color w:val="000000"/>
          <w:sz w:val="20"/>
        </w:rPr>
        <w:t xml:space="preserve"> - 15</w:t>
      </w:r>
      <w:r w:rsidRPr="000369F7">
        <w:rPr>
          <w:color w:val="000000"/>
          <w:sz w:val="20"/>
        </w:rPr>
        <w:t>]</w:t>
      </w:r>
    </w:p>
    <w:p w14:paraId="66D8FB10"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Geothermal power plants are categorized into two groups: steam-based and binary power cycles. Dual flash steam plants are often preferred over single flash systems, depending on resource conditions, as the inclusion of two separators allows for a two-stage steam turbine. Dual flash systems can generate up to 25% more power compared to single flash systems.</w:t>
      </w:r>
    </w:p>
    <w:p w14:paraId="2D24873B" w14:textId="63C5099B"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A geothermal binary power plant in Poland with a capacity of 1.79 MW is described in [10]. It features a two-stage axial turbine using isobutane as the working fluid, operating at a rotational speed of 3</w:t>
      </w:r>
      <w:r w:rsidR="00847411" w:rsidRPr="000369F7">
        <w:rPr>
          <w:color w:val="000000"/>
          <w:sz w:val="20"/>
        </w:rPr>
        <w:t>,</w:t>
      </w:r>
      <w:r w:rsidRPr="000369F7">
        <w:rPr>
          <w:color w:val="000000"/>
          <w:sz w:val="20"/>
        </w:rPr>
        <w:t>000 rpm. The brine flow rate is 400 m³/h, with isobutane steam entering the turbine at 120°C and exiting at 82°C. The plant achieves an efficiency of 15.2%.</w:t>
      </w:r>
    </w:p>
    <w:p w14:paraId="6D64A3EB"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Poland’s experience in geothermal energy development can serve as a valuable example for the restoration of industrial enterprises in Ukraine.</w:t>
      </w:r>
    </w:p>
    <w:p w14:paraId="48F16522" w14:textId="77252D72"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In Ukraine, a 4 MW radial-axial turbine using pentane as the working fluid has been successfully manufactured [15], [16], [17]. The potential for low-power steam turbine plants (0.2–2.0 MW) in Ukraine's industrial and municipal sectors is significant, supported by the presence of approximately 3</w:t>
      </w:r>
      <w:r w:rsidR="00847411" w:rsidRPr="000369F7">
        <w:rPr>
          <w:color w:val="000000"/>
          <w:sz w:val="20"/>
        </w:rPr>
        <w:t>,</w:t>
      </w:r>
      <w:r w:rsidRPr="000369F7">
        <w:rPr>
          <w:color w:val="000000"/>
          <w:sz w:val="20"/>
        </w:rPr>
        <w:t>500 boilers across the country [18]. In municipal boiler houses alone, there is the capacity to install 1</w:t>
      </w:r>
      <w:r w:rsidR="00F8067B" w:rsidRPr="000369F7">
        <w:rPr>
          <w:color w:val="000000"/>
          <w:sz w:val="20"/>
        </w:rPr>
        <w:t>,</w:t>
      </w:r>
      <w:r w:rsidRPr="000369F7">
        <w:rPr>
          <w:color w:val="000000"/>
          <w:sz w:val="20"/>
        </w:rPr>
        <w:t>200 steam turbine units, each with 1 MW capacity. Furthermore, Ukraine’s industrial sector includes 1</w:t>
      </w:r>
      <w:r w:rsidR="00F8067B" w:rsidRPr="000369F7">
        <w:rPr>
          <w:color w:val="000000"/>
          <w:sz w:val="20"/>
        </w:rPr>
        <w:t>,</w:t>
      </w:r>
      <w:r w:rsidRPr="000369F7">
        <w:rPr>
          <w:color w:val="000000"/>
          <w:sz w:val="20"/>
        </w:rPr>
        <w:t>500 boilers with steam capacities ranging from 6.5 t/h to 25 t/h; retrofitting these systems could allow for the installation of 600–700 turbine units.</w:t>
      </w:r>
    </w:p>
    <w:p w14:paraId="6FC19F71" w14:textId="73756B04"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By 2030, during the revival of enterprises in the post-war period, the projected market for small steam turbine units (0.75–1.5 MW) is estimated to reach 2</w:t>
      </w:r>
      <w:r w:rsidR="00847411" w:rsidRPr="000369F7">
        <w:rPr>
          <w:color w:val="000000"/>
          <w:sz w:val="20"/>
        </w:rPr>
        <w:t>,</w:t>
      </w:r>
      <w:r w:rsidRPr="000369F7">
        <w:rPr>
          <w:color w:val="000000"/>
          <w:sz w:val="20"/>
        </w:rPr>
        <w:t>100–2</w:t>
      </w:r>
      <w:r w:rsidR="00847411" w:rsidRPr="000369F7">
        <w:rPr>
          <w:color w:val="000000"/>
          <w:sz w:val="20"/>
        </w:rPr>
        <w:t>,</w:t>
      </w:r>
      <w:r w:rsidRPr="000369F7">
        <w:rPr>
          <w:color w:val="000000"/>
          <w:sz w:val="20"/>
        </w:rPr>
        <w:t>200 units [19], [20].</w:t>
      </w:r>
    </w:p>
    <w:p w14:paraId="720EA6F0"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As a result, ongoing research is focused on identifying efficient working fluids that meet key requirements: affordability, economic viability, safety (non-toxic and non-flammable), and environmental friendliness (compliance with ODP standards).</w:t>
      </w:r>
    </w:p>
    <w:p w14:paraId="37272CD0"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 xml:space="preserve">The study presented in [21] explores heat recovery processes in industrial settings using medium-temperature renewable energy sources in organic cycles with working fluids such as water, R600, R600a, toluene, R113, and </w:t>
      </w:r>
      <w:r w:rsidRPr="000369F7">
        <w:rPr>
          <w:color w:val="000000"/>
          <w:sz w:val="20"/>
        </w:rPr>
        <w:lastRenderedPageBreak/>
        <w:t>R245fa. Among these, R245fa is highlighted for its advantages as a safe fluid—non-flammable, non-toxic, ozone-friendly (zero ozone depletion potential)—with a high molecular weight (134.049 g/mol) and a critical temperature of 157.6°C, among other beneficial properties. The study examines the effects of turbine inlet steam temperature (up to 300°C), working fluid flow rate, and turbine inlet steam pressure (up to 30 bar).</w:t>
      </w:r>
    </w:p>
    <w:p w14:paraId="74EF097E"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An analysis of the impact of working fluid properties on cycle performance is detailed in [22], where 35 working fluids are evaluated. The study investigates the effects of heat capacity, density, latent heat, and the benefits of superheating on overall cycle efficiency.</w:t>
      </w:r>
    </w:p>
    <w:p w14:paraId="114C1020"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In [23], the results of modeling the ORC cycle for a PTVM-100 hot water boiler operating in a gas temperature range of 130–180°C are presented. The study uses a working fluid mixture of iC4H10/R141b under supercritical parameters, with additional research exploring other working fluids such as technical oil, R600a, and R245fa.</w:t>
      </w:r>
    </w:p>
    <w:p w14:paraId="2E135E16"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 xml:space="preserve">Heat recovery systems for high-temperature flue gases have been studied in [24], using working fluids like pentane, hexane, and a heptane-water mixture. The generated power for a single-stage recovery plant is 139 kW/(kg/s), while a two-stage plant produces approximately 150 kW/(kg/s). [25] examines the results of an evaporative cooling system for electricity generation. Steam from six blast furnaces at Ukraine’s </w:t>
      </w:r>
      <w:proofErr w:type="spellStart"/>
      <w:r w:rsidRPr="000369F7">
        <w:rPr>
          <w:color w:val="000000"/>
          <w:sz w:val="20"/>
        </w:rPr>
        <w:t>Azovstal</w:t>
      </w:r>
      <w:proofErr w:type="spellEnd"/>
      <w:r w:rsidRPr="000369F7">
        <w:rPr>
          <w:color w:val="000000"/>
          <w:sz w:val="20"/>
        </w:rPr>
        <w:t xml:space="preserve"> plant is routed into a power freon circuit. The steam parameters are a temperature of 120°C, pressure ranging from 0.02 to 0.15 atm, and a flow rate of 25 t/h. The system powers a generator with a 6 MW capacity, covering 60% of the plant's internal electricity needs.</w:t>
      </w:r>
    </w:p>
    <w:p w14:paraId="380D5041"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Finally, [26] recommends using a diphenyl-diphenyl oxide mixture as the working fluid for systems operating at a temperature of 400°C.</w:t>
      </w:r>
    </w:p>
    <w:p w14:paraId="71CC946B"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A study in [27] examines more than 20 working fluids for solar ORC power plants. It is demonstrated that for solar power plant operating conditions, working fluids such as R134a, R152a, R600, R600a, and R290 are suitable, though they require precautions to mitigate ignition risks.</w:t>
      </w:r>
    </w:p>
    <w:p w14:paraId="5066BFA9"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In power and cogeneration plants with high-temperature heat sources, the thermal stability of the working fluid becomes a critical constraint. For heat sources exceeding 250°C, numerous publications suggest various working fluids and mixtures as potential options.</w:t>
      </w:r>
    </w:p>
    <w:p w14:paraId="10D39ABA"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The properties of 25 working fluids suitable for temperatures ranging from 200°C to 500°C are detailed in [18]. Studies on fluids operating at 510°C and various ORC configurations—such as those without or with regeneration, and with direct or indirect heating—identify three promising working fluids for WHRS:</w:t>
      </w:r>
    </w:p>
    <w:p w14:paraId="20E38D5E"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w:t>
      </w:r>
      <w:r w:rsidRPr="000369F7">
        <w:rPr>
          <w:color w:val="000000"/>
          <w:sz w:val="20"/>
        </w:rPr>
        <w:tab/>
        <w:t>Toluene (</w:t>
      </w:r>
      <w:proofErr w:type="spellStart"/>
      <w:r w:rsidRPr="000369F7">
        <w:rPr>
          <w:color w:val="000000"/>
          <w:sz w:val="20"/>
        </w:rPr>
        <w:t>t</w:t>
      </w:r>
      <w:r w:rsidRPr="000369F7">
        <w:rPr>
          <w:color w:val="000000"/>
          <w:sz w:val="20"/>
          <w:vertAlign w:val="subscript"/>
        </w:rPr>
        <w:t>cr</w:t>
      </w:r>
      <w:proofErr w:type="spellEnd"/>
      <w:r w:rsidRPr="000369F7">
        <w:rPr>
          <w:color w:val="000000"/>
          <w:sz w:val="20"/>
        </w:rPr>
        <w:t xml:space="preserve"> = 318°C),</w:t>
      </w:r>
    </w:p>
    <w:p w14:paraId="54B300AD"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w:t>
      </w:r>
      <w:r w:rsidRPr="000369F7">
        <w:rPr>
          <w:color w:val="000000"/>
          <w:sz w:val="20"/>
        </w:rPr>
        <w:tab/>
        <w:t>DMC (Dimethyl Carbonate) (</w:t>
      </w:r>
      <w:proofErr w:type="spellStart"/>
      <w:r w:rsidRPr="000369F7">
        <w:rPr>
          <w:color w:val="000000"/>
          <w:sz w:val="20"/>
        </w:rPr>
        <w:t>t</w:t>
      </w:r>
      <w:r w:rsidRPr="000369F7">
        <w:rPr>
          <w:color w:val="000000"/>
          <w:sz w:val="20"/>
          <w:vertAlign w:val="subscript"/>
        </w:rPr>
        <w:t>cr</w:t>
      </w:r>
      <w:proofErr w:type="spellEnd"/>
      <w:r w:rsidRPr="000369F7">
        <w:rPr>
          <w:color w:val="000000"/>
          <w:sz w:val="20"/>
        </w:rPr>
        <w:t xml:space="preserve"> = 283.8°C),</w:t>
      </w:r>
    </w:p>
    <w:p w14:paraId="722DC928"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w:t>
      </w:r>
      <w:r w:rsidRPr="000369F7">
        <w:rPr>
          <w:color w:val="000000"/>
          <w:sz w:val="20"/>
        </w:rPr>
        <w:tab/>
        <w:t>MM (</w:t>
      </w:r>
      <w:proofErr w:type="spellStart"/>
      <w:r w:rsidRPr="000369F7">
        <w:rPr>
          <w:color w:val="000000"/>
          <w:sz w:val="20"/>
        </w:rPr>
        <w:t>Hexamethyldisiloxane</w:t>
      </w:r>
      <w:proofErr w:type="spellEnd"/>
      <w:r w:rsidRPr="000369F7">
        <w:rPr>
          <w:color w:val="000000"/>
          <w:sz w:val="20"/>
        </w:rPr>
        <w:t>) (</w:t>
      </w:r>
      <w:proofErr w:type="spellStart"/>
      <w:r w:rsidRPr="000369F7">
        <w:rPr>
          <w:color w:val="000000"/>
          <w:sz w:val="20"/>
        </w:rPr>
        <w:t>t</w:t>
      </w:r>
      <w:r w:rsidRPr="000369F7">
        <w:rPr>
          <w:color w:val="000000"/>
          <w:sz w:val="20"/>
          <w:vertAlign w:val="subscript"/>
        </w:rPr>
        <w:t>cr</w:t>
      </w:r>
      <w:proofErr w:type="spellEnd"/>
      <w:r w:rsidRPr="000369F7">
        <w:rPr>
          <w:color w:val="000000"/>
          <w:sz w:val="20"/>
        </w:rPr>
        <w:t xml:space="preserve"> = 245°C).</w:t>
      </w:r>
    </w:p>
    <w:p w14:paraId="618AFB57"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Both calculated and experimental data for ORC parameters using different pure liquids and mixtures at heat source temperatures of 110°C to 145°C (e.g., R245fa, R123) are also provided. Additionally, results from experimental tests on a 3 kW micro-ORC installation are highlighted.</w:t>
      </w:r>
    </w:p>
    <w:p w14:paraId="2BD92388"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Experimental studies on a micro-ORC turbogenerator with a power output of 1 kW are presented. HFE-7100 is employed as the working fluid, with mass flow rates ranging from 30 g/s to 60 g/s and rotational speeds varying between 10,000 rpm and 75,000 rpm. The study determines the load currents of the micro-turbogenerator at given liquid flow rates.</w:t>
      </w:r>
    </w:p>
    <w:p w14:paraId="4434D39A"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It is further shown that the use of zeotropic mixtures in the evaporator and azeotropic mixtures in the condenser (e.g., R500/R12/R152) results in an increase in exergy efficiency from 7.1% to 14.5%, offering a notable advantage in performance.</w:t>
      </w:r>
    </w:p>
    <w:p w14:paraId="39A68174"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A study of 25 pure working fluids and 104 binary mixtures in the temperature range of 125–300°C reveals a 10% increase in cycle efficiency when using mixtures compared to the best-performing pure fluids. At a heat source temperature of 140°C, the exergy efficiency of pure fluids is 10.5% lower than that of the propane/isobutene mixture. Similarly, at a heat source temperature of 290°C, the butane/isopentane mixture outperforms pure fluids by 3.1%.</w:t>
      </w:r>
    </w:p>
    <w:p w14:paraId="43C1160F" w14:textId="4DF43468"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 xml:space="preserve">The challenges associated with using mixtures in ORC systems are explored in [28]. It is shown that the maximum operating temperatures for certain fluids are as follows: n-pentane and cyclo-pentane are stable up to 300–350°C, while toluene remains stable up to 400°C. However, these fluids have limitations—toluene is toxic, alkane-based fluids are flammable, and siloxanes, while safer and more environmentally friendly, are better suited for high-temperature ORC applications. The study also highlights </w:t>
      </w:r>
      <w:r w:rsidR="000369F7">
        <w:rPr>
          <w:color w:val="000000"/>
          <w:sz w:val="20"/>
        </w:rPr>
        <w:t xml:space="preserve">the idea </w:t>
      </w:r>
      <w:r w:rsidRPr="000369F7">
        <w:rPr>
          <w:color w:val="000000"/>
          <w:sz w:val="20"/>
        </w:rPr>
        <w:t>that mixing organic fluids with water can significantly broaden the range of potential working fluids, offering safety advantages by reducing flammability and toxicity. Among the studied mixtures, the 2,2,2-trifluoroethanol mixture stands out as particularly promising.</w:t>
      </w:r>
    </w:p>
    <w:p w14:paraId="348743AF" w14:textId="61780BE6"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Additionally, various geothermal power plant schemes are analyzed. In a simple Single Flash scheme, the saturated liquid from the separator is returned to the geothermal fluid reinjection line after the water vapor condenser. As a result, a portion of the geothermal energy remains unused for power generation</w:t>
      </w:r>
    </w:p>
    <w:p w14:paraId="2F4ED6AD" w14:textId="7FA33DD0" w:rsidR="00DA0753" w:rsidRPr="000369F7" w:rsidRDefault="00741149">
      <w:pPr>
        <w:pBdr>
          <w:top w:val="nil"/>
          <w:left w:val="nil"/>
          <w:bottom w:val="nil"/>
          <w:right w:val="nil"/>
          <w:between w:val="nil"/>
        </w:pBdr>
        <w:ind w:firstLine="284"/>
        <w:jc w:val="both"/>
        <w:rPr>
          <w:color w:val="000000"/>
          <w:sz w:val="20"/>
        </w:rPr>
      </w:pPr>
      <w:r w:rsidRPr="000369F7">
        <w:rPr>
          <w:color w:val="000000"/>
          <w:sz w:val="20"/>
        </w:rPr>
        <w:lastRenderedPageBreak/>
        <w:t xml:space="preserve">This Increasing fuel efficiency and improving the environmental indicators of ICEs in general, and gasoline engines in particular, are pressing issues in the near future when using them as a drive-in hybrid powertrain [1]. Improving economic and environmental ICE indicators is carried out mainly due to the enhancement of the work process [2], the use of alternative fuels [3, 4], engine systems and units. </w:t>
      </w:r>
    </w:p>
    <w:p w14:paraId="1ECA6518" w14:textId="77777777" w:rsidR="00DA0753" w:rsidRPr="000369F7" w:rsidRDefault="00741149">
      <w:pPr>
        <w:pStyle w:val="1"/>
        <w:rPr>
          <w:b w:val="0"/>
          <w:sz w:val="20"/>
        </w:rPr>
      </w:pPr>
      <w:r w:rsidRPr="000369F7">
        <w:t>Research materials and methods of economic and ecological engine indicators</w:t>
      </w:r>
    </w:p>
    <w:p w14:paraId="1444272A" w14:textId="77777777" w:rsidR="009302CF" w:rsidRPr="000369F7" w:rsidRDefault="009302CF" w:rsidP="009302CF">
      <w:pPr>
        <w:pBdr>
          <w:top w:val="nil"/>
          <w:left w:val="nil"/>
          <w:bottom w:val="nil"/>
          <w:right w:val="nil"/>
          <w:between w:val="nil"/>
        </w:pBdr>
        <w:ind w:firstLine="284"/>
        <w:jc w:val="both"/>
        <w:rPr>
          <w:color w:val="000000"/>
          <w:sz w:val="20"/>
        </w:rPr>
      </w:pPr>
      <w:bookmarkStart w:id="1" w:name="_heading=h.gjdgxs" w:colFirst="0" w:colLast="0"/>
      <w:bookmarkEnd w:id="1"/>
      <w:r w:rsidRPr="000369F7">
        <w:rPr>
          <w:color w:val="000000"/>
          <w:sz w:val="20"/>
        </w:rPr>
        <w:t>The schematic diagram of the hybrid installation is illustrated in Fig. 1. The energy system, a Waste Heat Recovery System (WHRS), operates as follows:</w:t>
      </w:r>
    </w:p>
    <w:p w14:paraId="159F3679"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Waste gases from a fuel-utilizing unit (e.g., boiler, industrial furnace, or internal combustion engine) flow into the heat recovery boiler, where heat is extracted from the gases and transferred to water. This process generates wet steam with varying dryness levels.</w:t>
      </w:r>
    </w:p>
    <w:p w14:paraId="17F98CFC"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The steam then enters a separator, where it is divided into saturated steam and separated water. The saturated steam is directed to the steam turbine (ST) before passing through the evaporator (E) and the recuperator (PH). In these components, the steam transfers heat to the organic working fluid of the second circuit (a-b-c-d-e). The organic steam produced in this circuit is fed into the second circuit turbine (VT1).</w:t>
      </w:r>
    </w:p>
    <w:p w14:paraId="5BA26EE5" w14:textId="77777777"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Simultaneously, the water separated in the first circuit is sent to the evaporator (E) of the third circuit (u-v-w-x-y), where it heats another organic working fluid. The resulting organic steam in this circuit drives the third turbine (BT2).</w:t>
      </w:r>
    </w:p>
    <w:p w14:paraId="597CD026" w14:textId="01852EBF" w:rsidR="009302CF" w:rsidRPr="000369F7" w:rsidRDefault="009302CF" w:rsidP="009302CF">
      <w:pPr>
        <w:pBdr>
          <w:top w:val="nil"/>
          <w:left w:val="nil"/>
          <w:bottom w:val="nil"/>
          <w:right w:val="nil"/>
          <w:between w:val="nil"/>
        </w:pBdr>
        <w:ind w:firstLine="284"/>
        <w:jc w:val="both"/>
        <w:rPr>
          <w:color w:val="000000"/>
          <w:sz w:val="20"/>
        </w:rPr>
      </w:pPr>
      <w:r w:rsidRPr="000369F7">
        <w:rPr>
          <w:color w:val="000000"/>
          <w:sz w:val="20"/>
        </w:rPr>
        <w:t>As a result, the steam turbine (ST) and the turbines in the organic working fluid circuits (VT1 and VT2) collectively generate electric power.</w:t>
      </w:r>
    </w:p>
    <w:p w14:paraId="4696BE4E" w14:textId="77777777" w:rsidR="002E4D98" w:rsidRPr="000369F7" w:rsidRDefault="002E4D98" w:rsidP="009302CF">
      <w:pPr>
        <w:pBdr>
          <w:top w:val="nil"/>
          <w:left w:val="nil"/>
          <w:bottom w:val="nil"/>
          <w:right w:val="nil"/>
          <w:between w:val="nil"/>
        </w:pBdr>
        <w:ind w:firstLine="284"/>
        <w:jc w:val="both"/>
        <w:rPr>
          <w:color w:val="000000"/>
          <w:sz w:val="20"/>
        </w:rPr>
      </w:pPr>
    </w:p>
    <w:p w14:paraId="6EE95A76" w14:textId="09405AEE" w:rsidR="009302CF" w:rsidRPr="000369F7" w:rsidRDefault="009302CF" w:rsidP="009302CF">
      <w:pPr>
        <w:pBdr>
          <w:top w:val="nil"/>
          <w:left w:val="nil"/>
          <w:bottom w:val="nil"/>
          <w:right w:val="nil"/>
          <w:between w:val="nil"/>
        </w:pBdr>
        <w:ind w:firstLine="284"/>
        <w:jc w:val="center"/>
        <w:rPr>
          <w:color w:val="000000"/>
          <w:sz w:val="20"/>
        </w:rPr>
      </w:pPr>
      <w:r w:rsidRPr="000369F7">
        <w:rPr>
          <w:noProof/>
          <w:sz w:val="28"/>
          <w:szCs w:val="28"/>
          <w:lang w:val="ru-RU"/>
        </w:rPr>
        <w:drawing>
          <wp:inline distT="0" distB="0" distL="0" distR="0" wp14:anchorId="04ED0BE5" wp14:editId="40A2EB9D">
            <wp:extent cx="5745281" cy="2698750"/>
            <wp:effectExtent l="0" t="0" r="8255"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7">
                      <a:extLst>
                        <a:ext uri="{28A0092B-C50C-407E-A947-70E740481C1C}">
                          <a14:useLocalDpi xmlns:a14="http://schemas.microsoft.com/office/drawing/2010/main" val="0"/>
                        </a:ext>
                      </a:extLst>
                    </a:blip>
                    <a:stretch>
                      <a:fillRect/>
                    </a:stretch>
                  </pic:blipFill>
                  <pic:spPr>
                    <a:xfrm>
                      <a:off x="0" y="0"/>
                      <a:ext cx="5764141" cy="2707609"/>
                    </a:xfrm>
                    <a:prstGeom prst="rect">
                      <a:avLst/>
                    </a:prstGeom>
                  </pic:spPr>
                </pic:pic>
              </a:graphicData>
            </a:graphic>
          </wp:inline>
        </w:drawing>
      </w:r>
    </w:p>
    <w:p w14:paraId="50DD17E2" w14:textId="77777777" w:rsidR="002E4D98" w:rsidRPr="000369F7" w:rsidRDefault="002E4D98" w:rsidP="009302CF">
      <w:pPr>
        <w:pBdr>
          <w:top w:val="nil"/>
          <w:left w:val="nil"/>
          <w:bottom w:val="nil"/>
          <w:right w:val="nil"/>
          <w:between w:val="nil"/>
        </w:pBdr>
        <w:ind w:firstLine="284"/>
        <w:jc w:val="center"/>
        <w:rPr>
          <w:smallCaps/>
          <w:color w:val="000000"/>
          <w:sz w:val="20"/>
        </w:rPr>
      </w:pPr>
    </w:p>
    <w:p w14:paraId="034FD706" w14:textId="59A230AB" w:rsidR="009302CF" w:rsidRPr="000369F7" w:rsidRDefault="009302CF" w:rsidP="009302CF">
      <w:pPr>
        <w:pBdr>
          <w:top w:val="nil"/>
          <w:left w:val="nil"/>
          <w:bottom w:val="nil"/>
          <w:right w:val="nil"/>
          <w:between w:val="nil"/>
        </w:pBdr>
        <w:ind w:firstLine="284"/>
        <w:jc w:val="center"/>
        <w:rPr>
          <w:color w:val="000000"/>
          <w:sz w:val="18"/>
          <w:szCs w:val="18"/>
        </w:rPr>
      </w:pPr>
      <w:r w:rsidRPr="000369F7">
        <w:rPr>
          <w:b/>
          <w:smallCaps/>
          <w:color w:val="000000"/>
          <w:sz w:val="18"/>
          <w:szCs w:val="18"/>
        </w:rPr>
        <w:t>FIGURE 1.</w:t>
      </w:r>
      <w:r w:rsidRPr="000369F7">
        <w:rPr>
          <w:color w:val="000000"/>
          <w:sz w:val="18"/>
          <w:szCs w:val="18"/>
        </w:rPr>
        <w:t xml:space="preserve"> Schematic diagram of a hybrid installation</w:t>
      </w:r>
    </w:p>
    <w:p w14:paraId="2302C0AB" w14:textId="77777777" w:rsidR="009302CF" w:rsidRPr="000369F7" w:rsidRDefault="009302CF" w:rsidP="009302CF">
      <w:pPr>
        <w:pBdr>
          <w:top w:val="nil"/>
          <w:left w:val="nil"/>
          <w:bottom w:val="nil"/>
          <w:right w:val="nil"/>
          <w:between w:val="nil"/>
        </w:pBdr>
        <w:ind w:firstLine="284"/>
        <w:jc w:val="center"/>
        <w:rPr>
          <w:color w:val="000000"/>
          <w:sz w:val="20"/>
        </w:rPr>
      </w:pPr>
    </w:p>
    <w:p w14:paraId="55951625" w14:textId="2649DA82" w:rsidR="00DA0753" w:rsidRPr="000369F7" w:rsidRDefault="00741149">
      <w:pPr>
        <w:pBdr>
          <w:top w:val="nil"/>
          <w:left w:val="nil"/>
          <w:bottom w:val="nil"/>
          <w:right w:val="nil"/>
          <w:between w:val="nil"/>
        </w:pBdr>
        <w:ind w:firstLine="284"/>
        <w:jc w:val="both"/>
        <w:rPr>
          <w:color w:val="000000"/>
          <w:sz w:val="20"/>
        </w:rPr>
      </w:pPr>
      <w:r w:rsidRPr="000369F7">
        <w:rPr>
          <w:color w:val="000000"/>
          <w:sz w:val="20"/>
        </w:rPr>
        <w:t>Experimental studies of engine operating processes were carried out by load characteristics et 3</w:t>
      </w:r>
      <w:r w:rsidR="00471453" w:rsidRPr="000369F7">
        <w:rPr>
          <w:color w:val="000000"/>
          <w:sz w:val="20"/>
        </w:rPr>
        <w:t>,</w:t>
      </w:r>
      <w:r w:rsidRPr="000369F7">
        <w:rPr>
          <w:color w:val="000000"/>
          <w:sz w:val="20"/>
        </w:rPr>
        <w:t xml:space="preserve">000 rpm on a test bench with a hydraulic brake designed by the Ukrainian company "Schenk". The bench is equipped with instruments and measuring equipment for determining the effective engine performance [8] in accordance with the requirements of ISO 3046-3: 2006. </w:t>
      </w:r>
    </w:p>
    <w:p w14:paraId="537F6DC5" w14:textId="3725CED1" w:rsidR="00DA0753" w:rsidRPr="000369F7" w:rsidRDefault="00741149">
      <w:pPr>
        <w:pBdr>
          <w:top w:val="nil"/>
          <w:left w:val="nil"/>
          <w:bottom w:val="nil"/>
          <w:right w:val="nil"/>
          <w:between w:val="nil"/>
        </w:pBdr>
        <w:ind w:firstLine="284"/>
        <w:jc w:val="both"/>
        <w:rPr>
          <w:color w:val="000000"/>
          <w:sz w:val="20"/>
        </w:rPr>
      </w:pPr>
      <w:r w:rsidRPr="000369F7">
        <w:rPr>
          <w:color w:val="000000"/>
          <w:sz w:val="20"/>
        </w:rPr>
        <w:t xml:space="preserve">The use of the DIF system allows to put into practice the work processes with lean fuel-air charge (LFAC) </w:t>
      </w:r>
      <w:r w:rsidRPr="000369F7">
        <w:rPr>
          <w:color w:val="000000"/>
          <w:sz w:val="20"/>
        </w:rPr>
        <w:br/>
        <w:t xml:space="preserve">(Fig. 1 a), stratified fuel-air charge (SFAC) (Fig. 1) and stratified lean fuel-air charge (SLFAC) (Fig. 1). </w:t>
      </w:r>
    </w:p>
    <w:p w14:paraId="463D968E" w14:textId="77777777" w:rsidR="00DA0753" w:rsidRPr="000369F7" w:rsidRDefault="00741149">
      <w:pPr>
        <w:pStyle w:val="1"/>
        <w:rPr>
          <w:b w:val="0"/>
          <w:sz w:val="20"/>
        </w:rPr>
      </w:pPr>
      <w:r w:rsidRPr="000369F7">
        <w:t>Experimental methodology</w:t>
      </w:r>
    </w:p>
    <w:p w14:paraId="7C1588AC" w14:textId="731094B8" w:rsidR="00B26C97" w:rsidRPr="000369F7" w:rsidRDefault="00345474" w:rsidP="00B26C97">
      <w:pPr>
        <w:widowControl w:val="0"/>
        <w:pBdr>
          <w:top w:val="nil"/>
          <w:left w:val="nil"/>
          <w:bottom w:val="nil"/>
          <w:right w:val="nil"/>
          <w:between w:val="nil"/>
        </w:pBdr>
        <w:ind w:firstLine="284"/>
        <w:jc w:val="both"/>
        <w:rPr>
          <w:color w:val="000000"/>
          <w:sz w:val="20"/>
        </w:rPr>
      </w:pPr>
      <w:r w:rsidRPr="000369F7">
        <w:rPr>
          <w:color w:val="000000"/>
          <w:sz w:val="20"/>
        </w:rPr>
        <w:t xml:space="preserve">The experimental methodology is based on a systematic combination of theoretical calculation procedures and empirical verification under industrially relevant conditions. The calculation method presented in [1] was taken as </w:t>
      </w:r>
      <w:r w:rsidRPr="000369F7">
        <w:rPr>
          <w:color w:val="000000"/>
          <w:sz w:val="20"/>
        </w:rPr>
        <w:lastRenderedPageBreak/>
        <w:t>the fundamental basis for determining the thermodynamic parameters of the hybrid Flash/ORC power plant, including mass and energy balances, exergy flows, and cycle efficiencies. This approach allows for consistent modeling of both steady-state and transient operating modes, as well as the identification of critical boundary conditions affecting overall performance.</w:t>
      </w:r>
    </w:p>
    <w:p w14:paraId="02B9FB8F" w14:textId="12FC2936" w:rsidR="00DA0753" w:rsidRPr="000369F7" w:rsidRDefault="00741149">
      <w:pPr>
        <w:pStyle w:val="1"/>
        <w:rPr>
          <w:b w:val="0"/>
          <w:sz w:val="20"/>
        </w:rPr>
      </w:pPr>
      <w:r w:rsidRPr="000369F7">
        <w:t>Experimental data and results</w:t>
      </w:r>
    </w:p>
    <w:tbl>
      <w:tblPr>
        <w:tblStyle w:val="aa"/>
        <w:tblW w:w="0" w:type="auto"/>
        <w:tblInd w:w="5" w:type="dxa"/>
        <w:tblLook w:val="04A0" w:firstRow="1" w:lastRow="0" w:firstColumn="1" w:lastColumn="0" w:noHBand="0" w:noVBand="1"/>
      </w:tblPr>
      <w:tblGrid>
        <w:gridCol w:w="1105"/>
        <w:gridCol w:w="1123"/>
        <w:gridCol w:w="1115"/>
        <w:gridCol w:w="1143"/>
        <w:gridCol w:w="1120"/>
        <w:gridCol w:w="1143"/>
        <w:gridCol w:w="1123"/>
        <w:gridCol w:w="1144"/>
      </w:tblGrid>
      <w:tr w:rsidR="009737B6" w:rsidRPr="009737B6" w14:paraId="3BA00D86" w14:textId="77777777" w:rsidTr="0027656E">
        <w:tc>
          <w:tcPr>
            <w:tcW w:w="9016" w:type="dxa"/>
            <w:gridSpan w:val="8"/>
            <w:tcBorders>
              <w:top w:val="nil"/>
              <w:left w:val="nil"/>
              <w:bottom w:val="single" w:sz="4" w:space="0" w:color="auto"/>
              <w:right w:val="nil"/>
            </w:tcBorders>
          </w:tcPr>
          <w:p w14:paraId="4B634D7A" w14:textId="77777777" w:rsidR="00B26C97" w:rsidRPr="009737B6" w:rsidRDefault="00B26C97" w:rsidP="00157ED1">
            <w:pPr>
              <w:pStyle w:val="IOP-CS-BodyNoIndent"/>
              <w:jc w:val="center"/>
              <w:rPr>
                <w:rFonts w:ascii="Times New Roman" w:hAnsi="Times New Roman" w:cs="Times New Roman"/>
                <w:color w:val="000000" w:themeColor="text1"/>
                <w:sz w:val="18"/>
                <w:szCs w:val="18"/>
                <w:lang w:val="en-US"/>
              </w:rPr>
            </w:pPr>
            <w:r w:rsidRPr="009737B6">
              <w:rPr>
                <w:rFonts w:ascii="Times New Roman" w:hAnsi="Times New Roman" w:cs="Times New Roman"/>
                <w:b/>
                <w:bCs/>
                <w:color w:val="000000" w:themeColor="text1"/>
                <w:sz w:val="18"/>
                <w:szCs w:val="18"/>
                <w:lang w:val="en-US"/>
              </w:rPr>
              <w:t>Table 1.</w:t>
            </w:r>
            <w:r w:rsidRPr="009737B6">
              <w:rPr>
                <w:rFonts w:ascii="Times New Roman" w:hAnsi="Times New Roman" w:cs="Times New Roman"/>
                <w:color w:val="000000" w:themeColor="text1"/>
                <w:sz w:val="18"/>
                <w:szCs w:val="18"/>
                <w:lang w:val="en-US"/>
              </w:rPr>
              <w:t xml:space="preserve"> Parameters of water vapor and organic fluids in front of turbines in circuits</w:t>
            </w:r>
          </w:p>
        </w:tc>
      </w:tr>
      <w:tr w:rsidR="009737B6" w:rsidRPr="009737B6" w14:paraId="07AB9140" w14:textId="77777777" w:rsidTr="0027656E">
        <w:tc>
          <w:tcPr>
            <w:tcW w:w="1105" w:type="dxa"/>
            <w:tcBorders>
              <w:top w:val="single" w:sz="4" w:space="0" w:color="auto"/>
              <w:left w:val="nil"/>
              <w:bottom w:val="single" w:sz="4" w:space="0" w:color="auto"/>
              <w:right w:val="nil"/>
            </w:tcBorders>
          </w:tcPr>
          <w:p w14:paraId="06339D1C" w14:textId="77777777" w:rsidR="00B26C97" w:rsidRPr="009737B6" w:rsidRDefault="00B26C97" w:rsidP="0027656E">
            <w:pPr>
              <w:pStyle w:val="IOP-CS-TableLeftColumn"/>
              <w:jc w:val="center"/>
              <w:rPr>
                <w:rFonts w:ascii="Times New Roman" w:hAnsi="Times New Roman" w:cs="Times New Roman"/>
                <w:b/>
                <w:color w:val="000000" w:themeColor="text1"/>
                <w:sz w:val="18"/>
                <w:szCs w:val="18"/>
                <w:lang w:val="en-US"/>
              </w:rPr>
            </w:pPr>
            <w:r w:rsidRPr="009737B6">
              <w:rPr>
                <w:rFonts w:ascii="Times New Roman" w:hAnsi="Times New Roman" w:cs="Times New Roman"/>
                <w:b/>
                <w:color w:val="000000" w:themeColor="text1"/>
                <w:sz w:val="18"/>
                <w:szCs w:val="18"/>
                <w:lang w:val="en-US"/>
              </w:rPr>
              <w:t>Case</w:t>
            </w:r>
          </w:p>
        </w:tc>
        <w:tc>
          <w:tcPr>
            <w:tcW w:w="1123" w:type="dxa"/>
            <w:tcBorders>
              <w:top w:val="single" w:sz="4" w:space="0" w:color="auto"/>
              <w:left w:val="nil"/>
              <w:bottom w:val="single" w:sz="4" w:space="0" w:color="auto"/>
              <w:right w:val="nil"/>
            </w:tcBorders>
          </w:tcPr>
          <w:p w14:paraId="051EDCF8" w14:textId="77777777" w:rsidR="00B26C97" w:rsidRPr="009737B6" w:rsidRDefault="00B26C97" w:rsidP="0027656E">
            <w:pPr>
              <w:pStyle w:val="IOP-CS-TableLeftColumn"/>
              <w:jc w:val="center"/>
              <w:rPr>
                <w:rFonts w:ascii="Times New Roman" w:hAnsi="Times New Roman" w:cs="Times New Roman"/>
                <w:b/>
                <w:color w:val="000000" w:themeColor="text1"/>
                <w:sz w:val="18"/>
                <w:szCs w:val="18"/>
                <w:lang w:val="en-US"/>
              </w:rPr>
            </w:pPr>
            <w:r w:rsidRPr="009737B6">
              <w:rPr>
                <w:rFonts w:ascii="Times New Roman" w:hAnsi="Times New Roman" w:cs="Times New Roman"/>
                <w:b/>
                <w:color w:val="000000" w:themeColor="text1"/>
                <w:sz w:val="18"/>
                <w:szCs w:val="18"/>
                <w:lang w:val="en-US"/>
              </w:rPr>
              <w:t>P4/T4</w:t>
            </w:r>
          </w:p>
        </w:tc>
        <w:tc>
          <w:tcPr>
            <w:tcW w:w="1115" w:type="dxa"/>
            <w:tcBorders>
              <w:top w:val="single" w:sz="4" w:space="0" w:color="auto"/>
              <w:left w:val="nil"/>
              <w:bottom w:val="single" w:sz="4" w:space="0" w:color="auto"/>
              <w:right w:val="nil"/>
            </w:tcBorders>
          </w:tcPr>
          <w:p w14:paraId="0C0FC680" w14:textId="77777777" w:rsidR="00B26C97" w:rsidRPr="009737B6" w:rsidRDefault="00B26C97" w:rsidP="0027656E">
            <w:pPr>
              <w:pStyle w:val="IOP-CS-TableLeftColumn"/>
              <w:jc w:val="center"/>
              <w:rPr>
                <w:rFonts w:ascii="Times New Roman" w:hAnsi="Times New Roman" w:cs="Times New Roman"/>
                <w:b/>
                <w:color w:val="000000" w:themeColor="text1"/>
                <w:sz w:val="18"/>
                <w:szCs w:val="18"/>
                <w:lang w:val="en-US"/>
              </w:rPr>
            </w:pPr>
            <w:r w:rsidRPr="009737B6">
              <w:rPr>
                <w:rFonts w:ascii="Times New Roman" w:hAnsi="Times New Roman" w:cs="Times New Roman"/>
                <w:b/>
                <w:color w:val="000000" w:themeColor="text1"/>
                <w:sz w:val="18"/>
                <w:szCs w:val="18"/>
                <w:lang w:val="en-US"/>
              </w:rPr>
              <w:t>x</w:t>
            </w:r>
          </w:p>
        </w:tc>
        <w:tc>
          <w:tcPr>
            <w:tcW w:w="1143" w:type="dxa"/>
            <w:tcBorders>
              <w:top w:val="single" w:sz="4" w:space="0" w:color="auto"/>
              <w:left w:val="nil"/>
              <w:bottom w:val="single" w:sz="4" w:space="0" w:color="auto"/>
              <w:right w:val="nil"/>
            </w:tcBorders>
          </w:tcPr>
          <w:p w14:paraId="543EDD03" w14:textId="4BA4ACF6" w:rsidR="00B26C97" w:rsidRPr="009737B6" w:rsidRDefault="00157ED1" w:rsidP="0027656E">
            <w:pPr>
              <w:pStyle w:val="IOP-CS-TableLeftColumn"/>
              <w:jc w:val="center"/>
              <w:rPr>
                <w:rFonts w:ascii="Times New Roman" w:hAnsi="Times New Roman" w:cs="Times New Roman"/>
                <w:b/>
                <w:color w:val="000000" w:themeColor="text1"/>
                <w:sz w:val="18"/>
                <w:szCs w:val="18"/>
                <w:lang w:val="en-US"/>
              </w:rPr>
            </w:pPr>
            <m:oMath>
              <m:sSub>
                <m:sSubPr>
                  <m:ctrlPr>
                    <w:rPr>
                      <w:rFonts w:ascii="Cambria Math" w:hAnsi="Cambria Math" w:cs="Times New Roman"/>
                      <w:b/>
                      <w:color w:val="000000" w:themeColor="text1"/>
                      <w:sz w:val="18"/>
                      <w:szCs w:val="18"/>
                      <w:lang w:val="en-US"/>
                    </w:rPr>
                  </m:ctrlPr>
                </m:sSubPr>
                <m:e>
                  <m:r>
                    <m:rPr>
                      <m:sty m:val="bi"/>
                    </m:rPr>
                    <w:rPr>
                      <w:rFonts w:ascii="Cambria Math" w:hAnsi="Cambria Math" w:cs="Times New Roman"/>
                      <w:color w:val="000000" w:themeColor="text1"/>
                      <w:sz w:val="18"/>
                      <w:szCs w:val="18"/>
                      <w:lang w:val="en-US"/>
                    </w:rPr>
                    <m:t>m</m:t>
                  </m:r>
                </m:e>
                <m:sub>
                  <m:r>
                    <m:rPr>
                      <m:sty m:val="b"/>
                    </m:rPr>
                    <w:rPr>
                      <w:rFonts w:ascii="Cambria Math" w:hAnsi="Cambria Math" w:cs="Times New Roman"/>
                      <w:color w:val="000000" w:themeColor="text1"/>
                      <w:sz w:val="18"/>
                      <w:szCs w:val="18"/>
                      <w:lang w:val="en-US"/>
                    </w:rPr>
                    <m:t>1</m:t>
                  </m:r>
                </m:sub>
              </m:sSub>
              <m:r>
                <m:rPr>
                  <m:sty m:val="b"/>
                </m:rPr>
                <w:rPr>
                  <w:rFonts w:ascii="Cambria Math" w:hAnsi="Cambria Math" w:cs="Times New Roman"/>
                  <w:color w:val="000000" w:themeColor="text1"/>
                  <w:sz w:val="18"/>
                  <w:szCs w:val="18"/>
                  <w:lang w:val="en-US"/>
                </w:rPr>
                <m:t xml:space="preserve">, </m:t>
              </m:r>
            </m:oMath>
            <w:r w:rsidR="00B26C97" w:rsidRPr="009737B6">
              <w:rPr>
                <w:rFonts w:ascii="Times New Roman" w:hAnsi="Times New Roman" w:cs="Times New Roman"/>
                <w:b/>
                <w:color w:val="000000" w:themeColor="text1"/>
                <w:sz w:val="18"/>
                <w:szCs w:val="18"/>
                <w:lang w:val="en-US"/>
              </w:rPr>
              <w:t>kg</w:t>
            </w:r>
            <w:r w:rsidR="00BD243C" w:rsidRPr="009737B6">
              <w:rPr>
                <w:rFonts w:ascii="Times New Roman" w:hAnsi="Times New Roman" w:cs="Times New Roman"/>
                <w:b/>
                <w:color w:val="000000" w:themeColor="text1"/>
                <w:sz w:val="18"/>
                <w:szCs w:val="18"/>
                <w:lang w:val="en-US"/>
              </w:rPr>
              <w:t>·</w:t>
            </w:r>
            <w:r w:rsidR="00B26C97" w:rsidRPr="009737B6">
              <w:rPr>
                <w:rFonts w:ascii="Times New Roman" w:hAnsi="Times New Roman" w:cs="Times New Roman"/>
                <w:b/>
                <w:color w:val="000000" w:themeColor="text1"/>
                <w:sz w:val="18"/>
                <w:szCs w:val="18"/>
                <w:lang w:val="en-US"/>
              </w:rPr>
              <w:t>s</w:t>
            </w:r>
            <w:r w:rsidR="00BD243C" w:rsidRPr="009737B6">
              <w:rPr>
                <w:rFonts w:ascii="Times New Roman" w:hAnsi="Times New Roman" w:cs="Times New Roman"/>
                <w:b/>
                <w:color w:val="000000" w:themeColor="text1"/>
                <w:sz w:val="18"/>
                <w:szCs w:val="18"/>
                <w:vertAlign w:val="superscript"/>
                <w:lang w:val="en-US"/>
              </w:rPr>
              <w:t>-1</w:t>
            </w:r>
          </w:p>
        </w:tc>
        <w:tc>
          <w:tcPr>
            <w:tcW w:w="1120" w:type="dxa"/>
            <w:tcBorders>
              <w:top w:val="single" w:sz="4" w:space="0" w:color="auto"/>
              <w:left w:val="nil"/>
              <w:bottom w:val="single" w:sz="4" w:space="0" w:color="auto"/>
              <w:right w:val="nil"/>
            </w:tcBorders>
          </w:tcPr>
          <w:p w14:paraId="0AB1A4FE" w14:textId="77777777" w:rsidR="00B26C97" w:rsidRPr="009737B6" w:rsidRDefault="00B26C97" w:rsidP="0027656E">
            <w:pPr>
              <w:pStyle w:val="IOP-CS-TableLeftColumn"/>
              <w:jc w:val="center"/>
              <w:rPr>
                <w:rFonts w:ascii="Times New Roman" w:hAnsi="Times New Roman" w:cs="Times New Roman"/>
                <w:b/>
                <w:color w:val="000000" w:themeColor="text1"/>
                <w:sz w:val="18"/>
                <w:szCs w:val="18"/>
                <w:lang w:val="en-US"/>
              </w:rPr>
            </w:pPr>
            <w:r w:rsidRPr="009737B6">
              <w:rPr>
                <w:rFonts w:ascii="Times New Roman" w:hAnsi="Times New Roman" w:cs="Times New Roman"/>
                <w:b/>
                <w:color w:val="000000" w:themeColor="text1"/>
                <w:sz w:val="18"/>
                <w:szCs w:val="18"/>
                <w:lang w:val="en-US"/>
              </w:rPr>
              <w:t>Pa/Ta</w:t>
            </w:r>
          </w:p>
        </w:tc>
        <w:tc>
          <w:tcPr>
            <w:tcW w:w="1143" w:type="dxa"/>
            <w:tcBorders>
              <w:top w:val="single" w:sz="4" w:space="0" w:color="auto"/>
              <w:left w:val="nil"/>
              <w:bottom w:val="single" w:sz="4" w:space="0" w:color="auto"/>
              <w:right w:val="nil"/>
            </w:tcBorders>
          </w:tcPr>
          <w:p w14:paraId="5C136323" w14:textId="6B6B8744" w:rsidR="00B26C97" w:rsidRPr="009737B6" w:rsidRDefault="00157ED1" w:rsidP="0027656E">
            <w:pPr>
              <w:pStyle w:val="IOP-CS-TableLeftColumn"/>
              <w:jc w:val="center"/>
              <w:rPr>
                <w:rFonts w:ascii="Times New Roman" w:hAnsi="Times New Roman" w:cs="Times New Roman"/>
                <w:b/>
                <w:color w:val="000000" w:themeColor="text1"/>
                <w:sz w:val="18"/>
                <w:szCs w:val="18"/>
                <w:lang w:val="en-US"/>
              </w:rPr>
            </w:pPr>
            <m:oMath>
              <m:sSub>
                <m:sSubPr>
                  <m:ctrlPr>
                    <w:rPr>
                      <w:rFonts w:ascii="Cambria Math" w:hAnsi="Cambria Math" w:cs="Times New Roman"/>
                      <w:b/>
                      <w:color w:val="000000" w:themeColor="text1"/>
                      <w:sz w:val="18"/>
                      <w:szCs w:val="18"/>
                      <w:lang w:val="en-US"/>
                    </w:rPr>
                  </m:ctrlPr>
                </m:sSubPr>
                <m:e>
                  <m:r>
                    <m:rPr>
                      <m:sty m:val="bi"/>
                    </m:rPr>
                    <w:rPr>
                      <w:rFonts w:ascii="Cambria Math" w:hAnsi="Cambria Math" w:cs="Times New Roman"/>
                      <w:color w:val="000000" w:themeColor="text1"/>
                      <w:sz w:val="18"/>
                      <w:szCs w:val="18"/>
                      <w:lang w:val="en-US"/>
                    </w:rPr>
                    <m:t>m</m:t>
                  </m:r>
                </m:e>
                <m:sub>
                  <m:r>
                    <m:rPr>
                      <m:sty m:val="b"/>
                    </m:rPr>
                    <w:rPr>
                      <w:rFonts w:ascii="Cambria Math" w:hAnsi="Cambria Math" w:cs="Times New Roman"/>
                      <w:color w:val="000000" w:themeColor="text1"/>
                      <w:sz w:val="18"/>
                      <w:szCs w:val="18"/>
                      <w:lang w:val="en-US"/>
                    </w:rPr>
                    <m:t>2</m:t>
                  </m:r>
                </m:sub>
              </m:sSub>
              <m:r>
                <m:rPr>
                  <m:sty m:val="b"/>
                </m:rPr>
                <w:rPr>
                  <w:rFonts w:ascii="Cambria Math" w:hAnsi="Cambria Math" w:cs="Times New Roman"/>
                  <w:color w:val="000000" w:themeColor="text1"/>
                  <w:sz w:val="18"/>
                  <w:szCs w:val="18"/>
                  <w:lang w:val="en-US"/>
                </w:rPr>
                <m:t xml:space="preserve">, </m:t>
              </m:r>
            </m:oMath>
            <w:r w:rsidR="00BD243C" w:rsidRPr="009737B6">
              <w:rPr>
                <w:rFonts w:ascii="Times New Roman" w:hAnsi="Times New Roman" w:cs="Times New Roman"/>
                <w:b/>
                <w:color w:val="000000" w:themeColor="text1"/>
                <w:sz w:val="18"/>
                <w:szCs w:val="18"/>
                <w:lang w:val="en-US"/>
              </w:rPr>
              <w:t>kg·s</w:t>
            </w:r>
            <w:r w:rsidR="00BD243C" w:rsidRPr="009737B6">
              <w:rPr>
                <w:rFonts w:ascii="Times New Roman" w:hAnsi="Times New Roman" w:cs="Times New Roman"/>
                <w:b/>
                <w:color w:val="000000" w:themeColor="text1"/>
                <w:sz w:val="18"/>
                <w:szCs w:val="18"/>
                <w:vertAlign w:val="superscript"/>
                <w:lang w:val="en-US"/>
              </w:rPr>
              <w:t>-1</w:t>
            </w:r>
          </w:p>
        </w:tc>
        <w:tc>
          <w:tcPr>
            <w:tcW w:w="1123" w:type="dxa"/>
            <w:tcBorders>
              <w:top w:val="single" w:sz="4" w:space="0" w:color="auto"/>
              <w:left w:val="nil"/>
              <w:bottom w:val="single" w:sz="4" w:space="0" w:color="auto"/>
              <w:right w:val="nil"/>
            </w:tcBorders>
          </w:tcPr>
          <w:p w14:paraId="6ECF1EC3" w14:textId="77777777" w:rsidR="00B26C97" w:rsidRPr="009737B6" w:rsidRDefault="00B26C97" w:rsidP="0027656E">
            <w:pPr>
              <w:pStyle w:val="IOP-CS-TableLeftColumn"/>
              <w:jc w:val="center"/>
              <w:rPr>
                <w:rFonts w:ascii="Times New Roman" w:hAnsi="Times New Roman" w:cs="Times New Roman"/>
                <w:b/>
                <w:color w:val="000000" w:themeColor="text1"/>
                <w:sz w:val="18"/>
                <w:szCs w:val="18"/>
                <w:lang w:val="en-US"/>
              </w:rPr>
            </w:pPr>
            <w:r w:rsidRPr="009737B6">
              <w:rPr>
                <w:rFonts w:ascii="Times New Roman" w:hAnsi="Times New Roman" w:cs="Times New Roman"/>
                <w:b/>
                <w:color w:val="000000" w:themeColor="text1"/>
                <w:sz w:val="18"/>
                <w:szCs w:val="18"/>
                <w:lang w:val="en-US"/>
              </w:rPr>
              <w:t>Pu/Tu</w:t>
            </w:r>
          </w:p>
        </w:tc>
        <w:tc>
          <w:tcPr>
            <w:tcW w:w="1144" w:type="dxa"/>
            <w:tcBorders>
              <w:top w:val="single" w:sz="4" w:space="0" w:color="auto"/>
              <w:left w:val="nil"/>
              <w:bottom w:val="single" w:sz="4" w:space="0" w:color="auto"/>
              <w:right w:val="nil"/>
            </w:tcBorders>
          </w:tcPr>
          <w:p w14:paraId="1ADC1202" w14:textId="526A57ED" w:rsidR="00B26C97" w:rsidRPr="009737B6" w:rsidRDefault="00157ED1" w:rsidP="0027656E">
            <w:pPr>
              <w:pStyle w:val="IOP-CS-TableLeftColumn"/>
              <w:jc w:val="center"/>
              <w:rPr>
                <w:rFonts w:ascii="Times New Roman" w:hAnsi="Times New Roman" w:cs="Times New Roman"/>
                <w:b/>
                <w:color w:val="000000" w:themeColor="text1"/>
                <w:sz w:val="18"/>
                <w:szCs w:val="18"/>
                <w:lang w:val="en-US"/>
              </w:rPr>
            </w:pPr>
            <m:oMath>
              <m:sSub>
                <m:sSubPr>
                  <m:ctrlPr>
                    <w:rPr>
                      <w:rFonts w:ascii="Cambria Math" w:hAnsi="Cambria Math" w:cs="Times New Roman"/>
                      <w:b/>
                      <w:color w:val="000000" w:themeColor="text1"/>
                      <w:sz w:val="18"/>
                      <w:szCs w:val="18"/>
                      <w:lang w:val="en-US"/>
                    </w:rPr>
                  </m:ctrlPr>
                </m:sSubPr>
                <m:e>
                  <m:r>
                    <m:rPr>
                      <m:sty m:val="bi"/>
                    </m:rPr>
                    <w:rPr>
                      <w:rFonts w:ascii="Cambria Math" w:hAnsi="Cambria Math" w:cs="Times New Roman"/>
                      <w:color w:val="000000" w:themeColor="text1"/>
                      <w:sz w:val="18"/>
                      <w:szCs w:val="18"/>
                      <w:lang w:val="en-US"/>
                    </w:rPr>
                    <m:t>m</m:t>
                  </m:r>
                </m:e>
                <m:sub>
                  <m:r>
                    <m:rPr>
                      <m:sty m:val="b"/>
                    </m:rPr>
                    <w:rPr>
                      <w:rFonts w:ascii="Cambria Math" w:hAnsi="Cambria Math" w:cs="Times New Roman"/>
                      <w:color w:val="000000" w:themeColor="text1"/>
                      <w:sz w:val="18"/>
                      <w:szCs w:val="18"/>
                      <w:lang w:val="en-US"/>
                    </w:rPr>
                    <m:t>3</m:t>
                  </m:r>
                </m:sub>
              </m:sSub>
              <m:r>
                <m:rPr>
                  <m:sty m:val="b"/>
                </m:rPr>
                <w:rPr>
                  <w:rFonts w:ascii="Cambria Math" w:hAnsi="Cambria Math" w:cs="Times New Roman"/>
                  <w:color w:val="000000" w:themeColor="text1"/>
                  <w:sz w:val="18"/>
                  <w:szCs w:val="18"/>
                  <w:lang w:val="en-US"/>
                </w:rPr>
                <m:t xml:space="preserve">, </m:t>
              </m:r>
            </m:oMath>
            <w:r w:rsidR="00BD243C" w:rsidRPr="009737B6">
              <w:rPr>
                <w:rFonts w:ascii="Times New Roman" w:hAnsi="Times New Roman" w:cs="Times New Roman"/>
                <w:b/>
                <w:color w:val="000000" w:themeColor="text1"/>
                <w:sz w:val="18"/>
                <w:szCs w:val="18"/>
                <w:lang w:val="en-US"/>
              </w:rPr>
              <w:t>kg·s</w:t>
            </w:r>
            <w:r w:rsidR="00BD243C" w:rsidRPr="009737B6">
              <w:rPr>
                <w:rFonts w:ascii="Times New Roman" w:hAnsi="Times New Roman" w:cs="Times New Roman"/>
                <w:b/>
                <w:color w:val="000000" w:themeColor="text1"/>
                <w:sz w:val="18"/>
                <w:szCs w:val="18"/>
                <w:vertAlign w:val="superscript"/>
                <w:lang w:val="en-US"/>
              </w:rPr>
              <w:t>-1</w:t>
            </w:r>
          </w:p>
        </w:tc>
      </w:tr>
      <w:tr w:rsidR="009737B6" w:rsidRPr="009737B6" w14:paraId="1CE0C4C2" w14:textId="77777777" w:rsidTr="0027656E">
        <w:tc>
          <w:tcPr>
            <w:tcW w:w="1105" w:type="dxa"/>
            <w:tcBorders>
              <w:top w:val="single" w:sz="4" w:space="0" w:color="auto"/>
              <w:left w:val="nil"/>
              <w:bottom w:val="nil"/>
            </w:tcBorders>
          </w:tcPr>
          <w:p w14:paraId="5BEFF268"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p>
        </w:tc>
        <w:tc>
          <w:tcPr>
            <w:tcW w:w="1123" w:type="dxa"/>
            <w:tcBorders>
              <w:top w:val="single" w:sz="4" w:space="0" w:color="auto"/>
              <w:bottom w:val="nil"/>
            </w:tcBorders>
          </w:tcPr>
          <w:p w14:paraId="1F33556D" w14:textId="2CEE0533"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977/250</w:t>
            </w:r>
          </w:p>
        </w:tc>
        <w:tc>
          <w:tcPr>
            <w:tcW w:w="1115" w:type="dxa"/>
            <w:tcBorders>
              <w:top w:val="single" w:sz="4" w:space="0" w:color="auto"/>
              <w:bottom w:val="nil"/>
            </w:tcBorders>
          </w:tcPr>
          <w:p w14:paraId="0F6101A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0.156</w:t>
            </w:r>
          </w:p>
        </w:tc>
        <w:tc>
          <w:tcPr>
            <w:tcW w:w="1143" w:type="dxa"/>
            <w:tcBorders>
              <w:top w:val="single" w:sz="4" w:space="0" w:color="auto"/>
              <w:bottom w:val="nil"/>
            </w:tcBorders>
          </w:tcPr>
          <w:p w14:paraId="178A23D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0.156</w:t>
            </w:r>
          </w:p>
        </w:tc>
        <w:tc>
          <w:tcPr>
            <w:tcW w:w="1120" w:type="dxa"/>
            <w:tcBorders>
              <w:top w:val="single" w:sz="4" w:space="0" w:color="auto"/>
              <w:bottom w:val="nil"/>
            </w:tcBorders>
          </w:tcPr>
          <w:p w14:paraId="298DA85A" w14:textId="1A352F76"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148/100</w:t>
            </w:r>
          </w:p>
        </w:tc>
        <w:tc>
          <w:tcPr>
            <w:tcW w:w="1143" w:type="dxa"/>
            <w:tcBorders>
              <w:top w:val="single" w:sz="4" w:space="0" w:color="auto"/>
              <w:bottom w:val="nil"/>
            </w:tcBorders>
          </w:tcPr>
          <w:p w14:paraId="3A8055D8"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1.15</w:t>
            </w:r>
          </w:p>
        </w:tc>
        <w:tc>
          <w:tcPr>
            <w:tcW w:w="1123" w:type="dxa"/>
            <w:tcBorders>
              <w:top w:val="single" w:sz="4" w:space="0" w:color="auto"/>
              <w:bottom w:val="nil"/>
            </w:tcBorders>
          </w:tcPr>
          <w:p w14:paraId="686A0E71" w14:textId="111E5E32"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700/160</w:t>
            </w:r>
          </w:p>
        </w:tc>
        <w:tc>
          <w:tcPr>
            <w:tcW w:w="1144" w:type="dxa"/>
            <w:tcBorders>
              <w:top w:val="single" w:sz="4" w:space="0" w:color="auto"/>
              <w:bottom w:val="nil"/>
              <w:right w:val="nil"/>
            </w:tcBorders>
          </w:tcPr>
          <w:p w14:paraId="47B8F02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1.22</w:t>
            </w:r>
          </w:p>
        </w:tc>
      </w:tr>
      <w:tr w:rsidR="009737B6" w:rsidRPr="009737B6" w14:paraId="4800EA47" w14:textId="77777777" w:rsidTr="0027656E">
        <w:tc>
          <w:tcPr>
            <w:tcW w:w="1105" w:type="dxa"/>
            <w:tcBorders>
              <w:top w:val="nil"/>
              <w:left w:val="nil"/>
              <w:bottom w:val="nil"/>
            </w:tcBorders>
          </w:tcPr>
          <w:p w14:paraId="75E904B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p>
        </w:tc>
        <w:tc>
          <w:tcPr>
            <w:tcW w:w="1123" w:type="dxa"/>
            <w:tcBorders>
              <w:top w:val="nil"/>
              <w:bottom w:val="nil"/>
            </w:tcBorders>
          </w:tcPr>
          <w:p w14:paraId="0767C4B1" w14:textId="338C6C18"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976/250</w:t>
            </w:r>
          </w:p>
        </w:tc>
        <w:tc>
          <w:tcPr>
            <w:tcW w:w="1115" w:type="dxa"/>
            <w:tcBorders>
              <w:top w:val="nil"/>
              <w:bottom w:val="nil"/>
            </w:tcBorders>
          </w:tcPr>
          <w:p w14:paraId="32F181D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0.22</w:t>
            </w:r>
          </w:p>
        </w:tc>
        <w:tc>
          <w:tcPr>
            <w:tcW w:w="1143" w:type="dxa"/>
            <w:tcBorders>
              <w:top w:val="nil"/>
              <w:bottom w:val="nil"/>
            </w:tcBorders>
          </w:tcPr>
          <w:p w14:paraId="760F9A4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0.22</w:t>
            </w:r>
          </w:p>
        </w:tc>
        <w:tc>
          <w:tcPr>
            <w:tcW w:w="1120" w:type="dxa"/>
            <w:tcBorders>
              <w:top w:val="nil"/>
              <w:bottom w:val="nil"/>
            </w:tcBorders>
          </w:tcPr>
          <w:p w14:paraId="4F9F83D1" w14:textId="056A6F5A"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148/100</w:t>
            </w:r>
          </w:p>
        </w:tc>
        <w:tc>
          <w:tcPr>
            <w:tcW w:w="1143" w:type="dxa"/>
            <w:tcBorders>
              <w:top w:val="nil"/>
              <w:bottom w:val="nil"/>
            </w:tcBorders>
          </w:tcPr>
          <w:p w14:paraId="3590CEE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1.2</w:t>
            </w:r>
          </w:p>
        </w:tc>
        <w:tc>
          <w:tcPr>
            <w:tcW w:w="1123" w:type="dxa"/>
            <w:tcBorders>
              <w:top w:val="nil"/>
              <w:bottom w:val="nil"/>
            </w:tcBorders>
          </w:tcPr>
          <w:p w14:paraId="0F5E55ED" w14:textId="55105577"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700/174</w:t>
            </w:r>
          </w:p>
        </w:tc>
        <w:tc>
          <w:tcPr>
            <w:tcW w:w="1144" w:type="dxa"/>
            <w:tcBorders>
              <w:top w:val="nil"/>
              <w:bottom w:val="nil"/>
              <w:right w:val="nil"/>
            </w:tcBorders>
          </w:tcPr>
          <w:p w14:paraId="31132F0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1.22</w:t>
            </w:r>
          </w:p>
        </w:tc>
      </w:tr>
      <w:tr w:rsidR="009737B6" w:rsidRPr="009737B6" w14:paraId="3A4035F9" w14:textId="77777777" w:rsidTr="0027656E">
        <w:tc>
          <w:tcPr>
            <w:tcW w:w="1105" w:type="dxa"/>
            <w:tcBorders>
              <w:top w:val="nil"/>
              <w:left w:val="nil"/>
              <w:bottom w:val="nil"/>
            </w:tcBorders>
          </w:tcPr>
          <w:p w14:paraId="6628767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w:t>
            </w:r>
          </w:p>
        </w:tc>
        <w:tc>
          <w:tcPr>
            <w:tcW w:w="1123" w:type="dxa"/>
            <w:tcBorders>
              <w:top w:val="nil"/>
              <w:bottom w:val="nil"/>
            </w:tcBorders>
          </w:tcPr>
          <w:p w14:paraId="39568B4D" w14:textId="2D1BAB56"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123/185</w:t>
            </w:r>
          </w:p>
        </w:tc>
        <w:tc>
          <w:tcPr>
            <w:tcW w:w="1115" w:type="dxa"/>
            <w:tcBorders>
              <w:top w:val="nil"/>
              <w:bottom w:val="nil"/>
            </w:tcBorders>
          </w:tcPr>
          <w:p w14:paraId="482AE668"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0.156</w:t>
            </w:r>
          </w:p>
        </w:tc>
        <w:tc>
          <w:tcPr>
            <w:tcW w:w="1143" w:type="dxa"/>
            <w:tcBorders>
              <w:top w:val="nil"/>
              <w:bottom w:val="nil"/>
            </w:tcBorders>
          </w:tcPr>
          <w:p w14:paraId="30D6110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0.156</w:t>
            </w:r>
          </w:p>
        </w:tc>
        <w:tc>
          <w:tcPr>
            <w:tcW w:w="1120" w:type="dxa"/>
            <w:tcBorders>
              <w:top w:val="nil"/>
              <w:bottom w:val="nil"/>
            </w:tcBorders>
          </w:tcPr>
          <w:p w14:paraId="1F580CF1" w14:textId="5F3E8CFC"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148/100</w:t>
            </w:r>
          </w:p>
        </w:tc>
        <w:tc>
          <w:tcPr>
            <w:tcW w:w="1143" w:type="dxa"/>
            <w:tcBorders>
              <w:top w:val="nil"/>
              <w:bottom w:val="nil"/>
            </w:tcBorders>
          </w:tcPr>
          <w:p w14:paraId="0FF53366"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1.15</w:t>
            </w:r>
          </w:p>
        </w:tc>
        <w:tc>
          <w:tcPr>
            <w:tcW w:w="1123" w:type="dxa"/>
            <w:tcBorders>
              <w:top w:val="nil"/>
              <w:bottom w:val="nil"/>
            </w:tcBorders>
          </w:tcPr>
          <w:p w14:paraId="4CC18C39" w14:textId="6EABA3FF"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700/94</w:t>
            </w:r>
          </w:p>
        </w:tc>
        <w:tc>
          <w:tcPr>
            <w:tcW w:w="1144" w:type="dxa"/>
            <w:tcBorders>
              <w:top w:val="nil"/>
              <w:bottom w:val="nil"/>
              <w:right w:val="nil"/>
            </w:tcBorders>
          </w:tcPr>
          <w:p w14:paraId="382D3B14"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1.22</w:t>
            </w:r>
          </w:p>
        </w:tc>
      </w:tr>
      <w:tr w:rsidR="009737B6" w:rsidRPr="009737B6" w14:paraId="0339B0B4" w14:textId="77777777" w:rsidTr="0027656E">
        <w:tc>
          <w:tcPr>
            <w:tcW w:w="1105" w:type="dxa"/>
            <w:tcBorders>
              <w:top w:val="nil"/>
              <w:left w:val="nil"/>
              <w:bottom w:val="nil"/>
            </w:tcBorders>
          </w:tcPr>
          <w:p w14:paraId="4C6364C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4</w:t>
            </w:r>
          </w:p>
        </w:tc>
        <w:tc>
          <w:tcPr>
            <w:tcW w:w="1123" w:type="dxa"/>
            <w:tcBorders>
              <w:top w:val="nil"/>
              <w:bottom w:val="nil"/>
            </w:tcBorders>
          </w:tcPr>
          <w:p w14:paraId="1C1DFF89" w14:textId="1988DB2F"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123/185</w:t>
            </w:r>
          </w:p>
        </w:tc>
        <w:tc>
          <w:tcPr>
            <w:tcW w:w="1115" w:type="dxa"/>
            <w:tcBorders>
              <w:top w:val="nil"/>
              <w:bottom w:val="nil"/>
            </w:tcBorders>
          </w:tcPr>
          <w:p w14:paraId="45E0EB0F"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0.35</w:t>
            </w:r>
          </w:p>
        </w:tc>
        <w:tc>
          <w:tcPr>
            <w:tcW w:w="1143" w:type="dxa"/>
            <w:tcBorders>
              <w:top w:val="nil"/>
              <w:bottom w:val="nil"/>
            </w:tcBorders>
          </w:tcPr>
          <w:p w14:paraId="60A67271"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0.35</w:t>
            </w:r>
          </w:p>
        </w:tc>
        <w:tc>
          <w:tcPr>
            <w:tcW w:w="1120" w:type="dxa"/>
            <w:tcBorders>
              <w:top w:val="nil"/>
              <w:bottom w:val="nil"/>
            </w:tcBorders>
          </w:tcPr>
          <w:p w14:paraId="6C814AA4" w14:textId="7DB38FB6"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148/100</w:t>
            </w:r>
          </w:p>
        </w:tc>
        <w:tc>
          <w:tcPr>
            <w:tcW w:w="1143" w:type="dxa"/>
            <w:tcBorders>
              <w:top w:val="nil"/>
              <w:bottom w:val="nil"/>
            </w:tcBorders>
          </w:tcPr>
          <w:p w14:paraId="37195D81"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2.0</w:t>
            </w:r>
          </w:p>
        </w:tc>
        <w:tc>
          <w:tcPr>
            <w:tcW w:w="1123" w:type="dxa"/>
            <w:tcBorders>
              <w:top w:val="nil"/>
              <w:bottom w:val="nil"/>
            </w:tcBorders>
          </w:tcPr>
          <w:p w14:paraId="6324F54E" w14:textId="49BF71CF"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700/90</w:t>
            </w:r>
          </w:p>
        </w:tc>
        <w:tc>
          <w:tcPr>
            <w:tcW w:w="1144" w:type="dxa"/>
            <w:tcBorders>
              <w:top w:val="nil"/>
              <w:bottom w:val="nil"/>
              <w:right w:val="nil"/>
            </w:tcBorders>
          </w:tcPr>
          <w:p w14:paraId="1BE38A34"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1.22</w:t>
            </w:r>
          </w:p>
        </w:tc>
      </w:tr>
      <w:tr w:rsidR="009737B6" w:rsidRPr="009737B6" w14:paraId="109ED56B" w14:textId="77777777" w:rsidTr="0027656E">
        <w:tc>
          <w:tcPr>
            <w:tcW w:w="1105" w:type="dxa"/>
            <w:tcBorders>
              <w:top w:val="nil"/>
              <w:left w:val="nil"/>
              <w:bottom w:val="nil"/>
            </w:tcBorders>
          </w:tcPr>
          <w:p w14:paraId="573CABA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5</w:t>
            </w:r>
          </w:p>
        </w:tc>
        <w:tc>
          <w:tcPr>
            <w:tcW w:w="1123" w:type="dxa"/>
            <w:tcBorders>
              <w:top w:val="nil"/>
              <w:bottom w:val="nil"/>
            </w:tcBorders>
          </w:tcPr>
          <w:p w14:paraId="4D9108D8" w14:textId="324D64DB"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976/250</w:t>
            </w:r>
          </w:p>
        </w:tc>
        <w:tc>
          <w:tcPr>
            <w:tcW w:w="1115" w:type="dxa"/>
            <w:tcBorders>
              <w:top w:val="nil"/>
              <w:bottom w:val="nil"/>
            </w:tcBorders>
          </w:tcPr>
          <w:p w14:paraId="500D30A4"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0.157</w:t>
            </w:r>
          </w:p>
        </w:tc>
        <w:tc>
          <w:tcPr>
            <w:tcW w:w="1143" w:type="dxa"/>
            <w:tcBorders>
              <w:top w:val="nil"/>
              <w:bottom w:val="nil"/>
            </w:tcBorders>
          </w:tcPr>
          <w:p w14:paraId="250FEC2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0.156</w:t>
            </w:r>
          </w:p>
        </w:tc>
        <w:tc>
          <w:tcPr>
            <w:tcW w:w="1120" w:type="dxa"/>
            <w:tcBorders>
              <w:top w:val="nil"/>
              <w:bottom w:val="nil"/>
            </w:tcBorders>
          </w:tcPr>
          <w:p w14:paraId="6EE46A10" w14:textId="6C9D3618"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700/106</w:t>
            </w:r>
          </w:p>
        </w:tc>
        <w:tc>
          <w:tcPr>
            <w:tcW w:w="1143" w:type="dxa"/>
            <w:tcBorders>
              <w:top w:val="nil"/>
              <w:bottom w:val="nil"/>
            </w:tcBorders>
          </w:tcPr>
          <w:p w14:paraId="4BC5E159"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1.05</w:t>
            </w:r>
          </w:p>
        </w:tc>
        <w:tc>
          <w:tcPr>
            <w:tcW w:w="1123" w:type="dxa"/>
            <w:tcBorders>
              <w:top w:val="nil"/>
              <w:bottom w:val="nil"/>
            </w:tcBorders>
          </w:tcPr>
          <w:p w14:paraId="0162DECA" w14:textId="507DFBEC"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700/145</w:t>
            </w:r>
          </w:p>
        </w:tc>
        <w:tc>
          <w:tcPr>
            <w:tcW w:w="1144" w:type="dxa"/>
            <w:tcBorders>
              <w:top w:val="nil"/>
              <w:bottom w:val="nil"/>
              <w:right w:val="nil"/>
            </w:tcBorders>
          </w:tcPr>
          <w:p w14:paraId="49099B7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1.95</w:t>
            </w:r>
          </w:p>
        </w:tc>
      </w:tr>
      <w:tr w:rsidR="009737B6" w:rsidRPr="009737B6" w14:paraId="7DE53BC4" w14:textId="77777777" w:rsidTr="0027656E">
        <w:tc>
          <w:tcPr>
            <w:tcW w:w="1105" w:type="dxa"/>
            <w:tcBorders>
              <w:top w:val="nil"/>
              <w:left w:val="nil"/>
              <w:bottom w:val="nil"/>
            </w:tcBorders>
          </w:tcPr>
          <w:p w14:paraId="386E21F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6</w:t>
            </w:r>
          </w:p>
        </w:tc>
        <w:tc>
          <w:tcPr>
            <w:tcW w:w="1123" w:type="dxa"/>
            <w:tcBorders>
              <w:top w:val="nil"/>
              <w:bottom w:val="nil"/>
            </w:tcBorders>
          </w:tcPr>
          <w:p w14:paraId="741AE8FC" w14:textId="5E22E3AC"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123/185</w:t>
            </w:r>
          </w:p>
        </w:tc>
        <w:tc>
          <w:tcPr>
            <w:tcW w:w="1115" w:type="dxa"/>
            <w:tcBorders>
              <w:top w:val="nil"/>
              <w:bottom w:val="nil"/>
            </w:tcBorders>
          </w:tcPr>
          <w:p w14:paraId="4768F1F9"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0.156</w:t>
            </w:r>
          </w:p>
        </w:tc>
        <w:tc>
          <w:tcPr>
            <w:tcW w:w="1143" w:type="dxa"/>
            <w:tcBorders>
              <w:top w:val="nil"/>
              <w:bottom w:val="nil"/>
            </w:tcBorders>
          </w:tcPr>
          <w:p w14:paraId="2017C2F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0.156</w:t>
            </w:r>
          </w:p>
        </w:tc>
        <w:tc>
          <w:tcPr>
            <w:tcW w:w="1120" w:type="dxa"/>
            <w:tcBorders>
              <w:top w:val="nil"/>
              <w:bottom w:val="nil"/>
            </w:tcBorders>
          </w:tcPr>
          <w:p w14:paraId="4AA01C1B" w14:textId="66313605"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700/106</w:t>
            </w:r>
          </w:p>
        </w:tc>
        <w:tc>
          <w:tcPr>
            <w:tcW w:w="1143" w:type="dxa"/>
            <w:tcBorders>
              <w:top w:val="nil"/>
              <w:bottom w:val="nil"/>
            </w:tcBorders>
          </w:tcPr>
          <w:p w14:paraId="7B631A7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1.12</w:t>
            </w:r>
          </w:p>
        </w:tc>
        <w:tc>
          <w:tcPr>
            <w:tcW w:w="1123" w:type="dxa"/>
            <w:tcBorders>
              <w:top w:val="nil"/>
              <w:bottom w:val="nil"/>
            </w:tcBorders>
          </w:tcPr>
          <w:p w14:paraId="23FC0FB8" w14:textId="0C3671E4"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700/145</w:t>
            </w:r>
          </w:p>
        </w:tc>
        <w:tc>
          <w:tcPr>
            <w:tcW w:w="1144" w:type="dxa"/>
            <w:tcBorders>
              <w:top w:val="nil"/>
              <w:bottom w:val="nil"/>
              <w:right w:val="nil"/>
            </w:tcBorders>
          </w:tcPr>
          <w:p w14:paraId="17F3C55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1.5</w:t>
            </w:r>
          </w:p>
        </w:tc>
      </w:tr>
      <w:tr w:rsidR="009737B6" w:rsidRPr="009737B6" w14:paraId="00F311C9" w14:textId="77777777" w:rsidTr="0027656E">
        <w:tc>
          <w:tcPr>
            <w:tcW w:w="1105" w:type="dxa"/>
            <w:tcBorders>
              <w:top w:val="nil"/>
              <w:left w:val="nil"/>
              <w:bottom w:val="nil"/>
            </w:tcBorders>
          </w:tcPr>
          <w:p w14:paraId="5E32C6C3"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7</w:t>
            </w:r>
          </w:p>
        </w:tc>
        <w:tc>
          <w:tcPr>
            <w:tcW w:w="1123" w:type="dxa"/>
            <w:tcBorders>
              <w:top w:val="nil"/>
              <w:bottom w:val="nil"/>
            </w:tcBorders>
          </w:tcPr>
          <w:p w14:paraId="5D000AB8" w14:textId="7B852D93"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123/185</w:t>
            </w:r>
          </w:p>
        </w:tc>
        <w:tc>
          <w:tcPr>
            <w:tcW w:w="1115" w:type="dxa"/>
            <w:tcBorders>
              <w:top w:val="nil"/>
              <w:bottom w:val="nil"/>
            </w:tcBorders>
          </w:tcPr>
          <w:p w14:paraId="65A8138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0.22</w:t>
            </w:r>
          </w:p>
        </w:tc>
        <w:tc>
          <w:tcPr>
            <w:tcW w:w="1143" w:type="dxa"/>
            <w:tcBorders>
              <w:top w:val="nil"/>
              <w:bottom w:val="nil"/>
            </w:tcBorders>
          </w:tcPr>
          <w:p w14:paraId="7C02F8D6"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0.22</w:t>
            </w:r>
          </w:p>
        </w:tc>
        <w:tc>
          <w:tcPr>
            <w:tcW w:w="1120" w:type="dxa"/>
            <w:tcBorders>
              <w:top w:val="nil"/>
              <w:bottom w:val="nil"/>
            </w:tcBorders>
          </w:tcPr>
          <w:p w14:paraId="19112A2C" w14:textId="08F24F09"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700/106</w:t>
            </w:r>
          </w:p>
        </w:tc>
        <w:tc>
          <w:tcPr>
            <w:tcW w:w="1143" w:type="dxa"/>
            <w:tcBorders>
              <w:top w:val="nil"/>
              <w:bottom w:val="nil"/>
            </w:tcBorders>
          </w:tcPr>
          <w:p w14:paraId="428B9A59"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1.0</w:t>
            </w:r>
          </w:p>
        </w:tc>
        <w:tc>
          <w:tcPr>
            <w:tcW w:w="1123" w:type="dxa"/>
            <w:tcBorders>
              <w:top w:val="nil"/>
              <w:bottom w:val="nil"/>
            </w:tcBorders>
          </w:tcPr>
          <w:p w14:paraId="00AD234D" w14:textId="1FBBF38C"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700/145</w:t>
            </w:r>
          </w:p>
        </w:tc>
        <w:tc>
          <w:tcPr>
            <w:tcW w:w="1144" w:type="dxa"/>
            <w:tcBorders>
              <w:top w:val="nil"/>
              <w:bottom w:val="nil"/>
              <w:right w:val="nil"/>
            </w:tcBorders>
          </w:tcPr>
          <w:p w14:paraId="0D2FE1B8"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1.0</w:t>
            </w:r>
          </w:p>
        </w:tc>
      </w:tr>
      <w:tr w:rsidR="009737B6" w:rsidRPr="009737B6" w14:paraId="32663709" w14:textId="77777777" w:rsidTr="0027656E">
        <w:tc>
          <w:tcPr>
            <w:tcW w:w="1105" w:type="dxa"/>
            <w:tcBorders>
              <w:top w:val="nil"/>
              <w:left w:val="nil"/>
              <w:bottom w:val="nil"/>
            </w:tcBorders>
          </w:tcPr>
          <w:p w14:paraId="07FE0502"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8</w:t>
            </w:r>
          </w:p>
        </w:tc>
        <w:tc>
          <w:tcPr>
            <w:tcW w:w="1123" w:type="dxa"/>
            <w:tcBorders>
              <w:top w:val="nil"/>
              <w:bottom w:val="nil"/>
            </w:tcBorders>
          </w:tcPr>
          <w:p w14:paraId="3712C34E" w14:textId="3F32566A"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123/185</w:t>
            </w:r>
          </w:p>
        </w:tc>
        <w:tc>
          <w:tcPr>
            <w:tcW w:w="1115" w:type="dxa"/>
            <w:tcBorders>
              <w:top w:val="nil"/>
              <w:bottom w:val="nil"/>
            </w:tcBorders>
          </w:tcPr>
          <w:p w14:paraId="65DB5D0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0.35</w:t>
            </w:r>
          </w:p>
        </w:tc>
        <w:tc>
          <w:tcPr>
            <w:tcW w:w="1143" w:type="dxa"/>
            <w:tcBorders>
              <w:top w:val="nil"/>
              <w:bottom w:val="nil"/>
            </w:tcBorders>
          </w:tcPr>
          <w:p w14:paraId="2B8DB422"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0.35</w:t>
            </w:r>
          </w:p>
        </w:tc>
        <w:tc>
          <w:tcPr>
            <w:tcW w:w="1120" w:type="dxa"/>
            <w:tcBorders>
              <w:top w:val="nil"/>
              <w:bottom w:val="nil"/>
            </w:tcBorders>
          </w:tcPr>
          <w:p w14:paraId="76445237" w14:textId="52CED15A"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148/100</w:t>
            </w:r>
          </w:p>
        </w:tc>
        <w:tc>
          <w:tcPr>
            <w:tcW w:w="1143" w:type="dxa"/>
            <w:tcBorders>
              <w:top w:val="nil"/>
              <w:bottom w:val="nil"/>
            </w:tcBorders>
          </w:tcPr>
          <w:p w14:paraId="36130E54"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2.44</w:t>
            </w:r>
          </w:p>
        </w:tc>
        <w:tc>
          <w:tcPr>
            <w:tcW w:w="1123" w:type="dxa"/>
            <w:tcBorders>
              <w:top w:val="nil"/>
              <w:bottom w:val="nil"/>
            </w:tcBorders>
          </w:tcPr>
          <w:p w14:paraId="14197A38" w14:textId="087B12C9"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700/108</w:t>
            </w:r>
          </w:p>
        </w:tc>
        <w:tc>
          <w:tcPr>
            <w:tcW w:w="1144" w:type="dxa"/>
            <w:tcBorders>
              <w:top w:val="nil"/>
              <w:bottom w:val="nil"/>
              <w:right w:val="nil"/>
            </w:tcBorders>
          </w:tcPr>
          <w:p w14:paraId="307277AF"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1.25</w:t>
            </w:r>
          </w:p>
        </w:tc>
      </w:tr>
      <w:tr w:rsidR="009737B6" w:rsidRPr="009737B6" w14:paraId="1CCE5A1C" w14:textId="77777777" w:rsidTr="0027656E">
        <w:tc>
          <w:tcPr>
            <w:tcW w:w="1105" w:type="dxa"/>
            <w:tcBorders>
              <w:top w:val="nil"/>
              <w:left w:val="nil"/>
              <w:bottom w:val="nil"/>
            </w:tcBorders>
          </w:tcPr>
          <w:p w14:paraId="165A3288"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9</w:t>
            </w:r>
          </w:p>
        </w:tc>
        <w:tc>
          <w:tcPr>
            <w:tcW w:w="1123" w:type="dxa"/>
            <w:tcBorders>
              <w:top w:val="nil"/>
              <w:bottom w:val="nil"/>
            </w:tcBorders>
          </w:tcPr>
          <w:p w14:paraId="1D515237" w14:textId="0929FDA6"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123/185</w:t>
            </w:r>
          </w:p>
        </w:tc>
        <w:tc>
          <w:tcPr>
            <w:tcW w:w="1115" w:type="dxa"/>
            <w:tcBorders>
              <w:top w:val="nil"/>
              <w:bottom w:val="nil"/>
            </w:tcBorders>
          </w:tcPr>
          <w:p w14:paraId="53CBD468"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0.35</w:t>
            </w:r>
          </w:p>
        </w:tc>
        <w:tc>
          <w:tcPr>
            <w:tcW w:w="1143" w:type="dxa"/>
            <w:tcBorders>
              <w:top w:val="nil"/>
              <w:bottom w:val="nil"/>
            </w:tcBorders>
          </w:tcPr>
          <w:p w14:paraId="4DA07E1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0.49</w:t>
            </w:r>
          </w:p>
        </w:tc>
        <w:tc>
          <w:tcPr>
            <w:tcW w:w="1120" w:type="dxa"/>
            <w:tcBorders>
              <w:top w:val="nil"/>
              <w:bottom w:val="nil"/>
            </w:tcBorders>
          </w:tcPr>
          <w:p w14:paraId="2112DA55" w14:textId="634255AA"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148/100</w:t>
            </w:r>
          </w:p>
        </w:tc>
        <w:tc>
          <w:tcPr>
            <w:tcW w:w="1143" w:type="dxa"/>
            <w:tcBorders>
              <w:top w:val="nil"/>
              <w:bottom w:val="nil"/>
            </w:tcBorders>
          </w:tcPr>
          <w:p w14:paraId="6B4EA06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3.42</w:t>
            </w:r>
          </w:p>
        </w:tc>
        <w:tc>
          <w:tcPr>
            <w:tcW w:w="1123" w:type="dxa"/>
            <w:tcBorders>
              <w:top w:val="nil"/>
              <w:bottom w:val="nil"/>
            </w:tcBorders>
          </w:tcPr>
          <w:p w14:paraId="426C9218" w14:textId="748C6316"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700/108</w:t>
            </w:r>
          </w:p>
        </w:tc>
        <w:tc>
          <w:tcPr>
            <w:tcW w:w="1144" w:type="dxa"/>
            <w:tcBorders>
              <w:top w:val="nil"/>
              <w:bottom w:val="nil"/>
              <w:right w:val="nil"/>
            </w:tcBorders>
          </w:tcPr>
          <w:p w14:paraId="5A2D742A"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1.74</w:t>
            </w:r>
          </w:p>
        </w:tc>
      </w:tr>
      <w:tr w:rsidR="009737B6" w:rsidRPr="009737B6" w14:paraId="0DF82DF4" w14:textId="77777777" w:rsidTr="0027656E">
        <w:tc>
          <w:tcPr>
            <w:tcW w:w="1105" w:type="dxa"/>
            <w:tcBorders>
              <w:top w:val="nil"/>
              <w:left w:val="nil"/>
              <w:bottom w:val="nil"/>
            </w:tcBorders>
          </w:tcPr>
          <w:p w14:paraId="33639866"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10</w:t>
            </w:r>
          </w:p>
        </w:tc>
        <w:tc>
          <w:tcPr>
            <w:tcW w:w="1123" w:type="dxa"/>
            <w:tcBorders>
              <w:top w:val="nil"/>
              <w:bottom w:val="nil"/>
            </w:tcBorders>
          </w:tcPr>
          <w:p w14:paraId="0EDA4BB0" w14:textId="1D79EF26"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700/165</w:t>
            </w:r>
          </w:p>
        </w:tc>
        <w:tc>
          <w:tcPr>
            <w:tcW w:w="1115" w:type="dxa"/>
            <w:tcBorders>
              <w:top w:val="nil"/>
              <w:bottom w:val="nil"/>
            </w:tcBorders>
          </w:tcPr>
          <w:p w14:paraId="67964F1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0.157</w:t>
            </w:r>
          </w:p>
        </w:tc>
        <w:tc>
          <w:tcPr>
            <w:tcW w:w="1143" w:type="dxa"/>
            <w:tcBorders>
              <w:top w:val="nil"/>
              <w:bottom w:val="nil"/>
            </w:tcBorders>
          </w:tcPr>
          <w:p w14:paraId="0C6603E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0.47</w:t>
            </w:r>
          </w:p>
        </w:tc>
        <w:tc>
          <w:tcPr>
            <w:tcW w:w="1120" w:type="dxa"/>
            <w:tcBorders>
              <w:top w:val="nil"/>
              <w:bottom w:val="nil"/>
            </w:tcBorders>
          </w:tcPr>
          <w:p w14:paraId="40AF50E9" w14:textId="02DD5126"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700/106</w:t>
            </w:r>
          </w:p>
        </w:tc>
        <w:tc>
          <w:tcPr>
            <w:tcW w:w="1143" w:type="dxa"/>
            <w:tcBorders>
              <w:top w:val="nil"/>
              <w:bottom w:val="nil"/>
            </w:tcBorders>
          </w:tcPr>
          <w:p w14:paraId="20BFDEC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3.0</w:t>
            </w:r>
          </w:p>
        </w:tc>
        <w:tc>
          <w:tcPr>
            <w:tcW w:w="1123" w:type="dxa"/>
            <w:tcBorders>
              <w:top w:val="nil"/>
              <w:bottom w:val="nil"/>
            </w:tcBorders>
          </w:tcPr>
          <w:p w14:paraId="7BD138FF" w14:textId="48C23A6D"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700/145</w:t>
            </w:r>
          </w:p>
        </w:tc>
        <w:tc>
          <w:tcPr>
            <w:tcW w:w="1144" w:type="dxa"/>
            <w:tcBorders>
              <w:top w:val="nil"/>
              <w:bottom w:val="nil"/>
              <w:right w:val="nil"/>
            </w:tcBorders>
          </w:tcPr>
          <w:p w14:paraId="24849942"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1.5</w:t>
            </w:r>
          </w:p>
        </w:tc>
      </w:tr>
      <w:tr w:rsidR="009737B6" w:rsidRPr="009737B6" w14:paraId="3BD8E2D3" w14:textId="77777777" w:rsidTr="0027656E">
        <w:tc>
          <w:tcPr>
            <w:tcW w:w="1105" w:type="dxa"/>
            <w:tcBorders>
              <w:top w:val="nil"/>
              <w:left w:val="nil"/>
              <w:bottom w:val="nil"/>
            </w:tcBorders>
          </w:tcPr>
          <w:p w14:paraId="0507AD3B"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11</w:t>
            </w:r>
          </w:p>
        </w:tc>
        <w:tc>
          <w:tcPr>
            <w:tcW w:w="1123" w:type="dxa"/>
            <w:tcBorders>
              <w:top w:val="nil"/>
              <w:bottom w:val="nil"/>
            </w:tcBorders>
          </w:tcPr>
          <w:p w14:paraId="128D5DC5" w14:textId="20622BAD"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700/165</w:t>
            </w:r>
          </w:p>
        </w:tc>
        <w:tc>
          <w:tcPr>
            <w:tcW w:w="1115" w:type="dxa"/>
            <w:tcBorders>
              <w:top w:val="nil"/>
              <w:bottom w:val="nil"/>
            </w:tcBorders>
          </w:tcPr>
          <w:p w14:paraId="5452FDE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0.22</w:t>
            </w:r>
          </w:p>
        </w:tc>
        <w:tc>
          <w:tcPr>
            <w:tcW w:w="1143" w:type="dxa"/>
            <w:tcBorders>
              <w:top w:val="nil"/>
              <w:bottom w:val="nil"/>
            </w:tcBorders>
          </w:tcPr>
          <w:p w14:paraId="0EE418C9"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0.51</w:t>
            </w:r>
          </w:p>
        </w:tc>
        <w:tc>
          <w:tcPr>
            <w:tcW w:w="1120" w:type="dxa"/>
            <w:tcBorders>
              <w:top w:val="nil"/>
              <w:bottom w:val="nil"/>
            </w:tcBorders>
          </w:tcPr>
          <w:p w14:paraId="5F978686" w14:textId="7F7ED1FA"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700/106</w:t>
            </w:r>
          </w:p>
        </w:tc>
        <w:tc>
          <w:tcPr>
            <w:tcW w:w="1143" w:type="dxa"/>
            <w:tcBorders>
              <w:top w:val="nil"/>
              <w:bottom w:val="nil"/>
            </w:tcBorders>
          </w:tcPr>
          <w:p w14:paraId="5310A2A9"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3.3</w:t>
            </w:r>
          </w:p>
        </w:tc>
        <w:tc>
          <w:tcPr>
            <w:tcW w:w="1123" w:type="dxa"/>
            <w:tcBorders>
              <w:top w:val="nil"/>
              <w:bottom w:val="nil"/>
            </w:tcBorders>
          </w:tcPr>
          <w:p w14:paraId="403D2162" w14:textId="5E48561E"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700/145</w:t>
            </w:r>
          </w:p>
        </w:tc>
        <w:tc>
          <w:tcPr>
            <w:tcW w:w="1144" w:type="dxa"/>
            <w:tcBorders>
              <w:top w:val="nil"/>
              <w:bottom w:val="nil"/>
              <w:right w:val="nil"/>
            </w:tcBorders>
          </w:tcPr>
          <w:p w14:paraId="04368D5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1.25</w:t>
            </w:r>
          </w:p>
        </w:tc>
      </w:tr>
      <w:tr w:rsidR="009737B6" w:rsidRPr="009737B6" w14:paraId="05381613" w14:textId="77777777" w:rsidTr="0027656E">
        <w:tc>
          <w:tcPr>
            <w:tcW w:w="1105" w:type="dxa"/>
            <w:tcBorders>
              <w:top w:val="nil"/>
              <w:left w:val="nil"/>
              <w:bottom w:val="nil"/>
            </w:tcBorders>
          </w:tcPr>
          <w:p w14:paraId="0A82968B"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12</w:t>
            </w:r>
          </w:p>
        </w:tc>
        <w:tc>
          <w:tcPr>
            <w:tcW w:w="1123" w:type="dxa"/>
            <w:tcBorders>
              <w:top w:val="nil"/>
              <w:bottom w:val="nil"/>
            </w:tcBorders>
          </w:tcPr>
          <w:p w14:paraId="4ED5F676" w14:textId="2AF47451"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123/185</w:t>
            </w:r>
          </w:p>
        </w:tc>
        <w:tc>
          <w:tcPr>
            <w:tcW w:w="1115" w:type="dxa"/>
            <w:tcBorders>
              <w:top w:val="nil"/>
              <w:bottom w:val="nil"/>
            </w:tcBorders>
          </w:tcPr>
          <w:p w14:paraId="015CEDE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c>
          <w:tcPr>
            <w:tcW w:w="1143" w:type="dxa"/>
            <w:tcBorders>
              <w:top w:val="nil"/>
              <w:bottom w:val="nil"/>
            </w:tcBorders>
          </w:tcPr>
          <w:p w14:paraId="651F7302"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c>
          <w:tcPr>
            <w:tcW w:w="1120" w:type="dxa"/>
            <w:tcBorders>
              <w:top w:val="nil"/>
              <w:bottom w:val="nil"/>
            </w:tcBorders>
          </w:tcPr>
          <w:p w14:paraId="028C077F" w14:textId="3F4A6659"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148/100</w:t>
            </w:r>
          </w:p>
        </w:tc>
        <w:tc>
          <w:tcPr>
            <w:tcW w:w="1143" w:type="dxa"/>
            <w:tcBorders>
              <w:top w:val="nil"/>
              <w:bottom w:val="nil"/>
            </w:tcBorders>
          </w:tcPr>
          <w:p w14:paraId="5108441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3.84</w:t>
            </w:r>
          </w:p>
        </w:tc>
        <w:tc>
          <w:tcPr>
            <w:tcW w:w="1123" w:type="dxa"/>
            <w:tcBorders>
              <w:top w:val="nil"/>
              <w:bottom w:val="nil"/>
            </w:tcBorders>
          </w:tcPr>
          <w:p w14:paraId="45280B1B" w14:textId="181C93AB"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700/108</w:t>
            </w:r>
          </w:p>
        </w:tc>
        <w:tc>
          <w:tcPr>
            <w:tcW w:w="1144" w:type="dxa"/>
            <w:tcBorders>
              <w:top w:val="nil"/>
              <w:bottom w:val="nil"/>
              <w:right w:val="nil"/>
            </w:tcBorders>
          </w:tcPr>
          <w:p w14:paraId="2C3EEDD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0.86</w:t>
            </w:r>
          </w:p>
        </w:tc>
      </w:tr>
      <w:tr w:rsidR="009737B6" w:rsidRPr="009737B6" w14:paraId="77B468AD" w14:textId="77777777" w:rsidTr="0027656E">
        <w:tc>
          <w:tcPr>
            <w:tcW w:w="1105" w:type="dxa"/>
            <w:tcBorders>
              <w:top w:val="nil"/>
              <w:left w:val="nil"/>
              <w:bottom w:val="nil"/>
            </w:tcBorders>
          </w:tcPr>
          <w:p w14:paraId="53B381C3"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13</w:t>
            </w:r>
          </w:p>
        </w:tc>
        <w:tc>
          <w:tcPr>
            <w:tcW w:w="1123" w:type="dxa"/>
            <w:tcBorders>
              <w:top w:val="nil"/>
              <w:bottom w:val="nil"/>
            </w:tcBorders>
          </w:tcPr>
          <w:p w14:paraId="2885EBC9" w14:textId="7F1F04F0"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123/185</w:t>
            </w:r>
          </w:p>
        </w:tc>
        <w:tc>
          <w:tcPr>
            <w:tcW w:w="1115" w:type="dxa"/>
            <w:tcBorders>
              <w:top w:val="nil"/>
              <w:bottom w:val="nil"/>
            </w:tcBorders>
          </w:tcPr>
          <w:p w14:paraId="34B33E9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0.40</w:t>
            </w:r>
          </w:p>
        </w:tc>
        <w:tc>
          <w:tcPr>
            <w:tcW w:w="1143" w:type="dxa"/>
            <w:tcBorders>
              <w:top w:val="nil"/>
              <w:bottom w:val="nil"/>
            </w:tcBorders>
          </w:tcPr>
          <w:p w14:paraId="5B75B02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0.48</w:t>
            </w:r>
          </w:p>
        </w:tc>
        <w:tc>
          <w:tcPr>
            <w:tcW w:w="1120" w:type="dxa"/>
            <w:tcBorders>
              <w:top w:val="nil"/>
              <w:bottom w:val="nil"/>
            </w:tcBorders>
          </w:tcPr>
          <w:p w14:paraId="4CF48F74" w14:textId="24453EEC"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148/100</w:t>
            </w:r>
          </w:p>
        </w:tc>
        <w:tc>
          <w:tcPr>
            <w:tcW w:w="1143" w:type="dxa"/>
            <w:tcBorders>
              <w:top w:val="nil"/>
              <w:bottom w:val="nil"/>
            </w:tcBorders>
          </w:tcPr>
          <w:p w14:paraId="5D303E9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3.35</w:t>
            </w:r>
          </w:p>
        </w:tc>
        <w:tc>
          <w:tcPr>
            <w:tcW w:w="1123" w:type="dxa"/>
            <w:tcBorders>
              <w:top w:val="nil"/>
              <w:bottom w:val="nil"/>
            </w:tcBorders>
          </w:tcPr>
          <w:p w14:paraId="1EDD09F5" w14:textId="1B59C7A3"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700/109</w:t>
            </w:r>
          </w:p>
        </w:tc>
        <w:tc>
          <w:tcPr>
            <w:tcW w:w="1144" w:type="dxa"/>
            <w:tcBorders>
              <w:top w:val="nil"/>
              <w:bottom w:val="nil"/>
              <w:right w:val="nil"/>
            </w:tcBorders>
          </w:tcPr>
          <w:p w14:paraId="20D3C835"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1.37</w:t>
            </w:r>
          </w:p>
        </w:tc>
      </w:tr>
      <w:tr w:rsidR="009737B6" w:rsidRPr="009737B6" w14:paraId="2A7F04B9" w14:textId="77777777" w:rsidTr="0027656E">
        <w:tc>
          <w:tcPr>
            <w:tcW w:w="1105" w:type="dxa"/>
            <w:tcBorders>
              <w:top w:val="nil"/>
              <w:left w:val="nil"/>
              <w:bottom w:val="nil"/>
            </w:tcBorders>
          </w:tcPr>
          <w:p w14:paraId="5F20A35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14</w:t>
            </w:r>
          </w:p>
        </w:tc>
        <w:tc>
          <w:tcPr>
            <w:tcW w:w="1123" w:type="dxa"/>
            <w:tcBorders>
              <w:top w:val="nil"/>
              <w:bottom w:val="nil"/>
            </w:tcBorders>
          </w:tcPr>
          <w:p w14:paraId="022823FF" w14:textId="640D7042"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400/195</w:t>
            </w:r>
          </w:p>
        </w:tc>
        <w:tc>
          <w:tcPr>
            <w:tcW w:w="1115" w:type="dxa"/>
            <w:tcBorders>
              <w:top w:val="nil"/>
              <w:bottom w:val="nil"/>
            </w:tcBorders>
          </w:tcPr>
          <w:p w14:paraId="58F98EC1"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w:t>
            </w:r>
          </w:p>
        </w:tc>
        <w:tc>
          <w:tcPr>
            <w:tcW w:w="1143" w:type="dxa"/>
            <w:tcBorders>
              <w:top w:val="nil"/>
              <w:bottom w:val="nil"/>
            </w:tcBorders>
          </w:tcPr>
          <w:p w14:paraId="78E666E4"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w:t>
            </w:r>
          </w:p>
        </w:tc>
        <w:tc>
          <w:tcPr>
            <w:tcW w:w="1120" w:type="dxa"/>
            <w:tcBorders>
              <w:top w:val="nil"/>
              <w:bottom w:val="nil"/>
            </w:tcBorders>
          </w:tcPr>
          <w:p w14:paraId="3A06356F" w14:textId="0F8BAE5E"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148/100</w:t>
            </w:r>
          </w:p>
        </w:tc>
        <w:tc>
          <w:tcPr>
            <w:tcW w:w="1143" w:type="dxa"/>
            <w:tcBorders>
              <w:top w:val="nil"/>
              <w:bottom w:val="nil"/>
            </w:tcBorders>
          </w:tcPr>
          <w:p w14:paraId="1B3CBFD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3.46</w:t>
            </w:r>
          </w:p>
        </w:tc>
        <w:tc>
          <w:tcPr>
            <w:tcW w:w="1123" w:type="dxa"/>
            <w:tcBorders>
              <w:top w:val="nil"/>
              <w:bottom w:val="nil"/>
            </w:tcBorders>
          </w:tcPr>
          <w:p w14:paraId="04994147" w14:textId="5E4C7AC0"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700/109</w:t>
            </w:r>
          </w:p>
        </w:tc>
        <w:tc>
          <w:tcPr>
            <w:tcW w:w="1144" w:type="dxa"/>
            <w:tcBorders>
              <w:top w:val="nil"/>
              <w:bottom w:val="nil"/>
              <w:right w:val="nil"/>
            </w:tcBorders>
          </w:tcPr>
          <w:p w14:paraId="0669F8EB"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0.95</w:t>
            </w:r>
          </w:p>
        </w:tc>
      </w:tr>
      <w:tr w:rsidR="009737B6" w:rsidRPr="009737B6" w14:paraId="6B606863" w14:textId="77777777" w:rsidTr="0027656E">
        <w:tc>
          <w:tcPr>
            <w:tcW w:w="1105" w:type="dxa"/>
            <w:tcBorders>
              <w:top w:val="nil"/>
              <w:left w:val="nil"/>
              <w:bottom w:val="nil"/>
            </w:tcBorders>
          </w:tcPr>
          <w:p w14:paraId="65E4ED45"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15</w:t>
            </w:r>
          </w:p>
        </w:tc>
        <w:tc>
          <w:tcPr>
            <w:tcW w:w="1123" w:type="dxa"/>
            <w:tcBorders>
              <w:top w:val="nil"/>
              <w:bottom w:val="nil"/>
            </w:tcBorders>
          </w:tcPr>
          <w:p w14:paraId="1A6F5586" w14:textId="44F9071E"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700/165</w:t>
            </w:r>
          </w:p>
        </w:tc>
        <w:tc>
          <w:tcPr>
            <w:tcW w:w="1115" w:type="dxa"/>
            <w:tcBorders>
              <w:top w:val="nil"/>
              <w:bottom w:val="nil"/>
            </w:tcBorders>
          </w:tcPr>
          <w:p w14:paraId="3C30A6E8"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0.23</w:t>
            </w:r>
          </w:p>
        </w:tc>
        <w:tc>
          <w:tcPr>
            <w:tcW w:w="1143" w:type="dxa"/>
            <w:tcBorders>
              <w:top w:val="nil"/>
              <w:bottom w:val="nil"/>
            </w:tcBorders>
          </w:tcPr>
          <w:p w14:paraId="317FF916"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0.51</w:t>
            </w:r>
          </w:p>
        </w:tc>
        <w:tc>
          <w:tcPr>
            <w:tcW w:w="1120" w:type="dxa"/>
            <w:tcBorders>
              <w:top w:val="nil"/>
              <w:bottom w:val="nil"/>
            </w:tcBorders>
          </w:tcPr>
          <w:p w14:paraId="15837C90" w14:textId="7CACFC53"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700/106</w:t>
            </w:r>
          </w:p>
        </w:tc>
        <w:tc>
          <w:tcPr>
            <w:tcW w:w="1143" w:type="dxa"/>
            <w:tcBorders>
              <w:top w:val="nil"/>
              <w:bottom w:val="nil"/>
            </w:tcBorders>
          </w:tcPr>
          <w:p w14:paraId="704E634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3.43</w:t>
            </w:r>
          </w:p>
        </w:tc>
        <w:tc>
          <w:tcPr>
            <w:tcW w:w="1123" w:type="dxa"/>
            <w:tcBorders>
              <w:top w:val="nil"/>
              <w:bottom w:val="nil"/>
            </w:tcBorders>
          </w:tcPr>
          <w:p w14:paraId="0A44434A" w14:textId="370DFCFB"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700/140</w:t>
            </w:r>
          </w:p>
        </w:tc>
        <w:tc>
          <w:tcPr>
            <w:tcW w:w="1144" w:type="dxa"/>
            <w:tcBorders>
              <w:top w:val="nil"/>
              <w:bottom w:val="nil"/>
              <w:right w:val="nil"/>
            </w:tcBorders>
          </w:tcPr>
          <w:p w14:paraId="77D617EA"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1.29</w:t>
            </w:r>
          </w:p>
        </w:tc>
      </w:tr>
      <w:tr w:rsidR="009737B6" w:rsidRPr="009737B6" w14:paraId="529FEBE0" w14:textId="77777777" w:rsidTr="0027656E">
        <w:tc>
          <w:tcPr>
            <w:tcW w:w="1105" w:type="dxa"/>
            <w:tcBorders>
              <w:top w:val="nil"/>
              <w:left w:val="nil"/>
              <w:bottom w:val="nil"/>
            </w:tcBorders>
          </w:tcPr>
          <w:p w14:paraId="6C918BE2"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16</w:t>
            </w:r>
          </w:p>
        </w:tc>
        <w:tc>
          <w:tcPr>
            <w:tcW w:w="1123" w:type="dxa"/>
            <w:tcBorders>
              <w:top w:val="nil"/>
              <w:bottom w:val="nil"/>
            </w:tcBorders>
          </w:tcPr>
          <w:p w14:paraId="26B048ED" w14:textId="2AD42AB1"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700/165</w:t>
            </w:r>
          </w:p>
        </w:tc>
        <w:tc>
          <w:tcPr>
            <w:tcW w:w="1115" w:type="dxa"/>
            <w:tcBorders>
              <w:top w:val="nil"/>
              <w:bottom w:val="nil"/>
            </w:tcBorders>
          </w:tcPr>
          <w:p w14:paraId="53EA6E42"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0.25</w:t>
            </w:r>
          </w:p>
        </w:tc>
        <w:tc>
          <w:tcPr>
            <w:tcW w:w="1143" w:type="dxa"/>
            <w:tcBorders>
              <w:top w:val="nil"/>
              <w:bottom w:val="nil"/>
            </w:tcBorders>
          </w:tcPr>
          <w:p w14:paraId="6394C2B9"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0.42</w:t>
            </w:r>
          </w:p>
        </w:tc>
        <w:tc>
          <w:tcPr>
            <w:tcW w:w="1120" w:type="dxa"/>
            <w:tcBorders>
              <w:top w:val="nil"/>
              <w:bottom w:val="nil"/>
            </w:tcBorders>
          </w:tcPr>
          <w:p w14:paraId="5CFF30DC" w14:textId="1358F47E"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700/87</w:t>
            </w:r>
          </w:p>
        </w:tc>
        <w:tc>
          <w:tcPr>
            <w:tcW w:w="1143" w:type="dxa"/>
            <w:tcBorders>
              <w:top w:val="nil"/>
              <w:bottom w:val="nil"/>
            </w:tcBorders>
          </w:tcPr>
          <w:p w14:paraId="4502593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3.44</w:t>
            </w:r>
          </w:p>
        </w:tc>
        <w:tc>
          <w:tcPr>
            <w:tcW w:w="1123" w:type="dxa"/>
            <w:tcBorders>
              <w:top w:val="nil"/>
              <w:bottom w:val="nil"/>
            </w:tcBorders>
          </w:tcPr>
          <w:p w14:paraId="06255F09" w14:textId="2EAEEBDF"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148/109</w:t>
            </w:r>
          </w:p>
        </w:tc>
        <w:tc>
          <w:tcPr>
            <w:tcW w:w="1144" w:type="dxa"/>
            <w:tcBorders>
              <w:top w:val="nil"/>
              <w:bottom w:val="nil"/>
              <w:right w:val="nil"/>
            </w:tcBorders>
          </w:tcPr>
          <w:p w14:paraId="62BB9DC1"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1.66</w:t>
            </w:r>
          </w:p>
        </w:tc>
      </w:tr>
      <w:tr w:rsidR="009737B6" w:rsidRPr="009737B6" w14:paraId="5833FB37" w14:textId="77777777" w:rsidTr="0027656E">
        <w:tc>
          <w:tcPr>
            <w:tcW w:w="1105" w:type="dxa"/>
            <w:tcBorders>
              <w:top w:val="nil"/>
              <w:left w:val="nil"/>
              <w:bottom w:val="nil"/>
            </w:tcBorders>
          </w:tcPr>
          <w:p w14:paraId="5C28C664"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17</w:t>
            </w:r>
          </w:p>
        </w:tc>
        <w:tc>
          <w:tcPr>
            <w:tcW w:w="1123" w:type="dxa"/>
            <w:tcBorders>
              <w:top w:val="nil"/>
              <w:bottom w:val="nil"/>
            </w:tcBorders>
          </w:tcPr>
          <w:p w14:paraId="234FD840" w14:textId="72988497"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123/185</w:t>
            </w:r>
          </w:p>
        </w:tc>
        <w:tc>
          <w:tcPr>
            <w:tcW w:w="1115" w:type="dxa"/>
            <w:tcBorders>
              <w:top w:val="nil"/>
              <w:bottom w:val="nil"/>
            </w:tcBorders>
          </w:tcPr>
          <w:p w14:paraId="4927D4A2"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c>
          <w:tcPr>
            <w:tcW w:w="1143" w:type="dxa"/>
            <w:tcBorders>
              <w:top w:val="nil"/>
              <w:bottom w:val="nil"/>
            </w:tcBorders>
          </w:tcPr>
          <w:p w14:paraId="18152C56"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c>
          <w:tcPr>
            <w:tcW w:w="1120" w:type="dxa"/>
            <w:tcBorders>
              <w:top w:val="nil"/>
              <w:bottom w:val="nil"/>
            </w:tcBorders>
          </w:tcPr>
          <w:p w14:paraId="7F529EC7" w14:textId="56A82E75"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800/100</w:t>
            </w:r>
          </w:p>
        </w:tc>
        <w:tc>
          <w:tcPr>
            <w:tcW w:w="1143" w:type="dxa"/>
            <w:tcBorders>
              <w:top w:val="nil"/>
              <w:bottom w:val="nil"/>
            </w:tcBorders>
          </w:tcPr>
          <w:p w14:paraId="1FA239B2"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4.09</w:t>
            </w:r>
          </w:p>
        </w:tc>
        <w:tc>
          <w:tcPr>
            <w:tcW w:w="1123" w:type="dxa"/>
            <w:tcBorders>
              <w:top w:val="nil"/>
              <w:bottom w:val="nil"/>
            </w:tcBorders>
          </w:tcPr>
          <w:p w14:paraId="2D8C2FD1" w14:textId="079B96D1"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000/85</w:t>
            </w:r>
          </w:p>
        </w:tc>
        <w:tc>
          <w:tcPr>
            <w:tcW w:w="1144" w:type="dxa"/>
            <w:tcBorders>
              <w:top w:val="nil"/>
              <w:bottom w:val="nil"/>
              <w:right w:val="nil"/>
            </w:tcBorders>
          </w:tcPr>
          <w:p w14:paraId="761329B5"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0.82</w:t>
            </w:r>
          </w:p>
        </w:tc>
      </w:tr>
      <w:tr w:rsidR="009737B6" w:rsidRPr="009737B6" w14:paraId="48E28B35" w14:textId="77777777" w:rsidTr="0027656E">
        <w:tc>
          <w:tcPr>
            <w:tcW w:w="1105" w:type="dxa"/>
            <w:tcBorders>
              <w:top w:val="nil"/>
              <w:left w:val="nil"/>
              <w:bottom w:val="nil"/>
            </w:tcBorders>
          </w:tcPr>
          <w:p w14:paraId="5D394D9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18</w:t>
            </w:r>
          </w:p>
        </w:tc>
        <w:tc>
          <w:tcPr>
            <w:tcW w:w="1123" w:type="dxa"/>
            <w:tcBorders>
              <w:top w:val="nil"/>
              <w:bottom w:val="nil"/>
            </w:tcBorders>
          </w:tcPr>
          <w:p w14:paraId="7A616C51" w14:textId="60239548"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123/185</w:t>
            </w:r>
          </w:p>
        </w:tc>
        <w:tc>
          <w:tcPr>
            <w:tcW w:w="1115" w:type="dxa"/>
            <w:tcBorders>
              <w:top w:val="nil"/>
              <w:bottom w:val="nil"/>
            </w:tcBorders>
          </w:tcPr>
          <w:p w14:paraId="06856BE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c>
          <w:tcPr>
            <w:tcW w:w="1143" w:type="dxa"/>
            <w:tcBorders>
              <w:top w:val="nil"/>
              <w:bottom w:val="nil"/>
            </w:tcBorders>
          </w:tcPr>
          <w:p w14:paraId="4789E00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c>
          <w:tcPr>
            <w:tcW w:w="1120" w:type="dxa"/>
            <w:tcBorders>
              <w:top w:val="nil"/>
              <w:bottom w:val="nil"/>
            </w:tcBorders>
          </w:tcPr>
          <w:p w14:paraId="0F64353A" w14:textId="0D0B308C"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5</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000/104</w:t>
            </w:r>
          </w:p>
        </w:tc>
        <w:tc>
          <w:tcPr>
            <w:tcW w:w="1143" w:type="dxa"/>
            <w:tcBorders>
              <w:top w:val="nil"/>
              <w:bottom w:val="nil"/>
            </w:tcBorders>
          </w:tcPr>
          <w:p w14:paraId="125AACE4"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1.88</w:t>
            </w:r>
          </w:p>
        </w:tc>
        <w:tc>
          <w:tcPr>
            <w:tcW w:w="1123" w:type="dxa"/>
            <w:tcBorders>
              <w:top w:val="nil"/>
              <w:bottom w:val="nil"/>
            </w:tcBorders>
          </w:tcPr>
          <w:p w14:paraId="3BA770DC" w14:textId="76F58A5E"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5</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000/125</w:t>
            </w:r>
          </w:p>
        </w:tc>
        <w:tc>
          <w:tcPr>
            <w:tcW w:w="1144" w:type="dxa"/>
            <w:tcBorders>
              <w:top w:val="nil"/>
              <w:bottom w:val="nil"/>
              <w:right w:val="nil"/>
            </w:tcBorders>
          </w:tcPr>
          <w:p w14:paraId="21A16D15"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1.33</w:t>
            </w:r>
          </w:p>
        </w:tc>
      </w:tr>
      <w:tr w:rsidR="009737B6" w:rsidRPr="009737B6" w14:paraId="2379A720" w14:textId="77777777" w:rsidTr="0027656E">
        <w:tc>
          <w:tcPr>
            <w:tcW w:w="1105" w:type="dxa"/>
            <w:tcBorders>
              <w:top w:val="nil"/>
              <w:left w:val="nil"/>
              <w:bottom w:val="nil"/>
            </w:tcBorders>
          </w:tcPr>
          <w:p w14:paraId="36033C28"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19</w:t>
            </w:r>
          </w:p>
        </w:tc>
        <w:tc>
          <w:tcPr>
            <w:tcW w:w="1123" w:type="dxa"/>
            <w:tcBorders>
              <w:top w:val="nil"/>
              <w:bottom w:val="nil"/>
            </w:tcBorders>
          </w:tcPr>
          <w:p w14:paraId="3527A472" w14:textId="5022D1E2"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123/185</w:t>
            </w:r>
          </w:p>
        </w:tc>
        <w:tc>
          <w:tcPr>
            <w:tcW w:w="1115" w:type="dxa"/>
            <w:tcBorders>
              <w:top w:val="nil"/>
              <w:bottom w:val="nil"/>
            </w:tcBorders>
          </w:tcPr>
          <w:p w14:paraId="4CDC820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c>
          <w:tcPr>
            <w:tcW w:w="1143" w:type="dxa"/>
            <w:tcBorders>
              <w:top w:val="nil"/>
              <w:bottom w:val="nil"/>
            </w:tcBorders>
          </w:tcPr>
          <w:p w14:paraId="4276285B"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c>
          <w:tcPr>
            <w:tcW w:w="1120" w:type="dxa"/>
            <w:tcBorders>
              <w:top w:val="nil"/>
              <w:bottom w:val="nil"/>
            </w:tcBorders>
          </w:tcPr>
          <w:p w14:paraId="49F6F9A8" w14:textId="01522FDF"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000/100</w:t>
            </w:r>
          </w:p>
        </w:tc>
        <w:tc>
          <w:tcPr>
            <w:tcW w:w="1143" w:type="dxa"/>
            <w:tcBorders>
              <w:top w:val="nil"/>
              <w:bottom w:val="nil"/>
            </w:tcBorders>
          </w:tcPr>
          <w:p w14:paraId="22D490A1"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9.17</w:t>
            </w:r>
          </w:p>
        </w:tc>
        <w:tc>
          <w:tcPr>
            <w:tcW w:w="1123" w:type="dxa"/>
            <w:tcBorders>
              <w:top w:val="nil"/>
              <w:bottom w:val="nil"/>
            </w:tcBorders>
          </w:tcPr>
          <w:p w14:paraId="4FBD27DC" w14:textId="44CA2C10"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000/114</w:t>
            </w:r>
          </w:p>
        </w:tc>
        <w:tc>
          <w:tcPr>
            <w:tcW w:w="1144" w:type="dxa"/>
            <w:tcBorders>
              <w:top w:val="nil"/>
              <w:bottom w:val="nil"/>
              <w:right w:val="nil"/>
            </w:tcBorders>
          </w:tcPr>
          <w:p w14:paraId="26AF05A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2.1</w:t>
            </w:r>
          </w:p>
        </w:tc>
      </w:tr>
      <w:tr w:rsidR="009737B6" w:rsidRPr="009737B6" w14:paraId="0C9D46EC" w14:textId="77777777" w:rsidTr="0027656E">
        <w:tc>
          <w:tcPr>
            <w:tcW w:w="1105" w:type="dxa"/>
            <w:tcBorders>
              <w:top w:val="nil"/>
              <w:left w:val="nil"/>
              <w:bottom w:val="nil"/>
            </w:tcBorders>
          </w:tcPr>
          <w:p w14:paraId="0D0D31F9"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20</w:t>
            </w:r>
          </w:p>
        </w:tc>
        <w:tc>
          <w:tcPr>
            <w:tcW w:w="1123" w:type="dxa"/>
            <w:tcBorders>
              <w:top w:val="nil"/>
              <w:bottom w:val="nil"/>
            </w:tcBorders>
          </w:tcPr>
          <w:p w14:paraId="4E42CB8A" w14:textId="62DAA610"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123/185</w:t>
            </w:r>
          </w:p>
        </w:tc>
        <w:tc>
          <w:tcPr>
            <w:tcW w:w="1115" w:type="dxa"/>
            <w:tcBorders>
              <w:top w:val="nil"/>
              <w:bottom w:val="nil"/>
            </w:tcBorders>
          </w:tcPr>
          <w:p w14:paraId="73873BC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c>
          <w:tcPr>
            <w:tcW w:w="1143" w:type="dxa"/>
            <w:tcBorders>
              <w:top w:val="nil"/>
              <w:bottom w:val="nil"/>
            </w:tcBorders>
          </w:tcPr>
          <w:p w14:paraId="260E4366"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c>
          <w:tcPr>
            <w:tcW w:w="1120" w:type="dxa"/>
            <w:tcBorders>
              <w:top w:val="nil"/>
              <w:bottom w:val="nil"/>
            </w:tcBorders>
          </w:tcPr>
          <w:p w14:paraId="0C3C79BF" w14:textId="49033CA7"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250/100</w:t>
            </w:r>
          </w:p>
        </w:tc>
        <w:tc>
          <w:tcPr>
            <w:tcW w:w="1143" w:type="dxa"/>
            <w:tcBorders>
              <w:top w:val="nil"/>
              <w:bottom w:val="nil"/>
            </w:tcBorders>
          </w:tcPr>
          <w:p w14:paraId="0717582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5.4</w:t>
            </w:r>
          </w:p>
        </w:tc>
        <w:tc>
          <w:tcPr>
            <w:tcW w:w="1123" w:type="dxa"/>
            <w:tcBorders>
              <w:top w:val="nil"/>
              <w:bottom w:val="nil"/>
            </w:tcBorders>
          </w:tcPr>
          <w:p w14:paraId="259C7EE5" w14:textId="1B093BA7"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100/94</w:t>
            </w:r>
          </w:p>
        </w:tc>
        <w:tc>
          <w:tcPr>
            <w:tcW w:w="1144" w:type="dxa"/>
            <w:tcBorders>
              <w:top w:val="nil"/>
              <w:bottom w:val="nil"/>
              <w:right w:val="nil"/>
            </w:tcBorders>
          </w:tcPr>
          <w:p w14:paraId="7FBCE4AA"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1.3</w:t>
            </w:r>
          </w:p>
        </w:tc>
      </w:tr>
      <w:tr w:rsidR="009737B6" w:rsidRPr="009737B6" w14:paraId="2CBFC96C" w14:textId="77777777" w:rsidTr="0027656E">
        <w:tc>
          <w:tcPr>
            <w:tcW w:w="1105" w:type="dxa"/>
            <w:tcBorders>
              <w:top w:val="nil"/>
              <w:left w:val="nil"/>
            </w:tcBorders>
          </w:tcPr>
          <w:p w14:paraId="08B67446"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21</w:t>
            </w:r>
          </w:p>
        </w:tc>
        <w:tc>
          <w:tcPr>
            <w:tcW w:w="1123" w:type="dxa"/>
            <w:tcBorders>
              <w:top w:val="nil"/>
            </w:tcBorders>
          </w:tcPr>
          <w:p w14:paraId="5A975F2B" w14:textId="7921A148"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123/185</w:t>
            </w:r>
          </w:p>
        </w:tc>
        <w:tc>
          <w:tcPr>
            <w:tcW w:w="1115" w:type="dxa"/>
            <w:tcBorders>
              <w:top w:val="nil"/>
            </w:tcBorders>
          </w:tcPr>
          <w:p w14:paraId="7C2AE83B"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c>
          <w:tcPr>
            <w:tcW w:w="1143" w:type="dxa"/>
            <w:tcBorders>
              <w:top w:val="nil"/>
            </w:tcBorders>
          </w:tcPr>
          <w:p w14:paraId="151C2A0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c>
          <w:tcPr>
            <w:tcW w:w="1120" w:type="dxa"/>
            <w:tcBorders>
              <w:top w:val="nil"/>
            </w:tcBorders>
          </w:tcPr>
          <w:p w14:paraId="7486100F" w14:textId="1C3AA6D1"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000/100</w:t>
            </w:r>
          </w:p>
        </w:tc>
        <w:tc>
          <w:tcPr>
            <w:tcW w:w="1143" w:type="dxa"/>
            <w:tcBorders>
              <w:top w:val="nil"/>
            </w:tcBorders>
          </w:tcPr>
          <w:p w14:paraId="5622F966"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9.16</w:t>
            </w:r>
          </w:p>
        </w:tc>
        <w:tc>
          <w:tcPr>
            <w:tcW w:w="1123" w:type="dxa"/>
            <w:tcBorders>
              <w:top w:val="nil"/>
            </w:tcBorders>
          </w:tcPr>
          <w:p w14:paraId="16C691E7" w14:textId="4C424757" w:rsidR="00B26C97" w:rsidRPr="009737B6" w:rsidRDefault="001B166E"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4D6B01"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000/100</w:t>
            </w:r>
          </w:p>
        </w:tc>
        <w:tc>
          <w:tcPr>
            <w:tcW w:w="1144" w:type="dxa"/>
            <w:tcBorders>
              <w:top w:val="nil"/>
              <w:right w:val="nil"/>
            </w:tcBorders>
          </w:tcPr>
          <w:p w14:paraId="5AD80835"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0.7</w:t>
            </w:r>
          </w:p>
        </w:tc>
      </w:tr>
    </w:tbl>
    <w:p w14:paraId="58DDADD9" w14:textId="77777777" w:rsidR="00B26C97" w:rsidRPr="000369F7" w:rsidRDefault="00B26C97" w:rsidP="009302CF">
      <w:pPr>
        <w:widowControl w:val="0"/>
        <w:pBdr>
          <w:top w:val="nil"/>
          <w:left w:val="nil"/>
          <w:bottom w:val="nil"/>
          <w:right w:val="nil"/>
          <w:between w:val="nil"/>
        </w:pBdr>
        <w:ind w:firstLine="284"/>
        <w:jc w:val="both"/>
        <w:rPr>
          <w:color w:val="000000"/>
          <w:sz w:val="20"/>
        </w:rPr>
      </w:pPr>
    </w:p>
    <w:p w14:paraId="43E72506"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Further research is advised to investigate the use of advanced working fluids with lower global warming potential (GWP), ensuring compliance with future environmental regulations.</w:t>
      </w:r>
    </w:p>
    <w:p w14:paraId="1584246F"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The system has the potential to serve as a cornerstone for guiding industrial enterprises toward carbon-neutral operations, especially when integrated with renewable energy sources such as solar thermal systems.</w:t>
      </w:r>
    </w:p>
    <w:p w14:paraId="09767438"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To promote the adoption of hybrid WHRS technologies, policymakers in Ukraine should evaluate the introduction of subsidies or tax incentives.</w:t>
      </w:r>
    </w:p>
    <w:p w14:paraId="6CF823CB" w14:textId="22FB06A0" w:rsidR="001B166E" w:rsidRPr="000369F7" w:rsidRDefault="001B166E" w:rsidP="00B26C97">
      <w:pPr>
        <w:widowControl w:val="0"/>
        <w:pBdr>
          <w:top w:val="nil"/>
          <w:left w:val="nil"/>
          <w:bottom w:val="nil"/>
          <w:right w:val="nil"/>
          <w:between w:val="nil"/>
        </w:pBdr>
        <w:ind w:firstLine="284"/>
        <w:jc w:val="both"/>
        <w:rPr>
          <w:color w:val="000000"/>
          <w:sz w:val="20"/>
        </w:rPr>
      </w:pPr>
      <w:r w:rsidRPr="000369F7">
        <w:rPr>
          <w:color w:val="000000"/>
          <w:sz w:val="20"/>
        </w:rPr>
        <w:t>Another important direction involves assessing the long-term operational stability of hybrid waste heat recovery systems under fluctuating industrial loads. Industrial processes rarely operate at constant regimes, and the efficiency of waste heat utilization strongly depends on the adaptability of equipment to partial loads and dynamic thermal conditions. Research focused on smart control algorithms, adaptive regulation of working fluids, and predictive maintenance technologies could significantly enhance the reliability and lifespan of these systems.</w:t>
      </w:r>
    </w:p>
    <w:p w14:paraId="6A52F835" w14:textId="601E0EA6" w:rsidR="00F8067B" w:rsidRPr="000369F7" w:rsidRDefault="00F8067B" w:rsidP="00B26C97">
      <w:pPr>
        <w:widowControl w:val="0"/>
        <w:pBdr>
          <w:top w:val="nil"/>
          <w:left w:val="nil"/>
          <w:bottom w:val="nil"/>
          <w:right w:val="nil"/>
          <w:between w:val="nil"/>
        </w:pBdr>
        <w:ind w:firstLine="284"/>
        <w:jc w:val="both"/>
        <w:rPr>
          <w:color w:val="000000"/>
          <w:sz w:val="20"/>
        </w:rPr>
      </w:pPr>
      <w:r w:rsidRPr="000369F7">
        <w:rPr>
          <w:color w:val="000000"/>
          <w:sz w:val="20"/>
        </w:rPr>
        <w:t xml:space="preserve">In addition to the technological dimension, the integration of hybrid Waste Heat Recovery Systems (WHRS) into Ukraine’s industrial framework requires a careful examination of regulatory and policy support mechanisms. Incentives such as tax reliefs, preferential tariffs for recovered energy, or government-backed low-interest loans could stimulate faster adoption across energy-intensive sectors. Furthermore, the harmonization of national standards with European Union directives would not only streamline technology transfer but also enhance the competitiveness of Ukrainian enterprises in international markets. </w:t>
      </w:r>
    </w:p>
    <w:p w14:paraId="2DF81120" w14:textId="44E9F2E9" w:rsidR="001B166E" w:rsidRPr="000369F7" w:rsidRDefault="001B166E" w:rsidP="00B26C97">
      <w:pPr>
        <w:widowControl w:val="0"/>
        <w:pBdr>
          <w:top w:val="nil"/>
          <w:left w:val="nil"/>
          <w:bottom w:val="nil"/>
          <w:right w:val="nil"/>
          <w:between w:val="nil"/>
        </w:pBdr>
        <w:ind w:firstLine="284"/>
        <w:jc w:val="both"/>
        <w:rPr>
          <w:color w:val="000000"/>
          <w:sz w:val="20"/>
        </w:rPr>
      </w:pPr>
      <w:r w:rsidRPr="000369F7">
        <w:rPr>
          <w:color w:val="000000"/>
          <w:sz w:val="20"/>
        </w:rPr>
        <w:t>Equally crucial is the integration of hybrid WHRS into digitalized industrial networks. The deployment of sensors, real-time data collection, and optimization would enable continuous monitoring of system efficiency and facilitate early detection of anomalies. Such integration aligns with the broader concept of Industry 4.0, where interconnected systems not only optimize resource use but also reduce operational risks, thus creating a robust foundation for large-scale decarbonization strategies.</w:t>
      </w:r>
    </w:p>
    <w:p w14:paraId="0927C84B" w14:textId="75E7A689" w:rsidR="001B166E" w:rsidRPr="000369F7" w:rsidRDefault="001B166E" w:rsidP="00B26C97">
      <w:pPr>
        <w:widowControl w:val="0"/>
        <w:pBdr>
          <w:top w:val="nil"/>
          <w:left w:val="nil"/>
          <w:bottom w:val="nil"/>
          <w:right w:val="nil"/>
          <w:between w:val="nil"/>
        </w:pBdr>
        <w:ind w:firstLine="284"/>
        <w:jc w:val="both"/>
        <w:rPr>
          <w:color w:val="000000"/>
          <w:sz w:val="20"/>
        </w:rPr>
      </w:pPr>
      <w:r w:rsidRPr="000369F7">
        <w:rPr>
          <w:color w:val="000000"/>
          <w:sz w:val="20"/>
        </w:rPr>
        <w:t>Attention should also be directed toward the economic modeling of WHRS adoption in Ukraine’s industrial landscape.</w:t>
      </w:r>
    </w:p>
    <w:p w14:paraId="235B3386" w14:textId="20553D2C"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The subsequent calculation results for various system configurations are presented in Table 2.</w:t>
      </w:r>
    </w:p>
    <w:tbl>
      <w:tblPr>
        <w:tblStyle w:val="aa"/>
        <w:tblW w:w="0" w:type="auto"/>
        <w:tblLook w:val="04A0" w:firstRow="1" w:lastRow="0" w:firstColumn="1" w:lastColumn="0" w:noHBand="0" w:noVBand="1"/>
      </w:tblPr>
      <w:tblGrid>
        <w:gridCol w:w="1504"/>
        <w:gridCol w:w="1502"/>
        <w:gridCol w:w="1502"/>
        <w:gridCol w:w="1502"/>
        <w:gridCol w:w="1502"/>
        <w:gridCol w:w="1514"/>
      </w:tblGrid>
      <w:tr w:rsidR="00B26C97" w:rsidRPr="000369F7" w14:paraId="6B465F0E" w14:textId="77777777" w:rsidTr="0027656E">
        <w:tc>
          <w:tcPr>
            <w:tcW w:w="9026" w:type="dxa"/>
            <w:gridSpan w:val="6"/>
            <w:tcBorders>
              <w:top w:val="nil"/>
              <w:left w:val="nil"/>
              <w:bottom w:val="nil"/>
              <w:right w:val="nil"/>
            </w:tcBorders>
          </w:tcPr>
          <w:p w14:paraId="08D8411B" w14:textId="77777777" w:rsidR="00B26C97" w:rsidRPr="000369F7" w:rsidRDefault="00B26C97" w:rsidP="00157ED1">
            <w:pPr>
              <w:pStyle w:val="IOP-CS-TableLeftColumn"/>
              <w:jc w:val="center"/>
              <w:rPr>
                <w:lang w:val="en-US"/>
              </w:rPr>
            </w:pPr>
            <w:r w:rsidRPr="000369F7">
              <w:rPr>
                <w:rFonts w:ascii="Times New Roman" w:hAnsi="Times New Roman" w:cs="Times New Roman"/>
                <w:b/>
                <w:bCs/>
                <w:sz w:val="18"/>
                <w:szCs w:val="18"/>
                <w:lang w:val="en-US"/>
              </w:rPr>
              <w:lastRenderedPageBreak/>
              <w:t>Table 2.</w:t>
            </w:r>
            <w:r w:rsidRPr="000369F7">
              <w:rPr>
                <w:rFonts w:ascii="Times New Roman" w:hAnsi="Times New Roman" w:cs="Times New Roman"/>
                <w:sz w:val="18"/>
                <w:szCs w:val="18"/>
                <w:lang w:val="en-US"/>
              </w:rPr>
              <w:t xml:space="preserve"> Values of generated power in a hybrid power plant</w:t>
            </w:r>
          </w:p>
        </w:tc>
      </w:tr>
      <w:tr w:rsidR="00B26C97" w:rsidRPr="000369F7" w14:paraId="5CDB8866" w14:textId="77777777" w:rsidTr="002E4D98">
        <w:tc>
          <w:tcPr>
            <w:tcW w:w="1504" w:type="dxa"/>
            <w:vMerge w:val="restart"/>
            <w:tcBorders>
              <w:left w:val="nil"/>
              <w:bottom w:val="nil"/>
              <w:right w:val="nil"/>
            </w:tcBorders>
            <w:vAlign w:val="center"/>
          </w:tcPr>
          <w:p w14:paraId="05B98969" w14:textId="77777777" w:rsidR="00B26C97" w:rsidRPr="000369F7" w:rsidRDefault="00B26C97" w:rsidP="002E4D98">
            <w:pPr>
              <w:pStyle w:val="IOP-CS-TableLeftColumn"/>
              <w:jc w:val="center"/>
              <w:rPr>
                <w:rFonts w:ascii="Times New Roman" w:hAnsi="Times New Roman" w:cs="Times New Roman"/>
                <w:b/>
                <w:sz w:val="18"/>
                <w:szCs w:val="18"/>
                <w:lang w:val="en-US"/>
              </w:rPr>
            </w:pPr>
            <w:r w:rsidRPr="000369F7">
              <w:rPr>
                <w:rFonts w:ascii="Times New Roman" w:hAnsi="Times New Roman" w:cs="Times New Roman"/>
                <w:b/>
                <w:sz w:val="18"/>
                <w:szCs w:val="18"/>
                <w:lang w:val="en-US"/>
              </w:rPr>
              <w:t>Case</w:t>
            </w:r>
          </w:p>
        </w:tc>
        <w:tc>
          <w:tcPr>
            <w:tcW w:w="7522" w:type="dxa"/>
            <w:gridSpan w:val="5"/>
            <w:tcBorders>
              <w:left w:val="nil"/>
              <w:bottom w:val="nil"/>
              <w:right w:val="nil"/>
            </w:tcBorders>
          </w:tcPr>
          <w:p w14:paraId="39D93538" w14:textId="77777777" w:rsidR="00B26C97" w:rsidRPr="000369F7" w:rsidRDefault="00B26C97" w:rsidP="0027656E">
            <w:pPr>
              <w:pStyle w:val="IOP-CS-TableLeftColumn"/>
              <w:jc w:val="center"/>
              <w:rPr>
                <w:rFonts w:ascii="Times New Roman" w:hAnsi="Times New Roman" w:cs="Times New Roman"/>
                <w:b/>
                <w:sz w:val="18"/>
                <w:szCs w:val="18"/>
                <w:lang w:val="en-US"/>
              </w:rPr>
            </w:pPr>
            <w:r w:rsidRPr="000369F7">
              <w:rPr>
                <w:rFonts w:ascii="Times New Roman" w:hAnsi="Times New Roman" w:cs="Times New Roman"/>
                <w:b/>
                <w:sz w:val="18"/>
                <w:szCs w:val="18"/>
                <w:lang w:val="en-US"/>
              </w:rPr>
              <w:t>Parameters</w:t>
            </w:r>
          </w:p>
        </w:tc>
      </w:tr>
      <w:tr w:rsidR="00B26C97" w:rsidRPr="000369F7" w14:paraId="633932CD" w14:textId="77777777" w:rsidTr="0027656E">
        <w:tc>
          <w:tcPr>
            <w:tcW w:w="1504" w:type="dxa"/>
            <w:vMerge/>
            <w:tcBorders>
              <w:top w:val="nil"/>
              <w:left w:val="nil"/>
              <w:bottom w:val="single" w:sz="4" w:space="0" w:color="auto"/>
              <w:right w:val="nil"/>
            </w:tcBorders>
          </w:tcPr>
          <w:p w14:paraId="6D0C8FD6" w14:textId="77777777" w:rsidR="00B26C97" w:rsidRPr="000369F7" w:rsidRDefault="00B26C97" w:rsidP="0027656E">
            <w:pPr>
              <w:pStyle w:val="IOP-CS-TableLeftColumn"/>
              <w:jc w:val="center"/>
              <w:rPr>
                <w:rFonts w:ascii="Times New Roman" w:hAnsi="Times New Roman" w:cs="Times New Roman"/>
                <w:b/>
                <w:sz w:val="18"/>
                <w:szCs w:val="18"/>
                <w:lang w:val="en-US"/>
              </w:rPr>
            </w:pPr>
          </w:p>
        </w:tc>
        <w:tc>
          <w:tcPr>
            <w:tcW w:w="1502" w:type="dxa"/>
            <w:tcBorders>
              <w:top w:val="nil"/>
              <w:left w:val="nil"/>
              <w:bottom w:val="single" w:sz="4" w:space="0" w:color="auto"/>
              <w:right w:val="nil"/>
            </w:tcBorders>
          </w:tcPr>
          <w:p w14:paraId="15F6FC55" w14:textId="1E04C3A6" w:rsidR="00B26C97" w:rsidRPr="000369F7" w:rsidRDefault="00157ED1" w:rsidP="0027656E">
            <w:pPr>
              <w:pStyle w:val="IOP-CS-TableLeftColumn"/>
              <w:jc w:val="center"/>
              <w:rPr>
                <w:rFonts w:ascii="Times New Roman" w:hAnsi="Times New Roman" w:cs="Times New Roman"/>
                <w:b/>
                <w:sz w:val="18"/>
                <w:szCs w:val="18"/>
                <w:lang w:val="en-US"/>
              </w:rPr>
            </w:pPr>
            <m:oMathPara>
              <m:oMath>
                <m:sSub>
                  <m:sSubPr>
                    <m:ctrlPr>
                      <w:rPr>
                        <w:rFonts w:ascii="Cambria Math" w:hAnsi="Cambria Math" w:cs="Times New Roman"/>
                        <w:b/>
                        <w:sz w:val="18"/>
                        <w:szCs w:val="18"/>
                        <w:lang w:val="en-US"/>
                      </w:rPr>
                    </m:ctrlPr>
                  </m:sSubPr>
                  <m:e>
                    <m:r>
                      <m:rPr>
                        <m:sty m:val="bi"/>
                      </m:rPr>
                      <w:rPr>
                        <w:rFonts w:ascii="Cambria Math" w:hAnsi="Cambria Math" w:cs="Times New Roman"/>
                        <w:sz w:val="18"/>
                        <w:szCs w:val="18"/>
                        <w:lang w:val="en-US"/>
                      </w:rPr>
                      <m:t>W</m:t>
                    </m:r>
                  </m:e>
                  <m:sub>
                    <m:sSub>
                      <m:sSubPr>
                        <m:ctrlPr>
                          <w:rPr>
                            <w:rFonts w:ascii="Cambria Math" w:hAnsi="Cambria Math" w:cs="Times New Roman"/>
                            <w:b/>
                            <w:sz w:val="18"/>
                            <w:szCs w:val="18"/>
                            <w:lang w:val="en-US"/>
                          </w:rPr>
                        </m:ctrlPr>
                      </m:sSubPr>
                      <m:e>
                        <m:r>
                          <m:rPr>
                            <m:sty m:val="bi"/>
                          </m:rPr>
                          <w:rPr>
                            <w:rFonts w:ascii="Cambria Math" w:hAnsi="Cambria Math" w:cs="Times New Roman"/>
                            <w:sz w:val="18"/>
                            <w:szCs w:val="18"/>
                            <w:lang w:val="en-US"/>
                          </w:rPr>
                          <m:t>H</m:t>
                        </m:r>
                      </m:e>
                      <m:sub>
                        <m:r>
                          <m:rPr>
                            <m:sty m:val="b"/>
                          </m:rPr>
                          <w:rPr>
                            <w:rFonts w:ascii="Cambria Math" w:hAnsi="Cambria Math" w:cs="Times New Roman"/>
                            <w:sz w:val="18"/>
                            <w:szCs w:val="18"/>
                            <w:lang w:val="en-US"/>
                          </w:rPr>
                          <m:t>2</m:t>
                        </m:r>
                      </m:sub>
                    </m:sSub>
                    <m:r>
                      <m:rPr>
                        <m:sty m:val="bi"/>
                      </m:rPr>
                      <w:rPr>
                        <w:rFonts w:ascii="Cambria Math" w:hAnsi="Cambria Math" w:cs="Times New Roman"/>
                        <w:sz w:val="18"/>
                        <w:szCs w:val="18"/>
                        <w:lang w:val="en-US"/>
                      </w:rPr>
                      <m:t>O</m:t>
                    </m:r>
                  </m:sub>
                </m:sSub>
              </m:oMath>
            </m:oMathPara>
          </w:p>
        </w:tc>
        <w:tc>
          <w:tcPr>
            <w:tcW w:w="1502" w:type="dxa"/>
            <w:tcBorders>
              <w:top w:val="nil"/>
              <w:left w:val="nil"/>
              <w:bottom w:val="single" w:sz="4" w:space="0" w:color="auto"/>
              <w:right w:val="nil"/>
            </w:tcBorders>
          </w:tcPr>
          <w:p w14:paraId="3F3AF875" w14:textId="1ED58DBE" w:rsidR="00B26C97" w:rsidRPr="000369F7" w:rsidRDefault="00157ED1" w:rsidP="0027656E">
            <w:pPr>
              <w:pStyle w:val="IOP-CS-TableLeftColumn"/>
              <w:jc w:val="center"/>
              <w:rPr>
                <w:rFonts w:ascii="Times New Roman" w:hAnsi="Times New Roman" w:cs="Times New Roman"/>
                <w:b/>
                <w:sz w:val="18"/>
                <w:szCs w:val="18"/>
                <w:lang w:val="en-US"/>
              </w:rPr>
            </w:pPr>
            <m:oMathPara>
              <m:oMath>
                <m:sSubSup>
                  <m:sSubSupPr>
                    <m:ctrlPr>
                      <w:rPr>
                        <w:rFonts w:ascii="Cambria Math" w:hAnsi="Cambria Math" w:cs="Times New Roman"/>
                        <w:b/>
                        <w:sz w:val="18"/>
                        <w:szCs w:val="18"/>
                        <w:lang w:val="en-US"/>
                      </w:rPr>
                    </m:ctrlPr>
                  </m:sSubSupPr>
                  <m:e>
                    <m:r>
                      <m:rPr>
                        <m:sty m:val="bi"/>
                      </m:rPr>
                      <w:rPr>
                        <w:rFonts w:ascii="Cambria Math" w:hAnsi="Cambria Math" w:cs="Times New Roman"/>
                        <w:sz w:val="18"/>
                        <w:szCs w:val="18"/>
                        <w:lang w:val="en-US"/>
                      </w:rPr>
                      <m:t>W</m:t>
                    </m:r>
                  </m:e>
                  <m:sub>
                    <m:r>
                      <m:rPr>
                        <m:sty m:val="bi"/>
                      </m:rPr>
                      <w:rPr>
                        <w:rFonts w:ascii="Cambria Math" w:hAnsi="Cambria Math" w:cs="Times New Roman"/>
                        <w:sz w:val="18"/>
                        <w:szCs w:val="18"/>
                        <w:lang w:val="en-US"/>
                      </w:rPr>
                      <m:t>w</m:t>
                    </m:r>
                    <m:r>
                      <m:rPr>
                        <m:sty m:val="b"/>
                      </m:rPr>
                      <w:rPr>
                        <w:rFonts w:ascii="Cambria Math" w:hAnsi="Cambria Math" w:cs="Times New Roman"/>
                        <w:sz w:val="18"/>
                        <w:szCs w:val="18"/>
                        <w:lang w:val="en-US"/>
                      </w:rPr>
                      <m:t>.</m:t>
                    </m:r>
                    <m:r>
                      <m:rPr>
                        <m:sty m:val="bi"/>
                      </m:rPr>
                      <w:rPr>
                        <w:rFonts w:ascii="Cambria Math" w:hAnsi="Cambria Math" w:cs="Times New Roman"/>
                        <w:sz w:val="18"/>
                        <w:szCs w:val="18"/>
                        <w:lang w:val="en-US"/>
                      </w:rPr>
                      <m:t>f</m:t>
                    </m:r>
                  </m:sub>
                  <m:sup>
                    <m:r>
                      <m:rPr>
                        <m:sty m:val="b"/>
                      </m:rPr>
                      <w:rPr>
                        <w:rFonts w:ascii="Cambria Math" w:hAnsi="Cambria Math" w:cs="Times New Roman"/>
                        <w:sz w:val="18"/>
                        <w:szCs w:val="18"/>
                        <w:lang w:val="en-US"/>
                      </w:rPr>
                      <m:t>1</m:t>
                    </m:r>
                  </m:sup>
                </m:sSubSup>
              </m:oMath>
            </m:oMathPara>
          </w:p>
        </w:tc>
        <w:tc>
          <w:tcPr>
            <w:tcW w:w="1502" w:type="dxa"/>
            <w:tcBorders>
              <w:top w:val="nil"/>
              <w:left w:val="nil"/>
              <w:bottom w:val="single" w:sz="4" w:space="0" w:color="auto"/>
              <w:right w:val="nil"/>
            </w:tcBorders>
          </w:tcPr>
          <w:p w14:paraId="545A8774" w14:textId="2686D03A" w:rsidR="00B26C97" w:rsidRPr="000369F7" w:rsidRDefault="00157ED1" w:rsidP="0027656E">
            <w:pPr>
              <w:pStyle w:val="IOP-CS-TableLeftColumn"/>
              <w:jc w:val="center"/>
              <w:rPr>
                <w:rFonts w:ascii="Times New Roman" w:hAnsi="Times New Roman" w:cs="Times New Roman"/>
                <w:b/>
                <w:sz w:val="18"/>
                <w:szCs w:val="18"/>
                <w:lang w:val="en-US"/>
              </w:rPr>
            </w:pPr>
            <m:oMathPara>
              <m:oMath>
                <m:sSubSup>
                  <m:sSubSupPr>
                    <m:ctrlPr>
                      <w:rPr>
                        <w:rFonts w:ascii="Cambria Math" w:hAnsi="Cambria Math" w:cs="Times New Roman"/>
                        <w:b/>
                        <w:sz w:val="18"/>
                        <w:szCs w:val="18"/>
                        <w:lang w:val="en-US"/>
                      </w:rPr>
                    </m:ctrlPr>
                  </m:sSubSupPr>
                  <m:e>
                    <m:r>
                      <m:rPr>
                        <m:sty m:val="bi"/>
                      </m:rPr>
                      <w:rPr>
                        <w:rFonts w:ascii="Cambria Math" w:hAnsi="Cambria Math" w:cs="Times New Roman"/>
                        <w:sz w:val="18"/>
                        <w:szCs w:val="18"/>
                        <w:lang w:val="en-US"/>
                      </w:rPr>
                      <m:t>W</m:t>
                    </m:r>
                  </m:e>
                  <m:sub>
                    <m:r>
                      <m:rPr>
                        <m:sty m:val="bi"/>
                      </m:rPr>
                      <w:rPr>
                        <w:rFonts w:ascii="Cambria Math" w:hAnsi="Cambria Math" w:cs="Times New Roman"/>
                        <w:sz w:val="18"/>
                        <w:szCs w:val="18"/>
                        <w:lang w:val="en-US"/>
                      </w:rPr>
                      <m:t>w</m:t>
                    </m:r>
                    <m:r>
                      <m:rPr>
                        <m:sty m:val="b"/>
                      </m:rPr>
                      <w:rPr>
                        <w:rFonts w:ascii="Cambria Math" w:hAnsi="Cambria Math" w:cs="Times New Roman"/>
                        <w:sz w:val="18"/>
                        <w:szCs w:val="18"/>
                        <w:lang w:val="en-US"/>
                      </w:rPr>
                      <m:t>.</m:t>
                    </m:r>
                    <m:r>
                      <m:rPr>
                        <m:sty m:val="bi"/>
                      </m:rPr>
                      <w:rPr>
                        <w:rFonts w:ascii="Cambria Math" w:hAnsi="Cambria Math" w:cs="Times New Roman"/>
                        <w:sz w:val="18"/>
                        <w:szCs w:val="18"/>
                        <w:lang w:val="en-US"/>
                      </w:rPr>
                      <m:t>f</m:t>
                    </m:r>
                  </m:sub>
                  <m:sup>
                    <m:r>
                      <m:rPr>
                        <m:sty m:val="b"/>
                      </m:rPr>
                      <w:rPr>
                        <w:rFonts w:ascii="Cambria Math" w:hAnsi="Cambria Math" w:cs="Times New Roman"/>
                        <w:sz w:val="18"/>
                        <w:szCs w:val="18"/>
                        <w:lang w:val="en-US"/>
                      </w:rPr>
                      <m:t>2</m:t>
                    </m:r>
                  </m:sup>
                </m:sSubSup>
              </m:oMath>
            </m:oMathPara>
          </w:p>
        </w:tc>
        <w:tc>
          <w:tcPr>
            <w:tcW w:w="1502" w:type="dxa"/>
            <w:tcBorders>
              <w:top w:val="nil"/>
              <w:left w:val="nil"/>
              <w:bottom w:val="single" w:sz="4" w:space="0" w:color="auto"/>
              <w:right w:val="nil"/>
            </w:tcBorders>
          </w:tcPr>
          <w:p w14:paraId="300B5D03" w14:textId="7468556E" w:rsidR="00B26C97" w:rsidRPr="000369F7" w:rsidRDefault="00157ED1" w:rsidP="0027656E">
            <w:pPr>
              <w:pStyle w:val="IOP-CS-TableLeftColumn"/>
              <w:jc w:val="center"/>
              <w:rPr>
                <w:rFonts w:ascii="Times New Roman" w:hAnsi="Times New Roman" w:cs="Times New Roman"/>
                <w:b/>
                <w:sz w:val="18"/>
                <w:szCs w:val="18"/>
                <w:lang w:val="en-US"/>
              </w:rPr>
            </w:pPr>
            <m:oMathPara>
              <m:oMath>
                <m:sSub>
                  <m:sSubPr>
                    <m:ctrlPr>
                      <w:rPr>
                        <w:rFonts w:ascii="Cambria Math" w:hAnsi="Cambria Math" w:cs="Times New Roman"/>
                        <w:b/>
                        <w:sz w:val="18"/>
                        <w:szCs w:val="18"/>
                        <w:lang w:val="en-US"/>
                      </w:rPr>
                    </m:ctrlPr>
                  </m:sSubPr>
                  <m:e>
                    <m:r>
                      <m:rPr>
                        <m:sty m:val="bi"/>
                      </m:rPr>
                      <w:rPr>
                        <w:rFonts w:ascii="Cambria Math" w:hAnsi="Cambria Math" w:cs="Times New Roman"/>
                        <w:sz w:val="18"/>
                        <w:szCs w:val="18"/>
                        <w:lang w:val="en-US"/>
                      </w:rPr>
                      <m:t>W</m:t>
                    </m:r>
                  </m:e>
                  <m:sub>
                    <m:r>
                      <m:rPr>
                        <m:sty m:val="b"/>
                      </m:rPr>
                      <w:rPr>
                        <w:rFonts w:ascii="Cambria Math" w:hAnsi="Cambria Math" w:cs="Times New Roman"/>
                        <w:sz w:val="18"/>
                        <w:szCs w:val="18"/>
                        <w:lang w:val="en-US"/>
                      </w:rPr>
                      <m:t>∑</m:t>
                    </m:r>
                  </m:sub>
                </m:sSub>
              </m:oMath>
            </m:oMathPara>
          </w:p>
        </w:tc>
        <w:tc>
          <w:tcPr>
            <w:tcW w:w="1514" w:type="dxa"/>
            <w:tcBorders>
              <w:top w:val="nil"/>
              <w:left w:val="nil"/>
              <w:bottom w:val="single" w:sz="4" w:space="0" w:color="auto"/>
              <w:right w:val="nil"/>
            </w:tcBorders>
          </w:tcPr>
          <w:p w14:paraId="3EFBF6D6" w14:textId="7AB61366" w:rsidR="00B26C97" w:rsidRPr="000369F7" w:rsidRDefault="00157ED1" w:rsidP="0027656E">
            <w:pPr>
              <w:pStyle w:val="IOP-CS-TableLeftColumn"/>
              <w:jc w:val="center"/>
              <w:rPr>
                <w:rFonts w:ascii="Times New Roman" w:hAnsi="Times New Roman" w:cs="Times New Roman"/>
                <w:b/>
                <w:sz w:val="18"/>
                <w:szCs w:val="18"/>
                <w:lang w:val="en-US"/>
              </w:rPr>
            </w:pPr>
            <m:oMathPara>
              <m:oMath>
                <m:sSub>
                  <m:sSubPr>
                    <m:ctrlPr>
                      <w:rPr>
                        <w:rFonts w:ascii="Cambria Math" w:hAnsi="Cambria Math" w:cs="Times New Roman"/>
                        <w:b/>
                        <w:sz w:val="18"/>
                        <w:szCs w:val="18"/>
                        <w:lang w:val="en-US"/>
                      </w:rPr>
                    </m:ctrlPr>
                  </m:sSubPr>
                  <m:e>
                    <m:r>
                      <m:rPr>
                        <m:sty m:val="bi"/>
                      </m:rPr>
                      <w:rPr>
                        <w:rFonts w:ascii="Cambria Math" w:hAnsi="Cambria Math" w:cs="Times New Roman"/>
                        <w:sz w:val="18"/>
                        <w:szCs w:val="18"/>
                        <w:lang w:val="en-US"/>
                      </w:rPr>
                      <m:t>η</m:t>
                    </m:r>
                  </m:e>
                  <m:sub>
                    <m:r>
                      <m:rPr>
                        <m:sty m:val="b"/>
                      </m:rPr>
                      <w:rPr>
                        <w:rFonts w:ascii="Cambria Math" w:hAnsi="Cambria Math" w:cs="Times New Roman"/>
                        <w:sz w:val="18"/>
                        <w:szCs w:val="18"/>
                        <w:lang w:val="en-US"/>
                      </w:rPr>
                      <m:t>э</m:t>
                    </m:r>
                  </m:sub>
                </m:sSub>
              </m:oMath>
            </m:oMathPara>
          </w:p>
        </w:tc>
      </w:tr>
      <w:tr w:rsidR="00B26C97" w:rsidRPr="000369F7" w14:paraId="303AD902" w14:textId="77777777" w:rsidTr="0027656E">
        <w:tc>
          <w:tcPr>
            <w:tcW w:w="1504" w:type="dxa"/>
            <w:tcBorders>
              <w:left w:val="nil"/>
              <w:bottom w:val="nil"/>
              <w:right w:val="nil"/>
            </w:tcBorders>
          </w:tcPr>
          <w:p w14:paraId="245ED21E"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w:t>
            </w:r>
          </w:p>
        </w:tc>
        <w:tc>
          <w:tcPr>
            <w:tcW w:w="1502" w:type="dxa"/>
            <w:tcBorders>
              <w:left w:val="nil"/>
              <w:bottom w:val="nil"/>
              <w:right w:val="nil"/>
            </w:tcBorders>
          </w:tcPr>
          <w:p w14:paraId="64AF9519"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68.8</w:t>
            </w:r>
          </w:p>
        </w:tc>
        <w:tc>
          <w:tcPr>
            <w:tcW w:w="1502" w:type="dxa"/>
            <w:tcBorders>
              <w:left w:val="nil"/>
              <w:bottom w:val="nil"/>
              <w:right w:val="nil"/>
            </w:tcBorders>
          </w:tcPr>
          <w:p w14:paraId="3EF7D5DF"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20.1</w:t>
            </w:r>
          </w:p>
        </w:tc>
        <w:tc>
          <w:tcPr>
            <w:tcW w:w="1502" w:type="dxa"/>
            <w:tcBorders>
              <w:left w:val="nil"/>
              <w:bottom w:val="nil"/>
              <w:right w:val="nil"/>
            </w:tcBorders>
          </w:tcPr>
          <w:p w14:paraId="44D4942B"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61</w:t>
            </w:r>
          </w:p>
        </w:tc>
        <w:tc>
          <w:tcPr>
            <w:tcW w:w="1502" w:type="dxa"/>
            <w:tcBorders>
              <w:left w:val="nil"/>
              <w:bottom w:val="nil"/>
              <w:right w:val="nil"/>
            </w:tcBorders>
          </w:tcPr>
          <w:p w14:paraId="2A450C64"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139</w:t>
            </w:r>
          </w:p>
        </w:tc>
        <w:tc>
          <w:tcPr>
            <w:tcW w:w="1514" w:type="dxa"/>
            <w:tcBorders>
              <w:left w:val="nil"/>
              <w:bottom w:val="nil"/>
              <w:right w:val="nil"/>
            </w:tcBorders>
          </w:tcPr>
          <w:p w14:paraId="35F918D8"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0.159</w:t>
            </w:r>
          </w:p>
        </w:tc>
      </w:tr>
      <w:tr w:rsidR="00B26C97" w:rsidRPr="000369F7" w14:paraId="1D6331CE" w14:textId="77777777" w:rsidTr="0027656E">
        <w:tc>
          <w:tcPr>
            <w:tcW w:w="1504" w:type="dxa"/>
            <w:tcBorders>
              <w:top w:val="nil"/>
              <w:left w:val="nil"/>
              <w:bottom w:val="nil"/>
              <w:right w:val="nil"/>
            </w:tcBorders>
          </w:tcPr>
          <w:p w14:paraId="5CA3E097"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2</w:t>
            </w:r>
          </w:p>
        </w:tc>
        <w:tc>
          <w:tcPr>
            <w:tcW w:w="1502" w:type="dxa"/>
            <w:tcBorders>
              <w:top w:val="nil"/>
              <w:left w:val="nil"/>
              <w:bottom w:val="nil"/>
              <w:right w:val="nil"/>
            </w:tcBorders>
          </w:tcPr>
          <w:p w14:paraId="15EBE9E8"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98.5</w:t>
            </w:r>
          </w:p>
        </w:tc>
        <w:tc>
          <w:tcPr>
            <w:tcW w:w="1502" w:type="dxa"/>
            <w:tcBorders>
              <w:top w:val="nil"/>
              <w:left w:val="nil"/>
              <w:bottom w:val="nil"/>
              <w:right w:val="nil"/>
            </w:tcBorders>
          </w:tcPr>
          <w:p w14:paraId="16793616"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39.5</w:t>
            </w:r>
          </w:p>
        </w:tc>
        <w:tc>
          <w:tcPr>
            <w:tcW w:w="1502" w:type="dxa"/>
            <w:tcBorders>
              <w:top w:val="nil"/>
              <w:left w:val="nil"/>
              <w:bottom w:val="nil"/>
              <w:right w:val="nil"/>
            </w:tcBorders>
          </w:tcPr>
          <w:p w14:paraId="431CA470"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646</w:t>
            </w:r>
          </w:p>
        </w:tc>
        <w:tc>
          <w:tcPr>
            <w:tcW w:w="1502" w:type="dxa"/>
            <w:tcBorders>
              <w:top w:val="nil"/>
              <w:left w:val="nil"/>
              <w:bottom w:val="nil"/>
              <w:right w:val="nil"/>
            </w:tcBorders>
          </w:tcPr>
          <w:p w14:paraId="3CDD2A3D"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192</w:t>
            </w:r>
          </w:p>
        </w:tc>
        <w:tc>
          <w:tcPr>
            <w:tcW w:w="1514" w:type="dxa"/>
            <w:tcBorders>
              <w:top w:val="nil"/>
              <w:left w:val="nil"/>
              <w:bottom w:val="nil"/>
              <w:right w:val="nil"/>
            </w:tcBorders>
          </w:tcPr>
          <w:p w14:paraId="0BAA3FEE"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0.12</w:t>
            </w:r>
          </w:p>
        </w:tc>
      </w:tr>
      <w:tr w:rsidR="00B26C97" w:rsidRPr="000369F7" w14:paraId="0A5C0DA7" w14:textId="77777777" w:rsidTr="0027656E">
        <w:tc>
          <w:tcPr>
            <w:tcW w:w="1504" w:type="dxa"/>
            <w:tcBorders>
              <w:top w:val="nil"/>
              <w:left w:val="nil"/>
              <w:bottom w:val="nil"/>
              <w:right w:val="nil"/>
            </w:tcBorders>
          </w:tcPr>
          <w:p w14:paraId="017A62FD"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w:t>
            </w:r>
          </w:p>
        </w:tc>
        <w:tc>
          <w:tcPr>
            <w:tcW w:w="1502" w:type="dxa"/>
            <w:tcBorders>
              <w:top w:val="nil"/>
              <w:left w:val="nil"/>
              <w:bottom w:val="nil"/>
              <w:right w:val="nil"/>
            </w:tcBorders>
          </w:tcPr>
          <w:p w14:paraId="4F342B66"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43.6</w:t>
            </w:r>
          </w:p>
        </w:tc>
        <w:tc>
          <w:tcPr>
            <w:tcW w:w="1502" w:type="dxa"/>
            <w:tcBorders>
              <w:top w:val="nil"/>
              <w:left w:val="nil"/>
              <w:bottom w:val="nil"/>
              <w:right w:val="nil"/>
            </w:tcBorders>
          </w:tcPr>
          <w:p w14:paraId="1F71B755"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20.6</w:t>
            </w:r>
          </w:p>
        </w:tc>
        <w:tc>
          <w:tcPr>
            <w:tcW w:w="1502" w:type="dxa"/>
            <w:tcBorders>
              <w:top w:val="nil"/>
              <w:left w:val="nil"/>
              <w:bottom w:val="nil"/>
              <w:right w:val="nil"/>
            </w:tcBorders>
          </w:tcPr>
          <w:p w14:paraId="6892FD8F"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43.6</w:t>
            </w:r>
          </w:p>
        </w:tc>
        <w:tc>
          <w:tcPr>
            <w:tcW w:w="1502" w:type="dxa"/>
            <w:tcBorders>
              <w:top w:val="nil"/>
              <w:left w:val="nil"/>
              <w:bottom w:val="nil"/>
              <w:right w:val="nil"/>
            </w:tcBorders>
          </w:tcPr>
          <w:p w14:paraId="6A16544D"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101</w:t>
            </w:r>
          </w:p>
        </w:tc>
        <w:tc>
          <w:tcPr>
            <w:tcW w:w="1514" w:type="dxa"/>
            <w:tcBorders>
              <w:top w:val="nil"/>
              <w:left w:val="nil"/>
              <w:bottom w:val="nil"/>
              <w:right w:val="nil"/>
            </w:tcBorders>
          </w:tcPr>
          <w:p w14:paraId="75AD09C0"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0.137</w:t>
            </w:r>
          </w:p>
        </w:tc>
      </w:tr>
      <w:tr w:rsidR="00B26C97" w:rsidRPr="000369F7" w14:paraId="322770CF" w14:textId="77777777" w:rsidTr="0027656E">
        <w:tc>
          <w:tcPr>
            <w:tcW w:w="1504" w:type="dxa"/>
            <w:tcBorders>
              <w:top w:val="nil"/>
              <w:left w:val="nil"/>
              <w:bottom w:val="nil"/>
              <w:right w:val="nil"/>
            </w:tcBorders>
          </w:tcPr>
          <w:p w14:paraId="08847FBC"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4</w:t>
            </w:r>
          </w:p>
        </w:tc>
        <w:tc>
          <w:tcPr>
            <w:tcW w:w="1502" w:type="dxa"/>
            <w:tcBorders>
              <w:top w:val="nil"/>
              <w:left w:val="nil"/>
              <w:bottom w:val="nil"/>
              <w:right w:val="nil"/>
            </w:tcBorders>
          </w:tcPr>
          <w:p w14:paraId="5E250E63"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100.7</w:t>
            </w:r>
          </w:p>
        </w:tc>
        <w:tc>
          <w:tcPr>
            <w:tcW w:w="1502" w:type="dxa"/>
            <w:tcBorders>
              <w:top w:val="nil"/>
              <w:left w:val="nil"/>
              <w:bottom w:val="nil"/>
              <w:right w:val="nil"/>
            </w:tcBorders>
          </w:tcPr>
          <w:p w14:paraId="4EA5C38E"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36</w:t>
            </w:r>
          </w:p>
        </w:tc>
        <w:tc>
          <w:tcPr>
            <w:tcW w:w="1502" w:type="dxa"/>
            <w:tcBorders>
              <w:top w:val="nil"/>
              <w:left w:val="nil"/>
              <w:bottom w:val="nil"/>
              <w:right w:val="nil"/>
            </w:tcBorders>
          </w:tcPr>
          <w:p w14:paraId="484C0563"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42.3</w:t>
            </w:r>
          </w:p>
        </w:tc>
        <w:tc>
          <w:tcPr>
            <w:tcW w:w="1502" w:type="dxa"/>
            <w:tcBorders>
              <w:top w:val="nil"/>
              <w:left w:val="nil"/>
              <w:bottom w:val="nil"/>
              <w:right w:val="nil"/>
            </w:tcBorders>
          </w:tcPr>
          <w:p w14:paraId="277788E6"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172</w:t>
            </w:r>
          </w:p>
        </w:tc>
        <w:tc>
          <w:tcPr>
            <w:tcW w:w="1514" w:type="dxa"/>
            <w:tcBorders>
              <w:top w:val="nil"/>
              <w:left w:val="nil"/>
              <w:bottom w:val="nil"/>
              <w:right w:val="nil"/>
            </w:tcBorders>
          </w:tcPr>
          <w:p w14:paraId="2FCBA28B"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0.166</w:t>
            </w:r>
          </w:p>
        </w:tc>
      </w:tr>
      <w:tr w:rsidR="00B26C97" w:rsidRPr="000369F7" w14:paraId="0A06CC9C" w14:textId="77777777" w:rsidTr="0027656E">
        <w:tc>
          <w:tcPr>
            <w:tcW w:w="1504" w:type="dxa"/>
            <w:tcBorders>
              <w:top w:val="nil"/>
              <w:left w:val="nil"/>
              <w:bottom w:val="nil"/>
              <w:right w:val="nil"/>
            </w:tcBorders>
          </w:tcPr>
          <w:p w14:paraId="2E1F8586"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5</w:t>
            </w:r>
          </w:p>
        </w:tc>
        <w:tc>
          <w:tcPr>
            <w:tcW w:w="1502" w:type="dxa"/>
            <w:tcBorders>
              <w:top w:val="nil"/>
              <w:left w:val="nil"/>
              <w:bottom w:val="nil"/>
              <w:right w:val="nil"/>
            </w:tcBorders>
          </w:tcPr>
          <w:p w14:paraId="0A5234BC"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68.8</w:t>
            </w:r>
          </w:p>
        </w:tc>
        <w:tc>
          <w:tcPr>
            <w:tcW w:w="1502" w:type="dxa"/>
            <w:tcBorders>
              <w:top w:val="nil"/>
              <w:left w:val="nil"/>
              <w:bottom w:val="nil"/>
              <w:right w:val="nil"/>
            </w:tcBorders>
          </w:tcPr>
          <w:p w14:paraId="0EBDB59D"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42.4</w:t>
            </w:r>
          </w:p>
        </w:tc>
        <w:tc>
          <w:tcPr>
            <w:tcW w:w="1502" w:type="dxa"/>
            <w:tcBorders>
              <w:top w:val="nil"/>
              <w:left w:val="nil"/>
              <w:bottom w:val="nil"/>
              <w:right w:val="nil"/>
            </w:tcBorders>
          </w:tcPr>
          <w:p w14:paraId="1EED0D0C"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117.8</w:t>
            </w:r>
          </w:p>
        </w:tc>
        <w:tc>
          <w:tcPr>
            <w:tcW w:w="1502" w:type="dxa"/>
            <w:tcBorders>
              <w:top w:val="nil"/>
              <w:left w:val="nil"/>
              <w:bottom w:val="nil"/>
              <w:right w:val="nil"/>
            </w:tcBorders>
          </w:tcPr>
          <w:p w14:paraId="071A4401"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211.7</w:t>
            </w:r>
          </w:p>
        </w:tc>
        <w:tc>
          <w:tcPr>
            <w:tcW w:w="1514" w:type="dxa"/>
            <w:tcBorders>
              <w:top w:val="nil"/>
              <w:left w:val="nil"/>
              <w:bottom w:val="nil"/>
              <w:right w:val="nil"/>
            </w:tcBorders>
          </w:tcPr>
          <w:p w14:paraId="15AF8826"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0.179</w:t>
            </w:r>
          </w:p>
        </w:tc>
      </w:tr>
      <w:tr w:rsidR="00B26C97" w:rsidRPr="000369F7" w14:paraId="51977835" w14:textId="77777777" w:rsidTr="0027656E">
        <w:tc>
          <w:tcPr>
            <w:tcW w:w="1504" w:type="dxa"/>
            <w:tcBorders>
              <w:top w:val="nil"/>
              <w:left w:val="nil"/>
              <w:bottom w:val="nil"/>
              <w:right w:val="nil"/>
            </w:tcBorders>
          </w:tcPr>
          <w:p w14:paraId="41E435FE"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6</w:t>
            </w:r>
          </w:p>
        </w:tc>
        <w:tc>
          <w:tcPr>
            <w:tcW w:w="1502" w:type="dxa"/>
            <w:tcBorders>
              <w:top w:val="nil"/>
              <w:left w:val="nil"/>
              <w:bottom w:val="nil"/>
              <w:right w:val="nil"/>
            </w:tcBorders>
          </w:tcPr>
          <w:p w14:paraId="6AF82963"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43.6</w:t>
            </w:r>
          </w:p>
        </w:tc>
        <w:tc>
          <w:tcPr>
            <w:tcW w:w="1502" w:type="dxa"/>
            <w:tcBorders>
              <w:top w:val="nil"/>
              <w:left w:val="nil"/>
              <w:bottom w:val="nil"/>
              <w:right w:val="nil"/>
            </w:tcBorders>
          </w:tcPr>
          <w:p w14:paraId="4D58AC2E"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45.1</w:t>
            </w:r>
          </w:p>
        </w:tc>
        <w:tc>
          <w:tcPr>
            <w:tcW w:w="1502" w:type="dxa"/>
            <w:tcBorders>
              <w:top w:val="nil"/>
              <w:left w:val="nil"/>
              <w:bottom w:val="nil"/>
              <w:right w:val="nil"/>
            </w:tcBorders>
          </w:tcPr>
          <w:p w14:paraId="5DD24C3B"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69.4</w:t>
            </w:r>
          </w:p>
        </w:tc>
        <w:tc>
          <w:tcPr>
            <w:tcW w:w="1502" w:type="dxa"/>
            <w:tcBorders>
              <w:top w:val="nil"/>
              <w:left w:val="nil"/>
              <w:bottom w:val="nil"/>
              <w:right w:val="nil"/>
            </w:tcBorders>
          </w:tcPr>
          <w:p w14:paraId="67C3665F"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147.9</w:t>
            </w:r>
          </w:p>
        </w:tc>
        <w:tc>
          <w:tcPr>
            <w:tcW w:w="1514" w:type="dxa"/>
            <w:tcBorders>
              <w:top w:val="nil"/>
              <w:left w:val="nil"/>
              <w:bottom w:val="nil"/>
              <w:right w:val="nil"/>
            </w:tcBorders>
          </w:tcPr>
          <w:p w14:paraId="4E3B3CC7"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0.171</w:t>
            </w:r>
          </w:p>
        </w:tc>
      </w:tr>
      <w:tr w:rsidR="00B26C97" w:rsidRPr="000369F7" w14:paraId="1ACB8353" w14:textId="77777777" w:rsidTr="0027656E">
        <w:tc>
          <w:tcPr>
            <w:tcW w:w="1504" w:type="dxa"/>
            <w:tcBorders>
              <w:top w:val="nil"/>
              <w:left w:val="nil"/>
              <w:bottom w:val="nil"/>
              <w:right w:val="nil"/>
            </w:tcBorders>
          </w:tcPr>
          <w:p w14:paraId="3AEB61E5"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7</w:t>
            </w:r>
          </w:p>
        </w:tc>
        <w:tc>
          <w:tcPr>
            <w:tcW w:w="1502" w:type="dxa"/>
            <w:tcBorders>
              <w:top w:val="nil"/>
              <w:left w:val="nil"/>
              <w:bottom w:val="nil"/>
              <w:right w:val="nil"/>
            </w:tcBorders>
          </w:tcPr>
          <w:p w14:paraId="73176375"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61.4</w:t>
            </w:r>
          </w:p>
        </w:tc>
        <w:tc>
          <w:tcPr>
            <w:tcW w:w="1502" w:type="dxa"/>
            <w:tcBorders>
              <w:top w:val="nil"/>
              <w:left w:val="nil"/>
              <w:bottom w:val="nil"/>
              <w:right w:val="nil"/>
            </w:tcBorders>
          </w:tcPr>
          <w:p w14:paraId="634F7477"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40.5</w:t>
            </w:r>
          </w:p>
        </w:tc>
        <w:tc>
          <w:tcPr>
            <w:tcW w:w="1502" w:type="dxa"/>
            <w:tcBorders>
              <w:top w:val="nil"/>
              <w:left w:val="nil"/>
              <w:bottom w:val="nil"/>
              <w:right w:val="nil"/>
            </w:tcBorders>
          </w:tcPr>
          <w:p w14:paraId="7A33E7E5"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60.9</w:t>
            </w:r>
          </w:p>
        </w:tc>
        <w:tc>
          <w:tcPr>
            <w:tcW w:w="1502" w:type="dxa"/>
            <w:tcBorders>
              <w:top w:val="nil"/>
              <w:left w:val="nil"/>
              <w:bottom w:val="nil"/>
              <w:right w:val="nil"/>
            </w:tcBorders>
          </w:tcPr>
          <w:p w14:paraId="34544742"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153.7</w:t>
            </w:r>
          </w:p>
        </w:tc>
        <w:tc>
          <w:tcPr>
            <w:tcW w:w="1514" w:type="dxa"/>
            <w:tcBorders>
              <w:top w:val="nil"/>
              <w:left w:val="nil"/>
              <w:bottom w:val="nil"/>
              <w:right w:val="nil"/>
            </w:tcBorders>
          </w:tcPr>
          <w:p w14:paraId="203E8D9D"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0.195</w:t>
            </w:r>
          </w:p>
        </w:tc>
      </w:tr>
      <w:tr w:rsidR="00B26C97" w:rsidRPr="000369F7" w14:paraId="6FB19AED" w14:textId="77777777" w:rsidTr="0027656E">
        <w:tc>
          <w:tcPr>
            <w:tcW w:w="1504" w:type="dxa"/>
            <w:tcBorders>
              <w:top w:val="nil"/>
              <w:left w:val="nil"/>
              <w:bottom w:val="nil"/>
              <w:right w:val="nil"/>
            </w:tcBorders>
          </w:tcPr>
          <w:p w14:paraId="0C79BEFA"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8</w:t>
            </w:r>
          </w:p>
        </w:tc>
        <w:tc>
          <w:tcPr>
            <w:tcW w:w="1502" w:type="dxa"/>
            <w:tcBorders>
              <w:top w:val="nil"/>
              <w:left w:val="nil"/>
              <w:bottom w:val="nil"/>
              <w:right w:val="nil"/>
            </w:tcBorders>
          </w:tcPr>
          <w:p w14:paraId="35A03CA9"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100.7</w:t>
            </w:r>
          </w:p>
        </w:tc>
        <w:tc>
          <w:tcPr>
            <w:tcW w:w="1502" w:type="dxa"/>
            <w:tcBorders>
              <w:top w:val="nil"/>
              <w:left w:val="nil"/>
              <w:bottom w:val="nil"/>
              <w:right w:val="nil"/>
            </w:tcBorders>
          </w:tcPr>
          <w:p w14:paraId="5F43EFF1"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91.2</w:t>
            </w:r>
          </w:p>
        </w:tc>
        <w:tc>
          <w:tcPr>
            <w:tcW w:w="1502" w:type="dxa"/>
            <w:tcBorders>
              <w:top w:val="nil"/>
              <w:left w:val="nil"/>
              <w:bottom w:val="nil"/>
              <w:right w:val="nil"/>
            </w:tcBorders>
          </w:tcPr>
          <w:p w14:paraId="4C58D481"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50.3</w:t>
            </w:r>
          </w:p>
        </w:tc>
        <w:tc>
          <w:tcPr>
            <w:tcW w:w="1502" w:type="dxa"/>
            <w:tcBorders>
              <w:top w:val="nil"/>
              <w:left w:val="nil"/>
              <w:bottom w:val="nil"/>
              <w:right w:val="nil"/>
            </w:tcBorders>
          </w:tcPr>
          <w:p w14:paraId="06DD3E8B"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233</w:t>
            </w:r>
          </w:p>
        </w:tc>
        <w:tc>
          <w:tcPr>
            <w:tcW w:w="1514" w:type="dxa"/>
            <w:tcBorders>
              <w:top w:val="nil"/>
              <w:left w:val="nil"/>
              <w:bottom w:val="nil"/>
              <w:right w:val="nil"/>
            </w:tcBorders>
          </w:tcPr>
          <w:p w14:paraId="70B520A0"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0.175</w:t>
            </w:r>
          </w:p>
        </w:tc>
      </w:tr>
      <w:tr w:rsidR="00B26C97" w:rsidRPr="000369F7" w14:paraId="7A6096A1" w14:textId="77777777" w:rsidTr="0027656E">
        <w:tc>
          <w:tcPr>
            <w:tcW w:w="1504" w:type="dxa"/>
            <w:tcBorders>
              <w:top w:val="nil"/>
              <w:left w:val="nil"/>
              <w:bottom w:val="nil"/>
              <w:right w:val="nil"/>
            </w:tcBorders>
          </w:tcPr>
          <w:p w14:paraId="0B91593B"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9</w:t>
            </w:r>
          </w:p>
        </w:tc>
        <w:tc>
          <w:tcPr>
            <w:tcW w:w="1502" w:type="dxa"/>
            <w:tcBorders>
              <w:top w:val="nil"/>
              <w:left w:val="nil"/>
              <w:bottom w:val="nil"/>
              <w:right w:val="nil"/>
            </w:tcBorders>
          </w:tcPr>
          <w:p w14:paraId="6218EBE5"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140.8</w:t>
            </w:r>
          </w:p>
        </w:tc>
        <w:tc>
          <w:tcPr>
            <w:tcW w:w="1502" w:type="dxa"/>
            <w:tcBorders>
              <w:top w:val="nil"/>
              <w:left w:val="nil"/>
              <w:bottom w:val="nil"/>
              <w:right w:val="nil"/>
            </w:tcBorders>
          </w:tcPr>
          <w:p w14:paraId="711EAA9F"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127.6</w:t>
            </w:r>
          </w:p>
        </w:tc>
        <w:tc>
          <w:tcPr>
            <w:tcW w:w="1502" w:type="dxa"/>
            <w:tcBorders>
              <w:top w:val="nil"/>
              <w:left w:val="nil"/>
              <w:bottom w:val="nil"/>
              <w:right w:val="nil"/>
            </w:tcBorders>
          </w:tcPr>
          <w:p w14:paraId="40848E52"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70.4</w:t>
            </w:r>
          </w:p>
        </w:tc>
        <w:tc>
          <w:tcPr>
            <w:tcW w:w="1502" w:type="dxa"/>
            <w:tcBorders>
              <w:top w:val="nil"/>
              <w:left w:val="nil"/>
              <w:bottom w:val="nil"/>
              <w:right w:val="nil"/>
            </w:tcBorders>
          </w:tcPr>
          <w:p w14:paraId="3854C3AB"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326</w:t>
            </w:r>
          </w:p>
        </w:tc>
        <w:tc>
          <w:tcPr>
            <w:tcW w:w="1514" w:type="dxa"/>
            <w:tcBorders>
              <w:top w:val="nil"/>
              <w:left w:val="nil"/>
              <w:bottom w:val="nil"/>
              <w:right w:val="nil"/>
            </w:tcBorders>
          </w:tcPr>
          <w:p w14:paraId="26E355D5"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0.175</w:t>
            </w:r>
          </w:p>
        </w:tc>
      </w:tr>
      <w:tr w:rsidR="00B26C97" w:rsidRPr="000369F7" w14:paraId="5F391DCE" w14:textId="77777777" w:rsidTr="0027656E">
        <w:tc>
          <w:tcPr>
            <w:tcW w:w="1504" w:type="dxa"/>
            <w:tcBorders>
              <w:top w:val="nil"/>
              <w:left w:val="nil"/>
              <w:bottom w:val="nil"/>
              <w:right w:val="nil"/>
            </w:tcBorders>
          </w:tcPr>
          <w:p w14:paraId="667F9EEA"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10</w:t>
            </w:r>
          </w:p>
        </w:tc>
        <w:tc>
          <w:tcPr>
            <w:tcW w:w="1502" w:type="dxa"/>
            <w:tcBorders>
              <w:top w:val="nil"/>
              <w:left w:val="nil"/>
              <w:bottom w:val="nil"/>
              <w:right w:val="nil"/>
            </w:tcBorders>
          </w:tcPr>
          <w:p w14:paraId="49005DBC"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100.5</w:t>
            </w:r>
          </w:p>
        </w:tc>
        <w:tc>
          <w:tcPr>
            <w:tcW w:w="1502" w:type="dxa"/>
            <w:tcBorders>
              <w:top w:val="nil"/>
              <w:left w:val="nil"/>
              <w:bottom w:val="nil"/>
              <w:right w:val="nil"/>
            </w:tcBorders>
          </w:tcPr>
          <w:p w14:paraId="2E18D043"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121.4</w:t>
            </w:r>
          </w:p>
        </w:tc>
        <w:tc>
          <w:tcPr>
            <w:tcW w:w="1502" w:type="dxa"/>
            <w:tcBorders>
              <w:top w:val="nil"/>
              <w:left w:val="nil"/>
              <w:bottom w:val="nil"/>
              <w:right w:val="nil"/>
            </w:tcBorders>
          </w:tcPr>
          <w:p w14:paraId="08FA6173"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91.3</w:t>
            </w:r>
          </w:p>
        </w:tc>
        <w:tc>
          <w:tcPr>
            <w:tcW w:w="1502" w:type="dxa"/>
            <w:tcBorders>
              <w:top w:val="nil"/>
              <w:left w:val="nil"/>
              <w:bottom w:val="nil"/>
              <w:right w:val="nil"/>
            </w:tcBorders>
          </w:tcPr>
          <w:p w14:paraId="08793AB8"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295</w:t>
            </w:r>
          </w:p>
        </w:tc>
        <w:tc>
          <w:tcPr>
            <w:tcW w:w="1514" w:type="dxa"/>
            <w:tcBorders>
              <w:top w:val="nil"/>
              <w:left w:val="nil"/>
              <w:bottom w:val="nil"/>
              <w:right w:val="nil"/>
            </w:tcBorders>
          </w:tcPr>
          <w:p w14:paraId="2DCE5254"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0.175</w:t>
            </w:r>
          </w:p>
        </w:tc>
      </w:tr>
      <w:tr w:rsidR="00B26C97" w:rsidRPr="000369F7" w14:paraId="5CCFB02B" w14:textId="77777777" w:rsidTr="0027656E">
        <w:tc>
          <w:tcPr>
            <w:tcW w:w="1504" w:type="dxa"/>
            <w:tcBorders>
              <w:top w:val="nil"/>
              <w:left w:val="nil"/>
              <w:bottom w:val="nil"/>
              <w:right w:val="nil"/>
            </w:tcBorders>
          </w:tcPr>
          <w:p w14:paraId="2D395801"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11</w:t>
            </w:r>
          </w:p>
        </w:tc>
        <w:tc>
          <w:tcPr>
            <w:tcW w:w="1502" w:type="dxa"/>
            <w:tcBorders>
              <w:top w:val="nil"/>
              <w:left w:val="nil"/>
              <w:bottom w:val="nil"/>
              <w:right w:val="nil"/>
            </w:tcBorders>
          </w:tcPr>
          <w:p w14:paraId="0BF1F4FC"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108.5</w:t>
            </w:r>
          </w:p>
        </w:tc>
        <w:tc>
          <w:tcPr>
            <w:tcW w:w="1502" w:type="dxa"/>
            <w:tcBorders>
              <w:top w:val="nil"/>
              <w:left w:val="nil"/>
              <w:bottom w:val="nil"/>
              <w:right w:val="nil"/>
            </w:tcBorders>
          </w:tcPr>
          <w:p w14:paraId="5C501A1F"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133.5</w:t>
            </w:r>
          </w:p>
        </w:tc>
        <w:tc>
          <w:tcPr>
            <w:tcW w:w="1502" w:type="dxa"/>
            <w:tcBorders>
              <w:top w:val="nil"/>
              <w:left w:val="nil"/>
              <w:bottom w:val="nil"/>
              <w:right w:val="nil"/>
            </w:tcBorders>
          </w:tcPr>
          <w:p w14:paraId="08070868"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76.1</w:t>
            </w:r>
          </w:p>
        </w:tc>
        <w:tc>
          <w:tcPr>
            <w:tcW w:w="1502" w:type="dxa"/>
            <w:tcBorders>
              <w:top w:val="nil"/>
              <w:left w:val="nil"/>
              <w:bottom w:val="nil"/>
              <w:right w:val="nil"/>
            </w:tcBorders>
          </w:tcPr>
          <w:p w14:paraId="10DA3BE6"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300</w:t>
            </w:r>
          </w:p>
        </w:tc>
        <w:tc>
          <w:tcPr>
            <w:tcW w:w="1514" w:type="dxa"/>
            <w:tcBorders>
              <w:top w:val="nil"/>
              <w:left w:val="nil"/>
              <w:bottom w:val="nil"/>
              <w:right w:val="nil"/>
            </w:tcBorders>
          </w:tcPr>
          <w:p w14:paraId="1F38B049"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0.177</w:t>
            </w:r>
          </w:p>
        </w:tc>
      </w:tr>
      <w:tr w:rsidR="00B26C97" w:rsidRPr="000369F7" w14:paraId="1B28FD6A" w14:textId="77777777" w:rsidTr="0027656E">
        <w:tc>
          <w:tcPr>
            <w:tcW w:w="1504" w:type="dxa"/>
            <w:tcBorders>
              <w:top w:val="nil"/>
              <w:left w:val="nil"/>
              <w:bottom w:val="nil"/>
              <w:right w:val="nil"/>
            </w:tcBorders>
          </w:tcPr>
          <w:p w14:paraId="26A63EAF"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12</w:t>
            </w:r>
          </w:p>
        </w:tc>
        <w:tc>
          <w:tcPr>
            <w:tcW w:w="1502" w:type="dxa"/>
            <w:tcBorders>
              <w:top w:val="nil"/>
              <w:left w:val="nil"/>
              <w:bottom w:val="nil"/>
              <w:right w:val="nil"/>
            </w:tcBorders>
          </w:tcPr>
          <w:p w14:paraId="52BF89FA"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159.2</w:t>
            </w:r>
          </w:p>
        </w:tc>
        <w:tc>
          <w:tcPr>
            <w:tcW w:w="1502" w:type="dxa"/>
            <w:tcBorders>
              <w:top w:val="nil"/>
              <w:left w:val="nil"/>
              <w:bottom w:val="nil"/>
              <w:right w:val="nil"/>
            </w:tcBorders>
          </w:tcPr>
          <w:p w14:paraId="191D23D3"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143.3</w:t>
            </w:r>
          </w:p>
        </w:tc>
        <w:tc>
          <w:tcPr>
            <w:tcW w:w="1502" w:type="dxa"/>
            <w:tcBorders>
              <w:top w:val="nil"/>
              <w:left w:val="nil"/>
              <w:bottom w:val="nil"/>
              <w:right w:val="nil"/>
            </w:tcBorders>
          </w:tcPr>
          <w:p w14:paraId="0DF40DA1"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34.7</w:t>
            </w:r>
          </w:p>
        </w:tc>
        <w:tc>
          <w:tcPr>
            <w:tcW w:w="1502" w:type="dxa"/>
            <w:tcBorders>
              <w:top w:val="nil"/>
              <w:left w:val="nil"/>
              <w:bottom w:val="nil"/>
              <w:right w:val="nil"/>
            </w:tcBorders>
          </w:tcPr>
          <w:p w14:paraId="66BB80E6"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326</w:t>
            </w:r>
          </w:p>
        </w:tc>
        <w:tc>
          <w:tcPr>
            <w:tcW w:w="1514" w:type="dxa"/>
            <w:tcBorders>
              <w:top w:val="nil"/>
              <w:left w:val="nil"/>
              <w:bottom w:val="nil"/>
              <w:right w:val="nil"/>
            </w:tcBorders>
          </w:tcPr>
          <w:p w14:paraId="424CE639"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0.188</w:t>
            </w:r>
          </w:p>
        </w:tc>
      </w:tr>
      <w:tr w:rsidR="00B26C97" w:rsidRPr="000369F7" w14:paraId="6D0638E3" w14:textId="77777777" w:rsidTr="0027656E">
        <w:tc>
          <w:tcPr>
            <w:tcW w:w="1504" w:type="dxa"/>
            <w:tcBorders>
              <w:top w:val="nil"/>
              <w:left w:val="nil"/>
              <w:bottom w:val="nil"/>
              <w:right w:val="nil"/>
            </w:tcBorders>
          </w:tcPr>
          <w:p w14:paraId="0E8E83C8"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13</w:t>
            </w:r>
          </w:p>
        </w:tc>
        <w:tc>
          <w:tcPr>
            <w:tcW w:w="1502" w:type="dxa"/>
            <w:tcBorders>
              <w:top w:val="nil"/>
              <w:left w:val="nil"/>
              <w:bottom w:val="nil"/>
              <w:right w:val="nil"/>
            </w:tcBorders>
          </w:tcPr>
          <w:p w14:paraId="0C6252F2"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138</w:t>
            </w:r>
          </w:p>
        </w:tc>
        <w:tc>
          <w:tcPr>
            <w:tcW w:w="1502" w:type="dxa"/>
            <w:tcBorders>
              <w:top w:val="nil"/>
              <w:left w:val="nil"/>
              <w:bottom w:val="nil"/>
              <w:right w:val="nil"/>
            </w:tcBorders>
          </w:tcPr>
          <w:p w14:paraId="3314C5BD"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125</w:t>
            </w:r>
          </w:p>
        </w:tc>
        <w:tc>
          <w:tcPr>
            <w:tcW w:w="1502" w:type="dxa"/>
            <w:tcBorders>
              <w:top w:val="nil"/>
              <w:left w:val="nil"/>
              <w:bottom w:val="nil"/>
              <w:right w:val="nil"/>
            </w:tcBorders>
          </w:tcPr>
          <w:p w14:paraId="3EF2A380"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55.6</w:t>
            </w:r>
          </w:p>
        </w:tc>
        <w:tc>
          <w:tcPr>
            <w:tcW w:w="1502" w:type="dxa"/>
            <w:tcBorders>
              <w:top w:val="nil"/>
              <w:left w:val="nil"/>
              <w:bottom w:val="nil"/>
              <w:right w:val="nil"/>
            </w:tcBorders>
          </w:tcPr>
          <w:p w14:paraId="7D77360B"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307</w:t>
            </w:r>
          </w:p>
        </w:tc>
        <w:tc>
          <w:tcPr>
            <w:tcW w:w="1514" w:type="dxa"/>
            <w:tcBorders>
              <w:top w:val="nil"/>
              <w:left w:val="nil"/>
              <w:bottom w:val="nil"/>
              <w:right w:val="nil"/>
            </w:tcBorders>
          </w:tcPr>
          <w:p w14:paraId="61614E50"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0.179</w:t>
            </w:r>
          </w:p>
        </w:tc>
      </w:tr>
      <w:tr w:rsidR="00B26C97" w:rsidRPr="000369F7" w14:paraId="26FE5F46" w14:textId="77777777" w:rsidTr="0027656E">
        <w:tc>
          <w:tcPr>
            <w:tcW w:w="1504" w:type="dxa"/>
            <w:tcBorders>
              <w:top w:val="nil"/>
              <w:left w:val="nil"/>
              <w:bottom w:val="nil"/>
              <w:right w:val="nil"/>
            </w:tcBorders>
          </w:tcPr>
          <w:p w14:paraId="22C156E6"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14</w:t>
            </w:r>
          </w:p>
        </w:tc>
        <w:tc>
          <w:tcPr>
            <w:tcW w:w="1502" w:type="dxa"/>
            <w:tcBorders>
              <w:top w:val="nil"/>
              <w:left w:val="nil"/>
              <w:bottom w:val="nil"/>
              <w:right w:val="nil"/>
            </w:tcBorders>
          </w:tcPr>
          <w:p w14:paraId="6E2F87E6"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158.7</w:t>
            </w:r>
          </w:p>
        </w:tc>
        <w:tc>
          <w:tcPr>
            <w:tcW w:w="1502" w:type="dxa"/>
            <w:tcBorders>
              <w:top w:val="nil"/>
              <w:left w:val="nil"/>
              <w:bottom w:val="nil"/>
              <w:right w:val="nil"/>
            </w:tcBorders>
          </w:tcPr>
          <w:p w14:paraId="307D744C"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129</w:t>
            </w:r>
          </w:p>
        </w:tc>
        <w:tc>
          <w:tcPr>
            <w:tcW w:w="1502" w:type="dxa"/>
            <w:tcBorders>
              <w:top w:val="nil"/>
              <w:left w:val="nil"/>
              <w:bottom w:val="nil"/>
              <w:right w:val="nil"/>
            </w:tcBorders>
          </w:tcPr>
          <w:p w14:paraId="57E35742"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42</w:t>
            </w:r>
          </w:p>
        </w:tc>
        <w:tc>
          <w:tcPr>
            <w:tcW w:w="1502" w:type="dxa"/>
            <w:tcBorders>
              <w:top w:val="nil"/>
              <w:left w:val="nil"/>
              <w:bottom w:val="nil"/>
              <w:right w:val="nil"/>
            </w:tcBorders>
          </w:tcPr>
          <w:p w14:paraId="47975C0A"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320</w:t>
            </w:r>
          </w:p>
        </w:tc>
        <w:tc>
          <w:tcPr>
            <w:tcW w:w="1514" w:type="dxa"/>
            <w:tcBorders>
              <w:top w:val="nil"/>
              <w:left w:val="nil"/>
              <w:bottom w:val="nil"/>
              <w:right w:val="nil"/>
            </w:tcBorders>
          </w:tcPr>
          <w:p w14:paraId="14B2B60A"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0.143</w:t>
            </w:r>
          </w:p>
        </w:tc>
      </w:tr>
      <w:tr w:rsidR="00B26C97" w:rsidRPr="000369F7" w14:paraId="7C6A031D" w14:textId="77777777" w:rsidTr="0027656E">
        <w:tc>
          <w:tcPr>
            <w:tcW w:w="1504" w:type="dxa"/>
            <w:tcBorders>
              <w:top w:val="nil"/>
              <w:left w:val="nil"/>
              <w:bottom w:val="nil"/>
              <w:right w:val="nil"/>
            </w:tcBorders>
          </w:tcPr>
          <w:p w14:paraId="0799B868"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15</w:t>
            </w:r>
          </w:p>
        </w:tc>
        <w:tc>
          <w:tcPr>
            <w:tcW w:w="1502" w:type="dxa"/>
            <w:tcBorders>
              <w:top w:val="nil"/>
              <w:left w:val="nil"/>
              <w:bottom w:val="nil"/>
              <w:right w:val="nil"/>
            </w:tcBorders>
          </w:tcPr>
          <w:p w14:paraId="2F441532"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112.9</w:t>
            </w:r>
          </w:p>
        </w:tc>
        <w:tc>
          <w:tcPr>
            <w:tcW w:w="1502" w:type="dxa"/>
            <w:tcBorders>
              <w:top w:val="nil"/>
              <w:left w:val="nil"/>
              <w:bottom w:val="nil"/>
              <w:right w:val="nil"/>
            </w:tcBorders>
          </w:tcPr>
          <w:p w14:paraId="61EDE778"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136.9</w:t>
            </w:r>
          </w:p>
        </w:tc>
        <w:tc>
          <w:tcPr>
            <w:tcW w:w="1502" w:type="dxa"/>
            <w:tcBorders>
              <w:top w:val="nil"/>
              <w:left w:val="nil"/>
              <w:bottom w:val="nil"/>
              <w:right w:val="nil"/>
            </w:tcBorders>
          </w:tcPr>
          <w:p w14:paraId="7ED5CB4B"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7.,8</w:t>
            </w:r>
          </w:p>
        </w:tc>
        <w:tc>
          <w:tcPr>
            <w:tcW w:w="1502" w:type="dxa"/>
            <w:tcBorders>
              <w:top w:val="nil"/>
              <w:left w:val="nil"/>
              <w:bottom w:val="nil"/>
              <w:right w:val="nil"/>
            </w:tcBorders>
          </w:tcPr>
          <w:p w14:paraId="6AE5013E"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308</w:t>
            </w:r>
          </w:p>
        </w:tc>
        <w:tc>
          <w:tcPr>
            <w:tcW w:w="1514" w:type="dxa"/>
            <w:tcBorders>
              <w:top w:val="nil"/>
              <w:left w:val="nil"/>
              <w:bottom w:val="nil"/>
              <w:right w:val="nil"/>
            </w:tcBorders>
          </w:tcPr>
          <w:p w14:paraId="6E6D913F"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0.178</w:t>
            </w:r>
          </w:p>
        </w:tc>
      </w:tr>
      <w:tr w:rsidR="00B26C97" w:rsidRPr="000369F7" w14:paraId="3DDD951D" w14:textId="77777777" w:rsidTr="0027656E">
        <w:tc>
          <w:tcPr>
            <w:tcW w:w="1504" w:type="dxa"/>
            <w:tcBorders>
              <w:top w:val="nil"/>
              <w:left w:val="nil"/>
              <w:bottom w:val="nil"/>
              <w:right w:val="nil"/>
            </w:tcBorders>
          </w:tcPr>
          <w:p w14:paraId="0A0658AA"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16</w:t>
            </w:r>
          </w:p>
        </w:tc>
        <w:tc>
          <w:tcPr>
            <w:tcW w:w="1502" w:type="dxa"/>
            <w:tcBorders>
              <w:top w:val="nil"/>
              <w:left w:val="nil"/>
              <w:bottom w:val="nil"/>
              <w:right w:val="nil"/>
            </w:tcBorders>
          </w:tcPr>
          <w:p w14:paraId="30841F3E"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94.8</w:t>
            </w:r>
          </w:p>
        </w:tc>
        <w:tc>
          <w:tcPr>
            <w:tcW w:w="1502" w:type="dxa"/>
            <w:tcBorders>
              <w:top w:val="nil"/>
              <w:left w:val="nil"/>
              <w:bottom w:val="nil"/>
              <w:right w:val="nil"/>
            </w:tcBorders>
          </w:tcPr>
          <w:p w14:paraId="57AF4AD0"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120.2</w:t>
            </w:r>
          </w:p>
        </w:tc>
        <w:tc>
          <w:tcPr>
            <w:tcW w:w="1502" w:type="dxa"/>
            <w:tcBorders>
              <w:top w:val="nil"/>
              <w:left w:val="nil"/>
              <w:bottom w:val="nil"/>
              <w:right w:val="nil"/>
            </w:tcBorders>
          </w:tcPr>
          <w:p w14:paraId="7AD5FDBA"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63.2</w:t>
            </w:r>
          </w:p>
        </w:tc>
        <w:tc>
          <w:tcPr>
            <w:tcW w:w="1502" w:type="dxa"/>
            <w:tcBorders>
              <w:top w:val="nil"/>
              <w:left w:val="nil"/>
              <w:bottom w:val="nil"/>
              <w:right w:val="nil"/>
            </w:tcBorders>
          </w:tcPr>
          <w:p w14:paraId="7E73C58C"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263</w:t>
            </w:r>
          </w:p>
        </w:tc>
        <w:tc>
          <w:tcPr>
            <w:tcW w:w="1514" w:type="dxa"/>
            <w:tcBorders>
              <w:top w:val="nil"/>
              <w:left w:val="nil"/>
              <w:bottom w:val="nil"/>
              <w:right w:val="nil"/>
            </w:tcBorders>
          </w:tcPr>
          <w:p w14:paraId="3A6E8B2A"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0.152</w:t>
            </w:r>
          </w:p>
        </w:tc>
      </w:tr>
      <w:tr w:rsidR="00B26C97" w:rsidRPr="000369F7" w14:paraId="42A41935" w14:textId="77777777" w:rsidTr="0027656E">
        <w:tc>
          <w:tcPr>
            <w:tcW w:w="1504" w:type="dxa"/>
            <w:tcBorders>
              <w:top w:val="nil"/>
              <w:left w:val="nil"/>
              <w:bottom w:val="nil"/>
              <w:right w:val="nil"/>
            </w:tcBorders>
          </w:tcPr>
          <w:p w14:paraId="78AE3E9E"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17</w:t>
            </w:r>
          </w:p>
        </w:tc>
        <w:tc>
          <w:tcPr>
            <w:tcW w:w="1502" w:type="dxa"/>
            <w:tcBorders>
              <w:top w:val="nil"/>
              <w:left w:val="nil"/>
              <w:bottom w:val="nil"/>
              <w:right w:val="nil"/>
            </w:tcBorders>
          </w:tcPr>
          <w:p w14:paraId="4FA51F5F"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158.2</w:t>
            </w:r>
          </w:p>
        </w:tc>
        <w:tc>
          <w:tcPr>
            <w:tcW w:w="1502" w:type="dxa"/>
            <w:tcBorders>
              <w:top w:val="nil"/>
              <w:left w:val="nil"/>
              <w:bottom w:val="nil"/>
              <w:right w:val="nil"/>
            </w:tcBorders>
          </w:tcPr>
          <w:p w14:paraId="0CB14F9D"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159</w:t>
            </w:r>
          </w:p>
        </w:tc>
        <w:tc>
          <w:tcPr>
            <w:tcW w:w="1502" w:type="dxa"/>
            <w:tcBorders>
              <w:top w:val="nil"/>
              <w:left w:val="nil"/>
              <w:bottom w:val="nil"/>
              <w:right w:val="nil"/>
            </w:tcBorders>
          </w:tcPr>
          <w:p w14:paraId="0947F42F"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26.5</w:t>
            </w:r>
          </w:p>
        </w:tc>
        <w:tc>
          <w:tcPr>
            <w:tcW w:w="1502" w:type="dxa"/>
            <w:tcBorders>
              <w:top w:val="nil"/>
              <w:left w:val="nil"/>
              <w:bottom w:val="nil"/>
              <w:right w:val="nil"/>
            </w:tcBorders>
          </w:tcPr>
          <w:p w14:paraId="286F60C1"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328.8</w:t>
            </w:r>
          </w:p>
        </w:tc>
        <w:tc>
          <w:tcPr>
            <w:tcW w:w="1514" w:type="dxa"/>
            <w:tcBorders>
              <w:top w:val="nil"/>
              <w:left w:val="nil"/>
              <w:bottom w:val="nil"/>
              <w:right w:val="nil"/>
            </w:tcBorders>
          </w:tcPr>
          <w:p w14:paraId="53DF8FFF"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0.19</w:t>
            </w:r>
          </w:p>
        </w:tc>
      </w:tr>
      <w:tr w:rsidR="00B26C97" w:rsidRPr="000369F7" w14:paraId="3D39001D" w14:textId="77777777" w:rsidTr="0027656E">
        <w:tc>
          <w:tcPr>
            <w:tcW w:w="1504" w:type="dxa"/>
            <w:tcBorders>
              <w:top w:val="nil"/>
              <w:left w:val="nil"/>
              <w:bottom w:val="nil"/>
              <w:right w:val="nil"/>
            </w:tcBorders>
          </w:tcPr>
          <w:p w14:paraId="2C67CB7D"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18</w:t>
            </w:r>
          </w:p>
        </w:tc>
        <w:tc>
          <w:tcPr>
            <w:tcW w:w="1502" w:type="dxa"/>
            <w:tcBorders>
              <w:top w:val="nil"/>
              <w:left w:val="nil"/>
              <w:bottom w:val="nil"/>
              <w:right w:val="nil"/>
            </w:tcBorders>
          </w:tcPr>
          <w:p w14:paraId="24F64DF5"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158.2</w:t>
            </w:r>
          </w:p>
        </w:tc>
        <w:tc>
          <w:tcPr>
            <w:tcW w:w="1502" w:type="dxa"/>
            <w:tcBorders>
              <w:top w:val="nil"/>
              <w:left w:val="nil"/>
              <w:bottom w:val="nil"/>
              <w:right w:val="nil"/>
            </w:tcBorders>
          </w:tcPr>
          <w:p w14:paraId="181977CA"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73.6</w:t>
            </w:r>
          </w:p>
        </w:tc>
        <w:tc>
          <w:tcPr>
            <w:tcW w:w="1502" w:type="dxa"/>
            <w:tcBorders>
              <w:top w:val="nil"/>
              <w:left w:val="nil"/>
              <w:bottom w:val="nil"/>
              <w:right w:val="nil"/>
            </w:tcBorders>
          </w:tcPr>
          <w:p w14:paraId="2415344F"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42</w:t>
            </w:r>
          </w:p>
        </w:tc>
        <w:tc>
          <w:tcPr>
            <w:tcW w:w="1502" w:type="dxa"/>
            <w:tcBorders>
              <w:top w:val="nil"/>
              <w:left w:val="nil"/>
              <w:bottom w:val="nil"/>
              <w:right w:val="nil"/>
            </w:tcBorders>
          </w:tcPr>
          <w:p w14:paraId="5C848FD1"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228</w:t>
            </w:r>
          </w:p>
        </w:tc>
        <w:tc>
          <w:tcPr>
            <w:tcW w:w="1514" w:type="dxa"/>
            <w:tcBorders>
              <w:top w:val="nil"/>
              <w:left w:val="nil"/>
              <w:bottom w:val="nil"/>
              <w:right w:val="nil"/>
            </w:tcBorders>
          </w:tcPr>
          <w:p w14:paraId="648E2BF3"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0.14</w:t>
            </w:r>
          </w:p>
        </w:tc>
      </w:tr>
      <w:tr w:rsidR="00B26C97" w:rsidRPr="000369F7" w14:paraId="43637A1C" w14:textId="77777777" w:rsidTr="0027656E">
        <w:tc>
          <w:tcPr>
            <w:tcW w:w="1504" w:type="dxa"/>
            <w:tcBorders>
              <w:top w:val="nil"/>
              <w:left w:val="nil"/>
              <w:bottom w:val="nil"/>
              <w:right w:val="nil"/>
            </w:tcBorders>
          </w:tcPr>
          <w:p w14:paraId="4EC63585"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19</w:t>
            </w:r>
          </w:p>
        </w:tc>
        <w:tc>
          <w:tcPr>
            <w:tcW w:w="1502" w:type="dxa"/>
            <w:tcBorders>
              <w:top w:val="nil"/>
              <w:left w:val="nil"/>
              <w:bottom w:val="nil"/>
              <w:right w:val="nil"/>
            </w:tcBorders>
          </w:tcPr>
          <w:p w14:paraId="2500191E"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158.2</w:t>
            </w:r>
          </w:p>
        </w:tc>
        <w:tc>
          <w:tcPr>
            <w:tcW w:w="1502" w:type="dxa"/>
            <w:tcBorders>
              <w:top w:val="nil"/>
              <w:left w:val="nil"/>
              <w:bottom w:val="nil"/>
              <w:right w:val="nil"/>
            </w:tcBorders>
          </w:tcPr>
          <w:p w14:paraId="0FD059A9"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151.2</w:t>
            </w:r>
          </w:p>
        </w:tc>
        <w:tc>
          <w:tcPr>
            <w:tcW w:w="1502" w:type="dxa"/>
            <w:tcBorders>
              <w:top w:val="nil"/>
              <w:left w:val="nil"/>
              <w:bottom w:val="nil"/>
              <w:right w:val="nil"/>
            </w:tcBorders>
          </w:tcPr>
          <w:p w14:paraId="470C5FFE"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36.9</w:t>
            </w:r>
          </w:p>
        </w:tc>
        <w:tc>
          <w:tcPr>
            <w:tcW w:w="1502" w:type="dxa"/>
            <w:tcBorders>
              <w:top w:val="nil"/>
              <w:left w:val="nil"/>
              <w:bottom w:val="nil"/>
              <w:right w:val="nil"/>
            </w:tcBorders>
          </w:tcPr>
          <w:p w14:paraId="40CB6492"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326.7</w:t>
            </w:r>
          </w:p>
        </w:tc>
        <w:tc>
          <w:tcPr>
            <w:tcW w:w="1514" w:type="dxa"/>
            <w:tcBorders>
              <w:top w:val="nil"/>
              <w:left w:val="nil"/>
              <w:bottom w:val="nil"/>
              <w:right w:val="nil"/>
            </w:tcBorders>
          </w:tcPr>
          <w:p w14:paraId="55DE11F3"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0.183</w:t>
            </w:r>
          </w:p>
        </w:tc>
      </w:tr>
      <w:tr w:rsidR="00B26C97" w:rsidRPr="000369F7" w14:paraId="1D59C5A4" w14:textId="77777777" w:rsidTr="0027656E">
        <w:tc>
          <w:tcPr>
            <w:tcW w:w="1504" w:type="dxa"/>
            <w:tcBorders>
              <w:top w:val="nil"/>
              <w:left w:val="nil"/>
              <w:bottom w:val="nil"/>
              <w:right w:val="nil"/>
            </w:tcBorders>
          </w:tcPr>
          <w:p w14:paraId="5A504E0D"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20</w:t>
            </w:r>
          </w:p>
        </w:tc>
        <w:tc>
          <w:tcPr>
            <w:tcW w:w="1502" w:type="dxa"/>
            <w:tcBorders>
              <w:top w:val="nil"/>
              <w:left w:val="nil"/>
              <w:bottom w:val="nil"/>
              <w:right w:val="nil"/>
            </w:tcBorders>
          </w:tcPr>
          <w:p w14:paraId="55CF264F"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158.2</w:t>
            </w:r>
          </w:p>
        </w:tc>
        <w:tc>
          <w:tcPr>
            <w:tcW w:w="1502" w:type="dxa"/>
            <w:tcBorders>
              <w:top w:val="nil"/>
              <w:left w:val="nil"/>
              <w:bottom w:val="nil"/>
              <w:right w:val="nil"/>
            </w:tcBorders>
          </w:tcPr>
          <w:p w14:paraId="06FD7986"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169.5</w:t>
            </w:r>
          </w:p>
        </w:tc>
        <w:tc>
          <w:tcPr>
            <w:tcW w:w="1502" w:type="dxa"/>
            <w:tcBorders>
              <w:top w:val="nil"/>
              <w:left w:val="nil"/>
              <w:bottom w:val="nil"/>
              <w:right w:val="nil"/>
            </w:tcBorders>
          </w:tcPr>
          <w:p w14:paraId="452BAE78"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38</w:t>
            </w:r>
          </w:p>
        </w:tc>
        <w:tc>
          <w:tcPr>
            <w:tcW w:w="1502" w:type="dxa"/>
            <w:tcBorders>
              <w:top w:val="nil"/>
              <w:left w:val="nil"/>
              <w:bottom w:val="nil"/>
              <w:right w:val="nil"/>
            </w:tcBorders>
          </w:tcPr>
          <w:p w14:paraId="37D1128D"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357</w:t>
            </w:r>
          </w:p>
        </w:tc>
        <w:tc>
          <w:tcPr>
            <w:tcW w:w="1514" w:type="dxa"/>
            <w:tcBorders>
              <w:top w:val="nil"/>
              <w:left w:val="nil"/>
              <w:bottom w:val="nil"/>
              <w:right w:val="nil"/>
            </w:tcBorders>
          </w:tcPr>
          <w:p w14:paraId="6AC186B5"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0.206</w:t>
            </w:r>
          </w:p>
        </w:tc>
      </w:tr>
      <w:tr w:rsidR="00B26C97" w:rsidRPr="000369F7" w14:paraId="2490B30B" w14:textId="77777777" w:rsidTr="0027656E">
        <w:tc>
          <w:tcPr>
            <w:tcW w:w="1504" w:type="dxa"/>
            <w:tcBorders>
              <w:top w:val="nil"/>
              <w:left w:val="nil"/>
              <w:right w:val="nil"/>
            </w:tcBorders>
          </w:tcPr>
          <w:p w14:paraId="17FFF009"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21</w:t>
            </w:r>
          </w:p>
        </w:tc>
        <w:tc>
          <w:tcPr>
            <w:tcW w:w="1502" w:type="dxa"/>
            <w:tcBorders>
              <w:top w:val="nil"/>
              <w:left w:val="nil"/>
              <w:right w:val="nil"/>
            </w:tcBorders>
          </w:tcPr>
          <w:p w14:paraId="50A8395F"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158.2</w:t>
            </w:r>
          </w:p>
        </w:tc>
        <w:tc>
          <w:tcPr>
            <w:tcW w:w="1502" w:type="dxa"/>
            <w:tcBorders>
              <w:top w:val="nil"/>
              <w:left w:val="nil"/>
              <w:right w:val="nil"/>
            </w:tcBorders>
          </w:tcPr>
          <w:p w14:paraId="60ADE2E0"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170</w:t>
            </w:r>
          </w:p>
        </w:tc>
        <w:tc>
          <w:tcPr>
            <w:tcW w:w="1502" w:type="dxa"/>
            <w:tcBorders>
              <w:top w:val="nil"/>
              <w:left w:val="nil"/>
              <w:right w:val="nil"/>
            </w:tcBorders>
          </w:tcPr>
          <w:p w14:paraId="09E5A4C3"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37.6</w:t>
            </w:r>
          </w:p>
        </w:tc>
        <w:tc>
          <w:tcPr>
            <w:tcW w:w="1502" w:type="dxa"/>
            <w:tcBorders>
              <w:top w:val="nil"/>
              <w:left w:val="nil"/>
              <w:right w:val="nil"/>
            </w:tcBorders>
          </w:tcPr>
          <w:p w14:paraId="49EE8A35"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349.3</w:t>
            </w:r>
          </w:p>
        </w:tc>
        <w:tc>
          <w:tcPr>
            <w:tcW w:w="1514" w:type="dxa"/>
            <w:tcBorders>
              <w:top w:val="nil"/>
              <w:left w:val="nil"/>
              <w:right w:val="nil"/>
            </w:tcBorders>
          </w:tcPr>
          <w:p w14:paraId="5F38E406"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0.203</w:t>
            </w:r>
          </w:p>
        </w:tc>
      </w:tr>
    </w:tbl>
    <w:p w14:paraId="3573C017" w14:textId="77777777" w:rsidR="00B26C97" w:rsidRPr="000369F7" w:rsidRDefault="00B26C97" w:rsidP="00B26C97">
      <w:pPr>
        <w:widowControl w:val="0"/>
        <w:pBdr>
          <w:top w:val="nil"/>
          <w:left w:val="nil"/>
          <w:bottom w:val="nil"/>
          <w:right w:val="nil"/>
          <w:between w:val="nil"/>
        </w:pBdr>
        <w:ind w:firstLine="284"/>
        <w:jc w:val="both"/>
        <w:rPr>
          <w:color w:val="000000"/>
          <w:sz w:val="20"/>
        </w:rPr>
      </w:pPr>
    </w:p>
    <w:p w14:paraId="72D62299"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Note</w:t>
      </w:r>
    </w:p>
    <w:p w14:paraId="1BFA49A9"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 xml:space="preserve">  It is accepted that:</w:t>
      </w:r>
    </w:p>
    <w:p w14:paraId="6BE89875"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 xml:space="preserve">    steam turbine efficiency is 0.81;</w:t>
      </w:r>
    </w:p>
    <w:p w14:paraId="552DA5F5" w14:textId="4253AEEF"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 xml:space="preserve">    turbine efficiency with organic working fluid is 0.86;</w:t>
      </w:r>
    </w:p>
    <w:p w14:paraId="53447FBE"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 xml:space="preserve">    pump efficiency is 0.75, ambient temperature is 25ºC;</w:t>
      </w:r>
    </w:p>
    <w:p w14:paraId="05E590C4"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 xml:space="preserve">    the temperature difference between underrecovery and the pinch point is 5K.</w:t>
      </w:r>
    </w:p>
    <w:p w14:paraId="52EF6287"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In the cases studied, the following organic working fluids are used:</w:t>
      </w:r>
    </w:p>
    <w:p w14:paraId="44A3BF24"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 xml:space="preserve">    in cases (1-4, 8, 9, 12-14) - in circuit (a-e) R600a/R141b, in circuit (u-y) R152a;</w:t>
      </w:r>
    </w:p>
    <w:p w14:paraId="58E8A9B5"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 xml:space="preserve">    in cases (5-7, 10, 11, 15-17) - in circuit (a-e) R152a, in circuit (u-y) R600a/R141b;</w:t>
      </w:r>
    </w:p>
    <w:p w14:paraId="70C37897"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 xml:space="preserve">   in case 18 - in circuit (a-e) R32, in circuit (u-y) R134;</w:t>
      </w:r>
    </w:p>
    <w:p w14:paraId="15F63204"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 xml:space="preserve">    in case 19 - in circuit (a-e) RC318, in circuit (u-y) RC318;</w:t>
      </w:r>
    </w:p>
    <w:p w14:paraId="20E9925B"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 xml:space="preserve">    in case 20 - in circuit (a-e) R245fa, in circuit (u-y) R245fa;</w:t>
      </w:r>
    </w:p>
    <w:p w14:paraId="3BA06ACD"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 xml:space="preserve">    in case 21 - in circuit (a-e) R600a, in circuit (u-y) R600a.</w:t>
      </w:r>
    </w:p>
    <w:p w14:paraId="142E07BA"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Analysis of the influence of the degree of vapor dryness (X) of a saturated fluid is studied in case 1 and case 2. When the steam temperature in front of the turbine decreases to 185 °C, the power generated by the steam turbine is WH2O=43.6 (X=0.156, case 3) and WH2O=100.7 kW (X=0.35, case 4). In this case, the power generated by organic turbines is WORC1=20.6 kW (X=0.156) and WORC2=43.6 kW. At X=0.35, the generated power is WORC1=36 kW and WORC2=42.3 kW. The total electrical power is equal to WΣ = 101 kW (case 3) and WΣ = 172 kW (case 4), respectively. The increase in power is achieved by increasing the flow of water vapor.</w:t>
      </w:r>
    </w:p>
    <w:p w14:paraId="44EB2876" w14:textId="79535F0B"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When replacing working fluids in circuits (a-e) and (u-y) at a steam temperature in front of the turbine of 250°C (case 5), the generated total power of the turbines is WΣ = 211.7 kW. When compared with (case 1), the total power increases by 1.5 times. The total power of organic turbines increases from 81.1 kW to 160.2 kW. As water vapor pressure and mass flow rates in organic circuits decrease, the power output decreases (case 6 and case 7). In case 8 and case 9 studied, the steam temperature in front of the turbine drops to 185°C, but the steam mass flow rate increases to 0.49 kg</w:t>
      </w:r>
      <w:r w:rsidR="00315FA0" w:rsidRPr="000369F7">
        <w:rPr>
          <w:b/>
          <w:sz w:val="18"/>
          <w:szCs w:val="18"/>
        </w:rPr>
        <w:t>·</w:t>
      </w:r>
      <w:r w:rsidRPr="000369F7">
        <w:rPr>
          <w:color w:val="000000"/>
          <w:sz w:val="20"/>
        </w:rPr>
        <w:t>s</w:t>
      </w:r>
      <w:r w:rsidR="00315FA0" w:rsidRPr="000369F7">
        <w:rPr>
          <w:b/>
          <w:sz w:val="18"/>
          <w:szCs w:val="18"/>
          <w:vertAlign w:val="superscript"/>
        </w:rPr>
        <w:t>-1</w:t>
      </w:r>
      <w:r w:rsidRPr="000369F7">
        <w:rPr>
          <w:color w:val="000000"/>
          <w:sz w:val="20"/>
        </w:rPr>
        <w:t>. The generated total power increases from 233 kW to 326 kW. In case 10 and case 11, when the steam pressure is reduced to 700 kPa and the dryness degree decreases up to 0.22, the generated power ranges from 215 kW to 300 kW. The power of organic turbines is 212.7 kW (case 10) and 210 kW (case 11).</w:t>
      </w:r>
    </w:p>
    <w:p w14:paraId="0C7C120F"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In cases 12, 13 and 14, the parameters of the power plant are studied with increasing mass flow rates in the circuits and at steam temperatures of 185°C and 195°C. The generated power ranges from WΣ = 307 kW to WΣ = 326 kW.</w:t>
      </w:r>
    </w:p>
    <w:p w14:paraId="0ECD7F1A" w14:textId="6FB01314"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In cases 15,</w:t>
      </w:r>
      <w:r w:rsidR="00F37157" w:rsidRPr="000369F7">
        <w:rPr>
          <w:color w:val="000000"/>
          <w:sz w:val="20"/>
        </w:rPr>
        <w:t xml:space="preserve"> </w:t>
      </w:r>
      <w:r w:rsidRPr="000369F7">
        <w:rPr>
          <w:color w:val="000000"/>
          <w:sz w:val="20"/>
        </w:rPr>
        <w:t>16,</w:t>
      </w:r>
      <w:r w:rsidR="00F37157" w:rsidRPr="000369F7">
        <w:rPr>
          <w:color w:val="000000"/>
          <w:sz w:val="20"/>
        </w:rPr>
        <w:t xml:space="preserve"> </w:t>
      </w:r>
      <w:r w:rsidRPr="000369F7">
        <w:rPr>
          <w:color w:val="000000"/>
          <w:sz w:val="20"/>
        </w:rPr>
        <w:t xml:space="preserve">17, the characteristics of the installation are studied at temperatures of 165°C and 185°C and </w:t>
      </w:r>
      <w:r w:rsidRPr="000369F7">
        <w:rPr>
          <w:color w:val="000000"/>
          <w:sz w:val="20"/>
        </w:rPr>
        <w:lastRenderedPageBreak/>
        <w:t xml:space="preserve">increasing mass flow rates. The generated power ranges from WΣ = 308 kW to WΣ = 329 kW. </w:t>
      </w:r>
    </w:p>
    <w:p w14:paraId="7C91BE04" w14:textId="77777777"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Detailed results of calculating the thermal circuit (case 21) are given in table 3.</w:t>
      </w:r>
    </w:p>
    <w:p w14:paraId="6212483D" w14:textId="7E339AC8"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The parameters of the working fluids at the control points of the cycles are given in the Table 3.</w:t>
      </w:r>
    </w:p>
    <w:p w14:paraId="580953C2" w14:textId="77777777" w:rsidR="00B26C97" w:rsidRPr="000369F7" w:rsidRDefault="00B26C97" w:rsidP="00B26C97">
      <w:pPr>
        <w:widowControl w:val="0"/>
        <w:pBdr>
          <w:top w:val="nil"/>
          <w:left w:val="nil"/>
          <w:bottom w:val="nil"/>
          <w:right w:val="nil"/>
          <w:between w:val="nil"/>
        </w:pBdr>
        <w:ind w:firstLine="284"/>
        <w:jc w:val="both"/>
        <w:rPr>
          <w:color w:val="000000"/>
          <w:sz w:val="20"/>
        </w:rPr>
      </w:pP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90"/>
        <w:gridCol w:w="1174"/>
        <w:gridCol w:w="1041"/>
        <w:gridCol w:w="1692"/>
        <w:gridCol w:w="1563"/>
        <w:gridCol w:w="1310"/>
      </w:tblGrid>
      <w:tr w:rsidR="00B26C97" w:rsidRPr="000369F7" w14:paraId="1FF469AD" w14:textId="77777777" w:rsidTr="0027656E">
        <w:tc>
          <w:tcPr>
            <w:tcW w:w="5000" w:type="pct"/>
            <w:gridSpan w:val="7"/>
            <w:tcBorders>
              <w:top w:val="nil"/>
              <w:left w:val="nil"/>
              <w:bottom w:val="single" w:sz="4" w:space="0" w:color="auto"/>
              <w:right w:val="nil"/>
            </w:tcBorders>
          </w:tcPr>
          <w:p w14:paraId="1B4ACF03" w14:textId="77777777" w:rsidR="00B26C97" w:rsidRPr="000369F7" w:rsidRDefault="00B26C97" w:rsidP="00157ED1">
            <w:pPr>
              <w:pStyle w:val="IOP-CS-TableLeftColumn"/>
              <w:jc w:val="center"/>
              <w:rPr>
                <w:rFonts w:ascii="Times New Roman" w:hAnsi="Times New Roman" w:cs="Times New Roman"/>
                <w:sz w:val="18"/>
                <w:szCs w:val="18"/>
                <w:lang w:val="en-US"/>
              </w:rPr>
            </w:pPr>
            <w:r w:rsidRPr="000369F7">
              <w:rPr>
                <w:rFonts w:ascii="Times New Roman" w:hAnsi="Times New Roman" w:cs="Times New Roman"/>
                <w:b/>
                <w:bCs/>
                <w:sz w:val="18"/>
                <w:szCs w:val="18"/>
                <w:lang w:val="en-US"/>
              </w:rPr>
              <w:t>Table 3.</w:t>
            </w:r>
            <w:r w:rsidRPr="000369F7">
              <w:rPr>
                <w:rFonts w:ascii="Times New Roman" w:hAnsi="Times New Roman" w:cs="Times New Roman"/>
                <w:sz w:val="18"/>
                <w:szCs w:val="18"/>
                <w:lang w:val="en-US"/>
              </w:rPr>
              <w:t xml:space="preserve"> The parameters of the working fluids at the control points of the cycles</w:t>
            </w:r>
          </w:p>
        </w:tc>
      </w:tr>
      <w:tr w:rsidR="009737B6" w:rsidRPr="009737B6" w14:paraId="5AB76F26" w14:textId="77777777" w:rsidTr="0027656E">
        <w:tc>
          <w:tcPr>
            <w:tcW w:w="455" w:type="pct"/>
            <w:tcBorders>
              <w:left w:val="nil"/>
              <w:bottom w:val="single" w:sz="4" w:space="0" w:color="auto"/>
              <w:right w:val="nil"/>
            </w:tcBorders>
          </w:tcPr>
          <w:p w14:paraId="7E86E58A" w14:textId="77777777" w:rsidR="00B26C97" w:rsidRPr="000369F7" w:rsidRDefault="00B26C97" w:rsidP="0027656E">
            <w:pPr>
              <w:pStyle w:val="IOP-CS-TableLeftColumn"/>
              <w:jc w:val="center"/>
              <w:rPr>
                <w:rFonts w:ascii="Times New Roman" w:hAnsi="Times New Roman" w:cs="Times New Roman"/>
                <w:b/>
                <w:sz w:val="18"/>
                <w:szCs w:val="18"/>
                <w:lang w:val="en-US"/>
              </w:rPr>
            </w:pPr>
            <w:r w:rsidRPr="000369F7">
              <w:rPr>
                <w:rFonts w:ascii="Times New Roman" w:hAnsi="Times New Roman" w:cs="Times New Roman"/>
                <w:b/>
                <w:sz w:val="18"/>
                <w:szCs w:val="18"/>
                <w:lang w:val="en-US"/>
              </w:rPr>
              <w:t>No</w:t>
            </w:r>
          </w:p>
        </w:tc>
        <w:tc>
          <w:tcPr>
            <w:tcW w:w="819" w:type="pct"/>
            <w:tcBorders>
              <w:left w:val="nil"/>
              <w:bottom w:val="single" w:sz="4" w:space="0" w:color="auto"/>
              <w:right w:val="nil"/>
            </w:tcBorders>
          </w:tcPr>
          <w:p w14:paraId="1820DB38" w14:textId="77777777" w:rsidR="00B26C97" w:rsidRPr="009737B6" w:rsidRDefault="00B26C97" w:rsidP="0027656E">
            <w:pPr>
              <w:pStyle w:val="IOP-CS-TableLeftColumn"/>
              <w:jc w:val="center"/>
              <w:rPr>
                <w:rFonts w:ascii="Times New Roman" w:hAnsi="Times New Roman" w:cs="Times New Roman"/>
                <w:b/>
                <w:color w:val="000000" w:themeColor="text1"/>
                <w:sz w:val="18"/>
                <w:szCs w:val="18"/>
                <w:lang w:val="en-US"/>
              </w:rPr>
            </w:pPr>
            <w:r w:rsidRPr="009737B6">
              <w:rPr>
                <w:rFonts w:ascii="Times New Roman" w:hAnsi="Times New Roman" w:cs="Times New Roman"/>
                <w:b/>
                <w:color w:val="000000" w:themeColor="text1"/>
                <w:sz w:val="18"/>
                <w:szCs w:val="18"/>
                <w:lang w:val="en-US"/>
              </w:rPr>
              <w:t>P, kPa</w:t>
            </w:r>
          </w:p>
        </w:tc>
        <w:tc>
          <w:tcPr>
            <w:tcW w:w="645" w:type="pct"/>
            <w:tcBorders>
              <w:left w:val="nil"/>
              <w:bottom w:val="single" w:sz="4" w:space="0" w:color="auto"/>
              <w:right w:val="nil"/>
            </w:tcBorders>
          </w:tcPr>
          <w:p w14:paraId="3F869F07" w14:textId="77777777" w:rsidR="00B26C97" w:rsidRPr="009737B6" w:rsidRDefault="00B26C97" w:rsidP="0027656E">
            <w:pPr>
              <w:pStyle w:val="IOP-CS-TableLeftColumn"/>
              <w:jc w:val="center"/>
              <w:rPr>
                <w:rFonts w:ascii="Times New Roman" w:hAnsi="Times New Roman" w:cs="Times New Roman"/>
                <w:b/>
                <w:color w:val="000000" w:themeColor="text1"/>
                <w:sz w:val="18"/>
                <w:szCs w:val="18"/>
                <w:lang w:val="en-US"/>
              </w:rPr>
            </w:pPr>
            <w:r w:rsidRPr="009737B6">
              <w:rPr>
                <w:rFonts w:ascii="Times New Roman" w:hAnsi="Times New Roman" w:cs="Times New Roman"/>
                <w:b/>
                <w:color w:val="000000" w:themeColor="text1"/>
                <w:sz w:val="18"/>
                <w:szCs w:val="18"/>
                <w:lang w:val="en-US"/>
              </w:rPr>
              <w:t>t, °С</w:t>
            </w:r>
          </w:p>
        </w:tc>
        <w:tc>
          <w:tcPr>
            <w:tcW w:w="572" w:type="pct"/>
            <w:tcBorders>
              <w:left w:val="nil"/>
              <w:bottom w:val="single" w:sz="4" w:space="0" w:color="auto"/>
              <w:right w:val="nil"/>
            </w:tcBorders>
          </w:tcPr>
          <w:p w14:paraId="2A8FA56A" w14:textId="77777777" w:rsidR="00B26C97" w:rsidRPr="009737B6" w:rsidRDefault="00B26C97" w:rsidP="0027656E">
            <w:pPr>
              <w:pStyle w:val="IOP-CS-TableLeftColumn"/>
              <w:jc w:val="center"/>
              <w:rPr>
                <w:rFonts w:ascii="Times New Roman" w:hAnsi="Times New Roman" w:cs="Times New Roman"/>
                <w:b/>
                <w:color w:val="000000" w:themeColor="text1"/>
                <w:sz w:val="18"/>
                <w:szCs w:val="18"/>
                <w:lang w:val="en-US"/>
              </w:rPr>
            </w:pPr>
            <w:r w:rsidRPr="009737B6">
              <w:rPr>
                <w:rFonts w:ascii="Times New Roman" w:hAnsi="Times New Roman" w:cs="Times New Roman"/>
                <w:b/>
                <w:color w:val="000000" w:themeColor="text1"/>
                <w:sz w:val="18"/>
                <w:szCs w:val="18"/>
                <w:lang w:val="en-US"/>
              </w:rPr>
              <w:t>x</w:t>
            </w:r>
          </w:p>
        </w:tc>
        <w:tc>
          <w:tcPr>
            <w:tcW w:w="930" w:type="pct"/>
            <w:tcBorders>
              <w:left w:val="nil"/>
              <w:bottom w:val="single" w:sz="4" w:space="0" w:color="auto"/>
              <w:right w:val="nil"/>
            </w:tcBorders>
          </w:tcPr>
          <w:p w14:paraId="63C98D20" w14:textId="42DED035" w:rsidR="00B26C97" w:rsidRPr="009737B6" w:rsidRDefault="00B26C97" w:rsidP="0027656E">
            <w:pPr>
              <w:pStyle w:val="IOP-CS-TableLeftColumn"/>
              <w:jc w:val="center"/>
              <w:rPr>
                <w:rFonts w:ascii="Times New Roman" w:hAnsi="Times New Roman" w:cs="Times New Roman"/>
                <w:b/>
                <w:color w:val="000000" w:themeColor="text1"/>
                <w:sz w:val="18"/>
                <w:szCs w:val="18"/>
                <w:lang w:val="en-US"/>
              </w:rPr>
            </w:pPr>
            <w:r w:rsidRPr="009737B6">
              <w:rPr>
                <w:rFonts w:ascii="Times New Roman" w:hAnsi="Times New Roman" w:cs="Times New Roman"/>
                <w:b/>
                <w:color w:val="000000" w:themeColor="text1"/>
                <w:sz w:val="18"/>
                <w:szCs w:val="18"/>
                <w:lang w:val="en-US"/>
              </w:rPr>
              <w:t>s, kJ</w:t>
            </w:r>
            <w:r w:rsidR="00BD243C" w:rsidRPr="009737B6">
              <w:rPr>
                <w:rFonts w:ascii="Times New Roman" w:hAnsi="Times New Roman" w:cs="Times New Roman"/>
                <w:b/>
                <w:color w:val="000000" w:themeColor="text1"/>
                <w:sz w:val="18"/>
                <w:szCs w:val="18"/>
                <w:lang w:val="en-US"/>
              </w:rPr>
              <w:t>·</w:t>
            </w:r>
            <w:r w:rsidRPr="009737B6">
              <w:rPr>
                <w:rFonts w:ascii="Times New Roman" w:hAnsi="Times New Roman" w:cs="Times New Roman"/>
                <w:b/>
                <w:color w:val="000000" w:themeColor="text1"/>
                <w:sz w:val="18"/>
                <w:szCs w:val="18"/>
                <w:lang w:val="en-US"/>
              </w:rPr>
              <w:t>kg</w:t>
            </w:r>
            <w:r w:rsidR="00BD243C" w:rsidRPr="009737B6">
              <w:rPr>
                <w:rFonts w:ascii="Times New Roman" w:hAnsi="Times New Roman" w:cs="Times New Roman"/>
                <w:b/>
                <w:color w:val="000000" w:themeColor="text1"/>
                <w:sz w:val="18"/>
                <w:szCs w:val="18"/>
                <w:vertAlign w:val="superscript"/>
                <w:lang w:val="en-US"/>
              </w:rPr>
              <w:t>-1</w:t>
            </w:r>
            <w:r w:rsidRPr="009737B6">
              <w:rPr>
                <w:rFonts w:ascii="Times New Roman" w:hAnsi="Times New Roman" w:cs="Times New Roman"/>
                <w:b/>
                <w:color w:val="000000" w:themeColor="text1"/>
                <w:sz w:val="18"/>
                <w:szCs w:val="18"/>
                <w:lang w:val="en-US"/>
              </w:rPr>
              <w:t xml:space="preserve"> · °С</w:t>
            </w:r>
          </w:p>
        </w:tc>
        <w:tc>
          <w:tcPr>
            <w:tcW w:w="859" w:type="pct"/>
            <w:tcBorders>
              <w:left w:val="nil"/>
              <w:bottom w:val="single" w:sz="4" w:space="0" w:color="auto"/>
              <w:right w:val="nil"/>
            </w:tcBorders>
          </w:tcPr>
          <w:p w14:paraId="4637F89D" w14:textId="54F81352" w:rsidR="00B26C97" w:rsidRPr="009737B6" w:rsidRDefault="00B26C97" w:rsidP="0027656E">
            <w:pPr>
              <w:pStyle w:val="IOP-CS-TableLeftColumn"/>
              <w:jc w:val="center"/>
              <w:rPr>
                <w:rFonts w:ascii="Times New Roman" w:hAnsi="Times New Roman" w:cs="Times New Roman"/>
                <w:b/>
                <w:color w:val="000000" w:themeColor="text1"/>
                <w:sz w:val="18"/>
                <w:szCs w:val="18"/>
                <w:lang w:val="en-US"/>
              </w:rPr>
            </w:pPr>
            <w:r w:rsidRPr="009737B6">
              <w:rPr>
                <w:rFonts w:ascii="Times New Roman" w:hAnsi="Times New Roman" w:cs="Times New Roman"/>
                <w:b/>
                <w:color w:val="000000" w:themeColor="text1"/>
                <w:sz w:val="18"/>
                <w:szCs w:val="18"/>
                <w:lang w:val="en-US"/>
              </w:rPr>
              <w:t>h, kJ</w:t>
            </w:r>
            <w:r w:rsidR="00BD243C" w:rsidRPr="009737B6">
              <w:rPr>
                <w:rFonts w:ascii="Times New Roman" w:hAnsi="Times New Roman" w:cs="Times New Roman"/>
                <w:b/>
                <w:color w:val="000000" w:themeColor="text1"/>
                <w:sz w:val="18"/>
                <w:szCs w:val="18"/>
                <w:lang w:val="en-US"/>
              </w:rPr>
              <w:t>·</w:t>
            </w:r>
            <w:r w:rsidRPr="009737B6">
              <w:rPr>
                <w:rFonts w:ascii="Times New Roman" w:hAnsi="Times New Roman" w:cs="Times New Roman"/>
                <w:b/>
                <w:color w:val="000000" w:themeColor="text1"/>
                <w:sz w:val="18"/>
                <w:szCs w:val="18"/>
                <w:lang w:val="en-US"/>
              </w:rPr>
              <w:t>kg</w:t>
            </w:r>
            <w:r w:rsidR="00BD243C" w:rsidRPr="009737B6">
              <w:rPr>
                <w:rFonts w:ascii="Times New Roman" w:hAnsi="Times New Roman" w:cs="Times New Roman"/>
                <w:b/>
                <w:color w:val="000000" w:themeColor="text1"/>
                <w:sz w:val="18"/>
                <w:szCs w:val="18"/>
                <w:vertAlign w:val="superscript"/>
                <w:lang w:val="en-US"/>
              </w:rPr>
              <w:t>-1</w:t>
            </w:r>
          </w:p>
        </w:tc>
        <w:tc>
          <w:tcPr>
            <w:tcW w:w="720" w:type="pct"/>
            <w:tcBorders>
              <w:left w:val="nil"/>
              <w:bottom w:val="single" w:sz="4" w:space="0" w:color="auto"/>
              <w:right w:val="nil"/>
            </w:tcBorders>
          </w:tcPr>
          <w:p w14:paraId="6C497FC4" w14:textId="72E0DCCC" w:rsidR="00B26C97" w:rsidRPr="009737B6" w:rsidRDefault="00B26C97" w:rsidP="0027656E">
            <w:pPr>
              <w:pStyle w:val="IOP-CS-TableLeftColumn"/>
              <w:jc w:val="center"/>
              <w:rPr>
                <w:rFonts w:ascii="Times New Roman" w:hAnsi="Times New Roman" w:cs="Times New Roman"/>
                <w:b/>
                <w:color w:val="000000" w:themeColor="text1"/>
                <w:sz w:val="18"/>
                <w:szCs w:val="18"/>
                <w:lang w:val="en-US"/>
              </w:rPr>
            </w:pPr>
            <w:r w:rsidRPr="009737B6">
              <w:rPr>
                <w:rFonts w:ascii="Times New Roman" w:hAnsi="Times New Roman" w:cs="Times New Roman"/>
                <w:b/>
                <w:color w:val="000000" w:themeColor="text1"/>
                <w:sz w:val="18"/>
                <w:szCs w:val="18"/>
                <w:lang w:val="en-US"/>
              </w:rPr>
              <w:t>m, kg</w:t>
            </w:r>
            <w:r w:rsidR="00BD243C" w:rsidRPr="009737B6">
              <w:rPr>
                <w:rFonts w:ascii="Times New Roman" w:hAnsi="Times New Roman" w:cs="Times New Roman"/>
                <w:b/>
                <w:color w:val="000000" w:themeColor="text1"/>
                <w:sz w:val="18"/>
                <w:szCs w:val="18"/>
                <w:lang w:val="en-US"/>
              </w:rPr>
              <w:t>·</w:t>
            </w:r>
            <w:r w:rsidRPr="009737B6">
              <w:rPr>
                <w:rFonts w:ascii="Times New Roman" w:hAnsi="Times New Roman" w:cs="Times New Roman"/>
                <w:b/>
                <w:color w:val="000000" w:themeColor="text1"/>
                <w:sz w:val="18"/>
                <w:szCs w:val="18"/>
                <w:lang w:val="en-US"/>
              </w:rPr>
              <w:t>s</w:t>
            </w:r>
            <w:r w:rsidR="00BD243C" w:rsidRPr="009737B6">
              <w:rPr>
                <w:rFonts w:ascii="Times New Roman" w:hAnsi="Times New Roman" w:cs="Times New Roman"/>
                <w:b/>
                <w:color w:val="000000" w:themeColor="text1"/>
                <w:sz w:val="18"/>
                <w:szCs w:val="18"/>
                <w:vertAlign w:val="superscript"/>
                <w:lang w:val="en-US"/>
              </w:rPr>
              <w:t>-1</w:t>
            </w:r>
          </w:p>
        </w:tc>
      </w:tr>
      <w:tr w:rsidR="009737B6" w:rsidRPr="009737B6" w14:paraId="60802FA2" w14:textId="77777777" w:rsidTr="0027656E">
        <w:tc>
          <w:tcPr>
            <w:tcW w:w="455" w:type="pct"/>
            <w:tcBorders>
              <w:left w:val="nil"/>
              <w:bottom w:val="nil"/>
              <w:right w:val="nil"/>
            </w:tcBorders>
          </w:tcPr>
          <w:p w14:paraId="4A2FE2D7"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w:t>
            </w:r>
          </w:p>
        </w:tc>
        <w:tc>
          <w:tcPr>
            <w:tcW w:w="819" w:type="pct"/>
            <w:tcBorders>
              <w:left w:val="nil"/>
              <w:bottom w:val="nil"/>
              <w:right w:val="nil"/>
            </w:tcBorders>
          </w:tcPr>
          <w:p w14:paraId="2A1E2A5F" w14:textId="2B098490"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w:t>
            </w:r>
          </w:p>
        </w:tc>
        <w:tc>
          <w:tcPr>
            <w:tcW w:w="645" w:type="pct"/>
            <w:tcBorders>
              <w:left w:val="nil"/>
              <w:bottom w:val="nil"/>
              <w:right w:val="nil"/>
            </w:tcBorders>
          </w:tcPr>
          <w:p w14:paraId="624C574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36.66</w:t>
            </w:r>
          </w:p>
        </w:tc>
        <w:tc>
          <w:tcPr>
            <w:tcW w:w="572" w:type="pct"/>
            <w:tcBorders>
              <w:left w:val="nil"/>
              <w:bottom w:val="nil"/>
              <w:right w:val="nil"/>
            </w:tcBorders>
          </w:tcPr>
          <w:p w14:paraId="25BE082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w:t>
            </w:r>
          </w:p>
        </w:tc>
        <w:tc>
          <w:tcPr>
            <w:tcW w:w="930" w:type="pct"/>
            <w:tcBorders>
              <w:left w:val="nil"/>
              <w:bottom w:val="nil"/>
              <w:right w:val="nil"/>
            </w:tcBorders>
          </w:tcPr>
          <w:p w14:paraId="064C9313"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0.5270</w:t>
            </w:r>
          </w:p>
        </w:tc>
        <w:tc>
          <w:tcPr>
            <w:tcW w:w="859" w:type="pct"/>
            <w:tcBorders>
              <w:left w:val="nil"/>
              <w:bottom w:val="nil"/>
              <w:right w:val="nil"/>
            </w:tcBorders>
          </w:tcPr>
          <w:p w14:paraId="42B2E285" w14:textId="6614AB8B"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-15</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771</w:t>
            </w:r>
          </w:p>
        </w:tc>
        <w:tc>
          <w:tcPr>
            <w:tcW w:w="720" w:type="pct"/>
            <w:tcBorders>
              <w:left w:val="nil"/>
              <w:bottom w:val="nil"/>
              <w:right w:val="nil"/>
            </w:tcBorders>
          </w:tcPr>
          <w:p w14:paraId="63A8DF02"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p>
        </w:tc>
      </w:tr>
      <w:tr w:rsidR="009737B6" w:rsidRPr="009737B6" w14:paraId="03721DD1" w14:textId="77777777" w:rsidTr="0027656E">
        <w:tc>
          <w:tcPr>
            <w:tcW w:w="455" w:type="pct"/>
            <w:tcBorders>
              <w:top w:val="nil"/>
              <w:left w:val="nil"/>
              <w:bottom w:val="nil"/>
              <w:right w:val="nil"/>
            </w:tcBorders>
          </w:tcPr>
          <w:p w14:paraId="30B046E0"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2</w:t>
            </w:r>
          </w:p>
        </w:tc>
        <w:tc>
          <w:tcPr>
            <w:tcW w:w="819" w:type="pct"/>
            <w:tcBorders>
              <w:top w:val="nil"/>
              <w:left w:val="nil"/>
              <w:bottom w:val="nil"/>
              <w:right w:val="nil"/>
            </w:tcBorders>
          </w:tcPr>
          <w:p w14:paraId="759BBDDD" w14:textId="272F441B"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w:t>
            </w:r>
          </w:p>
        </w:tc>
        <w:tc>
          <w:tcPr>
            <w:tcW w:w="645" w:type="pct"/>
            <w:tcBorders>
              <w:top w:val="nil"/>
              <w:left w:val="nil"/>
              <w:bottom w:val="nil"/>
              <w:right w:val="nil"/>
            </w:tcBorders>
          </w:tcPr>
          <w:p w14:paraId="72CFB3DA"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185</w:t>
            </w:r>
          </w:p>
        </w:tc>
        <w:tc>
          <w:tcPr>
            <w:tcW w:w="572" w:type="pct"/>
            <w:tcBorders>
              <w:top w:val="nil"/>
              <w:left w:val="nil"/>
              <w:bottom w:val="nil"/>
              <w:right w:val="nil"/>
            </w:tcBorders>
          </w:tcPr>
          <w:p w14:paraId="2533BA0B"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c>
          <w:tcPr>
            <w:tcW w:w="930" w:type="pct"/>
            <w:tcBorders>
              <w:top w:val="nil"/>
              <w:left w:val="nil"/>
              <w:bottom w:val="nil"/>
              <w:right w:val="nil"/>
            </w:tcBorders>
          </w:tcPr>
          <w:p w14:paraId="4C74F79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4.584</w:t>
            </w:r>
          </w:p>
        </w:tc>
        <w:tc>
          <w:tcPr>
            <w:tcW w:w="859" w:type="pct"/>
            <w:tcBorders>
              <w:top w:val="nil"/>
              <w:left w:val="nil"/>
              <w:bottom w:val="nil"/>
              <w:right w:val="nil"/>
            </w:tcBorders>
          </w:tcPr>
          <w:p w14:paraId="3E4BFDAE" w14:textId="4205D880"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-14</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043</w:t>
            </w:r>
          </w:p>
        </w:tc>
        <w:tc>
          <w:tcPr>
            <w:tcW w:w="720" w:type="pct"/>
            <w:tcBorders>
              <w:top w:val="nil"/>
              <w:left w:val="nil"/>
              <w:bottom w:val="nil"/>
              <w:right w:val="nil"/>
            </w:tcBorders>
          </w:tcPr>
          <w:p w14:paraId="044FC62B"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p>
        </w:tc>
      </w:tr>
      <w:tr w:rsidR="009737B6" w:rsidRPr="009737B6" w14:paraId="1F7B3C3D" w14:textId="77777777" w:rsidTr="0027656E">
        <w:tc>
          <w:tcPr>
            <w:tcW w:w="455" w:type="pct"/>
            <w:tcBorders>
              <w:top w:val="nil"/>
              <w:left w:val="nil"/>
              <w:bottom w:val="nil"/>
              <w:right w:val="nil"/>
            </w:tcBorders>
          </w:tcPr>
          <w:p w14:paraId="4BEE8543"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3</w:t>
            </w:r>
          </w:p>
        </w:tc>
        <w:tc>
          <w:tcPr>
            <w:tcW w:w="819" w:type="pct"/>
            <w:tcBorders>
              <w:top w:val="nil"/>
              <w:left w:val="nil"/>
              <w:bottom w:val="nil"/>
              <w:right w:val="nil"/>
            </w:tcBorders>
          </w:tcPr>
          <w:p w14:paraId="187B26DF" w14:textId="5B5497B3"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w:t>
            </w:r>
          </w:p>
        </w:tc>
        <w:tc>
          <w:tcPr>
            <w:tcW w:w="645" w:type="pct"/>
            <w:tcBorders>
              <w:top w:val="nil"/>
              <w:left w:val="nil"/>
              <w:bottom w:val="nil"/>
              <w:right w:val="nil"/>
            </w:tcBorders>
          </w:tcPr>
          <w:p w14:paraId="478EF015"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185</w:t>
            </w:r>
          </w:p>
        </w:tc>
        <w:tc>
          <w:tcPr>
            <w:tcW w:w="572" w:type="pct"/>
            <w:tcBorders>
              <w:top w:val="nil"/>
              <w:left w:val="nil"/>
              <w:bottom w:val="nil"/>
              <w:right w:val="nil"/>
            </w:tcBorders>
          </w:tcPr>
          <w:p w14:paraId="519D42E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w:t>
            </w:r>
          </w:p>
        </w:tc>
        <w:tc>
          <w:tcPr>
            <w:tcW w:w="930" w:type="pct"/>
            <w:tcBorders>
              <w:top w:val="nil"/>
              <w:left w:val="nil"/>
              <w:bottom w:val="nil"/>
              <w:right w:val="nil"/>
            </w:tcBorders>
          </w:tcPr>
          <w:p w14:paraId="191B5EC6"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2.188</w:t>
            </w:r>
          </w:p>
        </w:tc>
        <w:tc>
          <w:tcPr>
            <w:tcW w:w="859" w:type="pct"/>
            <w:tcBorders>
              <w:top w:val="nil"/>
              <w:left w:val="nil"/>
              <w:bottom w:val="nil"/>
              <w:right w:val="nil"/>
            </w:tcBorders>
          </w:tcPr>
          <w:p w14:paraId="4A0F8BC6" w14:textId="754F7AA4"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-15</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140</w:t>
            </w:r>
          </w:p>
        </w:tc>
        <w:tc>
          <w:tcPr>
            <w:tcW w:w="720" w:type="pct"/>
            <w:tcBorders>
              <w:top w:val="nil"/>
              <w:left w:val="nil"/>
              <w:bottom w:val="nil"/>
              <w:right w:val="nil"/>
            </w:tcBorders>
          </w:tcPr>
          <w:p w14:paraId="51720D76"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0.45</w:t>
            </w:r>
          </w:p>
        </w:tc>
      </w:tr>
      <w:tr w:rsidR="009737B6" w:rsidRPr="009737B6" w14:paraId="110DA82A" w14:textId="77777777" w:rsidTr="0027656E">
        <w:tc>
          <w:tcPr>
            <w:tcW w:w="455" w:type="pct"/>
            <w:tcBorders>
              <w:top w:val="nil"/>
              <w:left w:val="nil"/>
              <w:bottom w:val="nil"/>
              <w:right w:val="nil"/>
            </w:tcBorders>
          </w:tcPr>
          <w:p w14:paraId="55C2B7DE"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4</w:t>
            </w:r>
          </w:p>
        </w:tc>
        <w:tc>
          <w:tcPr>
            <w:tcW w:w="819" w:type="pct"/>
            <w:tcBorders>
              <w:top w:val="nil"/>
              <w:left w:val="nil"/>
              <w:bottom w:val="nil"/>
              <w:right w:val="nil"/>
            </w:tcBorders>
          </w:tcPr>
          <w:p w14:paraId="2A1492F8" w14:textId="574C8A5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w:t>
            </w:r>
          </w:p>
        </w:tc>
        <w:tc>
          <w:tcPr>
            <w:tcW w:w="645" w:type="pct"/>
            <w:tcBorders>
              <w:top w:val="nil"/>
              <w:left w:val="nil"/>
              <w:bottom w:val="nil"/>
              <w:right w:val="nil"/>
            </w:tcBorders>
          </w:tcPr>
          <w:p w14:paraId="72570D55"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185</w:t>
            </w:r>
          </w:p>
        </w:tc>
        <w:tc>
          <w:tcPr>
            <w:tcW w:w="572" w:type="pct"/>
            <w:tcBorders>
              <w:top w:val="nil"/>
              <w:left w:val="nil"/>
              <w:bottom w:val="nil"/>
              <w:right w:val="nil"/>
            </w:tcBorders>
          </w:tcPr>
          <w:p w14:paraId="10A75C89"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p>
        </w:tc>
        <w:tc>
          <w:tcPr>
            <w:tcW w:w="930" w:type="pct"/>
            <w:tcBorders>
              <w:top w:val="nil"/>
              <w:left w:val="nil"/>
              <w:bottom w:val="nil"/>
              <w:right w:val="nil"/>
            </w:tcBorders>
          </w:tcPr>
          <w:p w14:paraId="7F95A18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6.544</w:t>
            </w:r>
          </w:p>
        </w:tc>
        <w:tc>
          <w:tcPr>
            <w:tcW w:w="859" w:type="pct"/>
            <w:tcBorders>
              <w:top w:val="nil"/>
              <w:left w:val="nil"/>
              <w:bottom w:val="nil"/>
              <w:right w:val="nil"/>
            </w:tcBorders>
          </w:tcPr>
          <w:p w14:paraId="2A637764" w14:textId="0520E51C"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-13</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144</w:t>
            </w:r>
          </w:p>
        </w:tc>
        <w:tc>
          <w:tcPr>
            <w:tcW w:w="720" w:type="pct"/>
            <w:tcBorders>
              <w:top w:val="nil"/>
              <w:left w:val="nil"/>
              <w:bottom w:val="nil"/>
              <w:right w:val="nil"/>
            </w:tcBorders>
          </w:tcPr>
          <w:p w14:paraId="44E7F0C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r>
      <w:tr w:rsidR="009737B6" w:rsidRPr="009737B6" w14:paraId="39197B22" w14:textId="77777777" w:rsidTr="0027656E">
        <w:tc>
          <w:tcPr>
            <w:tcW w:w="455" w:type="pct"/>
            <w:tcBorders>
              <w:top w:val="nil"/>
              <w:left w:val="nil"/>
              <w:bottom w:val="nil"/>
              <w:right w:val="nil"/>
            </w:tcBorders>
          </w:tcPr>
          <w:p w14:paraId="53F915DE"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5</w:t>
            </w:r>
          </w:p>
        </w:tc>
        <w:tc>
          <w:tcPr>
            <w:tcW w:w="819" w:type="pct"/>
            <w:tcBorders>
              <w:top w:val="nil"/>
              <w:left w:val="nil"/>
              <w:bottom w:val="nil"/>
              <w:right w:val="nil"/>
            </w:tcBorders>
          </w:tcPr>
          <w:p w14:paraId="15C8D1D9"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140</w:t>
            </w:r>
          </w:p>
        </w:tc>
        <w:tc>
          <w:tcPr>
            <w:tcW w:w="645" w:type="pct"/>
            <w:tcBorders>
              <w:top w:val="nil"/>
              <w:left w:val="nil"/>
              <w:bottom w:val="nil"/>
              <w:right w:val="nil"/>
            </w:tcBorders>
          </w:tcPr>
          <w:p w14:paraId="54273065"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109.3</w:t>
            </w:r>
          </w:p>
        </w:tc>
        <w:tc>
          <w:tcPr>
            <w:tcW w:w="572" w:type="pct"/>
            <w:tcBorders>
              <w:top w:val="nil"/>
              <w:left w:val="nil"/>
              <w:bottom w:val="nil"/>
              <w:right w:val="nil"/>
            </w:tcBorders>
          </w:tcPr>
          <w:p w14:paraId="7E78863A"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0.9116</w:t>
            </w:r>
          </w:p>
        </w:tc>
        <w:tc>
          <w:tcPr>
            <w:tcW w:w="930" w:type="pct"/>
            <w:tcBorders>
              <w:top w:val="nil"/>
              <w:left w:val="nil"/>
              <w:bottom w:val="nil"/>
              <w:right w:val="nil"/>
            </w:tcBorders>
          </w:tcPr>
          <w:p w14:paraId="70C262B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6.732</w:t>
            </w:r>
          </w:p>
        </w:tc>
        <w:tc>
          <w:tcPr>
            <w:tcW w:w="859" w:type="pct"/>
            <w:tcBorders>
              <w:top w:val="nil"/>
              <w:left w:val="nil"/>
              <w:bottom w:val="nil"/>
              <w:right w:val="nil"/>
            </w:tcBorders>
          </w:tcPr>
          <w:p w14:paraId="6C520C3A" w14:textId="5A021CA4"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-13</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432</w:t>
            </w:r>
          </w:p>
        </w:tc>
        <w:tc>
          <w:tcPr>
            <w:tcW w:w="720" w:type="pct"/>
            <w:tcBorders>
              <w:top w:val="nil"/>
              <w:left w:val="nil"/>
              <w:bottom w:val="nil"/>
              <w:right w:val="nil"/>
            </w:tcBorders>
          </w:tcPr>
          <w:p w14:paraId="22ABEFC1"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r>
      <w:tr w:rsidR="009737B6" w:rsidRPr="009737B6" w14:paraId="4134815D" w14:textId="77777777" w:rsidTr="0027656E">
        <w:tc>
          <w:tcPr>
            <w:tcW w:w="455" w:type="pct"/>
            <w:tcBorders>
              <w:top w:val="nil"/>
              <w:left w:val="nil"/>
              <w:bottom w:val="nil"/>
              <w:right w:val="nil"/>
            </w:tcBorders>
          </w:tcPr>
          <w:p w14:paraId="21958DC9"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6</w:t>
            </w:r>
          </w:p>
        </w:tc>
        <w:tc>
          <w:tcPr>
            <w:tcW w:w="819" w:type="pct"/>
            <w:tcBorders>
              <w:top w:val="nil"/>
              <w:left w:val="nil"/>
              <w:bottom w:val="nil"/>
              <w:right w:val="nil"/>
            </w:tcBorders>
          </w:tcPr>
          <w:p w14:paraId="016D27F9"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140</w:t>
            </w:r>
          </w:p>
        </w:tc>
        <w:tc>
          <w:tcPr>
            <w:tcW w:w="645" w:type="pct"/>
            <w:tcBorders>
              <w:top w:val="nil"/>
              <w:left w:val="nil"/>
              <w:bottom w:val="nil"/>
              <w:right w:val="nil"/>
            </w:tcBorders>
          </w:tcPr>
          <w:p w14:paraId="53A327AA"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109.3</w:t>
            </w:r>
          </w:p>
        </w:tc>
        <w:tc>
          <w:tcPr>
            <w:tcW w:w="572" w:type="pct"/>
            <w:tcBorders>
              <w:top w:val="nil"/>
              <w:left w:val="nil"/>
              <w:bottom w:val="nil"/>
              <w:right w:val="nil"/>
            </w:tcBorders>
          </w:tcPr>
          <w:p w14:paraId="3535850B"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0.3743</w:t>
            </w:r>
          </w:p>
        </w:tc>
        <w:tc>
          <w:tcPr>
            <w:tcW w:w="930" w:type="pct"/>
            <w:tcBorders>
              <w:top w:val="nil"/>
              <w:left w:val="nil"/>
              <w:bottom w:val="nil"/>
              <w:right w:val="nil"/>
            </w:tcBorders>
          </w:tcPr>
          <w:p w14:paraId="613DC598"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3.596</w:t>
            </w:r>
          </w:p>
        </w:tc>
        <w:tc>
          <w:tcPr>
            <w:tcW w:w="859" w:type="pct"/>
            <w:tcBorders>
              <w:top w:val="nil"/>
              <w:left w:val="nil"/>
              <w:bottom w:val="nil"/>
              <w:right w:val="nil"/>
            </w:tcBorders>
          </w:tcPr>
          <w:p w14:paraId="19D246D1" w14:textId="1E11A5A2"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-14</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631</w:t>
            </w:r>
          </w:p>
        </w:tc>
        <w:tc>
          <w:tcPr>
            <w:tcW w:w="720" w:type="pct"/>
            <w:tcBorders>
              <w:top w:val="nil"/>
              <w:left w:val="nil"/>
              <w:bottom w:val="nil"/>
              <w:right w:val="nil"/>
            </w:tcBorders>
          </w:tcPr>
          <w:p w14:paraId="32F3774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r>
      <w:tr w:rsidR="009737B6" w:rsidRPr="009737B6" w14:paraId="55D55EB0" w14:textId="77777777" w:rsidTr="0027656E">
        <w:tc>
          <w:tcPr>
            <w:tcW w:w="455" w:type="pct"/>
            <w:tcBorders>
              <w:top w:val="nil"/>
              <w:left w:val="nil"/>
              <w:bottom w:val="nil"/>
              <w:right w:val="nil"/>
            </w:tcBorders>
          </w:tcPr>
          <w:p w14:paraId="1653B610"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7</w:t>
            </w:r>
          </w:p>
        </w:tc>
        <w:tc>
          <w:tcPr>
            <w:tcW w:w="819" w:type="pct"/>
            <w:tcBorders>
              <w:top w:val="nil"/>
              <w:left w:val="nil"/>
              <w:bottom w:val="nil"/>
              <w:right w:val="nil"/>
            </w:tcBorders>
          </w:tcPr>
          <w:p w14:paraId="247C3F28"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140</w:t>
            </w:r>
          </w:p>
        </w:tc>
        <w:tc>
          <w:tcPr>
            <w:tcW w:w="645" w:type="pct"/>
            <w:tcBorders>
              <w:top w:val="nil"/>
              <w:left w:val="nil"/>
              <w:bottom w:val="nil"/>
              <w:right w:val="nil"/>
            </w:tcBorders>
          </w:tcPr>
          <w:p w14:paraId="4D8FB5FA"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36.55</w:t>
            </w:r>
          </w:p>
        </w:tc>
        <w:tc>
          <w:tcPr>
            <w:tcW w:w="572" w:type="pct"/>
            <w:tcBorders>
              <w:top w:val="nil"/>
              <w:left w:val="nil"/>
              <w:bottom w:val="nil"/>
              <w:right w:val="nil"/>
            </w:tcBorders>
          </w:tcPr>
          <w:p w14:paraId="1D45067F"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w:t>
            </w:r>
          </w:p>
        </w:tc>
        <w:tc>
          <w:tcPr>
            <w:tcW w:w="930" w:type="pct"/>
            <w:tcBorders>
              <w:top w:val="nil"/>
              <w:left w:val="nil"/>
              <w:bottom w:val="nil"/>
              <w:right w:val="nil"/>
            </w:tcBorders>
          </w:tcPr>
          <w:p w14:paraId="7C170555"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0.526</w:t>
            </w:r>
          </w:p>
        </w:tc>
        <w:tc>
          <w:tcPr>
            <w:tcW w:w="859" w:type="pct"/>
            <w:tcBorders>
              <w:top w:val="nil"/>
              <w:left w:val="nil"/>
              <w:bottom w:val="nil"/>
              <w:right w:val="nil"/>
            </w:tcBorders>
          </w:tcPr>
          <w:p w14:paraId="1A348DDC" w14:textId="260BFA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-15</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772</w:t>
            </w:r>
          </w:p>
        </w:tc>
        <w:tc>
          <w:tcPr>
            <w:tcW w:w="720" w:type="pct"/>
            <w:tcBorders>
              <w:top w:val="nil"/>
              <w:left w:val="nil"/>
              <w:bottom w:val="nil"/>
              <w:right w:val="nil"/>
            </w:tcBorders>
          </w:tcPr>
          <w:p w14:paraId="6D32EDB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0.55</w:t>
            </w:r>
          </w:p>
        </w:tc>
      </w:tr>
      <w:tr w:rsidR="009737B6" w:rsidRPr="009737B6" w14:paraId="0FD9552B" w14:textId="77777777" w:rsidTr="0027656E">
        <w:tc>
          <w:tcPr>
            <w:tcW w:w="455" w:type="pct"/>
            <w:tcBorders>
              <w:top w:val="nil"/>
              <w:left w:val="nil"/>
              <w:bottom w:val="nil"/>
              <w:right w:val="nil"/>
            </w:tcBorders>
          </w:tcPr>
          <w:p w14:paraId="759E798D"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8</w:t>
            </w:r>
          </w:p>
        </w:tc>
        <w:tc>
          <w:tcPr>
            <w:tcW w:w="819" w:type="pct"/>
            <w:tcBorders>
              <w:top w:val="nil"/>
              <w:left w:val="nil"/>
              <w:bottom w:val="nil"/>
              <w:right w:val="nil"/>
            </w:tcBorders>
          </w:tcPr>
          <w:p w14:paraId="5BA9FA7A" w14:textId="2E63FD0E"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w:t>
            </w:r>
          </w:p>
        </w:tc>
        <w:tc>
          <w:tcPr>
            <w:tcW w:w="645" w:type="pct"/>
            <w:tcBorders>
              <w:top w:val="nil"/>
              <w:left w:val="nil"/>
              <w:bottom w:val="nil"/>
              <w:right w:val="nil"/>
            </w:tcBorders>
          </w:tcPr>
          <w:p w14:paraId="22FAF5A9"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109.9</w:t>
            </w:r>
          </w:p>
        </w:tc>
        <w:tc>
          <w:tcPr>
            <w:tcW w:w="572" w:type="pct"/>
            <w:tcBorders>
              <w:top w:val="nil"/>
              <w:left w:val="nil"/>
              <w:bottom w:val="nil"/>
              <w:right w:val="nil"/>
            </w:tcBorders>
          </w:tcPr>
          <w:p w14:paraId="10AF17F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w:t>
            </w:r>
          </w:p>
        </w:tc>
        <w:tc>
          <w:tcPr>
            <w:tcW w:w="930" w:type="pct"/>
            <w:tcBorders>
              <w:top w:val="nil"/>
              <w:left w:val="nil"/>
              <w:bottom w:val="nil"/>
              <w:right w:val="nil"/>
            </w:tcBorders>
          </w:tcPr>
          <w:p w14:paraId="2837CBE1"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1.417</w:t>
            </w:r>
          </w:p>
        </w:tc>
        <w:tc>
          <w:tcPr>
            <w:tcW w:w="859" w:type="pct"/>
            <w:tcBorders>
              <w:top w:val="nil"/>
              <w:left w:val="nil"/>
              <w:bottom w:val="nil"/>
              <w:right w:val="nil"/>
            </w:tcBorders>
          </w:tcPr>
          <w:p w14:paraId="7F954C74" w14:textId="34946D11"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-15</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464</w:t>
            </w:r>
          </w:p>
        </w:tc>
        <w:tc>
          <w:tcPr>
            <w:tcW w:w="720" w:type="pct"/>
            <w:tcBorders>
              <w:top w:val="nil"/>
              <w:left w:val="nil"/>
              <w:bottom w:val="nil"/>
              <w:right w:val="nil"/>
            </w:tcBorders>
          </w:tcPr>
          <w:p w14:paraId="1DA2F68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0.45</w:t>
            </w:r>
          </w:p>
        </w:tc>
      </w:tr>
      <w:tr w:rsidR="009737B6" w:rsidRPr="009737B6" w14:paraId="3FDEEA34" w14:textId="77777777" w:rsidTr="0027656E">
        <w:tc>
          <w:tcPr>
            <w:tcW w:w="455" w:type="pct"/>
            <w:tcBorders>
              <w:top w:val="nil"/>
              <w:left w:val="nil"/>
              <w:bottom w:val="nil"/>
              <w:right w:val="nil"/>
            </w:tcBorders>
          </w:tcPr>
          <w:p w14:paraId="1FA51336"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9</w:t>
            </w:r>
          </w:p>
        </w:tc>
        <w:tc>
          <w:tcPr>
            <w:tcW w:w="819" w:type="pct"/>
            <w:tcBorders>
              <w:top w:val="nil"/>
              <w:left w:val="nil"/>
              <w:bottom w:val="nil"/>
              <w:right w:val="nil"/>
            </w:tcBorders>
          </w:tcPr>
          <w:p w14:paraId="1ADEC820" w14:textId="4CEFC692"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123</w:t>
            </w:r>
          </w:p>
        </w:tc>
        <w:tc>
          <w:tcPr>
            <w:tcW w:w="645" w:type="pct"/>
            <w:tcBorders>
              <w:top w:val="nil"/>
              <w:left w:val="nil"/>
              <w:bottom w:val="nil"/>
              <w:right w:val="nil"/>
            </w:tcBorders>
          </w:tcPr>
          <w:p w14:paraId="6FB02E5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36.35</w:t>
            </w:r>
          </w:p>
        </w:tc>
        <w:tc>
          <w:tcPr>
            <w:tcW w:w="572" w:type="pct"/>
            <w:tcBorders>
              <w:top w:val="nil"/>
              <w:left w:val="nil"/>
              <w:bottom w:val="nil"/>
              <w:right w:val="nil"/>
            </w:tcBorders>
          </w:tcPr>
          <w:p w14:paraId="54EFB592"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w:t>
            </w:r>
          </w:p>
        </w:tc>
        <w:tc>
          <w:tcPr>
            <w:tcW w:w="930" w:type="pct"/>
            <w:tcBorders>
              <w:top w:val="nil"/>
              <w:left w:val="nil"/>
              <w:bottom w:val="nil"/>
              <w:right w:val="nil"/>
            </w:tcBorders>
          </w:tcPr>
          <w:p w14:paraId="0B1591C3"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0.5228</w:t>
            </w:r>
          </w:p>
        </w:tc>
        <w:tc>
          <w:tcPr>
            <w:tcW w:w="859" w:type="pct"/>
            <w:tcBorders>
              <w:top w:val="nil"/>
              <w:left w:val="nil"/>
              <w:bottom w:val="nil"/>
              <w:right w:val="nil"/>
            </w:tcBorders>
          </w:tcPr>
          <w:p w14:paraId="558592A5" w14:textId="3D28E3BE"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-15</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772</w:t>
            </w:r>
          </w:p>
        </w:tc>
        <w:tc>
          <w:tcPr>
            <w:tcW w:w="720" w:type="pct"/>
            <w:tcBorders>
              <w:top w:val="nil"/>
              <w:left w:val="nil"/>
              <w:bottom w:val="nil"/>
              <w:right w:val="nil"/>
            </w:tcBorders>
          </w:tcPr>
          <w:p w14:paraId="0057B59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0.45</w:t>
            </w:r>
          </w:p>
        </w:tc>
      </w:tr>
      <w:tr w:rsidR="009737B6" w:rsidRPr="009737B6" w14:paraId="5EC53C2B" w14:textId="77777777" w:rsidTr="0027656E">
        <w:tc>
          <w:tcPr>
            <w:tcW w:w="455" w:type="pct"/>
            <w:tcBorders>
              <w:top w:val="nil"/>
              <w:left w:val="nil"/>
              <w:bottom w:val="nil"/>
              <w:right w:val="nil"/>
            </w:tcBorders>
          </w:tcPr>
          <w:p w14:paraId="65CBA023"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10</w:t>
            </w:r>
          </w:p>
        </w:tc>
        <w:tc>
          <w:tcPr>
            <w:tcW w:w="819" w:type="pct"/>
            <w:tcBorders>
              <w:top w:val="nil"/>
              <w:left w:val="nil"/>
              <w:bottom w:val="nil"/>
              <w:right w:val="nil"/>
            </w:tcBorders>
          </w:tcPr>
          <w:p w14:paraId="4FCB3F5F"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140</w:t>
            </w:r>
          </w:p>
        </w:tc>
        <w:tc>
          <w:tcPr>
            <w:tcW w:w="645" w:type="pct"/>
            <w:tcBorders>
              <w:top w:val="nil"/>
              <w:left w:val="nil"/>
              <w:bottom w:val="nil"/>
              <w:right w:val="nil"/>
            </w:tcBorders>
          </w:tcPr>
          <w:p w14:paraId="434B057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36.55</w:t>
            </w:r>
          </w:p>
        </w:tc>
        <w:tc>
          <w:tcPr>
            <w:tcW w:w="572" w:type="pct"/>
            <w:tcBorders>
              <w:top w:val="nil"/>
              <w:left w:val="nil"/>
              <w:bottom w:val="nil"/>
              <w:right w:val="nil"/>
            </w:tcBorders>
          </w:tcPr>
          <w:p w14:paraId="301E6E6B"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w:t>
            </w:r>
          </w:p>
        </w:tc>
        <w:tc>
          <w:tcPr>
            <w:tcW w:w="930" w:type="pct"/>
            <w:tcBorders>
              <w:top w:val="nil"/>
              <w:left w:val="nil"/>
              <w:bottom w:val="nil"/>
              <w:right w:val="nil"/>
            </w:tcBorders>
          </w:tcPr>
          <w:p w14:paraId="1A7EC8D4"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0.5260</w:t>
            </w:r>
          </w:p>
        </w:tc>
        <w:tc>
          <w:tcPr>
            <w:tcW w:w="859" w:type="pct"/>
            <w:tcBorders>
              <w:top w:val="nil"/>
              <w:left w:val="nil"/>
              <w:bottom w:val="nil"/>
              <w:right w:val="nil"/>
            </w:tcBorders>
          </w:tcPr>
          <w:p w14:paraId="0CEB2B36" w14:textId="64B5BD33"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-15</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772</w:t>
            </w:r>
          </w:p>
        </w:tc>
        <w:tc>
          <w:tcPr>
            <w:tcW w:w="720" w:type="pct"/>
            <w:tcBorders>
              <w:top w:val="nil"/>
              <w:left w:val="nil"/>
              <w:bottom w:val="nil"/>
              <w:right w:val="nil"/>
            </w:tcBorders>
          </w:tcPr>
          <w:p w14:paraId="34E560F4"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p>
        </w:tc>
      </w:tr>
      <w:tr w:rsidR="009737B6" w:rsidRPr="009737B6" w14:paraId="1EDC68B2" w14:textId="77777777" w:rsidTr="0027656E">
        <w:tc>
          <w:tcPr>
            <w:tcW w:w="455" w:type="pct"/>
            <w:tcBorders>
              <w:top w:val="nil"/>
              <w:left w:val="nil"/>
              <w:bottom w:val="nil"/>
              <w:right w:val="nil"/>
            </w:tcBorders>
          </w:tcPr>
          <w:p w14:paraId="4FA21B0E"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a</w:t>
            </w:r>
          </w:p>
        </w:tc>
        <w:tc>
          <w:tcPr>
            <w:tcW w:w="819" w:type="pct"/>
            <w:tcBorders>
              <w:top w:val="nil"/>
              <w:left w:val="nil"/>
              <w:bottom w:val="nil"/>
              <w:right w:val="nil"/>
            </w:tcBorders>
          </w:tcPr>
          <w:p w14:paraId="18F4D556" w14:textId="25A1A9A1"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000</w:t>
            </w:r>
          </w:p>
        </w:tc>
        <w:tc>
          <w:tcPr>
            <w:tcW w:w="645" w:type="pct"/>
            <w:tcBorders>
              <w:top w:val="nil"/>
              <w:left w:val="nil"/>
              <w:bottom w:val="nil"/>
              <w:right w:val="nil"/>
            </w:tcBorders>
          </w:tcPr>
          <w:p w14:paraId="03A8F14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100</w:t>
            </w:r>
          </w:p>
        </w:tc>
        <w:tc>
          <w:tcPr>
            <w:tcW w:w="572" w:type="pct"/>
            <w:tcBorders>
              <w:top w:val="nil"/>
              <w:left w:val="nil"/>
              <w:bottom w:val="nil"/>
              <w:right w:val="nil"/>
            </w:tcBorders>
          </w:tcPr>
          <w:p w14:paraId="033CEAA4"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p>
        </w:tc>
        <w:tc>
          <w:tcPr>
            <w:tcW w:w="930" w:type="pct"/>
            <w:tcBorders>
              <w:top w:val="nil"/>
              <w:left w:val="nil"/>
              <w:bottom w:val="nil"/>
              <w:right w:val="nil"/>
            </w:tcBorders>
          </w:tcPr>
          <w:p w14:paraId="530251BF"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2.976</w:t>
            </w:r>
          </w:p>
        </w:tc>
        <w:tc>
          <w:tcPr>
            <w:tcW w:w="859" w:type="pct"/>
            <w:tcBorders>
              <w:top w:val="nil"/>
              <w:left w:val="nil"/>
              <w:bottom w:val="nil"/>
              <w:right w:val="nil"/>
            </w:tcBorders>
          </w:tcPr>
          <w:p w14:paraId="1B06E0C3" w14:textId="2B282AD1"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176</w:t>
            </w:r>
          </w:p>
        </w:tc>
        <w:tc>
          <w:tcPr>
            <w:tcW w:w="720" w:type="pct"/>
            <w:tcBorders>
              <w:top w:val="nil"/>
              <w:left w:val="nil"/>
              <w:bottom w:val="nil"/>
              <w:right w:val="nil"/>
            </w:tcBorders>
          </w:tcPr>
          <w:p w14:paraId="71E9512F"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3.165</w:t>
            </w:r>
          </w:p>
        </w:tc>
      </w:tr>
      <w:tr w:rsidR="009737B6" w:rsidRPr="009737B6" w14:paraId="33B8B1F1" w14:textId="77777777" w:rsidTr="0027656E">
        <w:tc>
          <w:tcPr>
            <w:tcW w:w="455" w:type="pct"/>
            <w:tcBorders>
              <w:top w:val="nil"/>
              <w:left w:val="nil"/>
              <w:bottom w:val="nil"/>
              <w:right w:val="nil"/>
            </w:tcBorders>
          </w:tcPr>
          <w:p w14:paraId="08A92871"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b</w:t>
            </w:r>
          </w:p>
        </w:tc>
        <w:tc>
          <w:tcPr>
            <w:tcW w:w="819" w:type="pct"/>
            <w:tcBorders>
              <w:top w:val="nil"/>
              <w:left w:val="nil"/>
              <w:bottom w:val="nil"/>
              <w:right w:val="nil"/>
            </w:tcBorders>
          </w:tcPr>
          <w:p w14:paraId="5C813E3B"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400</w:t>
            </w:r>
          </w:p>
        </w:tc>
        <w:tc>
          <w:tcPr>
            <w:tcW w:w="645" w:type="pct"/>
            <w:tcBorders>
              <w:top w:val="nil"/>
              <w:left w:val="nil"/>
              <w:bottom w:val="nil"/>
              <w:right w:val="nil"/>
            </w:tcBorders>
          </w:tcPr>
          <w:p w14:paraId="653D4CB3"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47.15</w:t>
            </w:r>
          </w:p>
        </w:tc>
        <w:tc>
          <w:tcPr>
            <w:tcW w:w="572" w:type="pct"/>
            <w:tcBorders>
              <w:top w:val="nil"/>
              <w:left w:val="nil"/>
              <w:bottom w:val="nil"/>
              <w:right w:val="nil"/>
            </w:tcBorders>
          </w:tcPr>
          <w:p w14:paraId="7BB4651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p>
        </w:tc>
        <w:tc>
          <w:tcPr>
            <w:tcW w:w="930" w:type="pct"/>
            <w:tcBorders>
              <w:top w:val="nil"/>
              <w:left w:val="nil"/>
              <w:bottom w:val="nil"/>
              <w:right w:val="nil"/>
            </w:tcBorders>
          </w:tcPr>
          <w:p w14:paraId="5297ED9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3.005</w:t>
            </w:r>
          </w:p>
        </w:tc>
        <w:tc>
          <w:tcPr>
            <w:tcW w:w="859" w:type="pct"/>
            <w:tcBorders>
              <w:top w:val="nil"/>
              <w:left w:val="nil"/>
              <w:bottom w:val="nil"/>
              <w:right w:val="nil"/>
            </w:tcBorders>
          </w:tcPr>
          <w:p w14:paraId="29819A09" w14:textId="3EFF4CDF"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230</w:t>
            </w:r>
          </w:p>
        </w:tc>
        <w:tc>
          <w:tcPr>
            <w:tcW w:w="720" w:type="pct"/>
            <w:tcBorders>
              <w:top w:val="nil"/>
              <w:left w:val="nil"/>
              <w:bottom w:val="nil"/>
              <w:right w:val="nil"/>
            </w:tcBorders>
          </w:tcPr>
          <w:p w14:paraId="6BFF143F"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3.165</w:t>
            </w:r>
          </w:p>
        </w:tc>
      </w:tr>
      <w:tr w:rsidR="009737B6" w:rsidRPr="009737B6" w14:paraId="461A5311" w14:textId="77777777" w:rsidTr="0027656E">
        <w:tc>
          <w:tcPr>
            <w:tcW w:w="455" w:type="pct"/>
            <w:tcBorders>
              <w:top w:val="nil"/>
              <w:left w:val="nil"/>
              <w:bottom w:val="nil"/>
              <w:right w:val="nil"/>
            </w:tcBorders>
          </w:tcPr>
          <w:p w14:paraId="4F8F4A89"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c</w:t>
            </w:r>
          </w:p>
        </w:tc>
        <w:tc>
          <w:tcPr>
            <w:tcW w:w="819" w:type="pct"/>
            <w:tcBorders>
              <w:top w:val="nil"/>
              <w:left w:val="nil"/>
              <w:bottom w:val="nil"/>
              <w:right w:val="nil"/>
            </w:tcBorders>
          </w:tcPr>
          <w:p w14:paraId="472B3765"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400</w:t>
            </w:r>
          </w:p>
        </w:tc>
        <w:tc>
          <w:tcPr>
            <w:tcW w:w="645" w:type="pct"/>
            <w:tcBorders>
              <w:top w:val="nil"/>
              <w:left w:val="nil"/>
              <w:bottom w:val="nil"/>
              <w:right w:val="nil"/>
            </w:tcBorders>
          </w:tcPr>
          <w:p w14:paraId="5FF8FE6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29.46</w:t>
            </w:r>
          </w:p>
        </w:tc>
        <w:tc>
          <w:tcPr>
            <w:tcW w:w="572" w:type="pct"/>
            <w:tcBorders>
              <w:top w:val="nil"/>
              <w:left w:val="nil"/>
              <w:bottom w:val="nil"/>
              <w:right w:val="nil"/>
            </w:tcBorders>
          </w:tcPr>
          <w:p w14:paraId="6E45622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w:t>
            </w:r>
          </w:p>
        </w:tc>
        <w:tc>
          <w:tcPr>
            <w:tcW w:w="930" w:type="pct"/>
            <w:tcBorders>
              <w:top w:val="nil"/>
              <w:left w:val="nil"/>
              <w:bottom w:val="nil"/>
              <w:right w:val="nil"/>
            </w:tcBorders>
          </w:tcPr>
          <w:p w14:paraId="76D45C98"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1.829</w:t>
            </w:r>
          </w:p>
        </w:tc>
        <w:tc>
          <w:tcPr>
            <w:tcW w:w="859" w:type="pct"/>
            <w:tcBorders>
              <w:top w:val="nil"/>
              <w:left w:val="nil"/>
              <w:bottom w:val="nil"/>
              <w:right w:val="nil"/>
            </w:tcBorders>
          </w:tcPr>
          <w:p w14:paraId="4BF123FC" w14:textId="6334E2A6"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587</w:t>
            </w:r>
          </w:p>
        </w:tc>
        <w:tc>
          <w:tcPr>
            <w:tcW w:w="720" w:type="pct"/>
            <w:tcBorders>
              <w:top w:val="nil"/>
              <w:left w:val="nil"/>
              <w:bottom w:val="nil"/>
              <w:right w:val="nil"/>
            </w:tcBorders>
          </w:tcPr>
          <w:p w14:paraId="7CFE629E"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3.165</w:t>
            </w:r>
          </w:p>
        </w:tc>
      </w:tr>
      <w:tr w:rsidR="009737B6" w:rsidRPr="009737B6" w14:paraId="6275F94D" w14:textId="77777777" w:rsidTr="0027656E">
        <w:tc>
          <w:tcPr>
            <w:tcW w:w="455" w:type="pct"/>
            <w:tcBorders>
              <w:top w:val="nil"/>
              <w:left w:val="nil"/>
              <w:bottom w:val="nil"/>
              <w:right w:val="nil"/>
            </w:tcBorders>
          </w:tcPr>
          <w:p w14:paraId="7AF17CD4"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d</w:t>
            </w:r>
          </w:p>
        </w:tc>
        <w:tc>
          <w:tcPr>
            <w:tcW w:w="819" w:type="pct"/>
            <w:tcBorders>
              <w:top w:val="nil"/>
              <w:left w:val="nil"/>
              <w:bottom w:val="nil"/>
              <w:right w:val="nil"/>
            </w:tcBorders>
          </w:tcPr>
          <w:p w14:paraId="1D4EC010" w14:textId="45F5501E"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000</w:t>
            </w:r>
          </w:p>
        </w:tc>
        <w:tc>
          <w:tcPr>
            <w:tcW w:w="645" w:type="pct"/>
            <w:tcBorders>
              <w:top w:val="nil"/>
              <w:left w:val="nil"/>
              <w:bottom w:val="nil"/>
              <w:right w:val="nil"/>
            </w:tcBorders>
          </w:tcPr>
          <w:p w14:paraId="712AE0C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30.88</w:t>
            </w:r>
          </w:p>
        </w:tc>
        <w:tc>
          <w:tcPr>
            <w:tcW w:w="572" w:type="pct"/>
            <w:tcBorders>
              <w:top w:val="nil"/>
              <w:left w:val="nil"/>
              <w:bottom w:val="nil"/>
              <w:right w:val="nil"/>
            </w:tcBorders>
          </w:tcPr>
          <w:p w14:paraId="14FE30A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w:t>
            </w:r>
          </w:p>
        </w:tc>
        <w:tc>
          <w:tcPr>
            <w:tcW w:w="930" w:type="pct"/>
            <w:tcBorders>
              <w:top w:val="nil"/>
              <w:left w:val="nil"/>
              <w:bottom w:val="nil"/>
              <w:right w:val="nil"/>
            </w:tcBorders>
          </w:tcPr>
          <w:p w14:paraId="769C273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1.833</w:t>
            </w:r>
          </w:p>
        </w:tc>
        <w:tc>
          <w:tcPr>
            <w:tcW w:w="859" w:type="pct"/>
            <w:tcBorders>
              <w:top w:val="nil"/>
              <w:left w:val="nil"/>
              <w:bottom w:val="nil"/>
              <w:right w:val="nil"/>
            </w:tcBorders>
          </w:tcPr>
          <w:p w14:paraId="5F985E10" w14:textId="7EE7D9C3"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583</w:t>
            </w:r>
          </w:p>
        </w:tc>
        <w:tc>
          <w:tcPr>
            <w:tcW w:w="720" w:type="pct"/>
            <w:tcBorders>
              <w:top w:val="nil"/>
              <w:left w:val="nil"/>
              <w:bottom w:val="nil"/>
              <w:right w:val="nil"/>
            </w:tcBorders>
          </w:tcPr>
          <w:p w14:paraId="735D6EF1"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3.165</w:t>
            </w:r>
          </w:p>
        </w:tc>
      </w:tr>
      <w:tr w:rsidR="009737B6" w:rsidRPr="009737B6" w14:paraId="36178404" w14:textId="77777777" w:rsidTr="0027656E">
        <w:tc>
          <w:tcPr>
            <w:tcW w:w="455" w:type="pct"/>
            <w:tcBorders>
              <w:top w:val="nil"/>
              <w:left w:val="nil"/>
              <w:bottom w:val="nil"/>
              <w:right w:val="nil"/>
            </w:tcBorders>
          </w:tcPr>
          <w:p w14:paraId="62E9F296"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e</w:t>
            </w:r>
          </w:p>
        </w:tc>
        <w:tc>
          <w:tcPr>
            <w:tcW w:w="819" w:type="pct"/>
            <w:tcBorders>
              <w:top w:val="nil"/>
              <w:left w:val="nil"/>
              <w:bottom w:val="nil"/>
              <w:right w:val="nil"/>
            </w:tcBorders>
          </w:tcPr>
          <w:p w14:paraId="440C48BF" w14:textId="6F0F6570"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000</w:t>
            </w:r>
          </w:p>
        </w:tc>
        <w:tc>
          <w:tcPr>
            <w:tcW w:w="645" w:type="pct"/>
            <w:tcBorders>
              <w:top w:val="nil"/>
              <w:left w:val="nil"/>
              <w:bottom w:val="nil"/>
              <w:right w:val="nil"/>
            </w:tcBorders>
          </w:tcPr>
          <w:p w14:paraId="264FA294"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99.9</w:t>
            </w:r>
          </w:p>
        </w:tc>
        <w:tc>
          <w:tcPr>
            <w:tcW w:w="572" w:type="pct"/>
            <w:tcBorders>
              <w:top w:val="nil"/>
              <w:left w:val="nil"/>
              <w:bottom w:val="nil"/>
              <w:right w:val="nil"/>
            </w:tcBorders>
          </w:tcPr>
          <w:p w14:paraId="581CBD6A"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w:t>
            </w:r>
          </w:p>
        </w:tc>
        <w:tc>
          <w:tcPr>
            <w:tcW w:w="930" w:type="pct"/>
            <w:tcBorders>
              <w:top w:val="nil"/>
              <w:left w:val="nil"/>
              <w:bottom w:val="nil"/>
              <w:right w:val="nil"/>
            </w:tcBorders>
          </w:tcPr>
          <w:p w14:paraId="619B6771"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2.417</w:t>
            </w:r>
          </w:p>
        </w:tc>
        <w:tc>
          <w:tcPr>
            <w:tcW w:w="859" w:type="pct"/>
            <w:tcBorders>
              <w:top w:val="nil"/>
              <w:left w:val="nil"/>
              <w:bottom w:val="nil"/>
              <w:right w:val="nil"/>
            </w:tcBorders>
          </w:tcPr>
          <w:p w14:paraId="21DC5563" w14:textId="1F99F76B"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384</w:t>
            </w:r>
          </w:p>
        </w:tc>
        <w:tc>
          <w:tcPr>
            <w:tcW w:w="720" w:type="pct"/>
            <w:tcBorders>
              <w:top w:val="nil"/>
              <w:left w:val="nil"/>
              <w:bottom w:val="nil"/>
              <w:right w:val="nil"/>
            </w:tcBorders>
          </w:tcPr>
          <w:p w14:paraId="1CC469B2"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3.165</w:t>
            </w:r>
          </w:p>
        </w:tc>
      </w:tr>
      <w:tr w:rsidR="009737B6" w:rsidRPr="009737B6" w14:paraId="7184D2FC" w14:textId="77777777" w:rsidTr="0027656E">
        <w:tc>
          <w:tcPr>
            <w:tcW w:w="455" w:type="pct"/>
            <w:tcBorders>
              <w:top w:val="nil"/>
              <w:left w:val="nil"/>
              <w:bottom w:val="nil"/>
              <w:right w:val="nil"/>
            </w:tcBorders>
          </w:tcPr>
          <w:p w14:paraId="3F3069B1"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u</w:t>
            </w:r>
          </w:p>
        </w:tc>
        <w:tc>
          <w:tcPr>
            <w:tcW w:w="819" w:type="pct"/>
            <w:tcBorders>
              <w:top w:val="nil"/>
              <w:left w:val="nil"/>
              <w:bottom w:val="nil"/>
              <w:right w:val="nil"/>
            </w:tcBorders>
          </w:tcPr>
          <w:p w14:paraId="3F5375C8" w14:textId="3CB37206"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000</w:t>
            </w:r>
          </w:p>
        </w:tc>
        <w:tc>
          <w:tcPr>
            <w:tcW w:w="645" w:type="pct"/>
            <w:tcBorders>
              <w:top w:val="nil"/>
              <w:left w:val="nil"/>
              <w:bottom w:val="nil"/>
              <w:right w:val="nil"/>
            </w:tcBorders>
          </w:tcPr>
          <w:p w14:paraId="7FDA4242"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99.9</w:t>
            </w:r>
          </w:p>
        </w:tc>
        <w:tc>
          <w:tcPr>
            <w:tcW w:w="572" w:type="pct"/>
            <w:tcBorders>
              <w:top w:val="nil"/>
              <w:left w:val="nil"/>
              <w:bottom w:val="nil"/>
              <w:right w:val="nil"/>
            </w:tcBorders>
          </w:tcPr>
          <w:p w14:paraId="732CDE8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p>
        </w:tc>
        <w:tc>
          <w:tcPr>
            <w:tcW w:w="930" w:type="pct"/>
            <w:tcBorders>
              <w:top w:val="nil"/>
              <w:left w:val="nil"/>
              <w:bottom w:val="nil"/>
              <w:right w:val="nil"/>
            </w:tcBorders>
          </w:tcPr>
          <w:p w14:paraId="1B62BBB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2.975</w:t>
            </w:r>
          </w:p>
        </w:tc>
        <w:tc>
          <w:tcPr>
            <w:tcW w:w="859" w:type="pct"/>
            <w:tcBorders>
              <w:top w:val="nil"/>
              <w:left w:val="nil"/>
              <w:bottom w:val="nil"/>
              <w:right w:val="nil"/>
            </w:tcBorders>
          </w:tcPr>
          <w:p w14:paraId="35C90685" w14:textId="70B574CC"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176</w:t>
            </w:r>
          </w:p>
        </w:tc>
        <w:tc>
          <w:tcPr>
            <w:tcW w:w="720" w:type="pct"/>
            <w:tcBorders>
              <w:top w:val="nil"/>
              <w:left w:val="nil"/>
              <w:bottom w:val="nil"/>
              <w:right w:val="nil"/>
            </w:tcBorders>
          </w:tcPr>
          <w:p w14:paraId="7C0BF361"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0.7</w:t>
            </w:r>
          </w:p>
        </w:tc>
      </w:tr>
      <w:tr w:rsidR="009737B6" w:rsidRPr="009737B6" w14:paraId="67C1F979" w14:textId="77777777" w:rsidTr="0027656E">
        <w:tc>
          <w:tcPr>
            <w:tcW w:w="455" w:type="pct"/>
            <w:tcBorders>
              <w:top w:val="nil"/>
              <w:left w:val="nil"/>
              <w:bottom w:val="nil"/>
              <w:right w:val="nil"/>
            </w:tcBorders>
          </w:tcPr>
          <w:p w14:paraId="0F9F0C67"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v</w:t>
            </w:r>
          </w:p>
        </w:tc>
        <w:tc>
          <w:tcPr>
            <w:tcW w:w="819" w:type="pct"/>
            <w:tcBorders>
              <w:top w:val="nil"/>
              <w:left w:val="nil"/>
              <w:bottom w:val="nil"/>
              <w:right w:val="nil"/>
            </w:tcBorders>
          </w:tcPr>
          <w:p w14:paraId="63AB92D3"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400</w:t>
            </w:r>
          </w:p>
        </w:tc>
        <w:tc>
          <w:tcPr>
            <w:tcW w:w="645" w:type="pct"/>
            <w:tcBorders>
              <w:top w:val="nil"/>
              <w:left w:val="nil"/>
              <w:bottom w:val="nil"/>
              <w:right w:val="nil"/>
            </w:tcBorders>
          </w:tcPr>
          <w:p w14:paraId="482C8676"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47</w:t>
            </w:r>
          </w:p>
        </w:tc>
        <w:tc>
          <w:tcPr>
            <w:tcW w:w="572" w:type="pct"/>
            <w:tcBorders>
              <w:top w:val="nil"/>
              <w:left w:val="nil"/>
              <w:bottom w:val="nil"/>
              <w:right w:val="nil"/>
            </w:tcBorders>
          </w:tcPr>
          <w:p w14:paraId="6F2F469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w:t>
            </w:r>
          </w:p>
        </w:tc>
        <w:tc>
          <w:tcPr>
            <w:tcW w:w="930" w:type="pct"/>
            <w:tcBorders>
              <w:top w:val="nil"/>
              <w:left w:val="nil"/>
              <w:bottom w:val="nil"/>
              <w:right w:val="nil"/>
            </w:tcBorders>
          </w:tcPr>
          <w:p w14:paraId="03B3F403"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3.005</w:t>
            </w:r>
          </w:p>
        </w:tc>
        <w:tc>
          <w:tcPr>
            <w:tcW w:w="859" w:type="pct"/>
            <w:tcBorders>
              <w:top w:val="nil"/>
              <w:left w:val="nil"/>
              <w:bottom w:val="nil"/>
              <w:right w:val="nil"/>
            </w:tcBorders>
          </w:tcPr>
          <w:p w14:paraId="29A4D2F6" w14:textId="7C4EA766"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230</w:t>
            </w:r>
          </w:p>
        </w:tc>
        <w:tc>
          <w:tcPr>
            <w:tcW w:w="720" w:type="pct"/>
            <w:tcBorders>
              <w:top w:val="nil"/>
              <w:left w:val="nil"/>
              <w:bottom w:val="nil"/>
              <w:right w:val="nil"/>
            </w:tcBorders>
          </w:tcPr>
          <w:p w14:paraId="333DDFDD"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0.7</w:t>
            </w:r>
          </w:p>
        </w:tc>
      </w:tr>
      <w:tr w:rsidR="009737B6" w:rsidRPr="009737B6" w14:paraId="7113D3DD" w14:textId="77777777" w:rsidTr="0027656E">
        <w:tc>
          <w:tcPr>
            <w:tcW w:w="455" w:type="pct"/>
            <w:tcBorders>
              <w:top w:val="nil"/>
              <w:left w:val="nil"/>
              <w:bottom w:val="nil"/>
              <w:right w:val="nil"/>
            </w:tcBorders>
          </w:tcPr>
          <w:p w14:paraId="178C8F25"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w</w:t>
            </w:r>
          </w:p>
        </w:tc>
        <w:tc>
          <w:tcPr>
            <w:tcW w:w="819" w:type="pct"/>
            <w:tcBorders>
              <w:top w:val="nil"/>
              <w:left w:val="nil"/>
              <w:bottom w:val="nil"/>
              <w:right w:val="nil"/>
            </w:tcBorders>
          </w:tcPr>
          <w:p w14:paraId="065C3F68"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400</w:t>
            </w:r>
          </w:p>
        </w:tc>
        <w:tc>
          <w:tcPr>
            <w:tcW w:w="645" w:type="pct"/>
            <w:tcBorders>
              <w:top w:val="nil"/>
              <w:left w:val="nil"/>
              <w:bottom w:val="nil"/>
              <w:right w:val="nil"/>
            </w:tcBorders>
          </w:tcPr>
          <w:p w14:paraId="1BF93EC4"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29.46</w:t>
            </w:r>
          </w:p>
        </w:tc>
        <w:tc>
          <w:tcPr>
            <w:tcW w:w="572" w:type="pct"/>
            <w:tcBorders>
              <w:top w:val="nil"/>
              <w:left w:val="nil"/>
              <w:bottom w:val="nil"/>
              <w:right w:val="nil"/>
            </w:tcBorders>
          </w:tcPr>
          <w:p w14:paraId="43E9B1B4"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w:t>
            </w:r>
          </w:p>
        </w:tc>
        <w:tc>
          <w:tcPr>
            <w:tcW w:w="930" w:type="pct"/>
            <w:tcBorders>
              <w:top w:val="nil"/>
              <w:left w:val="nil"/>
              <w:bottom w:val="nil"/>
              <w:right w:val="nil"/>
            </w:tcBorders>
          </w:tcPr>
          <w:p w14:paraId="775331AF"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1.829</w:t>
            </w:r>
          </w:p>
        </w:tc>
        <w:tc>
          <w:tcPr>
            <w:tcW w:w="859" w:type="pct"/>
            <w:tcBorders>
              <w:top w:val="nil"/>
              <w:left w:val="nil"/>
              <w:bottom w:val="nil"/>
              <w:right w:val="nil"/>
            </w:tcBorders>
          </w:tcPr>
          <w:p w14:paraId="4DA60AF9" w14:textId="7078E678"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587</w:t>
            </w:r>
          </w:p>
        </w:tc>
        <w:tc>
          <w:tcPr>
            <w:tcW w:w="720" w:type="pct"/>
            <w:tcBorders>
              <w:top w:val="nil"/>
              <w:left w:val="nil"/>
              <w:bottom w:val="nil"/>
              <w:right w:val="nil"/>
            </w:tcBorders>
          </w:tcPr>
          <w:p w14:paraId="75FFCACB"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0.7</w:t>
            </w:r>
          </w:p>
        </w:tc>
      </w:tr>
      <w:tr w:rsidR="009737B6" w:rsidRPr="009737B6" w14:paraId="5D9E5647" w14:textId="77777777" w:rsidTr="0027656E">
        <w:tc>
          <w:tcPr>
            <w:tcW w:w="455" w:type="pct"/>
            <w:tcBorders>
              <w:top w:val="nil"/>
              <w:left w:val="nil"/>
              <w:bottom w:val="nil"/>
              <w:right w:val="nil"/>
            </w:tcBorders>
          </w:tcPr>
          <w:p w14:paraId="20B3CAE2"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x</w:t>
            </w:r>
          </w:p>
        </w:tc>
        <w:tc>
          <w:tcPr>
            <w:tcW w:w="819" w:type="pct"/>
            <w:tcBorders>
              <w:top w:val="nil"/>
              <w:left w:val="nil"/>
              <w:bottom w:val="nil"/>
              <w:right w:val="nil"/>
            </w:tcBorders>
          </w:tcPr>
          <w:p w14:paraId="2C7B14D9" w14:textId="4B2A1F3B"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000</w:t>
            </w:r>
          </w:p>
        </w:tc>
        <w:tc>
          <w:tcPr>
            <w:tcW w:w="645" w:type="pct"/>
            <w:tcBorders>
              <w:top w:val="nil"/>
              <w:left w:val="nil"/>
              <w:bottom w:val="nil"/>
              <w:right w:val="nil"/>
            </w:tcBorders>
          </w:tcPr>
          <w:p w14:paraId="08DB8D05"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30.88</w:t>
            </w:r>
          </w:p>
        </w:tc>
        <w:tc>
          <w:tcPr>
            <w:tcW w:w="572" w:type="pct"/>
            <w:tcBorders>
              <w:top w:val="nil"/>
              <w:left w:val="nil"/>
              <w:bottom w:val="nil"/>
              <w:right w:val="nil"/>
            </w:tcBorders>
          </w:tcPr>
          <w:p w14:paraId="69BDB787"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w:t>
            </w:r>
          </w:p>
        </w:tc>
        <w:tc>
          <w:tcPr>
            <w:tcW w:w="930" w:type="pct"/>
            <w:tcBorders>
              <w:top w:val="nil"/>
              <w:left w:val="nil"/>
              <w:bottom w:val="nil"/>
              <w:right w:val="nil"/>
            </w:tcBorders>
          </w:tcPr>
          <w:p w14:paraId="2E36B785"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1.833</w:t>
            </w:r>
          </w:p>
        </w:tc>
        <w:tc>
          <w:tcPr>
            <w:tcW w:w="859" w:type="pct"/>
            <w:tcBorders>
              <w:top w:val="nil"/>
              <w:left w:val="nil"/>
              <w:bottom w:val="nil"/>
              <w:right w:val="nil"/>
            </w:tcBorders>
          </w:tcPr>
          <w:p w14:paraId="042B3E5D" w14:textId="692E7184"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583</w:t>
            </w:r>
          </w:p>
        </w:tc>
        <w:tc>
          <w:tcPr>
            <w:tcW w:w="720" w:type="pct"/>
            <w:tcBorders>
              <w:top w:val="nil"/>
              <w:left w:val="nil"/>
              <w:bottom w:val="nil"/>
              <w:right w:val="nil"/>
            </w:tcBorders>
          </w:tcPr>
          <w:p w14:paraId="0A042F7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0.7</w:t>
            </w:r>
          </w:p>
        </w:tc>
      </w:tr>
      <w:tr w:rsidR="009737B6" w:rsidRPr="009737B6" w14:paraId="51297007" w14:textId="77777777" w:rsidTr="0027656E">
        <w:tc>
          <w:tcPr>
            <w:tcW w:w="455" w:type="pct"/>
            <w:tcBorders>
              <w:top w:val="nil"/>
              <w:left w:val="nil"/>
              <w:right w:val="nil"/>
            </w:tcBorders>
          </w:tcPr>
          <w:p w14:paraId="1E60BE68" w14:textId="77777777" w:rsidR="00B26C97" w:rsidRPr="000369F7" w:rsidRDefault="00B26C97" w:rsidP="0027656E">
            <w:pPr>
              <w:pStyle w:val="IOP-CS-TableLeftColumn"/>
              <w:jc w:val="center"/>
              <w:rPr>
                <w:rFonts w:ascii="Times New Roman" w:hAnsi="Times New Roman" w:cs="Times New Roman"/>
                <w:lang w:val="en-US"/>
              </w:rPr>
            </w:pPr>
            <w:r w:rsidRPr="000369F7">
              <w:rPr>
                <w:rFonts w:ascii="Times New Roman" w:hAnsi="Times New Roman" w:cs="Times New Roman"/>
                <w:lang w:val="en-US"/>
              </w:rPr>
              <w:t>y</w:t>
            </w:r>
          </w:p>
        </w:tc>
        <w:tc>
          <w:tcPr>
            <w:tcW w:w="819" w:type="pct"/>
            <w:tcBorders>
              <w:top w:val="nil"/>
              <w:left w:val="nil"/>
              <w:right w:val="nil"/>
            </w:tcBorders>
          </w:tcPr>
          <w:p w14:paraId="007562BE" w14:textId="29FCE61D"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000</w:t>
            </w:r>
          </w:p>
        </w:tc>
        <w:tc>
          <w:tcPr>
            <w:tcW w:w="645" w:type="pct"/>
            <w:tcBorders>
              <w:top w:val="nil"/>
              <w:left w:val="nil"/>
              <w:right w:val="nil"/>
            </w:tcBorders>
          </w:tcPr>
          <w:p w14:paraId="3259C706"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99.9</w:t>
            </w:r>
          </w:p>
        </w:tc>
        <w:tc>
          <w:tcPr>
            <w:tcW w:w="572" w:type="pct"/>
            <w:tcBorders>
              <w:top w:val="nil"/>
              <w:left w:val="nil"/>
              <w:right w:val="nil"/>
            </w:tcBorders>
          </w:tcPr>
          <w:p w14:paraId="39350D45"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w:t>
            </w:r>
          </w:p>
        </w:tc>
        <w:tc>
          <w:tcPr>
            <w:tcW w:w="930" w:type="pct"/>
            <w:tcBorders>
              <w:top w:val="nil"/>
              <w:left w:val="nil"/>
              <w:right w:val="nil"/>
            </w:tcBorders>
          </w:tcPr>
          <w:p w14:paraId="434AD81C"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2.417</w:t>
            </w:r>
          </w:p>
        </w:tc>
        <w:tc>
          <w:tcPr>
            <w:tcW w:w="859" w:type="pct"/>
            <w:tcBorders>
              <w:top w:val="nil"/>
              <w:left w:val="nil"/>
              <w:right w:val="nil"/>
            </w:tcBorders>
          </w:tcPr>
          <w:p w14:paraId="295189A2" w14:textId="35C5D2C2"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-2</w:t>
            </w:r>
            <w:r w:rsidR="00B06DEF" w:rsidRPr="009737B6">
              <w:rPr>
                <w:rFonts w:ascii="Times New Roman" w:hAnsi="Times New Roman" w:cs="Times New Roman"/>
                <w:color w:val="000000" w:themeColor="text1"/>
                <w:lang w:val="en-US"/>
              </w:rPr>
              <w:t>,</w:t>
            </w:r>
            <w:r w:rsidRPr="009737B6">
              <w:rPr>
                <w:rFonts w:ascii="Times New Roman" w:hAnsi="Times New Roman" w:cs="Times New Roman"/>
                <w:color w:val="000000" w:themeColor="text1"/>
                <w:lang w:val="en-US"/>
              </w:rPr>
              <w:t>384</w:t>
            </w:r>
          </w:p>
        </w:tc>
        <w:tc>
          <w:tcPr>
            <w:tcW w:w="720" w:type="pct"/>
            <w:tcBorders>
              <w:top w:val="nil"/>
              <w:left w:val="nil"/>
              <w:right w:val="nil"/>
            </w:tcBorders>
          </w:tcPr>
          <w:p w14:paraId="3819CF10" w14:textId="77777777" w:rsidR="00B26C97" w:rsidRPr="009737B6" w:rsidRDefault="00B26C97" w:rsidP="0027656E">
            <w:pPr>
              <w:pStyle w:val="IOP-CS-TableLeftColumn"/>
              <w:jc w:val="center"/>
              <w:rPr>
                <w:rFonts w:ascii="Times New Roman" w:hAnsi="Times New Roman" w:cs="Times New Roman"/>
                <w:color w:val="000000" w:themeColor="text1"/>
                <w:lang w:val="en-US"/>
              </w:rPr>
            </w:pPr>
            <w:r w:rsidRPr="009737B6">
              <w:rPr>
                <w:rFonts w:ascii="Times New Roman" w:hAnsi="Times New Roman" w:cs="Times New Roman"/>
                <w:color w:val="000000" w:themeColor="text1"/>
                <w:lang w:val="en-US"/>
              </w:rPr>
              <w:t>0.7</w:t>
            </w:r>
          </w:p>
        </w:tc>
      </w:tr>
    </w:tbl>
    <w:p w14:paraId="24D1AF9D" w14:textId="77777777" w:rsidR="00B26C97" w:rsidRPr="000369F7" w:rsidRDefault="00B26C97" w:rsidP="00B26C97">
      <w:pPr>
        <w:widowControl w:val="0"/>
        <w:pBdr>
          <w:top w:val="nil"/>
          <w:left w:val="nil"/>
          <w:bottom w:val="nil"/>
          <w:right w:val="nil"/>
          <w:between w:val="nil"/>
        </w:pBdr>
        <w:ind w:firstLine="284"/>
        <w:jc w:val="both"/>
        <w:rPr>
          <w:color w:val="000000"/>
          <w:sz w:val="20"/>
        </w:rPr>
      </w:pPr>
    </w:p>
    <w:p w14:paraId="082DFDBD" w14:textId="43D22BED" w:rsidR="00B26C97" w:rsidRPr="000369F7" w:rsidRDefault="00B26C97" w:rsidP="00B26C97">
      <w:pPr>
        <w:widowControl w:val="0"/>
        <w:pBdr>
          <w:top w:val="nil"/>
          <w:left w:val="nil"/>
          <w:bottom w:val="nil"/>
          <w:right w:val="nil"/>
          <w:between w:val="nil"/>
        </w:pBdr>
        <w:ind w:firstLine="284"/>
        <w:jc w:val="both"/>
        <w:rPr>
          <w:color w:val="000000"/>
          <w:sz w:val="20"/>
        </w:rPr>
      </w:pPr>
      <w:r w:rsidRPr="000369F7">
        <w:rPr>
          <w:color w:val="000000"/>
          <w:sz w:val="20"/>
        </w:rPr>
        <w:t>The actual efficiency of the turbine equipment is lower, which must be taken into account when evaluating the energy efficiency of the thermal circuit.</w:t>
      </w:r>
    </w:p>
    <w:p w14:paraId="51C63912" w14:textId="77777777" w:rsidR="00DA0753" w:rsidRPr="000369F7" w:rsidRDefault="00741149">
      <w:pPr>
        <w:pStyle w:val="1"/>
        <w:rPr>
          <w:b w:val="0"/>
          <w:sz w:val="20"/>
        </w:rPr>
      </w:pPr>
      <w:r w:rsidRPr="000369F7">
        <w:t>Analysis of research results to determine the most effective work process</w:t>
      </w:r>
    </w:p>
    <w:p w14:paraId="51834072" w14:textId="69ADF1EE" w:rsidR="00DA0753" w:rsidRPr="000369F7" w:rsidRDefault="00CA4DB5">
      <w:pPr>
        <w:pBdr>
          <w:top w:val="nil"/>
          <w:left w:val="nil"/>
          <w:bottom w:val="nil"/>
          <w:right w:val="nil"/>
          <w:between w:val="nil"/>
        </w:pBdr>
        <w:ind w:firstLine="284"/>
        <w:jc w:val="both"/>
        <w:rPr>
          <w:color w:val="000000"/>
          <w:sz w:val="20"/>
        </w:rPr>
      </w:pPr>
      <w:r w:rsidRPr="000369F7">
        <w:rPr>
          <w:color w:val="000000"/>
          <w:sz w:val="20"/>
        </w:rPr>
        <w:t>This section summarizes the analysis presented in the previous part, focusing on the identification of the most effective work process for hybrid Flash/ORC power plants under the conditions of industrial enterprises in Ukraine.</w:t>
      </w:r>
    </w:p>
    <w:p w14:paraId="334C3240" w14:textId="7214FA8E" w:rsidR="00DA0753" w:rsidRPr="000369F7" w:rsidRDefault="00741149">
      <w:pPr>
        <w:pStyle w:val="1"/>
        <w:rPr>
          <w:b w:val="0"/>
          <w:sz w:val="20"/>
        </w:rPr>
      </w:pPr>
      <w:r w:rsidRPr="000369F7">
        <w:t>CONCLUSION</w:t>
      </w:r>
    </w:p>
    <w:p w14:paraId="7B722611" w14:textId="77777777" w:rsidR="00B26C97" w:rsidRPr="000369F7" w:rsidRDefault="00B26C97" w:rsidP="00B26C97">
      <w:pPr>
        <w:pBdr>
          <w:top w:val="nil"/>
          <w:left w:val="nil"/>
          <w:bottom w:val="nil"/>
          <w:right w:val="nil"/>
          <w:between w:val="nil"/>
        </w:pBdr>
        <w:ind w:firstLine="284"/>
        <w:jc w:val="both"/>
        <w:rPr>
          <w:color w:val="000000"/>
          <w:sz w:val="20"/>
        </w:rPr>
      </w:pPr>
      <w:r w:rsidRPr="000369F7">
        <w:rPr>
          <w:color w:val="000000"/>
          <w:sz w:val="20"/>
        </w:rPr>
        <w:t>The research results indicate that hybrid power plants are effective at heat source temperatures ranging from 300°C to 500°C. Cost reductions in the installation process are achieved through the use of a technological scheme that combines a steam turbine and a turbine with R600a organic working fluid. Thermogasdynamic calculations for the turbine flow path allow for the determination of the design parameters and the actual efficiency of the turbines.</w:t>
      </w:r>
    </w:p>
    <w:p w14:paraId="652B4B8A" w14:textId="77777777" w:rsidR="00B26C97" w:rsidRPr="000369F7" w:rsidRDefault="00B26C97" w:rsidP="00B26C97">
      <w:pPr>
        <w:pBdr>
          <w:top w:val="nil"/>
          <w:left w:val="nil"/>
          <w:bottom w:val="nil"/>
          <w:right w:val="nil"/>
          <w:between w:val="nil"/>
        </w:pBdr>
        <w:ind w:firstLine="284"/>
        <w:jc w:val="both"/>
        <w:rPr>
          <w:color w:val="000000"/>
          <w:sz w:val="20"/>
        </w:rPr>
      </w:pPr>
      <w:r w:rsidRPr="000369F7">
        <w:rPr>
          <w:color w:val="000000"/>
          <w:sz w:val="20"/>
        </w:rPr>
        <w:t>Analysis of existing approaches to the development of turbine flow parts has demonstrated that the type of flow part selected depends on the expansion rate and the consumption of working fluids. It should be noted that working fluid consumption significantly impacts efficiency. When the working fluid consumption is low, lower blade heights are achieved, which are not permissible under technological standards and are practically impossible to manufacture. At these low blade heights, the flow of the working fluid in the inter-crown gaps increases, leading to higher final losses and a reduction in the overall efficiency of the turbine’s flow path.</w:t>
      </w:r>
    </w:p>
    <w:p w14:paraId="5E1477FB" w14:textId="1F8F924B" w:rsidR="00DA0753" w:rsidRPr="000369F7" w:rsidRDefault="00B26C97" w:rsidP="00B26C97">
      <w:pPr>
        <w:pBdr>
          <w:top w:val="nil"/>
          <w:left w:val="nil"/>
          <w:bottom w:val="nil"/>
          <w:right w:val="nil"/>
          <w:between w:val="nil"/>
        </w:pBdr>
        <w:ind w:firstLine="284"/>
        <w:jc w:val="both"/>
        <w:rPr>
          <w:color w:val="000000"/>
          <w:sz w:val="20"/>
        </w:rPr>
      </w:pPr>
      <w:r w:rsidRPr="000369F7">
        <w:rPr>
          <w:color w:val="000000"/>
          <w:sz w:val="20"/>
        </w:rPr>
        <w:t>In this scenario, the working fluid consumption is limited by the amount of waste heat, resulting in the use of partial intake to the steam turbine’s impeller. The partial intake helps increase the blade height to a technologically feasible level, but reduces the steam turbine's efficiency to 65%. For the turbine using R-600a working fluid, the efficiency is higher, reaching 74%. It is concluded that the actual total electric power produced is 283 kW</w:t>
      </w:r>
      <w:r w:rsidR="00E872B0" w:rsidRPr="000369F7">
        <w:rPr>
          <w:b/>
          <w:sz w:val="18"/>
          <w:szCs w:val="18"/>
        </w:rPr>
        <w:t>·</w:t>
      </w:r>
      <w:r w:rsidRPr="000369F7">
        <w:rPr>
          <w:color w:val="000000"/>
          <w:sz w:val="20"/>
        </w:rPr>
        <w:t>kg</w:t>
      </w:r>
      <w:r w:rsidR="00E872B0" w:rsidRPr="000369F7">
        <w:rPr>
          <w:b/>
          <w:sz w:val="18"/>
          <w:szCs w:val="18"/>
          <w:vertAlign w:val="superscript"/>
        </w:rPr>
        <w:t>-1</w:t>
      </w:r>
      <w:r w:rsidR="00E872B0" w:rsidRPr="000369F7">
        <w:rPr>
          <w:b/>
          <w:sz w:val="18"/>
          <w:szCs w:val="18"/>
        </w:rPr>
        <w:t>·</w:t>
      </w:r>
      <w:r w:rsidRPr="000369F7">
        <w:rPr>
          <w:color w:val="000000"/>
          <w:sz w:val="20"/>
        </w:rPr>
        <w:t>s</w:t>
      </w:r>
      <w:r w:rsidR="00E872B0" w:rsidRPr="000369F7">
        <w:rPr>
          <w:b/>
          <w:sz w:val="18"/>
          <w:szCs w:val="18"/>
          <w:vertAlign w:val="superscript"/>
        </w:rPr>
        <w:t>-1</w:t>
      </w:r>
      <w:r w:rsidRPr="000369F7">
        <w:rPr>
          <w:color w:val="000000"/>
          <w:sz w:val="20"/>
        </w:rPr>
        <w:t>, with an efficiency of 16.5%</w:t>
      </w:r>
      <w:r w:rsidR="00741149" w:rsidRPr="000369F7">
        <w:rPr>
          <w:color w:val="000000"/>
          <w:sz w:val="20"/>
        </w:rPr>
        <w:t>.</w:t>
      </w:r>
    </w:p>
    <w:p w14:paraId="66970FA5" w14:textId="7F14DBB7" w:rsidR="00F37157" w:rsidRPr="000369F7" w:rsidRDefault="00F37157" w:rsidP="00F37157">
      <w:pPr>
        <w:pStyle w:val="1"/>
      </w:pPr>
      <w:r w:rsidRPr="000369F7">
        <w:lastRenderedPageBreak/>
        <w:t>Acknowledgments</w:t>
      </w:r>
    </w:p>
    <w:p w14:paraId="5341EAEF" w14:textId="77777777" w:rsidR="00F37157" w:rsidRPr="000369F7" w:rsidRDefault="00F37157" w:rsidP="00F37157">
      <w:pPr>
        <w:pBdr>
          <w:top w:val="nil"/>
          <w:left w:val="nil"/>
          <w:bottom w:val="nil"/>
          <w:right w:val="nil"/>
          <w:between w:val="nil"/>
        </w:pBdr>
        <w:ind w:firstLine="284"/>
        <w:jc w:val="both"/>
        <w:rPr>
          <w:color w:val="000000"/>
          <w:sz w:val="20"/>
        </w:rPr>
      </w:pPr>
      <w:r w:rsidRPr="000369F7">
        <w:rPr>
          <w:color w:val="000000"/>
          <w:sz w:val="20"/>
        </w:rPr>
        <w:t>The authors would like to express their gratitude to Kharkiv National Automobile and Highway University and the organizing committee of the Modern Automotive Industry, Transport and Road Infrastructure (MAITRI) conference.</w:t>
      </w:r>
    </w:p>
    <w:p w14:paraId="22DEB788" w14:textId="318493FF" w:rsidR="00F37157" w:rsidRPr="000369F7" w:rsidRDefault="00F37157" w:rsidP="00F37157">
      <w:pPr>
        <w:pStyle w:val="1"/>
        <w:rPr>
          <w:b w:val="0"/>
          <w:sz w:val="20"/>
        </w:rPr>
      </w:pPr>
      <w:r w:rsidRPr="000369F7">
        <w:t>Conflict of interests</w:t>
      </w:r>
    </w:p>
    <w:p w14:paraId="553394AD" w14:textId="77777777" w:rsidR="00F37157" w:rsidRPr="000369F7" w:rsidRDefault="00F37157" w:rsidP="00F37157">
      <w:pPr>
        <w:pStyle w:val="Paragraph"/>
      </w:pPr>
      <w:r w:rsidRPr="000369F7">
        <w:t>The authors declare that there is no conflict of interests regarding the publication of this paper.</w:t>
      </w:r>
    </w:p>
    <w:p w14:paraId="5D5B47BE" w14:textId="29E7E2F4" w:rsidR="00DA0753" w:rsidRPr="000369F7" w:rsidRDefault="00741149" w:rsidP="00434606">
      <w:pPr>
        <w:pStyle w:val="1"/>
        <w:rPr>
          <w:b w:val="0"/>
          <w:sz w:val="20"/>
        </w:rPr>
      </w:pPr>
      <w:r w:rsidRPr="000369F7">
        <w:t>References</w:t>
      </w:r>
    </w:p>
    <w:p w14:paraId="59DECEA1" w14:textId="16D5A004" w:rsidR="00B814A8" w:rsidRDefault="00B814A8" w:rsidP="00B814A8">
      <w:pPr>
        <w:pStyle w:val="ab"/>
        <w:pBdr>
          <w:top w:val="nil"/>
          <w:left w:val="nil"/>
          <w:bottom w:val="nil"/>
          <w:right w:val="nil"/>
          <w:between w:val="nil"/>
        </w:pBdr>
        <w:spacing w:before="0" w:beforeAutospacing="0" w:after="0" w:afterAutospacing="0"/>
        <w:ind w:left="426" w:hanging="426"/>
        <w:jc w:val="both"/>
        <w:rPr>
          <w:rStyle w:val="ms-1"/>
          <w:rFonts w:eastAsiaTheme="majorEastAsia"/>
          <w:sz w:val="20"/>
          <w:szCs w:val="20"/>
          <w:lang w:val="uk-UA"/>
        </w:rPr>
      </w:pPr>
      <w:r w:rsidRPr="00B814A8">
        <w:rPr>
          <w:sz w:val="20"/>
          <w:szCs w:val="20"/>
        </w:rPr>
        <w:t xml:space="preserve">[1] R. </w:t>
      </w:r>
      <w:proofErr w:type="spellStart"/>
      <w:r w:rsidRPr="00B814A8">
        <w:rPr>
          <w:sz w:val="20"/>
          <w:szCs w:val="20"/>
        </w:rPr>
        <w:t>DiPippo</w:t>
      </w:r>
      <w:proofErr w:type="spellEnd"/>
      <w:r w:rsidRPr="00B814A8">
        <w:rPr>
          <w:sz w:val="20"/>
          <w:szCs w:val="20"/>
        </w:rPr>
        <w:t xml:space="preserve">, </w:t>
      </w:r>
      <w:r w:rsidRPr="00B814A8">
        <w:rPr>
          <w:rStyle w:val="ad"/>
          <w:b/>
          <w:bCs/>
          <w:sz w:val="20"/>
          <w:szCs w:val="20"/>
        </w:rPr>
        <w:t>Geothermal Power Plants: Principles, Applications, Case Studies and Environmental Impact</w:t>
      </w:r>
      <w:r w:rsidRPr="00B814A8">
        <w:rPr>
          <w:sz w:val="20"/>
          <w:szCs w:val="20"/>
        </w:rPr>
        <w:t xml:space="preserve">, 4th ed. (Elsevier, Oxford, England, 2016). </w:t>
      </w:r>
      <w:hyperlink r:id="rId8" w:tgtFrame="_blank" w:history="1">
        <w:r w:rsidRPr="00B814A8">
          <w:rPr>
            <w:rStyle w:val="max-w-15ch"/>
            <w:color w:val="0000FF"/>
            <w:sz w:val="20"/>
            <w:szCs w:val="20"/>
            <w:u w:val="single"/>
          </w:rPr>
          <w:t>shop.elsevier.com</w:t>
        </w:r>
        <w:r w:rsidRPr="00B814A8">
          <w:rPr>
            <w:rStyle w:val="-me-1"/>
            <w:color w:val="0000FF"/>
            <w:sz w:val="20"/>
            <w:szCs w:val="20"/>
            <w:u w:val="single"/>
          </w:rPr>
          <w:t>+1</w:t>
        </w:r>
      </w:hyperlink>
    </w:p>
    <w:p w14:paraId="266FACB0" w14:textId="77777777" w:rsidR="00B814A8" w:rsidRDefault="00B814A8" w:rsidP="00B814A8">
      <w:pPr>
        <w:pStyle w:val="ab"/>
        <w:pBdr>
          <w:top w:val="nil"/>
          <w:left w:val="nil"/>
          <w:bottom w:val="nil"/>
          <w:right w:val="nil"/>
          <w:between w:val="nil"/>
        </w:pBdr>
        <w:spacing w:before="0" w:beforeAutospacing="0" w:after="0" w:afterAutospacing="0"/>
        <w:ind w:left="426" w:hanging="426"/>
        <w:jc w:val="both"/>
        <w:rPr>
          <w:sz w:val="20"/>
          <w:szCs w:val="20"/>
          <w:lang w:val="uk-UA"/>
        </w:rPr>
      </w:pPr>
      <w:r w:rsidRPr="00B814A8">
        <w:rPr>
          <w:sz w:val="20"/>
          <w:szCs w:val="20"/>
        </w:rPr>
        <w:t xml:space="preserve">[2] X. Li, J. Wang, X. Zhang, and Y. Liu, “Thermo-economic modelling and multi-objective optimization of organic Rankine cycles using R1233zd(E) as a working fluid,” </w:t>
      </w:r>
      <w:r w:rsidRPr="00B814A8">
        <w:rPr>
          <w:rStyle w:val="ad"/>
          <w:sz w:val="20"/>
          <w:szCs w:val="20"/>
        </w:rPr>
        <w:t>Appl. Energy</w:t>
      </w:r>
      <w:r w:rsidRPr="00B814A8">
        <w:rPr>
          <w:sz w:val="20"/>
          <w:szCs w:val="20"/>
        </w:rPr>
        <w:t xml:space="preserve"> </w:t>
      </w:r>
      <w:r w:rsidRPr="00B814A8">
        <w:rPr>
          <w:rStyle w:val="ac"/>
          <w:sz w:val="20"/>
          <w:szCs w:val="20"/>
        </w:rPr>
        <w:t>285</w:t>
      </w:r>
      <w:r w:rsidRPr="00B814A8">
        <w:rPr>
          <w:sz w:val="20"/>
          <w:szCs w:val="20"/>
        </w:rPr>
        <w:t xml:space="preserve">, 116460 (2025). </w:t>
      </w:r>
      <w:hyperlink r:id="rId9" w:tgtFrame="_new" w:history="1">
        <w:r w:rsidRPr="00B814A8">
          <w:rPr>
            <w:rStyle w:val="a9"/>
            <w:rFonts w:eastAsiaTheme="majorEastAsia"/>
            <w:sz w:val="20"/>
            <w:szCs w:val="20"/>
          </w:rPr>
          <w:t>https://doi.org/10.1016/j.apenergy.2020.116460</w:t>
        </w:r>
      </w:hyperlink>
    </w:p>
    <w:p w14:paraId="5EEBC2A7" w14:textId="77777777" w:rsidR="00B814A8" w:rsidRDefault="00B814A8" w:rsidP="00B814A8">
      <w:pPr>
        <w:pStyle w:val="ab"/>
        <w:pBdr>
          <w:top w:val="nil"/>
          <w:left w:val="nil"/>
          <w:bottom w:val="nil"/>
          <w:right w:val="nil"/>
          <w:between w:val="nil"/>
        </w:pBdr>
        <w:spacing w:before="0" w:beforeAutospacing="0" w:after="0" w:afterAutospacing="0"/>
        <w:ind w:left="426" w:hanging="426"/>
        <w:jc w:val="both"/>
        <w:rPr>
          <w:rStyle w:val="ms-1"/>
          <w:rFonts w:eastAsiaTheme="majorEastAsia"/>
          <w:sz w:val="20"/>
          <w:szCs w:val="20"/>
          <w:lang w:val="uk-UA"/>
        </w:rPr>
      </w:pPr>
      <w:r w:rsidRPr="00B814A8">
        <w:rPr>
          <w:sz w:val="20"/>
          <w:szCs w:val="20"/>
        </w:rPr>
        <w:t xml:space="preserve">[3] A. </w:t>
      </w:r>
      <w:proofErr w:type="spellStart"/>
      <w:r w:rsidRPr="00B814A8">
        <w:rPr>
          <w:sz w:val="20"/>
          <w:szCs w:val="20"/>
        </w:rPr>
        <w:t>Redko</w:t>
      </w:r>
      <w:proofErr w:type="spellEnd"/>
      <w:r w:rsidRPr="00B814A8">
        <w:rPr>
          <w:sz w:val="20"/>
          <w:szCs w:val="20"/>
        </w:rPr>
        <w:t xml:space="preserve">, O. </w:t>
      </w:r>
      <w:proofErr w:type="spellStart"/>
      <w:r w:rsidRPr="00B814A8">
        <w:rPr>
          <w:sz w:val="20"/>
          <w:szCs w:val="20"/>
        </w:rPr>
        <w:t>Redko</w:t>
      </w:r>
      <w:proofErr w:type="spellEnd"/>
      <w:r w:rsidRPr="00B814A8">
        <w:rPr>
          <w:sz w:val="20"/>
          <w:szCs w:val="20"/>
        </w:rPr>
        <w:t xml:space="preserve">, and R. </w:t>
      </w:r>
      <w:proofErr w:type="spellStart"/>
      <w:r w:rsidRPr="00B814A8">
        <w:rPr>
          <w:sz w:val="20"/>
          <w:szCs w:val="20"/>
        </w:rPr>
        <w:t>DiPippo</w:t>
      </w:r>
      <w:proofErr w:type="spellEnd"/>
      <w:r w:rsidRPr="00B814A8">
        <w:rPr>
          <w:sz w:val="20"/>
          <w:szCs w:val="20"/>
        </w:rPr>
        <w:t xml:space="preserve">, </w:t>
      </w:r>
      <w:r w:rsidRPr="00B814A8">
        <w:rPr>
          <w:rStyle w:val="ad"/>
          <w:b/>
          <w:bCs/>
          <w:sz w:val="20"/>
          <w:szCs w:val="20"/>
        </w:rPr>
        <w:t>Low-Temperature Energy Systems with Applications of Renewable Energy</w:t>
      </w:r>
      <w:r w:rsidRPr="00B814A8">
        <w:rPr>
          <w:sz w:val="20"/>
          <w:szCs w:val="20"/>
        </w:rPr>
        <w:t xml:space="preserve"> (Academic Press, Oxford, England, 2019), 394 pp. </w:t>
      </w:r>
      <w:hyperlink r:id="rId10" w:tgtFrame="_blank" w:history="1">
        <w:r w:rsidRPr="00B814A8">
          <w:rPr>
            <w:rStyle w:val="max-w-15ch"/>
            <w:color w:val="0000FF"/>
            <w:sz w:val="20"/>
            <w:szCs w:val="20"/>
            <w:u w:val="single"/>
          </w:rPr>
          <w:t>shop.elsevier.com</w:t>
        </w:r>
      </w:hyperlink>
    </w:p>
    <w:p w14:paraId="0A3171A5" w14:textId="77777777" w:rsidR="00B814A8" w:rsidRDefault="00B814A8" w:rsidP="00B814A8">
      <w:pPr>
        <w:pStyle w:val="ab"/>
        <w:pBdr>
          <w:top w:val="nil"/>
          <w:left w:val="nil"/>
          <w:bottom w:val="nil"/>
          <w:right w:val="nil"/>
          <w:between w:val="nil"/>
        </w:pBdr>
        <w:spacing w:before="0" w:beforeAutospacing="0" w:after="0" w:afterAutospacing="0"/>
        <w:ind w:left="426" w:hanging="426"/>
        <w:jc w:val="both"/>
        <w:rPr>
          <w:sz w:val="20"/>
          <w:szCs w:val="20"/>
          <w:lang w:val="uk-UA"/>
        </w:rPr>
      </w:pPr>
      <w:r w:rsidRPr="00B814A8">
        <w:rPr>
          <w:sz w:val="20"/>
          <w:szCs w:val="20"/>
        </w:rPr>
        <w:t xml:space="preserve">[4] E. </w:t>
      </w:r>
      <w:proofErr w:type="spellStart"/>
      <w:r w:rsidRPr="00B814A8">
        <w:rPr>
          <w:sz w:val="20"/>
          <w:szCs w:val="20"/>
        </w:rPr>
        <w:t>Machi</w:t>
      </w:r>
      <w:proofErr w:type="spellEnd"/>
      <w:r w:rsidRPr="00B814A8">
        <w:rPr>
          <w:sz w:val="20"/>
          <w:szCs w:val="20"/>
        </w:rPr>
        <w:t xml:space="preserve"> and M. </w:t>
      </w:r>
      <w:proofErr w:type="spellStart"/>
      <w:r w:rsidRPr="00B814A8">
        <w:rPr>
          <w:sz w:val="20"/>
          <w:szCs w:val="20"/>
        </w:rPr>
        <w:t>Astolfi</w:t>
      </w:r>
      <w:proofErr w:type="spellEnd"/>
      <w:r w:rsidRPr="00B814A8">
        <w:rPr>
          <w:sz w:val="20"/>
          <w:szCs w:val="20"/>
        </w:rPr>
        <w:t xml:space="preserve">, </w:t>
      </w:r>
      <w:r w:rsidRPr="00B814A8">
        <w:rPr>
          <w:rStyle w:val="ad"/>
          <w:b/>
          <w:bCs/>
          <w:sz w:val="20"/>
          <w:szCs w:val="20"/>
        </w:rPr>
        <w:t>Organic Rankine Cycle (ORC) Power Systems: Technologies and Applications</w:t>
      </w:r>
      <w:r w:rsidRPr="00B814A8">
        <w:rPr>
          <w:sz w:val="20"/>
          <w:szCs w:val="20"/>
        </w:rPr>
        <w:t xml:space="preserve"> (Woodhead Publishing, 2017), 698 pp.</w:t>
      </w:r>
    </w:p>
    <w:p w14:paraId="40A2AC2C" w14:textId="77777777" w:rsidR="00B814A8" w:rsidRDefault="00B814A8" w:rsidP="00B814A8">
      <w:pPr>
        <w:pStyle w:val="ab"/>
        <w:pBdr>
          <w:top w:val="nil"/>
          <w:left w:val="nil"/>
          <w:bottom w:val="nil"/>
          <w:right w:val="nil"/>
          <w:between w:val="nil"/>
        </w:pBdr>
        <w:spacing w:before="0" w:beforeAutospacing="0" w:after="0" w:afterAutospacing="0"/>
        <w:ind w:left="426" w:hanging="426"/>
        <w:jc w:val="both"/>
        <w:rPr>
          <w:sz w:val="20"/>
          <w:szCs w:val="20"/>
          <w:lang w:val="uk-UA"/>
        </w:rPr>
      </w:pPr>
      <w:r w:rsidRPr="00B814A8">
        <w:rPr>
          <w:sz w:val="20"/>
          <w:szCs w:val="20"/>
        </w:rPr>
        <w:t xml:space="preserve">[5] S. </w:t>
      </w:r>
      <w:proofErr w:type="spellStart"/>
      <w:r w:rsidRPr="00B814A8">
        <w:rPr>
          <w:sz w:val="20"/>
          <w:szCs w:val="20"/>
        </w:rPr>
        <w:t>Lasala</w:t>
      </w:r>
      <w:proofErr w:type="spellEnd"/>
      <w:r w:rsidRPr="00B814A8">
        <w:rPr>
          <w:sz w:val="20"/>
          <w:szCs w:val="20"/>
        </w:rPr>
        <w:t xml:space="preserve">, </w:t>
      </w:r>
      <w:r w:rsidRPr="00B814A8">
        <w:rPr>
          <w:rStyle w:val="ad"/>
          <w:b/>
          <w:bCs/>
          <w:sz w:val="20"/>
          <w:szCs w:val="20"/>
        </w:rPr>
        <w:t>Organic Rankine Cycles for Waste Heat Recovery: Analysis and Applications</w:t>
      </w:r>
      <w:r w:rsidRPr="00B814A8">
        <w:rPr>
          <w:sz w:val="20"/>
          <w:szCs w:val="20"/>
        </w:rPr>
        <w:t xml:space="preserve"> (2020), 120 pp.</w:t>
      </w:r>
    </w:p>
    <w:p w14:paraId="357134E8" w14:textId="77777777" w:rsidR="00B814A8" w:rsidRDefault="00B814A8" w:rsidP="00B814A8">
      <w:pPr>
        <w:pStyle w:val="ab"/>
        <w:pBdr>
          <w:top w:val="nil"/>
          <w:left w:val="nil"/>
          <w:bottom w:val="nil"/>
          <w:right w:val="nil"/>
          <w:between w:val="nil"/>
        </w:pBdr>
        <w:spacing w:before="0" w:beforeAutospacing="0" w:after="0" w:afterAutospacing="0"/>
        <w:ind w:left="426" w:hanging="426"/>
        <w:jc w:val="both"/>
        <w:rPr>
          <w:sz w:val="20"/>
          <w:szCs w:val="20"/>
          <w:lang w:val="uk-UA"/>
        </w:rPr>
      </w:pPr>
      <w:proofErr w:type="gramStart"/>
      <w:r w:rsidRPr="00B814A8">
        <w:rPr>
          <w:sz w:val="20"/>
          <w:szCs w:val="20"/>
        </w:rPr>
        <w:t xml:space="preserve">[6] J. </w:t>
      </w:r>
      <w:proofErr w:type="spellStart"/>
      <w:r w:rsidRPr="00B814A8">
        <w:rPr>
          <w:sz w:val="20"/>
          <w:szCs w:val="20"/>
        </w:rPr>
        <w:t>Gulewicz</w:t>
      </w:r>
      <w:proofErr w:type="spellEnd"/>
      <w:r w:rsidRPr="00B814A8">
        <w:rPr>
          <w:sz w:val="20"/>
          <w:szCs w:val="20"/>
        </w:rPr>
        <w:t>, “</w:t>
      </w:r>
      <w:proofErr w:type="spellStart"/>
      <w:r w:rsidRPr="00B814A8">
        <w:rPr>
          <w:sz w:val="20"/>
          <w:szCs w:val="20"/>
        </w:rPr>
        <w:t>Nowe</w:t>
      </w:r>
      <w:proofErr w:type="spellEnd"/>
      <w:r w:rsidRPr="00B814A8">
        <w:rPr>
          <w:sz w:val="20"/>
          <w:szCs w:val="20"/>
        </w:rPr>
        <w:t xml:space="preserve"> </w:t>
      </w:r>
      <w:proofErr w:type="spellStart"/>
      <w:r w:rsidRPr="00B814A8">
        <w:rPr>
          <w:sz w:val="20"/>
          <w:szCs w:val="20"/>
        </w:rPr>
        <w:t>perspektywy</w:t>
      </w:r>
      <w:proofErr w:type="spellEnd"/>
      <w:r w:rsidRPr="00B814A8">
        <w:rPr>
          <w:sz w:val="20"/>
          <w:szCs w:val="20"/>
        </w:rPr>
        <w:t xml:space="preserve"> </w:t>
      </w:r>
      <w:proofErr w:type="spellStart"/>
      <w:r w:rsidRPr="00B814A8">
        <w:rPr>
          <w:sz w:val="20"/>
          <w:szCs w:val="20"/>
        </w:rPr>
        <w:t>dla</w:t>
      </w:r>
      <w:proofErr w:type="spellEnd"/>
      <w:r w:rsidRPr="00B814A8">
        <w:rPr>
          <w:sz w:val="20"/>
          <w:szCs w:val="20"/>
        </w:rPr>
        <w:t xml:space="preserve"> </w:t>
      </w:r>
      <w:proofErr w:type="spellStart"/>
      <w:r w:rsidRPr="00B814A8">
        <w:rPr>
          <w:sz w:val="20"/>
          <w:szCs w:val="20"/>
        </w:rPr>
        <w:t>geotermii</w:t>
      </w:r>
      <w:proofErr w:type="spellEnd"/>
      <w:r w:rsidRPr="00B814A8">
        <w:rPr>
          <w:sz w:val="20"/>
          <w:szCs w:val="20"/>
        </w:rPr>
        <w:t xml:space="preserve"> w </w:t>
      </w:r>
      <w:proofErr w:type="spellStart"/>
      <w:r w:rsidRPr="00B814A8">
        <w:rPr>
          <w:sz w:val="20"/>
          <w:szCs w:val="20"/>
        </w:rPr>
        <w:t>Polsce</w:t>
      </w:r>
      <w:proofErr w:type="spellEnd"/>
      <w:r w:rsidRPr="00B814A8">
        <w:rPr>
          <w:sz w:val="20"/>
          <w:szCs w:val="20"/>
        </w:rPr>
        <w:t xml:space="preserve">,” </w:t>
      </w:r>
      <w:r w:rsidRPr="00B814A8">
        <w:rPr>
          <w:rStyle w:val="ad"/>
          <w:sz w:val="20"/>
          <w:szCs w:val="20"/>
        </w:rPr>
        <w:t xml:space="preserve">Monitor </w:t>
      </w:r>
      <w:proofErr w:type="spellStart"/>
      <w:r w:rsidRPr="00B814A8">
        <w:rPr>
          <w:rStyle w:val="ad"/>
          <w:sz w:val="20"/>
          <w:szCs w:val="20"/>
        </w:rPr>
        <w:t>Rynkowy</w:t>
      </w:r>
      <w:proofErr w:type="spellEnd"/>
      <w:r w:rsidRPr="00B814A8">
        <w:rPr>
          <w:sz w:val="20"/>
          <w:szCs w:val="20"/>
        </w:rPr>
        <w:t>, 30 Sep. 2020.</w:t>
      </w:r>
      <w:proofErr w:type="gramEnd"/>
    </w:p>
    <w:p w14:paraId="7291ED42" w14:textId="77777777" w:rsidR="00B814A8" w:rsidRDefault="00B814A8" w:rsidP="00B814A8">
      <w:pPr>
        <w:pStyle w:val="ab"/>
        <w:pBdr>
          <w:top w:val="nil"/>
          <w:left w:val="nil"/>
          <w:bottom w:val="nil"/>
          <w:right w:val="nil"/>
          <w:between w:val="nil"/>
        </w:pBdr>
        <w:spacing w:before="0" w:beforeAutospacing="0" w:after="0" w:afterAutospacing="0"/>
        <w:ind w:left="426" w:hanging="426"/>
        <w:jc w:val="both"/>
        <w:rPr>
          <w:sz w:val="20"/>
          <w:szCs w:val="20"/>
          <w:lang w:val="uk-UA"/>
        </w:rPr>
      </w:pPr>
      <w:r w:rsidRPr="00B814A8">
        <w:rPr>
          <w:sz w:val="20"/>
          <w:szCs w:val="20"/>
        </w:rPr>
        <w:t xml:space="preserve">[7] T. </w:t>
      </w:r>
      <w:proofErr w:type="spellStart"/>
      <w:r w:rsidRPr="00B814A8">
        <w:rPr>
          <w:sz w:val="20"/>
          <w:szCs w:val="20"/>
        </w:rPr>
        <w:t>Mróz</w:t>
      </w:r>
      <w:proofErr w:type="spellEnd"/>
      <w:r w:rsidRPr="00B814A8">
        <w:rPr>
          <w:sz w:val="20"/>
          <w:szCs w:val="20"/>
        </w:rPr>
        <w:t xml:space="preserve"> and W. Grabowska, “Energy and ecological evaluation of ORC based geothermal CHP plant in Poland – a case study,” </w:t>
      </w:r>
      <w:r w:rsidRPr="00B814A8">
        <w:rPr>
          <w:rStyle w:val="ad"/>
          <w:sz w:val="20"/>
          <w:szCs w:val="20"/>
        </w:rPr>
        <w:t>Preprints</w:t>
      </w:r>
      <w:r w:rsidRPr="00B814A8">
        <w:rPr>
          <w:sz w:val="20"/>
          <w:szCs w:val="20"/>
        </w:rPr>
        <w:t xml:space="preserve"> 2019-100279 (2019). </w:t>
      </w:r>
      <w:hyperlink r:id="rId11" w:tgtFrame="_new" w:history="1">
        <w:r w:rsidRPr="00B814A8">
          <w:rPr>
            <w:rStyle w:val="a9"/>
            <w:rFonts w:eastAsiaTheme="majorEastAsia"/>
            <w:sz w:val="20"/>
            <w:szCs w:val="20"/>
          </w:rPr>
          <w:t>https://doi.org/10.20944/preprints201910.0279.v1</w:t>
        </w:r>
      </w:hyperlink>
    </w:p>
    <w:p w14:paraId="1501E15E" w14:textId="77777777" w:rsidR="00B814A8" w:rsidRDefault="00B814A8" w:rsidP="00B814A8">
      <w:pPr>
        <w:pStyle w:val="ab"/>
        <w:pBdr>
          <w:top w:val="nil"/>
          <w:left w:val="nil"/>
          <w:bottom w:val="nil"/>
          <w:right w:val="nil"/>
          <w:between w:val="nil"/>
        </w:pBdr>
        <w:spacing w:before="0" w:beforeAutospacing="0" w:after="0" w:afterAutospacing="0"/>
        <w:ind w:left="426" w:hanging="426"/>
        <w:jc w:val="both"/>
        <w:rPr>
          <w:sz w:val="20"/>
          <w:szCs w:val="20"/>
          <w:lang w:val="uk-UA"/>
        </w:rPr>
      </w:pPr>
      <w:proofErr w:type="gramStart"/>
      <w:r w:rsidRPr="00B814A8">
        <w:rPr>
          <w:sz w:val="20"/>
          <w:szCs w:val="20"/>
        </w:rPr>
        <w:t xml:space="preserve">[8] P. </w:t>
      </w:r>
      <w:proofErr w:type="spellStart"/>
      <w:r w:rsidRPr="00B814A8">
        <w:rPr>
          <w:sz w:val="20"/>
          <w:szCs w:val="20"/>
        </w:rPr>
        <w:t>Ziolkowski</w:t>
      </w:r>
      <w:proofErr w:type="spellEnd"/>
      <w:r w:rsidRPr="00B814A8">
        <w:rPr>
          <w:sz w:val="20"/>
          <w:szCs w:val="20"/>
        </w:rPr>
        <w:t xml:space="preserve"> </w:t>
      </w:r>
      <w:r w:rsidRPr="00B814A8">
        <w:rPr>
          <w:rStyle w:val="ad"/>
          <w:sz w:val="20"/>
          <w:szCs w:val="20"/>
        </w:rPr>
        <w:t>et al.</w:t>
      </w:r>
      <w:r w:rsidRPr="00B814A8">
        <w:rPr>
          <w:sz w:val="20"/>
          <w:szCs w:val="20"/>
        </w:rPr>
        <w:t xml:space="preserve">, “Different design aspects of an ORC turbine for electricity production using a geothermal binary power plant,” </w:t>
      </w:r>
      <w:r w:rsidRPr="00B814A8">
        <w:rPr>
          <w:rStyle w:val="ad"/>
          <w:sz w:val="20"/>
          <w:szCs w:val="20"/>
        </w:rPr>
        <w:t>Energy Convers.</w:t>
      </w:r>
      <w:proofErr w:type="gramEnd"/>
      <w:r w:rsidRPr="00B814A8">
        <w:rPr>
          <w:rStyle w:val="ad"/>
          <w:sz w:val="20"/>
          <w:szCs w:val="20"/>
        </w:rPr>
        <w:t xml:space="preserve"> Manage.</w:t>
      </w:r>
      <w:r w:rsidRPr="00B814A8">
        <w:rPr>
          <w:sz w:val="20"/>
          <w:szCs w:val="20"/>
        </w:rPr>
        <w:t xml:space="preserve"> </w:t>
      </w:r>
      <w:proofErr w:type="gramStart"/>
      <w:r w:rsidRPr="00B814A8">
        <w:rPr>
          <w:rStyle w:val="ac"/>
          <w:sz w:val="20"/>
          <w:szCs w:val="20"/>
        </w:rPr>
        <w:t>246</w:t>
      </w:r>
      <w:r w:rsidRPr="00B814A8">
        <w:rPr>
          <w:sz w:val="20"/>
          <w:szCs w:val="20"/>
        </w:rPr>
        <w:t>, 114672 (2021).</w:t>
      </w:r>
      <w:proofErr w:type="gramEnd"/>
      <w:r w:rsidRPr="00B814A8">
        <w:rPr>
          <w:sz w:val="20"/>
          <w:szCs w:val="20"/>
        </w:rPr>
        <w:t xml:space="preserve"> </w:t>
      </w:r>
      <w:hyperlink r:id="rId12" w:tgtFrame="_new" w:history="1">
        <w:r w:rsidRPr="00B814A8">
          <w:rPr>
            <w:rStyle w:val="a9"/>
            <w:rFonts w:eastAsiaTheme="majorEastAsia"/>
            <w:sz w:val="20"/>
            <w:szCs w:val="20"/>
          </w:rPr>
          <w:t>https://doi.org/10.1016/j.enconman.2021.114672</w:t>
        </w:r>
      </w:hyperlink>
    </w:p>
    <w:p w14:paraId="152D0EFB" w14:textId="77777777" w:rsidR="00B814A8" w:rsidRDefault="00B814A8" w:rsidP="00B814A8">
      <w:pPr>
        <w:pStyle w:val="ab"/>
        <w:pBdr>
          <w:top w:val="nil"/>
          <w:left w:val="nil"/>
          <w:bottom w:val="nil"/>
          <w:right w:val="nil"/>
          <w:between w:val="nil"/>
        </w:pBdr>
        <w:spacing w:before="0" w:beforeAutospacing="0" w:after="0" w:afterAutospacing="0"/>
        <w:ind w:left="426" w:hanging="426"/>
        <w:jc w:val="both"/>
        <w:rPr>
          <w:sz w:val="20"/>
          <w:szCs w:val="20"/>
          <w:lang w:val="uk-UA"/>
        </w:rPr>
      </w:pPr>
      <w:proofErr w:type="gramStart"/>
      <w:r w:rsidRPr="00B814A8">
        <w:rPr>
          <w:sz w:val="20"/>
          <w:szCs w:val="20"/>
        </w:rPr>
        <w:t xml:space="preserve">[9] R. </w:t>
      </w:r>
      <w:proofErr w:type="spellStart"/>
      <w:r w:rsidRPr="00B814A8">
        <w:rPr>
          <w:sz w:val="20"/>
          <w:szCs w:val="20"/>
        </w:rPr>
        <w:t>Vescovo</w:t>
      </w:r>
      <w:proofErr w:type="spellEnd"/>
      <w:r w:rsidRPr="00B814A8">
        <w:rPr>
          <w:sz w:val="20"/>
          <w:szCs w:val="20"/>
        </w:rPr>
        <w:t xml:space="preserve"> and E. </w:t>
      </w:r>
      <w:proofErr w:type="spellStart"/>
      <w:r w:rsidRPr="00B814A8">
        <w:rPr>
          <w:sz w:val="20"/>
          <w:szCs w:val="20"/>
        </w:rPr>
        <w:t>Spagnoli</w:t>
      </w:r>
      <w:proofErr w:type="spellEnd"/>
      <w:r w:rsidRPr="00B814A8">
        <w:rPr>
          <w:sz w:val="20"/>
          <w:szCs w:val="20"/>
        </w:rPr>
        <w:t xml:space="preserve">, “High temperature ORC systems,” </w:t>
      </w:r>
      <w:r w:rsidRPr="00B814A8">
        <w:rPr>
          <w:rStyle w:val="ad"/>
          <w:sz w:val="20"/>
          <w:szCs w:val="20"/>
        </w:rPr>
        <w:t>Energy Procedia</w:t>
      </w:r>
      <w:r w:rsidRPr="00B814A8">
        <w:rPr>
          <w:sz w:val="20"/>
          <w:szCs w:val="20"/>
        </w:rPr>
        <w:t xml:space="preserve"> </w:t>
      </w:r>
      <w:r w:rsidRPr="00B814A8">
        <w:rPr>
          <w:rStyle w:val="ac"/>
          <w:sz w:val="20"/>
          <w:szCs w:val="20"/>
        </w:rPr>
        <w:t>129</w:t>
      </w:r>
      <w:r w:rsidRPr="00B814A8">
        <w:rPr>
          <w:sz w:val="20"/>
          <w:szCs w:val="20"/>
        </w:rPr>
        <w:t>, 82–89 (2017).</w:t>
      </w:r>
      <w:proofErr w:type="gramEnd"/>
    </w:p>
    <w:p w14:paraId="20D3A7F2" w14:textId="77777777" w:rsidR="00B814A8" w:rsidRDefault="00B814A8" w:rsidP="00B814A8">
      <w:pPr>
        <w:pStyle w:val="ab"/>
        <w:pBdr>
          <w:top w:val="nil"/>
          <w:left w:val="nil"/>
          <w:bottom w:val="nil"/>
          <w:right w:val="nil"/>
          <w:between w:val="nil"/>
        </w:pBdr>
        <w:spacing w:before="0" w:beforeAutospacing="0" w:after="0" w:afterAutospacing="0"/>
        <w:ind w:left="426" w:hanging="426"/>
        <w:jc w:val="both"/>
        <w:rPr>
          <w:sz w:val="20"/>
          <w:szCs w:val="20"/>
          <w:lang w:val="uk-UA"/>
        </w:rPr>
      </w:pPr>
      <w:r w:rsidRPr="00B814A8">
        <w:rPr>
          <w:sz w:val="20"/>
          <w:szCs w:val="20"/>
        </w:rPr>
        <w:t xml:space="preserve">[10] P. </w:t>
      </w:r>
      <w:proofErr w:type="spellStart"/>
      <w:r w:rsidRPr="00B814A8">
        <w:rPr>
          <w:sz w:val="20"/>
          <w:szCs w:val="20"/>
        </w:rPr>
        <w:t>Klimaszewski</w:t>
      </w:r>
      <w:proofErr w:type="spellEnd"/>
      <w:r w:rsidRPr="00B814A8">
        <w:rPr>
          <w:sz w:val="20"/>
          <w:szCs w:val="20"/>
        </w:rPr>
        <w:t xml:space="preserve"> </w:t>
      </w:r>
      <w:r w:rsidRPr="00B814A8">
        <w:rPr>
          <w:rStyle w:val="ad"/>
          <w:sz w:val="20"/>
          <w:szCs w:val="20"/>
        </w:rPr>
        <w:t>et al.</w:t>
      </w:r>
      <w:r w:rsidRPr="00B814A8">
        <w:rPr>
          <w:sz w:val="20"/>
          <w:szCs w:val="20"/>
        </w:rPr>
        <w:t xml:space="preserve">, “A case study of working fluid selection for a small-scale waste heat recovery ORC system,” </w:t>
      </w:r>
      <w:r w:rsidRPr="00B814A8">
        <w:rPr>
          <w:rStyle w:val="ad"/>
          <w:sz w:val="20"/>
          <w:szCs w:val="20"/>
        </w:rPr>
        <w:t xml:space="preserve">Arch. </w:t>
      </w:r>
      <w:proofErr w:type="spellStart"/>
      <w:r w:rsidRPr="00B814A8">
        <w:rPr>
          <w:rStyle w:val="ad"/>
          <w:sz w:val="20"/>
          <w:szCs w:val="20"/>
        </w:rPr>
        <w:t>Thermodyn</w:t>
      </w:r>
      <w:proofErr w:type="spellEnd"/>
      <w:r w:rsidRPr="00B814A8">
        <w:rPr>
          <w:rStyle w:val="ad"/>
          <w:sz w:val="20"/>
          <w:szCs w:val="20"/>
        </w:rPr>
        <w:t>.</w:t>
      </w:r>
      <w:r w:rsidRPr="00B814A8">
        <w:rPr>
          <w:sz w:val="20"/>
          <w:szCs w:val="20"/>
        </w:rPr>
        <w:t xml:space="preserve"> </w:t>
      </w:r>
      <w:proofErr w:type="gramStart"/>
      <w:r w:rsidRPr="00B814A8">
        <w:rPr>
          <w:rStyle w:val="ac"/>
          <w:sz w:val="20"/>
          <w:szCs w:val="20"/>
        </w:rPr>
        <w:t>40</w:t>
      </w:r>
      <w:r w:rsidRPr="00B814A8">
        <w:rPr>
          <w:sz w:val="20"/>
          <w:szCs w:val="20"/>
        </w:rPr>
        <w:t>, 159–180 (2019).</w:t>
      </w:r>
      <w:proofErr w:type="gramEnd"/>
      <w:r w:rsidRPr="00B814A8">
        <w:rPr>
          <w:sz w:val="20"/>
          <w:szCs w:val="20"/>
        </w:rPr>
        <w:t xml:space="preserve"> </w:t>
      </w:r>
      <w:hyperlink r:id="rId13" w:tgtFrame="_new" w:history="1">
        <w:r w:rsidRPr="00B814A8">
          <w:rPr>
            <w:rStyle w:val="a9"/>
            <w:rFonts w:eastAsiaTheme="majorEastAsia"/>
            <w:sz w:val="20"/>
            <w:szCs w:val="20"/>
          </w:rPr>
          <w:t>https://doi.org/10.24425/athef.2019.129999</w:t>
        </w:r>
      </w:hyperlink>
    </w:p>
    <w:p w14:paraId="0C6C1CBF" w14:textId="77777777" w:rsidR="00B814A8" w:rsidRDefault="00B814A8" w:rsidP="00B814A8">
      <w:pPr>
        <w:pStyle w:val="ab"/>
        <w:pBdr>
          <w:top w:val="nil"/>
          <w:left w:val="nil"/>
          <w:bottom w:val="nil"/>
          <w:right w:val="nil"/>
          <w:between w:val="nil"/>
        </w:pBdr>
        <w:spacing w:before="0" w:beforeAutospacing="0" w:after="0" w:afterAutospacing="0"/>
        <w:ind w:left="426" w:hanging="426"/>
        <w:jc w:val="both"/>
        <w:rPr>
          <w:sz w:val="20"/>
          <w:szCs w:val="20"/>
          <w:lang w:val="uk-UA"/>
        </w:rPr>
      </w:pPr>
      <w:r w:rsidRPr="00B814A8">
        <w:rPr>
          <w:sz w:val="20"/>
          <w:szCs w:val="20"/>
        </w:rPr>
        <w:t xml:space="preserve">[11] T. Z. </w:t>
      </w:r>
      <w:proofErr w:type="spellStart"/>
      <w:r w:rsidRPr="00B814A8">
        <w:rPr>
          <w:sz w:val="20"/>
          <w:szCs w:val="20"/>
        </w:rPr>
        <w:t>Kaczmarczyk</w:t>
      </w:r>
      <w:proofErr w:type="spellEnd"/>
      <w:r w:rsidRPr="00B814A8">
        <w:rPr>
          <w:sz w:val="20"/>
          <w:szCs w:val="20"/>
        </w:rPr>
        <w:t xml:space="preserve"> and G. </w:t>
      </w:r>
      <w:proofErr w:type="spellStart"/>
      <w:r w:rsidRPr="00B814A8">
        <w:rPr>
          <w:sz w:val="20"/>
          <w:szCs w:val="20"/>
        </w:rPr>
        <w:t>Zywica</w:t>
      </w:r>
      <w:proofErr w:type="spellEnd"/>
      <w:r w:rsidRPr="00B814A8">
        <w:rPr>
          <w:sz w:val="20"/>
          <w:szCs w:val="20"/>
        </w:rPr>
        <w:t>, “Experimental study of a 1 kW high-speed ORC micro-</w:t>
      </w:r>
      <w:proofErr w:type="spellStart"/>
      <w:r w:rsidRPr="00B814A8">
        <w:rPr>
          <w:sz w:val="20"/>
          <w:szCs w:val="20"/>
        </w:rPr>
        <w:t>turbogenerator</w:t>
      </w:r>
      <w:proofErr w:type="spellEnd"/>
      <w:r w:rsidRPr="00B814A8">
        <w:rPr>
          <w:sz w:val="20"/>
          <w:szCs w:val="20"/>
        </w:rPr>
        <w:t xml:space="preserve"> under partial load,” </w:t>
      </w:r>
      <w:r w:rsidRPr="00B814A8">
        <w:rPr>
          <w:rStyle w:val="ad"/>
          <w:sz w:val="20"/>
          <w:szCs w:val="20"/>
        </w:rPr>
        <w:t>Energy Convers. Manage.</w:t>
      </w:r>
      <w:r w:rsidRPr="00B814A8">
        <w:rPr>
          <w:sz w:val="20"/>
          <w:szCs w:val="20"/>
        </w:rPr>
        <w:t xml:space="preserve"> </w:t>
      </w:r>
      <w:proofErr w:type="gramStart"/>
      <w:r w:rsidRPr="00B814A8">
        <w:rPr>
          <w:rStyle w:val="ac"/>
          <w:sz w:val="20"/>
          <w:szCs w:val="20"/>
        </w:rPr>
        <w:t>272</w:t>
      </w:r>
      <w:r w:rsidRPr="00B814A8">
        <w:rPr>
          <w:sz w:val="20"/>
          <w:szCs w:val="20"/>
        </w:rPr>
        <w:t>, 116381 (2022).</w:t>
      </w:r>
      <w:proofErr w:type="gramEnd"/>
    </w:p>
    <w:p w14:paraId="743D7C7E" w14:textId="77777777" w:rsidR="00B814A8" w:rsidRDefault="00B814A8" w:rsidP="00B814A8">
      <w:pPr>
        <w:pStyle w:val="ab"/>
        <w:pBdr>
          <w:top w:val="nil"/>
          <w:left w:val="nil"/>
          <w:bottom w:val="nil"/>
          <w:right w:val="nil"/>
          <w:between w:val="nil"/>
        </w:pBdr>
        <w:spacing w:before="0" w:beforeAutospacing="0" w:after="0" w:afterAutospacing="0"/>
        <w:ind w:left="426" w:hanging="426"/>
        <w:jc w:val="both"/>
        <w:rPr>
          <w:sz w:val="20"/>
          <w:szCs w:val="20"/>
          <w:lang w:val="uk-UA"/>
        </w:rPr>
      </w:pPr>
      <w:proofErr w:type="gramStart"/>
      <w:r w:rsidRPr="00B814A8">
        <w:rPr>
          <w:sz w:val="20"/>
          <w:szCs w:val="20"/>
        </w:rPr>
        <w:t xml:space="preserve">[12] M. </w:t>
      </w:r>
      <w:proofErr w:type="spellStart"/>
      <w:r w:rsidRPr="00B814A8">
        <w:rPr>
          <w:sz w:val="20"/>
          <w:szCs w:val="20"/>
        </w:rPr>
        <w:t>Shahrooz</w:t>
      </w:r>
      <w:proofErr w:type="spellEnd"/>
      <w:r w:rsidRPr="00B814A8">
        <w:rPr>
          <w:sz w:val="20"/>
          <w:szCs w:val="20"/>
        </w:rPr>
        <w:t xml:space="preserve">, P. </w:t>
      </w:r>
      <w:proofErr w:type="spellStart"/>
      <w:r w:rsidRPr="00B814A8">
        <w:rPr>
          <w:sz w:val="20"/>
          <w:szCs w:val="20"/>
        </w:rPr>
        <w:t>Lundqvist</w:t>
      </w:r>
      <w:proofErr w:type="spellEnd"/>
      <w:r w:rsidRPr="00B814A8">
        <w:rPr>
          <w:sz w:val="20"/>
          <w:szCs w:val="20"/>
        </w:rPr>
        <w:t xml:space="preserve">, and P. </w:t>
      </w:r>
      <w:proofErr w:type="spellStart"/>
      <w:r w:rsidRPr="00B814A8">
        <w:rPr>
          <w:sz w:val="20"/>
          <w:szCs w:val="20"/>
        </w:rPr>
        <w:t>Neksa</w:t>
      </w:r>
      <w:proofErr w:type="spellEnd"/>
      <w:r w:rsidRPr="00B814A8">
        <w:rPr>
          <w:sz w:val="20"/>
          <w:szCs w:val="20"/>
        </w:rPr>
        <w:t xml:space="preserve">, “Performance of binary zeotropic mixtures in organic Rankine cycles (ORC),” </w:t>
      </w:r>
      <w:r w:rsidRPr="00B814A8">
        <w:rPr>
          <w:rStyle w:val="ad"/>
          <w:sz w:val="20"/>
          <w:szCs w:val="20"/>
        </w:rPr>
        <w:t>Energy Convers.</w:t>
      </w:r>
      <w:proofErr w:type="gramEnd"/>
      <w:r w:rsidRPr="00B814A8">
        <w:rPr>
          <w:rStyle w:val="ad"/>
          <w:sz w:val="20"/>
          <w:szCs w:val="20"/>
        </w:rPr>
        <w:t xml:space="preserve"> Manage.</w:t>
      </w:r>
      <w:r w:rsidRPr="00B814A8">
        <w:rPr>
          <w:sz w:val="20"/>
          <w:szCs w:val="20"/>
        </w:rPr>
        <w:t xml:space="preserve"> </w:t>
      </w:r>
      <w:proofErr w:type="gramStart"/>
      <w:r w:rsidRPr="00B814A8">
        <w:rPr>
          <w:rStyle w:val="ac"/>
          <w:sz w:val="20"/>
          <w:szCs w:val="20"/>
        </w:rPr>
        <w:t>266</w:t>
      </w:r>
      <w:r w:rsidRPr="00B814A8">
        <w:rPr>
          <w:sz w:val="20"/>
          <w:szCs w:val="20"/>
        </w:rPr>
        <w:t>, 115783 (2022).</w:t>
      </w:r>
      <w:proofErr w:type="gramEnd"/>
    </w:p>
    <w:p w14:paraId="4EE7229B" w14:textId="77777777" w:rsidR="00B814A8" w:rsidRDefault="00B814A8" w:rsidP="00B814A8">
      <w:pPr>
        <w:pStyle w:val="ab"/>
        <w:pBdr>
          <w:top w:val="nil"/>
          <w:left w:val="nil"/>
          <w:bottom w:val="nil"/>
          <w:right w:val="nil"/>
          <w:between w:val="nil"/>
        </w:pBdr>
        <w:spacing w:before="0" w:beforeAutospacing="0" w:after="0" w:afterAutospacing="0"/>
        <w:ind w:left="426" w:hanging="426"/>
        <w:jc w:val="both"/>
        <w:rPr>
          <w:sz w:val="20"/>
          <w:szCs w:val="20"/>
          <w:lang w:val="uk-UA"/>
        </w:rPr>
      </w:pPr>
      <w:r w:rsidRPr="00B814A8">
        <w:rPr>
          <w:sz w:val="20"/>
          <w:szCs w:val="20"/>
        </w:rPr>
        <w:t xml:space="preserve">[13] G. Liao </w:t>
      </w:r>
      <w:r w:rsidRPr="00B814A8">
        <w:rPr>
          <w:rStyle w:val="ad"/>
          <w:sz w:val="20"/>
          <w:szCs w:val="20"/>
        </w:rPr>
        <w:t>et al.</w:t>
      </w:r>
      <w:r w:rsidRPr="00B814A8">
        <w:rPr>
          <w:sz w:val="20"/>
          <w:szCs w:val="20"/>
        </w:rPr>
        <w:t xml:space="preserve">, “Advanced exergy analysis for ORC-based layout to recover waste heat of flue gas,” </w:t>
      </w:r>
      <w:r w:rsidRPr="00B814A8">
        <w:rPr>
          <w:rStyle w:val="ad"/>
          <w:sz w:val="20"/>
          <w:szCs w:val="20"/>
        </w:rPr>
        <w:t>Appl. Energy</w:t>
      </w:r>
      <w:r w:rsidRPr="00B814A8">
        <w:rPr>
          <w:sz w:val="20"/>
          <w:szCs w:val="20"/>
        </w:rPr>
        <w:t xml:space="preserve"> </w:t>
      </w:r>
      <w:r w:rsidRPr="00B814A8">
        <w:rPr>
          <w:rStyle w:val="ac"/>
          <w:sz w:val="20"/>
          <w:szCs w:val="20"/>
        </w:rPr>
        <w:t>266</w:t>
      </w:r>
      <w:r w:rsidRPr="00B814A8">
        <w:rPr>
          <w:sz w:val="20"/>
          <w:szCs w:val="20"/>
        </w:rPr>
        <w:t>, 114891 (2020).</w:t>
      </w:r>
    </w:p>
    <w:p w14:paraId="1414EE02" w14:textId="77777777" w:rsidR="00B814A8" w:rsidRDefault="00B814A8" w:rsidP="00B814A8">
      <w:pPr>
        <w:pStyle w:val="ab"/>
        <w:pBdr>
          <w:top w:val="nil"/>
          <w:left w:val="nil"/>
          <w:bottom w:val="nil"/>
          <w:right w:val="nil"/>
          <w:between w:val="nil"/>
        </w:pBdr>
        <w:spacing w:before="0" w:beforeAutospacing="0" w:after="0" w:afterAutospacing="0"/>
        <w:ind w:left="426" w:hanging="426"/>
        <w:jc w:val="both"/>
        <w:rPr>
          <w:sz w:val="20"/>
          <w:szCs w:val="20"/>
          <w:lang w:val="uk-UA"/>
        </w:rPr>
      </w:pPr>
      <w:r w:rsidRPr="00B814A8">
        <w:rPr>
          <w:sz w:val="20"/>
          <w:szCs w:val="20"/>
        </w:rPr>
        <w:t xml:space="preserve">[14] Z. </w:t>
      </w:r>
      <w:proofErr w:type="spellStart"/>
      <w:r w:rsidRPr="00B814A8">
        <w:rPr>
          <w:sz w:val="20"/>
          <w:szCs w:val="20"/>
        </w:rPr>
        <w:t>Mohammadi</w:t>
      </w:r>
      <w:proofErr w:type="spellEnd"/>
      <w:r w:rsidRPr="00B814A8">
        <w:rPr>
          <w:sz w:val="20"/>
          <w:szCs w:val="20"/>
        </w:rPr>
        <w:t xml:space="preserve">, “Conventional and advanced exergy investigation of a double flash cycle integrated by absorption cooling, ORC, and TEG power system driven by geothermal energy,” </w:t>
      </w:r>
      <w:r w:rsidRPr="00B814A8">
        <w:rPr>
          <w:rStyle w:val="ad"/>
          <w:sz w:val="20"/>
          <w:szCs w:val="20"/>
        </w:rPr>
        <w:t>Energy</w:t>
      </w:r>
      <w:r w:rsidRPr="00B814A8">
        <w:rPr>
          <w:sz w:val="20"/>
          <w:szCs w:val="20"/>
        </w:rPr>
        <w:t xml:space="preserve"> </w:t>
      </w:r>
      <w:r w:rsidRPr="00B814A8">
        <w:rPr>
          <w:rStyle w:val="ac"/>
          <w:sz w:val="20"/>
          <w:szCs w:val="20"/>
        </w:rPr>
        <w:t>282</w:t>
      </w:r>
      <w:r w:rsidRPr="00B814A8">
        <w:rPr>
          <w:sz w:val="20"/>
          <w:szCs w:val="20"/>
        </w:rPr>
        <w:t>, 128372 (2023).</w:t>
      </w:r>
    </w:p>
    <w:p w14:paraId="0A7466B2" w14:textId="01FB711C" w:rsidR="00B814A8" w:rsidRPr="00B814A8" w:rsidRDefault="00B814A8" w:rsidP="00B814A8">
      <w:pPr>
        <w:pStyle w:val="ab"/>
        <w:pBdr>
          <w:top w:val="nil"/>
          <w:left w:val="nil"/>
          <w:bottom w:val="nil"/>
          <w:right w:val="nil"/>
          <w:between w:val="nil"/>
        </w:pBdr>
        <w:spacing w:before="0" w:beforeAutospacing="0" w:after="0" w:afterAutospacing="0"/>
        <w:ind w:left="426" w:hanging="426"/>
        <w:jc w:val="both"/>
        <w:rPr>
          <w:sz w:val="20"/>
          <w:szCs w:val="20"/>
          <w:lang w:val="en-US"/>
        </w:rPr>
      </w:pPr>
      <w:r w:rsidRPr="00B814A8">
        <w:rPr>
          <w:sz w:val="20"/>
          <w:szCs w:val="20"/>
        </w:rPr>
        <w:t xml:space="preserve">[15] B. </w:t>
      </w:r>
      <w:proofErr w:type="spellStart"/>
      <w:r w:rsidRPr="00B814A8">
        <w:rPr>
          <w:sz w:val="20"/>
          <w:szCs w:val="20"/>
        </w:rPr>
        <w:t>Jin</w:t>
      </w:r>
      <w:proofErr w:type="spellEnd"/>
      <w:r w:rsidRPr="00B814A8">
        <w:rPr>
          <w:sz w:val="20"/>
          <w:szCs w:val="20"/>
        </w:rPr>
        <w:t>, S. Liu, K. Xu, Q. Lu, and Y. Du, “</w:t>
      </w:r>
      <w:proofErr w:type="spellStart"/>
      <w:r w:rsidRPr="00B814A8">
        <w:rPr>
          <w:sz w:val="20"/>
          <w:szCs w:val="20"/>
        </w:rPr>
        <w:t>Thermophysical</w:t>
      </w:r>
      <w:proofErr w:type="spellEnd"/>
      <w:r w:rsidRPr="00B814A8">
        <w:rPr>
          <w:sz w:val="20"/>
          <w:szCs w:val="20"/>
        </w:rPr>
        <w:t xml:space="preserve"> properties in the Al–Cu–Ag system: A combined CALPHAD and first-principles study,” </w:t>
      </w:r>
      <w:r w:rsidRPr="00B814A8">
        <w:rPr>
          <w:rStyle w:val="ad"/>
          <w:sz w:val="20"/>
          <w:szCs w:val="20"/>
        </w:rPr>
        <w:t>J. Mol. Liq.</w:t>
      </w:r>
      <w:r w:rsidRPr="00B814A8">
        <w:rPr>
          <w:sz w:val="20"/>
          <w:szCs w:val="20"/>
        </w:rPr>
        <w:t xml:space="preserve"> </w:t>
      </w:r>
      <w:r w:rsidRPr="00B814A8">
        <w:rPr>
          <w:rStyle w:val="ac"/>
          <w:sz w:val="20"/>
          <w:szCs w:val="20"/>
        </w:rPr>
        <w:t>370</w:t>
      </w:r>
      <w:r w:rsidRPr="00B814A8">
        <w:rPr>
          <w:sz w:val="20"/>
          <w:szCs w:val="20"/>
        </w:rPr>
        <w:t xml:space="preserve">, 121001 (2023). </w:t>
      </w:r>
      <w:hyperlink r:id="rId14" w:tgtFrame="_new" w:history="1">
        <w:r w:rsidRPr="00B814A8">
          <w:rPr>
            <w:rStyle w:val="a9"/>
            <w:rFonts w:eastAsiaTheme="majorEastAsia"/>
            <w:sz w:val="20"/>
            <w:szCs w:val="20"/>
          </w:rPr>
          <w:t>https://doi.org/10.1016/j.molliq.2022.121001</w:t>
        </w:r>
      </w:hyperlink>
    </w:p>
    <w:sectPr w:rsidR="00B814A8" w:rsidRPr="00B814A8" w:rsidSect="00157ED1">
      <w:pgSz w:w="12240" w:h="15840" w:code="1"/>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091"/>
    <w:multiLevelType w:val="hybridMultilevel"/>
    <w:tmpl w:val="52CA9BC0"/>
    <w:lvl w:ilvl="0" w:tplc="BF800E7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DA1CFF"/>
    <w:multiLevelType w:val="multilevel"/>
    <w:tmpl w:val="2BB892C8"/>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AA17CE3"/>
    <w:multiLevelType w:val="hybridMultilevel"/>
    <w:tmpl w:val="4A342D44"/>
    <w:lvl w:ilvl="0" w:tplc="EBD030B2">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56320B32"/>
    <w:multiLevelType w:val="multilevel"/>
    <w:tmpl w:val="46DAA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20"/>
  <w:characterSpacingControl w:val="doNotCompress"/>
  <w:compat>
    <w:compatSetting w:name="compatibilityMode" w:uri="http://schemas.microsoft.com/office/word" w:val="14"/>
  </w:compat>
  <w:rsids>
    <w:rsidRoot w:val="00DA0753"/>
    <w:rsid w:val="000369F7"/>
    <w:rsid w:val="00040896"/>
    <w:rsid w:val="000F757B"/>
    <w:rsid w:val="00106F69"/>
    <w:rsid w:val="0013554F"/>
    <w:rsid w:val="00157ED1"/>
    <w:rsid w:val="00162A2A"/>
    <w:rsid w:val="001B166E"/>
    <w:rsid w:val="001D2C6A"/>
    <w:rsid w:val="001E5DBE"/>
    <w:rsid w:val="00211ABF"/>
    <w:rsid w:val="00216C55"/>
    <w:rsid w:val="002200CC"/>
    <w:rsid w:val="00237CB7"/>
    <w:rsid w:val="00255E07"/>
    <w:rsid w:val="002712D4"/>
    <w:rsid w:val="00271EF6"/>
    <w:rsid w:val="0027656E"/>
    <w:rsid w:val="00280AD0"/>
    <w:rsid w:val="002E4D98"/>
    <w:rsid w:val="00315FA0"/>
    <w:rsid w:val="00345474"/>
    <w:rsid w:val="003720E8"/>
    <w:rsid w:val="00384DE1"/>
    <w:rsid w:val="003A1A4A"/>
    <w:rsid w:val="003A2A89"/>
    <w:rsid w:val="00434606"/>
    <w:rsid w:val="00471453"/>
    <w:rsid w:val="004C7F73"/>
    <w:rsid w:val="004D6B01"/>
    <w:rsid w:val="005A493B"/>
    <w:rsid w:val="005B2AC4"/>
    <w:rsid w:val="005D277C"/>
    <w:rsid w:val="005E2E45"/>
    <w:rsid w:val="006263D1"/>
    <w:rsid w:val="00644E8D"/>
    <w:rsid w:val="00650C28"/>
    <w:rsid w:val="0067196E"/>
    <w:rsid w:val="00683CCA"/>
    <w:rsid w:val="006A09CE"/>
    <w:rsid w:val="006C6989"/>
    <w:rsid w:val="006D1B50"/>
    <w:rsid w:val="0070460A"/>
    <w:rsid w:val="00741149"/>
    <w:rsid w:val="00763362"/>
    <w:rsid w:val="007A6310"/>
    <w:rsid w:val="007C2403"/>
    <w:rsid w:val="00825448"/>
    <w:rsid w:val="00847411"/>
    <w:rsid w:val="00883EC0"/>
    <w:rsid w:val="008857F8"/>
    <w:rsid w:val="008A5658"/>
    <w:rsid w:val="009302CF"/>
    <w:rsid w:val="009737B6"/>
    <w:rsid w:val="0097718E"/>
    <w:rsid w:val="009822CB"/>
    <w:rsid w:val="009A0447"/>
    <w:rsid w:val="009D0D1A"/>
    <w:rsid w:val="009D5057"/>
    <w:rsid w:val="009E4B53"/>
    <w:rsid w:val="00A4105D"/>
    <w:rsid w:val="00A54DE9"/>
    <w:rsid w:val="00A7203A"/>
    <w:rsid w:val="00A801A8"/>
    <w:rsid w:val="00A9371E"/>
    <w:rsid w:val="00A967FA"/>
    <w:rsid w:val="00AC6D14"/>
    <w:rsid w:val="00AD1E69"/>
    <w:rsid w:val="00AE2F83"/>
    <w:rsid w:val="00AE7E50"/>
    <w:rsid w:val="00AF4B89"/>
    <w:rsid w:val="00AF665F"/>
    <w:rsid w:val="00AF7722"/>
    <w:rsid w:val="00B06DA4"/>
    <w:rsid w:val="00B06DEF"/>
    <w:rsid w:val="00B26C97"/>
    <w:rsid w:val="00B416A5"/>
    <w:rsid w:val="00B578E6"/>
    <w:rsid w:val="00B70039"/>
    <w:rsid w:val="00B814A8"/>
    <w:rsid w:val="00BA0993"/>
    <w:rsid w:val="00BA615E"/>
    <w:rsid w:val="00BD243C"/>
    <w:rsid w:val="00C24E3E"/>
    <w:rsid w:val="00C32190"/>
    <w:rsid w:val="00C808DA"/>
    <w:rsid w:val="00C96CFD"/>
    <w:rsid w:val="00CA4DB5"/>
    <w:rsid w:val="00CF42E2"/>
    <w:rsid w:val="00CF5677"/>
    <w:rsid w:val="00D10C52"/>
    <w:rsid w:val="00D52E87"/>
    <w:rsid w:val="00D739F3"/>
    <w:rsid w:val="00DA0753"/>
    <w:rsid w:val="00DA5923"/>
    <w:rsid w:val="00DA7527"/>
    <w:rsid w:val="00DC0879"/>
    <w:rsid w:val="00DE4A2B"/>
    <w:rsid w:val="00DF7908"/>
    <w:rsid w:val="00E1005F"/>
    <w:rsid w:val="00E20390"/>
    <w:rsid w:val="00E65C85"/>
    <w:rsid w:val="00E872B0"/>
    <w:rsid w:val="00E87C0B"/>
    <w:rsid w:val="00ED0E8E"/>
    <w:rsid w:val="00EE1038"/>
    <w:rsid w:val="00EF76C9"/>
    <w:rsid w:val="00F3394C"/>
    <w:rsid w:val="00F37157"/>
    <w:rsid w:val="00F43603"/>
    <w:rsid w:val="00F4761C"/>
    <w:rsid w:val="00F8067B"/>
    <w:rsid w:val="00FF2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rsid w:val="002B2F73"/>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2"/>
      </w:numPr>
      <w:ind w:left="426" w:hanging="426"/>
    </w:pPr>
  </w:style>
  <w:style w:type="paragraph" w:customStyle="1" w:styleId="FigureCaption">
    <w:name w:val="Figure Caption"/>
    <w:next w:val="Paragraph"/>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3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qFormat/>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34"/>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customStyle="1" w:styleId="IOP-CS-BodyNoIndent">
    <w:name w:val="IOP-CS-BodyNoIndent"/>
    <w:basedOn w:val="a"/>
    <w:next w:val="a"/>
    <w:link w:val="IOP-CS-BodyNoIndentChar"/>
    <w:qFormat/>
    <w:rsid w:val="00B26C97"/>
    <w:pPr>
      <w:spacing w:line="259" w:lineRule="auto"/>
      <w:jc w:val="both"/>
    </w:pPr>
    <w:rPr>
      <w:rFonts w:ascii="Cambria" w:eastAsiaTheme="minorHAnsi" w:hAnsi="Cambria" w:cstheme="minorBidi"/>
      <w:kern w:val="2"/>
      <w:sz w:val="22"/>
      <w:szCs w:val="22"/>
      <w:lang w:val="en-GB" w:eastAsia="en-US"/>
      <w14:ligatures w14:val="standardContextual"/>
    </w:rPr>
  </w:style>
  <w:style w:type="character" w:customStyle="1" w:styleId="IOP-CS-BodyNoIndentChar">
    <w:name w:val="IOP-CS-BodyNoIndent Char"/>
    <w:basedOn w:val="a0"/>
    <w:link w:val="IOP-CS-BodyNoIndent"/>
    <w:rsid w:val="00B26C97"/>
    <w:rPr>
      <w:rFonts w:ascii="Cambria" w:eastAsiaTheme="minorHAnsi" w:hAnsi="Cambria" w:cstheme="minorBidi"/>
      <w:kern w:val="2"/>
      <w:sz w:val="22"/>
      <w:szCs w:val="22"/>
      <w:lang w:val="en-GB" w:eastAsia="en-US"/>
      <w14:ligatures w14:val="standardContextual"/>
    </w:rPr>
  </w:style>
  <w:style w:type="paragraph" w:customStyle="1" w:styleId="IOP-CS-TableLeftColumn">
    <w:name w:val="IOP-CS-TableLeftColumn"/>
    <w:basedOn w:val="a"/>
    <w:link w:val="IOP-CS-TableLeftColumnChar"/>
    <w:qFormat/>
    <w:rsid w:val="00B26C97"/>
    <w:rPr>
      <w:rFonts w:ascii="Cambria" w:hAnsi="Cambria" w:cs="Arial"/>
      <w:sz w:val="20"/>
      <w:lang w:val="en-GB" w:eastAsia="en-US"/>
    </w:rPr>
  </w:style>
  <w:style w:type="character" w:customStyle="1" w:styleId="IOP-CS-TableLeftColumnChar">
    <w:name w:val="IOP-CS-TableLeftColumn Char"/>
    <w:basedOn w:val="a0"/>
    <w:link w:val="IOP-CS-TableLeftColumn"/>
    <w:rsid w:val="00B26C97"/>
    <w:rPr>
      <w:rFonts w:ascii="Cambria" w:hAnsi="Cambria" w:cs="Arial"/>
      <w:sz w:val="20"/>
      <w:szCs w:val="20"/>
      <w:lang w:val="en-GB" w:eastAsia="en-US"/>
    </w:rPr>
  </w:style>
  <w:style w:type="character" w:customStyle="1" w:styleId="ms-1">
    <w:name w:val="ms-1"/>
    <w:basedOn w:val="a0"/>
    <w:rsid w:val="00B814A8"/>
  </w:style>
  <w:style w:type="character" w:customStyle="1" w:styleId="max-w-15ch">
    <w:name w:val="max-w-[15ch]"/>
    <w:basedOn w:val="a0"/>
    <w:rsid w:val="00B814A8"/>
  </w:style>
  <w:style w:type="character" w:customStyle="1" w:styleId="-me-1">
    <w:name w:val="-me-1"/>
    <w:basedOn w:val="a0"/>
    <w:rsid w:val="00B814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rsid w:val="002B2F73"/>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2"/>
      </w:numPr>
      <w:ind w:left="426" w:hanging="426"/>
    </w:pPr>
  </w:style>
  <w:style w:type="paragraph" w:customStyle="1" w:styleId="FigureCaption">
    <w:name w:val="Figure Caption"/>
    <w:next w:val="Paragraph"/>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3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qFormat/>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34"/>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customStyle="1" w:styleId="IOP-CS-BodyNoIndent">
    <w:name w:val="IOP-CS-BodyNoIndent"/>
    <w:basedOn w:val="a"/>
    <w:next w:val="a"/>
    <w:link w:val="IOP-CS-BodyNoIndentChar"/>
    <w:qFormat/>
    <w:rsid w:val="00B26C97"/>
    <w:pPr>
      <w:spacing w:line="259" w:lineRule="auto"/>
      <w:jc w:val="both"/>
    </w:pPr>
    <w:rPr>
      <w:rFonts w:ascii="Cambria" w:eastAsiaTheme="minorHAnsi" w:hAnsi="Cambria" w:cstheme="minorBidi"/>
      <w:kern w:val="2"/>
      <w:sz w:val="22"/>
      <w:szCs w:val="22"/>
      <w:lang w:val="en-GB" w:eastAsia="en-US"/>
      <w14:ligatures w14:val="standardContextual"/>
    </w:rPr>
  </w:style>
  <w:style w:type="character" w:customStyle="1" w:styleId="IOP-CS-BodyNoIndentChar">
    <w:name w:val="IOP-CS-BodyNoIndent Char"/>
    <w:basedOn w:val="a0"/>
    <w:link w:val="IOP-CS-BodyNoIndent"/>
    <w:rsid w:val="00B26C97"/>
    <w:rPr>
      <w:rFonts w:ascii="Cambria" w:eastAsiaTheme="minorHAnsi" w:hAnsi="Cambria" w:cstheme="minorBidi"/>
      <w:kern w:val="2"/>
      <w:sz w:val="22"/>
      <w:szCs w:val="22"/>
      <w:lang w:val="en-GB" w:eastAsia="en-US"/>
      <w14:ligatures w14:val="standardContextual"/>
    </w:rPr>
  </w:style>
  <w:style w:type="paragraph" w:customStyle="1" w:styleId="IOP-CS-TableLeftColumn">
    <w:name w:val="IOP-CS-TableLeftColumn"/>
    <w:basedOn w:val="a"/>
    <w:link w:val="IOP-CS-TableLeftColumnChar"/>
    <w:qFormat/>
    <w:rsid w:val="00B26C97"/>
    <w:rPr>
      <w:rFonts w:ascii="Cambria" w:hAnsi="Cambria" w:cs="Arial"/>
      <w:sz w:val="20"/>
      <w:lang w:val="en-GB" w:eastAsia="en-US"/>
    </w:rPr>
  </w:style>
  <w:style w:type="character" w:customStyle="1" w:styleId="IOP-CS-TableLeftColumnChar">
    <w:name w:val="IOP-CS-TableLeftColumn Char"/>
    <w:basedOn w:val="a0"/>
    <w:link w:val="IOP-CS-TableLeftColumn"/>
    <w:rsid w:val="00B26C97"/>
    <w:rPr>
      <w:rFonts w:ascii="Cambria" w:hAnsi="Cambria" w:cs="Arial"/>
      <w:sz w:val="20"/>
      <w:szCs w:val="20"/>
      <w:lang w:val="en-GB" w:eastAsia="en-US"/>
    </w:rPr>
  </w:style>
  <w:style w:type="character" w:customStyle="1" w:styleId="ms-1">
    <w:name w:val="ms-1"/>
    <w:basedOn w:val="a0"/>
    <w:rsid w:val="00B814A8"/>
  </w:style>
  <w:style w:type="character" w:customStyle="1" w:styleId="max-w-15ch">
    <w:name w:val="max-w-[15ch]"/>
    <w:basedOn w:val="a0"/>
    <w:rsid w:val="00B814A8"/>
  </w:style>
  <w:style w:type="character" w:customStyle="1" w:styleId="-me-1">
    <w:name w:val="-me-1"/>
    <w:basedOn w:val="a0"/>
    <w:rsid w:val="00B81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960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hop.elsevier.com/books/geothermal-power-plants/dipippo/978-0-08-100879-9?utm_source=chatgpt.com" TargetMode="External"/><Relationship Id="rId13" Type="http://schemas.openxmlformats.org/officeDocument/2006/relationships/hyperlink" Target="https://doi.org/10.24425/athef.2019.129999"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doi.org/10.1016/j.enconman.2021.1146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0944/preprints201910.0279.v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hop.elsevier.com/books/low-temperature-energy-systems-with-applications-of-renewable-energy/redko/978-0-12-816249-1?utm_source=chatgpt.com" TargetMode="External"/><Relationship Id="rId4" Type="http://schemas.microsoft.com/office/2007/relationships/stylesWithEffects" Target="stylesWithEffects.xml"/><Relationship Id="rId9" Type="http://schemas.openxmlformats.org/officeDocument/2006/relationships/hyperlink" Target="https://doi.org/10.1016/j.apenergy.2020.116460" TargetMode="External"/><Relationship Id="rId14" Type="http://schemas.openxmlformats.org/officeDocument/2006/relationships/hyperlink" Target="https://doi.org/10.1016/j.molliq.2022.12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IsHrP4hS87haXl0Yk4nvNXEbKQ==">CgMxLjAaDQoBMBIICgYIBTICCAEaIwoBMRIeChwIB0IYCg9UaW1lcyBOZXcgUm9tYW4SBUNhcmRvGhQKATISDwoNCAdCCRIHR3VuZ3N1aDIIaC5namRneHMyCWguMzBqMHpsbDgAciExS2RyR1JReE5wVEliVGRGOFo1S3RsNDlEbkU3RnRIS18=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4558</Words>
  <Characters>25983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VolodimyrSSD</cp:lastModifiedBy>
  <cp:revision>22</cp:revision>
  <dcterms:created xsi:type="dcterms:W3CDTF">2025-10-01T11:37:00Z</dcterms:created>
  <dcterms:modified xsi:type="dcterms:W3CDTF">2025-11-20T08:10:00Z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