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5BC" w:rsidRPr="00D56FC8" w:rsidRDefault="00F775BC">
      <w:pPr>
        <w:widowControl w:val="0"/>
        <w:spacing w:before="1200"/>
        <w:jc w:val="center"/>
        <w:rPr>
          <w:rFonts w:eastAsia="Times New Roman"/>
          <w:b/>
          <w:color w:val="000000"/>
          <w:sz w:val="36"/>
          <w:szCs w:val="36"/>
          <w:lang w:val="en-US"/>
        </w:rPr>
      </w:pPr>
      <w:bookmarkStart w:id="0" w:name="_GoBack"/>
      <w:bookmarkEnd w:id="0"/>
      <w:r w:rsidRPr="00D56FC8">
        <w:rPr>
          <w:rFonts w:eastAsia="Times New Roman"/>
          <w:b/>
          <w:color w:val="000000"/>
          <w:sz w:val="36"/>
          <w:szCs w:val="36"/>
          <w:lang w:val="en-US"/>
        </w:rPr>
        <w:t>Development of the Ecological, Energy and Economic Efficiency Index of Firefighting and Emergency-Rescue Vehicles Exploitation Process and Selection of a Rational Way to Take into Account the Phenomenon of Inflation when Determining its Monetary Components</w:t>
      </w:r>
    </w:p>
    <w:p w:rsidR="00F775BC" w:rsidRPr="00D56FC8" w:rsidRDefault="00F775BC">
      <w:pPr>
        <w:widowControl w:val="0"/>
        <w:spacing w:before="360" w:after="360"/>
        <w:jc w:val="center"/>
        <w:rPr>
          <w:color w:val="000000"/>
          <w:sz w:val="28"/>
          <w:szCs w:val="28"/>
          <w:lang w:val="en-US"/>
        </w:rPr>
      </w:pPr>
      <w:r w:rsidRPr="00D56FC8">
        <w:rPr>
          <w:color w:val="000000"/>
          <w:sz w:val="28"/>
          <w:szCs w:val="28"/>
          <w:lang w:val="en-US"/>
        </w:rPr>
        <w:t>Oleksandr Kondratenko</w:t>
      </w:r>
      <w:r w:rsidRPr="00D56FC8">
        <w:rPr>
          <w:color w:val="000000"/>
          <w:sz w:val="28"/>
          <w:szCs w:val="28"/>
          <w:vertAlign w:val="superscript"/>
          <w:lang w:val="en-US"/>
        </w:rPr>
        <w:t>1, a)</w:t>
      </w:r>
      <w:r w:rsidRPr="00D56FC8">
        <w:rPr>
          <w:color w:val="000000"/>
          <w:sz w:val="28"/>
          <w:szCs w:val="28"/>
          <w:lang w:val="en-US"/>
        </w:rPr>
        <w:t>, Volodymyr Koloskov</w:t>
      </w:r>
      <w:r w:rsidRPr="00D56FC8">
        <w:rPr>
          <w:color w:val="000000"/>
          <w:sz w:val="28"/>
          <w:szCs w:val="28"/>
          <w:vertAlign w:val="superscript"/>
          <w:lang w:val="en-US"/>
        </w:rPr>
        <w:t>2</w:t>
      </w:r>
      <w:r w:rsidRPr="00D56FC8">
        <w:rPr>
          <w:color w:val="000000"/>
          <w:sz w:val="28"/>
          <w:szCs w:val="28"/>
          <w:lang w:val="en-US"/>
        </w:rPr>
        <w:t>, Hanna Koloskova</w:t>
      </w:r>
      <w:r w:rsidRPr="00D56FC8">
        <w:rPr>
          <w:color w:val="000000"/>
          <w:sz w:val="28"/>
          <w:szCs w:val="28"/>
          <w:vertAlign w:val="superscript"/>
          <w:lang w:val="en-US"/>
        </w:rPr>
        <w:t>3</w:t>
      </w:r>
      <w:r w:rsidRPr="00D56FC8">
        <w:rPr>
          <w:color w:val="000000"/>
          <w:sz w:val="28"/>
          <w:szCs w:val="28"/>
          <w:lang w:val="en-US"/>
        </w:rPr>
        <w:t xml:space="preserve">, </w:t>
      </w:r>
      <w:r w:rsidRPr="00D56FC8">
        <w:rPr>
          <w:color w:val="000000"/>
          <w:sz w:val="28"/>
          <w:szCs w:val="28"/>
          <w:lang w:val="en-US"/>
        </w:rPr>
        <w:br/>
        <w:t>Olha Lytvynenko</w:t>
      </w:r>
      <w:r w:rsidRPr="00D56FC8">
        <w:rPr>
          <w:color w:val="000000"/>
          <w:sz w:val="28"/>
          <w:szCs w:val="28"/>
          <w:vertAlign w:val="superscript"/>
          <w:lang w:val="en-US"/>
        </w:rPr>
        <w:t>4</w:t>
      </w:r>
      <w:r w:rsidRPr="00D56FC8">
        <w:rPr>
          <w:color w:val="000000"/>
          <w:sz w:val="28"/>
          <w:szCs w:val="28"/>
          <w:lang w:val="en-US"/>
        </w:rPr>
        <w:t>, Viacheslav Krasnov</w:t>
      </w:r>
      <w:r w:rsidRPr="00D56FC8">
        <w:rPr>
          <w:color w:val="000000"/>
          <w:sz w:val="28"/>
          <w:szCs w:val="28"/>
          <w:vertAlign w:val="superscript"/>
          <w:lang w:val="en-US"/>
        </w:rPr>
        <w:t>1</w:t>
      </w:r>
      <w:r w:rsidRPr="00D56FC8">
        <w:rPr>
          <w:color w:val="000000"/>
          <w:sz w:val="28"/>
          <w:szCs w:val="28"/>
          <w:lang w:val="en-US"/>
        </w:rPr>
        <w:t>, Dmytro Bogdan</w:t>
      </w:r>
      <w:r w:rsidRPr="00D56FC8">
        <w:rPr>
          <w:color w:val="000000"/>
          <w:sz w:val="28"/>
          <w:szCs w:val="28"/>
          <w:vertAlign w:val="superscript"/>
          <w:lang w:val="en-US"/>
        </w:rPr>
        <w:t>5</w:t>
      </w:r>
    </w:p>
    <w:p w:rsidR="00F775BC" w:rsidRPr="00D56FC8" w:rsidRDefault="00F775BC">
      <w:pPr>
        <w:widowControl w:val="0"/>
        <w:spacing w:before="360" w:after="360"/>
        <w:jc w:val="center"/>
        <w:rPr>
          <w:color w:val="000000"/>
          <w:sz w:val="28"/>
          <w:szCs w:val="28"/>
          <w:lang w:val="en-US"/>
        </w:rPr>
      </w:pPr>
      <w:r w:rsidRPr="00D56FC8">
        <w:rPr>
          <w:iCs/>
          <w:color w:val="000000"/>
          <w:sz w:val="20"/>
          <w:szCs w:val="20"/>
          <w:vertAlign w:val="superscript"/>
          <w:lang w:val="en-US"/>
        </w:rPr>
        <w:t>1</w:t>
      </w:r>
      <w:r w:rsidRPr="00D56FC8">
        <w:rPr>
          <w:i/>
          <w:iCs/>
          <w:color w:val="000000"/>
          <w:sz w:val="20"/>
          <w:szCs w:val="20"/>
          <w:lang w:val="en-US"/>
        </w:rPr>
        <w:t>National University of Civil Protection of Ukraine of SES of Ukraine, Department of Fire and Technogenic Safety of Objects and Technologies of Scientific and Educational Institute of Fire and Technogenic Safety, 18032, Cherkasy, Ukraine</w:t>
      </w:r>
      <w:r w:rsidRPr="00D56FC8">
        <w:rPr>
          <w:i/>
          <w:iCs/>
          <w:color w:val="000000"/>
          <w:sz w:val="20"/>
          <w:szCs w:val="20"/>
          <w:lang w:val="en-US"/>
        </w:rPr>
        <w:br/>
      </w:r>
      <w:r w:rsidRPr="00D56FC8">
        <w:rPr>
          <w:i/>
          <w:iCs/>
          <w:color w:val="000000"/>
          <w:sz w:val="20"/>
          <w:szCs w:val="20"/>
          <w:vertAlign w:val="superscript"/>
          <w:lang w:val="en-US"/>
        </w:rPr>
        <w:t>2</w:t>
      </w:r>
      <w:r w:rsidRPr="00D56FC8">
        <w:rPr>
          <w:i/>
          <w:iCs/>
          <w:color w:val="000000"/>
          <w:sz w:val="20"/>
          <w:szCs w:val="20"/>
          <w:lang w:val="en-US"/>
        </w:rPr>
        <w:t xml:space="preserve">National University of Civil Protection of Ukraine of SES of Ukraine, Department of State Supervision in the Field of Fire and Technogenic Safety of Scientific and Educational Institute of Fire and Technogenic Safety, 18032, Cherkasy, Ukraine </w:t>
      </w:r>
      <w:r w:rsidRPr="00D56FC8">
        <w:rPr>
          <w:i/>
          <w:iCs/>
          <w:color w:val="000000"/>
          <w:sz w:val="20"/>
          <w:szCs w:val="20"/>
          <w:lang w:val="en-US"/>
        </w:rPr>
        <w:br/>
      </w:r>
      <w:r w:rsidRPr="00D56FC8">
        <w:rPr>
          <w:iCs/>
          <w:color w:val="000000"/>
          <w:sz w:val="20"/>
          <w:szCs w:val="20"/>
          <w:vertAlign w:val="superscript"/>
          <w:lang w:val="en-US"/>
        </w:rPr>
        <w:t>3</w:t>
      </w:r>
      <w:r w:rsidRPr="00D56FC8">
        <w:rPr>
          <w:i/>
          <w:iCs/>
          <w:color w:val="000000"/>
          <w:sz w:val="20"/>
          <w:szCs w:val="20"/>
          <w:lang w:val="en-US"/>
        </w:rPr>
        <w:t>National Aerospace University «Kharkiv Aviation Institute» of MES of Ukraine, Department of Structures and Designing of Rocket Technique of the Faculty of Rocket and Space Engineering, 61070, Kharkiv, Ukraine</w:t>
      </w:r>
      <w:r w:rsidRPr="00D56FC8">
        <w:rPr>
          <w:i/>
          <w:iCs/>
          <w:color w:val="000000"/>
          <w:sz w:val="20"/>
          <w:szCs w:val="20"/>
          <w:lang w:val="en-US"/>
        </w:rPr>
        <w:br/>
      </w:r>
      <w:r w:rsidRPr="00D56FC8">
        <w:rPr>
          <w:iCs/>
          <w:color w:val="000000"/>
          <w:sz w:val="20"/>
          <w:szCs w:val="20"/>
          <w:vertAlign w:val="superscript"/>
          <w:lang w:val="en-US"/>
        </w:rPr>
        <w:t>4</w:t>
      </w:r>
      <w:r w:rsidRPr="00D56FC8">
        <w:rPr>
          <w:i/>
          <w:iCs/>
          <w:color w:val="000000"/>
          <w:sz w:val="20"/>
          <w:szCs w:val="20"/>
          <w:lang w:val="en-US"/>
        </w:rPr>
        <w:t>National University of Civil Protection of Ukraine of SES of Ukraine, Department of Language Training of Scientific and Educational Institute of Civil Protection, 18032, Cherkasy, Ukraine, 18032, Cherkasy, Ukraine</w:t>
      </w:r>
      <w:r w:rsidRPr="00D56FC8">
        <w:rPr>
          <w:i/>
          <w:iCs/>
          <w:color w:val="000000"/>
          <w:sz w:val="20"/>
          <w:szCs w:val="20"/>
          <w:lang w:val="en-US"/>
        </w:rPr>
        <w:br/>
      </w:r>
      <w:r w:rsidRPr="00D56FC8">
        <w:rPr>
          <w:iCs/>
          <w:color w:val="000000"/>
          <w:sz w:val="20"/>
          <w:szCs w:val="20"/>
          <w:vertAlign w:val="superscript"/>
          <w:lang w:val="en-US"/>
        </w:rPr>
        <w:t>5</w:t>
      </w:r>
      <w:r w:rsidRPr="00D56FC8">
        <w:rPr>
          <w:i/>
          <w:iCs/>
          <w:color w:val="000000"/>
          <w:sz w:val="20"/>
          <w:szCs w:val="20"/>
          <w:lang w:val="en-US"/>
        </w:rPr>
        <w:t>Kharkiv National Automobile and Highway University, of MES of Ukraine, Department of Machine Elements and Theory of Mechanisms and Machines of Automobile Engineering Faculty, 61002, Kharkiv, Ukraine</w:t>
      </w:r>
    </w:p>
    <w:p w:rsidR="00F775BC" w:rsidRPr="00D56FC8" w:rsidRDefault="00F775BC">
      <w:pPr>
        <w:widowControl w:val="0"/>
        <w:spacing w:before="360" w:after="360"/>
        <w:jc w:val="center"/>
        <w:rPr>
          <w:i/>
          <w:color w:val="000000"/>
          <w:sz w:val="20"/>
          <w:lang w:val="en-US"/>
        </w:rPr>
      </w:pPr>
      <w:r w:rsidRPr="00D56FC8">
        <w:rPr>
          <w:color w:val="000000"/>
          <w:sz w:val="20"/>
          <w:vertAlign w:val="superscript"/>
          <w:lang w:val="en-US"/>
        </w:rPr>
        <w:t>a)</w:t>
      </w:r>
      <w:r w:rsidRPr="00D56FC8">
        <w:rPr>
          <w:i/>
          <w:color w:val="000000"/>
          <w:sz w:val="20"/>
          <w:lang w:val="en-US"/>
        </w:rPr>
        <w:t xml:space="preserve"> Corresponding author: kondratenkoom2016@gmail.com</w:t>
      </w:r>
    </w:p>
    <w:p w:rsidR="00F775BC" w:rsidRPr="00D56FC8" w:rsidRDefault="00F775BC">
      <w:pPr>
        <w:widowControl w:val="0"/>
        <w:spacing w:before="360" w:after="360"/>
        <w:jc w:val="both"/>
        <w:rPr>
          <w:bCs/>
          <w:sz w:val="18"/>
          <w:szCs w:val="18"/>
          <w:lang w:val="en-US"/>
        </w:rPr>
      </w:pPr>
      <w:r w:rsidRPr="00D56FC8">
        <w:rPr>
          <w:b/>
          <w:iCs/>
          <w:color w:val="000000"/>
          <w:sz w:val="18"/>
          <w:szCs w:val="18"/>
          <w:lang w:val="en-US"/>
        </w:rPr>
        <w:t xml:space="preserve">Abstract. </w:t>
      </w:r>
      <w:r w:rsidRPr="00D56FC8">
        <w:rPr>
          <w:rFonts w:eastAsia="Times New Roman"/>
          <w:bCs/>
          <w:sz w:val="18"/>
          <w:szCs w:val="18"/>
          <w:lang w:val="en-US"/>
        </w:rPr>
        <w:t>The research deals with the selection of rational units of monetary equivalents expression of the fuel values and ecological damage costs in the structure of Prof. Igor Parsadanov’s complex fuel and ecological criterion as environmental safety level indicators of the exploitation process for emergency and rescue vehicles with reciprocating internal combustion engine.</w:t>
      </w:r>
      <w:r w:rsidRPr="00D56FC8">
        <w:rPr>
          <w:rFonts w:eastAsia="Times New Roman"/>
          <w:bCs/>
          <w:color w:val="000000"/>
          <w:sz w:val="18"/>
          <w:szCs w:val="18"/>
          <w:lang w:val="en-US"/>
        </w:rPr>
        <w:t xml:space="preserve"> The main results of the study have been obtained and substantiated through comparative calculations. To account for inflation, the use of the Consumer Price Index (</w:t>
      </w:r>
      <w:r w:rsidRPr="00D56FC8">
        <w:rPr>
          <w:rFonts w:eastAsia="Times New Roman"/>
          <w:bCs/>
          <w:i/>
          <w:iCs/>
          <w:color w:val="000000"/>
          <w:sz w:val="18"/>
          <w:szCs w:val="18"/>
          <w:lang w:val="en-US"/>
        </w:rPr>
        <w:t>CPI</w:t>
      </w:r>
      <w:r w:rsidRPr="00D56FC8">
        <w:rPr>
          <w:rFonts w:eastAsia="Times New Roman"/>
          <w:bCs/>
          <w:color w:val="000000"/>
          <w:sz w:val="18"/>
          <w:szCs w:val="18"/>
          <w:lang w:val="en-US"/>
        </w:rPr>
        <w:t xml:space="preserve">) was proposed, and the time-dependent dynamics of the US dollar </w:t>
      </w:r>
      <w:r w:rsidRPr="00D56FC8">
        <w:rPr>
          <w:rFonts w:eastAsia="Times New Roman"/>
          <w:bCs/>
          <w:i/>
          <w:iCs/>
          <w:color w:val="000000"/>
          <w:sz w:val="18"/>
          <w:szCs w:val="18"/>
          <w:lang w:val="en-US"/>
        </w:rPr>
        <w:t xml:space="preserve">CPI </w:t>
      </w:r>
      <w:r w:rsidRPr="00D56FC8">
        <w:rPr>
          <w:rFonts w:eastAsia="Times New Roman"/>
          <w:bCs/>
          <w:color w:val="000000"/>
          <w:sz w:val="18"/>
          <w:szCs w:val="18"/>
          <w:lang w:val="en-US"/>
        </w:rPr>
        <w:t xml:space="preserve">were approximated by a third-degree polynomial using the least squares method. Differences in the resulting monetary cost values can be interpreted as part of the methodological component of the systematic error associated with the application of this criterion. </w:t>
      </w:r>
      <w:r w:rsidRPr="00D56FC8">
        <w:rPr>
          <w:rFonts w:eastAsia="Times New Roman"/>
          <w:bCs/>
          <w:sz w:val="18"/>
          <w:szCs w:val="18"/>
          <w:lang w:val="en-US"/>
        </w:rPr>
        <w:t xml:space="preserve">A new vector-based approach for conducting a comprehensive, criteria-driven assessment of indicators reflecting the environmental sustainability level of the given process has been proposed, using the decarbonization index </w:t>
      </w:r>
      <w:r w:rsidRPr="00D56FC8">
        <w:rPr>
          <w:rFonts w:eastAsia="Times New Roman"/>
          <w:bCs/>
          <w:i/>
          <w:iCs/>
          <w:sz w:val="18"/>
          <w:szCs w:val="18"/>
          <w:lang w:val="en-US"/>
        </w:rPr>
        <w:t>DCI</w:t>
      </w:r>
      <w:r w:rsidRPr="00D56FC8">
        <w:rPr>
          <w:rFonts w:eastAsia="Times New Roman"/>
          <w:bCs/>
          <w:sz w:val="18"/>
          <w:szCs w:val="18"/>
          <w:lang w:val="en-US"/>
        </w:rPr>
        <w:t xml:space="preserve"> as its foundation.</w:t>
      </w:r>
      <w:r w:rsidRPr="00D56FC8">
        <w:rPr>
          <w:sz w:val="18"/>
          <w:szCs w:val="18"/>
          <w:lang w:val="en-US"/>
        </w:rPr>
        <w:t xml:space="preserve"> </w:t>
      </w:r>
      <w:r w:rsidRPr="00D56FC8">
        <w:rPr>
          <w:bCs/>
          <w:sz w:val="18"/>
          <w:szCs w:val="18"/>
          <w:lang w:val="en-US"/>
        </w:rPr>
        <w:t xml:space="preserve">It contains the RICE thermal pollution criterion </w:t>
      </w:r>
      <w:r w:rsidRPr="00D56FC8">
        <w:rPr>
          <w:bCs/>
          <w:i/>
          <w:iCs/>
          <w:sz w:val="18"/>
          <w:szCs w:val="18"/>
          <w:lang w:val="en-US"/>
        </w:rPr>
        <w:t>K</w:t>
      </w:r>
      <w:r w:rsidRPr="00D56FC8">
        <w:rPr>
          <w:bCs/>
          <w:sz w:val="18"/>
          <w:szCs w:val="18"/>
          <w:lang w:val="en-US"/>
        </w:rPr>
        <w:t xml:space="preserve"> in its structure, and enables obtaining the Index of Ecological, Energy and Economic Efficiency </w:t>
      </w:r>
      <w:r w:rsidRPr="00D56FC8">
        <w:rPr>
          <w:bCs/>
          <w:i/>
          <w:iCs/>
          <w:sz w:val="18"/>
          <w:szCs w:val="18"/>
          <w:lang w:val="en-US"/>
        </w:rPr>
        <w:t xml:space="preserve">4EI </w:t>
      </w:r>
      <w:r w:rsidRPr="00D56FC8">
        <w:rPr>
          <w:bCs/>
          <w:sz w:val="18"/>
          <w:szCs w:val="18"/>
          <w:lang w:val="en-US"/>
        </w:rPr>
        <w:t>as a mixed product of three vectors. One of them defines the cost equivalents while accounting for inflation. Specifically, it incorporates the product of the discount rates i2 and i4 as a function of CPI. This approach makes it possible, firstly, to account for current decarbonization trends, including the role of thermal energy and greenhouse gas emissions, and secondly, to perform assessments across all stages of the life cycle except the initial «Design and Production» stage.</w:t>
      </w:r>
    </w:p>
    <w:p w:rsidR="00F775BC" w:rsidRPr="00D56FC8" w:rsidRDefault="00F775BC">
      <w:pPr>
        <w:spacing w:before="360" w:after="360"/>
        <w:ind w:right="289"/>
        <w:jc w:val="both"/>
        <w:rPr>
          <w:color w:val="000000"/>
          <w:sz w:val="18"/>
          <w:szCs w:val="18"/>
          <w:lang w:val="en-US"/>
        </w:rPr>
      </w:pPr>
      <w:r w:rsidRPr="00D56FC8">
        <w:rPr>
          <w:b/>
          <w:color w:val="000000"/>
          <w:sz w:val="18"/>
          <w:szCs w:val="18"/>
          <w:lang w:val="en-US"/>
        </w:rPr>
        <w:t>Keywords:</w:t>
      </w:r>
      <w:r w:rsidRPr="00D56FC8">
        <w:rPr>
          <w:color w:val="000000"/>
          <w:sz w:val="18"/>
          <w:szCs w:val="18"/>
          <w:lang w:val="en-US"/>
        </w:rPr>
        <w:t xml:space="preserve"> Environment Protection Technologies, Power Plants, Reciprocating Internal Combustion Engines, Firefighting and Emergency-Rescue Vehicles, Criteria-Based Assessment, Motor Fuel Consumption, Monetary Equivalents, Inflation, Costumer Price Index, D</w:t>
      </w:r>
      <w:r w:rsidRPr="00D56FC8">
        <w:rPr>
          <w:bCs/>
          <w:color w:val="000000"/>
          <w:sz w:val="18"/>
          <w:szCs w:val="18"/>
          <w:lang w:val="en-US"/>
        </w:rPr>
        <w:t>iscount Rates</w:t>
      </w:r>
      <w:r w:rsidRPr="00D56FC8">
        <w:rPr>
          <w:color w:val="000000"/>
          <w:sz w:val="18"/>
          <w:szCs w:val="18"/>
          <w:lang w:val="en-US"/>
        </w:rPr>
        <w:t>.</w:t>
      </w:r>
    </w:p>
    <w:p w:rsidR="00F775BC" w:rsidRPr="00D56FC8" w:rsidRDefault="00F775BC">
      <w:pPr>
        <w:spacing w:before="360" w:after="360"/>
        <w:ind w:right="289"/>
        <w:jc w:val="both"/>
        <w:rPr>
          <w:color w:val="000000"/>
          <w:sz w:val="18"/>
          <w:szCs w:val="18"/>
          <w:lang w:val="en-US"/>
        </w:rPr>
      </w:pPr>
    </w:p>
    <w:p w:rsidR="00F775BC" w:rsidRPr="00D56FC8" w:rsidRDefault="00F775BC">
      <w:pPr>
        <w:widowControl w:val="0"/>
        <w:spacing w:before="360" w:after="360"/>
        <w:jc w:val="center"/>
        <w:rPr>
          <w:rFonts w:eastAsia="Calibri"/>
          <w:b/>
          <w:bCs/>
          <w:smallCaps/>
          <w:color w:val="000000"/>
          <w:lang w:val="en-US"/>
        </w:rPr>
      </w:pPr>
      <w:r w:rsidRPr="00D56FC8">
        <w:rPr>
          <w:rFonts w:eastAsia="Times New Roman"/>
          <w:b/>
          <w:color w:val="000000"/>
          <w:szCs w:val="20"/>
          <w:lang w:val="en-US"/>
        </w:rPr>
        <w:lastRenderedPageBreak/>
        <w:t>INTRODUCTION</w:t>
      </w:r>
    </w:p>
    <w:p w:rsidR="00F775BC" w:rsidRPr="00D56FC8" w:rsidRDefault="00F775BC">
      <w:pPr>
        <w:widowControl w:val="0"/>
        <w:ind w:firstLine="283"/>
        <w:jc w:val="both"/>
        <w:rPr>
          <w:rFonts w:eastAsia="Calibri"/>
          <w:color w:val="000000"/>
          <w:sz w:val="20"/>
          <w:szCs w:val="20"/>
          <w:lang w:val="en-US"/>
        </w:rPr>
      </w:pPr>
      <w:r w:rsidRPr="00D56FC8">
        <w:rPr>
          <w:rFonts w:eastAsia="Calibri"/>
          <w:sz w:val="20"/>
          <w:szCs w:val="20"/>
          <w:lang w:val="en-US"/>
        </w:rPr>
        <w:t xml:space="preserve">Ecological safety (ES) is an essential component of national security at both global and local scales. Its significance is primarily associated with the economic dimensions embedded within the complex, criteria-based assessment process. The core element of the final stage of the ecological safety management system (ESMS) constitutes a fundamental component of civil defense [1]. Accordingly, most management decisions within the sphere of civil defense are predicated upon the established methodological framework [2, 3] and </w:t>
      </w:r>
      <w:r w:rsidRPr="00D56FC8">
        <w:rPr>
          <w:rFonts w:eastAsia="Calibri"/>
          <w:color w:val="000000"/>
          <w:sz w:val="20"/>
          <w:szCs w:val="20"/>
          <w:lang w:val="en-US"/>
        </w:rPr>
        <w:t>basic principles</w:t>
      </w:r>
      <w:r w:rsidRPr="00D56FC8">
        <w:rPr>
          <w:lang w:val="en-US"/>
        </w:rPr>
        <w:t xml:space="preserve"> </w:t>
      </w:r>
      <w:r w:rsidRPr="00D56FC8">
        <w:rPr>
          <w:rFonts w:eastAsia="Calibri"/>
          <w:sz w:val="20"/>
          <w:szCs w:val="20"/>
          <w:lang w:val="en-US"/>
        </w:rPr>
        <w:t>of public administration [4].</w:t>
      </w:r>
      <w:r w:rsidRPr="00D56FC8">
        <w:rPr>
          <w:rFonts w:eastAsia="Calibri"/>
          <w:color w:val="000000"/>
          <w:sz w:val="20"/>
          <w:szCs w:val="20"/>
          <w:lang w:val="en-US"/>
        </w:rPr>
        <w:t xml:space="preserve"> The considerations described above determine relevance of the study. Also, the results of the study can be applied as the part of methodology to predict the prime cost of emergency and rescue vehicles with RICE exploitation process and lifetime duration of new units of emergency and rescue vehicles with reciprocating internal combustion engine (RICE) as for building structures of reinforced concretes in study [5], in particular when increasing the ES level of such technical facilities by transferring them to the consumption of alternative renewable motor fuels [6, 7].</w:t>
      </w:r>
    </w:p>
    <w:p w:rsidR="00F775BC" w:rsidRPr="0004059C" w:rsidRDefault="00F775BC">
      <w:pPr>
        <w:widowControl w:val="0"/>
        <w:ind w:firstLine="283"/>
        <w:jc w:val="both"/>
        <w:rPr>
          <w:sz w:val="20"/>
          <w:szCs w:val="20"/>
          <w:lang w:val="en-US"/>
        </w:rPr>
      </w:pPr>
      <w:r w:rsidRPr="0004059C">
        <w:rPr>
          <w:i/>
          <w:iCs/>
          <w:sz w:val="20"/>
          <w:szCs w:val="20"/>
          <w:lang w:val="en-US"/>
        </w:rPr>
        <w:t>Purpose of the study.</w:t>
      </w:r>
      <w:r w:rsidRPr="0004059C">
        <w:rPr>
          <w:sz w:val="20"/>
          <w:szCs w:val="20"/>
          <w:lang w:val="en-US"/>
        </w:rPr>
        <w:t xml:space="preserve"> Development of a calculation-based rationale for the selection of appropriate units to express the monetary components of the complex fuel-ecological criterion, employed for the assessment of environmental safety indicators in the operational processes of power plants (PP) equipped with reciprocating internal combustion engines (RICE). </w:t>
      </w:r>
      <w:r w:rsidRPr="0004059C">
        <w:rPr>
          <w:i/>
          <w:iCs/>
          <w:sz w:val="20"/>
          <w:szCs w:val="20"/>
          <w:lang w:val="en-US"/>
        </w:rPr>
        <w:t>Object of the study.</w:t>
      </w:r>
      <w:r w:rsidRPr="0004059C">
        <w:rPr>
          <w:sz w:val="20"/>
          <w:szCs w:val="20"/>
          <w:lang w:val="en-US"/>
        </w:rPr>
        <w:t xml:space="preserve"> Monetary components of ES indicators of PP with RICE exploitation process. </w:t>
      </w:r>
      <w:r w:rsidRPr="0004059C">
        <w:rPr>
          <w:i/>
          <w:iCs/>
          <w:sz w:val="20"/>
          <w:szCs w:val="20"/>
          <w:lang w:val="en-US"/>
        </w:rPr>
        <w:t>Subject of the study.</w:t>
      </w:r>
      <w:r w:rsidRPr="0004059C">
        <w:rPr>
          <w:sz w:val="20"/>
          <w:szCs w:val="20"/>
          <w:lang w:val="en-US"/>
        </w:rPr>
        <w:t xml:space="preserve"> Units for expressing the object of the study and methods for calculating the inflation in its quantitative indicators. </w:t>
      </w:r>
      <w:r w:rsidRPr="0004059C">
        <w:rPr>
          <w:i/>
          <w:iCs/>
          <w:sz w:val="20"/>
          <w:szCs w:val="20"/>
          <w:lang w:val="en-US"/>
        </w:rPr>
        <w:t xml:space="preserve">Tasks of the study: </w:t>
      </w:r>
      <w:r w:rsidRPr="0004059C">
        <w:rPr>
          <w:sz w:val="20"/>
          <w:szCs w:val="20"/>
          <w:lang w:val="en-US"/>
        </w:rPr>
        <w:t xml:space="preserve">1. Comprehensive review and analysis of specialized scientific, technical, normative, patent, and reference literature relevant to the study. 2. Analysis of mathematical apparatus of complex fuel-ecological criterion. 3. Analysis of the official exchange rate dynamics of the Ukrainian Hryvnia against the US Dollar during 1998–2016. 4. Examination of the mathematical methodology underlying the Consumer Price Index (CPI). 5. Conducting a calculation-based comparative study of various unit types for expressing monetary components across different historical periods. 6. Analysis, presentation, and interpretation of the results of the calculation-based comparative study. </w:t>
      </w:r>
      <w:r w:rsidRPr="0004059C">
        <w:rPr>
          <w:i/>
          <w:iCs/>
          <w:sz w:val="20"/>
          <w:szCs w:val="20"/>
          <w:lang w:val="en-US"/>
        </w:rPr>
        <w:t>Methods of the study.</w:t>
      </w:r>
      <w:r w:rsidRPr="0004059C">
        <w:rPr>
          <w:sz w:val="20"/>
          <w:szCs w:val="20"/>
          <w:lang w:val="en-US"/>
        </w:rPr>
        <w:t xml:space="preserve"> Analysis of specialized scientific and technical, normative, patent, and reference literature; refinement of the mathematical framework of the complex fuel-ecological criterion; examination of the mathematical methodology of the Consumer Price Index (CPI); and application of the least squares method. </w:t>
      </w:r>
      <w:r w:rsidRPr="0004059C">
        <w:rPr>
          <w:i/>
          <w:iCs/>
          <w:sz w:val="20"/>
          <w:szCs w:val="20"/>
          <w:lang w:val="en-US"/>
        </w:rPr>
        <w:t>Scientific novelty of results of the study.</w:t>
      </w:r>
      <w:r w:rsidRPr="0004059C">
        <w:rPr>
          <w:sz w:val="20"/>
          <w:szCs w:val="20"/>
          <w:lang w:val="en-US"/>
        </w:rPr>
        <w:t xml:space="preserve"> For the first time, a calculation-driven rationale has been developed for selecting appropriate units to express the monetary components of the complex fuel-ecological criterion, applied to the assessment of environmental safety indicators in the operation of power plants (PP) with reciprocating internal combustion engines (RICE), while accounting for inflation. </w:t>
      </w:r>
      <w:r w:rsidRPr="0004059C">
        <w:rPr>
          <w:i/>
          <w:iCs/>
          <w:sz w:val="20"/>
          <w:szCs w:val="20"/>
          <w:lang w:val="en-US"/>
        </w:rPr>
        <w:t>Practical value of results of the study.</w:t>
      </w:r>
      <w:r w:rsidRPr="0004059C">
        <w:rPr>
          <w:sz w:val="20"/>
          <w:szCs w:val="20"/>
          <w:lang w:val="en-US"/>
        </w:rPr>
        <w:t xml:space="preserve"> The application of the selected units of expression, in combination with an indicator of inflation, enables criteria-based assessments of objects across different models, varying technical conditions, diverse operational regions, and different historical periods.</w:t>
      </w:r>
    </w:p>
    <w:p w:rsidR="00F775BC" w:rsidRPr="00D56FC8" w:rsidRDefault="00F775BC">
      <w:pPr>
        <w:widowControl w:val="0"/>
        <w:spacing w:before="360" w:after="360"/>
        <w:jc w:val="center"/>
        <w:rPr>
          <w:rFonts w:eastAsia="Calibri"/>
          <w:b/>
          <w:bCs/>
          <w:smallCaps/>
          <w:lang w:val="en-US"/>
        </w:rPr>
      </w:pPr>
      <w:r w:rsidRPr="00D56FC8">
        <w:rPr>
          <w:rFonts w:eastAsia="Times New Roman"/>
          <w:b/>
          <w:szCs w:val="20"/>
          <w:lang w:val="en-US"/>
        </w:rPr>
        <w:t>ANALYSIS OF PUBLICATIONS</w:t>
      </w:r>
    </w:p>
    <w:p w:rsidR="00F775BC" w:rsidRPr="00D56FC8" w:rsidRDefault="00F775BC" w:rsidP="00D56FC8">
      <w:pPr>
        <w:pStyle w:val="a6"/>
        <w:widowControl w:val="0"/>
        <w:tabs>
          <w:tab w:val="clear" w:pos="288"/>
          <w:tab w:val="left" w:pos="546"/>
        </w:tabs>
        <w:suppressAutoHyphens/>
        <w:spacing w:after="0" w:line="240" w:lineRule="auto"/>
        <w:ind w:firstLineChars="242" w:firstLine="482"/>
      </w:pPr>
      <w:r w:rsidRPr="00D56FC8">
        <w:t xml:space="preserve">Among modern approaches to the comprehensive assessment of the operational efficiency of power plants (PP) with reciprocating internal combustion engines (RICE), including FERV units, several widely recognized methods simultaneously incorporate thermodynamic, economic, and environmental components and enable forecasting across the entire life cycle of such equipment, as described in the work [8]. These approaches provide a structured framework for evaluating multi-criteria performance, facilitating informed decision-making regarding design, operation, and maintenance strategies while accounting for both technical and ecological factors. These assessment methods typically integrate energy, exergy, and sustainability considerations, alongside exergoeconomic and ecological-economic analyses [9]. This approach also allows for the inclusion of alternative motor fuel consumption in the analysis, as illustrated in [10], the implementation of dual-fuel operation [11] and the rationale for its application [12], through the addition of hydrogen and ethanol to the fuel mixture [13], and for the broader transport subsector in a specific country, such as maritime transport in Ireland [14], biomass as a raw material for its production [15], biomethanol [16], biodiesel [17], mixtures of biodiesel and other non-traditional combustible liquids [18], by adding special additives to traditional fuels [19]. This approach enables the generalization of assessment results, for example, in relation to the life-cycle costs of fuel cells and hydrogen systems [20], as well as strategies for implementing hybrid drives in vehicles [21], the determination of alternative motor fuel types for the entire national market, as exemplified by England. [22], the payback period and profitability of biofuel utilization from the perspective of balancing environmental damage and associated costs [23]. The efficiency assessment of converting </w:t>
      </w:r>
      <w:r w:rsidRPr="00D56FC8">
        <w:lastRenderedPageBreak/>
        <w:t xml:space="preserve">large watercraft RICE from fossil fuels to hydrogen is presented in [24], and for the aircraft in [25]. Some of the more advanced assessment methodologies incorporate additional technical and operational parameters, including propeller (or vehicle tire) characteristics as well as maintenance and repair costs. This approach, illustrated by the case study of Sydney’s city bus fleet, enables a more holistic evaluation of operational efficiency and total lifecycle expenditures under real-world operating conditions. [26]. Sometimes, the complex assessment also simultaneously takes into account the parameters of traditional motor fuel and the logistical features of using PP with RICE, as in [27]. In addition, this integrated approach makes it possible to more accurately quantify greenhouse gas emissions, thereby enhancing the reliability of environmental impact assessments and supporting evidence-based decision-making for sustainable transport management [28]. Furthermore, these evaluation methods are widely employed to conduct comparative analyses of conventional mechanical and electrical energy sources </w:t>
      </w:r>
      <w:r w:rsidRPr="00D56FC8">
        <w:rPr>
          <w:color w:val="000000"/>
        </w:rPr>
        <w:t>–</w:t>
      </w:r>
      <w:r w:rsidRPr="00D56FC8">
        <w:t xml:space="preserve"> specifically internal combustion engines </w:t>
      </w:r>
      <w:r w:rsidRPr="00D56FC8">
        <w:rPr>
          <w:color w:val="000000"/>
        </w:rPr>
        <w:t>–</w:t>
      </w:r>
      <w:r w:rsidRPr="00D56FC8">
        <w:t xml:space="preserve"> against alternative technologies, including fuel cells, as demonstrated in the study [29]. They are also applied to the evaluation of specific operational subsystems, such as the takeoff and landing regimes of aviation reciprocating internal combustion engines (RICE), allowing for a more detailed analysis of performance under distinct flight conditions [30], the «electric» range of operation of RICE in a hybrid vehicle [31]. In such studies, artificial neural networks are already being actively employed, as described in the literature, to model complex nonlinear dependencies, improve predictive accuracy, and support the optimization of operational parameters [32].</w:t>
      </w:r>
    </w:p>
    <w:p w:rsidR="00F775BC" w:rsidRPr="00D56FC8" w:rsidRDefault="00F775BC">
      <w:pPr>
        <w:widowControl w:val="0"/>
        <w:spacing w:before="360" w:after="360"/>
        <w:jc w:val="center"/>
        <w:rPr>
          <w:rFonts w:eastAsia="Calibri"/>
          <w:b/>
          <w:bCs/>
          <w:smallCaps/>
          <w:color w:val="000000"/>
          <w:lang w:val="en-US"/>
        </w:rPr>
      </w:pPr>
      <w:r w:rsidRPr="00D56FC8">
        <w:rPr>
          <w:rFonts w:eastAsia="Times New Roman"/>
          <w:b/>
          <w:color w:val="000000"/>
          <w:szCs w:val="20"/>
          <w:lang w:val="en-US"/>
        </w:rPr>
        <w:t>METHODOLOGY</w:t>
      </w:r>
    </w:p>
    <w:p w:rsidR="00F775BC" w:rsidRPr="00D56FC8" w:rsidRDefault="00F775BC">
      <w:pPr>
        <w:widowControl w:val="0"/>
        <w:ind w:firstLine="283"/>
        <w:jc w:val="both"/>
        <w:rPr>
          <w:i/>
          <w:iCs/>
          <w:color w:val="000000"/>
          <w:sz w:val="20"/>
          <w:szCs w:val="20"/>
          <w:lang w:val="en-US"/>
        </w:rPr>
      </w:pPr>
      <w:r w:rsidRPr="00D56FC8">
        <w:rPr>
          <w:i/>
          <w:iCs/>
          <w:color w:val="000000"/>
          <w:sz w:val="20"/>
          <w:szCs w:val="20"/>
          <w:lang w:val="en-US"/>
        </w:rPr>
        <w:t>Analysis of mathematical apparatus of complex fuel-ecological criterion</w:t>
      </w:r>
    </w:p>
    <w:p w:rsidR="00F775BC" w:rsidRPr="0004059C" w:rsidRDefault="00F775BC">
      <w:pPr>
        <w:widowControl w:val="0"/>
        <w:ind w:firstLine="283"/>
        <w:jc w:val="both"/>
        <w:rPr>
          <w:color w:val="000000"/>
          <w:sz w:val="20"/>
          <w:szCs w:val="20"/>
          <w:lang w:val="en-US"/>
        </w:rPr>
      </w:pPr>
      <w:r w:rsidRPr="0004059C">
        <w:rPr>
          <w:color w:val="000000"/>
          <w:sz w:val="20"/>
          <w:szCs w:val="20"/>
          <w:lang w:val="en-US"/>
        </w:rPr>
        <w:t xml:space="preserve">A comprehensive criterion-based assessment of the qualitative and quantitative indicators that characterize the environmental safety (ES) level of the operational processes of power plants (PP) equipped with reciprocating internal combustion engines (RICE) </w:t>
      </w:r>
      <w:r w:rsidRPr="0004059C">
        <w:rPr>
          <w:color w:val="000000"/>
          <w:lang w:val="en-US"/>
        </w:rPr>
        <w:t>–</w:t>
      </w:r>
      <w:r w:rsidRPr="0004059C">
        <w:rPr>
          <w:color w:val="000000"/>
          <w:sz w:val="20"/>
          <w:szCs w:val="20"/>
          <w:lang w:val="en-US"/>
        </w:rPr>
        <w:t xml:space="preserve"> specifically firefighting and emergency-rescue vehicles (FERV) and other specialized equipment operated by the institutions and departments of the State Emergency Service (SES) of Ukraine </w:t>
      </w:r>
      <w:r w:rsidRPr="0004059C">
        <w:rPr>
          <w:color w:val="000000"/>
          <w:lang w:val="en-US"/>
        </w:rPr>
        <w:t>–</w:t>
      </w:r>
      <w:r w:rsidRPr="0004059C">
        <w:rPr>
          <w:color w:val="000000"/>
          <w:sz w:val="20"/>
          <w:szCs w:val="20"/>
          <w:lang w:val="en-US"/>
        </w:rPr>
        <w:t xml:space="preserve"> should be performed during their active duty cycles to ensure accurate monitoring and effective management of their environmental impact. This study proposes the application of Prof. Parsadanov’s (NTU «KPI») mathematical apparatus </w:t>
      </w:r>
      <w:r w:rsidRPr="0004059C">
        <w:rPr>
          <w:color w:val="000000"/>
          <w:lang w:val="en-US"/>
        </w:rPr>
        <w:t xml:space="preserve">– </w:t>
      </w:r>
      <w:r w:rsidRPr="0004059C">
        <w:rPr>
          <w:color w:val="000000"/>
          <w:sz w:val="20"/>
          <w:szCs w:val="20"/>
          <w:lang w:val="en-US"/>
        </w:rPr>
        <w:t xml:space="preserve">the complex fuel and ecological criterion </w:t>
      </w:r>
      <w:r w:rsidRPr="0004059C">
        <w:rPr>
          <w:i/>
          <w:iCs/>
          <w:color w:val="000000"/>
          <w:sz w:val="20"/>
          <w:szCs w:val="20"/>
          <w:lang w:val="en-US"/>
        </w:rPr>
        <w:t>K</w:t>
      </w:r>
      <w:r w:rsidRPr="0004059C">
        <w:rPr>
          <w:i/>
          <w:iCs/>
          <w:color w:val="000000"/>
          <w:sz w:val="20"/>
          <w:szCs w:val="20"/>
          <w:vertAlign w:val="subscript"/>
          <w:lang w:val="en-US"/>
        </w:rPr>
        <w:t>fe</w:t>
      </w:r>
      <w:r w:rsidRPr="0004059C">
        <w:rPr>
          <w:color w:val="000000"/>
          <w:sz w:val="20"/>
          <w:szCs w:val="20"/>
          <w:lang w:val="en-US"/>
        </w:rPr>
        <w:t xml:space="preserve"> (see formula (1)) </w:t>
      </w:r>
      <w:r w:rsidRPr="0004059C">
        <w:rPr>
          <w:color w:val="000000"/>
          <w:lang w:val="en-US"/>
        </w:rPr>
        <w:t xml:space="preserve">– </w:t>
      </w:r>
      <w:r w:rsidRPr="0004059C">
        <w:rPr>
          <w:color w:val="000000"/>
          <w:sz w:val="20"/>
          <w:szCs w:val="20"/>
          <w:lang w:val="en-US"/>
        </w:rPr>
        <w:t xml:space="preserve">which was developed on the basis of the </w:t>
      </w:r>
      <w:r w:rsidRPr="0004059C">
        <w:rPr>
          <w:i/>
          <w:iCs/>
          <w:color w:val="000000"/>
          <w:sz w:val="20"/>
          <w:szCs w:val="20"/>
          <w:lang w:val="en-US"/>
        </w:rPr>
        <w:t>Temporary Standard Methodology for Determining the Economic Efficiency of Environmental Protection Measures and Assessing the Economic Damage Caused to the National Economy by Environmental Pollution</w:t>
      </w:r>
      <w:r w:rsidRPr="0004059C">
        <w:rPr>
          <w:color w:val="000000"/>
          <w:sz w:val="20"/>
          <w:szCs w:val="20"/>
          <w:lang w:val="en-US"/>
        </w:rPr>
        <w:t xml:space="preserve"> (Bystrov A.S., Varankiv V.V., Vilensky M.A., et al., 1984). The theoretical foundations and practical use of this criterion have been further detailed in the literature [33] and improved in the research works [34, 35]. The main advantage of the </w:t>
      </w:r>
      <w:r w:rsidRPr="0004059C">
        <w:rPr>
          <w:i/>
          <w:iCs/>
          <w:color w:val="000000"/>
          <w:sz w:val="20"/>
          <w:szCs w:val="20"/>
          <w:lang w:val="en-US"/>
        </w:rPr>
        <w:t>K</w:t>
      </w:r>
      <w:r w:rsidRPr="0004059C">
        <w:rPr>
          <w:i/>
          <w:iCs/>
          <w:color w:val="000000"/>
          <w:sz w:val="20"/>
          <w:szCs w:val="20"/>
          <w:vertAlign w:val="subscript"/>
          <w:lang w:val="en-US"/>
        </w:rPr>
        <w:t>fe</w:t>
      </w:r>
      <w:r w:rsidRPr="0004059C">
        <w:rPr>
          <w:color w:val="000000"/>
          <w:sz w:val="20"/>
          <w:szCs w:val="20"/>
          <w:lang w:val="en-US"/>
        </w:rPr>
        <w:t xml:space="preserve"> criterion over alternative criterial mathematical apparatuses lies in the inclusion of physical parameters that possess direct monetary equivalents, namely: </w:t>
      </w:r>
      <w:r w:rsidRPr="0004059C">
        <w:rPr>
          <w:i/>
          <w:iCs/>
          <w:color w:val="000000"/>
          <w:sz w:val="20"/>
          <w:szCs w:val="20"/>
          <w:lang w:val="en-US"/>
        </w:rPr>
        <w:t>Z</w:t>
      </w:r>
      <w:r w:rsidRPr="0004059C">
        <w:rPr>
          <w:i/>
          <w:iCs/>
          <w:color w:val="000000"/>
          <w:sz w:val="20"/>
          <w:szCs w:val="20"/>
          <w:vertAlign w:val="subscript"/>
          <w:lang w:val="en-US"/>
        </w:rPr>
        <w:t>f</w:t>
      </w:r>
      <w:r w:rsidRPr="0004059C">
        <w:rPr>
          <w:color w:val="000000"/>
          <w:sz w:val="20"/>
          <w:szCs w:val="20"/>
          <w:lang w:val="en-US"/>
        </w:rPr>
        <w:t xml:space="preserve"> (in ₴/(kW∙h)) – monetary costs for consumed motor fuel, </w:t>
      </w:r>
      <w:r w:rsidRPr="0004059C">
        <w:rPr>
          <w:i/>
          <w:iCs/>
          <w:color w:val="000000"/>
          <w:sz w:val="20"/>
          <w:szCs w:val="20"/>
          <w:lang w:val="en-US"/>
        </w:rPr>
        <w:t>Z</w:t>
      </w:r>
      <w:r w:rsidRPr="0004059C">
        <w:rPr>
          <w:i/>
          <w:iCs/>
          <w:color w:val="000000"/>
          <w:sz w:val="20"/>
          <w:szCs w:val="20"/>
          <w:vertAlign w:val="subscript"/>
          <w:lang w:val="en-US"/>
        </w:rPr>
        <w:t>e</w:t>
      </w:r>
      <w:r w:rsidRPr="0004059C">
        <w:rPr>
          <w:color w:val="000000"/>
          <w:sz w:val="20"/>
          <w:szCs w:val="20"/>
          <w:lang w:val="en-US"/>
        </w:rPr>
        <w:t xml:space="preserve"> (in ₴/(kW∙h)) – the compensation for ecological damage to the environment and human health, and </w:t>
      </w:r>
      <w:r w:rsidRPr="0004059C">
        <w:rPr>
          <w:i/>
          <w:iCs/>
          <w:color w:val="000000"/>
          <w:sz w:val="20"/>
          <w:szCs w:val="20"/>
          <w:lang w:val="en-US"/>
        </w:rPr>
        <w:t>Z</w:t>
      </w:r>
      <w:r w:rsidRPr="0004059C">
        <w:rPr>
          <w:i/>
          <w:iCs/>
          <w:color w:val="000000"/>
          <w:sz w:val="20"/>
          <w:szCs w:val="20"/>
          <w:vertAlign w:val="subscript"/>
          <w:lang w:val="en-US"/>
        </w:rPr>
        <w:t>fe</w:t>
      </w:r>
      <w:r w:rsidRPr="0004059C">
        <w:rPr>
          <w:color w:val="000000"/>
          <w:sz w:val="20"/>
          <w:szCs w:val="20"/>
          <w:lang w:val="en-US"/>
        </w:rPr>
        <w:t xml:space="preserve"> (in ₴/(kW∙h)) – the sum of these two components (see formula (4)), representing the total fuel and ecological costs [1, 33, 35].</w:t>
      </w:r>
    </w:p>
    <w:p w:rsidR="00F775BC" w:rsidRPr="0004059C" w:rsidRDefault="00F775BC">
      <w:pPr>
        <w:widowControl w:val="0"/>
        <w:rPr>
          <w:color w:val="000000"/>
          <w:sz w:val="20"/>
          <w:szCs w:val="20"/>
          <w:lang w:val="en-US"/>
        </w:rPr>
      </w:pP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18"/>
          <w:sz w:val="20"/>
          <w:szCs w:val="20"/>
          <w:lang w:val="en-US"/>
        </w:rPr>
        <w:object w:dxaOrig="6039" w:dyaOrig="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301.95pt;height:23.65pt;mso-position-horizontal-relative:page;mso-position-vertical-relative:page" o:ole="">
            <v:imagedata r:id="rId6" o:title=""/>
          </v:shape>
          <o:OLEObject Type="Embed" ProgID="Equation.DSMT4" ShapeID="Object 1" DrawAspect="Content" ObjectID="_1829805947" r:id="rId7"/>
        </w:object>
      </w:r>
      <w:r w:rsidRPr="0004059C">
        <w:rPr>
          <w:color w:val="000000"/>
          <w:sz w:val="20"/>
          <w:lang w:val="en-US"/>
        </w:rPr>
        <w:tab/>
      </w: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26"/>
          <w:sz w:val="20"/>
          <w:szCs w:val="20"/>
          <w:lang w:val="en-US"/>
        </w:rPr>
        <w:object w:dxaOrig="5580" w:dyaOrig="619">
          <v:shape id="Object 2" o:spid="_x0000_i1026" type="#_x0000_t75" style="width:279.4pt;height:31.15pt;mso-position-horizontal-relative:page;mso-position-vertical-relative:page" o:ole="">
            <v:imagedata r:id="rId8" o:title=""/>
          </v:shape>
          <o:OLEObject Type="Embed" ProgID="Equation.DSMT4" ShapeID="Object 2" DrawAspect="Content" ObjectID="_1829805948" r:id="rId9"/>
        </w:object>
      </w:r>
      <w:r w:rsidRPr="0004059C">
        <w:rPr>
          <w:color w:val="000000"/>
          <w:sz w:val="20"/>
          <w:szCs w:val="20"/>
          <w:lang w:val="en-US"/>
        </w:rPr>
        <w:t>, ‰;</w:t>
      </w:r>
      <w:r w:rsidRPr="0004059C">
        <w:rPr>
          <w:color w:val="000000"/>
          <w:sz w:val="20"/>
          <w:lang w:val="en-US"/>
        </w:rPr>
        <w:tab/>
        <w:t>(1)</w:t>
      </w: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12"/>
          <w:sz w:val="20"/>
          <w:szCs w:val="20"/>
          <w:lang w:val="en-US"/>
        </w:rPr>
        <w:object w:dxaOrig="1698" w:dyaOrig="339">
          <v:shape id="Object 3" o:spid="_x0000_i1027" type="#_x0000_t75" style="width:84.9pt;height:17.2pt;mso-position-horizontal-relative:page;mso-position-vertical-relative:page" o:ole="">
            <v:imagedata r:id="rId10" o:title=""/>
          </v:shape>
          <o:OLEObject Type="Embed" ProgID="Equation.DSMT4" ShapeID="Object 3" DrawAspect="Content" ObjectID="_1829805949" r:id="rId11"/>
        </w:object>
      </w:r>
      <w:r w:rsidRPr="0004059C">
        <w:rPr>
          <w:color w:val="000000"/>
          <w:sz w:val="20"/>
          <w:szCs w:val="20"/>
          <w:lang w:val="en-US"/>
        </w:rPr>
        <w:t>;</w:t>
      </w:r>
      <w:r w:rsidRPr="0004059C">
        <w:rPr>
          <w:color w:val="000000"/>
          <w:sz w:val="20"/>
          <w:lang w:val="en-US"/>
        </w:rPr>
        <w:tab/>
        <w:t>(2)</w:t>
      </w: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12"/>
          <w:sz w:val="20"/>
          <w:szCs w:val="20"/>
          <w:lang w:val="en-US"/>
        </w:rPr>
        <w:object w:dxaOrig="959" w:dyaOrig="319">
          <v:shape id="Object 4" o:spid="_x0000_i1028" type="#_x0000_t75" style="width:48.35pt;height:16.1pt;mso-position-horizontal-relative:page;mso-position-vertical-relative:page" o:ole="">
            <v:imagedata r:id="rId12" o:title=""/>
          </v:shape>
          <o:OLEObject Type="Embed" ProgID="Equation.DSMT4" ShapeID="Object 4" DrawAspect="Content" ObjectID="_1829805950" r:id="rId13"/>
        </w:object>
      </w:r>
      <w:r w:rsidRPr="0004059C">
        <w:rPr>
          <w:color w:val="000000"/>
          <w:sz w:val="20"/>
          <w:szCs w:val="20"/>
          <w:lang w:val="en-US"/>
        </w:rPr>
        <w:t>;</w:t>
      </w:r>
      <w:r w:rsidRPr="0004059C">
        <w:rPr>
          <w:color w:val="000000"/>
          <w:sz w:val="20"/>
          <w:lang w:val="en-US"/>
        </w:rPr>
        <w:tab/>
        <w:t>(3)</w:t>
      </w: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12"/>
          <w:sz w:val="20"/>
          <w:szCs w:val="20"/>
          <w:lang w:val="en-US"/>
        </w:rPr>
        <w:object w:dxaOrig="1139" w:dyaOrig="319">
          <v:shape id="Object 5" o:spid="_x0000_i1029" type="#_x0000_t75" style="width:56.95pt;height:16.1pt;mso-position-horizontal-relative:page;mso-position-vertical-relative:page" o:ole="">
            <v:imagedata r:id="rId14" o:title=""/>
          </v:shape>
          <o:OLEObject Type="Embed" ProgID="Equation.DSMT4" ShapeID="Object 5" DrawAspect="Content" ObjectID="_1829805951" r:id="rId15"/>
        </w:object>
      </w:r>
      <w:r w:rsidRPr="0004059C">
        <w:rPr>
          <w:color w:val="000000"/>
          <w:sz w:val="20"/>
          <w:szCs w:val="20"/>
          <w:lang w:val="en-US"/>
        </w:rPr>
        <w:t>, ₴/(kW∙h);</w:t>
      </w:r>
      <w:r w:rsidRPr="0004059C">
        <w:rPr>
          <w:color w:val="000000"/>
          <w:sz w:val="20"/>
          <w:lang w:val="en-US"/>
        </w:rPr>
        <w:tab/>
        <w:t>(4)</w:t>
      </w: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12"/>
          <w:sz w:val="20"/>
          <w:szCs w:val="20"/>
          <w:lang w:val="en-US"/>
        </w:rPr>
        <w:object w:dxaOrig="1699" w:dyaOrig="319">
          <v:shape id="Object 6" o:spid="_x0000_i1030" type="#_x0000_t75" style="width:84.9pt;height:16.1pt;mso-position-horizontal-relative:page;mso-position-vertical-relative:page" o:ole="">
            <v:imagedata r:id="rId16" o:title=""/>
          </v:shape>
          <o:OLEObject Type="Embed" ProgID="Equation.DSMT4" ShapeID="Object 6" DrawAspect="Content" ObjectID="_1829805952" r:id="rId17"/>
        </w:object>
      </w:r>
      <w:r w:rsidRPr="0004059C">
        <w:rPr>
          <w:color w:val="000000"/>
          <w:sz w:val="20"/>
          <w:szCs w:val="20"/>
          <w:lang w:val="en-US"/>
        </w:rPr>
        <w:t>, kW;</w:t>
      </w:r>
      <w:r w:rsidRPr="0004059C">
        <w:rPr>
          <w:color w:val="000000"/>
          <w:sz w:val="20"/>
          <w:lang w:val="en-US"/>
        </w:rPr>
        <w:tab/>
        <w:t>(5)</w:t>
      </w: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12"/>
          <w:sz w:val="20"/>
          <w:szCs w:val="20"/>
          <w:lang w:val="en-US"/>
        </w:rPr>
        <w:object w:dxaOrig="999" w:dyaOrig="319">
          <v:shape id="Object 7" o:spid="_x0000_i1031" type="#_x0000_t75" style="width:50.5pt;height:16.1pt;mso-position-horizontal-relative:page;mso-position-vertical-relative:page" o:ole="">
            <v:imagedata r:id="rId18" o:title=""/>
          </v:shape>
          <o:OLEObject Type="Embed" ProgID="Equation.DSMT4" ShapeID="Object 7" DrawAspect="Content" ObjectID="_1829805953" r:id="rId19"/>
        </w:object>
      </w:r>
      <w:r w:rsidRPr="0004059C">
        <w:rPr>
          <w:color w:val="000000"/>
          <w:sz w:val="20"/>
          <w:szCs w:val="20"/>
          <w:lang w:val="en-US"/>
        </w:rPr>
        <w:t>, ₴/( kW∙h);</w:t>
      </w:r>
      <w:r w:rsidRPr="0004059C">
        <w:rPr>
          <w:color w:val="000000"/>
          <w:sz w:val="20"/>
          <w:lang w:val="en-US"/>
        </w:rPr>
        <w:tab/>
        <w:t>(6)</w:t>
      </w: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10"/>
          <w:sz w:val="20"/>
          <w:szCs w:val="20"/>
          <w:lang w:val="en-US"/>
        </w:rPr>
        <w:object w:dxaOrig="979" w:dyaOrig="299">
          <v:shape id="Object 8" o:spid="_x0000_i1032" type="#_x0000_t75" style="width:49.45pt;height:15.05pt;mso-position-horizontal-relative:page;mso-position-vertical-relative:page" o:ole="">
            <v:imagedata r:id="rId20" o:title=""/>
          </v:shape>
          <o:OLEObject Type="Embed" ProgID="Equation.DSMT4" ShapeID="Object 8" DrawAspect="Content" ObjectID="_1829805954" r:id="rId21"/>
        </w:object>
      </w:r>
      <w:r w:rsidRPr="0004059C">
        <w:rPr>
          <w:color w:val="000000"/>
          <w:sz w:val="20"/>
          <w:szCs w:val="20"/>
          <w:lang w:val="en-US"/>
        </w:rPr>
        <w:t>, ₴/( kW∙h);</w:t>
      </w:r>
      <w:r w:rsidRPr="0004059C">
        <w:rPr>
          <w:color w:val="000000"/>
          <w:sz w:val="20"/>
          <w:lang w:val="en-US"/>
        </w:rPr>
        <w:tab/>
        <w:t>(7)</w:t>
      </w: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12"/>
          <w:sz w:val="20"/>
          <w:szCs w:val="20"/>
          <w:lang w:val="en-US"/>
        </w:rPr>
        <w:object w:dxaOrig="1399" w:dyaOrig="319">
          <v:shape id="Object 9" o:spid="_x0000_i1033" type="#_x0000_t75" style="width:69.85pt;height:16.1pt;mso-position-horizontal-relative:page;mso-position-vertical-relative:page" o:ole="">
            <v:imagedata r:id="rId22" o:title=""/>
          </v:shape>
          <o:OLEObject Type="Embed" ProgID="Equation.DSMT4" ShapeID="Object 9" DrawAspect="Content" ObjectID="_1829805955" r:id="rId23"/>
        </w:object>
      </w:r>
      <w:r w:rsidRPr="0004059C">
        <w:rPr>
          <w:color w:val="000000"/>
          <w:sz w:val="20"/>
          <w:szCs w:val="20"/>
          <w:lang w:val="en-US"/>
        </w:rPr>
        <w:t>, ₴/kg;</w:t>
      </w:r>
      <w:r w:rsidRPr="0004059C">
        <w:rPr>
          <w:color w:val="000000"/>
          <w:sz w:val="20"/>
          <w:lang w:val="en-US"/>
        </w:rPr>
        <w:tab/>
        <w:t>(8)</w:t>
      </w: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24"/>
          <w:sz w:val="20"/>
          <w:szCs w:val="20"/>
          <w:lang w:val="en-US"/>
        </w:rPr>
        <w:object w:dxaOrig="1858" w:dyaOrig="579">
          <v:shape id="Object 10" o:spid="_x0000_i1034" type="#_x0000_t75" style="width:93.5pt;height:29pt;mso-position-horizontal-relative:page;mso-position-vertical-relative:page" o:ole="">
            <v:imagedata r:id="rId24" o:title=""/>
          </v:shape>
          <o:OLEObject Type="Embed" ProgID="Equation.DSMT4" ShapeID="Object 10" DrawAspect="Content" ObjectID="_1829805956" r:id="rId25"/>
        </w:object>
      </w:r>
      <w:r w:rsidRPr="0004059C">
        <w:rPr>
          <w:color w:val="000000"/>
          <w:sz w:val="20"/>
          <w:szCs w:val="20"/>
          <w:lang w:val="en-US"/>
        </w:rPr>
        <w:t>;</w:t>
      </w:r>
      <w:r w:rsidRPr="0004059C">
        <w:rPr>
          <w:color w:val="000000"/>
          <w:sz w:val="20"/>
          <w:lang w:val="en-US"/>
        </w:rPr>
        <w:tab/>
        <w:t>(9)</w:t>
      </w:r>
    </w:p>
    <w:p w:rsidR="00F775BC" w:rsidRPr="0004059C" w:rsidRDefault="00F775BC">
      <w:pPr>
        <w:tabs>
          <w:tab w:val="center" w:pos="4320"/>
          <w:tab w:val="right" w:pos="9242"/>
        </w:tabs>
        <w:jc w:val="center"/>
        <w:rPr>
          <w:color w:val="000000"/>
          <w:sz w:val="20"/>
          <w:lang w:val="en-US"/>
        </w:rPr>
      </w:pPr>
      <w:r w:rsidRPr="0004059C">
        <w:rPr>
          <w:color w:val="000000"/>
          <w:sz w:val="20"/>
          <w:lang w:val="en-US"/>
        </w:rPr>
        <w:lastRenderedPageBreak/>
        <w:tab/>
      </w:r>
      <w:r w:rsidRPr="0004059C">
        <w:rPr>
          <w:color w:val="000000"/>
          <w:position w:val="-24"/>
          <w:sz w:val="20"/>
          <w:szCs w:val="20"/>
          <w:lang w:val="en-US"/>
        </w:rPr>
        <w:object w:dxaOrig="4400" w:dyaOrig="579">
          <v:shape id="Object 11" o:spid="_x0000_i1035" type="#_x0000_t75" style="width:220.3pt;height:29pt;mso-position-horizontal-relative:page;mso-position-vertical-relative:page" o:ole="">
            <v:imagedata r:id="rId26" o:title=""/>
          </v:shape>
          <o:OLEObject Type="Embed" ProgID="Equation.DSMT4" ShapeID="Object 11" DrawAspect="Content" ObjectID="_1829805957" r:id="rId27"/>
        </w:object>
      </w:r>
      <w:r w:rsidRPr="0004059C">
        <w:rPr>
          <w:color w:val="000000"/>
          <w:position w:val="-12"/>
          <w:sz w:val="20"/>
          <w:szCs w:val="20"/>
          <w:lang w:val="en-US"/>
        </w:rPr>
        <w:object w:dxaOrig="3237" w:dyaOrig="339">
          <v:shape id="Object 12" o:spid="_x0000_i1036" type="#_x0000_t75" style="width:162.25pt;height:17.2pt;mso-position-horizontal-relative:page;mso-position-vertical-relative:page" o:ole="">
            <v:imagedata r:id="rId28" o:title=""/>
          </v:shape>
          <o:OLEObject Type="Embed" ProgID="Equation.DSMT4" ShapeID="Object 12" DrawAspect="Content" ObjectID="_1829805958" r:id="rId29"/>
        </w:object>
      </w:r>
      <w:r w:rsidRPr="0004059C">
        <w:rPr>
          <w:color w:val="000000"/>
          <w:sz w:val="20"/>
          <w:szCs w:val="20"/>
          <w:lang w:val="en-US"/>
        </w:rPr>
        <w:t>, kg/h;</w:t>
      </w:r>
      <w:r w:rsidRPr="0004059C">
        <w:rPr>
          <w:color w:val="000000"/>
          <w:sz w:val="20"/>
          <w:lang w:val="en-US"/>
        </w:rPr>
        <w:tab/>
        <w:t>(10)</w:t>
      </w:r>
    </w:p>
    <w:p w:rsidR="00F775BC" w:rsidRPr="0004059C" w:rsidRDefault="00F775BC">
      <w:pPr>
        <w:widowControl w:val="0"/>
        <w:rPr>
          <w:color w:val="000000"/>
          <w:sz w:val="20"/>
          <w:szCs w:val="20"/>
          <w:lang w:val="en-US"/>
        </w:rPr>
      </w:pPr>
    </w:p>
    <w:p w:rsidR="00F775BC" w:rsidRPr="0004059C" w:rsidRDefault="00F775BC">
      <w:pPr>
        <w:pStyle w:val="Default"/>
        <w:widowControl w:val="0"/>
        <w:jc w:val="both"/>
        <w:rPr>
          <w:rFonts w:ascii="Times New Roman" w:hAnsi="Times New Roman" w:cs="Times New Roman"/>
          <w:sz w:val="20"/>
          <w:szCs w:val="20"/>
          <w:lang w:val="en-US"/>
        </w:rPr>
      </w:pPr>
      <w:r w:rsidRPr="0004059C">
        <w:rPr>
          <w:rFonts w:ascii="Times New Roman" w:hAnsi="Times New Roman" w:cs="Times New Roman"/>
          <w:sz w:val="20"/>
          <w:szCs w:val="20"/>
          <w:lang w:val="en-US"/>
        </w:rPr>
        <w:t xml:space="preserve">where the index </w:t>
      </w:r>
      <w:r w:rsidRPr="0004059C">
        <w:rPr>
          <w:rFonts w:ascii="Times New Roman" w:hAnsi="Times New Roman" w:cs="Times New Roman"/>
          <w:i/>
          <w:sz w:val="20"/>
          <w:szCs w:val="20"/>
          <w:lang w:val="en-US"/>
        </w:rPr>
        <w:t>i</w:t>
      </w:r>
      <w:r w:rsidRPr="0004059C">
        <w:rPr>
          <w:rFonts w:ascii="Times New Roman" w:hAnsi="Times New Roman" w:cs="Times New Roman"/>
          <w:sz w:val="20"/>
          <w:szCs w:val="20"/>
          <w:lang w:val="en-US"/>
        </w:rPr>
        <w:t xml:space="preserve"> indicates the values for a separate representative mode of RICE operation or landfill in its exploitation model; </w:t>
      </w:r>
      <w:r w:rsidRPr="0004059C">
        <w:rPr>
          <w:rFonts w:ascii="Times New Roman" w:hAnsi="Times New Roman" w:cs="Times New Roman"/>
          <w:i/>
          <w:iCs/>
          <w:sz w:val="20"/>
          <w:szCs w:val="20"/>
          <w:lang w:val="en-US"/>
        </w:rPr>
        <w:t>Н</w:t>
      </w:r>
      <w:r w:rsidRPr="0004059C">
        <w:rPr>
          <w:rFonts w:ascii="Times New Roman" w:hAnsi="Times New Roman" w:cs="Times New Roman"/>
          <w:i/>
          <w:iCs/>
          <w:sz w:val="20"/>
          <w:szCs w:val="20"/>
          <w:vertAlign w:val="subscript"/>
          <w:lang w:val="en-US"/>
        </w:rPr>
        <w:t>и</w:t>
      </w:r>
      <w:r w:rsidRPr="0004059C">
        <w:rPr>
          <w:rFonts w:ascii="Times New Roman" w:hAnsi="Times New Roman" w:cs="Times New Roman"/>
          <w:i/>
          <w:iCs/>
          <w:sz w:val="20"/>
          <w:szCs w:val="20"/>
          <w:lang w:val="en-US"/>
        </w:rPr>
        <w:t xml:space="preserve"> </w:t>
      </w:r>
      <w:r w:rsidRPr="0004059C">
        <w:rPr>
          <w:rFonts w:ascii="Times New Roman" w:hAnsi="Times New Roman" w:cs="Times New Roman"/>
          <w:iCs/>
          <w:sz w:val="20"/>
          <w:szCs w:val="20"/>
          <w:lang w:val="en-US"/>
        </w:rPr>
        <w:t xml:space="preserve">= </w:t>
      </w:r>
      <w:r w:rsidRPr="0004059C">
        <w:rPr>
          <w:rFonts w:ascii="Times New Roman" w:hAnsi="Times New Roman" w:cs="Times New Roman"/>
          <w:sz w:val="20"/>
          <w:szCs w:val="20"/>
          <w:lang w:val="en-US"/>
        </w:rPr>
        <w:t>42,7 MJ/kg [33]</w:t>
      </w:r>
      <w:r w:rsidRPr="0004059C">
        <w:rPr>
          <w:rFonts w:ascii="Times New Roman" w:hAnsi="Times New Roman" w:cs="Times New Roman"/>
          <w:iCs/>
          <w:sz w:val="20"/>
          <w:szCs w:val="20"/>
          <w:lang w:val="en-US"/>
        </w:rPr>
        <w:t xml:space="preserve"> </w:t>
      </w:r>
      <w:r w:rsidRPr="0004059C">
        <w:rPr>
          <w:rFonts w:ascii="Times New Roman" w:hAnsi="Times New Roman" w:cs="Times New Roman"/>
          <w:sz w:val="20"/>
          <w:szCs w:val="20"/>
          <w:lang w:val="en-US"/>
        </w:rPr>
        <w:t xml:space="preserve">– lower fuel combustion heat; </w:t>
      </w:r>
      <w:r w:rsidRPr="0004059C">
        <w:rPr>
          <w:rFonts w:ascii="Times New Roman" w:hAnsi="Times New Roman" w:cs="Times New Roman"/>
          <w:i/>
          <w:iCs/>
          <w:sz w:val="20"/>
          <w:szCs w:val="20"/>
          <w:lang w:val="en-US"/>
        </w:rPr>
        <w:t>N</w:t>
      </w:r>
      <w:r w:rsidRPr="0004059C">
        <w:rPr>
          <w:rFonts w:ascii="Times New Roman" w:hAnsi="Times New Roman" w:cs="Times New Roman"/>
          <w:sz w:val="20"/>
          <w:szCs w:val="20"/>
          <w:vertAlign w:val="subscript"/>
          <w:lang w:val="en-US"/>
        </w:rPr>
        <w:t>e</w:t>
      </w:r>
      <w:r w:rsidRPr="0004059C">
        <w:rPr>
          <w:rFonts w:ascii="Times New Roman" w:hAnsi="Times New Roman" w:cs="Times New Roman"/>
          <w:sz w:val="20"/>
          <w:szCs w:val="20"/>
          <w:lang w:val="en-US"/>
        </w:rPr>
        <w:t xml:space="preserve"> – effective power, kW; </w:t>
      </w:r>
      <w:r w:rsidRPr="0004059C">
        <w:rPr>
          <w:rFonts w:ascii="Times New Roman" w:hAnsi="Times New Roman" w:cs="Times New Roman"/>
          <w:i/>
          <w:iCs/>
          <w:sz w:val="20"/>
          <w:szCs w:val="20"/>
          <w:lang w:val="en-US"/>
        </w:rPr>
        <w:t>G</w:t>
      </w:r>
      <w:r w:rsidRPr="0004059C">
        <w:rPr>
          <w:rFonts w:ascii="Times New Roman" w:hAnsi="Times New Roman" w:cs="Times New Roman"/>
          <w:i/>
          <w:iCs/>
          <w:sz w:val="20"/>
          <w:szCs w:val="20"/>
          <w:vertAlign w:val="subscript"/>
          <w:lang w:val="en-US"/>
        </w:rPr>
        <w:t>fuel</w:t>
      </w:r>
      <w:r w:rsidRPr="0004059C">
        <w:rPr>
          <w:rFonts w:ascii="Times New Roman" w:hAnsi="Times New Roman" w:cs="Times New Roman"/>
          <w:sz w:val="20"/>
          <w:szCs w:val="20"/>
          <w:lang w:val="en-US"/>
        </w:rPr>
        <w:t xml:space="preserve"> – mass hourly fuel consumption, kg/h; </w:t>
      </w:r>
      <w:r w:rsidRPr="0004059C">
        <w:rPr>
          <w:rFonts w:ascii="Times New Roman" w:hAnsi="Times New Roman" w:cs="Times New Roman"/>
          <w:i/>
          <w:iCs/>
          <w:sz w:val="20"/>
          <w:szCs w:val="20"/>
          <w:lang w:val="en-US"/>
        </w:rPr>
        <w:t>G</w:t>
      </w:r>
      <w:r w:rsidRPr="0004059C">
        <w:rPr>
          <w:rFonts w:ascii="Times New Roman" w:hAnsi="Times New Roman" w:cs="Times New Roman"/>
          <w:i/>
          <w:iCs/>
          <w:sz w:val="20"/>
          <w:szCs w:val="20"/>
          <w:vertAlign w:val="subscript"/>
          <w:lang w:val="en-US"/>
        </w:rPr>
        <w:t>k</w:t>
      </w:r>
      <w:r w:rsidRPr="0004059C">
        <w:rPr>
          <w:rFonts w:ascii="Times New Roman" w:hAnsi="Times New Roman" w:cs="Times New Roman"/>
          <w:i/>
          <w:iCs/>
          <w:sz w:val="20"/>
          <w:szCs w:val="20"/>
          <w:lang w:val="en-US"/>
        </w:rPr>
        <w:t xml:space="preserve"> </w:t>
      </w:r>
      <w:r w:rsidRPr="0004059C">
        <w:rPr>
          <w:rFonts w:ascii="Times New Roman" w:hAnsi="Times New Roman" w:cs="Times New Roman"/>
          <w:sz w:val="20"/>
          <w:szCs w:val="20"/>
          <w:lang w:val="en-US"/>
        </w:rPr>
        <w:t xml:space="preserve">– </w:t>
      </w:r>
      <w:r w:rsidRPr="0004059C">
        <w:rPr>
          <w:rFonts w:ascii="Times New Roman" w:hAnsi="Times New Roman" w:cs="Times New Roman"/>
          <w:i/>
          <w:sz w:val="20"/>
          <w:szCs w:val="20"/>
          <w:lang w:val="en-US"/>
        </w:rPr>
        <w:t>k</w:t>
      </w:r>
      <w:r w:rsidRPr="0004059C">
        <w:rPr>
          <w:rFonts w:ascii="Times New Roman" w:hAnsi="Times New Roman" w:cs="Times New Roman"/>
          <w:sz w:val="20"/>
          <w:szCs w:val="20"/>
          <w:lang w:val="en-US"/>
        </w:rPr>
        <w:t xml:space="preserve">-th pollutant mass hourly emission in EG flow, kg/h; </w:t>
      </w:r>
      <w:r w:rsidRPr="0004059C">
        <w:rPr>
          <w:rFonts w:ascii="Times New Roman" w:hAnsi="Times New Roman" w:cs="Times New Roman"/>
          <w:i/>
          <w:sz w:val="20"/>
          <w:szCs w:val="20"/>
          <w:lang w:val="en-US"/>
        </w:rPr>
        <w:t>A</w:t>
      </w:r>
      <w:r w:rsidRPr="0004059C">
        <w:rPr>
          <w:rFonts w:ascii="Times New Roman" w:hAnsi="Times New Roman" w:cs="Times New Roman"/>
          <w:i/>
          <w:sz w:val="20"/>
          <w:szCs w:val="20"/>
          <w:vertAlign w:val="subscript"/>
          <w:lang w:val="en-US"/>
        </w:rPr>
        <w:t>k</w:t>
      </w:r>
      <w:r w:rsidRPr="0004059C">
        <w:rPr>
          <w:rFonts w:ascii="Times New Roman" w:hAnsi="Times New Roman" w:cs="Times New Roman"/>
          <w:sz w:val="20"/>
          <w:szCs w:val="20"/>
          <w:lang w:val="en-US"/>
        </w:rPr>
        <w:t xml:space="preserve"> – index of relative aggressiveness of </w:t>
      </w:r>
      <w:r w:rsidRPr="0004059C">
        <w:rPr>
          <w:rFonts w:ascii="Times New Roman" w:hAnsi="Times New Roman" w:cs="Times New Roman"/>
          <w:i/>
          <w:sz w:val="20"/>
          <w:szCs w:val="20"/>
          <w:lang w:val="en-US"/>
        </w:rPr>
        <w:t>k</w:t>
      </w:r>
      <w:r w:rsidRPr="0004059C">
        <w:rPr>
          <w:rFonts w:ascii="Times New Roman" w:hAnsi="Times New Roman" w:cs="Times New Roman"/>
          <w:sz w:val="20"/>
          <w:szCs w:val="20"/>
          <w:lang w:val="en-US"/>
        </w:rPr>
        <w:t>-th pollutant in flow of EG (dimensionless quantity) (</w:t>
      </w:r>
      <w:r w:rsidRPr="0004059C">
        <w:rPr>
          <w:rFonts w:ascii="Times New Roman" w:hAnsi="Times New Roman" w:cs="Times New Roman"/>
          <w:i/>
          <w:iCs/>
          <w:sz w:val="20"/>
          <w:szCs w:val="20"/>
          <w:lang w:val="en-US"/>
        </w:rPr>
        <w:t>А</w:t>
      </w:r>
      <w:r w:rsidRPr="0004059C">
        <w:rPr>
          <w:rFonts w:ascii="Times New Roman" w:hAnsi="Times New Roman" w:cs="Times New Roman"/>
          <w:i/>
          <w:iCs/>
          <w:sz w:val="20"/>
          <w:szCs w:val="20"/>
          <w:vertAlign w:val="subscript"/>
          <w:lang w:val="en-US"/>
        </w:rPr>
        <w:t>NO</w:t>
      </w:r>
      <w:r w:rsidRPr="0004059C">
        <w:rPr>
          <w:rFonts w:ascii="Times New Roman" w:hAnsi="Times New Roman" w:cs="Times New Roman"/>
          <w:sz w:val="20"/>
          <w:szCs w:val="20"/>
          <w:vertAlign w:val="subscript"/>
          <w:lang w:val="en-US"/>
        </w:rPr>
        <w:t>x</w:t>
      </w:r>
      <w:r w:rsidRPr="0004059C">
        <w:rPr>
          <w:rFonts w:ascii="Times New Roman" w:hAnsi="Times New Roman" w:cs="Times New Roman"/>
          <w:sz w:val="20"/>
          <w:szCs w:val="20"/>
          <w:lang w:val="en-US"/>
        </w:rPr>
        <w:t xml:space="preserve"> = 41,1; </w:t>
      </w:r>
      <w:r w:rsidRPr="0004059C">
        <w:rPr>
          <w:rFonts w:ascii="Times New Roman" w:hAnsi="Times New Roman" w:cs="Times New Roman"/>
          <w:i/>
          <w:iCs/>
          <w:sz w:val="20"/>
          <w:szCs w:val="20"/>
          <w:lang w:val="en-US"/>
        </w:rPr>
        <w:t>А</w:t>
      </w:r>
      <w:r w:rsidRPr="0004059C">
        <w:rPr>
          <w:rFonts w:ascii="Times New Roman" w:hAnsi="Times New Roman" w:cs="Times New Roman"/>
          <w:i/>
          <w:iCs/>
          <w:sz w:val="20"/>
          <w:szCs w:val="20"/>
          <w:vertAlign w:val="subscript"/>
          <w:lang w:val="en-US"/>
        </w:rPr>
        <w:t>PM</w:t>
      </w:r>
      <w:r w:rsidRPr="0004059C">
        <w:rPr>
          <w:rFonts w:ascii="Times New Roman" w:hAnsi="Times New Roman" w:cs="Times New Roman"/>
          <w:i/>
          <w:iCs/>
          <w:sz w:val="20"/>
          <w:szCs w:val="20"/>
          <w:lang w:val="en-US"/>
        </w:rPr>
        <w:t xml:space="preserve"> </w:t>
      </w:r>
      <w:r w:rsidRPr="0004059C">
        <w:rPr>
          <w:rFonts w:ascii="Times New Roman" w:hAnsi="Times New Roman" w:cs="Times New Roman"/>
          <w:sz w:val="20"/>
          <w:szCs w:val="20"/>
          <w:lang w:val="en-US"/>
        </w:rPr>
        <w:t xml:space="preserve">= 200; </w:t>
      </w:r>
      <w:r w:rsidRPr="0004059C">
        <w:rPr>
          <w:rFonts w:ascii="Times New Roman" w:hAnsi="Times New Roman" w:cs="Times New Roman"/>
          <w:i/>
          <w:iCs/>
          <w:sz w:val="20"/>
          <w:szCs w:val="20"/>
          <w:lang w:val="en-US"/>
        </w:rPr>
        <w:t>А</w:t>
      </w:r>
      <w:r w:rsidRPr="0004059C">
        <w:rPr>
          <w:rFonts w:ascii="Times New Roman" w:hAnsi="Times New Roman" w:cs="Times New Roman"/>
          <w:i/>
          <w:iCs/>
          <w:sz w:val="20"/>
          <w:szCs w:val="20"/>
          <w:vertAlign w:val="subscript"/>
          <w:lang w:val="en-US"/>
        </w:rPr>
        <w:t>CnHm</w:t>
      </w:r>
      <w:r w:rsidRPr="0004059C">
        <w:rPr>
          <w:rFonts w:ascii="Times New Roman" w:hAnsi="Times New Roman" w:cs="Times New Roman"/>
          <w:sz w:val="20"/>
          <w:szCs w:val="20"/>
          <w:lang w:val="en-US"/>
        </w:rPr>
        <w:t xml:space="preserve"> = 3,16; </w:t>
      </w:r>
      <w:r w:rsidRPr="0004059C">
        <w:rPr>
          <w:rFonts w:ascii="Times New Roman" w:hAnsi="Times New Roman" w:cs="Times New Roman"/>
          <w:sz w:val="20"/>
          <w:szCs w:val="20"/>
          <w:lang w:val="en-US"/>
        </w:rPr>
        <w:br/>
      </w:r>
      <w:r w:rsidRPr="0004059C">
        <w:rPr>
          <w:rFonts w:ascii="Times New Roman" w:hAnsi="Times New Roman" w:cs="Times New Roman"/>
          <w:i/>
          <w:iCs/>
          <w:sz w:val="20"/>
          <w:szCs w:val="20"/>
          <w:lang w:val="en-US"/>
        </w:rPr>
        <w:t>А</w:t>
      </w:r>
      <w:r w:rsidRPr="0004059C">
        <w:rPr>
          <w:rFonts w:ascii="Times New Roman" w:hAnsi="Times New Roman" w:cs="Times New Roman"/>
          <w:i/>
          <w:iCs/>
          <w:sz w:val="20"/>
          <w:szCs w:val="20"/>
          <w:vertAlign w:val="subscript"/>
          <w:lang w:val="en-US"/>
        </w:rPr>
        <w:t>СO</w:t>
      </w:r>
      <w:r w:rsidRPr="0004059C">
        <w:rPr>
          <w:rFonts w:ascii="Times New Roman" w:hAnsi="Times New Roman" w:cs="Times New Roman"/>
          <w:sz w:val="20"/>
          <w:szCs w:val="20"/>
          <w:lang w:val="en-US"/>
        </w:rPr>
        <w:t xml:space="preserve"> = 1,0 [4]); </w:t>
      </w:r>
      <w:r w:rsidRPr="0004059C">
        <w:rPr>
          <w:rFonts w:ascii="Times New Roman" w:hAnsi="Times New Roman" w:cs="Times New Roman"/>
          <w:i/>
          <w:iCs/>
          <w:sz w:val="20"/>
          <w:szCs w:val="20"/>
          <w:lang w:val="en-US"/>
        </w:rPr>
        <w:t xml:space="preserve">h </w:t>
      </w:r>
      <w:r w:rsidRPr="0004059C">
        <w:rPr>
          <w:rFonts w:ascii="Times New Roman" w:hAnsi="Times New Roman" w:cs="Times New Roman"/>
          <w:iCs/>
          <w:sz w:val="20"/>
          <w:szCs w:val="20"/>
          <w:lang w:val="en-US"/>
        </w:rPr>
        <w:t xml:space="preserve">= 4 </w:t>
      </w:r>
      <w:r w:rsidRPr="0004059C">
        <w:rPr>
          <w:rFonts w:ascii="Times New Roman" w:hAnsi="Times New Roman" w:cs="Times New Roman"/>
          <w:sz w:val="20"/>
          <w:szCs w:val="20"/>
          <w:lang w:val="en-US"/>
        </w:rPr>
        <w:t>[8]</w:t>
      </w:r>
      <w:r w:rsidRPr="0004059C">
        <w:rPr>
          <w:rFonts w:ascii="Times New Roman" w:hAnsi="Times New Roman" w:cs="Times New Roman"/>
          <w:iCs/>
          <w:sz w:val="20"/>
          <w:szCs w:val="20"/>
          <w:lang w:val="en-US"/>
        </w:rPr>
        <w:t xml:space="preserve"> </w:t>
      </w:r>
      <w:r w:rsidRPr="0004059C">
        <w:rPr>
          <w:rFonts w:ascii="Times New Roman" w:hAnsi="Times New Roman" w:cs="Times New Roman"/>
          <w:sz w:val="20"/>
          <w:szCs w:val="20"/>
          <w:lang w:val="en-US"/>
        </w:rPr>
        <w:t xml:space="preserve">– number of pollutants in EG flow; </w:t>
      </w:r>
      <w:r w:rsidRPr="0004059C">
        <w:rPr>
          <w:rFonts w:ascii="Times New Roman" w:hAnsi="Times New Roman" w:cs="Times New Roman"/>
          <w:iCs/>
          <w:sz w:val="20"/>
          <w:szCs w:val="20"/>
          <w:lang w:val="en-US"/>
        </w:rPr>
        <w:t>σ</w:t>
      </w:r>
      <w:r w:rsidRPr="0004059C">
        <w:rPr>
          <w:rFonts w:ascii="Times New Roman" w:hAnsi="Times New Roman" w:cs="Times New Roman"/>
          <w:i/>
          <w:iCs/>
          <w:sz w:val="20"/>
          <w:szCs w:val="20"/>
          <w:lang w:val="en-US"/>
        </w:rPr>
        <w:t xml:space="preserve"> </w:t>
      </w:r>
      <w:r w:rsidRPr="0004059C">
        <w:rPr>
          <w:rFonts w:ascii="Times New Roman" w:hAnsi="Times New Roman" w:cs="Times New Roman"/>
          <w:sz w:val="20"/>
          <w:szCs w:val="20"/>
          <w:lang w:val="en-US"/>
        </w:rPr>
        <w:t xml:space="preserve">– relative dangerous index of pollution of different territories (dimensionless quantity) (for car diesel RICE </w:t>
      </w:r>
      <w:r w:rsidRPr="0004059C">
        <w:rPr>
          <w:rFonts w:ascii="Times New Roman" w:hAnsi="Times New Roman" w:cs="Times New Roman"/>
          <w:iCs/>
          <w:sz w:val="20"/>
          <w:szCs w:val="20"/>
          <w:lang w:val="en-US"/>
        </w:rPr>
        <w:t>σ</w:t>
      </w:r>
      <w:r w:rsidRPr="0004059C">
        <w:rPr>
          <w:rFonts w:ascii="Times New Roman" w:hAnsi="Times New Roman" w:cs="Times New Roman"/>
          <w:i/>
          <w:iCs/>
          <w:sz w:val="20"/>
          <w:szCs w:val="20"/>
          <w:lang w:val="en-US"/>
        </w:rPr>
        <w:t xml:space="preserve"> </w:t>
      </w:r>
      <w:r w:rsidRPr="0004059C">
        <w:rPr>
          <w:rFonts w:ascii="Times New Roman" w:hAnsi="Times New Roman" w:cs="Times New Roman"/>
          <w:sz w:val="20"/>
          <w:szCs w:val="20"/>
          <w:lang w:val="en-US"/>
        </w:rPr>
        <w:t xml:space="preserve">= 1,0, for tractor diesel RICE </w:t>
      </w:r>
      <w:r w:rsidRPr="0004059C">
        <w:rPr>
          <w:rFonts w:ascii="Times New Roman" w:hAnsi="Times New Roman" w:cs="Times New Roman"/>
          <w:iCs/>
          <w:sz w:val="20"/>
          <w:szCs w:val="20"/>
          <w:lang w:val="en-US"/>
        </w:rPr>
        <w:t>σ</w:t>
      </w:r>
      <w:r w:rsidRPr="0004059C">
        <w:rPr>
          <w:rFonts w:ascii="Times New Roman" w:hAnsi="Times New Roman" w:cs="Times New Roman"/>
          <w:i/>
          <w:iCs/>
          <w:sz w:val="20"/>
          <w:szCs w:val="20"/>
          <w:lang w:val="en-US"/>
        </w:rPr>
        <w:t xml:space="preserve"> </w:t>
      </w:r>
      <w:r w:rsidRPr="0004059C">
        <w:rPr>
          <w:rFonts w:ascii="Times New Roman" w:hAnsi="Times New Roman" w:cs="Times New Roman"/>
          <w:sz w:val="20"/>
          <w:szCs w:val="20"/>
          <w:lang w:val="en-US"/>
        </w:rPr>
        <w:t xml:space="preserve">= 0,25 [33]); </w:t>
      </w:r>
      <w:r w:rsidRPr="0004059C">
        <w:rPr>
          <w:rFonts w:ascii="Times New Roman" w:hAnsi="Times New Roman" w:cs="Times New Roman"/>
          <w:i/>
          <w:iCs/>
          <w:sz w:val="20"/>
          <w:szCs w:val="20"/>
          <w:lang w:val="en-US"/>
        </w:rPr>
        <w:t xml:space="preserve">f </w:t>
      </w:r>
      <w:r w:rsidRPr="0004059C">
        <w:rPr>
          <w:rFonts w:ascii="Times New Roman" w:hAnsi="Times New Roman" w:cs="Times New Roman"/>
          <w:sz w:val="20"/>
          <w:szCs w:val="20"/>
          <w:lang w:val="en-US"/>
        </w:rPr>
        <w:t xml:space="preserve">– coefficient that takes into account the character of dispersion of EG in atmosphere (dimensionless quantity) (for Ukraine </w:t>
      </w:r>
      <w:r w:rsidRPr="0004059C">
        <w:rPr>
          <w:rFonts w:ascii="Times New Roman" w:hAnsi="Times New Roman" w:cs="Times New Roman"/>
          <w:i/>
          <w:iCs/>
          <w:sz w:val="20"/>
          <w:szCs w:val="20"/>
          <w:lang w:val="en-US"/>
        </w:rPr>
        <w:t>f</w:t>
      </w:r>
      <w:r w:rsidRPr="0004059C">
        <w:rPr>
          <w:rFonts w:ascii="Times New Roman" w:hAnsi="Times New Roman" w:cs="Times New Roman"/>
          <w:sz w:val="20"/>
          <w:szCs w:val="20"/>
          <w:lang w:val="en-US"/>
        </w:rPr>
        <w:t xml:space="preserve">  = 1,0 [33]); δ = </w:t>
      </w:r>
      <w:r w:rsidRPr="0004059C">
        <w:rPr>
          <w:rFonts w:ascii="Times New Roman" w:hAnsi="Times New Roman" w:cs="Times New Roman"/>
          <w:i/>
          <w:sz w:val="20"/>
          <w:szCs w:val="20"/>
          <w:lang w:val="en-US"/>
        </w:rPr>
        <w:t>P</w:t>
      </w:r>
      <w:r w:rsidRPr="0004059C">
        <w:rPr>
          <w:rFonts w:ascii="Times New Roman" w:hAnsi="Times New Roman" w:cs="Times New Roman"/>
          <w:i/>
          <w:sz w:val="20"/>
          <w:szCs w:val="20"/>
          <w:vertAlign w:val="subscript"/>
          <w:lang w:val="en-US"/>
        </w:rPr>
        <w:t>f</w:t>
      </w:r>
      <w:r w:rsidRPr="0004059C">
        <w:rPr>
          <w:rFonts w:ascii="Times New Roman" w:hAnsi="Times New Roman" w:cs="Times New Roman"/>
          <w:sz w:val="20"/>
          <w:szCs w:val="20"/>
          <w:lang w:val="en-US"/>
        </w:rPr>
        <w:t xml:space="preserve"> – dimension index that converts of the score assessment into monetary $/kg; </w:t>
      </w:r>
      <w:r w:rsidRPr="0004059C">
        <w:rPr>
          <w:rFonts w:ascii="Times New Roman" w:hAnsi="Times New Roman" w:cs="Times New Roman"/>
          <w:i/>
          <w:sz w:val="20"/>
          <w:szCs w:val="20"/>
          <w:lang w:val="en-US"/>
        </w:rPr>
        <w:t>WF</w:t>
      </w:r>
      <w:r w:rsidRPr="0004059C">
        <w:rPr>
          <w:rFonts w:ascii="Times New Roman" w:hAnsi="Times New Roman" w:cs="Times New Roman"/>
          <w:sz w:val="20"/>
          <w:szCs w:val="20"/>
          <w:lang w:val="en-US"/>
        </w:rPr>
        <w:t xml:space="preserve"> – weight factor; η</w:t>
      </w:r>
      <w:r w:rsidRPr="0004059C">
        <w:rPr>
          <w:rFonts w:ascii="Times New Roman" w:hAnsi="Times New Roman" w:cs="Times New Roman"/>
          <w:i/>
          <w:sz w:val="20"/>
          <w:szCs w:val="20"/>
          <w:vertAlign w:val="subscript"/>
          <w:lang w:val="en-US"/>
        </w:rPr>
        <w:t>e</w:t>
      </w:r>
      <w:r w:rsidRPr="0004059C">
        <w:rPr>
          <w:rFonts w:ascii="Times New Roman" w:hAnsi="Times New Roman" w:cs="Times New Roman"/>
          <w:sz w:val="20"/>
          <w:szCs w:val="20"/>
          <w:lang w:val="en-US"/>
        </w:rPr>
        <w:t xml:space="preserve"> – effective efficiency coefficient; β – coefficient of relative exploitational ecological monetary costs (dimensionless quantity); </w:t>
      </w:r>
      <w:r w:rsidRPr="0004059C">
        <w:rPr>
          <w:rFonts w:ascii="Times New Roman" w:hAnsi="Times New Roman" w:cs="Times New Roman"/>
          <w:i/>
          <w:sz w:val="20"/>
          <w:szCs w:val="20"/>
          <w:lang w:val="en-US"/>
        </w:rPr>
        <w:t>Z</w:t>
      </w:r>
      <w:r w:rsidRPr="0004059C">
        <w:rPr>
          <w:rFonts w:ascii="Times New Roman" w:hAnsi="Times New Roman" w:cs="Times New Roman"/>
          <w:i/>
          <w:sz w:val="20"/>
          <w:szCs w:val="20"/>
          <w:vertAlign w:val="subscript"/>
          <w:lang w:val="en-US"/>
        </w:rPr>
        <w:t>e</w:t>
      </w:r>
      <w:r w:rsidRPr="0004059C">
        <w:rPr>
          <w:rFonts w:ascii="Times New Roman" w:hAnsi="Times New Roman" w:cs="Times New Roman"/>
          <w:sz w:val="20"/>
          <w:szCs w:val="20"/>
          <w:lang w:val="en-US"/>
        </w:rPr>
        <w:t xml:space="preserve"> and </w:t>
      </w:r>
      <w:r w:rsidRPr="0004059C">
        <w:rPr>
          <w:rFonts w:ascii="Times New Roman" w:hAnsi="Times New Roman" w:cs="Times New Roman"/>
          <w:i/>
          <w:sz w:val="20"/>
          <w:szCs w:val="20"/>
          <w:lang w:val="en-US"/>
        </w:rPr>
        <w:t>Z</w:t>
      </w:r>
      <w:r w:rsidRPr="0004059C">
        <w:rPr>
          <w:rFonts w:ascii="Times New Roman" w:hAnsi="Times New Roman" w:cs="Times New Roman"/>
          <w:i/>
          <w:sz w:val="20"/>
          <w:szCs w:val="20"/>
          <w:vertAlign w:val="subscript"/>
          <w:lang w:val="en-US"/>
        </w:rPr>
        <w:t>f</w:t>
      </w:r>
      <w:r w:rsidRPr="0004059C">
        <w:rPr>
          <w:rFonts w:ascii="Times New Roman" w:hAnsi="Times New Roman" w:cs="Times New Roman"/>
          <w:sz w:val="20"/>
          <w:szCs w:val="20"/>
          <w:lang w:val="en-US"/>
        </w:rPr>
        <w:t xml:space="preserve"> – monetary costs on compensation of ecological damage and on motor fuel, $/(kW∙h); </w:t>
      </w:r>
      <w:r w:rsidRPr="0004059C">
        <w:rPr>
          <w:rFonts w:ascii="Times New Roman" w:hAnsi="Times New Roman" w:cs="Times New Roman"/>
          <w:i/>
          <w:sz w:val="20"/>
          <w:szCs w:val="20"/>
          <w:lang w:val="en-US"/>
        </w:rPr>
        <w:t>g</w:t>
      </w:r>
      <w:r w:rsidRPr="0004059C">
        <w:rPr>
          <w:rFonts w:ascii="Times New Roman" w:hAnsi="Times New Roman" w:cs="Times New Roman"/>
          <w:i/>
          <w:sz w:val="20"/>
          <w:szCs w:val="20"/>
          <w:vertAlign w:val="subscript"/>
          <w:lang w:val="en-US"/>
        </w:rPr>
        <w:t>e</w:t>
      </w:r>
      <w:r w:rsidRPr="0004059C">
        <w:rPr>
          <w:rFonts w:ascii="Times New Roman" w:hAnsi="Times New Roman" w:cs="Times New Roman"/>
          <w:sz w:val="20"/>
          <w:szCs w:val="20"/>
          <w:lang w:val="en-US"/>
        </w:rPr>
        <w:t xml:space="preserve"> – specific effective fuel consumption (mass hourly) , kg/(kW∙h); </w:t>
      </w:r>
      <w:r w:rsidRPr="0004059C">
        <w:rPr>
          <w:rFonts w:ascii="Times New Roman" w:hAnsi="Times New Roman" w:cs="Times New Roman"/>
          <w:i/>
          <w:sz w:val="20"/>
          <w:szCs w:val="20"/>
          <w:lang w:val="en-US"/>
        </w:rPr>
        <w:t>M</w:t>
      </w:r>
      <w:r w:rsidRPr="0004059C">
        <w:rPr>
          <w:rFonts w:ascii="Times New Roman" w:hAnsi="Times New Roman" w:cs="Times New Roman"/>
          <w:i/>
          <w:sz w:val="20"/>
          <w:szCs w:val="20"/>
          <w:vertAlign w:val="subscript"/>
          <w:lang w:val="en-US"/>
        </w:rPr>
        <w:t>T</w:t>
      </w:r>
      <w:r w:rsidRPr="0004059C">
        <w:rPr>
          <w:rFonts w:ascii="Times New Roman" w:hAnsi="Times New Roman" w:cs="Times New Roman"/>
          <w:sz w:val="20"/>
          <w:szCs w:val="20"/>
          <w:lang w:val="en-US"/>
        </w:rPr>
        <w:t xml:space="preserve"> and </w:t>
      </w:r>
      <w:r w:rsidRPr="0004059C">
        <w:rPr>
          <w:rFonts w:ascii="Times New Roman" w:hAnsi="Times New Roman" w:cs="Times New Roman"/>
          <w:i/>
          <w:sz w:val="20"/>
          <w:szCs w:val="20"/>
          <w:lang w:val="en-US"/>
        </w:rPr>
        <w:t>n</w:t>
      </w:r>
      <w:r w:rsidRPr="0004059C">
        <w:rPr>
          <w:rFonts w:ascii="Times New Roman" w:hAnsi="Times New Roman" w:cs="Times New Roman"/>
          <w:i/>
          <w:sz w:val="20"/>
          <w:szCs w:val="20"/>
          <w:vertAlign w:val="subscript"/>
          <w:lang w:val="en-US"/>
        </w:rPr>
        <w:t>cs</w:t>
      </w:r>
      <w:r w:rsidRPr="0004059C">
        <w:rPr>
          <w:rFonts w:ascii="Times New Roman" w:hAnsi="Times New Roman" w:cs="Times New Roman"/>
          <w:sz w:val="20"/>
          <w:szCs w:val="20"/>
          <w:lang w:val="en-US"/>
        </w:rPr>
        <w:t xml:space="preserve"> – crankshaft torque and speed, N∙m and rpm; </w:t>
      </w:r>
      <w:r w:rsidRPr="0004059C">
        <w:rPr>
          <w:rFonts w:ascii="Times New Roman" w:hAnsi="Times New Roman" w:cs="Times New Roman"/>
          <w:i/>
          <w:sz w:val="20"/>
          <w:szCs w:val="20"/>
          <w:lang w:val="en-US"/>
        </w:rPr>
        <w:t>P</w:t>
      </w:r>
      <w:r w:rsidRPr="0004059C">
        <w:rPr>
          <w:rFonts w:ascii="Times New Roman" w:hAnsi="Times New Roman" w:cs="Times New Roman"/>
          <w:i/>
          <w:sz w:val="20"/>
          <w:szCs w:val="20"/>
          <w:vertAlign w:val="subscript"/>
          <w:lang w:val="en-US"/>
        </w:rPr>
        <w:t>f</w:t>
      </w:r>
      <w:r w:rsidRPr="0004059C">
        <w:rPr>
          <w:rFonts w:ascii="Times New Roman" w:hAnsi="Times New Roman" w:cs="Times New Roman"/>
          <w:sz w:val="20"/>
          <w:szCs w:val="20"/>
          <w:lang w:val="en-US"/>
        </w:rPr>
        <w:t xml:space="preserve"> – price of weight unit of motor fuel, $/kg (fuel density ρ</w:t>
      </w:r>
      <w:r w:rsidRPr="0004059C">
        <w:rPr>
          <w:rFonts w:ascii="Times New Roman" w:hAnsi="Times New Roman" w:cs="Times New Roman"/>
          <w:i/>
          <w:sz w:val="20"/>
          <w:szCs w:val="20"/>
          <w:vertAlign w:val="subscript"/>
          <w:lang w:val="en-US"/>
        </w:rPr>
        <w:t>fuel</w:t>
      </w:r>
      <w:r w:rsidRPr="0004059C">
        <w:rPr>
          <w:rFonts w:ascii="Times New Roman" w:hAnsi="Times New Roman" w:cs="Times New Roman"/>
          <w:sz w:val="20"/>
          <w:szCs w:val="20"/>
          <w:lang w:val="en-US"/>
        </w:rPr>
        <w:t xml:space="preserve"> = 0.850 kg/m</w:t>
      </w:r>
      <w:r w:rsidRPr="0004059C">
        <w:rPr>
          <w:rFonts w:ascii="Times New Roman" w:hAnsi="Times New Roman" w:cs="Times New Roman"/>
          <w:sz w:val="20"/>
          <w:szCs w:val="20"/>
          <w:vertAlign w:val="superscript"/>
          <w:lang w:val="en-US"/>
        </w:rPr>
        <w:t>3</w:t>
      </w:r>
      <w:r w:rsidRPr="0004059C">
        <w:rPr>
          <w:rFonts w:ascii="Times New Roman" w:hAnsi="Times New Roman" w:cs="Times New Roman"/>
          <w:sz w:val="20"/>
          <w:szCs w:val="20"/>
          <w:lang w:val="en-US"/>
        </w:rPr>
        <w:t xml:space="preserve">); </w:t>
      </w:r>
      <w:r w:rsidRPr="0004059C">
        <w:rPr>
          <w:rFonts w:ascii="Times New Roman" w:hAnsi="Times New Roman" w:cs="Times New Roman"/>
          <w:i/>
          <w:sz w:val="20"/>
          <w:szCs w:val="20"/>
          <w:lang w:val="en-US"/>
        </w:rPr>
        <w:t>U</w:t>
      </w:r>
      <w:r w:rsidRPr="0004059C">
        <w:rPr>
          <w:rFonts w:ascii="Times New Roman" w:hAnsi="Times New Roman" w:cs="Times New Roman"/>
          <w:i/>
          <w:sz w:val="20"/>
          <w:szCs w:val="20"/>
          <w:vertAlign w:val="subscript"/>
          <w:lang w:val="en-US"/>
        </w:rPr>
        <w:t>e</w:t>
      </w:r>
      <w:r w:rsidRPr="0004059C">
        <w:rPr>
          <w:rFonts w:ascii="Times New Roman" w:hAnsi="Times New Roman" w:cs="Times New Roman"/>
          <w:sz w:val="20"/>
          <w:szCs w:val="20"/>
          <w:lang w:val="en-US"/>
        </w:rPr>
        <w:t xml:space="preserve"> – monetary compensation of ecological damage, $/kg; </w:t>
      </w:r>
      <w:r w:rsidRPr="0004059C">
        <w:rPr>
          <w:rFonts w:ascii="Times New Roman" w:hAnsi="Times New Roman" w:cs="Times New Roman"/>
          <w:i/>
          <w:sz w:val="20"/>
          <w:szCs w:val="20"/>
          <w:lang w:val="en-US"/>
        </w:rPr>
        <w:t>g</w:t>
      </w:r>
      <w:r w:rsidRPr="0004059C">
        <w:rPr>
          <w:rFonts w:ascii="Times New Roman" w:hAnsi="Times New Roman" w:cs="Times New Roman"/>
          <w:i/>
          <w:sz w:val="20"/>
          <w:szCs w:val="20"/>
          <w:vertAlign w:val="subscript"/>
          <w:lang w:val="en-US"/>
        </w:rPr>
        <w:t>pr</w:t>
      </w:r>
      <w:r w:rsidRPr="0004059C">
        <w:rPr>
          <w:rFonts w:ascii="Times New Roman" w:hAnsi="Times New Roman" w:cs="Times New Roman"/>
          <w:sz w:val="20"/>
          <w:szCs w:val="20"/>
          <w:lang w:val="en-US"/>
        </w:rPr>
        <w:t xml:space="preserve"> – specific reduced emission of pollutants with flow of EG (dimensionless quantity).</w:t>
      </w:r>
    </w:p>
    <w:p w:rsidR="00F775BC" w:rsidRPr="0004059C" w:rsidRDefault="00F775BC">
      <w:pPr>
        <w:widowControl w:val="0"/>
        <w:ind w:firstLine="283"/>
        <w:jc w:val="both"/>
        <w:rPr>
          <w:color w:val="000000"/>
          <w:sz w:val="20"/>
          <w:szCs w:val="20"/>
          <w:lang w:val="en-US"/>
        </w:rPr>
      </w:pPr>
      <w:r w:rsidRPr="0004059C">
        <w:rPr>
          <w:color w:val="000000"/>
          <w:sz w:val="20"/>
          <w:szCs w:val="20"/>
          <w:lang w:val="en-US"/>
        </w:rPr>
        <w:t>However, in order to perform a comparative calculation study of RICE in FERV</w:t>
      </w:r>
      <w:r w:rsidRPr="0004059C">
        <w:rPr>
          <w:sz w:val="20"/>
          <w:szCs w:val="20"/>
          <w:lang w:val="en-US"/>
        </w:rPr>
        <w:t xml:space="preserve"> – </w:t>
      </w:r>
      <w:r w:rsidRPr="0004059C">
        <w:rPr>
          <w:color w:val="000000"/>
          <w:sz w:val="20"/>
          <w:szCs w:val="20"/>
          <w:lang w:val="en-US"/>
        </w:rPr>
        <w:t>across different and identical brands, various models with different production years, theoretically and experimentally investigated at different times, or for the same RICE in varying technical conditions, operational environments, or countries</w:t>
      </w:r>
      <w:r w:rsidRPr="0004059C">
        <w:rPr>
          <w:sz w:val="20"/>
          <w:szCs w:val="20"/>
          <w:lang w:val="en-US"/>
        </w:rPr>
        <w:t xml:space="preserve"> – </w:t>
      </w:r>
      <w:r w:rsidRPr="0004059C">
        <w:rPr>
          <w:color w:val="000000"/>
          <w:sz w:val="20"/>
          <w:szCs w:val="20"/>
          <w:lang w:val="en-US"/>
        </w:rPr>
        <w:t>it is necessary to standardize the units of expression of all relevant values</w:t>
      </w:r>
      <w:r w:rsidRPr="0004059C">
        <w:rPr>
          <w:i/>
          <w:iCs/>
          <w:color w:val="000000"/>
          <w:sz w:val="20"/>
          <w:szCs w:val="20"/>
          <w:lang w:val="en-US"/>
        </w:rPr>
        <w:t xml:space="preserve"> Z</w:t>
      </w:r>
      <w:r w:rsidRPr="0004059C">
        <w:rPr>
          <w:i/>
          <w:iCs/>
          <w:color w:val="000000"/>
          <w:sz w:val="20"/>
          <w:szCs w:val="20"/>
          <w:vertAlign w:val="subscript"/>
          <w:lang w:val="en-US"/>
        </w:rPr>
        <w:t>f</w:t>
      </w:r>
      <w:r w:rsidRPr="0004059C">
        <w:rPr>
          <w:color w:val="000000"/>
          <w:sz w:val="20"/>
          <w:szCs w:val="20"/>
          <w:lang w:val="en-US"/>
        </w:rPr>
        <w:t xml:space="preserve">, </w:t>
      </w:r>
      <w:r w:rsidRPr="0004059C">
        <w:rPr>
          <w:i/>
          <w:iCs/>
          <w:color w:val="000000"/>
          <w:sz w:val="20"/>
          <w:szCs w:val="20"/>
          <w:lang w:val="en-US"/>
        </w:rPr>
        <w:t>Z</w:t>
      </w:r>
      <w:r w:rsidRPr="0004059C">
        <w:rPr>
          <w:i/>
          <w:iCs/>
          <w:color w:val="000000"/>
          <w:sz w:val="20"/>
          <w:szCs w:val="20"/>
          <w:vertAlign w:val="subscript"/>
          <w:lang w:val="en-US"/>
        </w:rPr>
        <w:t>е</w:t>
      </w:r>
      <w:r w:rsidRPr="0004059C">
        <w:rPr>
          <w:color w:val="000000"/>
          <w:sz w:val="20"/>
          <w:szCs w:val="20"/>
          <w:lang w:val="en-US"/>
        </w:rPr>
        <w:t xml:space="preserve"> and </w:t>
      </w:r>
      <w:r w:rsidRPr="0004059C">
        <w:rPr>
          <w:i/>
          <w:iCs/>
          <w:color w:val="000000"/>
          <w:sz w:val="20"/>
          <w:szCs w:val="20"/>
          <w:lang w:val="en-US"/>
        </w:rPr>
        <w:t>Z</w:t>
      </w:r>
      <w:r w:rsidRPr="0004059C">
        <w:rPr>
          <w:i/>
          <w:iCs/>
          <w:color w:val="000000"/>
          <w:sz w:val="20"/>
          <w:szCs w:val="20"/>
          <w:vertAlign w:val="subscript"/>
          <w:lang w:val="en-US"/>
        </w:rPr>
        <w:t>fe</w:t>
      </w:r>
      <w:r w:rsidRPr="0004059C">
        <w:rPr>
          <w:color w:val="000000"/>
          <w:sz w:val="20"/>
          <w:szCs w:val="20"/>
          <w:lang w:val="en-US"/>
        </w:rPr>
        <w:t xml:space="preserve"> problem. In the </w:t>
      </w:r>
      <w:r w:rsidRPr="0004059C">
        <w:rPr>
          <w:i/>
          <w:iCs/>
          <w:color w:val="000000"/>
          <w:sz w:val="20"/>
          <w:szCs w:val="20"/>
          <w:lang w:val="en-US"/>
        </w:rPr>
        <w:t>K</w:t>
      </w:r>
      <w:r w:rsidRPr="0004059C">
        <w:rPr>
          <w:i/>
          <w:iCs/>
          <w:color w:val="000000"/>
          <w:sz w:val="20"/>
          <w:szCs w:val="20"/>
          <w:vertAlign w:val="subscript"/>
          <w:lang w:val="en-US"/>
        </w:rPr>
        <w:t>fe</w:t>
      </w:r>
      <w:r w:rsidRPr="0004059C">
        <w:rPr>
          <w:color w:val="000000"/>
          <w:sz w:val="20"/>
          <w:szCs w:val="20"/>
          <w:lang w:val="en-US"/>
        </w:rPr>
        <w:t xml:space="preserve"> criterion original mathematical apparatus at the time of its developing (2003), this units were Ukrainian Hrivnas (UAH) per kilo watt per hour – ₴/(kW∙h) [33], in the research work [1] it has been proposed to standardize all monetary values by converting them to United States dollars (USD) – a globally recognized reserve currency that is freely convertible and whose historical record fully encompasses the operational period of the RICE under our study as is, i.e. $/(kW∙h). However, under conditions of extreme volatility in the exchange rate between the Ukrainian Hryvnia (UAH) and the US Dollar (USD) [36], there is a degree of uncertainty in determining the precise magnitudes of the monetary cost values </w:t>
      </w:r>
      <w:r w:rsidRPr="0004059C">
        <w:rPr>
          <w:i/>
          <w:iCs/>
          <w:color w:val="000000"/>
          <w:sz w:val="20"/>
          <w:szCs w:val="20"/>
          <w:lang w:val="en-US"/>
        </w:rPr>
        <w:t>Z</w:t>
      </w:r>
      <w:r w:rsidRPr="0004059C">
        <w:rPr>
          <w:i/>
          <w:iCs/>
          <w:color w:val="000000"/>
          <w:sz w:val="20"/>
          <w:szCs w:val="20"/>
          <w:vertAlign w:val="subscript"/>
          <w:lang w:val="en-US"/>
        </w:rPr>
        <w:t>f</w:t>
      </w:r>
      <w:r w:rsidRPr="0004059C">
        <w:rPr>
          <w:color w:val="000000"/>
          <w:sz w:val="20"/>
          <w:szCs w:val="20"/>
          <w:lang w:val="en-US"/>
        </w:rPr>
        <w:t xml:space="preserve">, </w:t>
      </w:r>
      <w:r w:rsidRPr="0004059C">
        <w:rPr>
          <w:i/>
          <w:iCs/>
          <w:color w:val="000000"/>
          <w:sz w:val="20"/>
          <w:szCs w:val="20"/>
          <w:lang w:val="en-US"/>
        </w:rPr>
        <w:t>Z</w:t>
      </w:r>
      <w:r w:rsidRPr="0004059C">
        <w:rPr>
          <w:i/>
          <w:iCs/>
          <w:color w:val="000000"/>
          <w:sz w:val="20"/>
          <w:szCs w:val="20"/>
          <w:vertAlign w:val="subscript"/>
          <w:lang w:val="en-US"/>
        </w:rPr>
        <w:t>е</w:t>
      </w:r>
      <w:r w:rsidRPr="0004059C">
        <w:rPr>
          <w:color w:val="000000"/>
          <w:sz w:val="20"/>
          <w:szCs w:val="20"/>
          <w:lang w:val="en-US"/>
        </w:rPr>
        <w:t xml:space="preserve"> and </w:t>
      </w:r>
      <w:r w:rsidRPr="0004059C">
        <w:rPr>
          <w:i/>
          <w:iCs/>
          <w:color w:val="000000"/>
          <w:sz w:val="20"/>
          <w:szCs w:val="20"/>
          <w:lang w:val="en-US"/>
        </w:rPr>
        <w:t>Z</w:t>
      </w:r>
      <w:r w:rsidRPr="0004059C">
        <w:rPr>
          <w:i/>
          <w:iCs/>
          <w:color w:val="000000"/>
          <w:sz w:val="20"/>
          <w:szCs w:val="20"/>
          <w:vertAlign w:val="subscript"/>
          <w:lang w:val="en-US"/>
        </w:rPr>
        <w:t>fe</w:t>
      </w:r>
      <w:r w:rsidRPr="0004059C">
        <w:rPr>
          <w:color w:val="000000"/>
          <w:sz w:val="20"/>
          <w:szCs w:val="20"/>
          <w:lang w:val="en-US"/>
        </w:rPr>
        <w:t xml:space="preserve"> for various historical periods. </w:t>
      </w:r>
    </w:p>
    <w:p w:rsidR="00F775BC" w:rsidRPr="0004059C" w:rsidRDefault="00F775BC">
      <w:pPr>
        <w:widowControl w:val="0"/>
        <w:ind w:firstLine="283"/>
        <w:jc w:val="both"/>
        <w:rPr>
          <w:color w:val="000000"/>
          <w:sz w:val="20"/>
          <w:szCs w:val="20"/>
          <w:lang w:val="en-US"/>
        </w:rPr>
      </w:pPr>
      <w:r w:rsidRPr="0004059C">
        <w:rPr>
          <w:color w:val="000000"/>
          <w:sz w:val="20"/>
          <w:szCs w:val="20"/>
          <w:lang w:val="en-US"/>
        </w:rPr>
        <w:t>Thus, when the Ukrainian Hryvnia was introduced into circulation in 1996, its official exchange rate against the US Dollar was less than 2 ₴/$, at the time of creation of the original criterion mathematical apparatus (2003) – about 5 ₴/$, at the time of obtaining experimental data in study [1] (2013) – about 8 ₴/$, at the time of creation of mathematical models described in [37,38] (2014) – about 12 ₴/$, at the time of publication of the study [1] (2018) it was about 28.5 ₴/$, at the time of publication of the study [35] (2019) it was about 23.5 ₴/$ and now (2025) it is about 52.5 ₴/$. This historical evolution of exchange rates is illustrated in Fig. 1: for the US Dollar (Fig. 1a), the Euro (Fig. 1b), and the Russian Ruble (Fig. 1c) [2].</w:t>
      </w:r>
    </w:p>
    <w:p w:rsidR="00F775BC" w:rsidRPr="0004059C" w:rsidRDefault="00F775BC">
      <w:pPr>
        <w:widowControl w:val="0"/>
        <w:ind w:firstLine="283"/>
        <w:jc w:val="both"/>
        <w:rPr>
          <w:rStyle w:val="tlid-translationtranslation"/>
          <w:color w:val="000000"/>
          <w:sz w:val="20"/>
          <w:szCs w:val="20"/>
          <w:lang w:val="en-US"/>
        </w:rPr>
      </w:pPr>
      <w:r w:rsidRPr="0004059C">
        <w:rPr>
          <w:color w:val="000000"/>
          <w:sz w:val="20"/>
          <w:szCs w:val="20"/>
          <w:lang w:val="en-US"/>
        </w:rPr>
        <w:t xml:space="preserve">he initial dataset for this study was derived from the analysis of bench motor tests reported in studies [37, 38] for the 2Ch10.5/12 autotractor diesel engine. These datasets include the distributions of the </w:t>
      </w:r>
      <w:r w:rsidRPr="0004059C">
        <w:rPr>
          <w:i/>
          <w:iCs/>
          <w:color w:val="000000"/>
          <w:sz w:val="20"/>
          <w:szCs w:val="20"/>
          <w:lang w:val="en-US"/>
        </w:rPr>
        <w:t>K</w:t>
      </w:r>
      <w:r w:rsidRPr="0004059C">
        <w:rPr>
          <w:i/>
          <w:iCs/>
          <w:color w:val="000000"/>
          <w:sz w:val="20"/>
          <w:szCs w:val="20"/>
          <w:vertAlign w:val="subscript"/>
          <w:lang w:val="en-US"/>
        </w:rPr>
        <w:t>fe</w:t>
      </w:r>
      <w:r w:rsidRPr="0004059C">
        <w:rPr>
          <w:color w:val="000000"/>
          <w:sz w:val="20"/>
          <w:szCs w:val="20"/>
          <w:lang w:val="en-US"/>
        </w:rPr>
        <w:t xml:space="preserve"> criterion and its fuel and ecological components (see Fig. 2), as well as the monetary components of the </w:t>
      </w:r>
      <w:r w:rsidRPr="0004059C">
        <w:rPr>
          <w:i/>
          <w:iCs/>
          <w:color w:val="000000"/>
          <w:sz w:val="20"/>
          <w:szCs w:val="20"/>
          <w:lang w:val="en-US"/>
        </w:rPr>
        <w:t>K</w:t>
      </w:r>
      <w:r w:rsidRPr="0004059C">
        <w:rPr>
          <w:i/>
          <w:iCs/>
          <w:color w:val="000000"/>
          <w:sz w:val="20"/>
          <w:szCs w:val="20"/>
          <w:vertAlign w:val="subscript"/>
          <w:lang w:val="en-US"/>
        </w:rPr>
        <w:t>fe</w:t>
      </w:r>
      <w:r w:rsidRPr="0004059C">
        <w:rPr>
          <w:color w:val="000000"/>
          <w:sz w:val="20"/>
          <w:szCs w:val="20"/>
          <w:lang w:val="en-US"/>
        </w:rPr>
        <w:t xml:space="preserve"> criterion (see Fig. 3) across the full range of operational modes. These initial data were also employed in the complex, criteria-based assessment of the environmental safety (ES) level of the operational processes of power plants (PP) equipped with RICE, as reported in previous studies [35, 39]. For the post-operational stage of the RICE life cycle, fundamentally different assessment approaches should be applied </w:t>
      </w:r>
      <w:r w:rsidRPr="0004059C">
        <w:rPr>
          <w:rStyle w:val="tlid-translationtranslation"/>
          <w:color w:val="000000"/>
          <w:sz w:val="20"/>
          <w:szCs w:val="20"/>
          <w:lang w:val="en-US"/>
        </w:rPr>
        <w:t xml:space="preserve">[40]. </w:t>
      </w:r>
    </w:p>
    <w:p w:rsidR="00F775BC" w:rsidRPr="00D56FC8" w:rsidRDefault="00F775BC">
      <w:pPr>
        <w:widowControl w:val="0"/>
        <w:spacing w:before="360" w:after="360"/>
        <w:jc w:val="center"/>
        <w:rPr>
          <w:rFonts w:eastAsia="Calibri"/>
          <w:b/>
          <w:bCs/>
          <w:smallCaps/>
          <w:color w:val="000000"/>
          <w:lang w:val="en-US"/>
        </w:rPr>
      </w:pPr>
      <w:r w:rsidRPr="00D56FC8">
        <w:rPr>
          <w:rFonts w:eastAsia="Times New Roman"/>
          <w:b/>
          <w:color w:val="000000"/>
          <w:szCs w:val="20"/>
          <w:lang w:val="en-US"/>
        </w:rPr>
        <w:t>RESULTS AND DISCUSSION</w:t>
      </w:r>
    </w:p>
    <w:p w:rsidR="00F775BC" w:rsidRPr="00D56FC8" w:rsidRDefault="00F775BC">
      <w:pPr>
        <w:widowControl w:val="0"/>
        <w:tabs>
          <w:tab w:val="left" w:pos="2410"/>
        </w:tabs>
        <w:ind w:firstLine="283"/>
        <w:jc w:val="both"/>
        <w:rPr>
          <w:color w:val="000000"/>
          <w:sz w:val="20"/>
          <w:szCs w:val="20"/>
          <w:lang w:val="en-US"/>
        </w:rPr>
      </w:pPr>
      <w:r w:rsidRPr="00D56FC8">
        <w:rPr>
          <w:color w:val="000000"/>
          <w:sz w:val="20"/>
          <w:szCs w:val="20"/>
          <w:lang w:val="en-US"/>
        </w:rPr>
        <w:t xml:space="preserve">In this study we have calculated the following variants of the </w:t>
      </w:r>
      <w:r w:rsidRPr="00D56FC8">
        <w:rPr>
          <w:i/>
          <w:iCs/>
          <w:color w:val="000000"/>
          <w:sz w:val="20"/>
          <w:szCs w:val="20"/>
          <w:lang w:val="en-US"/>
        </w:rPr>
        <w:t>P</w:t>
      </w:r>
      <w:r w:rsidRPr="00D56FC8">
        <w:rPr>
          <w:i/>
          <w:iCs/>
          <w:color w:val="000000"/>
          <w:sz w:val="20"/>
          <w:szCs w:val="20"/>
          <w:vertAlign w:val="subscript"/>
          <w:lang w:val="en-US"/>
        </w:rPr>
        <w:t>f</w:t>
      </w:r>
      <w:r w:rsidRPr="00D56FC8">
        <w:rPr>
          <w:color w:val="000000"/>
          <w:sz w:val="20"/>
          <w:szCs w:val="20"/>
          <w:lang w:val="en-US"/>
        </w:rPr>
        <w:t xml:space="preserve"> – price of weight unit of diesel fuel expression: A) 1.81 ₴/kg (numerical value at the time of publication of the work [33] – 2003); B) 0.34 $/kg (numerical value at the time of publication of the work [33]); C) 23.08 ₴/kg (numerical value at the time of publication of the work [1] – 2018); D) 0.871 $/kg (numerical value at the time of publication of the work [1]); E) 29.40 ₴/kg (numerical value at the time of publication of the work [35] – 2019); G) 1.153 $/kg (the numerical value corresponding to the time of publication of the monograph [35]).</w:t>
      </w:r>
    </w:p>
    <w:p w:rsidR="00F775BC" w:rsidRPr="00D56FC8" w:rsidRDefault="00F775BC">
      <w:pPr>
        <w:widowControl w:val="0"/>
        <w:ind w:firstLine="283"/>
        <w:jc w:val="both"/>
        <w:rPr>
          <w:color w:val="000000"/>
          <w:sz w:val="20"/>
          <w:szCs w:val="20"/>
          <w:lang w:val="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6"/>
        <w:gridCol w:w="4703"/>
      </w:tblGrid>
      <w:tr w:rsidR="00F775BC" w:rsidRPr="00D56FC8">
        <w:tc>
          <w:tcPr>
            <w:tcW w:w="4703" w:type="dxa"/>
            <w:tcBorders>
              <w:top w:val="nil"/>
              <w:left w:val="nil"/>
              <w:bottom w:val="nil"/>
              <w:right w:val="nil"/>
            </w:tcBorders>
          </w:tcPr>
          <w:p w:rsidR="00F775BC" w:rsidRPr="00D56FC8" w:rsidRDefault="00997EF5">
            <w:pPr>
              <w:widowControl w:val="0"/>
              <w:jc w:val="center"/>
              <w:rPr>
                <w:rStyle w:val="alt-edited"/>
                <w:rFonts w:ascii="Calibri" w:eastAsia="Calibri" w:hAnsi="Calibri"/>
                <w:color w:val="000000"/>
                <w:sz w:val="18"/>
                <w:szCs w:val="18"/>
                <w:lang w:val="en-US"/>
              </w:rPr>
            </w:pPr>
            <w:r>
              <w:rPr>
                <w:rFonts w:ascii="Calibri" w:eastAsia="Calibri" w:hAnsi="Calibri"/>
                <w:noProof/>
                <w:color w:val="000000"/>
                <w:sz w:val="18"/>
                <w:szCs w:val="18"/>
              </w:rPr>
              <w:lastRenderedPageBreak/>
              <w:drawing>
                <wp:inline distT="0" distB="0" distL="0" distR="0">
                  <wp:extent cx="2893060" cy="2224405"/>
                  <wp:effectExtent l="0" t="0" r="2540" b="4445"/>
                  <wp:docPr id="13" name="Изображение 196" descr="Fig 1,a_merged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6" descr="Fig 1,a_merged_page-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3060" cy="2224405"/>
                          </a:xfrm>
                          <a:prstGeom prst="rect">
                            <a:avLst/>
                          </a:prstGeom>
                          <a:noFill/>
                          <a:ln>
                            <a:noFill/>
                          </a:ln>
                        </pic:spPr>
                      </pic:pic>
                    </a:graphicData>
                  </a:graphic>
                </wp:inline>
              </w:drawing>
            </w:r>
          </w:p>
        </w:tc>
        <w:tc>
          <w:tcPr>
            <w:tcW w:w="4703" w:type="dxa"/>
            <w:tcBorders>
              <w:top w:val="nil"/>
              <w:left w:val="nil"/>
              <w:bottom w:val="nil"/>
              <w:right w:val="nil"/>
            </w:tcBorders>
          </w:tcPr>
          <w:p w:rsidR="00F775BC" w:rsidRPr="00D56FC8" w:rsidRDefault="00997EF5">
            <w:pPr>
              <w:widowControl w:val="0"/>
              <w:jc w:val="center"/>
              <w:rPr>
                <w:rStyle w:val="alt-edited"/>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2825115" cy="2251710"/>
                  <wp:effectExtent l="0" t="0" r="0" b="0"/>
                  <wp:docPr id="14" name="Изображение 197" descr="Fig 1,a_merged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7" descr="Fig 1,a_merged_page-00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5115" cy="2251710"/>
                          </a:xfrm>
                          <a:prstGeom prst="rect">
                            <a:avLst/>
                          </a:prstGeom>
                          <a:noFill/>
                          <a:ln>
                            <a:noFill/>
                          </a:ln>
                        </pic:spPr>
                      </pic:pic>
                    </a:graphicData>
                  </a:graphic>
                </wp:inline>
              </w:drawing>
            </w:r>
          </w:p>
        </w:tc>
      </w:tr>
      <w:tr w:rsidR="00F775BC" w:rsidRPr="00D56FC8">
        <w:tc>
          <w:tcPr>
            <w:tcW w:w="4703" w:type="dxa"/>
            <w:tcBorders>
              <w:top w:val="nil"/>
              <w:left w:val="nil"/>
              <w:bottom w:val="nil"/>
              <w:right w:val="nil"/>
            </w:tcBorders>
          </w:tcPr>
          <w:p w:rsidR="00F775BC" w:rsidRPr="00D56FC8" w:rsidRDefault="00F775BC">
            <w:pPr>
              <w:widowControl w:val="0"/>
              <w:jc w:val="center"/>
              <w:rPr>
                <w:rStyle w:val="alt-edited"/>
                <w:rFonts w:eastAsia="Calibri"/>
                <w:color w:val="000000"/>
                <w:sz w:val="20"/>
                <w:szCs w:val="20"/>
                <w:lang w:val="en-US"/>
              </w:rPr>
            </w:pPr>
            <w:r w:rsidRPr="00D56FC8">
              <w:rPr>
                <w:rStyle w:val="alt-edited"/>
                <w:rFonts w:eastAsia="Calibri"/>
                <w:color w:val="000000"/>
                <w:sz w:val="20"/>
                <w:szCs w:val="20"/>
                <w:lang w:val="en-US"/>
              </w:rPr>
              <w:t>(a)</w:t>
            </w:r>
          </w:p>
        </w:tc>
        <w:tc>
          <w:tcPr>
            <w:tcW w:w="4703" w:type="dxa"/>
            <w:tcBorders>
              <w:top w:val="nil"/>
              <w:left w:val="nil"/>
              <w:bottom w:val="nil"/>
              <w:right w:val="nil"/>
            </w:tcBorders>
          </w:tcPr>
          <w:p w:rsidR="00F775BC" w:rsidRPr="00D56FC8" w:rsidRDefault="00F775BC">
            <w:pPr>
              <w:widowControl w:val="0"/>
              <w:jc w:val="center"/>
              <w:rPr>
                <w:rStyle w:val="alt-edited"/>
                <w:rFonts w:eastAsia="Calibri"/>
                <w:color w:val="000000"/>
                <w:sz w:val="20"/>
                <w:szCs w:val="20"/>
                <w:lang w:val="en-US"/>
              </w:rPr>
            </w:pPr>
            <w:r w:rsidRPr="00D56FC8">
              <w:rPr>
                <w:rStyle w:val="alt-edited"/>
                <w:rFonts w:eastAsia="Calibri"/>
                <w:color w:val="000000"/>
                <w:sz w:val="20"/>
                <w:szCs w:val="20"/>
                <w:lang w:val="en-US"/>
              </w:rPr>
              <w:t>(b)</w:t>
            </w:r>
          </w:p>
        </w:tc>
      </w:tr>
      <w:tr w:rsidR="00F775BC" w:rsidRPr="00D56FC8">
        <w:tc>
          <w:tcPr>
            <w:tcW w:w="9406" w:type="dxa"/>
            <w:gridSpan w:val="2"/>
            <w:tcBorders>
              <w:top w:val="nil"/>
              <w:left w:val="nil"/>
              <w:bottom w:val="nil"/>
              <w:right w:val="nil"/>
            </w:tcBorders>
          </w:tcPr>
          <w:p w:rsidR="00F775BC" w:rsidRPr="00D56FC8" w:rsidRDefault="00997EF5">
            <w:pPr>
              <w:widowControl w:val="0"/>
              <w:jc w:val="center"/>
              <w:rPr>
                <w:rStyle w:val="alt-edited"/>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2743200" cy="2211070"/>
                  <wp:effectExtent l="0" t="0" r="0" b="0"/>
                  <wp:docPr id="15" name="Изображение 198" descr="Fig 1,a_merged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8" descr="Fig 1,a_merged_page-00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211070"/>
                          </a:xfrm>
                          <a:prstGeom prst="rect">
                            <a:avLst/>
                          </a:prstGeom>
                          <a:noFill/>
                          <a:ln>
                            <a:noFill/>
                          </a:ln>
                        </pic:spPr>
                      </pic:pic>
                    </a:graphicData>
                  </a:graphic>
                </wp:inline>
              </w:drawing>
            </w:r>
          </w:p>
        </w:tc>
      </w:tr>
      <w:tr w:rsidR="00F775BC" w:rsidRPr="00D56FC8">
        <w:tc>
          <w:tcPr>
            <w:tcW w:w="9406" w:type="dxa"/>
            <w:gridSpan w:val="2"/>
            <w:tcBorders>
              <w:top w:val="nil"/>
              <w:left w:val="nil"/>
              <w:bottom w:val="nil"/>
              <w:right w:val="nil"/>
            </w:tcBorders>
          </w:tcPr>
          <w:p w:rsidR="00F775BC" w:rsidRPr="00D56FC8" w:rsidRDefault="00F775BC">
            <w:pPr>
              <w:widowControl w:val="0"/>
              <w:jc w:val="center"/>
              <w:rPr>
                <w:rStyle w:val="alt-edited"/>
                <w:rFonts w:eastAsia="Calibri"/>
                <w:color w:val="000000"/>
                <w:sz w:val="20"/>
                <w:szCs w:val="20"/>
                <w:lang w:val="en-US"/>
              </w:rPr>
            </w:pPr>
            <w:r w:rsidRPr="00D56FC8">
              <w:rPr>
                <w:rStyle w:val="alt-edited"/>
                <w:rFonts w:eastAsia="Calibri"/>
                <w:color w:val="000000"/>
                <w:sz w:val="20"/>
                <w:szCs w:val="20"/>
                <w:lang w:val="en-US"/>
              </w:rPr>
              <w:t>(c)</w:t>
            </w:r>
          </w:p>
        </w:tc>
      </w:tr>
      <w:tr w:rsidR="00F775BC" w:rsidRPr="00D56FC8">
        <w:tc>
          <w:tcPr>
            <w:tcW w:w="9406" w:type="dxa"/>
            <w:gridSpan w:val="2"/>
            <w:tcBorders>
              <w:top w:val="nil"/>
              <w:left w:val="nil"/>
              <w:bottom w:val="nil"/>
              <w:right w:val="nil"/>
            </w:tcBorders>
          </w:tcPr>
          <w:p w:rsidR="00F775BC" w:rsidRPr="00D56FC8" w:rsidRDefault="00F775BC">
            <w:pPr>
              <w:widowControl w:val="0"/>
              <w:jc w:val="center"/>
              <w:rPr>
                <w:rFonts w:eastAsia="Calibri"/>
                <w:bCs/>
                <w:color w:val="000000"/>
                <w:sz w:val="20"/>
                <w:szCs w:val="20"/>
                <w:lang w:val="en-US"/>
              </w:rPr>
            </w:pPr>
          </w:p>
          <w:p w:rsidR="00F775BC" w:rsidRPr="00D56FC8" w:rsidRDefault="00F775BC">
            <w:pPr>
              <w:widowControl w:val="0"/>
              <w:jc w:val="center"/>
              <w:rPr>
                <w:rStyle w:val="alt-edited"/>
                <w:rFonts w:ascii="Calibri" w:eastAsia="Calibri" w:hAnsi="Calibri"/>
                <w:color w:val="000000"/>
                <w:sz w:val="18"/>
                <w:szCs w:val="18"/>
                <w:lang w:val="en-US"/>
              </w:rPr>
            </w:pPr>
            <w:r w:rsidRPr="00D56FC8">
              <w:rPr>
                <w:rFonts w:eastAsia="Calibri"/>
                <w:b/>
                <w:bCs/>
                <w:color w:val="000000"/>
                <w:sz w:val="18"/>
                <w:szCs w:val="18"/>
                <w:lang w:val="en-US"/>
              </w:rPr>
              <w:t>FIGURE 1.</w:t>
            </w:r>
            <w:r w:rsidRPr="00D56FC8">
              <w:rPr>
                <w:rFonts w:eastAsia="Calibri"/>
                <w:color w:val="000000"/>
                <w:sz w:val="18"/>
                <w:szCs w:val="18"/>
                <w:lang w:val="en-US"/>
              </w:rPr>
              <w:t xml:space="preserve"> The official average monthly exchange </w:t>
            </w:r>
            <w:r w:rsidRPr="00D56FC8">
              <w:rPr>
                <w:rStyle w:val="alt-edited"/>
                <w:rFonts w:eastAsia="Times New Roman"/>
                <w:color w:val="000000"/>
                <w:sz w:val="18"/>
                <w:szCs w:val="18"/>
                <w:lang w:val="en-US"/>
              </w:rPr>
              <w:t xml:space="preserve">rate </w:t>
            </w:r>
            <w:r w:rsidRPr="00D56FC8">
              <w:rPr>
                <w:rFonts w:eastAsia="Calibri"/>
                <w:color w:val="000000"/>
                <w:sz w:val="18"/>
                <w:szCs w:val="18"/>
                <w:lang w:val="en-US"/>
              </w:rPr>
              <w:t>for the National Bank of Ukraine from 1998 to 2016 for the Hryvnia to the US Dollar (a), Euro (b) and Russian Ruble (c) [1,36]</w:t>
            </w:r>
          </w:p>
        </w:tc>
      </w:tr>
    </w:tbl>
    <w:p w:rsidR="00F775BC" w:rsidRPr="00D56FC8" w:rsidRDefault="00F775BC">
      <w:pPr>
        <w:widowControl w:val="0"/>
        <w:rPr>
          <w:rStyle w:val="alt-edited"/>
          <w:color w:val="000000"/>
          <w:sz w:val="20"/>
          <w:szCs w:val="20"/>
          <w:lang w:val="en-US"/>
        </w:rPr>
      </w:pPr>
    </w:p>
    <w:p w:rsidR="00F775BC" w:rsidRPr="00D56FC8" w:rsidRDefault="00F775BC">
      <w:pPr>
        <w:widowControl w:val="0"/>
        <w:ind w:firstLine="283"/>
        <w:jc w:val="both"/>
        <w:rPr>
          <w:rStyle w:val="alt-edited"/>
          <w:color w:val="000000"/>
          <w:sz w:val="20"/>
          <w:szCs w:val="20"/>
          <w:lang w:val="en-US"/>
        </w:rPr>
      </w:pPr>
      <w:r w:rsidRPr="00D56FC8">
        <w:rPr>
          <w:rStyle w:val="alt-edited"/>
          <w:color w:val="000000"/>
          <w:sz w:val="20"/>
          <w:szCs w:val="20"/>
          <w:lang w:val="en-US"/>
        </w:rPr>
        <w:t>It is taken into account that liquid motor fuel is distributed in the filling stations networks in volume units, i.e. in ₴/dm</w:t>
      </w:r>
      <w:r w:rsidRPr="00D56FC8">
        <w:rPr>
          <w:rStyle w:val="alt-edited"/>
          <w:color w:val="000000"/>
          <w:sz w:val="20"/>
          <w:szCs w:val="20"/>
          <w:vertAlign w:val="superscript"/>
          <w:lang w:val="en-US"/>
        </w:rPr>
        <w:t>3</w:t>
      </w:r>
      <w:r w:rsidRPr="00D56FC8">
        <w:rPr>
          <w:rStyle w:val="alt-edited"/>
          <w:color w:val="000000"/>
          <w:sz w:val="20"/>
          <w:szCs w:val="20"/>
          <w:lang w:val="en-US"/>
        </w:rPr>
        <w:t xml:space="preserve">, and the </w:t>
      </w:r>
      <w:r w:rsidRPr="00D56FC8">
        <w:rPr>
          <w:rStyle w:val="alt-edited"/>
          <w:rFonts w:eastAsia="Times New Roman"/>
          <w:color w:val="000000"/>
          <w:sz w:val="20"/>
          <w:szCs w:val="20"/>
          <w:lang w:val="en-US"/>
        </w:rPr>
        <w:t>density of diesel motor fuel ρ</w:t>
      </w:r>
      <w:r w:rsidRPr="00D56FC8">
        <w:rPr>
          <w:rStyle w:val="alt-edited"/>
          <w:rFonts w:eastAsia="Times New Roman"/>
          <w:i/>
          <w:iCs/>
          <w:color w:val="000000"/>
          <w:sz w:val="20"/>
          <w:szCs w:val="20"/>
          <w:vertAlign w:val="subscript"/>
          <w:lang w:val="en-US"/>
        </w:rPr>
        <w:t>fuel</w:t>
      </w:r>
      <w:r w:rsidRPr="00D56FC8">
        <w:rPr>
          <w:rStyle w:val="alt-edited"/>
          <w:rFonts w:eastAsia="Times New Roman"/>
          <w:color w:val="000000"/>
          <w:sz w:val="20"/>
          <w:szCs w:val="20"/>
          <w:lang w:val="en-US"/>
        </w:rPr>
        <w:t xml:space="preserve"> is 840–850 kg/m</w:t>
      </w:r>
      <w:r w:rsidRPr="00D56FC8">
        <w:rPr>
          <w:rStyle w:val="alt-edited"/>
          <w:rFonts w:eastAsia="Times New Roman"/>
          <w:color w:val="000000"/>
          <w:sz w:val="20"/>
          <w:szCs w:val="20"/>
          <w:vertAlign w:val="superscript"/>
          <w:lang w:val="en-US"/>
        </w:rPr>
        <w:t>3</w:t>
      </w:r>
      <w:r w:rsidRPr="00D56FC8">
        <w:rPr>
          <w:rStyle w:val="alt-edited"/>
          <w:rFonts w:eastAsia="Times New Roman"/>
          <w:color w:val="000000"/>
          <w:sz w:val="20"/>
          <w:szCs w:val="20"/>
          <w:lang w:val="en-US"/>
        </w:rPr>
        <w:t xml:space="preserve">. The results of a comparative calculation study to justify this choice are summarized in Table 1 and illustrated in Fig. 2 and Fig. 3. Namely, Fig. 2 shows the distributions of magnitudes of </w:t>
      </w:r>
      <w:r w:rsidRPr="00D56FC8">
        <w:rPr>
          <w:rStyle w:val="alt-edited"/>
          <w:rFonts w:eastAsia="Times New Roman"/>
          <w:i/>
          <w:iCs/>
          <w:color w:val="000000"/>
          <w:sz w:val="20"/>
          <w:szCs w:val="20"/>
          <w:lang w:val="en-US"/>
        </w:rPr>
        <w:t>K</w:t>
      </w:r>
      <w:r w:rsidRPr="00D56FC8">
        <w:rPr>
          <w:rStyle w:val="alt-edited"/>
          <w:rFonts w:eastAsia="Times New Roman"/>
          <w:i/>
          <w:iCs/>
          <w:color w:val="000000"/>
          <w:sz w:val="20"/>
          <w:szCs w:val="20"/>
          <w:vertAlign w:val="subscript"/>
          <w:lang w:val="en-US"/>
        </w:rPr>
        <w:t>fe</w:t>
      </w:r>
      <w:r w:rsidRPr="00D56FC8">
        <w:rPr>
          <w:rStyle w:val="alt-edited"/>
          <w:rFonts w:eastAsia="Times New Roman"/>
          <w:color w:val="000000"/>
          <w:sz w:val="20"/>
          <w:szCs w:val="20"/>
          <w:lang w:val="en-US"/>
        </w:rPr>
        <w:t xml:space="preserve"> (in </w:t>
      </w:r>
      <w:r w:rsidRPr="00D56FC8">
        <w:rPr>
          <w:color w:val="000000"/>
          <w:sz w:val="20"/>
          <w:szCs w:val="20"/>
          <w:lang w:val="en-US"/>
        </w:rPr>
        <w:t>‰</w:t>
      </w:r>
      <w:r w:rsidRPr="00D56FC8">
        <w:rPr>
          <w:rStyle w:val="alt-edited"/>
          <w:rFonts w:eastAsia="Times New Roman"/>
          <w:color w:val="000000"/>
          <w:sz w:val="20"/>
          <w:szCs w:val="20"/>
          <w:lang w:val="en-US"/>
        </w:rPr>
        <w:t xml:space="preserve">) (Fig. 2,d) criterion and its fuel and ecological components – </w:t>
      </w:r>
      <w:r w:rsidRPr="00D56FC8">
        <w:rPr>
          <w:rStyle w:val="alt-edited"/>
          <w:rFonts w:eastAsia="Times New Roman"/>
          <w:i/>
          <w:iCs/>
          <w:color w:val="000000"/>
          <w:sz w:val="20"/>
          <w:szCs w:val="20"/>
          <w:lang w:val="en-US"/>
        </w:rPr>
        <w:t>g</w:t>
      </w:r>
      <w:r w:rsidRPr="00D56FC8">
        <w:rPr>
          <w:rStyle w:val="alt-edited"/>
          <w:rFonts w:eastAsia="Times New Roman"/>
          <w:i/>
          <w:iCs/>
          <w:color w:val="000000"/>
          <w:sz w:val="20"/>
          <w:szCs w:val="20"/>
          <w:vertAlign w:val="subscript"/>
          <w:lang w:val="en-US"/>
        </w:rPr>
        <w:t>e</w:t>
      </w:r>
      <w:r w:rsidRPr="00D56FC8">
        <w:rPr>
          <w:rStyle w:val="alt-edited"/>
          <w:rFonts w:eastAsia="Times New Roman"/>
          <w:color w:val="000000"/>
          <w:sz w:val="20"/>
          <w:szCs w:val="20"/>
          <w:lang w:val="en-US"/>
        </w:rPr>
        <w:t xml:space="preserve"> (in </w:t>
      </w:r>
      <w:r w:rsidRPr="00D56FC8">
        <w:rPr>
          <w:color w:val="000000"/>
          <w:sz w:val="20"/>
          <w:szCs w:val="20"/>
          <w:lang w:val="en-US"/>
        </w:rPr>
        <w:t>kg/(kW∙h)</w:t>
      </w:r>
      <w:r w:rsidRPr="00D56FC8">
        <w:rPr>
          <w:rStyle w:val="alt-edited"/>
          <w:rFonts w:eastAsia="Times New Roman"/>
          <w:color w:val="000000"/>
          <w:sz w:val="20"/>
          <w:szCs w:val="20"/>
          <w:lang w:val="en-US"/>
        </w:rPr>
        <w:t>) (Fig. 2,a),</w:t>
      </w:r>
      <w:r w:rsidRPr="00D56FC8">
        <w:rPr>
          <w:rStyle w:val="alt-edited"/>
          <w:rFonts w:eastAsia="Times New Roman"/>
          <w:i/>
          <w:iCs/>
          <w:color w:val="000000"/>
          <w:sz w:val="20"/>
          <w:szCs w:val="20"/>
          <w:lang w:val="en-US"/>
        </w:rPr>
        <w:t xml:space="preserve"> g</w:t>
      </w:r>
      <w:r w:rsidRPr="00D56FC8">
        <w:rPr>
          <w:rStyle w:val="alt-edited"/>
          <w:rFonts w:eastAsia="Times New Roman"/>
          <w:i/>
          <w:iCs/>
          <w:color w:val="000000"/>
          <w:sz w:val="20"/>
          <w:szCs w:val="20"/>
          <w:vertAlign w:val="subscript"/>
          <w:lang w:val="en-US"/>
        </w:rPr>
        <w:t>pr</w:t>
      </w:r>
      <w:r w:rsidRPr="00D56FC8">
        <w:rPr>
          <w:rStyle w:val="alt-edited"/>
          <w:rFonts w:eastAsia="Times New Roman"/>
          <w:color w:val="000000"/>
          <w:sz w:val="20"/>
          <w:szCs w:val="20"/>
          <w:lang w:val="en-US"/>
        </w:rPr>
        <w:t xml:space="preserve"> (dimensionless quantity) (Fig. 2,b) and </w:t>
      </w:r>
      <w:r w:rsidRPr="00D56FC8">
        <w:rPr>
          <w:rStyle w:val="alt-edited"/>
          <w:rFonts w:eastAsia="Times New Roman"/>
          <w:i/>
          <w:iCs/>
          <w:color w:val="000000"/>
          <w:sz w:val="20"/>
          <w:szCs w:val="20"/>
          <w:lang w:val="en-US"/>
        </w:rPr>
        <w:t>U</w:t>
      </w:r>
      <w:r w:rsidRPr="00D56FC8">
        <w:rPr>
          <w:rStyle w:val="alt-edited"/>
          <w:rFonts w:eastAsia="Times New Roman"/>
          <w:i/>
          <w:iCs/>
          <w:color w:val="000000"/>
          <w:sz w:val="20"/>
          <w:szCs w:val="20"/>
          <w:vertAlign w:val="subscript"/>
          <w:lang w:val="en-US"/>
        </w:rPr>
        <w:t>e</w:t>
      </w:r>
      <w:r w:rsidRPr="00D56FC8">
        <w:rPr>
          <w:rStyle w:val="alt-edited"/>
          <w:rFonts w:eastAsia="Times New Roman"/>
          <w:color w:val="000000"/>
          <w:sz w:val="20"/>
          <w:szCs w:val="20"/>
          <w:lang w:val="en-US"/>
        </w:rPr>
        <w:t xml:space="preserve"> (in $/kg) (Fig. 2,c) – over its 2Ch10.5/12 diesel engine operational regimes field. Fig. 3 presents the distributions of magnitudes monetary components of </w:t>
      </w:r>
      <w:r w:rsidRPr="00D56FC8">
        <w:rPr>
          <w:rStyle w:val="alt-edited"/>
          <w:rFonts w:eastAsia="Times New Roman"/>
          <w:i/>
          <w:iCs/>
          <w:color w:val="000000"/>
          <w:sz w:val="20"/>
          <w:szCs w:val="20"/>
          <w:lang w:val="en-US"/>
        </w:rPr>
        <w:t>K</w:t>
      </w:r>
      <w:r w:rsidRPr="00D56FC8">
        <w:rPr>
          <w:rStyle w:val="alt-edited"/>
          <w:rFonts w:eastAsia="Times New Roman"/>
          <w:i/>
          <w:iCs/>
          <w:color w:val="000000"/>
          <w:sz w:val="20"/>
          <w:szCs w:val="20"/>
          <w:vertAlign w:val="subscript"/>
          <w:lang w:val="en-US"/>
        </w:rPr>
        <w:t>fe</w:t>
      </w:r>
      <w:r w:rsidRPr="00D56FC8">
        <w:rPr>
          <w:rStyle w:val="alt-edited"/>
          <w:rFonts w:eastAsia="Times New Roman"/>
          <w:color w:val="000000"/>
          <w:sz w:val="20"/>
          <w:szCs w:val="20"/>
          <w:lang w:val="en-US"/>
        </w:rPr>
        <w:t xml:space="preserve"> criterion over its 2Ch10.5/12 diesel engine operational regimes field, namely </w:t>
      </w:r>
      <w:r w:rsidRPr="00D56FC8">
        <w:rPr>
          <w:rStyle w:val="alt-edited"/>
          <w:rFonts w:eastAsia="Times New Roman"/>
          <w:i/>
          <w:iCs/>
          <w:color w:val="000000"/>
          <w:sz w:val="20"/>
          <w:szCs w:val="20"/>
          <w:lang w:val="en-US"/>
        </w:rPr>
        <w:t>Z</w:t>
      </w:r>
      <w:r w:rsidRPr="00D56FC8">
        <w:rPr>
          <w:rStyle w:val="alt-edited"/>
          <w:rFonts w:eastAsia="Times New Roman"/>
          <w:i/>
          <w:iCs/>
          <w:color w:val="000000"/>
          <w:sz w:val="20"/>
          <w:szCs w:val="20"/>
          <w:vertAlign w:val="subscript"/>
          <w:lang w:val="en-US"/>
        </w:rPr>
        <w:t>e</w:t>
      </w:r>
      <w:r w:rsidRPr="00D56FC8">
        <w:rPr>
          <w:rStyle w:val="alt-edited"/>
          <w:rFonts w:eastAsia="Times New Roman"/>
          <w:color w:val="000000"/>
          <w:sz w:val="20"/>
          <w:szCs w:val="20"/>
          <w:lang w:val="en-US"/>
        </w:rPr>
        <w:t xml:space="preserve"> (in $</w:t>
      </w:r>
      <w:r w:rsidRPr="00D56FC8">
        <w:rPr>
          <w:color w:val="000000"/>
          <w:sz w:val="20"/>
          <w:szCs w:val="20"/>
          <w:lang w:val="en-US"/>
        </w:rPr>
        <w:t>/(kW∙h)</w:t>
      </w:r>
      <w:r w:rsidRPr="00D56FC8">
        <w:rPr>
          <w:rStyle w:val="alt-edited"/>
          <w:rFonts w:eastAsia="Times New Roman"/>
          <w:color w:val="000000"/>
          <w:sz w:val="20"/>
          <w:szCs w:val="20"/>
          <w:lang w:val="en-US"/>
        </w:rPr>
        <w:t xml:space="preserve">), </w:t>
      </w:r>
      <w:r w:rsidRPr="00D56FC8">
        <w:rPr>
          <w:rStyle w:val="alt-edited"/>
          <w:rFonts w:eastAsia="Times New Roman"/>
          <w:i/>
          <w:iCs/>
          <w:color w:val="000000"/>
          <w:sz w:val="20"/>
          <w:szCs w:val="20"/>
          <w:lang w:val="en-US"/>
        </w:rPr>
        <w:t>Z</w:t>
      </w:r>
      <w:r w:rsidRPr="00D56FC8">
        <w:rPr>
          <w:rStyle w:val="alt-edited"/>
          <w:rFonts w:eastAsia="Times New Roman"/>
          <w:i/>
          <w:iCs/>
          <w:color w:val="000000"/>
          <w:sz w:val="20"/>
          <w:szCs w:val="20"/>
          <w:vertAlign w:val="subscript"/>
          <w:lang w:val="en-US"/>
        </w:rPr>
        <w:t>f</w:t>
      </w:r>
      <w:r w:rsidRPr="00D56FC8">
        <w:rPr>
          <w:rStyle w:val="alt-edited"/>
          <w:rFonts w:eastAsia="Times New Roman"/>
          <w:color w:val="000000"/>
          <w:sz w:val="20"/>
          <w:szCs w:val="20"/>
          <w:lang w:val="en-US"/>
        </w:rPr>
        <w:t xml:space="preserve"> ($</w:t>
      </w:r>
      <w:r w:rsidRPr="00D56FC8">
        <w:rPr>
          <w:color w:val="000000"/>
          <w:sz w:val="20"/>
          <w:szCs w:val="20"/>
          <w:lang w:val="en-US"/>
        </w:rPr>
        <w:t>/(kW∙h)</w:t>
      </w:r>
      <w:r w:rsidRPr="00D56FC8">
        <w:rPr>
          <w:rStyle w:val="alt-edited"/>
          <w:rFonts w:eastAsia="Times New Roman"/>
          <w:color w:val="000000"/>
          <w:sz w:val="20"/>
          <w:szCs w:val="20"/>
          <w:lang w:val="en-US"/>
        </w:rPr>
        <w:t xml:space="preserve">), </w:t>
      </w:r>
      <w:r w:rsidRPr="00D56FC8">
        <w:rPr>
          <w:rStyle w:val="alt-edited"/>
          <w:rFonts w:eastAsia="Times New Roman"/>
          <w:i/>
          <w:iCs/>
          <w:color w:val="000000"/>
          <w:sz w:val="20"/>
          <w:szCs w:val="20"/>
          <w:lang w:val="en-US"/>
        </w:rPr>
        <w:t>Z</w:t>
      </w:r>
      <w:r w:rsidRPr="00D56FC8">
        <w:rPr>
          <w:rStyle w:val="alt-edited"/>
          <w:rFonts w:eastAsia="Times New Roman"/>
          <w:i/>
          <w:iCs/>
          <w:color w:val="000000"/>
          <w:sz w:val="20"/>
          <w:szCs w:val="20"/>
          <w:vertAlign w:val="subscript"/>
          <w:lang w:val="en-US"/>
        </w:rPr>
        <w:t>fe</w:t>
      </w:r>
      <w:r w:rsidRPr="00D56FC8">
        <w:rPr>
          <w:rStyle w:val="alt-edited"/>
          <w:rFonts w:eastAsia="Times New Roman"/>
          <w:color w:val="000000"/>
          <w:sz w:val="20"/>
          <w:szCs w:val="20"/>
          <w:lang w:val="en-US"/>
        </w:rPr>
        <w:t xml:space="preserve"> ($</w:t>
      </w:r>
      <w:r w:rsidRPr="00D56FC8">
        <w:rPr>
          <w:color w:val="000000"/>
          <w:sz w:val="20"/>
          <w:szCs w:val="20"/>
          <w:lang w:val="en-US"/>
        </w:rPr>
        <w:t>/(kW∙h)</w:t>
      </w:r>
      <w:r w:rsidRPr="00D56FC8">
        <w:rPr>
          <w:rStyle w:val="alt-edited"/>
          <w:rFonts w:eastAsia="Times New Roman"/>
          <w:color w:val="000000"/>
          <w:sz w:val="20"/>
          <w:szCs w:val="20"/>
          <w:lang w:val="en-US"/>
        </w:rPr>
        <w:t xml:space="preserve">) – in the full range of change (Fig. 3,a,c,e) and in engine operating regimes other than idle and low effective power regimes (Fig. 3,b,d,f) and β (Fig. 3,g). </w:t>
      </w:r>
      <w:r w:rsidRPr="00D56FC8">
        <w:rPr>
          <w:rStyle w:val="alt-edited"/>
          <w:color w:val="000000"/>
          <w:sz w:val="20"/>
          <w:szCs w:val="20"/>
          <w:lang w:val="en-US"/>
        </w:rPr>
        <w:t xml:space="preserve">The study was performed on the example of D21A1 autotractor diesel engine (2Ch10.5/12 according to ISO 3046-1:2002), the technical characteristics of which are given in the source [35] and have also been mathematically modelled with the Online free system for modeling the working processes of reciprocating internal combustion engines using digital twins Blitz-PRO [41], and the 13-regime standardized steady testing cycle ESC (according to UNECE Regulation No. 49 [42]) as its exploitation model. The results of the study are summarized in Table 1 and illustrated in Fig. 4. Fig. 4,a shows the distribution of the magnitudes of monetary costs for compensation of ecological damage to the environment and human health </w:t>
      </w:r>
      <w:r w:rsidRPr="00D56FC8">
        <w:rPr>
          <w:rStyle w:val="alt-edited"/>
          <w:i/>
          <w:color w:val="000000"/>
          <w:sz w:val="20"/>
          <w:szCs w:val="20"/>
          <w:lang w:val="en-US"/>
        </w:rPr>
        <w:t>Z</w:t>
      </w:r>
      <w:r w:rsidRPr="00D56FC8">
        <w:rPr>
          <w:rStyle w:val="alt-edited"/>
          <w:i/>
          <w:color w:val="000000"/>
          <w:sz w:val="20"/>
          <w:szCs w:val="20"/>
          <w:vertAlign w:val="subscript"/>
          <w:lang w:val="en-US"/>
        </w:rPr>
        <w:t>e</w:t>
      </w:r>
      <w:r w:rsidRPr="00D56FC8">
        <w:rPr>
          <w:rStyle w:val="alt-edited"/>
          <w:color w:val="000000"/>
          <w:sz w:val="20"/>
          <w:szCs w:val="20"/>
          <w:lang w:val="en-US"/>
        </w:rPr>
        <w:t xml:space="preserve"> for all variants of the study (see Table 1) by regimes of the selected exploitation model. Fig. 4,b also shows such distribution for the magnitudes of the complex fuel-ecological criterion </w:t>
      </w:r>
      <w:r w:rsidRPr="00D56FC8">
        <w:rPr>
          <w:rStyle w:val="alt-edited"/>
          <w:i/>
          <w:color w:val="000000"/>
          <w:sz w:val="20"/>
          <w:szCs w:val="20"/>
          <w:lang w:val="en-US"/>
        </w:rPr>
        <w:t>K</w:t>
      </w:r>
      <w:r w:rsidRPr="00D56FC8">
        <w:rPr>
          <w:rStyle w:val="alt-edited"/>
          <w:i/>
          <w:color w:val="000000"/>
          <w:sz w:val="20"/>
          <w:szCs w:val="20"/>
          <w:vertAlign w:val="subscript"/>
          <w:lang w:val="en-US"/>
        </w:rPr>
        <w:t>fe</w:t>
      </w:r>
      <w:r w:rsidRPr="00D56FC8">
        <w:rPr>
          <w:rStyle w:val="alt-edited"/>
          <w:color w:val="000000"/>
          <w:sz w:val="20"/>
          <w:szCs w:val="20"/>
          <w:lang w:val="en-US"/>
        </w:rPr>
        <w:t>.</w:t>
      </w:r>
    </w:p>
    <w:p w:rsidR="00F775BC" w:rsidRPr="0004059C" w:rsidRDefault="00F775BC">
      <w:pPr>
        <w:widowControl w:val="0"/>
        <w:ind w:firstLine="283"/>
        <w:jc w:val="both"/>
        <w:rPr>
          <w:color w:val="000000"/>
          <w:spacing w:val="-2"/>
          <w:sz w:val="20"/>
          <w:szCs w:val="20"/>
          <w:lang w:val="en-US"/>
        </w:rPr>
      </w:pPr>
      <w:r w:rsidRPr="00D56FC8">
        <w:rPr>
          <w:color w:val="000000"/>
          <w:spacing w:val="-2"/>
          <w:sz w:val="20"/>
          <w:szCs w:val="20"/>
          <w:lang w:val="en-US"/>
        </w:rPr>
        <w:t>As shown in Fig. 4a, the highest monetary costs correspond to the minimal idle regime, i.e., the operational regime in which the engine’s effective power is close to zero</w:t>
      </w:r>
      <w:r w:rsidRPr="00D56FC8">
        <w:rPr>
          <w:color w:val="000000"/>
          <w:spacing w:val="-2"/>
          <w:sz w:val="20"/>
          <w:szCs w:val="20"/>
        </w:rPr>
        <w:t xml:space="preserve"> </w:t>
      </w:r>
      <w:r w:rsidRPr="00D56FC8">
        <w:rPr>
          <w:rStyle w:val="alt-edited"/>
          <w:color w:val="000000"/>
          <w:spacing w:val="-2"/>
          <w:sz w:val="20"/>
          <w:szCs w:val="20"/>
          <w:lang w:val="en-US"/>
        </w:rPr>
        <w:t xml:space="preserve">– №№ 1, 7 and 13 (marked as «min idle» in Table 1), and the </w:t>
      </w:r>
      <w:r w:rsidRPr="0004059C">
        <w:rPr>
          <w:rStyle w:val="alt-edited"/>
          <w:color w:val="000000"/>
          <w:spacing w:val="-2"/>
          <w:sz w:val="20"/>
          <w:szCs w:val="20"/>
          <w:lang w:val="en-US"/>
        </w:rPr>
        <w:lastRenderedPageBreak/>
        <w:t>lowest – at regimes of maximum torque (№ 6, marked as «</w:t>
      </w:r>
      <w:r w:rsidRPr="0004059C">
        <w:rPr>
          <w:rStyle w:val="alt-edited"/>
          <w:i/>
          <w:color w:val="000000"/>
          <w:spacing w:val="-2"/>
          <w:sz w:val="20"/>
          <w:szCs w:val="20"/>
          <w:lang w:val="en-US"/>
        </w:rPr>
        <w:t>M</w:t>
      </w:r>
      <w:r w:rsidRPr="0004059C">
        <w:rPr>
          <w:rStyle w:val="alt-edited"/>
          <w:i/>
          <w:color w:val="000000"/>
          <w:spacing w:val="-2"/>
          <w:sz w:val="20"/>
          <w:szCs w:val="20"/>
          <w:vertAlign w:val="subscript"/>
          <w:lang w:val="en-US"/>
        </w:rPr>
        <w:t>max</w:t>
      </w:r>
      <w:r w:rsidRPr="0004059C">
        <w:rPr>
          <w:rStyle w:val="alt-edited"/>
          <w:color w:val="000000"/>
          <w:spacing w:val="-2"/>
          <w:sz w:val="20"/>
          <w:szCs w:val="20"/>
          <w:lang w:val="en-US"/>
        </w:rPr>
        <w:t>» in Table 1) and nominal effective power (№ 8, marked as «</w:t>
      </w:r>
      <w:r w:rsidRPr="0004059C">
        <w:rPr>
          <w:rStyle w:val="alt-edited"/>
          <w:i/>
          <w:color w:val="000000"/>
          <w:spacing w:val="-2"/>
          <w:sz w:val="20"/>
          <w:szCs w:val="20"/>
          <w:lang w:val="en-US"/>
        </w:rPr>
        <w:t>N</w:t>
      </w:r>
      <w:r w:rsidRPr="0004059C">
        <w:rPr>
          <w:rStyle w:val="alt-edited"/>
          <w:i/>
          <w:color w:val="000000"/>
          <w:spacing w:val="-2"/>
          <w:sz w:val="20"/>
          <w:szCs w:val="20"/>
          <w:vertAlign w:val="subscript"/>
          <w:lang w:val="en-US"/>
        </w:rPr>
        <w:t>enom</w:t>
      </w:r>
      <w:r w:rsidRPr="0004059C">
        <w:rPr>
          <w:rStyle w:val="alt-edited"/>
          <w:color w:val="000000"/>
          <w:spacing w:val="-2"/>
          <w:sz w:val="20"/>
          <w:szCs w:val="20"/>
          <w:lang w:val="en-US"/>
        </w:rPr>
        <w:t xml:space="preserve">» in Table 1). </w:t>
      </w:r>
      <w:r w:rsidRPr="0004059C">
        <w:rPr>
          <w:color w:val="000000"/>
          <w:spacing w:val="-2"/>
          <w:sz w:val="20"/>
          <w:szCs w:val="20"/>
          <w:lang w:val="en-US"/>
        </w:rPr>
        <w:t xml:space="preserve">It also demonstrates that the values of the same physical quantity – specifically, the monetary cost </w:t>
      </w:r>
      <w:r w:rsidRPr="0004059C">
        <w:rPr>
          <w:rStyle w:val="alt-edited"/>
          <w:i/>
          <w:color w:val="000000"/>
          <w:spacing w:val="-2"/>
          <w:sz w:val="20"/>
          <w:szCs w:val="20"/>
          <w:lang w:val="en-US"/>
        </w:rPr>
        <w:t>Z</w:t>
      </w:r>
      <w:r w:rsidRPr="0004059C">
        <w:rPr>
          <w:rStyle w:val="alt-edited"/>
          <w:i/>
          <w:color w:val="000000"/>
          <w:spacing w:val="-2"/>
          <w:sz w:val="20"/>
          <w:szCs w:val="20"/>
          <w:vertAlign w:val="subscript"/>
          <w:lang w:val="en-US"/>
        </w:rPr>
        <w:t>e</w:t>
      </w:r>
      <w:r w:rsidRPr="0004059C">
        <w:rPr>
          <w:color w:val="000000"/>
          <w:spacing w:val="-2"/>
          <w:sz w:val="20"/>
          <w:szCs w:val="20"/>
          <w:lang w:val="en-US"/>
        </w:rPr>
        <w:t xml:space="preserve"> – can differ significantly depending on the unit of monetary expression and the historical period considered. For the same units over different periods, the differences are several-fold, while for different units, the discrepancies can span orders of magnitude, even for identical operational regimes of the unchanged assessed object. </w:t>
      </w:r>
      <w:r w:rsidRPr="0004059C">
        <w:rPr>
          <w:rStyle w:val="alt-edited"/>
          <w:color w:val="000000"/>
          <w:spacing w:val="-2"/>
          <w:sz w:val="20"/>
          <w:szCs w:val="20"/>
          <w:lang w:val="en-US"/>
        </w:rPr>
        <w:t xml:space="preserve">Fig. 4,c illustrates the distribution of magnitudes of monetary costs </w:t>
      </w:r>
      <w:r w:rsidRPr="0004059C">
        <w:rPr>
          <w:i/>
          <w:iCs/>
          <w:color w:val="000000"/>
          <w:spacing w:val="-2"/>
          <w:sz w:val="20"/>
          <w:szCs w:val="20"/>
          <w:lang w:val="en-US"/>
        </w:rPr>
        <w:t>Z</w:t>
      </w:r>
      <w:r w:rsidRPr="0004059C">
        <w:rPr>
          <w:i/>
          <w:iCs/>
          <w:color w:val="000000"/>
          <w:spacing w:val="-2"/>
          <w:sz w:val="20"/>
          <w:szCs w:val="20"/>
          <w:vertAlign w:val="subscript"/>
          <w:lang w:val="en-US"/>
        </w:rPr>
        <w:t>f</w:t>
      </w:r>
      <w:r w:rsidRPr="0004059C">
        <w:rPr>
          <w:color w:val="000000"/>
          <w:spacing w:val="-2"/>
          <w:sz w:val="20"/>
          <w:szCs w:val="20"/>
          <w:lang w:val="en-US"/>
        </w:rPr>
        <w:t xml:space="preserve">, </w:t>
      </w:r>
      <w:r w:rsidRPr="0004059C">
        <w:rPr>
          <w:i/>
          <w:iCs/>
          <w:color w:val="000000"/>
          <w:spacing w:val="-2"/>
          <w:sz w:val="20"/>
          <w:szCs w:val="20"/>
          <w:lang w:val="en-US"/>
        </w:rPr>
        <w:t>Z</w:t>
      </w:r>
      <w:r w:rsidRPr="0004059C">
        <w:rPr>
          <w:i/>
          <w:iCs/>
          <w:color w:val="000000"/>
          <w:spacing w:val="-2"/>
          <w:sz w:val="20"/>
          <w:szCs w:val="20"/>
          <w:vertAlign w:val="subscript"/>
          <w:lang w:val="en-US"/>
        </w:rPr>
        <w:t>e</w:t>
      </w:r>
      <w:r w:rsidRPr="0004059C">
        <w:rPr>
          <w:color w:val="000000"/>
          <w:spacing w:val="-2"/>
          <w:sz w:val="20"/>
          <w:szCs w:val="20"/>
          <w:lang w:val="en-US"/>
        </w:rPr>
        <w:t xml:space="preserve"> and </w:t>
      </w:r>
      <w:r w:rsidRPr="0004059C">
        <w:rPr>
          <w:i/>
          <w:iCs/>
          <w:color w:val="000000"/>
          <w:spacing w:val="-2"/>
          <w:sz w:val="20"/>
          <w:szCs w:val="20"/>
          <w:lang w:val="en-US"/>
        </w:rPr>
        <w:t>Z</w:t>
      </w:r>
      <w:r w:rsidRPr="0004059C">
        <w:rPr>
          <w:i/>
          <w:iCs/>
          <w:color w:val="000000"/>
          <w:spacing w:val="-2"/>
          <w:sz w:val="20"/>
          <w:szCs w:val="20"/>
          <w:vertAlign w:val="subscript"/>
          <w:lang w:val="en-US"/>
        </w:rPr>
        <w:t>fe</w:t>
      </w:r>
      <w:r w:rsidRPr="0004059C">
        <w:rPr>
          <w:iCs/>
          <w:color w:val="000000"/>
          <w:spacing w:val="-2"/>
          <w:sz w:val="20"/>
          <w:szCs w:val="20"/>
          <w:lang w:val="en-US"/>
        </w:rPr>
        <w:t xml:space="preserve"> in chosen units of expression </w:t>
      </w:r>
      <w:r w:rsidRPr="0004059C">
        <w:rPr>
          <w:color w:val="000000"/>
          <w:spacing w:val="-2"/>
          <w:sz w:val="20"/>
          <w:szCs w:val="20"/>
          <w:lang w:val="en-US"/>
        </w:rPr>
        <w:t xml:space="preserve">– $/(kW∙h) – for all variants of the study (see Table 1) on the regimes of selected exploitation model. Fig. 4,d </w:t>
      </w:r>
      <w:r w:rsidRPr="0004059C">
        <w:rPr>
          <w:rStyle w:val="alt-edited"/>
          <w:color w:val="000000"/>
          <w:spacing w:val="-2"/>
          <w:sz w:val="20"/>
          <w:szCs w:val="20"/>
          <w:lang w:val="en-US"/>
        </w:rPr>
        <w:t xml:space="preserve">illustrates such distribution of magnitudes </w:t>
      </w:r>
      <w:r w:rsidRPr="0004059C">
        <w:rPr>
          <w:color w:val="000000"/>
          <w:spacing w:val="-2"/>
          <w:sz w:val="20"/>
          <w:szCs w:val="20"/>
          <w:lang w:val="en-US"/>
        </w:rPr>
        <w:t xml:space="preserve">of relative exploitational ecological monetary costs coefficient β. </w:t>
      </w:r>
    </w:p>
    <w:p w:rsidR="00F775BC" w:rsidRPr="00D56FC8" w:rsidRDefault="00F775BC">
      <w:pPr>
        <w:widowControl w:val="0"/>
        <w:ind w:firstLine="283"/>
        <w:jc w:val="both"/>
        <w:rPr>
          <w:color w:val="000000"/>
          <w:spacing w:val="-2"/>
          <w:sz w:val="18"/>
          <w:szCs w:val="18"/>
          <w:lang w:val="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3"/>
        <w:gridCol w:w="4703"/>
      </w:tblGrid>
      <w:tr w:rsidR="00F775BC" w:rsidRPr="00D56FC8">
        <w:tc>
          <w:tcPr>
            <w:tcW w:w="4703" w:type="dxa"/>
            <w:tcBorders>
              <w:top w:val="nil"/>
              <w:left w:val="nil"/>
              <w:bottom w:val="nil"/>
              <w:right w:val="nil"/>
            </w:tcBorders>
          </w:tcPr>
          <w:p w:rsidR="00F775BC" w:rsidRPr="00D56FC8" w:rsidRDefault="00997EF5">
            <w:pPr>
              <w:widowControl w:val="0"/>
              <w:jc w:val="center"/>
              <w:rPr>
                <w:rStyle w:val="alt-edited"/>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2388235" cy="1951355"/>
                  <wp:effectExtent l="0" t="0" r="0" b="0"/>
                  <wp:docPr id="16" name="Изображение 199" descr="Fig 2,a_merged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9" descr="Fig 2,a_merged_page-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8235" cy="1951355"/>
                          </a:xfrm>
                          <a:prstGeom prst="rect">
                            <a:avLst/>
                          </a:prstGeom>
                          <a:noFill/>
                          <a:ln>
                            <a:noFill/>
                          </a:ln>
                        </pic:spPr>
                      </pic:pic>
                    </a:graphicData>
                  </a:graphic>
                </wp:inline>
              </w:drawing>
            </w:r>
          </w:p>
        </w:tc>
        <w:tc>
          <w:tcPr>
            <w:tcW w:w="4703" w:type="dxa"/>
            <w:tcBorders>
              <w:top w:val="nil"/>
              <w:left w:val="nil"/>
              <w:bottom w:val="nil"/>
              <w:right w:val="nil"/>
            </w:tcBorders>
          </w:tcPr>
          <w:p w:rsidR="00F775BC" w:rsidRPr="00D56FC8" w:rsidRDefault="00997EF5">
            <w:pPr>
              <w:widowControl w:val="0"/>
              <w:jc w:val="center"/>
              <w:rPr>
                <w:rStyle w:val="alt-edited"/>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2333625" cy="1951355"/>
                  <wp:effectExtent l="0" t="0" r="9525" b="0"/>
                  <wp:docPr id="17" name="Изображение 200" descr="Fig 2,a_merged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0" descr="Fig 2,a_merged_page-0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3625" cy="1951355"/>
                          </a:xfrm>
                          <a:prstGeom prst="rect">
                            <a:avLst/>
                          </a:prstGeom>
                          <a:noFill/>
                          <a:ln>
                            <a:noFill/>
                          </a:ln>
                        </pic:spPr>
                      </pic:pic>
                    </a:graphicData>
                  </a:graphic>
                </wp:inline>
              </w:drawing>
            </w:r>
          </w:p>
        </w:tc>
      </w:tr>
      <w:tr w:rsidR="00F775BC" w:rsidRPr="00D56FC8">
        <w:tc>
          <w:tcPr>
            <w:tcW w:w="4703" w:type="dxa"/>
            <w:tcBorders>
              <w:top w:val="nil"/>
              <w:left w:val="nil"/>
              <w:bottom w:val="nil"/>
              <w:right w:val="nil"/>
            </w:tcBorders>
          </w:tcPr>
          <w:p w:rsidR="00F775BC" w:rsidRPr="00D56FC8" w:rsidRDefault="00F775BC">
            <w:pPr>
              <w:widowControl w:val="0"/>
              <w:jc w:val="center"/>
              <w:rPr>
                <w:rStyle w:val="alt-edited"/>
                <w:rFonts w:eastAsia="Calibri"/>
                <w:color w:val="000000"/>
                <w:sz w:val="20"/>
                <w:szCs w:val="20"/>
                <w:lang w:val="en-US"/>
              </w:rPr>
            </w:pPr>
            <w:r w:rsidRPr="00D56FC8">
              <w:rPr>
                <w:rStyle w:val="alt-edited"/>
                <w:rFonts w:eastAsia="Calibri"/>
                <w:color w:val="000000"/>
                <w:sz w:val="20"/>
                <w:szCs w:val="20"/>
                <w:lang w:val="en-US"/>
              </w:rPr>
              <w:t>(a)</w:t>
            </w:r>
          </w:p>
        </w:tc>
        <w:tc>
          <w:tcPr>
            <w:tcW w:w="4703" w:type="dxa"/>
            <w:tcBorders>
              <w:top w:val="nil"/>
              <w:left w:val="nil"/>
              <w:bottom w:val="nil"/>
              <w:right w:val="nil"/>
            </w:tcBorders>
          </w:tcPr>
          <w:p w:rsidR="00F775BC" w:rsidRPr="00D56FC8" w:rsidRDefault="00F775BC">
            <w:pPr>
              <w:widowControl w:val="0"/>
              <w:jc w:val="center"/>
              <w:rPr>
                <w:rStyle w:val="alt-edited"/>
                <w:rFonts w:eastAsia="Calibri"/>
                <w:color w:val="000000"/>
                <w:sz w:val="20"/>
                <w:szCs w:val="20"/>
                <w:lang w:val="en-US"/>
              </w:rPr>
            </w:pPr>
            <w:r w:rsidRPr="00D56FC8">
              <w:rPr>
                <w:rStyle w:val="alt-edited"/>
                <w:rFonts w:eastAsia="Calibri"/>
                <w:color w:val="000000"/>
                <w:sz w:val="20"/>
                <w:szCs w:val="20"/>
                <w:lang w:val="en-US"/>
              </w:rPr>
              <w:t>(b)</w:t>
            </w:r>
          </w:p>
        </w:tc>
      </w:tr>
      <w:tr w:rsidR="00F775BC" w:rsidRPr="00D56FC8">
        <w:tc>
          <w:tcPr>
            <w:tcW w:w="4703" w:type="dxa"/>
            <w:tcBorders>
              <w:top w:val="nil"/>
              <w:left w:val="nil"/>
              <w:bottom w:val="nil"/>
              <w:right w:val="nil"/>
            </w:tcBorders>
          </w:tcPr>
          <w:p w:rsidR="00F775BC" w:rsidRPr="00D56FC8" w:rsidRDefault="00997EF5">
            <w:pPr>
              <w:widowControl w:val="0"/>
              <w:jc w:val="center"/>
              <w:rPr>
                <w:rStyle w:val="alt-edited"/>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2320290" cy="1965325"/>
                  <wp:effectExtent l="0" t="0" r="3810" b="0"/>
                  <wp:docPr id="18" name="Изображение 201" descr="Fig 2,a_merged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1" descr="Fig 2,a_merged_page-00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0290" cy="1965325"/>
                          </a:xfrm>
                          <a:prstGeom prst="rect">
                            <a:avLst/>
                          </a:prstGeom>
                          <a:noFill/>
                          <a:ln>
                            <a:noFill/>
                          </a:ln>
                        </pic:spPr>
                      </pic:pic>
                    </a:graphicData>
                  </a:graphic>
                </wp:inline>
              </w:drawing>
            </w:r>
          </w:p>
        </w:tc>
        <w:tc>
          <w:tcPr>
            <w:tcW w:w="4703" w:type="dxa"/>
            <w:tcBorders>
              <w:top w:val="nil"/>
              <w:left w:val="nil"/>
              <w:bottom w:val="nil"/>
              <w:right w:val="nil"/>
            </w:tcBorders>
          </w:tcPr>
          <w:p w:rsidR="00F775BC" w:rsidRPr="00D56FC8" w:rsidRDefault="00997EF5">
            <w:pPr>
              <w:widowControl w:val="0"/>
              <w:jc w:val="center"/>
              <w:rPr>
                <w:rStyle w:val="alt-edited"/>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2333625" cy="1992630"/>
                  <wp:effectExtent l="0" t="0" r="9525" b="7620"/>
                  <wp:docPr id="19" name="Изображение 202" descr="Fig 1,a_merged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2" descr="Fig 1,a_merged_page-00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3625" cy="1992630"/>
                          </a:xfrm>
                          <a:prstGeom prst="rect">
                            <a:avLst/>
                          </a:prstGeom>
                          <a:noFill/>
                          <a:ln>
                            <a:noFill/>
                          </a:ln>
                        </pic:spPr>
                      </pic:pic>
                    </a:graphicData>
                  </a:graphic>
                </wp:inline>
              </w:drawing>
            </w:r>
          </w:p>
        </w:tc>
      </w:tr>
      <w:tr w:rsidR="00F775BC" w:rsidRPr="00D56FC8">
        <w:tc>
          <w:tcPr>
            <w:tcW w:w="4703" w:type="dxa"/>
            <w:tcBorders>
              <w:top w:val="nil"/>
              <w:left w:val="nil"/>
              <w:bottom w:val="nil"/>
              <w:right w:val="nil"/>
            </w:tcBorders>
          </w:tcPr>
          <w:p w:rsidR="00F775BC" w:rsidRPr="00D56FC8" w:rsidRDefault="00F775BC">
            <w:pPr>
              <w:widowControl w:val="0"/>
              <w:jc w:val="center"/>
              <w:rPr>
                <w:rStyle w:val="alt-edited"/>
                <w:rFonts w:eastAsia="Calibri"/>
                <w:color w:val="000000"/>
                <w:sz w:val="20"/>
                <w:szCs w:val="20"/>
                <w:lang w:val="en-US"/>
              </w:rPr>
            </w:pPr>
            <w:r w:rsidRPr="00D56FC8">
              <w:rPr>
                <w:rStyle w:val="alt-edited"/>
                <w:rFonts w:eastAsia="Calibri"/>
                <w:color w:val="000000"/>
                <w:sz w:val="20"/>
                <w:szCs w:val="20"/>
                <w:lang w:val="en-US"/>
              </w:rPr>
              <w:t>(c)</w:t>
            </w:r>
          </w:p>
        </w:tc>
        <w:tc>
          <w:tcPr>
            <w:tcW w:w="4703" w:type="dxa"/>
            <w:tcBorders>
              <w:top w:val="nil"/>
              <w:left w:val="nil"/>
              <w:bottom w:val="nil"/>
              <w:right w:val="nil"/>
            </w:tcBorders>
          </w:tcPr>
          <w:p w:rsidR="00F775BC" w:rsidRPr="00D56FC8" w:rsidRDefault="00F775BC">
            <w:pPr>
              <w:widowControl w:val="0"/>
              <w:jc w:val="center"/>
              <w:rPr>
                <w:rStyle w:val="alt-edited"/>
                <w:rFonts w:eastAsia="Calibri"/>
                <w:color w:val="000000"/>
                <w:sz w:val="20"/>
                <w:szCs w:val="20"/>
                <w:lang w:val="en-US"/>
              </w:rPr>
            </w:pPr>
            <w:r w:rsidRPr="00D56FC8">
              <w:rPr>
                <w:rStyle w:val="alt-edited"/>
                <w:rFonts w:eastAsia="Calibri"/>
                <w:color w:val="000000"/>
                <w:sz w:val="20"/>
                <w:szCs w:val="20"/>
                <w:lang w:val="en-US"/>
              </w:rPr>
              <w:t>(d)</w:t>
            </w:r>
          </w:p>
        </w:tc>
      </w:tr>
      <w:tr w:rsidR="00F775BC" w:rsidRPr="00D56FC8">
        <w:tc>
          <w:tcPr>
            <w:tcW w:w="9406" w:type="dxa"/>
            <w:gridSpan w:val="2"/>
            <w:tcBorders>
              <w:top w:val="nil"/>
              <w:left w:val="nil"/>
              <w:bottom w:val="nil"/>
              <w:right w:val="nil"/>
            </w:tcBorders>
          </w:tcPr>
          <w:p w:rsidR="00F775BC" w:rsidRPr="00D56FC8" w:rsidRDefault="00F775BC">
            <w:pPr>
              <w:widowControl w:val="0"/>
              <w:jc w:val="center"/>
              <w:rPr>
                <w:rFonts w:eastAsia="Calibri"/>
                <w:bCs/>
                <w:color w:val="000000"/>
                <w:sz w:val="18"/>
                <w:szCs w:val="18"/>
                <w:lang w:val="en-US"/>
              </w:rPr>
            </w:pPr>
          </w:p>
          <w:p w:rsidR="00F775BC" w:rsidRPr="00D56FC8" w:rsidRDefault="00F775BC">
            <w:pPr>
              <w:widowControl w:val="0"/>
              <w:jc w:val="center"/>
              <w:rPr>
                <w:rStyle w:val="alt-edited"/>
                <w:rFonts w:ascii="Calibri" w:eastAsia="Calibri" w:hAnsi="Calibri"/>
                <w:color w:val="000000"/>
                <w:sz w:val="18"/>
                <w:szCs w:val="18"/>
                <w:lang w:val="en-US"/>
              </w:rPr>
            </w:pPr>
            <w:r w:rsidRPr="00D56FC8">
              <w:rPr>
                <w:rFonts w:eastAsia="Calibri"/>
                <w:b/>
                <w:bCs/>
                <w:color w:val="000000"/>
                <w:sz w:val="18"/>
                <w:szCs w:val="18"/>
                <w:lang w:val="en-US"/>
              </w:rPr>
              <w:t>FIGURE 2.</w:t>
            </w:r>
            <w:r w:rsidRPr="00D56FC8">
              <w:rPr>
                <w:rFonts w:eastAsia="Calibri"/>
                <w:color w:val="000000"/>
                <w:sz w:val="18"/>
                <w:szCs w:val="18"/>
                <w:lang w:val="en-US"/>
              </w:rPr>
              <w:t xml:space="preserve"> Distributions of magnitudes of </w:t>
            </w:r>
            <w:r w:rsidRPr="00D56FC8">
              <w:rPr>
                <w:rFonts w:eastAsia="Calibri"/>
                <w:i/>
                <w:iCs/>
                <w:color w:val="000000"/>
                <w:sz w:val="18"/>
                <w:szCs w:val="18"/>
                <w:lang w:val="en-US"/>
              </w:rPr>
              <w:t>K</w:t>
            </w:r>
            <w:r w:rsidRPr="00D56FC8">
              <w:rPr>
                <w:rFonts w:eastAsia="Calibri"/>
                <w:i/>
                <w:iCs/>
                <w:color w:val="000000"/>
                <w:sz w:val="18"/>
                <w:szCs w:val="18"/>
                <w:vertAlign w:val="subscript"/>
                <w:lang w:val="en-US"/>
              </w:rPr>
              <w:t>fe</w:t>
            </w:r>
            <w:r w:rsidRPr="00D56FC8">
              <w:rPr>
                <w:rFonts w:eastAsia="Calibri"/>
                <w:color w:val="000000"/>
                <w:sz w:val="18"/>
                <w:szCs w:val="18"/>
                <w:lang w:val="en-US"/>
              </w:rPr>
              <w:t xml:space="preserve"> criterion </w:t>
            </w:r>
            <w:r w:rsidRPr="00D56FC8">
              <w:rPr>
                <w:rStyle w:val="alt-edited"/>
                <w:rFonts w:eastAsia="Times New Roman"/>
                <w:color w:val="000000"/>
                <w:sz w:val="18"/>
                <w:szCs w:val="18"/>
                <w:lang w:val="en-US"/>
              </w:rPr>
              <w:t xml:space="preserve">and </w:t>
            </w:r>
            <w:r w:rsidRPr="00D56FC8">
              <w:rPr>
                <w:rFonts w:eastAsia="Calibri"/>
                <w:color w:val="000000"/>
                <w:sz w:val="18"/>
                <w:szCs w:val="18"/>
                <w:lang w:val="en-US"/>
              </w:rPr>
              <w:t>its fuel and ecological components over its 2Ch10.5/12 diesel engine operational regimes field</w:t>
            </w:r>
          </w:p>
        </w:tc>
      </w:tr>
    </w:tbl>
    <w:p w:rsidR="00F775BC" w:rsidRPr="00D56FC8" w:rsidRDefault="00F775BC">
      <w:pPr>
        <w:widowControl w:val="0"/>
        <w:ind w:firstLine="283"/>
        <w:jc w:val="both"/>
        <w:rPr>
          <w:color w:val="000000"/>
          <w:sz w:val="20"/>
          <w:szCs w:val="20"/>
          <w:lang w:val="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3"/>
        <w:gridCol w:w="4703"/>
      </w:tblGrid>
      <w:tr w:rsidR="00F775BC" w:rsidRPr="00D56FC8">
        <w:tc>
          <w:tcPr>
            <w:tcW w:w="4703" w:type="dxa"/>
            <w:tcBorders>
              <w:top w:val="nil"/>
              <w:left w:val="nil"/>
              <w:bottom w:val="nil"/>
              <w:right w:val="nil"/>
            </w:tcBorders>
          </w:tcPr>
          <w:p w:rsidR="00F775BC" w:rsidRPr="00D56FC8" w:rsidRDefault="00997EF5">
            <w:pPr>
              <w:tabs>
                <w:tab w:val="center" w:pos="4320"/>
                <w:tab w:val="right" w:pos="9242"/>
              </w:tabs>
              <w:jc w:val="center"/>
              <w:rPr>
                <w:rFonts w:eastAsia="Calibri"/>
                <w:color w:val="000000"/>
                <w:sz w:val="18"/>
                <w:szCs w:val="18"/>
                <w:lang w:val="en-US"/>
              </w:rPr>
            </w:pPr>
            <w:r>
              <w:rPr>
                <w:rFonts w:ascii="Calibri" w:eastAsia="Calibri" w:hAnsi="Calibri"/>
                <w:noProof/>
                <w:color w:val="000000"/>
                <w:sz w:val="18"/>
                <w:szCs w:val="18"/>
              </w:rPr>
              <w:drawing>
                <wp:inline distT="0" distB="0" distL="0" distR="0">
                  <wp:extent cx="2360930" cy="1938020"/>
                  <wp:effectExtent l="0" t="0" r="1270" b="5080"/>
                  <wp:docPr id="20" name="Изображение 203" descr="Fig 2,a_merged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3" descr="Fig 2,a_merged_page-00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0930" cy="1938020"/>
                          </a:xfrm>
                          <a:prstGeom prst="rect">
                            <a:avLst/>
                          </a:prstGeom>
                          <a:noFill/>
                          <a:ln>
                            <a:noFill/>
                          </a:ln>
                        </pic:spPr>
                      </pic:pic>
                    </a:graphicData>
                  </a:graphic>
                </wp:inline>
              </w:drawing>
            </w:r>
          </w:p>
        </w:tc>
        <w:tc>
          <w:tcPr>
            <w:tcW w:w="4703" w:type="dxa"/>
            <w:tcBorders>
              <w:top w:val="nil"/>
              <w:left w:val="nil"/>
              <w:bottom w:val="nil"/>
              <w:right w:val="nil"/>
            </w:tcBorders>
          </w:tcPr>
          <w:p w:rsidR="00F775BC" w:rsidRPr="00D56FC8" w:rsidRDefault="00997EF5">
            <w:pPr>
              <w:tabs>
                <w:tab w:val="center" w:pos="4320"/>
                <w:tab w:val="right" w:pos="9242"/>
              </w:tabs>
              <w:jc w:val="center"/>
              <w:rPr>
                <w:rFonts w:eastAsia="Calibri"/>
                <w:color w:val="000000"/>
                <w:sz w:val="18"/>
                <w:szCs w:val="18"/>
                <w:lang w:val="en-US"/>
              </w:rPr>
            </w:pPr>
            <w:r>
              <w:rPr>
                <w:rFonts w:ascii="Calibri" w:eastAsia="Calibri" w:hAnsi="Calibri"/>
                <w:noProof/>
                <w:color w:val="000000"/>
                <w:sz w:val="18"/>
                <w:szCs w:val="18"/>
              </w:rPr>
              <w:drawing>
                <wp:inline distT="0" distB="0" distL="0" distR="0">
                  <wp:extent cx="2388235" cy="1938020"/>
                  <wp:effectExtent l="0" t="0" r="0" b="5080"/>
                  <wp:docPr id="21" name="Изображение 64" descr="Ze zoom_merged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4" descr="Ze zoom_merged_page-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8235" cy="1938020"/>
                          </a:xfrm>
                          <a:prstGeom prst="rect">
                            <a:avLst/>
                          </a:prstGeom>
                          <a:noFill/>
                          <a:ln>
                            <a:noFill/>
                          </a:ln>
                        </pic:spPr>
                      </pic:pic>
                    </a:graphicData>
                  </a:graphic>
                </wp:inline>
              </w:drawing>
            </w:r>
          </w:p>
        </w:tc>
      </w:tr>
      <w:tr w:rsidR="00F775BC" w:rsidRPr="00D56FC8">
        <w:tc>
          <w:tcPr>
            <w:tcW w:w="4703" w:type="dxa"/>
            <w:tcBorders>
              <w:top w:val="nil"/>
              <w:left w:val="nil"/>
              <w:bottom w:val="nil"/>
              <w:right w:val="nil"/>
            </w:tcBorders>
          </w:tcPr>
          <w:p w:rsidR="00F775BC" w:rsidRPr="00D56FC8" w:rsidRDefault="00F775BC">
            <w:pPr>
              <w:tabs>
                <w:tab w:val="center" w:pos="4320"/>
                <w:tab w:val="right" w:pos="9242"/>
              </w:tabs>
              <w:jc w:val="center"/>
              <w:rPr>
                <w:rFonts w:eastAsia="Calibri"/>
                <w:color w:val="000000"/>
                <w:sz w:val="20"/>
                <w:szCs w:val="20"/>
                <w:lang w:val="en-US"/>
              </w:rPr>
            </w:pPr>
            <w:r w:rsidRPr="00D56FC8">
              <w:rPr>
                <w:rFonts w:eastAsia="Calibri"/>
                <w:color w:val="000000"/>
                <w:sz w:val="20"/>
                <w:szCs w:val="20"/>
                <w:lang w:val="en-US"/>
              </w:rPr>
              <w:t>(a)</w:t>
            </w:r>
          </w:p>
        </w:tc>
        <w:tc>
          <w:tcPr>
            <w:tcW w:w="4703" w:type="dxa"/>
            <w:tcBorders>
              <w:top w:val="nil"/>
              <w:left w:val="nil"/>
              <w:bottom w:val="nil"/>
              <w:right w:val="nil"/>
            </w:tcBorders>
          </w:tcPr>
          <w:p w:rsidR="00F775BC" w:rsidRPr="00D56FC8" w:rsidRDefault="00F775BC">
            <w:pPr>
              <w:tabs>
                <w:tab w:val="center" w:pos="4320"/>
                <w:tab w:val="right" w:pos="9242"/>
              </w:tabs>
              <w:jc w:val="center"/>
              <w:rPr>
                <w:rFonts w:eastAsia="Calibri"/>
                <w:color w:val="000000"/>
                <w:sz w:val="20"/>
                <w:szCs w:val="20"/>
                <w:lang w:val="en-US"/>
              </w:rPr>
            </w:pPr>
            <w:r w:rsidRPr="00D56FC8">
              <w:rPr>
                <w:rFonts w:eastAsia="Calibri"/>
                <w:color w:val="000000"/>
                <w:sz w:val="20"/>
                <w:szCs w:val="20"/>
                <w:lang w:val="en-US"/>
              </w:rPr>
              <w:t>(b)</w:t>
            </w:r>
          </w:p>
        </w:tc>
      </w:tr>
      <w:tr w:rsidR="00F775BC" w:rsidRPr="00D56FC8">
        <w:tc>
          <w:tcPr>
            <w:tcW w:w="4703" w:type="dxa"/>
            <w:tcBorders>
              <w:top w:val="nil"/>
              <w:left w:val="nil"/>
              <w:bottom w:val="nil"/>
              <w:right w:val="nil"/>
            </w:tcBorders>
          </w:tcPr>
          <w:p w:rsidR="00F775BC" w:rsidRPr="00D56FC8" w:rsidRDefault="00997EF5">
            <w:pPr>
              <w:tabs>
                <w:tab w:val="center" w:pos="4320"/>
                <w:tab w:val="right" w:pos="9242"/>
              </w:tabs>
              <w:jc w:val="center"/>
              <w:rPr>
                <w:rFonts w:eastAsia="Calibri"/>
                <w:color w:val="000000"/>
                <w:sz w:val="18"/>
                <w:szCs w:val="18"/>
                <w:lang w:val="en-US"/>
              </w:rPr>
            </w:pPr>
            <w:r>
              <w:rPr>
                <w:rFonts w:ascii="Calibri" w:eastAsia="Calibri" w:hAnsi="Calibri"/>
                <w:noProof/>
                <w:color w:val="000000"/>
                <w:sz w:val="18"/>
                <w:szCs w:val="18"/>
              </w:rPr>
              <w:lastRenderedPageBreak/>
              <w:drawing>
                <wp:inline distT="0" distB="0" distL="0" distR="0">
                  <wp:extent cx="2374900" cy="1951355"/>
                  <wp:effectExtent l="0" t="0" r="6350" b="0"/>
                  <wp:docPr id="22" name="Изображение 205" descr="Fig 2,a_merged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5" descr="Fig 2,a_merged_page-00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4900" cy="1951355"/>
                          </a:xfrm>
                          <a:prstGeom prst="rect">
                            <a:avLst/>
                          </a:prstGeom>
                          <a:noFill/>
                          <a:ln>
                            <a:noFill/>
                          </a:ln>
                        </pic:spPr>
                      </pic:pic>
                    </a:graphicData>
                  </a:graphic>
                </wp:inline>
              </w:drawing>
            </w:r>
          </w:p>
        </w:tc>
        <w:tc>
          <w:tcPr>
            <w:tcW w:w="4703" w:type="dxa"/>
            <w:tcBorders>
              <w:top w:val="nil"/>
              <w:left w:val="nil"/>
              <w:bottom w:val="nil"/>
              <w:right w:val="nil"/>
            </w:tcBorders>
          </w:tcPr>
          <w:p w:rsidR="00F775BC" w:rsidRPr="00D56FC8" w:rsidRDefault="00997EF5">
            <w:pPr>
              <w:tabs>
                <w:tab w:val="center" w:pos="4320"/>
                <w:tab w:val="right" w:pos="9242"/>
              </w:tabs>
              <w:jc w:val="center"/>
              <w:rPr>
                <w:rFonts w:eastAsia="Calibri"/>
                <w:color w:val="000000"/>
                <w:sz w:val="18"/>
                <w:szCs w:val="18"/>
                <w:lang w:val="en-US"/>
              </w:rPr>
            </w:pPr>
            <w:r>
              <w:rPr>
                <w:rFonts w:ascii="Calibri" w:eastAsia="Calibri" w:hAnsi="Calibri"/>
                <w:noProof/>
                <w:color w:val="000000"/>
                <w:sz w:val="18"/>
                <w:szCs w:val="18"/>
              </w:rPr>
              <w:drawing>
                <wp:inline distT="0" distB="0" distL="0" distR="0">
                  <wp:extent cx="2374900" cy="1951355"/>
                  <wp:effectExtent l="0" t="0" r="6350" b="0"/>
                  <wp:docPr id="23" name="Изображение 207" descr="Ze zoom_merged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7" descr="Ze zoom_merged_page-00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4900" cy="1951355"/>
                          </a:xfrm>
                          <a:prstGeom prst="rect">
                            <a:avLst/>
                          </a:prstGeom>
                          <a:noFill/>
                          <a:ln>
                            <a:noFill/>
                          </a:ln>
                        </pic:spPr>
                      </pic:pic>
                    </a:graphicData>
                  </a:graphic>
                </wp:inline>
              </w:drawing>
            </w:r>
          </w:p>
        </w:tc>
      </w:tr>
      <w:tr w:rsidR="00F775BC" w:rsidRPr="00D56FC8">
        <w:tc>
          <w:tcPr>
            <w:tcW w:w="4703" w:type="dxa"/>
            <w:tcBorders>
              <w:top w:val="nil"/>
              <w:left w:val="nil"/>
              <w:bottom w:val="nil"/>
              <w:right w:val="nil"/>
            </w:tcBorders>
          </w:tcPr>
          <w:p w:rsidR="00F775BC" w:rsidRPr="00D56FC8" w:rsidRDefault="00F775BC">
            <w:pPr>
              <w:tabs>
                <w:tab w:val="center" w:pos="4320"/>
                <w:tab w:val="right" w:pos="9242"/>
              </w:tabs>
              <w:jc w:val="center"/>
              <w:rPr>
                <w:rFonts w:eastAsia="Calibri"/>
                <w:color w:val="000000"/>
                <w:sz w:val="20"/>
                <w:szCs w:val="20"/>
                <w:lang w:val="en-US"/>
              </w:rPr>
            </w:pPr>
            <w:r w:rsidRPr="00D56FC8">
              <w:rPr>
                <w:rFonts w:eastAsia="Calibri"/>
                <w:color w:val="000000"/>
                <w:sz w:val="20"/>
                <w:szCs w:val="20"/>
                <w:lang w:val="en-US"/>
              </w:rPr>
              <w:t>(c)</w:t>
            </w:r>
          </w:p>
        </w:tc>
        <w:tc>
          <w:tcPr>
            <w:tcW w:w="4703" w:type="dxa"/>
            <w:tcBorders>
              <w:top w:val="nil"/>
              <w:left w:val="nil"/>
              <w:bottom w:val="nil"/>
              <w:right w:val="nil"/>
            </w:tcBorders>
          </w:tcPr>
          <w:p w:rsidR="00F775BC" w:rsidRPr="00D56FC8" w:rsidRDefault="00F775BC">
            <w:pPr>
              <w:tabs>
                <w:tab w:val="center" w:pos="4320"/>
                <w:tab w:val="right" w:pos="9242"/>
              </w:tabs>
              <w:jc w:val="center"/>
              <w:rPr>
                <w:rFonts w:eastAsia="Calibri"/>
                <w:color w:val="000000"/>
                <w:sz w:val="20"/>
                <w:szCs w:val="20"/>
                <w:lang w:val="en-US"/>
              </w:rPr>
            </w:pPr>
            <w:r w:rsidRPr="00D56FC8">
              <w:rPr>
                <w:rFonts w:eastAsia="Calibri"/>
                <w:color w:val="000000"/>
                <w:sz w:val="20"/>
                <w:szCs w:val="20"/>
                <w:lang w:val="en-US"/>
              </w:rPr>
              <w:t>(d)</w:t>
            </w:r>
          </w:p>
        </w:tc>
      </w:tr>
      <w:tr w:rsidR="00F775BC" w:rsidRPr="00D56FC8">
        <w:tc>
          <w:tcPr>
            <w:tcW w:w="4703" w:type="dxa"/>
            <w:tcBorders>
              <w:top w:val="nil"/>
              <w:left w:val="nil"/>
              <w:bottom w:val="nil"/>
              <w:right w:val="nil"/>
            </w:tcBorders>
          </w:tcPr>
          <w:p w:rsidR="00F775BC" w:rsidRPr="00D56FC8" w:rsidRDefault="00997EF5">
            <w:pPr>
              <w:tabs>
                <w:tab w:val="center" w:pos="4320"/>
                <w:tab w:val="right" w:pos="9242"/>
              </w:tabs>
              <w:jc w:val="center"/>
              <w:rPr>
                <w:rFonts w:eastAsia="Calibri"/>
                <w:color w:val="000000"/>
                <w:sz w:val="18"/>
                <w:szCs w:val="18"/>
                <w:lang w:val="en-US"/>
              </w:rPr>
            </w:pPr>
            <w:r>
              <w:rPr>
                <w:rFonts w:ascii="Calibri" w:eastAsia="Calibri" w:hAnsi="Calibri"/>
                <w:noProof/>
                <w:color w:val="000000"/>
                <w:sz w:val="18"/>
                <w:szCs w:val="18"/>
              </w:rPr>
              <w:drawing>
                <wp:inline distT="0" distB="0" distL="0" distR="0">
                  <wp:extent cx="2360930" cy="1924050"/>
                  <wp:effectExtent l="0" t="0" r="1270" b="0"/>
                  <wp:docPr id="24" name="Изображение 208" descr="Fig 2,a_merged_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8" descr="Fig 2,a_merged_page-00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0930" cy="1924050"/>
                          </a:xfrm>
                          <a:prstGeom prst="rect">
                            <a:avLst/>
                          </a:prstGeom>
                          <a:noFill/>
                          <a:ln>
                            <a:noFill/>
                          </a:ln>
                        </pic:spPr>
                      </pic:pic>
                    </a:graphicData>
                  </a:graphic>
                </wp:inline>
              </w:drawing>
            </w:r>
          </w:p>
        </w:tc>
        <w:tc>
          <w:tcPr>
            <w:tcW w:w="4703" w:type="dxa"/>
            <w:tcBorders>
              <w:top w:val="nil"/>
              <w:left w:val="nil"/>
              <w:bottom w:val="nil"/>
              <w:right w:val="nil"/>
            </w:tcBorders>
          </w:tcPr>
          <w:p w:rsidR="00F775BC" w:rsidRPr="00D56FC8" w:rsidRDefault="00997EF5">
            <w:pPr>
              <w:tabs>
                <w:tab w:val="center" w:pos="4320"/>
                <w:tab w:val="right" w:pos="9242"/>
              </w:tabs>
              <w:jc w:val="center"/>
              <w:rPr>
                <w:rFonts w:eastAsia="Calibri"/>
                <w:color w:val="000000"/>
                <w:sz w:val="18"/>
                <w:szCs w:val="18"/>
                <w:lang w:val="en-US"/>
              </w:rPr>
            </w:pPr>
            <w:r>
              <w:rPr>
                <w:rFonts w:ascii="Calibri" w:eastAsia="Calibri" w:hAnsi="Calibri"/>
                <w:noProof/>
                <w:color w:val="000000"/>
                <w:sz w:val="18"/>
                <w:szCs w:val="18"/>
              </w:rPr>
              <w:drawing>
                <wp:inline distT="0" distB="0" distL="0" distR="0">
                  <wp:extent cx="2415540" cy="1938020"/>
                  <wp:effectExtent l="0" t="0" r="3810" b="5080"/>
                  <wp:docPr id="25" name="Изображение 209" descr="Ze zoom_merged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9" descr="Ze zoom_merged_page-00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5540" cy="1938020"/>
                          </a:xfrm>
                          <a:prstGeom prst="rect">
                            <a:avLst/>
                          </a:prstGeom>
                          <a:noFill/>
                          <a:ln>
                            <a:noFill/>
                          </a:ln>
                        </pic:spPr>
                      </pic:pic>
                    </a:graphicData>
                  </a:graphic>
                </wp:inline>
              </w:drawing>
            </w:r>
          </w:p>
        </w:tc>
      </w:tr>
      <w:tr w:rsidR="00F775BC" w:rsidRPr="00D56FC8">
        <w:tc>
          <w:tcPr>
            <w:tcW w:w="4703" w:type="dxa"/>
            <w:tcBorders>
              <w:top w:val="nil"/>
              <w:left w:val="nil"/>
              <w:bottom w:val="nil"/>
              <w:right w:val="nil"/>
            </w:tcBorders>
          </w:tcPr>
          <w:p w:rsidR="00F775BC" w:rsidRPr="00D56FC8" w:rsidRDefault="00F775BC">
            <w:pPr>
              <w:tabs>
                <w:tab w:val="center" w:pos="4320"/>
                <w:tab w:val="right" w:pos="9242"/>
              </w:tabs>
              <w:jc w:val="center"/>
              <w:rPr>
                <w:rFonts w:eastAsia="Calibri"/>
                <w:color w:val="000000"/>
                <w:sz w:val="20"/>
                <w:szCs w:val="20"/>
                <w:lang w:val="en-US"/>
              </w:rPr>
            </w:pPr>
            <w:r w:rsidRPr="00D56FC8">
              <w:rPr>
                <w:rFonts w:eastAsia="Calibri"/>
                <w:color w:val="000000"/>
                <w:sz w:val="20"/>
                <w:szCs w:val="20"/>
                <w:lang w:val="en-US"/>
              </w:rPr>
              <w:t>(e)</w:t>
            </w:r>
          </w:p>
        </w:tc>
        <w:tc>
          <w:tcPr>
            <w:tcW w:w="4703" w:type="dxa"/>
            <w:tcBorders>
              <w:top w:val="nil"/>
              <w:left w:val="nil"/>
              <w:bottom w:val="nil"/>
              <w:right w:val="nil"/>
            </w:tcBorders>
          </w:tcPr>
          <w:p w:rsidR="00F775BC" w:rsidRPr="00D56FC8" w:rsidRDefault="00F775BC">
            <w:pPr>
              <w:tabs>
                <w:tab w:val="center" w:pos="4320"/>
                <w:tab w:val="right" w:pos="9242"/>
              </w:tabs>
              <w:jc w:val="center"/>
              <w:rPr>
                <w:rFonts w:eastAsia="Calibri"/>
                <w:color w:val="000000"/>
                <w:sz w:val="20"/>
                <w:szCs w:val="20"/>
                <w:lang w:val="en-US"/>
              </w:rPr>
            </w:pPr>
            <w:r w:rsidRPr="00D56FC8">
              <w:rPr>
                <w:rFonts w:eastAsia="Calibri"/>
                <w:color w:val="000000"/>
                <w:sz w:val="20"/>
                <w:szCs w:val="20"/>
                <w:lang w:val="en-US"/>
              </w:rPr>
              <w:t>(f)</w:t>
            </w:r>
          </w:p>
        </w:tc>
      </w:tr>
      <w:tr w:rsidR="00F775BC" w:rsidRPr="00D56FC8">
        <w:tc>
          <w:tcPr>
            <w:tcW w:w="9406" w:type="dxa"/>
            <w:gridSpan w:val="2"/>
            <w:tcBorders>
              <w:top w:val="nil"/>
              <w:left w:val="nil"/>
              <w:bottom w:val="nil"/>
              <w:right w:val="nil"/>
            </w:tcBorders>
          </w:tcPr>
          <w:p w:rsidR="00F775BC" w:rsidRPr="00D56FC8" w:rsidRDefault="00997EF5">
            <w:pPr>
              <w:tabs>
                <w:tab w:val="center" w:pos="4320"/>
                <w:tab w:val="right" w:pos="9242"/>
              </w:tabs>
              <w:jc w:val="center"/>
              <w:rPr>
                <w:rFonts w:eastAsia="Calibri"/>
                <w:color w:val="000000"/>
                <w:sz w:val="18"/>
                <w:szCs w:val="18"/>
                <w:lang w:val="en-US"/>
              </w:rPr>
            </w:pPr>
            <w:r>
              <w:rPr>
                <w:rFonts w:ascii="Calibri" w:eastAsia="Calibri" w:hAnsi="Calibri"/>
                <w:noProof/>
                <w:color w:val="000000"/>
                <w:sz w:val="18"/>
                <w:szCs w:val="18"/>
              </w:rPr>
              <w:drawing>
                <wp:inline distT="0" distB="0" distL="0" distR="0">
                  <wp:extent cx="2402205" cy="1951355"/>
                  <wp:effectExtent l="0" t="0" r="0" b="0"/>
                  <wp:docPr id="26" name="Изображение 210" descr="Fig 2,a_merged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0" descr="Fig 2,a_merged_page-00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2205" cy="1951355"/>
                          </a:xfrm>
                          <a:prstGeom prst="rect">
                            <a:avLst/>
                          </a:prstGeom>
                          <a:noFill/>
                          <a:ln>
                            <a:noFill/>
                          </a:ln>
                        </pic:spPr>
                      </pic:pic>
                    </a:graphicData>
                  </a:graphic>
                </wp:inline>
              </w:drawing>
            </w:r>
          </w:p>
        </w:tc>
      </w:tr>
      <w:tr w:rsidR="00F775BC" w:rsidRPr="00D56FC8">
        <w:tc>
          <w:tcPr>
            <w:tcW w:w="9406" w:type="dxa"/>
            <w:gridSpan w:val="2"/>
            <w:tcBorders>
              <w:top w:val="nil"/>
              <w:left w:val="nil"/>
              <w:bottom w:val="nil"/>
              <w:right w:val="nil"/>
            </w:tcBorders>
          </w:tcPr>
          <w:p w:rsidR="00F775BC" w:rsidRPr="00D56FC8" w:rsidRDefault="00F775BC">
            <w:pPr>
              <w:tabs>
                <w:tab w:val="center" w:pos="4320"/>
                <w:tab w:val="right" w:pos="9242"/>
              </w:tabs>
              <w:jc w:val="center"/>
              <w:rPr>
                <w:rFonts w:eastAsia="Calibri"/>
                <w:color w:val="000000"/>
                <w:sz w:val="18"/>
                <w:szCs w:val="18"/>
                <w:lang w:val="en-US"/>
              </w:rPr>
            </w:pPr>
            <w:r w:rsidRPr="00D56FC8">
              <w:rPr>
                <w:rFonts w:eastAsia="Calibri"/>
                <w:color w:val="000000"/>
                <w:sz w:val="18"/>
                <w:szCs w:val="18"/>
                <w:lang w:val="en-US"/>
              </w:rPr>
              <w:t>(g)</w:t>
            </w:r>
          </w:p>
        </w:tc>
      </w:tr>
      <w:tr w:rsidR="00F775BC" w:rsidRPr="00D56FC8">
        <w:tc>
          <w:tcPr>
            <w:tcW w:w="9406" w:type="dxa"/>
            <w:gridSpan w:val="2"/>
            <w:tcBorders>
              <w:top w:val="nil"/>
              <w:left w:val="nil"/>
              <w:bottom w:val="nil"/>
              <w:right w:val="nil"/>
            </w:tcBorders>
          </w:tcPr>
          <w:p w:rsidR="00F775BC" w:rsidRPr="00D56FC8" w:rsidRDefault="00F775BC">
            <w:pPr>
              <w:widowControl w:val="0"/>
              <w:tabs>
                <w:tab w:val="left" w:pos="360"/>
              </w:tabs>
              <w:jc w:val="center"/>
              <w:rPr>
                <w:rFonts w:eastAsia="Calibri"/>
                <w:color w:val="000000"/>
                <w:sz w:val="18"/>
                <w:szCs w:val="18"/>
                <w:lang w:val="en-US"/>
              </w:rPr>
            </w:pPr>
            <w:r w:rsidRPr="00D56FC8">
              <w:rPr>
                <w:rFonts w:eastAsia="Calibri"/>
                <w:b/>
                <w:bCs/>
                <w:color w:val="000000"/>
                <w:sz w:val="18"/>
                <w:szCs w:val="18"/>
                <w:lang w:val="en-US"/>
              </w:rPr>
              <w:t>FIGURE 3.</w:t>
            </w:r>
            <w:r w:rsidRPr="00D56FC8">
              <w:rPr>
                <w:rFonts w:eastAsia="Calibri"/>
                <w:color w:val="000000"/>
                <w:sz w:val="18"/>
                <w:szCs w:val="18"/>
                <w:lang w:val="en-US"/>
              </w:rPr>
              <w:t xml:space="preserve"> Distributions of </w:t>
            </w:r>
            <w:r w:rsidRPr="00D56FC8">
              <w:rPr>
                <w:rFonts w:eastAsia="Times New Roman"/>
                <w:color w:val="000000"/>
                <w:sz w:val="18"/>
                <w:szCs w:val="18"/>
                <w:lang w:val="en-US"/>
              </w:rPr>
              <w:t xml:space="preserve">magnitudes </w:t>
            </w:r>
            <w:r w:rsidRPr="00D56FC8">
              <w:rPr>
                <w:rFonts w:eastAsia="Calibri"/>
                <w:color w:val="000000"/>
                <w:sz w:val="18"/>
                <w:szCs w:val="18"/>
                <w:lang w:val="en-US"/>
              </w:rPr>
              <w:t xml:space="preserve">monetary components of </w:t>
            </w:r>
            <w:r w:rsidRPr="00D56FC8">
              <w:rPr>
                <w:rFonts w:eastAsia="Calibri"/>
                <w:i/>
                <w:iCs/>
                <w:color w:val="000000"/>
                <w:sz w:val="18"/>
                <w:szCs w:val="18"/>
                <w:lang w:val="en-US"/>
              </w:rPr>
              <w:t>K</w:t>
            </w:r>
            <w:r w:rsidRPr="00D56FC8">
              <w:rPr>
                <w:rFonts w:eastAsia="Calibri"/>
                <w:i/>
                <w:iCs/>
                <w:color w:val="000000"/>
                <w:sz w:val="18"/>
                <w:szCs w:val="18"/>
                <w:vertAlign w:val="subscript"/>
                <w:lang w:val="en-US"/>
              </w:rPr>
              <w:t>fe</w:t>
            </w:r>
            <w:r w:rsidRPr="00D56FC8">
              <w:rPr>
                <w:rFonts w:eastAsia="Calibri"/>
                <w:color w:val="000000"/>
                <w:sz w:val="18"/>
                <w:szCs w:val="18"/>
                <w:lang w:val="en-US"/>
              </w:rPr>
              <w:t xml:space="preserve"> criterion over its 2Ch10.5/12 diesel engine operational regimes field</w:t>
            </w:r>
          </w:p>
        </w:tc>
      </w:tr>
    </w:tbl>
    <w:p w:rsidR="00F775BC" w:rsidRPr="00D56FC8" w:rsidRDefault="00F775BC">
      <w:pPr>
        <w:widowControl w:val="0"/>
        <w:jc w:val="both"/>
        <w:rPr>
          <w:rStyle w:val="alt-edited"/>
          <w:color w:val="000000"/>
          <w:sz w:val="20"/>
          <w:szCs w:val="20"/>
          <w:lang w:val="en-US"/>
        </w:rPr>
      </w:pPr>
    </w:p>
    <w:tbl>
      <w:tblPr>
        <w:tblW w:w="0" w:type="auto"/>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365"/>
        <w:gridCol w:w="862"/>
        <w:gridCol w:w="766"/>
        <w:gridCol w:w="766"/>
        <w:gridCol w:w="878"/>
        <w:gridCol w:w="666"/>
        <w:gridCol w:w="666"/>
        <w:gridCol w:w="878"/>
      </w:tblGrid>
      <w:tr w:rsidR="00F775BC" w:rsidRPr="00D56FC8">
        <w:trPr>
          <w:jc w:val="center"/>
        </w:trPr>
        <w:tc>
          <w:tcPr>
            <w:tcW w:w="0" w:type="auto"/>
            <w:gridSpan w:val="8"/>
            <w:tcBorders>
              <w:top w:val="nil"/>
              <w:left w:val="nil"/>
              <w:right w:val="nil"/>
            </w:tcBorders>
            <w:vAlign w:val="center"/>
          </w:tcPr>
          <w:p w:rsidR="00F775BC" w:rsidRPr="00D56FC8" w:rsidRDefault="00F775BC">
            <w:pPr>
              <w:widowControl w:val="0"/>
              <w:tabs>
                <w:tab w:val="left" w:pos="360"/>
              </w:tabs>
              <w:jc w:val="center"/>
              <w:rPr>
                <w:rFonts w:eastAsia="Calibri"/>
                <w:color w:val="000000"/>
                <w:sz w:val="18"/>
                <w:szCs w:val="18"/>
                <w:lang w:val="en-US"/>
              </w:rPr>
            </w:pPr>
            <w:r w:rsidRPr="00D56FC8">
              <w:rPr>
                <w:rFonts w:eastAsia="Times New Roman"/>
                <w:b/>
                <w:bCs/>
                <w:color w:val="000000"/>
                <w:sz w:val="18"/>
                <w:szCs w:val="18"/>
                <w:lang w:val="en-US"/>
              </w:rPr>
              <w:t>TABLE 1.</w:t>
            </w:r>
            <w:r w:rsidRPr="00D56FC8">
              <w:rPr>
                <w:rFonts w:eastAsia="Times New Roman"/>
                <w:color w:val="000000"/>
                <w:sz w:val="18"/>
                <w:szCs w:val="18"/>
                <w:lang w:val="en-US"/>
              </w:rPr>
              <w:t xml:space="preserve"> </w:t>
            </w:r>
            <w:r w:rsidRPr="00D56FC8">
              <w:rPr>
                <w:rFonts w:eastAsia="Calibri"/>
                <w:color w:val="000000"/>
                <w:sz w:val="18"/>
                <w:szCs w:val="18"/>
                <w:lang w:val="en-US"/>
              </w:rPr>
              <w:t xml:space="preserve">Results </w:t>
            </w:r>
            <w:r w:rsidRPr="00D56FC8">
              <w:rPr>
                <w:rFonts w:eastAsia="Times New Roman"/>
                <w:color w:val="000000"/>
                <w:sz w:val="18"/>
                <w:szCs w:val="18"/>
                <w:lang w:val="en-US"/>
              </w:rPr>
              <w:t>of the study</w:t>
            </w:r>
          </w:p>
        </w:tc>
      </w:tr>
      <w:tr w:rsidR="00F775BC" w:rsidRPr="00D56FC8">
        <w:trPr>
          <w:jc w:val="center"/>
        </w:trPr>
        <w:tc>
          <w:tcPr>
            <w:tcW w:w="0" w:type="auto"/>
            <w:vMerge w:val="restart"/>
            <w:tcBorders>
              <w:left w:val="nil"/>
              <w:bottom w:val="single" w:sz="8" w:space="0" w:color="auto"/>
              <w:right w:val="nil"/>
            </w:tcBorders>
            <w:vAlign w:val="center"/>
          </w:tcPr>
          <w:p w:rsidR="00F775BC" w:rsidRPr="00D56FC8" w:rsidRDefault="00F775BC">
            <w:pPr>
              <w:widowControl w:val="0"/>
              <w:jc w:val="center"/>
              <w:rPr>
                <w:rFonts w:eastAsia="Calibri"/>
                <w:b/>
                <w:color w:val="000000"/>
                <w:sz w:val="18"/>
                <w:szCs w:val="18"/>
                <w:lang w:val="en-US"/>
              </w:rPr>
            </w:pPr>
            <w:r w:rsidRPr="00D56FC8">
              <w:rPr>
                <w:rFonts w:eastAsia="Calibri"/>
                <w:b/>
                <w:color w:val="000000"/>
                <w:sz w:val="18"/>
                <w:szCs w:val="18"/>
                <w:lang w:val="en-US"/>
              </w:rPr>
              <w:t>Monetary</w:t>
            </w:r>
          </w:p>
          <w:p w:rsidR="00F775BC" w:rsidRPr="00D56FC8" w:rsidRDefault="00F775BC">
            <w:pPr>
              <w:widowControl w:val="0"/>
              <w:jc w:val="center"/>
              <w:rPr>
                <w:rFonts w:eastAsia="Calibri"/>
                <w:b/>
                <w:color w:val="000000"/>
                <w:sz w:val="18"/>
                <w:szCs w:val="18"/>
                <w:lang w:val="en-US"/>
              </w:rPr>
            </w:pPr>
            <w:r w:rsidRPr="00D56FC8">
              <w:rPr>
                <w:rFonts w:eastAsia="Calibri"/>
                <w:b/>
                <w:color w:val="000000"/>
                <w:sz w:val="18"/>
                <w:szCs w:val="18"/>
                <w:lang w:val="en-US"/>
              </w:rPr>
              <w:t>costs</w:t>
            </w:r>
          </w:p>
        </w:tc>
        <w:tc>
          <w:tcPr>
            <w:tcW w:w="0" w:type="auto"/>
            <w:vMerge w:val="restart"/>
            <w:tcBorders>
              <w:left w:val="nil"/>
              <w:bottom w:val="single" w:sz="8" w:space="0" w:color="auto"/>
              <w:right w:val="nil"/>
            </w:tcBorders>
            <w:vAlign w:val="center"/>
          </w:tcPr>
          <w:p w:rsidR="00F775BC" w:rsidRPr="00D56FC8" w:rsidRDefault="00F775BC">
            <w:pPr>
              <w:widowControl w:val="0"/>
              <w:jc w:val="center"/>
              <w:rPr>
                <w:rFonts w:eastAsia="Calibri"/>
                <w:b/>
                <w:color w:val="000000"/>
                <w:sz w:val="18"/>
                <w:szCs w:val="18"/>
                <w:lang w:val="en-US"/>
              </w:rPr>
            </w:pPr>
            <w:r w:rsidRPr="00D56FC8">
              <w:rPr>
                <w:rFonts w:eastAsia="Calibri"/>
                <w:b/>
                <w:color w:val="000000"/>
                <w:sz w:val="18"/>
                <w:szCs w:val="18"/>
                <w:lang w:val="en-US"/>
              </w:rPr>
              <w:t>Year</w:t>
            </w:r>
          </w:p>
        </w:tc>
        <w:tc>
          <w:tcPr>
            <w:tcW w:w="0" w:type="auto"/>
            <w:gridSpan w:val="6"/>
            <w:tcBorders>
              <w:left w:val="nil"/>
              <w:bottom w:val="nil"/>
              <w:right w:val="nil"/>
            </w:tcBorders>
            <w:vAlign w:val="center"/>
          </w:tcPr>
          <w:p w:rsidR="00F775BC" w:rsidRPr="00D56FC8" w:rsidRDefault="00F775BC">
            <w:pPr>
              <w:widowControl w:val="0"/>
              <w:jc w:val="center"/>
              <w:rPr>
                <w:rFonts w:eastAsia="Calibri"/>
                <w:b/>
                <w:color w:val="000000"/>
                <w:sz w:val="18"/>
                <w:szCs w:val="18"/>
                <w:lang w:val="en-US"/>
              </w:rPr>
            </w:pPr>
            <w:r w:rsidRPr="00D56FC8">
              <w:rPr>
                <w:rFonts w:eastAsia="Calibri"/>
                <w:b/>
                <w:color w:val="000000"/>
                <w:sz w:val="18"/>
                <w:szCs w:val="18"/>
                <w:lang w:val="en-US"/>
              </w:rPr>
              <w:t>Units of expression</w:t>
            </w:r>
          </w:p>
        </w:tc>
      </w:tr>
      <w:tr w:rsidR="00F775BC" w:rsidRPr="00D56FC8">
        <w:trPr>
          <w:jc w:val="center"/>
        </w:trPr>
        <w:tc>
          <w:tcPr>
            <w:tcW w:w="0" w:type="auto"/>
            <w:vMerge/>
            <w:tcBorders>
              <w:top w:val="single" w:sz="8" w:space="0" w:color="auto"/>
              <w:left w:val="nil"/>
              <w:bottom w:val="single" w:sz="8" w:space="0" w:color="auto"/>
              <w:right w:val="nil"/>
            </w:tcBorders>
            <w:vAlign w:val="center"/>
          </w:tcPr>
          <w:p w:rsidR="00F775BC" w:rsidRPr="00D56FC8" w:rsidRDefault="00F775BC">
            <w:pPr>
              <w:widowControl w:val="0"/>
              <w:jc w:val="center"/>
              <w:rPr>
                <w:rFonts w:eastAsia="Calibri"/>
                <w:b/>
                <w:i/>
                <w:iCs/>
                <w:color w:val="000000"/>
                <w:sz w:val="18"/>
                <w:szCs w:val="18"/>
                <w:lang w:val="en-US"/>
              </w:rPr>
            </w:pPr>
          </w:p>
        </w:tc>
        <w:tc>
          <w:tcPr>
            <w:tcW w:w="0" w:type="auto"/>
            <w:vMerge/>
            <w:tcBorders>
              <w:top w:val="single" w:sz="8" w:space="0" w:color="auto"/>
              <w:left w:val="nil"/>
              <w:bottom w:val="single" w:sz="8" w:space="0" w:color="auto"/>
              <w:right w:val="nil"/>
            </w:tcBorders>
            <w:vAlign w:val="center"/>
          </w:tcPr>
          <w:p w:rsidR="00F775BC" w:rsidRPr="00D56FC8" w:rsidRDefault="00F775BC">
            <w:pPr>
              <w:widowControl w:val="0"/>
              <w:jc w:val="center"/>
              <w:rPr>
                <w:rFonts w:eastAsia="Calibri"/>
                <w:b/>
                <w:color w:val="000000"/>
                <w:sz w:val="18"/>
                <w:szCs w:val="18"/>
                <w:lang w:val="en-US"/>
              </w:rPr>
            </w:pPr>
          </w:p>
        </w:tc>
        <w:tc>
          <w:tcPr>
            <w:tcW w:w="0" w:type="auto"/>
            <w:gridSpan w:val="3"/>
            <w:tcBorders>
              <w:top w:val="nil"/>
              <w:left w:val="nil"/>
              <w:bottom w:val="single" w:sz="4" w:space="0" w:color="auto"/>
              <w:right w:val="nil"/>
            </w:tcBorders>
            <w:vAlign w:val="center"/>
          </w:tcPr>
          <w:p w:rsidR="00F775BC" w:rsidRPr="00D56FC8" w:rsidRDefault="00F775BC">
            <w:pPr>
              <w:widowControl w:val="0"/>
              <w:jc w:val="center"/>
              <w:rPr>
                <w:rFonts w:eastAsia="Calibri"/>
                <w:b/>
                <w:color w:val="000000"/>
                <w:sz w:val="18"/>
                <w:szCs w:val="18"/>
                <w:lang w:val="en-US"/>
              </w:rPr>
            </w:pPr>
            <w:r w:rsidRPr="00D56FC8">
              <w:rPr>
                <w:rFonts w:eastAsia="Calibri"/>
                <w:b/>
                <w:color w:val="000000"/>
                <w:sz w:val="18"/>
                <w:szCs w:val="18"/>
                <w:lang w:val="en-US"/>
              </w:rPr>
              <w:t>UAH/(kW∙h)</w:t>
            </w:r>
          </w:p>
        </w:tc>
        <w:tc>
          <w:tcPr>
            <w:tcW w:w="0" w:type="auto"/>
            <w:gridSpan w:val="3"/>
            <w:tcBorders>
              <w:top w:val="nil"/>
              <w:left w:val="nil"/>
              <w:bottom w:val="single" w:sz="4" w:space="0" w:color="auto"/>
              <w:right w:val="nil"/>
            </w:tcBorders>
            <w:vAlign w:val="center"/>
          </w:tcPr>
          <w:p w:rsidR="00F775BC" w:rsidRPr="00D56FC8" w:rsidRDefault="00F775BC">
            <w:pPr>
              <w:widowControl w:val="0"/>
              <w:jc w:val="center"/>
              <w:rPr>
                <w:rFonts w:eastAsia="Calibri"/>
                <w:b/>
                <w:color w:val="000000"/>
                <w:sz w:val="18"/>
                <w:szCs w:val="18"/>
                <w:lang w:val="en-US"/>
              </w:rPr>
            </w:pPr>
            <w:r w:rsidRPr="00D56FC8">
              <w:rPr>
                <w:rFonts w:eastAsia="Calibri"/>
                <w:b/>
                <w:color w:val="000000"/>
                <w:sz w:val="18"/>
                <w:szCs w:val="18"/>
                <w:lang w:val="en-US"/>
              </w:rPr>
              <w:t>USD/(kW∙h)</w:t>
            </w:r>
          </w:p>
        </w:tc>
      </w:tr>
      <w:tr w:rsidR="00F775BC" w:rsidRPr="00D56FC8">
        <w:trPr>
          <w:jc w:val="center"/>
        </w:trPr>
        <w:tc>
          <w:tcPr>
            <w:tcW w:w="0" w:type="auto"/>
            <w:vMerge w:val="restart"/>
            <w:tcBorders>
              <w:top w:val="single" w:sz="8" w:space="0" w:color="auto"/>
              <w:left w:val="nil"/>
              <w:bottom w:val="nil"/>
              <w:right w:val="nil"/>
            </w:tcBorders>
            <w:vAlign w:val="center"/>
          </w:tcPr>
          <w:p w:rsidR="00F775BC" w:rsidRPr="00D56FC8" w:rsidRDefault="00F775BC">
            <w:pPr>
              <w:widowControl w:val="0"/>
              <w:jc w:val="center"/>
              <w:rPr>
                <w:rFonts w:eastAsia="Calibri"/>
                <w:i/>
                <w:iCs/>
                <w:color w:val="000000"/>
                <w:sz w:val="20"/>
                <w:szCs w:val="20"/>
                <w:lang w:val="en-US"/>
              </w:rPr>
            </w:pPr>
            <w:r w:rsidRPr="00D56FC8">
              <w:rPr>
                <w:rFonts w:eastAsia="Calibri"/>
                <w:i/>
                <w:iCs/>
                <w:color w:val="000000"/>
                <w:sz w:val="20"/>
                <w:szCs w:val="20"/>
                <w:lang w:val="en-US"/>
              </w:rPr>
              <w:t>Z</w:t>
            </w:r>
            <w:r w:rsidRPr="00D56FC8">
              <w:rPr>
                <w:rFonts w:eastAsia="Calibri"/>
                <w:i/>
                <w:iCs/>
                <w:color w:val="000000"/>
                <w:sz w:val="20"/>
                <w:szCs w:val="20"/>
                <w:vertAlign w:val="subscript"/>
                <w:lang w:val="en-US"/>
              </w:rPr>
              <w:t>e</w:t>
            </w:r>
          </w:p>
        </w:tc>
        <w:tc>
          <w:tcPr>
            <w:tcW w:w="0" w:type="auto"/>
            <w:tcBorders>
              <w:top w:val="single" w:sz="8" w:space="0" w:color="auto"/>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2003</w:t>
            </w:r>
          </w:p>
        </w:tc>
        <w:tc>
          <w:tcPr>
            <w:tcW w:w="0" w:type="auto"/>
            <w:tcBorders>
              <w:top w:val="single" w:sz="4" w:space="0" w:color="auto"/>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2.081</w:t>
            </w:r>
          </w:p>
        </w:tc>
        <w:tc>
          <w:tcPr>
            <w:tcW w:w="0" w:type="auto"/>
            <w:tcBorders>
              <w:top w:val="single" w:sz="4" w:space="0" w:color="auto"/>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2.729</w:t>
            </w:r>
          </w:p>
        </w:tc>
        <w:tc>
          <w:tcPr>
            <w:tcW w:w="0" w:type="auto"/>
            <w:tcBorders>
              <w:top w:val="single" w:sz="4" w:space="0" w:color="auto"/>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2.553</w:t>
            </w:r>
          </w:p>
        </w:tc>
        <w:tc>
          <w:tcPr>
            <w:tcW w:w="0" w:type="auto"/>
            <w:tcBorders>
              <w:top w:val="single" w:sz="4" w:space="0" w:color="auto"/>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0.391</w:t>
            </w:r>
          </w:p>
        </w:tc>
        <w:tc>
          <w:tcPr>
            <w:tcW w:w="0" w:type="auto"/>
            <w:tcBorders>
              <w:top w:val="single" w:sz="4" w:space="0" w:color="auto"/>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0.513</w:t>
            </w:r>
          </w:p>
        </w:tc>
        <w:tc>
          <w:tcPr>
            <w:tcW w:w="0" w:type="auto"/>
            <w:tcBorders>
              <w:top w:val="single" w:sz="4" w:space="0" w:color="auto"/>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0.480</w:t>
            </w:r>
          </w:p>
        </w:tc>
      </w:tr>
      <w:tr w:rsidR="00F775BC" w:rsidRPr="00D56FC8">
        <w:trPr>
          <w:jc w:val="center"/>
        </w:trPr>
        <w:tc>
          <w:tcPr>
            <w:tcW w:w="0" w:type="auto"/>
            <w:vMerge/>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2018</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27.050</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35.472</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33.185</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0.567</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0.744</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0.696</w:t>
            </w:r>
          </w:p>
        </w:tc>
      </w:tr>
      <w:tr w:rsidR="00F775BC" w:rsidRPr="00D56FC8">
        <w:trPr>
          <w:jc w:val="center"/>
        </w:trPr>
        <w:tc>
          <w:tcPr>
            <w:tcW w:w="0" w:type="auto"/>
            <w:vMerge/>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2019</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35.706</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46.823</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43.804</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0.748</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0.982</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0.919</w:t>
            </w:r>
          </w:p>
        </w:tc>
      </w:tr>
      <w:tr w:rsidR="00F775BC" w:rsidRPr="00D56FC8">
        <w:trPr>
          <w:jc w:val="center"/>
        </w:trPr>
        <w:tc>
          <w:tcPr>
            <w:tcW w:w="0" w:type="auto"/>
            <w:vMerge w:val="restart"/>
            <w:tcBorders>
              <w:top w:val="nil"/>
              <w:left w:val="nil"/>
              <w:bottom w:val="nil"/>
              <w:right w:val="nil"/>
            </w:tcBorders>
            <w:vAlign w:val="center"/>
          </w:tcPr>
          <w:p w:rsidR="00F775BC" w:rsidRPr="00D56FC8" w:rsidRDefault="00F775BC">
            <w:pPr>
              <w:widowControl w:val="0"/>
              <w:jc w:val="center"/>
              <w:rPr>
                <w:rFonts w:eastAsia="Calibri"/>
                <w:i/>
                <w:iCs/>
                <w:color w:val="000000"/>
                <w:sz w:val="20"/>
                <w:szCs w:val="20"/>
                <w:lang w:val="en-US"/>
              </w:rPr>
            </w:pPr>
            <w:r w:rsidRPr="00D56FC8">
              <w:rPr>
                <w:rFonts w:eastAsia="Calibri"/>
                <w:i/>
                <w:iCs/>
                <w:color w:val="000000"/>
                <w:sz w:val="20"/>
                <w:szCs w:val="20"/>
                <w:lang w:val="en-US"/>
              </w:rPr>
              <w:t>Z</w:t>
            </w:r>
            <w:r w:rsidRPr="00D56FC8">
              <w:rPr>
                <w:rFonts w:eastAsia="Calibri"/>
                <w:i/>
                <w:iCs/>
                <w:color w:val="000000"/>
                <w:sz w:val="20"/>
                <w:szCs w:val="20"/>
                <w:vertAlign w:val="subscript"/>
                <w:lang w:val="en-US"/>
              </w:rPr>
              <w:t>f</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2003</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0.574</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0.685</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0.899</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0.108</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0.129</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0.169</w:t>
            </w:r>
          </w:p>
        </w:tc>
      </w:tr>
      <w:tr w:rsidR="00F775BC" w:rsidRPr="00D56FC8">
        <w:trPr>
          <w:jc w:val="center"/>
        </w:trPr>
        <w:tc>
          <w:tcPr>
            <w:tcW w:w="0" w:type="auto"/>
            <w:vMerge/>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2018</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7.463</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8.903</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11.681</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0.156</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0.187</w:t>
            </w: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0.245</w:t>
            </w:r>
          </w:p>
        </w:tc>
      </w:tr>
      <w:tr w:rsidR="00F775BC" w:rsidRPr="00D56FC8">
        <w:trPr>
          <w:jc w:val="center"/>
        </w:trPr>
        <w:tc>
          <w:tcPr>
            <w:tcW w:w="0" w:type="auto"/>
            <w:vMerge/>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p>
        </w:tc>
        <w:tc>
          <w:tcPr>
            <w:tcW w:w="0" w:type="auto"/>
            <w:tcBorders>
              <w:top w:val="nil"/>
              <w:left w:val="nil"/>
              <w:bottom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2019</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9.851</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11.752</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15.419</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0.206</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0.247</w:t>
            </w:r>
          </w:p>
        </w:tc>
        <w:tc>
          <w:tcPr>
            <w:tcW w:w="0" w:type="auto"/>
            <w:tcBorders>
              <w:top w:val="nil"/>
              <w:left w:val="nil"/>
              <w:bottom w:val="nil"/>
              <w:right w:val="nil"/>
            </w:tcBorders>
            <w:vAlign w:val="bottom"/>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0.323</w:t>
            </w:r>
          </w:p>
        </w:tc>
      </w:tr>
      <w:tr w:rsidR="00F775BC" w:rsidRPr="00D56FC8">
        <w:trPr>
          <w:jc w:val="center"/>
        </w:trPr>
        <w:tc>
          <w:tcPr>
            <w:tcW w:w="0" w:type="auto"/>
            <w:gridSpan w:val="2"/>
            <w:tcBorders>
              <w:top w:val="nil"/>
              <w:left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RICE operational regime</w:t>
            </w:r>
          </w:p>
        </w:tc>
        <w:tc>
          <w:tcPr>
            <w:tcW w:w="0" w:type="auto"/>
            <w:tcBorders>
              <w:top w:val="nil"/>
              <w:left w:val="nil"/>
              <w:right w:val="nil"/>
            </w:tcBorders>
            <w:vAlign w:val="center"/>
          </w:tcPr>
          <w:p w:rsidR="00F775BC" w:rsidRPr="00D56FC8" w:rsidRDefault="00F775BC">
            <w:pPr>
              <w:widowControl w:val="0"/>
              <w:jc w:val="center"/>
              <w:rPr>
                <w:rFonts w:eastAsia="Calibri"/>
                <w:i/>
                <w:color w:val="000000"/>
                <w:sz w:val="20"/>
                <w:szCs w:val="20"/>
                <w:lang w:val="en-US"/>
              </w:rPr>
            </w:pPr>
            <w:r w:rsidRPr="00D56FC8">
              <w:rPr>
                <w:rFonts w:eastAsia="Calibri"/>
                <w:i/>
                <w:color w:val="000000"/>
                <w:sz w:val="20"/>
                <w:szCs w:val="20"/>
                <w:lang w:val="en-US"/>
              </w:rPr>
              <w:t>N</w:t>
            </w:r>
            <w:r w:rsidRPr="00D56FC8">
              <w:rPr>
                <w:rFonts w:eastAsia="Calibri"/>
                <w:i/>
                <w:color w:val="000000"/>
                <w:sz w:val="20"/>
                <w:szCs w:val="20"/>
                <w:vertAlign w:val="subscript"/>
                <w:lang w:val="en-US"/>
              </w:rPr>
              <w:t>enom</w:t>
            </w:r>
          </w:p>
        </w:tc>
        <w:tc>
          <w:tcPr>
            <w:tcW w:w="0" w:type="auto"/>
            <w:tcBorders>
              <w:top w:val="nil"/>
              <w:left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i/>
                <w:color w:val="000000"/>
                <w:sz w:val="20"/>
                <w:szCs w:val="20"/>
                <w:lang w:val="en-US"/>
              </w:rPr>
              <w:t>M</w:t>
            </w:r>
            <w:r w:rsidRPr="00D56FC8">
              <w:rPr>
                <w:rFonts w:eastAsia="Calibri"/>
                <w:color w:val="000000"/>
                <w:sz w:val="20"/>
                <w:szCs w:val="20"/>
                <w:vertAlign w:val="subscript"/>
                <w:lang w:val="en-US"/>
              </w:rPr>
              <w:t>max</w:t>
            </w:r>
          </w:p>
        </w:tc>
        <w:tc>
          <w:tcPr>
            <w:tcW w:w="0" w:type="auto"/>
            <w:tcBorders>
              <w:top w:val="nil"/>
              <w:left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min idle</w:t>
            </w:r>
          </w:p>
        </w:tc>
        <w:tc>
          <w:tcPr>
            <w:tcW w:w="0" w:type="auto"/>
            <w:tcBorders>
              <w:top w:val="nil"/>
              <w:left w:val="nil"/>
              <w:right w:val="nil"/>
            </w:tcBorders>
            <w:vAlign w:val="center"/>
          </w:tcPr>
          <w:p w:rsidR="00F775BC" w:rsidRPr="00D56FC8" w:rsidRDefault="00F775BC">
            <w:pPr>
              <w:widowControl w:val="0"/>
              <w:jc w:val="center"/>
              <w:rPr>
                <w:rFonts w:eastAsia="Calibri"/>
                <w:i/>
                <w:color w:val="000000"/>
                <w:sz w:val="20"/>
                <w:szCs w:val="20"/>
                <w:lang w:val="en-US"/>
              </w:rPr>
            </w:pPr>
            <w:r w:rsidRPr="00D56FC8">
              <w:rPr>
                <w:rFonts w:eastAsia="Calibri"/>
                <w:i/>
                <w:color w:val="000000"/>
                <w:sz w:val="20"/>
                <w:szCs w:val="20"/>
                <w:lang w:val="en-US"/>
              </w:rPr>
              <w:t>N</w:t>
            </w:r>
            <w:r w:rsidRPr="00D56FC8">
              <w:rPr>
                <w:rFonts w:eastAsia="Calibri"/>
                <w:i/>
                <w:color w:val="000000"/>
                <w:sz w:val="20"/>
                <w:szCs w:val="20"/>
                <w:vertAlign w:val="subscript"/>
                <w:lang w:val="en-US"/>
              </w:rPr>
              <w:t>enom</w:t>
            </w:r>
          </w:p>
        </w:tc>
        <w:tc>
          <w:tcPr>
            <w:tcW w:w="0" w:type="auto"/>
            <w:tcBorders>
              <w:top w:val="nil"/>
              <w:left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i/>
                <w:color w:val="000000"/>
                <w:sz w:val="20"/>
                <w:szCs w:val="20"/>
                <w:lang w:val="en-US"/>
              </w:rPr>
              <w:t>M</w:t>
            </w:r>
            <w:r w:rsidRPr="00D56FC8">
              <w:rPr>
                <w:rFonts w:eastAsia="Calibri"/>
                <w:color w:val="000000"/>
                <w:sz w:val="20"/>
                <w:szCs w:val="20"/>
                <w:vertAlign w:val="subscript"/>
                <w:lang w:val="en-US"/>
              </w:rPr>
              <w:t>max</w:t>
            </w:r>
          </w:p>
        </w:tc>
        <w:tc>
          <w:tcPr>
            <w:tcW w:w="0" w:type="auto"/>
            <w:tcBorders>
              <w:top w:val="nil"/>
              <w:left w:val="nil"/>
              <w:right w:val="nil"/>
            </w:tcBorders>
            <w:vAlign w:val="center"/>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min idle</w:t>
            </w:r>
          </w:p>
        </w:tc>
      </w:tr>
    </w:tbl>
    <w:p w:rsidR="00F775BC" w:rsidRPr="00D56FC8" w:rsidRDefault="00F775BC">
      <w:pPr>
        <w:widowControl w:val="0"/>
        <w:rPr>
          <w:color w:val="000000"/>
          <w:sz w:val="20"/>
          <w:szCs w:val="20"/>
          <w:lang w:val="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7"/>
        <w:gridCol w:w="4729"/>
      </w:tblGrid>
      <w:tr w:rsidR="00F775BC" w:rsidRPr="00D56FC8">
        <w:tc>
          <w:tcPr>
            <w:tcW w:w="4703" w:type="dxa"/>
            <w:tcBorders>
              <w:top w:val="nil"/>
              <w:left w:val="nil"/>
              <w:bottom w:val="nil"/>
              <w:right w:val="nil"/>
            </w:tcBorders>
          </w:tcPr>
          <w:p w:rsidR="00F775BC" w:rsidRPr="00D56FC8" w:rsidRDefault="00997EF5">
            <w:pPr>
              <w:widowControl w:val="0"/>
              <w:jc w:val="center"/>
              <w:rPr>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2893060" cy="1692275"/>
                  <wp:effectExtent l="0" t="0" r="2540" b="3175"/>
                  <wp:docPr id="27" name="Изображение 211" descr="Fig 1,a_merged_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1" descr="Fig 1,a_merged_page-00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3060" cy="1692275"/>
                          </a:xfrm>
                          <a:prstGeom prst="rect">
                            <a:avLst/>
                          </a:prstGeom>
                          <a:noFill/>
                          <a:ln>
                            <a:noFill/>
                          </a:ln>
                        </pic:spPr>
                      </pic:pic>
                    </a:graphicData>
                  </a:graphic>
                </wp:inline>
              </w:drawing>
            </w:r>
          </w:p>
        </w:tc>
        <w:tc>
          <w:tcPr>
            <w:tcW w:w="4703" w:type="dxa"/>
            <w:tcBorders>
              <w:top w:val="nil"/>
              <w:left w:val="nil"/>
              <w:bottom w:val="nil"/>
              <w:right w:val="nil"/>
            </w:tcBorders>
          </w:tcPr>
          <w:p w:rsidR="00F775BC" w:rsidRPr="00D56FC8" w:rsidRDefault="00997EF5">
            <w:pPr>
              <w:widowControl w:val="0"/>
              <w:jc w:val="center"/>
              <w:rPr>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2865755" cy="1815465"/>
                  <wp:effectExtent l="0" t="0" r="0" b="0"/>
                  <wp:docPr id="28" name="Изображение 212" descr="Fig 1,a_merged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2" descr="Fig 1,a_merged_page-00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5755" cy="1815465"/>
                          </a:xfrm>
                          <a:prstGeom prst="rect">
                            <a:avLst/>
                          </a:prstGeom>
                          <a:noFill/>
                          <a:ln>
                            <a:noFill/>
                          </a:ln>
                        </pic:spPr>
                      </pic:pic>
                    </a:graphicData>
                  </a:graphic>
                </wp:inline>
              </w:drawing>
            </w:r>
          </w:p>
        </w:tc>
      </w:tr>
      <w:tr w:rsidR="00F775BC" w:rsidRPr="00D56FC8">
        <w:tc>
          <w:tcPr>
            <w:tcW w:w="4703" w:type="dxa"/>
            <w:tcBorders>
              <w:top w:val="nil"/>
              <w:left w:val="nil"/>
              <w:bottom w:val="nil"/>
              <w:right w:val="nil"/>
            </w:tcBorders>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(a)</w:t>
            </w:r>
          </w:p>
        </w:tc>
        <w:tc>
          <w:tcPr>
            <w:tcW w:w="4703" w:type="dxa"/>
            <w:tcBorders>
              <w:top w:val="nil"/>
              <w:left w:val="nil"/>
              <w:bottom w:val="nil"/>
              <w:right w:val="nil"/>
            </w:tcBorders>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(b)</w:t>
            </w:r>
          </w:p>
        </w:tc>
      </w:tr>
      <w:tr w:rsidR="00F775BC" w:rsidRPr="00D56FC8">
        <w:tc>
          <w:tcPr>
            <w:tcW w:w="4703" w:type="dxa"/>
            <w:tcBorders>
              <w:top w:val="nil"/>
              <w:left w:val="nil"/>
              <w:bottom w:val="nil"/>
              <w:right w:val="nil"/>
            </w:tcBorders>
          </w:tcPr>
          <w:p w:rsidR="00F775BC" w:rsidRPr="00D56FC8" w:rsidRDefault="00997EF5">
            <w:pPr>
              <w:widowControl w:val="0"/>
              <w:jc w:val="center"/>
              <w:rPr>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2934335" cy="1583055"/>
                  <wp:effectExtent l="0" t="0" r="0" b="0"/>
                  <wp:docPr id="29" name="Изображение 213" descr="Fig 1,a_merged_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3" descr="Fig 1,a_merged_page-00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4335" cy="1583055"/>
                          </a:xfrm>
                          <a:prstGeom prst="rect">
                            <a:avLst/>
                          </a:prstGeom>
                          <a:noFill/>
                          <a:ln>
                            <a:noFill/>
                          </a:ln>
                        </pic:spPr>
                      </pic:pic>
                    </a:graphicData>
                  </a:graphic>
                </wp:inline>
              </w:drawing>
            </w:r>
          </w:p>
        </w:tc>
        <w:tc>
          <w:tcPr>
            <w:tcW w:w="4703" w:type="dxa"/>
            <w:tcBorders>
              <w:top w:val="nil"/>
              <w:left w:val="nil"/>
              <w:bottom w:val="nil"/>
              <w:right w:val="nil"/>
            </w:tcBorders>
          </w:tcPr>
          <w:p w:rsidR="00F775BC" w:rsidRPr="00D56FC8" w:rsidRDefault="00997EF5">
            <w:pPr>
              <w:widowControl w:val="0"/>
              <w:jc w:val="center"/>
              <w:rPr>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2838450" cy="1746885"/>
                  <wp:effectExtent l="0" t="0" r="0" b="5715"/>
                  <wp:docPr id="30" name="Изображение 215" descr="Fig 1,a_merged_p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5" descr="Fig 1,a_merged_page-00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8450" cy="1746885"/>
                          </a:xfrm>
                          <a:prstGeom prst="rect">
                            <a:avLst/>
                          </a:prstGeom>
                          <a:noFill/>
                          <a:ln>
                            <a:noFill/>
                          </a:ln>
                        </pic:spPr>
                      </pic:pic>
                    </a:graphicData>
                  </a:graphic>
                </wp:inline>
              </w:drawing>
            </w:r>
          </w:p>
        </w:tc>
      </w:tr>
      <w:tr w:rsidR="00F775BC" w:rsidRPr="00D56FC8">
        <w:tc>
          <w:tcPr>
            <w:tcW w:w="4703" w:type="dxa"/>
            <w:tcBorders>
              <w:top w:val="nil"/>
              <w:left w:val="nil"/>
              <w:bottom w:val="nil"/>
              <w:right w:val="nil"/>
            </w:tcBorders>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(c)</w:t>
            </w:r>
          </w:p>
        </w:tc>
        <w:tc>
          <w:tcPr>
            <w:tcW w:w="4703" w:type="dxa"/>
            <w:tcBorders>
              <w:top w:val="nil"/>
              <w:left w:val="nil"/>
              <w:bottom w:val="nil"/>
              <w:right w:val="nil"/>
            </w:tcBorders>
          </w:tcPr>
          <w:p w:rsidR="00F775BC" w:rsidRPr="00D56FC8" w:rsidRDefault="00F775BC">
            <w:pPr>
              <w:widowControl w:val="0"/>
              <w:jc w:val="center"/>
              <w:rPr>
                <w:rFonts w:eastAsia="Calibri"/>
                <w:color w:val="000000"/>
                <w:sz w:val="20"/>
                <w:szCs w:val="20"/>
                <w:lang w:val="en-US"/>
              </w:rPr>
            </w:pPr>
            <w:r w:rsidRPr="00D56FC8">
              <w:rPr>
                <w:rFonts w:eastAsia="Calibri"/>
                <w:color w:val="000000"/>
                <w:sz w:val="20"/>
                <w:szCs w:val="20"/>
                <w:lang w:val="en-US"/>
              </w:rPr>
              <w:t>(d)</w:t>
            </w:r>
          </w:p>
        </w:tc>
      </w:tr>
      <w:tr w:rsidR="00F775BC" w:rsidRPr="00D56FC8">
        <w:tc>
          <w:tcPr>
            <w:tcW w:w="9406" w:type="dxa"/>
            <w:gridSpan w:val="2"/>
            <w:tcBorders>
              <w:top w:val="nil"/>
              <w:left w:val="nil"/>
              <w:bottom w:val="nil"/>
              <w:right w:val="nil"/>
            </w:tcBorders>
          </w:tcPr>
          <w:p w:rsidR="00F775BC" w:rsidRPr="00D56FC8" w:rsidRDefault="00F775BC">
            <w:pPr>
              <w:widowControl w:val="0"/>
              <w:tabs>
                <w:tab w:val="left" w:pos="360"/>
              </w:tabs>
              <w:jc w:val="center"/>
              <w:rPr>
                <w:rFonts w:eastAsia="Calibri"/>
                <w:color w:val="000000"/>
                <w:sz w:val="20"/>
                <w:szCs w:val="20"/>
                <w:lang w:val="en-US"/>
              </w:rPr>
            </w:pPr>
          </w:p>
          <w:p w:rsidR="00F775BC" w:rsidRPr="00D56FC8" w:rsidRDefault="00F775BC">
            <w:pPr>
              <w:widowControl w:val="0"/>
              <w:tabs>
                <w:tab w:val="left" w:pos="360"/>
              </w:tabs>
              <w:jc w:val="center"/>
              <w:rPr>
                <w:rFonts w:ascii="Calibri" w:eastAsia="Calibri" w:hAnsi="Calibri"/>
                <w:color w:val="000000"/>
                <w:sz w:val="18"/>
                <w:szCs w:val="18"/>
                <w:lang w:val="en-US"/>
              </w:rPr>
            </w:pPr>
            <w:r w:rsidRPr="00D56FC8">
              <w:rPr>
                <w:rFonts w:eastAsia="Calibri"/>
                <w:b/>
                <w:bCs/>
                <w:color w:val="000000"/>
                <w:sz w:val="18"/>
                <w:szCs w:val="18"/>
                <w:lang w:val="en-US"/>
              </w:rPr>
              <w:t>FIGURE 4.</w:t>
            </w:r>
            <w:r w:rsidRPr="00D56FC8">
              <w:rPr>
                <w:rFonts w:eastAsia="Calibri"/>
                <w:color w:val="000000"/>
                <w:sz w:val="18"/>
                <w:szCs w:val="18"/>
                <w:lang w:val="en-US"/>
              </w:rPr>
              <w:t xml:space="preserve"> Results of </w:t>
            </w:r>
            <w:r w:rsidRPr="00D56FC8">
              <w:rPr>
                <w:rFonts w:eastAsia="Times New Roman"/>
                <w:color w:val="000000"/>
                <w:sz w:val="18"/>
                <w:szCs w:val="18"/>
                <w:lang w:val="en-US"/>
              </w:rPr>
              <w:t xml:space="preserve">comparative </w:t>
            </w:r>
            <w:r w:rsidRPr="00D56FC8">
              <w:rPr>
                <w:rFonts w:eastAsia="Calibri"/>
                <w:color w:val="000000"/>
                <w:sz w:val="18"/>
                <w:szCs w:val="18"/>
                <w:lang w:val="en-US"/>
              </w:rPr>
              <w:t>calculated study</w:t>
            </w:r>
          </w:p>
        </w:tc>
      </w:tr>
    </w:tbl>
    <w:p w:rsidR="00F775BC" w:rsidRPr="00D56FC8" w:rsidRDefault="00F775BC">
      <w:pPr>
        <w:widowControl w:val="0"/>
        <w:rPr>
          <w:color w:val="000000"/>
          <w:sz w:val="20"/>
          <w:szCs w:val="20"/>
          <w:lang w:val="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6"/>
      </w:tblGrid>
      <w:tr w:rsidR="00F775BC" w:rsidRPr="00D56FC8">
        <w:tc>
          <w:tcPr>
            <w:tcW w:w="9406" w:type="dxa"/>
            <w:tcBorders>
              <w:top w:val="nil"/>
              <w:left w:val="nil"/>
              <w:bottom w:val="nil"/>
              <w:right w:val="nil"/>
            </w:tcBorders>
          </w:tcPr>
          <w:p w:rsidR="00F775BC" w:rsidRPr="00D56FC8" w:rsidRDefault="00997EF5">
            <w:pPr>
              <w:widowControl w:val="0"/>
              <w:jc w:val="center"/>
              <w:rPr>
                <w:rFonts w:ascii="Calibri" w:eastAsia="Calibri" w:hAnsi="Calibri"/>
                <w:color w:val="000000"/>
                <w:sz w:val="20"/>
                <w:szCs w:val="20"/>
                <w:lang w:val="en-US"/>
              </w:rPr>
            </w:pPr>
            <w:r>
              <w:rPr>
                <w:rFonts w:ascii="Calibri" w:eastAsia="Calibri" w:hAnsi="Calibri"/>
                <w:noProof/>
                <w:color w:val="000000"/>
                <w:sz w:val="18"/>
                <w:szCs w:val="18"/>
              </w:rPr>
              <w:drawing>
                <wp:inline distT="0" distB="0" distL="0" distR="0">
                  <wp:extent cx="3698240" cy="2279015"/>
                  <wp:effectExtent l="0" t="0" r="0" b="6985"/>
                  <wp:docPr id="31" name="Изображение 216" descr="Fig 1,a_merged_page-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6" descr="Fig 1,a_merged_page-00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98240" cy="2279015"/>
                          </a:xfrm>
                          <a:prstGeom prst="rect">
                            <a:avLst/>
                          </a:prstGeom>
                          <a:noFill/>
                          <a:ln>
                            <a:noFill/>
                          </a:ln>
                        </pic:spPr>
                      </pic:pic>
                    </a:graphicData>
                  </a:graphic>
                </wp:inline>
              </w:drawing>
            </w:r>
          </w:p>
        </w:tc>
      </w:tr>
      <w:tr w:rsidR="00F775BC" w:rsidRPr="00D56FC8">
        <w:tc>
          <w:tcPr>
            <w:tcW w:w="9406" w:type="dxa"/>
            <w:tcBorders>
              <w:top w:val="nil"/>
              <w:left w:val="nil"/>
              <w:bottom w:val="nil"/>
              <w:right w:val="nil"/>
            </w:tcBorders>
          </w:tcPr>
          <w:p w:rsidR="00F775BC" w:rsidRPr="00D56FC8" w:rsidRDefault="00F775BC">
            <w:pPr>
              <w:widowControl w:val="0"/>
              <w:tabs>
                <w:tab w:val="left" w:pos="360"/>
              </w:tabs>
              <w:jc w:val="center"/>
              <w:rPr>
                <w:rFonts w:eastAsia="Calibri"/>
                <w:bCs/>
                <w:color w:val="000000"/>
                <w:sz w:val="20"/>
                <w:szCs w:val="20"/>
                <w:lang w:val="en-US"/>
              </w:rPr>
            </w:pPr>
          </w:p>
          <w:p w:rsidR="00F775BC" w:rsidRPr="00D56FC8" w:rsidRDefault="00F775BC">
            <w:pPr>
              <w:widowControl w:val="0"/>
              <w:tabs>
                <w:tab w:val="left" w:pos="360"/>
              </w:tabs>
              <w:jc w:val="center"/>
              <w:rPr>
                <w:rFonts w:ascii="Calibri" w:eastAsia="Calibri" w:hAnsi="Calibri"/>
                <w:color w:val="000000"/>
                <w:sz w:val="20"/>
                <w:szCs w:val="20"/>
                <w:lang w:val="en-US"/>
              </w:rPr>
            </w:pPr>
            <w:r w:rsidRPr="00D56FC8">
              <w:rPr>
                <w:rFonts w:eastAsia="Calibri"/>
                <w:b/>
                <w:bCs/>
                <w:color w:val="000000"/>
                <w:sz w:val="18"/>
                <w:szCs w:val="18"/>
                <w:lang w:val="en-US"/>
              </w:rPr>
              <w:t>FIGURE 5.</w:t>
            </w:r>
            <w:r w:rsidRPr="00D56FC8">
              <w:rPr>
                <w:rFonts w:eastAsia="Calibri"/>
                <w:color w:val="000000"/>
                <w:sz w:val="18"/>
                <w:szCs w:val="18"/>
                <w:lang w:val="en-US"/>
              </w:rPr>
              <w:t xml:space="preserve"> Average annual magnitudes of the </w:t>
            </w:r>
            <w:r w:rsidRPr="00D56FC8">
              <w:rPr>
                <w:rFonts w:eastAsia="Times New Roman"/>
                <w:color w:val="000000"/>
                <w:sz w:val="18"/>
                <w:szCs w:val="18"/>
                <w:lang w:val="en-US"/>
              </w:rPr>
              <w:t xml:space="preserve">CPI </w:t>
            </w:r>
            <w:r w:rsidRPr="00D56FC8">
              <w:rPr>
                <w:rFonts w:eastAsia="Calibri"/>
                <w:color w:val="000000"/>
                <w:sz w:val="18"/>
                <w:szCs w:val="18"/>
                <w:lang w:val="en-US"/>
              </w:rPr>
              <w:t>index in Ukraine from 2000 to 2016 [36]</w:t>
            </w:r>
          </w:p>
        </w:tc>
      </w:tr>
    </w:tbl>
    <w:p w:rsidR="00F775BC" w:rsidRPr="00D56FC8" w:rsidRDefault="00F775BC">
      <w:pPr>
        <w:widowControl w:val="0"/>
        <w:rPr>
          <w:color w:val="000000"/>
          <w:sz w:val="20"/>
          <w:szCs w:val="20"/>
          <w:lang w:val="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6"/>
      </w:tblGrid>
      <w:tr w:rsidR="00F775BC" w:rsidRPr="00D56FC8">
        <w:tc>
          <w:tcPr>
            <w:tcW w:w="9406" w:type="dxa"/>
            <w:tcBorders>
              <w:top w:val="nil"/>
              <w:left w:val="nil"/>
              <w:bottom w:val="nil"/>
              <w:right w:val="nil"/>
            </w:tcBorders>
          </w:tcPr>
          <w:p w:rsidR="00F775BC" w:rsidRPr="00D56FC8" w:rsidRDefault="00997EF5">
            <w:pPr>
              <w:widowControl w:val="0"/>
              <w:jc w:val="center"/>
              <w:rPr>
                <w:rStyle w:val="alt-edited"/>
                <w:rFonts w:ascii="Calibri" w:eastAsia="Calibri" w:hAnsi="Calibri"/>
                <w:color w:val="000000"/>
                <w:sz w:val="18"/>
                <w:szCs w:val="18"/>
                <w:lang w:val="en-US"/>
              </w:rPr>
            </w:pPr>
            <w:r>
              <w:rPr>
                <w:rFonts w:ascii="Calibri" w:eastAsia="Calibri" w:hAnsi="Calibri"/>
                <w:noProof/>
                <w:color w:val="000000"/>
                <w:sz w:val="18"/>
                <w:szCs w:val="18"/>
              </w:rPr>
              <w:lastRenderedPageBreak/>
              <w:drawing>
                <wp:inline distT="0" distB="0" distL="0" distR="0">
                  <wp:extent cx="3876040" cy="2552065"/>
                  <wp:effectExtent l="0" t="0" r="0" b="635"/>
                  <wp:docPr id="32" name="Изображение 217" descr="Fig 2,a_merged_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7" descr="Fig 2,a_merged_page-00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6040" cy="2552065"/>
                          </a:xfrm>
                          <a:prstGeom prst="rect">
                            <a:avLst/>
                          </a:prstGeom>
                          <a:noFill/>
                          <a:ln>
                            <a:noFill/>
                          </a:ln>
                        </pic:spPr>
                      </pic:pic>
                    </a:graphicData>
                  </a:graphic>
                </wp:inline>
              </w:drawing>
            </w:r>
          </w:p>
        </w:tc>
      </w:tr>
      <w:tr w:rsidR="00F775BC" w:rsidRPr="00D56FC8">
        <w:tc>
          <w:tcPr>
            <w:tcW w:w="9406" w:type="dxa"/>
            <w:tcBorders>
              <w:top w:val="nil"/>
              <w:left w:val="nil"/>
              <w:bottom w:val="nil"/>
              <w:right w:val="nil"/>
            </w:tcBorders>
          </w:tcPr>
          <w:p w:rsidR="00F775BC" w:rsidRPr="00D56FC8" w:rsidRDefault="00F775BC">
            <w:pPr>
              <w:widowControl w:val="0"/>
              <w:jc w:val="center"/>
              <w:rPr>
                <w:rStyle w:val="alt-edited"/>
                <w:rFonts w:eastAsia="Calibri"/>
                <w:color w:val="000000"/>
                <w:sz w:val="20"/>
                <w:szCs w:val="20"/>
                <w:lang w:val="en-US"/>
              </w:rPr>
            </w:pPr>
            <w:r w:rsidRPr="00D56FC8">
              <w:rPr>
                <w:rStyle w:val="alt-edited"/>
                <w:rFonts w:eastAsia="Calibri"/>
                <w:color w:val="000000"/>
                <w:sz w:val="20"/>
                <w:szCs w:val="20"/>
                <w:lang w:val="en-US"/>
              </w:rPr>
              <w:t>(a)</w:t>
            </w:r>
          </w:p>
        </w:tc>
      </w:tr>
      <w:tr w:rsidR="00F775BC" w:rsidRPr="00D56FC8">
        <w:tc>
          <w:tcPr>
            <w:tcW w:w="9406" w:type="dxa"/>
            <w:tcBorders>
              <w:top w:val="nil"/>
              <w:left w:val="nil"/>
              <w:bottom w:val="nil"/>
              <w:right w:val="nil"/>
            </w:tcBorders>
          </w:tcPr>
          <w:p w:rsidR="00F775BC" w:rsidRPr="00D56FC8" w:rsidRDefault="00997EF5">
            <w:pPr>
              <w:widowControl w:val="0"/>
              <w:jc w:val="center"/>
              <w:rPr>
                <w:rStyle w:val="alt-edited"/>
                <w:rFonts w:ascii="Calibri" w:eastAsia="Calibri" w:hAnsi="Calibri"/>
                <w:color w:val="000000"/>
                <w:sz w:val="18"/>
                <w:szCs w:val="18"/>
                <w:lang w:val="en-US"/>
              </w:rPr>
            </w:pPr>
            <w:r>
              <w:rPr>
                <w:rFonts w:ascii="Calibri" w:eastAsia="Calibri" w:hAnsi="Calibri"/>
                <w:noProof/>
                <w:color w:val="000000"/>
                <w:sz w:val="18"/>
                <w:szCs w:val="18"/>
              </w:rPr>
              <w:drawing>
                <wp:inline distT="0" distB="0" distL="0" distR="0">
                  <wp:extent cx="3848735" cy="2279015"/>
                  <wp:effectExtent l="0" t="0" r="0" b="6985"/>
                  <wp:docPr id="33" name="Изображение 218" descr="Fig 2,a_merged_p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8" descr="Fig 2,a_merged_page-00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48735" cy="2279015"/>
                          </a:xfrm>
                          <a:prstGeom prst="rect">
                            <a:avLst/>
                          </a:prstGeom>
                          <a:noFill/>
                          <a:ln>
                            <a:noFill/>
                          </a:ln>
                        </pic:spPr>
                      </pic:pic>
                    </a:graphicData>
                  </a:graphic>
                </wp:inline>
              </w:drawing>
            </w:r>
          </w:p>
        </w:tc>
      </w:tr>
      <w:tr w:rsidR="00F775BC" w:rsidRPr="00D56FC8">
        <w:tc>
          <w:tcPr>
            <w:tcW w:w="9406" w:type="dxa"/>
            <w:tcBorders>
              <w:top w:val="nil"/>
              <w:left w:val="nil"/>
              <w:bottom w:val="nil"/>
              <w:right w:val="nil"/>
            </w:tcBorders>
          </w:tcPr>
          <w:p w:rsidR="00F775BC" w:rsidRPr="00D56FC8" w:rsidRDefault="00F775BC">
            <w:pPr>
              <w:widowControl w:val="0"/>
              <w:jc w:val="center"/>
              <w:rPr>
                <w:rStyle w:val="alt-edited"/>
                <w:rFonts w:eastAsia="Calibri"/>
                <w:color w:val="000000"/>
                <w:sz w:val="20"/>
                <w:szCs w:val="20"/>
                <w:lang w:val="en-US"/>
              </w:rPr>
            </w:pPr>
            <w:r w:rsidRPr="00D56FC8">
              <w:rPr>
                <w:rStyle w:val="alt-edited"/>
                <w:rFonts w:eastAsia="Calibri"/>
                <w:color w:val="000000"/>
                <w:sz w:val="20"/>
                <w:szCs w:val="20"/>
                <w:lang w:val="en-US"/>
              </w:rPr>
              <w:t>(b)</w:t>
            </w:r>
          </w:p>
        </w:tc>
      </w:tr>
      <w:tr w:rsidR="00F775BC" w:rsidRPr="00D56FC8">
        <w:tc>
          <w:tcPr>
            <w:tcW w:w="9406" w:type="dxa"/>
            <w:tcBorders>
              <w:top w:val="nil"/>
              <w:left w:val="nil"/>
              <w:bottom w:val="nil"/>
              <w:right w:val="nil"/>
            </w:tcBorders>
          </w:tcPr>
          <w:p w:rsidR="00F775BC" w:rsidRPr="00D56FC8" w:rsidRDefault="00F775BC">
            <w:pPr>
              <w:widowControl w:val="0"/>
              <w:tabs>
                <w:tab w:val="left" w:pos="360"/>
              </w:tabs>
              <w:jc w:val="center"/>
              <w:rPr>
                <w:rFonts w:eastAsia="Calibri"/>
                <w:bCs/>
                <w:color w:val="000000"/>
                <w:sz w:val="20"/>
                <w:szCs w:val="20"/>
                <w:lang w:val="en-US"/>
              </w:rPr>
            </w:pPr>
          </w:p>
          <w:p w:rsidR="00F775BC" w:rsidRPr="00D56FC8" w:rsidRDefault="00F775BC">
            <w:pPr>
              <w:widowControl w:val="0"/>
              <w:tabs>
                <w:tab w:val="left" w:pos="360"/>
              </w:tabs>
              <w:jc w:val="center"/>
              <w:rPr>
                <w:rStyle w:val="alt-edited"/>
                <w:rFonts w:ascii="Calibri" w:eastAsia="Calibri" w:hAnsi="Calibri"/>
                <w:color w:val="000000"/>
                <w:sz w:val="18"/>
                <w:szCs w:val="18"/>
                <w:lang w:val="en-US"/>
              </w:rPr>
            </w:pPr>
            <w:r w:rsidRPr="00D56FC8">
              <w:rPr>
                <w:rFonts w:eastAsia="Calibri"/>
                <w:b/>
                <w:bCs/>
                <w:color w:val="000000"/>
                <w:sz w:val="18"/>
                <w:szCs w:val="18"/>
                <w:lang w:val="en-US"/>
              </w:rPr>
              <w:t>FIGURE 6.</w:t>
            </w:r>
            <w:r w:rsidRPr="00D56FC8">
              <w:rPr>
                <w:rFonts w:eastAsia="Calibri"/>
                <w:color w:val="000000"/>
                <w:sz w:val="18"/>
                <w:szCs w:val="18"/>
                <w:lang w:val="en-US"/>
              </w:rPr>
              <w:t xml:space="preserve"> Average annual magnitudes of the CPI index in USA from 1913 to 2025 (a) and approximation polynom for describing and prediction of its changes (b) [43]</w:t>
            </w:r>
          </w:p>
        </w:tc>
      </w:tr>
    </w:tbl>
    <w:p w:rsidR="00F775BC" w:rsidRPr="00D56FC8" w:rsidRDefault="00F775BC">
      <w:pPr>
        <w:widowControl w:val="0"/>
        <w:jc w:val="both"/>
        <w:rPr>
          <w:rStyle w:val="alt-edited"/>
          <w:color w:val="000000"/>
          <w:sz w:val="20"/>
          <w:szCs w:val="20"/>
          <w:lang w:val="en-US"/>
        </w:rPr>
      </w:pPr>
    </w:p>
    <w:p w:rsidR="00F775BC" w:rsidRPr="0004059C" w:rsidRDefault="00F775BC">
      <w:pPr>
        <w:widowControl w:val="0"/>
        <w:ind w:firstLine="283"/>
        <w:jc w:val="both"/>
        <w:rPr>
          <w:color w:val="000000"/>
          <w:sz w:val="20"/>
          <w:szCs w:val="20"/>
          <w:lang w:val="en-US"/>
        </w:rPr>
      </w:pPr>
      <w:r w:rsidRPr="0004059C">
        <w:rPr>
          <w:rStyle w:val="alt-edited"/>
          <w:color w:val="000000"/>
          <w:sz w:val="20"/>
          <w:szCs w:val="20"/>
          <w:lang w:val="en-US"/>
        </w:rPr>
        <w:t xml:space="preserve">In Fig. 4,b magnitude of ration between the magnitudes of costs </w:t>
      </w:r>
      <w:r w:rsidRPr="0004059C">
        <w:rPr>
          <w:i/>
          <w:iCs/>
          <w:color w:val="000000"/>
          <w:sz w:val="20"/>
          <w:szCs w:val="20"/>
          <w:lang w:val="en-US"/>
        </w:rPr>
        <w:t>Z</w:t>
      </w:r>
      <w:r w:rsidRPr="0004059C">
        <w:rPr>
          <w:i/>
          <w:iCs/>
          <w:color w:val="000000"/>
          <w:sz w:val="20"/>
          <w:szCs w:val="20"/>
          <w:vertAlign w:val="subscript"/>
          <w:lang w:val="en-US"/>
        </w:rPr>
        <w:t>f</w:t>
      </w:r>
      <w:r w:rsidRPr="0004059C">
        <w:rPr>
          <w:color w:val="000000"/>
          <w:sz w:val="20"/>
          <w:szCs w:val="20"/>
          <w:lang w:val="en-US"/>
        </w:rPr>
        <w:t xml:space="preserve"> and </w:t>
      </w:r>
      <w:r w:rsidRPr="0004059C">
        <w:rPr>
          <w:i/>
          <w:iCs/>
          <w:color w:val="000000"/>
          <w:sz w:val="20"/>
          <w:szCs w:val="20"/>
          <w:lang w:val="en-US"/>
        </w:rPr>
        <w:t>Z</w:t>
      </w:r>
      <w:r w:rsidRPr="0004059C">
        <w:rPr>
          <w:i/>
          <w:iCs/>
          <w:color w:val="000000"/>
          <w:sz w:val="20"/>
          <w:szCs w:val="20"/>
          <w:vertAlign w:val="subscript"/>
          <w:lang w:val="en-US"/>
        </w:rPr>
        <w:t>e</w:t>
      </w:r>
      <w:r w:rsidRPr="0004059C">
        <w:rPr>
          <w:rStyle w:val="alt-edited"/>
          <w:color w:val="000000"/>
          <w:sz w:val="20"/>
          <w:szCs w:val="20"/>
          <w:lang w:val="en-US"/>
        </w:rPr>
        <w:t xml:space="preserve"> can be seen (also expressed by magnitudes of </w:t>
      </w:r>
      <w:r w:rsidRPr="0004059C">
        <w:rPr>
          <w:color w:val="000000"/>
          <w:sz w:val="20"/>
          <w:szCs w:val="20"/>
          <w:lang w:val="en-US"/>
        </w:rPr>
        <w:t>coefficient β</w:t>
      </w:r>
      <w:r w:rsidRPr="0004059C">
        <w:rPr>
          <w:rStyle w:val="alt-edited"/>
          <w:color w:val="000000"/>
          <w:sz w:val="20"/>
          <w:szCs w:val="20"/>
          <w:lang w:val="en-US"/>
        </w:rPr>
        <w:t xml:space="preserve">), i.e. between the magnitudes of fuel and ecological components of criterion </w:t>
      </w:r>
      <w:r w:rsidRPr="0004059C">
        <w:rPr>
          <w:rStyle w:val="alt-edited"/>
          <w:i/>
          <w:color w:val="000000"/>
          <w:sz w:val="20"/>
          <w:szCs w:val="20"/>
          <w:lang w:val="en-US"/>
        </w:rPr>
        <w:t>K</w:t>
      </w:r>
      <w:r w:rsidRPr="0004059C">
        <w:rPr>
          <w:rStyle w:val="alt-edited"/>
          <w:i/>
          <w:color w:val="000000"/>
          <w:sz w:val="20"/>
          <w:szCs w:val="20"/>
          <w:vertAlign w:val="subscript"/>
          <w:lang w:val="en-US"/>
        </w:rPr>
        <w:t>fe</w:t>
      </w:r>
      <w:r w:rsidRPr="0004059C">
        <w:rPr>
          <w:rStyle w:val="alt-edited"/>
          <w:color w:val="000000"/>
          <w:sz w:val="20"/>
          <w:szCs w:val="20"/>
          <w:lang w:val="en-US"/>
        </w:rPr>
        <w:t xml:space="preserve">, which is not constant for different regimes of exploitational model. </w:t>
      </w:r>
      <w:r w:rsidRPr="0004059C">
        <w:rPr>
          <w:color w:val="000000"/>
          <w:sz w:val="20"/>
          <w:szCs w:val="20"/>
          <w:lang w:val="en-US"/>
        </w:rPr>
        <w:t>This phenomenon is attributable to both the qualitative distribution and the quantitative magnitudes of the environmental safety (ES) factors considered within the mathematical framework of the criterion</w:t>
      </w:r>
      <w:r w:rsidRPr="0004059C">
        <w:rPr>
          <w:rStyle w:val="alt-edited"/>
          <w:color w:val="000000"/>
          <w:sz w:val="20"/>
          <w:szCs w:val="20"/>
          <w:lang w:val="en-US"/>
        </w:rPr>
        <w:t xml:space="preserve"> </w:t>
      </w:r>
      <w:r w:rsidRPr="0004059C">
        <w:rPr>
          <w:rStyle w:val="alt-edited"/>
          <w:i/>
          <w:color w:val="000000"/>
          <w:sz w:val="20"/>
          <w:szCs w:val="20"/>
          <w:lang w:val="en-US"/>
        </w:rPr>
        <w:t>K</w:t>
      </w:r>
      <w:r w:rsidRPr="0004059C">
        <w:rPr>
          <w:rStyle w:val="alt-edited"/>
          <w:i/>
          <w:color w:val="000000"/>
          <w:sz w:val="20"/>
          <w:szCs w:val="20"/>
          <w:vertAlign w:val="subscript"/>
          <w:lang w:val="en-US"/>
        </w:rPr>
        <w:t>fe</w:t>
      </w:r>
      <w:r w:rsidRPr="0004059C">
        <w:rPr>
          <w:rStyle w:val="alt-edited"/>
          <w:color w:val="000000"/>
          <w:sz w:val="20"/>
          <w:szCs w:val="20"/>
          <w:lang w:val="en-US"/>
        </w:rPr>
        <w:t xml:space="preserve">. </w:t>
      </w:r>
      <w:r w:rsidRPr="0004059C">
        <w:rPr>
          <w:color w:val="000000"/>
          <w:sz w:val="20"/>
          <w:szCs w:val="20"/>
          <w:lang w:val="en-US"/>
        </w:rPr>
        <w:t>It can also be observed that the ecological component of the criterion attains its maximum weight in the regime</w:t>
      </w:r>
      <w:r w:rsidRPr="0004059C">
        <w:rPr>
          <w:rStyle w:val="alt-edited"/>
          <w:color w:val="000000"/>
          <w:sz w:val="20"/>
          <w:szCs w:val="20"/>
          <w:lang w:val="en-US"/>
        </w:rPr>
        <w:t xml:space="preserve"> </w:t>
      </w:r>
      <w:r w:rsidRPr="0004059C">
        <w:rPr>
          <w:color w:val="000000"/>
          <w:sz w:val="20"/>
          <w:szCs w:val="20"/>
          <w:lang w:val="en-US"/>
        </w:rPr>
        <w:t xml:space="preserve">№ 5 (β = 0.810) and minimal – </w:t>
      </w:r>
      <w:r w:rsidRPr="0004059C">
        <w:rPr>
          <w:rStyle w:val="alt-edited"/>
          <w:color w:val="000000"/>
          <w:sz w:val="20"/>
          <w:szCs w:val="20"/>
          <w:lang w:val="en-US"/>
        </w:rPr>
        <w:t xml:space="preserve">in the regime </w:t>
      </w:r>
      <w:r w:rsidRPr="0004059C">
        <w:rPr>
          <w:color w:val="000000"/>
          <w:sz w:val="20"/>
          <w:szCs w:val="20"/>
          <w:lang w:val="en-US"/>
        </w:rPr>
        <w:t xml:space="preserve">№ 2 (β = 0.540). To account for the effects of inflation on the selected units of monetary equivalents of the </w:t>
      </w:r>
      <w:r w:rsidRPr="0004059C">
        <w:rPr>
          <w:i/>
          <w:iCs/>
          <w:color w:val="000000"/>
          <w:sz w:val="20"/>
          <w:szCs w:val="20"/>
          <w:lang w:val="en-US"/>
        </w:rPr>
        <w:t>K</w:t>
      </w:r>
      <w:r w:rsidRPr="0004059C">
        <w:rPr>
          <w:i/>
          <w:iCs/>
          <w:color w:val="000000"/>
          <w:sz w:val="20"/>
          <w:szCs w:val="20"/>
          <w:vertAlign w:val="subscript"/>
          <w:lang w:val="en-US"/>
        </w:rPr>
        <w:t>fe</w:t>
      </w:r>
      <w:r w:rsidRPr="0004059C">
        <w:rPr>
          <w:color w:val="000000"/>
          <w:sz w:val="20"/>
          <w:szCs w:val="20"/>
          <w:lang w:val="en-US"/>
        </w:rPr>
        <w:t xml:space="preserve"> criterion, the study proposes to use the mathematical apparatus of the customer price index </w:t>
      </w:r>
      <w:r w:rsidRPr="0004059C">
        <w:rPr>
          <w:i/>
          <w:iCs/>
          <w:color w:val="000000"/>
          <w:sz w:val="20"/>
          <w:szCs w:val="20"/>
          <w:lang w:val="en-US"/>
        </w:rPr>
        <w:t xml:space="preserve">CPI </w:t>
      </w:r>
      <w:r w:rsidRPr="0004059C">
        <w:rPr>
          <w:color w:val="000000"/>
          <w:sz w:val="20"/>
          <w:szCs w:val="20"/>
          <w:lang w:val="en-US"/>
        </w:rPr>
        <w:t xml:space="preserve">(dimensionless quantity), which was 175 for the USD in 2003, and now it is 254 [1,11,18]. It is described by formulas (11) and (12). </w:t>
      </w:r>
    </w:p>
    <w:p w:rsidR="00F775BC" w:rsidRPr="0004059C" w:rsidRDefault="00F775BC">
      <w:pPr>
        <w:widowControl w:val="0"/>
        <w:ind w:firstLine="283"/>
        <w:jc w:val="both"/>
        <w:rPr>
          <w:rStyle w:val="alt-edited"/>
          <w:color w:val="000000"/>
          <w:sz w:val="20"/>
          <w:szCs w:val="20"/>
          <w:lang w:val="en-US"/>
        </w:rPr>
      </w:pPr>
      <w:r w:rsidRPr="0004059C">
        <w:rPr>
          <w:rStyle w:val="alt-edited"/>
          <w:color w:val="000000"/>
          <w:sz w:val="20"/>
          <w:szCs w:val="20"/>
          <w:lang w:val="en-US"/>
        </w:rPr>
        <w:t xml:space="preserve">In Fig. 4,c such distribution is given for the magnitudes of </w:t>
      </w:r>
      <w:r w:rsidRPr="0004059C">
        <w:rPr>
          <w:rStyle w:val="alt-edited"/>
          <w:rFonts w:eastAsia="Times New Roman"/>
          <w:i/>
          <w:iCs/>
          <w:color w:val="000000"/>
          <w:sz w:val="20"/>
          <w:szCs w:val="20"/>
          <w:lang w:val="en-US"/>
        </w:rPr>
        <w:t>Z</w:t>
      </w:r>
      <w:r w:rsidRPr="0004059C">
        <w:rPr>
          <w:rStyle w:val="alt-edited"/>
          <w:rFonts w:eastAsia="Times New Roman"/>
          <w:i/>
          <w:iCs/>
          <w:color w:val="000000"/>
          <w:sz w:val="20"/>
          <w:szCs w:val="20"/>
          <w:vertAlign w:val="subscript"/>
          <w:lang w:val="en-US"/>
        </w:rPr>
        <w:t>e</w:t>
      </w:r>
      <w:r w:rsidRPr="0004059C">
        <w:rPr>
          <w:rStyle w:val="alt-edited"/>
          <w:rFonts w:eastAsia="Times New Roman"/>
          <w:color w:val="000000"/>
          <w:sz w:val="20"/>
          <w:szCs w:val="20"/>
          <w:lang w:val="en-US"/>
        </w:rPr>
        <w:t xml:space="preserve">, </w:t>
      </w:r>
      <w:r w:rsidRPr="0004059C">
        <w:rPr>
          <w:rStyle w:val="alt-edited"/>
          <w:rFonts w:eastAsia="Times New Roman"/>
          <w:i/>
          <w:iCs/>
          <w:color w:val="000000"/>
          <w:sz w:val="20"/>
          <w:szCs w:val="20"/>
          <w:lang w:val="en-US"/>
        </w:rPr>
        <w:t>Z</w:t>
      </w:r>
      <w:r w:rsidRPr="0004059C">
        <w:rPr>
          <w:rStyle w:val="alt-edited"/>
          <w:rFonts w:eastAsia="Times New Roman"/>
          <w:i/>
          <w:iCs/>
          <w:color w:val="000000"/>
          <w:sz w:val="20"/>
          <w:szCs w:val="20"/>
          <w:vertAlign w:val="subscript"/>
          <w:lang w:val="en-US"/>
        </w:rPr>
        <w:t>f</w:t>
      </w:r>
      <w:r w:rsidRPr="0004059C">
        <w:rPr>
          <w:rStyle w:val="alt-edited"/>
          <w:rFonts w:eastAsia="Times New Roman"/>
          <w:color w:val="000000"/>
          <w:sz w:val="20"/>
          <w:szCs w:val="20"/>
          <w:lang w:val="en-US"/>
        </w:rPr>
        <w:t xml:space="preserve">, </w:t>
      </w:r>
      <w:r w:rsidRPr="0004059C">
        <w:rPr>
          <w:rStyle w:val="alt-edited"/>
          <w:rFonts w:eastAsia="Times New Roman"/>
          <w:i/>
          <w:iCs/>
          <w:color w:val="000000"/>
          <w:sz w:val="20"/>
          <w:szCs w:val="20"/>
          <w:lang w:val="en-US"/>
        </w:rPr>
        <w:t>Z</w:t>
      </w:r>
      <w:r w:rsidRPr="0004059C">
        <w:rPr>
          <w:rStyle w:val="alt-edited"/>
          <w:rFonts w:eastAsia="Times New Roman"/>
          <w:i/>
          <w:iCs/>
          <w:color w:val="000000"/>
          <w:sz w:val="20"/>
          <w:szCs w:val="20"/>
          <w:vertAlign w:val="subscript"/>
          <w:lang w:val="en-US"/>
        </w:rPr>
        <w:t>fe</w:t>
      </w:r>
      <w:r w:rsidRPr="0004059C">
        <w:rPr>
          <w:rStyle w:val="alt-edited"/>
          <w:rFonts w:eastAsia="Times New Roman"/>
          <w:color w:val="000000"/>
          <w:sz w:val="20"/>
          <w:szCs w:val="20"/>
          <w:lang w:val="en-US"/>
        </w:rPr>
        <w:t xml:space="preserve"> </w:t>
      </w:r>
      <w:r w:rsidRPr="0004059C">
        <w:rPr>
          <w:rStyle w:val="alt-edited"/>
          <w:color w:val="000000"/>
          <w:sz w:val="20"/>
          <w:szCs w:val="20"/>
          <w:lang w:val="en-US"/>
        </w:rPr>
        <w:t xml:space="preserve">for Variant G by the regimes of the selected exploitation model and in Fig. 4,d </w:t>
      </w:r>
      <w:r w:rsidRPr="0004059C">
        <w:rPr>
          <w:rStyle w:val="alt-edited"/>
          <w:rFonts w:eastAsia="Times New Roman"/>
          <w:color w:val="000000"/>
          <w:sz w:val="20"/>
          <w:szCs w:val="20"/>
          <w:lang w:val="en-US"/>
        </w:rPr>
        <w:t>–</w:t>
      </w:r>
      <w:r w:rsidRPr="0004059C">
        <w:rPr>
          <w:rStyle w:val="alt-edited"/>
          <w:color w:val="000000"/>
          <w:sz w:val="20"/>
          <w:szCs w:val="20"/>
          <w:lang w:val="en-US"/>
        </w:rPr>
        <w:t xml:space="preserve"> for the magnitudes of </w:t>
      </w:r>
      <w:r w:rsidRPr="0004059C">
        <w:rPr>
          <w:rStyle w:val="alt-edited"/>
          <w:rFonts w:eastAsia="Times New Roman"/>
          <w:color w:val="000000"/>
          <w:sz w:val="20"/>
          <w:szCs w:val="20"/>
          <w:lang w:val="en-US"/>
        </w:rPr>
        <w:t>β</w:t>
      </w:r>
      <w:r w:rsidRPr="0004059C">
        <w:rPr>
          <w:rStyle w:val="alt-edited"/>
          <w:color w:val="000000"/>
          <w:sz w:val="20"/>
          <w:szCs w:val="20"/>
          <w:lang w:val="en-US"/>
        </w:rPr>
        <w:t xml:space="preserve">. Fig. 5 illustrates the average annual magnitudes of the CPI index in Ukraine from 2000 to 2016 [32]. </w:t>
      </w:r>
      <w:r w:rsidRPr="0004059C">
        <w:rPr>
          <w:color w:val="000000"/>
          <w:sz w:val="20"/>
          <w:szCs w:val="20"/>
          <w:lang w:val="en-US"/>
        </w:rPr>
        <w:t>Figure 6,a presents the average annual Consumer Price Index (</w:t>
      </w:r>
      <w:r w:rsidRPr="0004059C">
        <w:rPr>
          <w:i/>
          <w:iCs/>
          <w:color w:val="000000"/>
          <w:sz w:val="20"/>
          <w:szCs w:val="20"/>
          <w:lang w:val="en-US"/>
        </w:rPr>
        <w:t>CPI</w:t>
      </w:r>
      <w:r w:rsidRPr="0004059C">
        <w:rPr>
          <w:color w:val="000000"/>
          <w:sz w:val="20"/>
          <w:szCs w:val="20"/>
          <w:lang w:val="en-US"/>
        </w:rPr>
        <w:t xml:space="preserve">) in the USA from 1913 to 2025, while Figure 6,b shows the polynomial approximation used to describe and predict its temporal changes </w:t>
      </w:r>
      <w:r w:rsidRPr="0004059C">
        <w:rPr>
          <w:rStyle w:val="alt-edited"/>
          <w:color w:val="000000"/>
          <w:sz w:val="20"/>
          <w:szCs w:val="20"/>
          <w:lang w:val="en-US"/>
        </w:rPr>
        <w:t xml:space="preserve">[34]. Fig. 6,b illustrates the average annual </w:t>
      </w:r>
      <w:r w:rsidRPr="0004059C">
        <w:rPr>
          <w:i/>
          <w:iCs/>
          <w:color w:val="000000"/>
          <w:sz w:val="20"/>
          <w:szCs w:val="20"/>
          <w:lang w:val="en-US"/>
        </w:rPr>
        <w:t>CPI</w:t>
      </w:r>
      <w:r w:rsidRPr="0004059C">
        <w:rPr>
          <w:color w:val="000000"/>
          <w:sz w:val="20"/>
          <w:szCs w:val="20"/>
          <w:lang w:val="en-US"/>
        </w:rPr>
        <w:t xml:space="preserve"> </w:t>
      </w:r>
      <w:r w:rsidRPr="0004059C">
        <w:rPr>
          <w:rStyle w:val="alt-edited"/>
          <w:color w:val="000000"/>
          <w:sz w:val="20"/>
          <w:szCs w:val="20"/>
          <w:lang w:val="en-US"/>
        </w:rPr>
        <w:t xml:space="preserve">in the USA from 1913 to 2025 (a) and an approximation polynom to describe and predict its changes (b) [34]. </w:t>
      </w:r>
    </w:p>
    <w:p w:rsidR="00F775BC" w:rsidRPr="0004059C" w:rsidRDefault="00F775BC">
      <w:pPr>
        <w:widowControl w:val="0"/>
        <w:jc w:val="both"/>
        <w:rPr>
          <w:rStyle w:val="alt-edited"/>
          <w:color w:val="000000"/>
          <w:sz w:val="20"/>
          <w:szCs w:val="20"/>
          <w:lang w:val="en-US"/>
        </w:rPr>
      </w:pPr>
    </w:p>
    <w:p w:rsidR="00F775BC" w:rsidRPr="0004059C" w:rsidRDefault="00F775BC">
      <w:pPr>
        <w:tabs>
          <w:tab w:val="center" w:pos="4320"/>
          <w:tab w:val="right" w:pos="9242"/>
        </w:tabs>
        <w:jc w:val="center"/>
        <w:rPr>
          <w:color w:val="000000"/>
          <w:sz w:val="20"/>
          <w:lang w:val="en-US"/>
        </w:rPr>
      </w:pPr>
      <w:r w:rsidRPr="0004059C">
        <w:rPr>
          <w:color w:val="000000"/>
          <w:sz w:val="20"/>
          <w:lang w:val="en-US"/>
        </w:rPr>
        <w:lastRenderedPageBreak/>
        <w:tab/>
      </w:r>
      <w:r w:rsidRPr="0004059C">
        <w:rPr>
          <w:color w:val="000000"/>
          <w:position w:val="-12"/>
          <w:sz w:val="20"/>
          <w:szCs w:val="20"/>
          <w:lang w:val="en-US"/>
        </w:rPr>
        <w:object w:dxaOrig="2077" w:dyaOrig="339">
          <v:shape id="Object 34" o:spid="_x0000_i1037" type="#_x0000_t75" style="width:104.25pt;height:17.2pt;mso-position-horizontal-relative:page;mso-position-vertical-relative:page" o:ole="">
            <v:imagedata r:id="rId51" o:title=""/>
          </v:shape>
          <o:OLEObject Type="Embed" ProgID="Equation.DSMT4" ShapeID="Object 34" DrawAspect="Content" ObjectID="_1829805959" r:id="rId52"/>
        </w:object>
      </w:r>
      <w:r w:rsidRPr="0004059C">
        <w:rPr>
          <w:color w:val="000000"/>
          <w:sz w:val="20"/>
          <w:szCs w:val="20"/>
          <w:lang w:val="en-US"/>
        </w:rPr>
        <w:t>,</w:t>
      </w:r>
      <w:r w:rsidRPr="0004059C">
        <w:rPr>
          <w:color w:val="000000"/>
          <w:sz w:val="20"/>
          <w:lang w:val="en-US"/>
        </w:rPr>
        <w:tab/>
        <w:t>(11)</w:t>
      </w:r>
    </w:p>
    <w:p w:rsidR="00F775BC" w:rsidRPr="0004059C" w:rsidRDefault="00F775BC">
      <w:pPr>
        <w:tabs>
          <w:tab w:val="center" w:pos="4320"/>
          <w:tab w:val="right" w:pos="9242"/>
        </w:tabs>
        <w:jc w:val="center"/>
        <w:rPr>
          <w:color w:val="000000"/>
          <w:sz w:val="20"/>
          <w:lang w:val="en-US"/>
        </w:rPr>
      </w:pP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14"/>
          <w:sz w:val="20"/>
          <w:szCs w:val="20"/>
          <w:lang w:val="en-US"/>
        </w:rPr>
        <w:object w:dxaOrig="2980" w:dyaOrig="379">
          <v:shape id="Object 35" o:spid="_x0000_i1038" type="#_x0000_t75" style="width:153.65pt;height:19.35pt;mso-position-horizontal-relative:page;mso-position-vertical-relative:page" o:ole="">
            <v:imagedata r:id="rId53" o:title=""/>
          </v:shape>
          <o:OLEObject Type="Embed" ProgID="Equation.DSMT4" ShapeID="Object 35" DrawAspect="Content" ObjectID="_1829805960" r:id="rId54"/>
        </w:object>
      </w:r>
      <w:r w:rsidRPr="0004059C">
        <w:rPr>
          <w:color w:val="000000"/>
          <w:sz w:val="20"/>
          <w:szCs w:val="20"/>
          <w:lang w:val="en-US"/>
        </w:rPr>
        <w:t>.</w:t>
      </w:r>
      <w:r w:rsidRPr="0004059C">
        <w:rPr>
          <w:color w:val="000000"/>
          <w:sz w:val="20"/>
          <w:lang w:val="en-US"/>
        </w:rPr>
        <w:tab/>
        <w:t>(12)</w:t>
      </w:r>
    </w:p>
    <w:p w:rsidR="00F775BC" w:rsidRPr="0004059C" w:rsidRDefault="00F775BC">
      <w:pPr>
        <w:widowControl w:val="0"/>
        <w:tabs>
          <w:tab w:val="left" w:pos="360"/>
        </w:tabs>
        <w:jc w:val="both"/>
        <w:rPr>
          <w:rStyle w:val="alt-edited"/>
          <w:color w:val="000000"/>
          <w:sz w:val="20"/>
          <w:szCs w:val="20"/>
          <w:lang w:val="en-US"/>
        </w:rPr>
      </w:pPr>
    </w:p>
    <w:p w:rsidR="00F775BC" w:rsidRPr="0004059C" w:rsidRDefault="00F775BC">
      <w:pPr>
        <w:widowControl w:val="0"/>
        <w:tabs>
          <w:tab w:val="left" w:pos="360"/>
        </w:tabs>
        <w:jc w:val="both"/>
        <w:rPr>
          <w:color w:val="000000"/>
          <w:sz w:val="20"/>
          <w:szCs w:val="20"/>
          <w:lang w:val="en-US"/>
        </w:rPr>
      </w:pPr>
      <w:r w:rsidRPr="0004059C">
        <w:rPr>
          <w:rStyle w:val="alt-edited"/>
          <w:color w:val="000000"/>
          <w:sz w:val="20"/>
          <w:szCs w:val="20"/>
          <w:lang w:val="en-US"/>
        </w:rPr>
        <w:t xml:space="preserve">where </w:t>
      </w:r>
      <w:r w:rsidRPr="0004059C">
        <w:rPr>
          <w:color w:val="000000"/>
          <w:sz w:val="20"/>
          <w:szCs w:val="20"/>
          <w:lang w:val="en-US"/>
        </w:rPr>
        <w:t xml:space="preserve">index </w:t>
      </w:r>
      <w:r w:rsidRPr="0004059C">
        <w:rPr>
          <w:i/>
          <w:color w:val="000000"/>
          <w:sz w:val="20"/>
          <w:szCs w:val="20"/>
          <w:lang w:val="en-US"/>
        </w:rPr>
        <w:t>j</w:t>
      </w:r>
      <w:r w:rsidRPr="0004059C">
        <w:rPr>
          <w:color w:val="000000"/>
          <w:sz w:val="20"/>
          <w:szCs w:val="20"/>
          <w:lang w:val="en-US"/>
        </w:rPr>
        <w:t xml:space="preserve"> = </w:t>
      </w:r>
      <w:r w:rsidRPr="0004059C">
        <w:rPr>
          <w:i/>
          <w:color w:val="000000"/>
          <w:sz w:val="20"/>
          <w:szCs w:val="20"/>
          <w:lang w:val="en-US"/>
        </w:rPr>
        <w:t>e</w:t>
      </w:r>
      <w:r w:rsidRPr="0004059C">
        <w:rPr>
          <w:color w:val="000000"/>
          <w:sz w:val="20"/>
          <w:szCs w:val="20"/>
          <w:lang w:val="en-US"/>
        </w:rPr>
        <w:t xml:space="preserve">, </w:t>
      </w:r>
      <w:r w:rsidRPr="0004059C">
        <w:rPr>
          <w:i/>
          <w:color w:val="000000"/>
          <w:sz w:val="20"/>
          <w:szCs w:val="20"/>
          <w:lang w:val="en-US"/>
        </w:rPr>
        <w:t>f</w:t>
      </w:r>
      <w:r w:rsidRPr="0004059C">
        <w:rPr>
          <w:color w:val="000000"/>
          <w:sz w:val="20"/>
          <w:szCs w:val="20"/>
          <w:lang w:val="en-US"/>
        </w:rPr>
        <w:t xml:space="preserve"> or </w:t>
      </w:r>
      <w:r w:rsidRPr="0004059C">
        <w:rPr>
          <w:i/>
          <w:color w:val="000000"/>
          <w:sz w:val="20"/>
          <w:szCs w:val="20"/>
          <w:lang w:val="en-US"/>
        </w:rPr>
        <w:t xml:space="preserve">fe </w:t>
      </w:r>
      <w:r w:rsidRPr="0004059C">
        <w:rPr>
          <w:color w:val="000000"/>
          <w:sz w:val="20"/>
          <w:szCs w:val="20"/>
          <w:lang w:val="en-US"/>
        </w:rPr>
        <w:t xml:space="preserve">marks the type of monetary costs; </w:t>
      </w:r>
      <w:r w:rsidRPr="0004059C">
        <w:rPr>
          <w:i/>
          <w:color w:val="000000"/>
          <w:sz w:val="20"/>
          <w:szCs w:val="20"/>
          <w:lang w:val="en-US"/>
        </w:rPr>
        <w:t>Z</w:t>
      </w:r>
      <w:r w:rsidRPr="0004059C">
        <w:rPr>
          <w:i/>
          <w:color w:val="000000"/>
          <w:sz w:val="20"/>
          <w:szCs w:val="20"/>
          <w:vertAlign w:val="subscript"/>
          <w:lang w:val="en-US"/>
        </w:rPr>
        <w:t>j</w:t>
      </w:r>
      <w:r w:rsidRPr="0004059C">
        <w:rPr>
          <w:color w:val="000000"/>
          <w:sz w:val="20"/>
          <w:szCs w:val="20"/>
          <w:lang w:val="en-US"/>
        </w:rPr>
        <w:t xml:space="preserve"> – monetary costs, $/(kW∙h); index </w:t>
      </w:r>
      <w:r w:rsidRPr="0004059C">
        <w:rPr>
          <w:i/>
          <w:color w:val="000000"/>
          <w:sz w:val="20"/>
          <w:szCs w:val="20"/>
          <w:lang w:val="en-US"/>
        </w:rPr>
        <w:t>i</w:t>
      </w:r>
      <w:r w:rsidRPr="0004059C">
        <w:rPr>
          <w:color w:val="000000"/>
          <w:sz w:val="20"/>
          <w:szCs w:val="20"/>
          <w:lang w:val="en-US"/>
        </w:rPr>
        <w:t xml:space="preserve"> marks the type of product; index 0 marks the magnitude for basic period (i.e. </w:t>
      </w:r>
      <w:r w:rsidRPr="0004059C">
        <w:rPr>
          <w:i/>
          <w:iCs/>
          <w:color w:val="000000"/>
          <w:sz w:val="20"/>
          <w:szCs w:val="20"/>
          <w:lang w:val="en-US"/>
        </w:rPr>
        <w:t>CPI</w:t>
      </w:r>
      <w:r w:rsidRPr="0004059C">
        <w:rPr>
          <w:color w:val="000000"/>
          <w:sz w:val="20"/>
          <w:szCs w:val="20"/>
          <w:lang w:val="en-US"/>
        </w:rPr>
        <w:t xml:space="preserve"> = 100 for USD it is 1982–1984); </w:t>
      </w:r>
      <w:r w:rsidRPr="0004059C">
        <w:rPr>
          <w:i/>
          <w:color w:val="000000"/>
          <w:sz w:val="20"/>
          <w:szCs w:val="20"/>
          <w:lang w:val="en-US"/>
        </w:rPr>
        <w:t>t</w:t>
      </w:r>
      <w:r w:rsidRPr="0004059C">
        <w:rPr>
          <w:color w:val="000000"/>
          <w:sz w:val="20"/>
          <w:szCs w:val="20"/>
          <w:lang w:val="en-US"/>
        </w:rPr>
        <w:t xml:space="preserve"> – current date; </w:t>
      </w:r>
      <w:r w:rsidRPr="0004059C">
        <w:rPr>
          <w:i/>
          <w:color w:val="000000"/>
          <w:sz w:val="20"/>
          <w:szCs w:val="20"/>
          <w:lang w:val="en-US"/>
        </w:rPr>
        <w:t>P</w:t>
      </w:r>
      <w:r w:rsidRPr="0004059C">
        <w:rPr>
          <w:color w:val="000000"/>
          <w:sz w:val="20"/>
          <w:szCs w:val="20"/>
          <w:lang w:val="en-US"/>
        </w:rPr>
        <w:t xml:space="preserve"> – price of produced goods, $; </w:t>
      </w:r>
      <w:r w:rsidRPr="0004059C">
        <w:rPr>
          <w:i/>
          <w:color w:val="000000"/>
          <w:sz w:val="20"/>
          <w:szCs w:val="20"/>
          <w:lang w:val="en-US"/>
        </w:rPr>
        <w:t>Q</w:t>
      </w:r>
      <w:r w:rsidRPr="0004059C">
        <w:rPr>
          <w:color w:val="000000"/>
          <w:sz w:val="20"/>
          <w:szCs w:val="20"/>
          <w:lang w:val="en-US"/>
        </w:rPr>
        <w:t xml:space="preserve"> – total amount of produced goods.</w:t>
      </w:r>
    </w:p>
    <w:p w:rsidR="00F775BC" w:rsidRPr="0004059C" w:rsidRDefault="00F775BC">
      <w:pPr>
        <w:widowControl w:val="0"/>
        <w:ind w:firstLine="283"/>
        <w:jc w:val="both"/>
        <w:rPr>
          <w:color w:val="000000"/>
          <w:sz w:val="20"/>
          <w:szCs w:val="20"/>
          <w:lang w:val="en-US"/>
        </w:rPr>
      </w:pPr>
      <w:r w:rsidRPr="0004059C">
        <w:rPr>
          <w:color w:val="000000"/>
          <w:sz w:val="20"/>
          <w:szCs w:val="20"/>
          <w:lang w:val="en-US"/>
        </w:rPr>
        <w:t xml:space="preserve">The change in the </w:t>
      </w:r>
      <w:r w:rsidRPr="0004059C">
        <w:rPr>
          <w:i/>
          <w:iCs/>
          <w:color w:val="000000"/>
          <w:sz w:val="20"/>
          <w:szCs w:val="20"/>
          <w:lang w:val="en-US"/>
        </w:rPr>
        <w:t xml:space="preserve">CPI </w:t>
      </w:r>
      <w:r w:rsidRPr="0004059C">
        <w:rPr>
          <w:color w:val="000000"/>
          <w:sz w:val="20"/>
          <w:szCs w:val="20"/>
          <w:lang w:val="en-US"/>
        </w:rPr>
        <w:t xml:space="preserve">magnitude for the UAH is illustrated in Fig. 5 according to the source [36], and for the USD – in Fig. 6, obtained from the study [43]. It is suggested to describe the dynamics of change in the </w:t>
      </w:r>
      <w:r w:rsidRPr="0004059C">
        <w:rPr>
          <w:i/>
          <w:iCs/>
          <w:color w:val="000000"/>
          <w:sz w:val="20"/>
          <w:szCs w:val="20"/>
          <w:lang w:val="en-US"/>
        </w:rPr>
        <w:t>CPI</w:t>
      </w:r>
      <w:r w:rsidRPr="0004059C">
        <w:rPr>
          <w:color w:val="000000"/>
          <w:sz w:val="20"/>
          <w:szCs w:val="20"/>
          <w:lang w:val="en-US"/>
        </w:rPr>
        <w:t xml:space="preserve"> for USD over time (see Fig. 6) in the approximation using the least squares method by formula (13) that is a polynomial of the third degree (</w:t>
      </w:r>
      <w:r w:rsidRPr="0004059C">
        <w:rPr>
          <w:i/>
          <w:iCs/>
          <w:color w:val="000000"/>
          <w:sz w:val="20"/>
          <w:szCs w:val="20"/>
          <w:lang w:val="en-US"/>
        </w:rPr>
        <w:t>R</w:t>
      </w:r>
      <w:r w:rsidRPr="0004059C">
        <w:rPr>
          <w:color w:val="000000"/>
          <w:sz w:val="20"/>
          <w:szCs w:val="20"/>
          <w:vertAlign w:val="superscript"/>
          <w:lang w:val="en-US"/>
        </w:rPr>
        <w:t>2</w:t>
      </w:r>
      <w:r w:rsidRPr="0004059C">
        <w:rPr>
          <w:color w:val="000000"/>
          <w:sz w:val="20"/>
          <w:szCs w:val="20"/>
          <w:lang w:val="en-US"/>
        </w:rPr>
        <w:t xml:space="preserve"> = 0.994).</w:t>
      </w:r>
    </w:p>
    <w:p w:rsidR="00F775BC" w:rsidRPr="0004059C" w:rsidRDefault="00F775BC">
      <w:pPr>
        <w:widowControl w:val="0"/>
        <w:ind w:firstLine="284"/>
        <w:rPr>
          <w:color w:val="000000"/>
          <w:sz w:val="20"/>
          <w:szCs w:val="20"/>
          <w:lang w:val="en-US"/>
        </w:rPr>
      </w:pP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10"/>
          <w:sz w:val="20"/>
          <w:szCs w:val="20"/>
          <w:lang w:val="en-US"/>
        </w:rPr>
        <w:object w:dxaOrig="5255" w:dyaOrig="319">
          <v:shape id="Object 36" o:spid="_x0000_i1039" type="#_x0000_t75" style="width:263.3pt;height:16.1pt;mso-position-horizontal-relative:page;mso-position-vertical-relative:page" o:ole="">
            <v:imagedata r:id="rId55" o:title=""/>
          </v:shape>
          <o:OLEObject Type="Embed" ProgID="Equation.DSMT4" ShapeID="Object 36" DrawAspect="Content" ObjectID="_1829805961" r:id="rId56"/>
        </w:object>
      </w:r>
      <w:r w:rsidRPr="0004059C">
        <w:rPr>
          <w:color w:val="000000"/>
          <w:sz w:val="20"/>
          <w:szCs w:val="20"/>
          <w:lang w:val="en-US"/>
        </w:rPr>
        <w:t>.</w:t>
      </w:r>
      <w:r w:rsidRPr="0004059C">
        <w:rPr>
          <w:color w:val="000000"/>
          <w:sz w:val="20"/>
          <w:lang w:val="en-US"/>
        </w:rPr>
        <w:tab/>
        <w:t>(13)</w:t>
      </w:r>
    </w:p>
    <w:p w:rsidR="00F775BC" w:rsidRPr="0004059C" w:rsidRDefault="00F775BC">
      <w:pPr>
        <w:tabs>
          <w:tab w:val="center" w:pos="4320"/>
          <w:tab w:val="right" w:pos="9242"/>
        </w:tabs>
        <w:jc w:val="center"/>
        <w:rPr>
          <w:color w:val="000000"/>
          <w:sz w:val="20"/>
          <w:lang w:val="en-US"/>
        </w:rPr>
      </w:pPr>
    </w:p>
    <w:p w:rsidR="00F775BC" w:rsidRPr="0004059C" w:rsidRDefault="00F775BC">
      <w:pPr>
        <w:widowControl w:val="0"/>
        <w:ind w:firstLine="283"/>
        <w:jc w:val="both"/>
        <w:rPr>
          <w:color w:val="000000"/>
          <w:sz w:val="20"/>
          <w:szCs w:val="20"/>
          <w:lang w:val="en-US"/>
        </w:rPr>
      </w:pPr>
      <w:r w:rsidRPr="0004059C">
        <w:rPr>
          <w:color w:val="000000"/>
          <w:sz w:val="20"/>
          <w:szCs w:val="20"/>
          <w:lang w:val="en-US"/>
        </w:rPr>
        <w:t>An alternative approach, particularly valuable for forecasting monetary costs associated with mitigating inflation, is to employ the mathematical framework of Net Present Value (</w:t>
      </w:r>
      <w:r w:rsidRPr="0004059C">
        <w:rPr>
          <w:i/>
          <w:iCs/>
          <w:color w:val="000000"/>
          <w:sz w:val="20"/>
          <w:szCs w:val="20"/>
          <w:lang w:val="en-US"/>
        </w:rPr>
        <w:t>NPV</w:t>
      </w:r>
      <w:r w:rsidRPr="0004059C">
        <w:rPr>
          <w:color w:val="000000"/>
          <w:sz w:val="20"/>
          <w:szCs w:val="20"/>
          <w:lang w:val="en-US"/>
        </w:rPr>
        <w:t>), which represents the series of discounted future cash flows expressed in present-day terms (see formula (14)). It includes the Discount Rate (</w:t>
      </w:r>
      <w:r w:rsidRPr="0004059C">
        <w:rPr>
          <w:i/>
          <w:iCs/>
          <w:color w:val="000000"/>
          <w:sz w:val="20"/>
          <w:szCs w:val="20"/>
          <w:lang w:val="en-US"/>
        </w:rPr>
        <w:t>i</w:t>
      </w:r>
      <w:r w:rsidRPr="0004059C">
        <w:rPr>
          <w:color w:val="000000"/>
          <w:sz w:val="20"/>
          <w:szCs w:val="20"/>
          <w:lang w:val="en-US"/>
        </w:rPr>
        <w:t xml:space="preserve">), which is the interest rate applied to convert future cash flows into a single present value. Within this rate, </w:t>
      </w:r>
      <w:r w:rsidRPr="0004059C">
        <w:rPr>
          <w:i/>
          <w:iCs/>
          <w:color w:val="000000"/>
          <w:sz w:val="20"/>
          <w:szCs w:val="20"/>
          <w:lang w:val="en-US"/>
        </w:rPr>
        <w:t>i₂</w:t>
      </w:r>
      <w:r w:rsidRPr="0004059C">
        <w:rPr>
          <w:color w:val="000000"/>
          <w:sz w:val="20"/>
          <w:szCs w:val="20"/>
          <w:lang w:val="en-US"/>
        </w:rPr>
        <w:t xml:space="preserve"> represents the estimated inflation rate over the selected period, reflecting the cost associated with the risk of fund depreciation, while </w:t>
      </w:r>
      <w:r w:rsidRPr="0004059C">
        <w:rPr>
          <w:i/>
          <w:iCs/>
          <w:color w:val="000000"/>
          <w:sz w:val="20"/>
          <w:szCs w:val="20"/>
          <w:lang w:val="en-US"/>
        </w:rPr>
        <w:t>i₄</w:t>
      </w:r>
      <w:r w:rsidRPr="0004059C">
        <w:rPr>
          <w:color w:val="000000"/>
          <w:sz w:val="20"/>
          <w:szCs w:val="20"/>
          <w:lang w:val="en-US"/>
        </w:rPr>
        <w:t xml:space="preserve"> corresponds to the baseline discount rate at the national financial level, i.e., the implied Equity Risk Premium (ERP) for the current period. [44].</w:t>
      </w:r>
    </w:p>
    <w:p w:rsidR="00F775BC" w:rsidRPr="0004059C" w:rsidRDefault="00F775BC">
      <w:pPr>
        <w:widowControl w:val="0"/>
        <w:ind w:firstLine="283"/>
        <w:jc w:val="both"/>
        <w:rPr>
          <w:color w:val="000000"/>
          <w:sz w:val="20"/>
          <w:szCs w:val="20"/>
          <w:lang w:val="en-US"/>
        </w:rPr>
      </w:pPr>
    </w:p>
    <w:p w:rsidR="00F775BC" w:rsidRPr="0004059C" w:rsidRDefault="00F775BC">
      <w:pPr>
        <w:tabs>
          <w:tab w:val="center" w:pos="4320"/>
          <w:tab w:val="right" w:pos="9242"/>
        </w:tabs>
        <w:jc w:val="center"/>
        <w:rPr>
          <w:color w:val="000000"/>
          <w:sz w:val="20"/>
          <w:lang w:val="en-US"/>
        </w:rPr>
      </w:pPr>
      <w:r w:rsidRPr="0004059C">
        <w:rPr>
          <w:color w:val="000000"/>
          <w:sz w:val="20"/>
          <w:lang w:val="en-US"/>
        </w:rPr>
        <w:tab/>
      </w:r>
      <w:r w:rsidRPr="0004059C">
        <w:rPr>
          <w:color w:val="000000"/>
          <w:position w:val="-30"/>
          <w:sz w:val="20"/>
          <w:szCs w:val="20"/>
          <w:lang w:val="en-US"/>
        </w:rPr>
        <w:object w:dxaOrig="4375" w:dyaOrig="639">
          <v:shape id="Object 37" o:spid="_x0000_i1040" type="#_x0000_t75" style="width:219.2pt;height:32.25pt;mso-position-horizontal-relative:page;mso-position-vertical-relative:page" o:ole="">
            <v:imagedata r:id="rId57" o:title=""/>
          </v:shape>
          <o:OLEObject Type="Embed" ProgID="Equation.DSMT4" ShapeID="Object 37" DrawAspect="Content" ObjectID="_1829805962" r:id="rId58"/>
        </w:object>
      </w:r>
      <w:r w:rsidRPr="0004059C">
        <w:rPr>
          <w:color w:val="000000"/>
          <w:sz w:val="20"/>
          <w:lang w:val="en-US"/>
        </w:rPr>
        <w:tab/>
        <w:t>(14)</w:t>
      </w:r>
    </w:p>
    <w:p w:rsidR="00F775BC" w:rsidRPr="0004059C" w:rsidRDefault="00F775BC">
      <w:pPr>
        <w:widowControl w:val="0"/>
        <w:jc w:val="both"/>
        <w:rPr>
          <w:color w:val="000000"/>
          <w:sz w:val="20"/>
          <w:szCs w:val="20"/>
          <w:lang w:val="en-US"/>
        </w:rPr>
      </w:pPr>
    </w:p>
    <w:p w:rsidR="00F775BC" w:rsidRPr="0004059C" w:rsidRDefault="00F775BC">
      <w:pPr>
        <w:widowControl w:val="0"/>
        <w:ind w:firstLine="283"/>
        <w:jc w:val="both"/>
        <w:rPr>
          <w:color w:val="000000"/>
          <w:sz w:val="20"/>
          <w:szCs w:val="20"/>
          <w:lang w:val="en-US"/>
        </w:rPr>
      </w:pPr>
      <w:r w:rsidRPr="0004059C">
        <w:rPr>
          <w:color w:val="000000"/>
          <w:sz w:val="20"/>
          <w:szCs w:val="20"/>
          <w:lang w:val="en-US"/>
        </w:rPr>
        <w:t xml:space="preserve">This study demonstrates the application of the </w:t>
      </w:r>
      <w:r w:rsidRPr="0004059C">
        <w:rPr>
          <w:i/>
          <w:iCs/>
          <w:color w:val="000000"/>
          <w:sz w:val="20"/>
          <w:szCs w:val="20"/>
          <w:lang w:val="en-US"/>
        </w:rPr>
        <w:t>CPI</w:t>
      </w:r>
      <w:r w:rsidRPr="0004059C">
        <w:rPr>
          <w:color w:val="000000"/>
          <w:sz w:val="20"/>
          <w:szCs w:val="20"/>
          <w:lang w:val="en-US"/>
        </w:rPr>
        <w:t xml:space="preserve"> index to the specified problem; future research will examine the relationship between the </w:t>
      </w:r>
      <w:r w:rsidRPr="0004059C">
        <w:rPr>
          <w:i/>
          <w:iCs/>
          <w:color w:val="000000"/>
          <w:sz w:val="20"/>
          <w:szCs w:val="20"/>
          <w:lang w:val="en-US"/>
        </w:rPr>
        <w:t>CPI</w:t>
      </w:r>
      <w:r w:rsidRPr="0004059C">
        <w:rPr>
          <w:color w:val="000000"/>
          <w:sz w:val="20"/>
          <w:szCs w:val="20"/>
          <w:lang w:val="en-US"/>
        </w:rPr>
        <w:t xml:space="preserve"> index and </w:t>
      </w:r>
      <w:r w:rsidRPr="0004059C">
        <w:rPr>
          <w:i/>
          <w:iCs/>
          <w:color w:val="000000"/>
          <w:sz w:val="20"/>
          <w:szCs w:val="20"/>
          <w:lang w:val="en-US"/>
        </w:rPr>
        <w:t>NPV</w:t>
      </w:r>
      <w:r w:rsidRPr="0004059C">
        <w:rPr>
          <w:color w:val="000000"/>
          <w:sz w:val="20"/>
          <w:szCs w:val="20"/>
          <w:lang w:val="en-US"/>
        </w:rPr>
        <w:t xml:space="preserve"> and explore its use in addressing the problem more comprehensively.</w:t>
      </w:r>
    </w:p>
    <w:p w:rsidR="00F775BC" w:rsidRPr="0004059C" w:rsidRDefault="00F775BC">
      <w:pPr>
        <w:widowControl w:val="0"/>
        <w:ind w:firstLine="283"/>
        <w:jc w:val="both"/>
        <w:rPr>
          <w:color w:val="000000"/>
          <w:sz w:val="20"/>
          <w:szCs w:val="20"/>
          <w:lang w:val="en-US"/>
        </w:rPr>
      </w:pPr>
      <w:r w:rsidRPr="0004059C">
        <w:rPr>
          <w:color w:val="000000"/>
          <w:sz w:val="20"/>
          <w:szCs w:val="20"/>
          <w:lang w:val="en-US"/>
        </w:rPr>
        <w:t>It should be emphasized that environmental pollution from thermal energy emissions constitutes a significant component of overall energy pollution, primarily originating from power plants equipped with RICE. The quantitative and qualitative aspects of this type of pollution were analyzed in a previous study by the authors [45], which forms part of a systematic investigation into the ecological safety of transport as an element of Ukraine’s national security during armed conflict, and as a foundation for a «green» transition in the context of post-war reconstruction [46].</w:t>
      </w:r>
    </w:p>
    <w:p w:rsidR="00F775BC" w:rsidRPr="0004059C" w:rsidRDefault="00F775BC">
      <w:pPr>
        <w:widowControl w:val="0"/>
        <w:ind w:firstLine="283"/>
        <w:jc w:val="both"/>
        <w:rPr>
          <w:color w:val="000000"/>
          <w:sz w:val="20"/>
          <w:szCs w:val="20"/>
          <w:lang w:val="en-US"/>
        </w:rPr>
      </w:pPr>
      <w:r w:rsidRPr="0004059C">
        <w:rPr>
          <w:color w:val="000000"/>
          <w:sz w:val="20"/>
          <w:szCs w:val="20"/>
          <w:lang w:val="en-US"/>
        </w:rPr>
        <w:t xml:space="preserve">Moreover, given the increasing relevance of decarbonizing power plants equipped with RICE, the results obtained in this study by the corresponding author, Prof. Oleksandr Kondratenko, and his adjunct, Viacheslav Krasnov, suggest the use of the RICE thermal pollution criterion </w:t>
      </w:r>
      <w:r w:rsidRPr="0004059C">
        <w:rPr>
          <w:i/>
          <w:iCs/>
          <w:color w:val="000000"/>
          <w:sz w:val="20"/>
          <w:szCs w:val="20"/>
          <w:lang w:val="en-US"/>
        </w:rPr>
        <w:t>K</w:t>
      </w:r>
      <w:r w:rsidRPr="0004059C">
        <w:rPr>
          <w:color w:val="000000"/>
          <w:sz w:val="20"/>
          <w:szCs w:val="20"/>
          <w:lang w:val="en-US"/>
        </w:rPr>
        <w:t xml:space="preserve"> (a dimensionless quantity), as proposed and described in their study [47]. It incorporates bot the value of the effective engine efficiency coefficient η</w:t>
      </w:r>
      <w:r w:rsidRPr="0004059C">
        <w:rPr>
          <w:i/>
          <w:iCs/>
          <w:color w:val="000000"/>
          <w:sz w:val="20"/>
          <w:szCs w:val="20"/>
          <w:vertAlign w:val="subscript"/>
          <w:lang w:val="en-US"/>
        </w:rPr>
        <w:t>е</w:t>
      </w:r>
      <w:r w:rsidRPr="0004059C">
        <w:rPr>
          <w:color w:val="000000"/>
          <w:sz w:val="20"/>
          <w:szCs w:val="20"/>
          <w:lang w:val="en-US"/>
        </w:rPr>
        <w:t xml:space="preserve"> = 0.35...0.45 (for a diesel engine) and its theoretically maximum possible value η</w:t>
      </w:r>
      <w:r w:rsidRPr="0004059C">
        <w:rPr>
          <w:i/>
          <w:iCs/>
          <w:color w:val="000000"/>
          <w:sz w:val="20"/>
          <w:szCs w:val="20"/>
          <w:vertAlign w:val="subscript"/>
          <w:lang w:val="en-US"/>
        </w:rPr>
        <w:t>max</w:t>
      </w:r>
      <w:r w:rsidRPr="0004059C">
        <w:rPr>
          <w:color w:val="000000"/>
          <w:sz w:val="20"/>
          <w:szCs w:val="20"/>
          <w:lang w:val="en-US"/>
        </w:rPr>
        <w:t xml:space="preserve"> = </w:t>
      </w:r>
      <w:r w:rsidRPr="0004059C">
        <w:rPr>
          <w:i/>
          <w:iCs/>
          <w:color w:val="000000"/>
          <w:sz w:val="20"/>
          <w:szCs w:val="20"/>
          <w:lang w:val="en-US"/>
        </w:rPr>
        <w:t>E</w:t>
      </w:r>
      <w:r w:rsidRPr="0004059C">
        <w:rPr>
          <w:i/>
          <w:iCs/>
          <w:color w:val="000000"/>
          <w:sz w:val="20"/>
          <w:szCs w:val="20"/>
          <w:vertAlign w:val="subscript"/>
          <w:lang w:val="en-US"/>
        </w:rPr>
        <w:t>Q</w:t>
      </w:r>
      <w:r w:rsidRPr="0004059C">
        <w:rPr>
          <w:color w:val="000000"/>
          <w:sz w:val="20"/>
          <w:szCs w:val="20"/>
          <w:lang w:val="en-US"/>
        </w:rPr>
        <w:t xml:space="preserve"> / </w:t>
      </w:r>
      <w:r w:rsidRPr="0004059C">
        <w:rPr>
          <w:i/>
          <w:iCs/>
          <w:color w:val="000000"/>
          <w:sz w:val="20"/>
          <w:szCs w:val="20"/>
          <w:lang w:val="en-US"/>
        </w:rPr>
        <w:t>Q</w:t>
      </w:r>
      <w:r w:rsidRPr="0004059C">
        <w:rPr>
          <w:i/>
          <w:iCs/>
          <w:color w:val="000000"/>
          <w:sz w:val="20"/>
          <w:szCs w:val="20"/>
          <w:vertAlign w:val="subscript"/>
          <w:lang w:val="en-US"/>
        </w:rPr>
        <w:t>X</w:t>
      </w:r>
      <w:r w:rsidRPr="0004059C">
        <w:rPr>
          <w:color w:val="000000"/>
          <w:sz w:val="20"/>
          <w:szCs w:val="20"/>
          <w:lang w:val="en-US"/>
        </w:rPr>
        <w:t xml:space="preserve"> = 0.75...0.85 (for a diesel engine), which represents the ratio of the exergy supplied to the working fluid in the engine cylinder during the working process</w:t>
      </w:r>
      <w:r w:rsidRPr="0004059C">
        <w:rPr>
          <w:i/>
          <w:iCs/>
          <w:color w:val="000000"/>
          <w:sz w:val="20"/>
          <w:szCs w:val="20"/>
          <w:lang w:val="en-US"/>
        </w:rPr>
        <w:t xml:space="preserve"> E</w:t>
      </w:r>
      <w:r w:rsidRPr="0004059C">
        <w:rPr>
          <w:i/>
          <w:iCs/>
          <w:color w:val="000000"/>
          <w:sz w:val="20"/>
          <w:szCs w:val="20"/>
          <w:vertAlign w:val="subscript"/>
          <w:lang w:val="en-US"/>
        </w:rPr>
        <w:t>Q</w:t>
      </w:r>
      <w:r w:rsidRPr="0004059C">
        <w:rPr>
          <w:color w:val="000000"/>
          <w:sz w:val="20"/>
          <w:szCs w:val="20"/>
          <w:lang w:val="en-US"/>
        </w:rPr>
        <w:t xml:space="preserve"> (in J), the total thermal energy supplied to the working fluid in the engine cylinder during the working process </w:t>
      </w:r>
      <w:r w:rsidRPr="0004059C">
        <w:rPr>
          <w:i/>
          <w:iCs/>
          <w:color w:val="000000"/>
          <w:sz w:val="20"/>
          <w:szCs w:val="20"/>
          <w:lang w:val="en-US"/>
        </w:rPr>
        <w:t>Q</w:t>
      </w:r>
      <w:r w:rsidRPr="0004059C">
        <w:rPr>
          <w:i/>
          <w:iCs/>
          <w:color w:val="000000"/>
          <w:sz w:val="20"/>
          <w:szCs w:val="20"/>
          <w:vertAlign w:val="subscript"/>
          <w:lang w:val="en-US"/>
        </w:rPr>
        <w:t>X</w:t>
      </w:r>
      <w:r w:rsidRPr="0004059C">
        <w:rPr>
          <w:color w:val="000000"/>
          <w:sz w:val="20"/>
          <w:szCs w:val="20"/>
          <w:lang w:val="en-US"/>
        </w:rPr>
        <w:t xml:space="preserve"> (in J), and the carbon content of the motor fuel</w:t>
      </w:r>
      <w:r w:rsidRPr="0004059C">
        <w:rPr>
          <w:i/>
          <w:iCs/>
          <w:color w:val="000000"/>
          <w:sz w:val="20"/>
          <w:szCs w:val="20"/>
          <w:lang w:val="en-US"/>
        </w:rPr>
        <w:t xml:space="preserve"> С</w:t>
      </w:r>
      <w:r w:rsidRPr="0004059C">
        <w:rPr>
          <w:i/>
          <w:iCs/>
          <w:color w:val="000000"/>
          <w:sz w:val="20"/>
          <w:szCs w:val="20"/>
          <w:vertAlign w:val="subscript"/>
          <w:lang w:val="en-US"/>
        </w:rPr>
        <w:t>СО2</w:t>
      </w:r>
      <w:r w:rsidRPr="0004059C">
        <w:rPr>
          <w:color w:val="000000"/>
          <w:sz w:val="20"/>
          <w:szCs w:val="20"/>
          <w:lang w:val="en-US"/>
        </w:rPr>
        <w:t xml:space="preserve"> = 0.85 (for a diesel motor fuel of petroleum origin), i.e. determined by formula (15).</w:t>
      </w:r>
    </w:p>
    <w:p w:rsidR="00F775BC" w:rsidRPr="00D56FC8" w:rsidRDefault="00F775BC">
      <w:pPr>
        <w:widowControl w:val="0"/>
        <w:ind w:firstLine="283"/>
        <w:jc w:val="both"/>
        <w:rPr>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14"/>
          <w:sz w:val="20"/>
          <w:szCs w:val="20"/>
          <w:lang w:val="en-US"/>
        </w:rPr>
        <w:object w:dxaOrig="2600" w:dyaOrig="379">
          <v:shape id="Object 38" o:spid="_x0000_i1041" type="#_x0000_t75" style="width:130.05pt;height:19.35pt;mso-position-horizontal-relative:page;mso-position-vertical-relative:page" o:ole="">
            <v:fill o:detectmouseclick="t"/>
            <v:imagedata r:id="rId59" o:title=""/>
          </v:shape>
          <o:OLEObject Type="Embed" ProgID="Equation.DSMT4" ShapeID="Object 38" DrawAspect="Content" ObjectID="_1829805963" r:id="rId60"/>
        </w:object>
      </w:r>
      <w:r w:rsidRPr="00D56FC8">
        <w:rPr>
          <w:color w:val="000000"/>
          <w:sz w:val="20"/>
          <w:lang w:val="en-US"/>
        </w:rPr>
        <w:tab/>
        <w:t>(15)</w:t>
      </w:r>
    </w:p>
    <w:p w:rsidR="00F775BC" w:rsidRPr="00D56FC8" w:rsidRDefault="00F775BC">
      <w:pPr>
        <w:widowControl w:val="0"/>
        <w:jc w:val="both"/>
        <w:rPr>
          <w:color w:val="000000"/>
          <w:sz w:val="20"/>
          <w:szCs w:val="20"/>
          <w:lang w:val="en-US"/>
        </w:rPr>
      </w:pPr>
    </w:p>
    <w:p w:rsidR="00F775BC" w:rsidRPr="00D56FC8" w:rsidRDefault="00F775BC">
      <w:pPr>
        <w:widowControl w:val="0"/>
        <w:jc w:val="both"/>
        <w:rPr>
          <w:color w:val="000000"/>
          <w:sz w:val="20"/>
          <w:szCs w:val="20"/>
          <w:lang w:val="en-US"/>
        </w:rPr>
      </w:pPr>
      <w:r w:rsidRPr="00D56FC8">
        <w:rPr>
          <w:color w:val="000000"/>
          <w:sz w:val="20"/>
          <w:szCs w:val="20"/>
          <w:lang w:val="en-US"/>
        </w:rPr>
        <w:t xml:space="preserve">where </w:t>
      </w:r>
      <w:r w:rsidRPr="00D56FC8">
        <w:rPr>
          <w:i/>
          <w:iCs/>
          <w:color w:val="000000"/>
          <w:sz w:val="20"/>
          <w:szCs w:val="20"/>
          <w:lang w:val="en-US"/>
        </w:rPr>
        <w:t>k</w:t>
      </w:r>
      <w:r w:rsidRPr="00D56FC8">
        <w:rPr>
          <w:color w:val="000000"/>
          <w:sz w:val="20"/>
          <w:szCs w:val="20"/>
          <w:vertAlign w:val="subscript"/>
          <w:lang w:val="en-US"/>
        </w:rPr>
        <w:t>1</w:t>
      </w:r>
      <w:r w:rsidRPr="00D56FC8">
        <w:rPr>
          <w:color w:val="000000"/>
          <w:sz w:val="20"/>
          <w:szCs w:val="20"/>
          <w:lang w:val="en-US"/>
        </w:rPr>
        <w:t xml:space="preserve"> is a dimensionless coefficient accounting for the composition of the motor fuel; </w:t>
      </w:r>
      <w:r w:rsidRPr="00D56FC8">
        <w:rPr>
          <w:i/>
          <w:iCs/>
          <w:color w:val="000000"/>
          <w:sz w:val="20"/>
          <w:szCs w:val="20"/>
          <w:lang w:val="en-US"/>
        </w:rPr>
        <w:t>k</w:t>
      </w:r>
      <w:r w:rsidRPr="00D56FC8">
        <w:rPr>
          <w:color w:val="000000"/>
          <w:sz w:val="20"/>
          <w:szCs w:val="20"/>
          <w:vertAlign w:val="subscript"/>
          <w:lang w:val="en-US"/>
        </w:rPr>
        <w:t>2</w:t>
      </w:r>
      <w:r w:rsidRPr="00D56FC8">
        <w:rPr>
          <w:color w:val="000000"/>
          <w:sz w:val="20"/>
          <w:szCs w:val="20"/>
          <w:lang w:val="en-US"/>
        </w:rPr>
        <w:t xml:space="preserve"> is a dimensionless coefficient accounting for the degree of fuel perfection in the diesel engine’s working process.</w:t>
      </w:r>
    </w:p>
    <w:p w:rsidR="00F775BC" w:rsidRPr="00D56FC8" w:rsidRDefault="00F775BC">
      <w:pPr>
        <w:widowControl w:val="0"/>
        <w:ind w:firstLine="283"/>
        <w:jc w:val="both"/>
        <w:rPr>
          <w:color w:val="000000"/>
          <w:sz w:val="20"/>
          <w:szCs w:val="20"/>
          <w:lang w:val="en-US"/>
        </w:rPr>
      </w:pPr>
      <w:r w:rsidRPr="00D56FC8">
        <w:rPr>
          <w:color w:val="000000"/>
          <w:sz w:val="20"/>
          <w:szCs w:val="20"/>
          <w:lang w:val="en-US"/>
        </w:rPr>
        <w:t xml:space="preserve">At the same time, according to the authors’ analysis, the prospects for further research in this area lie in refining this approach by expanding the factors considered in such a criterion and in characterizing the so-called </w:t>
      </w:r>
      <w:r w:rsidRPr="00D56FC8">
        <w:rPr>
          <w:color w:val="000000"/>
          <w:sz w:val="20"/>
          <w:szCs w:val="20"/>
        </w:rPr>
        <w:t>«</w:t>
      </w:r>
      <w:r w:rsidRPr="00D56FC8">
        <w:rPr>
          <w:color w:val="000000"/>
          <w:sz w:val="20"/>
          <w:szCs w:val="20"/>
          <w:lang w:val="en-US"/>
        </w:rPr>
        <w:t>carbon footprint</w:t>
      </w:r>
      <w:r w:rsidRPr="00D56FC8">
        <w:rPr>
          <w:color w:val="000000"/>
          <w:sz w:val="20"/>
          <w:szCs w:val="20"/>
        </w:rPr>
        <w:t>»</w:t>
      </w:r>
      <w:r w:rsidRPr="00D56FC8">
        <w:rPr>
          <w:color w:val="000000"/>
          <w:sz w:val="20"/>
          <w:szCs w:val="20"/>
          <w:lang w:val="en-US"/>
        </w:rPr>
        <w:t xml:space="preserve"> of RICE. This footprint originates not only from exhaust gases but also from crankcase emissions, vapor losses from on-board fuel storage tanks due to both large- and small-reservoir breathing phenomena, and the production of greenhouse gases during engine operation.</w:t>
      </w:r>
    </w:p>
    <w:p w:rsidR="00F775BC" w:rsidRPr="00D56FC8" w:rsidRDefault="00F775BC">
      <w:pPr>
        <w:widowControl w:val="0"/>
        <w:ind w:firstLine="283"/>
        <w:jc w:val="both"/>
        <w:rPr>
          <w:color w:val="000000"/>
          <w:sz w:val="20"/>
          <w:szCs w:val="20"/>
          <w:lang w:val="en-US"/>
        </w:rPr>
      </w:pPr>
      <w:r w:rsidRPr="00D56FC8">
        <w:rPr>
          <w:color w:val="000000"/>
          <w:sz w:val="20"/>
          <w:szCs w:val="20"/>
          <w:lang w:val="en-US"/>
        </w:rPr>
        <w:lastRenderedPageBreak/>
        <w:t xml:space="preserve">Therefore, the RICE decarbonization index or DeCarb–Index </w:t>
      </w:r>
      <w:r w:rsidRPr="00D56FC8">
        <w:rPr>
          <w:i/>
          <w:iCs/>
          <w:color w:val="000000"/>
          <w:sz w:val="20"/>
          <w:szCs w:val="20"/>
          <w:lang w:val="en-US"/>
        </w:rPr>
        <w:t xml:space="preserve">DCI </w:t>
      </w:r>
      <w:r w:rsidRPr="00D56FC8">
        <w:rPr>
          <w:color w:val="000000"/>
          <w:sz w:val="20"/>
          <w:szCs w:val="20"/>
          <w:lang w:val="en-US"/>
        </w:rPr>
        <w:t>(dimensionless quantity) has been suggested by a corresponding author of this article, Prof. Oleksandr Kondratenko, determined by formula (16).</w:t>
      </w:r>
    </w:p>
    <w:p w:rsidR="00F775BC" w:rsidRPr="00D56FC8" w:rsidRDefault="00F775BC">
      <w:pPr>
        <w:widowControl w:val="0"/>
        <w:jc w:val="both"/>
        <w:rPr>
          <w:color w:val="000000"/>
          <w:sz w:val="20"/>
          <w:szCs w:val="20"/>
          <w:lang w:val="en-US"/>
        </w:rPr>
      </w:pPr>
    </w:p>
    <w:p w:rsidR="00F775BC" w:rsidRPr="00D56FC8" w:rsidRDefault="00F775BC">
      <w:pPr>
        <w:widowControl w:val="0"/>
        <w:jc w:val="right"/>
        <w:rPr>
          <w:color w:val="000000"/>
          <w:sz w:val="20"/>
          <w:szCs w:val="20"/>
          <w:lang w:val="en-US"/>
        </w:rPr>
      </w:pPr>
      <w:r w:rsidRPr="00D56FC8">
        <w:rPr>
          <w:color w:val="000000"/>
          <w:position w:val="-54"/>
          <w:sz w:val="20"/>
          <w:szCs w:val="20"/>
          <w:lang w:val="en-US"/>
        </w:rPr>
        <w:object w:dxaOrig="10020" w:dyaOrig="1180">
          <v:shape id="Object 39" o:spid="_x0000_i1042" type="#_x0000_t75" style="width:501.85pt;height:59.1pt;mso-position-horizontal-relative:page;mso-position-vertical-relative:page" o:ole="">
            <v:fill o:detectmouseclick="t"/>
            <v:imagedata r:id="rId61" o:title=""/>
          </v:shape>
          <o:OLEObject Type="Embed" ProgID="Equation.DSMT4" ShapeID="Object 39" DrawAspect="Content" ObjectID="_1829805964" r:id="rId62"/>
        </w:object>
      </w:r>
      <w:r w:rsidRPr="00D56FC8">
        <w:rPr>
          <w:color w:val="000000"/>
          <w:sz w:val="20"/>
          <w:lang w:val="en-US"/>
        </w:rPr>
        <w:tab/>
      </w:r>
      <w:r w:rsidRPr="00D56FC8">
        <w:rPr>
          <w:color w:val="000000"/>
          <w:sz w:val="20"/>
          <w:szCs w:val="20"/>
          <w:lang w:val="en-US"/>
        </w:rPr>
        <w:tab/>
      </w:r>
      <w:r w:rsidRPr="00D56FC8">
        <w:rPr>
          <w:color w:val="000000"/>
          <w:sz w:val="20"/>
          <w:szCs w:val="20"/>
          <w:lang w:val="en-US"/>
        </w:rPr>
        <w:tab/>
      </w:r>
      <w:r w:rsidRPr="00D56FC8">
        <w:rPr>
          <w:color w:val="000000"/>
          <w:sz w:val="20"/>
          <w:szCs w:val="20"/>
          <w:lang w:val="en-US"/>
        </w:rPr>
        <w:tab/>
        <w:t>(16)</w:t>
      </w:r>
    </w:p>
    <w:p w:rsidR="00F775BC" w:rsidRPr="00D56FC8" w:rsidRDefault="00F775BC">
      <w:pPr>
        <w:widowControl w:val="0"/>
        <w:jc w:val="both"/>
        <w:rPr>
          <w:color w:val="000000"/>
          <w:sz w:val="20"/>
          <w:szCs w:val="20"/>
          <w:lang w:val="en-US"/>
        </w:rPr>
      </w:pPr>
    </w:p>
    <w:p w:rsidR="00F775BC" w:rsidRPr="00D56FC8" w:rsidRDefault="00F775BC">
      <w:pPr>
        <w:widowControl w:val="0"/>
        <w:jc w:val="both"/>
        <w:rPr>
          <w:color w:val="000000"/>
          <w:sz w:val="20"/>
          <w:szCs w:val="20"/>
          <w:lang w:val="en-US"/>
        </w:rPr>
      </w:pPr>
      <w:r w:rsidRPr="00D56FC8">
        <w:rPr>
          <w:color w:val="000000"/>
          <w:sz w:val="20"/>
          <w:szCs w:val="20"/>
          <w:lang w:val="en-US"/>
        </w:rPr>
        <w:t xml:space="preserve">where </w:t>
      </w:r>
      <w:r w:rsidRPr="00D56FC8">
        <w:rPr>
          <w:i/>
          <w:iCs/>
          <w:color w:val="000000"/>
          <w:sz w:val="20"/>
          <w:szCs w:val="20"/>
          <w:lang w:val="en-US"/>
        </w:rPr>
        <w:t>B</w:t>
      </w:r>
      <w:r w:rsidRPr="00D56FC8">
        <w:rPr>
          <w:i/>
          <w:iCs/>
          <w:color w:val="000000"/>
          <w:sz w:val="20"/>
          <w:szCs w:val="20"/>
          <w:vertAlign w:val="subscript"/>
          <w:lang w:val="en-US"/>
        </w:rPr>
        <w:t>D</w:t>
      </w:r>
      <w:r w:rsidRPr="00D56FC8">
        <w:rPr>
          <w:color w:val="000000"/>
          <w:sz w:val="20"/>
          <w:szCs w:val="20"/>
          <w:lang w:val="en-US"/>
        </w:rPr>
        <w:t xml:space="preserve">, </w:t>
      </w:r>
      <w:r w:rsidRPr="00D56FC8">
        <w:rPr>
          <w:i/>
          <w:iCs/>
          <w:color w:val="000000"/>
          <w:sz w:val="20"/>
          <w:szCs w:val="20"/>
          <w:lang w:val="en-US"/>
        </w:rPr>
        <w:t>B</w:t>
      </w:r>
      <w:r w:rsidRPr="00D56FC8">
        <w:rPr>
          <w:i/>
          <w:iCs/>
          <w:color w:val="000000"/>
          <w:sz w:val="20"/>
          <w:szCs w:val="20"/>
          <w:vertAlign w:val="subscript"/>
          <w:lang w:val="en-US"/>
        </w:rPr>
        <w:t>EG</w:t>
      </w:r>
      <w:r w:rsidRPr="00D56FC8">
        <w:rPr>
          <w:color w:val="000000"/>
          <w:sz w:val="20"/>
          <w:szCs w:val="20"/>
          <w:lang w:val="en-US"/>
        </w:rPr>
        <w:t xml:space="preserve">, </w:t>
      </w:r>
      <w:r w:rsidRPr="00D56FC8">
        <w:rPr>
          <w:i/>
          <w:iCs/>
          <w:color w:val="000000"/>
          <w:sz w:val="20"/>
          <w:szCs w:val="20"/>
          <w:lang w:val="en-US"/>
        </w:rPr>
        <w:t>B</w:t>
      </w:r>
      <w:r w:rsidRPr="00D56FC8">
        <w:rPr>
          <w:i/>
          <w:iCs/>
          <w:color w:val="000000"/>
          <w:sz w:val="20"/>
          <w:szCs w:val="20"/>
          <w:vertAlign w:val="subscript"/>
          <w:lang w:val="en-US"/>
        </w:rPr>
        <w:t>UV</w:t>
      </w:r>
      <w:r w:rsidRPr="00D56FC8">
        <w:rPr>
          <w:color w:val="000000"/>
          <w:sz w:val="20"/>
          <w:szCs w:val="20"/>
          <w:lang w:val="en-US"/>
        </w:rPr>
        <w:t xml:space="preserve"> and </w:t>
      </w:r>
      <w:r w:rsidRPr="00D56FC8">
        <w:rPr>
          <w:i/>
          <w:iCs/>
          <w:color w:val="000000"/>
          <w:sz w:val="20"/>
          <w:szCs w:val="20"/>
          <w:lang w:val="en-US"/>
        </w:rPr>
        <w:t>B</w:t>
      </w:r>
      <w:r w:rsidRPr="00D56FC8">
        <w:rPr>
          <w:i/>
          <w:iCs/>
          <w:color w:val="000000"/>
          <w:sz w:val="20"/>
          <w:szCs w:val="20"/>
          <w:vertAlign w:val="subscript"/>
          <w:lang w:val="en-US"/>
        </w:rPr>
        <w:t>GH</w:t>
      </w:r>
      <w:r w:rsidRPr="00D56FC8">
        <w:rPr>
          <w:color w:val="000000"/>
          <w:sz w:val="20"/>
          <w:szCs w:val="20"/>
          <w:lang w:val="en-US"/>
        </w:rPr>
        <w:t xml:space="preserve"> are weighting factors of the components of such criteria (dimensionless quantities), respectively: thermal pollution criterion of RICE, emission of EG carbonaceous fractions, emission of other carbonaceous gases (crankcase and motor fuel vapors) and sulfur oxides and emission of EG and other greenhouse gases; </w:t>
      </w:r>
      <w:r w:rsidRPr="00D56FC8">
        <w:rPr>
          <w:i/>
          <w:iCs/>
          <w:color w:val="000000"/>
          <w:sz w:val="20"/>
          <w:szCs w:val="20"/>
          <w:lang w:val="en-US"/>
        </w:rPr>
        <w:t>K</w:t>
      </w:r>
      <w:r w:rsidRPr="00D56FC8">
        <w:rPr>
          <w:i/>
          <w:iCs/>
          <w:color w:val="000000"/>
          <w:sz w:val="20"/>
          <w:szCs w:val="20"/>
          <w:vertAlign w:val="subscript"/>
          <w:lang w:val="en-US"/>
        </w:rPr>
        <w:t>D</w:t>
      </w:r>
      <w:r w:rsidRPr="00D56FC8">
        <w:rPr>
          <w:color w:val="000000"/>
          <w:sz w:val="20"/>
          <w:szCs w:val="20"/>
          <w:lang w:val="en-US"/>
        </w:rPr>
        <w:t xml:space="preserve">, </w:t>
      </w:r>
      <w:r w:rsidRPr="00D56FC8">
        <w:rPr>
          <w:i/>
          <w:iCs/>
          <w:color w:val="000000"/>
          <w:sz w:val="20"/>
          <w:szCs w:val="20"/>
          <w:lang w:val="en-US"/>
        </w:rPr>
        <w:t>K</w:t>
      </w:r>
      <w:r w:rsidRPr="00D56FC8">
        <w:rPr>
          <w:i/>
          <w:iCs/>
          <w:color w:val="000000"/>
          <w:sz w:val="20"/>
          <w:szCs w:val="20"/>
          <w:vertAlign w:val="subscript"/>
          <w:lang w:val="en-US"/>
        </w:rPr>
        <w:t>EG</w:t>
      </w:r>
      <w:r w:rsidRPr="00D56FC8">
        <w:rPr>
          <w:color w:val="000000"/>
          <w:sz w:val="20"/>
          <w:szCs w:val="20"/>
          <w:lang w:val="en-US"/>
        </w:rPr>
        <w:t xml:space="preserve">, </w:t>
      </w:r>
      <w:r w:rsidRPr="00D56FC8">
        <w:rPr>
          <w:i/>
          <w:iCs/>
          <w:color w:val="000000"/>
          <w:sz w:val="20"/>
          <w:szCs w:val="20"/>
          <w:lang w:val="en-US"/>
        </w:rPr>
        <w:t>K</w:t>
      </w:r>
      <w:r w:rsidRPr="00D56FC8">
        <w:rPr>
          <w:i/>
          <w:iCs/>
          <w:color w:val="000000"/>
          <w:sz w:val="20"/>
          <w:szCs w:val="20"/>
          <w:vertAlign w:val="subscript"/>
          <w:lang w:val="en-US"/>
        </w:rPr>
        <w:t>UV</w:t>
      </w:r>
      <w:r w:rsidRPr="00D56FC8">
        <w:rPr>
          <w:color w:val="000000"/>
          <w:sz w:val="20"/>
          <w:szCs w:val="20"/>
          <w:lang w:val="en-US"/>
        </w:rPr>
        <w:t xml:space="preserve"> and </w:t>
      </w:r>
      <w:r w:rsidRPr="00D56FC8">
        <w:rPr>
          <w:i/>
          <w:iCs/>
          <w:color w:val="000000"/>
          <w:sz w:val="20"/>
          <w:szCs w:val="20"/>
          <w:lang w:val="en-US"/>
        </w:rPr>
        <w:t>K</w:t>
      </w:r>
      <w:r w:rsidRPr="00D56FC8">
        <w:rPr>
          <w:i/>
          <w:iCs/>
          <w:color w:val="000000"/>
          <w:sz w:val="20"/>
          <w:szCs w:val="20"/>
          <w:vertAlign w:val="subscript"/>
          <w:lang w:val="en-US"/>
        </w:rPr>
        <w:t>GH</w:t>
      </w:r>
      <w:r w:rsidRPr="00D56FC8">
        <w:rPr>
          <w:color w:val="000000"/>
          <w:sz w:val="20"/>
          <w:szCs w:val="20"/>
          <w:lang w:val="en-US"/>
        </w:rPr>
        <w:t xml:space="preserve"> – criteria (dimensionless quantities) of thermal pollution of RICE (see formula (15)), emission of carbonaceous fractions of EG, emission of other carbonaceous gases and emission of EG greenhouse gases, respectively; </w:t>
      </w:r>
      <w:r w:rsidRPr="00D56FC8">
        <w:rPr>
          <w:i/>
          <w:iCs/>
          <w:color w:val="000000"/>
          <w:sz w:val="20"/>
          <w:szCs w:val="20"/>
          <w:lang w:val="en-US"/>
        </w:rPr>
        <w:t>A</w:t>
      </w:r>
      <w:r w:rsidRPr="00D56FC8">
        <w:rPr>
          <w:color w:val="000000"/>
          <w:sz w:val="20"/>
          <w:szCs w:val="20"/>
          <w:lang w:val="en-US"/>
        </w:rPr>
        <w:t xml:space="preserve">(CO) = 1.0, </w:t>
      </w:r>
      <w:r w:rsidRPr="00D56FC8">
        <w:rPr>
          <w:i/>
          <w:iCs/>
          <w:color w:val="000000"/>
          <w:sz w:val="20"/>
          <w:szCs w:val="20"/>
          <w:lang w:val="en-US"/>
        </w:rPr>
        <w:t>A</w:t>
      </w:r>
      <w:r w:rsidRPr="00D56FC8">
        <w:rPr>
          <w:color w:val="000000"/>
          <w:sz w:val="20"/>
          <w:szCs w:val="20"/>
          <w:lang w:val="en-US"/>
        </w:rPr>
        <w:t>(CO</w:t>
      </w:r>
      <w:r w:rsidRPr="00D56FC8">
        <w:rPr>
          <w:color w:val="000000"/>
          <w:sz w:val="20"/>
          <w:szCs w:val="20"/>
          <w:vertAlign w:val="subscript"/>
          <w:lang w:val="en-US"/>
        </w:rPr>
        <w:t>2</w:t>
      </w:r>
      <w:r w:rsidRPr="00D56FC8">
        <w:rPr>
          <w:color w:val="000000"/>
          <w:sz w:val="20"/>
          <w:szCs w:val="20"/>
          <w:lang w:val="en-US"/>
        </w:rPr>
        <w:t xml:space="preserve">) = 0.02, </w:t>
      </w:r>
      <w:r w:rsidRPr="00D56FC8">
        <w:rPr>
          <w:i/>
          <w:iCs/>
          <w:color w:val="000000"/>
          <w:sz w:val="20"/>
          <w:szCs w:val="20"/>
          <w:lang w:val="en-US"/>
        </w:rPr>
        <w:t>A</w:t>
      </w:r>
      <w:r w:rsidRPr="00D56FC8">
        <w:rPr>
          <w:color w:val="000000"/>
          <w:sz w:val="20"/>
          <w:szCs w:val="20"/>
          <w:lang w:val="en-US"/>
        </w:rPr>
        <w:t xml:space="preserve">(PM) = 200.0, </w:t>
      </w:r>
      <w:r w:rsidRPr="00D56FC8">
        <w:rPr>
          <w:i/>
          <w:iCs/>
          <w:color w:val="000000"/>
          <w:sz w:val="20"/>
          <w:szCs w:val="20"/>
          <w:lang w:val="en-US"/>
        </w:rPr>
        <w:t>A</w:t>
      </w:r>
      <w:r w:rsidRPr="00D56FC8">
        <w:rPr>
          <w:color w:val="000000"/>
          <w:sz w:val="20"/>
          <w:szCs w:val="20"/>
          <w:lang w:val="en-US"/>
        </w:rPr>
        <w:t>(C</w:t>
      </w:r>
      <w:r w:rsidRPr="00D56FC8">
        <w:rPr>
          <w:color w:val="000000"/>
          <w:sz w:val="20"/>
          <w:szCs w:val="20"/>
          <w:vertAlign w:val="subscript"/>
          <w:lang w:val="en-US"/>
        </w:rPr>
        <w:t>n</w:t>
      </w:r>
      <w:r w:rsidRPr="00D56FC8">
        <w:rPr>
          <w:color w:val="000000"/>
          <w:sz w:val="20"/>
          <w:szCs w:val="20"/>
          <w:lang w:val="en-US"/>
        </w:rPr>
        <w:t>H</w:t>
      </w:r>
      <w:r w:rsidRPr="00D56FC8">
        <w:rPr>
          <w:color w:val="000000"/>
          <w:sz w:val="20"/>
          <w:szCs w:val="20"/>
          <w:vertAlign w:val="subscript"/>
          <w:lang w:val="en-US"/>
        </w:rPr>
        <w:t>m</w:t>
      </w:r>
      <w:r w:rsidRPr="00D56FC8">
        <w:rPr>
          <w:color w:val="000000"/>
          <w:sz w:val="20"/>
          <w:szCs w:val="20"/>
          <w:lang w:val="en-US"/>
        </w:rPr>
        <w:t xml:space="preserve">) = 3.2, </w:t>
      </w:r>
      <w:r w:rsidRPr="00D56FC8">
        <w:rPr>
          <w:i/>
          <w:iCs/>
          <w:color w:val="000000"/>
          <w:sz w:val="20"/>
          <w:szCs w:val="20"/>
          <w:lang w:val="en-US"/>
        </w:rPr>
        <w:t>A</w:t>
      </w:r>
      <w:r w:rsidRPr="00D56FC8">
        <w:rPr>
          <w:color w:val="000000"/>
          <w:sz w:val="20"/>
          <w:szCs w:val="20"/>
          <w:lang w:val="en-US"/>
        </w:rPr>
        <w:t xml:space="preserve">(RB) = </w:t>
      </w:r>
      <w:r w:rsidRPr="00D56FC8">
        <w:rPr>
          <w:i/>
          <w:iCs/>
          <w:color w:val="000000"/>
          <w:sz w:val="20"/>
          <w:szCs w:val="20"/>
          <w:lang w:val="en-US"/>
        </w:rPr>
        <w:t>A</w:t>
      </w:r>
      <w:r w:rsidRPr="00D56FC8">
        <w:rPr>
          <w:color w:val="000000"/>
          <w:sz w:val="20"/>
          <w:szCs w:val="20"/>
          <w:lang w:val="en-US"/>
        </w:rPr>
        <w:t xml:space="preserve">(fuel) = 38.4, </w:t>
      </w:r>
      <w:r w:rsidRPr="00D56FC8">
        <w:rPr>
          <w:i/>
          <w:iCs/>
          <w:color w:val="000000"/>
          <w:sz w:val="20"/>
          <w:szCs w:val="20"/>
          <w:lang w:val="en-US"/>
        </w:rPr>
        <w:t>A</w:t>
      </w:r>
      <w:r w:rsidRPr="00D56FC8">
        <w:rPr>
          <w:color w:val="000000"/>
          <w:sz w:val="20"/>
          <w:szCs w:val="20"/>
          <w:lang w:val="en-US"/>
        </w:rPr>
        <w:t xml:space="preserve">(CG) = 25.5, </w:t>
      </w:r>
      <w:r w:rsidRPr="00D56FC8">
        <w:rPr>
          <w:i/>
          <w:iCs/>
          <w:color w:val="000000"/>
          <w:sz w:val="20"/>
          <w:szCs w:val="20"/>
          <w:lang w:val="en-US"/>
        </w:rPr>
        <w:t>A</w:t>
      </w:r>
      <w:r w:rsidRPr="00D56FC8">
        <w:rPr>
          <w:color w:val="000000"/>
          <w:sz w:val="20"/>
          <w:szCs w:val="20"/>
          <w:lang w:val="en-US"/>
        </w:rPr>
        <w:t>(SO</w:t>
      </w:r>
      <w:r w:rsidRPr="00D56FC8">
        <w:rPr>
          <w:color w:val="000000"/>
          <w:sz w:val="20"/>
          <w:szCs w:val="20"/>
          <w:vertAlign w:val="subscript"/>
          <w:lang w:val="en-US"/>
        </w:rPr>
        <w:t>x</w:t>
      </w:r>
      <w:r w:rsidRPr="00D56FC8">
        <w:rPr>
          <w:color w:val="000000"/>
          <w:sz w:val="20"/>
          <w:szCs w:val="20"/>
          <w:lang w:val="en-US"/>
        </w:rPr>
        <w:t xml:space="preserve">) = 22.0, </w:t>
      </w:r>
      <w:r w:rsidRPr="00D56FC8">
        <w:rPr>
          <w:i/>
          <w:iCs/>
          <w:color w:val="000000"/>
          <w:sz w:val="20"/>
          <w:szCs w:val="20"/>
          <w:lang w:val="en-US"/>
        </w:rPr>
        <w:t>A</w:t>
      </w:r>
      <w:r w:rsidRPr="00D56FC8">
        <w:rPr>
          <w:color w:val="000000"/>
          <w:sz w:val="20"/>
          <w:szCs w:val="20"/>
          <w:lang w:val="en-US"/>
        </w:rPr>
        <w:t>(H</w:t>
      </w:r>
      <w:r w:rsidRPr="00D56FC8">
        <w:rPr>
          <w:color w:val="000000"/>
          <w:sz w:val="20"/>
          <w:szCs w:val="20"/>
          <w:vertAlign w:val="subscript"/>
          <w:lang w:val="en-US"/>
        </w:rPr>
        <w:t>2</w:t>
      </w:r>
      <w:r w:rsidRPr="00D56FC8">
        <w:rPr>
          <w:color w:val="000000"/>
          <w:sz w:val="20"/>
          <w:szCs w:val="20"/>
          <w:lang w:val="en-US"/>
        </w:rPr>
        <w:t xml:space="preserve">O) = 0.002 and </w:t>
      </w:r>
      <w:r w:rsidRPr="00D56FC8">
        <w:rPr>
          <w:i/>
          <w:iCs/>
          <w:color w:val="000000"/>
          <w:sz w:val="20"/>
          <w:szCs w:val="20"/>
          <w:lang w:val="en-US"/>
        </w:rPr>
        <w:t>A</w:t>
      </w:r>
      <w:r w:rsidRPr="00D56FC8">
        <w:rPr>
          <w:color w:val="000000"/>
          <w:sz w:val="20"/>
          <w:szCs w:val="20"/>
          <w:lang w:val="en-US"/>
        </w:rPr>
        <w:t>(NO</w:t>
      </w:r>
      <w:r w:rsidRPr="00D56FC8">
        <w:rPr>
          <w:color w:val="000000"/>
          <w:sz w:val="20"/>
          <w:szCs w:val="20"/>
          <w:vertAlign w:val="subscript"/>
          <w:lang w:val="en-US"/>
        </w:rPr>
        <w:t>x</w:t>
      </w:r>
      <w:r w:rsidRPr="00D56FC8">
        <w:rPr>
          <w:color w:val="000000"/>
          <w:sz w:val="20"/>
          <w:szCs w:val="20"/>
          <w:lang w:val="en-US"/>
        </w:rPr>
        <w:t xml:space="preserve">) = 41.1 [34] are weighting factors (dimensionless quantities) of emission of carbon monoxide, carbon dioxide, particulate matters, unburned hydrocarbons, motor fuel vapors, crankcase gases, sulfur oxides, dihydrogen monoxide vapors, nitrogen oxides, respectively; </w:t>
      </w:r>
      <w:r w:rsidRPr="00D56FC8">
        <w:rPr>
          <w:i/>
          <w:iCs/>
          <w:color w:val="000000"/>
          <w:sz w:val="20"/>
          <w:szCs w:val="20"/>
          <w:lang w:val="en-US"/>
        </w:rPr>
        <w:t>A</w:t>
      </w:r>
      <w:r w:rsidRPr="00D56FC8">
        <w:rPr>
          <w:i/>
          <w:iCs/>
          <w:color w:val="000000"/>
          <w:sz w:val="20"/>
          <w:szCs w:val="20"/>
          <w:vertAlign w:val="subscript"/>
          <w:lang w:val="en-US"/>
        </w:rPr>
        <w:t>GH</w:t>
      </w:r>
      <w:r w:rsidRPr="00D56FC8">
        <w:rPr>
          <w:color w:val="000000"/>
          <w:sz w:val="20"/>
          <w:szCs w:val="20"/>
          <w:lang w:val="en-US"/>
        </w:rPr>
        <w:t>(CO</w:t>
      </w:r>
      <w:r w:rsidRPr="00D56FC8">
        <w:rPr>
          <w:color w:val="000000"/>
          <w:sz w:val="20"/>
          <w:szCs w:val="20"/>
          <w:vertAlign w:val="subscript"/>
          <w:lang w:val="en-US"/>
        </w:rPr>
        <w:t>2</w:t>
      </w:r>
      <w:r w:rsidRPr="00D56FC8">
        <w:rPr>
          <w:color w:val="000000"/>
          <w:sz w:val="20"/>
          <w:szCs w:val="20"/>
          <w:lang w:val="en-US"/>
        </w:rPr>
        <w:t xml:space="preserve">), </w:t>
      </w:r>
      <w:r w:rsidRPr="00D56FC8">
        <w:rPr>
          <w:i/>
          <w:iCs/>
          <w:color w:val="000000"/>
          <w:sz w:val="20"/>
          <w:szCs w:val="20"/>
          <w:lang w:val="en-US"/>
        </w:rPr>
        <w:t>A</w:t>
      </w:r>
      <w:r w:rsidRPr="00D56FC8">
        <w:rPr>
          <w:i/>
          <w:iCs/>
          <w:color w:val="000000"/>
          <w:sz w:val="20"/>
          <w:szCs w:val="20"/>
          <w:vertAlign w:val="subscript"/>
          <w:lang w:val="en-US"/>
        </w:rPr>
        <w:t>GH</w:t>
      </w:r>
      <w:r w:rsidRPr="00D56FC8">
        <w:rPr>
          <w:color w:val="000000"/>
          <w:sz w:val="20"/>
          <w:szCs w:val="20"/>
          <w:lang w:val="en-US"/>
        </w:rPr>
        <w:t>(C</w:t>
      </w:r>
      <w:r w:rsidRPr="00D56FC8">
        <w:rPr>
          <w:color w:val="000000"/>
          <w:sz w:val="20"/>
          <w:szCs w:val="20"/>
          <w:vertAlign w:val="subscript"/>
          <w:lang w:val="en-US"/>
        </w:rPr>
        <w:t>n</w:t>
      </w:r>
      <w:r w:rsidRPr="00D56FC8">
        <w:rPr>
          <w:color w:val="000000"/>
          <w:sz w:val="20"/>
          <w:szCs w:val="20"/>
          <w:lang w:val="en-US"/>
        </w:rPr>
        <w:t>H</w:t>
      </w:r>
      <w:r w:rsidRPr="00D56FC8">
        <w:rPr>
          <w:color w:val="000000"/>
          <w:sz w:val="20"/>
          <w:szCs w:val="20"/>
          <w:vertAlign w:val="subscript"/>
          <w:lang w:val="en-US"/>
        </w:rPr>
        <w:t>m</w:t>
      </w:r>
      <w:r w:rsidRPr="00D56FC8">
        <w:rPr>
          <w:color w:val="000000"/>
          <w:sz w:val="20"/>
          <w:szCs w:val="20"/>
          <w:lang w:val="en-US"/>
        </w:rPr>
        <w:t xml:space="preserve">), </w:t>
      </w:r>
      <w:r w:rsidRPr="00D56FC8">
        <w:rPr>
          <w:i/>
          <w:iCs/>
          <w:color w:val="000000"/>
          <w:sz w:val="20"/>
          <w:szCs w:val="20"/>
          <w:lang w:val="en-US"/>
        </w:rPr>
        <w:t>A</w:t>
      </w:r>
      <w:r w:rsidRPr="00D56FC8">
        <w:rPr>
          <w:i/>
          <w:iCs/>
          <w:color w:val="000000"/>
          <w:sz w:val="20"/>
          <w:szCs w:val="20"/>
          <w:vertAlign w:val="subscript"/>
          <w:lang w:val="en-US"/>
        </w:rPr>
        <w:t>GH</w:t>
      </w:r>
      <w:r w:rsidRPr="00D56FC8">
        <w:rPr>
          <w:color w:val="000000"/>
          <w:sz w:val="20"/>
          <w:szCs w:val="20"/>
          <w:lang w:val="en-US"/>
        </w:rPr>
        <w:t xml:space="preserve">(RB) = </w:t>
      </w:r>
      <w:r w:rsidRPr="00D56FC8">
        <w:rPr>
          <w:i/>
          <w:iCs/>
          <w:color w:val="000000"/>
          <w:sz w:val="20"/>
          <w:szCs w:val="20"/>
          <w:lang w:val="en-US"/>
        </w:rPr>
        <w:t>A</w:t>
      </w:r>
      <w:r w:rsidRPr="00D56FC8">
        <w:rPr>
          <w:i/>
          <w:iCs/>
          <w:color w:val="000000"/>
          <w:sz w:val="20"/>
          <w:szCs w:val="20"/>
          <w:vertAlign w:val="subscript"/>
          <w:lang w:val="en-US"/>
        </w:rPr>
        <w:t>GH</w:t>
      </w:r>
      <w:r w:rsidRPr="00D56FC8">
        <w:rPr>
          <w:color w:val="000000"/>
          <w:sz w:val="20"/>
          <w:szCs w:val="20"/>
          <w:lang w:val="en-US"/>
        </w:rPr>
        <w:t xml:space="preserve">(fuel), </w:t>
      </w:r>
      <w:r w:rsidRPr="00D56FC8">
        <w:rPr>
          <w:i/>
          <w:iCs/>
          <w:color w:val="000000"/>
          <w:sz w:val="20"/>
          <w:szCs w:val="20"/>
          <w:lang w:val="en-US"/>
        </w:rPr>
        <w:t>A</w:t>
      </w:r>
      <w:r w:rsidRPr="00D56FC8">
        <w:rPr>
          <w:i/>
          <w:iCs/>
          <w:color w:val="000000"/>
          <w:sz w:val="20"/>
          <w:szCs w:val="20"/>
          <w:vertAlign w:val="subscript"/>
          <w:lang w:val="en-US"/>
        </w:rPr>
        <w:t>GH</w:t>
      </w:r>
      <w:r w:rsidRPr="00D56FC8">
        <w:rPr>
          <w:color w:val="000000"/>
          <w:sz w:val="20"/>
          <w:szCs w:val="20"/>
          <w:lang w:val="en-US"/>
        </w:rPr>
        <w:t xml:space="preserve">(CG), </w:t>
      </w:r>
      <w:r w:rsidRPr="00D56FC8">
        <w:rPr>
          <w:i/>
          <w:iCs/>
          <w:color w:val="000000"/>
          <w:sz w:val="20"/>
          <w:szCs w:val="20"/>
          <w:lang w:val="en-US"/>
        </w:rPr>
        <w:t>A</w:t>
      </w:r>
      <w:r w:rsidRPr="00D56FC8">
        <w:rPr>
          <w:i/>
          <w:iCs/>
          <w:color w:val="000000"/>
          <w:sz w:val="20"/>
          <w:szCs w:val="20"/>
          <w:vertAlign w:val="subscript"/>
          <w:lang w:val="en-US"/>
        </w:rPr>
        <w:t>GH</w:t>
      </w:r>
      <w:r w:rsidRPr="00D56FC8">
        <w:rPr>
          <w:color w:val="000000"/>
          <w:sz w:val="20"/>
          <w:szCs w:val="20"/>
          <w:lang w:val="en-US"/>
        </w:rPr>
        <w:t>(H</w:t>
      </w:r>
      <w:r w:rsidRPr="00D56FC8">
        <w:rPr>
          <w:color w:val="000000"/>
          <w:sz w:val="20"/>
          <w:szCs w:val="20"/>
          <w:vertAlign w:val="subscript"/>
          <w:lang w:val="en-US"/>
        </w:rPr>
        <w:t>2</w:t>
      </w:r>
      <w:r w:rsidRPr="00D56FC8">
        <w:rPr>
          <w:color w:val="000000"/>
          <w:sz w:val="20"/>
          <w:szCs w:val="20"/>
          <w:lang w:val="en-US"/>
        </w:rPr>
        <w:t xml:space="preserve">O) and </w:t>
      </w:r>
      <w:r w:rsidRPr="00D56FC8">
        <w:rPr>
          <w:i/>
          <w:iCs/>
          <w:color w:val="000000"/>
          <w:sz w:val="20"/>
          <w:szCs w:val="20"/>
          <w:lang w:val="en-US"/>
        </w:rPr>
        <w:t>A</w:t>
      </w:r>
      <w:r w:rsidRPr="00D56FC8">
        <w:rPr>
          <w:i/>
          <w:iCs/>
          <w:color w:val="000000"/>
          <w:sz w:val="20"/>
          <w:szCs w:val="20"/>
          <w:vertAlign w:val="subscript"/>
          <w:lang w:val="en-US"/>
        </w:rPr>
        <w:t>GH</w:t>
      </w:r>
      <w:r w:rsidRPr="00D56FC8">
        <w:rPr>
          <w:color w:val="000000"/>
          <w:sz w:val="20"/>
          <w:szCs w:val="20"/>
          <w:lang w:val="en-US"/>
        </w:rPr>
        <w:t>(NO</w:t>
      </w:r>
      <w:r w:rsidRPr="00D56FC8">
        <w:rPr>
          <w:color w:val="000000"/>
          <w:sz w:val="20"/>
          <w:szCs w:val="20"/>
          <w:vertAlign w:val="subscript"/>
          <w:lang w:val="en-US"/>
        </w:rPr>
        <w:t>x</w:t>
      </w:r>
      <w:r w:rsidRPr="00D56FC8">
        <w:rPr>
          <w:color w:val="000000"/>
          <w:sz w:val="20"/>
          <w:szCs w:val="20"/>
          <w:lang w:val="en-US"/>
        </w:rPr>
        <w:t xml:space="preserve">) [34] – weighting factors (dimensionless quantities) of emission of carbon dioxide, unburned hydrocarbons, motor fuel vapors, crankcase gases, dihydrogen monoxide vapors, nitrogen oxides as greenhouse gases, respectively; </w:t>
      </w:r>
      <w:r w:rsidRPr="00D56FC8">
        <w:rPr>
          <w:i/>
          <w:iCs/>
          <w:color w:val="000000"/>
          <w:sz w:val="20"/>
          <w:szCs w:val="20"/>
          <w:lang w:val="en-US"/>
        </w:rPr>
        <w:t>G</w:t>
      </w:r>
      <w:r w:rsidRPr="00D56FC8">
        <w:rPr>
          <w:color w:val="000000"/>
          <w:sz w:val="20"/>
          <w:szCs w:val="20"/>
          <w:lang w:val="en-US"/>
        </w:rPr>
        <w:t xml:space="preserve">(CO)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(CO</w:t>
      </w:r>
      <w:r w:rsidRPr="00D56FC8">
        <w:rPr>
          <w:color w:val="000000"/>
          <w:sz w:val="20"/>
          <w:szCs w:val="20"/>
          <w:vertAlign w:val="subscript"/>
          <w:lang w:val="en-US"/>
        </w:rPr>
        <w:t>2</w:t>
      </w:r>
      <w:r w:rsidRPr="00D56FC8">
        <w:rPr>
          <w:color w:val="000000"/>
          <w:sz w:val="20"/>
          <w:szCs w:val="20"/>
          <w:lang w:val="en-US"/>
        </w:rPr>
        <w:t xml:space="preserve">)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 xml:space="preserve">(PM)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color w:val="000000"/>
          <w:sz w:val="20"/>
          <w:szCs w:val="20"/>
          <w:lang w:val="en-US"/>
        </w:rPr>
        <w:t xml:space="preserve">, </w:t>
      </w:r>
      <w:r w:rsidRPr="00D56FC8">
        <w:rPr>
          <w:i/>
          <w:iCs/>
          <w:color w:val="000000"/>
          <w:sz w:val="20"/>
          <w:szCs w:val="20"/>
          <w:lang w:val="en-US"/>
        </w:rPr>
        <w:t>G</w:t>
      </w:r>
      <w:r w:rsidRPr="00D56FC8">
        <w:rPr>
          <w:i/>
          <w:iCs/>
          <w:color w:val="000000"/>
          <w:sz w:val="20"/>
          <w:szCs w:val="20"/>
          <w:vertAlign w:val="subscript"/>
          <w:lang w:val="en-US"/>
        </w:rPr>
        <w:t>fuel</w:t>
      </w:r>
      <w:r w:rsidRPr="00D56FC8">
        <w:rPr>
          <w:color w:val="000000"/>
          <w:sz w:val="20"/>
          <w:szCs w:val="20"/>
          <w:lang w:val="en-US"/>
        </w:rPr>
        <w:t xml:space="preserve">, </w:t>
      </w:r>
      <w:r w:rsidRPr="00D56FC8">
        <w:rPr>
          <w:i/>
          <w:iCs/>
          <w:color w:val="000000"/>
          <w:sz w:val="20"/>
          <w:szCs w:val="20"/>
          <w:lang w:val="en-US"/>
        </w:rPr>
        <w:t>G</w:t>
      </w:r>
      <w:r w:rsidRPr="00D56FC8">
        <w:rPr>
          <w:i/>
          <w:iCs/>
          <w:color w:val="000000"/>
          <w:sz w:val="20"/>
          <w:szCs w:val="20"/>
          <w:vertAlign w:val="subscript"/>
          <w:lang w:val="en-US"/>
        </w:rPr>
        <w:t>air</w:t>
      </w:r>
      <w:r w:rsidRPr="00D56FC8">
        <w:rPr>
          <w:color w:val="000000"/>
          <w:sz w:val="20"/>
          <w:szCs w:val="20"/>
          <w:lang w:val="en-US"/>
        </w:rPr>
        <w:t xml:space="preserve">, </w:t>
      </w:r>
      <w:r w:rsidRPr="00D56FC8">
        <w:rPr>
          <w:i/>
          <w:iCs/>
          <w:color w:val="000000"/>
          <w:sz w:val="20"/>
          <w:szCs w:val="20"/>
          <w:lang w:val="en-US"/>
        </w:rPr>
        <w:t>C</w:t>
      </w:r>
      <w:r w:rsidRPr="00D56FC8">
        <w:rPr>
          <w:color w:val="000000"/>
          <w:sz w:val="20"/>
          <w:szCs w:val="20"/>
          <w:lang w:val="en-US"/>
        </w:rPr>
        <w:t>(C</w:t>
      </w:r>
      <w:r w:rsidRPr="00D56FC8">
        <w:rPr>
          <w:color w:val="000000"/>
          <w:sz w:val="20"/>
          <w:szCs w:val="20"/>
          <w:vertAlign w:val="subscript"/>
          <w:lang w:val="en-US"/>
        </w:rPr>
        <w:t>n</w:t>
      </w:r>
      <w:r w:rsidRPr="00D56FC8">
        <w:rPr>
          <w:color w:val="000000"/>
          <w:sz w:val="20"/>
          <w:szCs w:val="20"/>
          <w:lang w:val="en-US"/>
        </w:rPr>
        <w:t>H</w:t>
      </w:r>
      <w:r w:rsidRPr="00D56FC8">
        <w:rPr>
          <w:color w:val="000000"/>
          <w:sz w:val="20"/>
          <w:szCs w:val="20"/>
          <w:vertAlign w:val="subscript"/>
          <w:lang w:val="en-US"/>
        </w:rPr>
        <w:t>m</w:t>
      </w:r>
      <w:r w:rsidRPr="00D56FC8">
        <w:rPr>
          <w:color w:val="000000"/>
          <w:sz w:val="20"/>
          <w:szCs w:val="20"/>
          <w:lang w:val="en-US"/>
        </w:rPr>
        <w:t xml:space="preserve">))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(C</w:t>
      </w:r>
      <w:r w:rsidRPr="00D56FC8">
        <w:rPr>
          <w:color w:val="000000"/>
          <w:sz w:val="20"/>
          <w:szCs w:val="20"/>
          <w:vertAlign w:val="subscript"/>
          <w:lang w:val="en-US"/>
        </w:rPr>
        <w:t>n</w:t>
      </w:r>
      <w:r w:rsidRPr="00D56FC8">
        <w:rPr>
          <w:color w:val="000000"/>
          <w:sz w:val="20"/>
          <w:szCs w:val="20"/>
          <w:lang w:val="en-US"/>
        </w:rPr>
        <w:t>H</w:t>
      </w:r>
      <w:r w:rsidRPr="00D56FC8">
        <w:rPr>
          <w:color w:val="000000"/>
          <w:sz w:val="20"/>
          <w:szCs w:val="20"/>
          <w:vertAlign w:val="subscript"/>
          <w:lang w:val="en-US"/>
        </w:rPr>
        <w:t>m</w:t>
      </w:r>
      <w:r w:rsidRPr="00D56FC8">
        <w:rPr>
          <w:color w:val="000000"/>
          <w:sz w:val="20"/>
          <w:szCs w:val="20"/>
          <w:lang w:val="en-US"/>
        </w:rPr>
        <w:t xml:space="preserve">)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 xml:space="preserve">(RB)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 xml:space="preserve">(CG)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(CO</w:t>
      </w:r>
      <w:r w:rsidRPr="00D56FC8">
        <w:rPr>
          <w:color w:val="000000"/>
          <w:sz w:val="20"/>
          <w:szCs w:val="20"/>
          <w:vertAlign w:val="subscript"/>
          <w:lang w:val="en-US"/>
        </w:rPr>
        <w:t>2</w:t>
      </w:r>
      <w:r w:rsidRPr="00D56FC8">
        <w:rPr>
          <w:color w:val="000000"/>
          <w:sz w:val="20"/>
          <w:szCs w:val="20"/>
          <w:lang w:val="en-US"/>
        </w:rPr>
        <w:t xml:space="preserve">)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(SO</w:t>
      </w:r>
      <w:r w:rsidRPr="00D56FC8">
        <w:rPr>
          <w:color w:val="000000"/>
          <w:sz w:val="20"/>
          <w:szCs w:val="20"/>
          <w:vertAlign w:val="subscript"/>
          <w:lang w:val="en-US"/>
        </w:rPr>
        <w:t>x</w:t>
      </w:r>
      <w:r w:rsidRPr="00D56FC8">
        <w:rPr>
          <w:color w:val="000000"/>
          <w:sz w:val="20"/>
          <w:szCs w:val="20"/>
          <w:lang w:val="en-US"/>
        </w:rPr>
        <w:t xml:space="preserve">)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(H</w:t>
      </w:r>
      <w:r w:rsidRPr="00D56FC8">
        <w:rPr>
          <w:color w:val="000000"/>
          <w:sz w:val="20"/>
          <w:szCs w:val="20"/>
          <w:vertAlign w:val="subscript"/>
          <w:lang w:val="en-US"/>
        </w:rPr>
        <w:t>2</w:t>
      </w:r>
      <w:r w:rsidRPr="00D56FC8">
        <w:rPr>
          <w:color w:val="000000"/>
          <w:sz w:val="20"/>
          <w:szCs w:val="20"/>
          <w:lang w:val="en-US"/>
        </w:rPr>
        <w:t xml:space="preserve">O)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and </w:t>
      </w:r>
      <w:r w:rsidRPr="00D56FC8">
        <w:rPr>
          <w:i/>
          <w:iCs/>
          <w:color w:val="000000"/>
          <w:sz w:val="20"/>
          <w:szCs w:val="20"/>
          <w:lang w:val="en-US"/>
        </w:rPr>
        <w:t>G</w:t>
      </w:r>
      <w:r w:rsidRPr="00D56FC8">
        <w:rPr>
          <w:color w:val="000000"/>
          <w:sz w:val="20"/>
          <w:szCs w:val="20"/>
          <w:lang w:val="en-US"/>
        </w:rPr>
        <w:t>(NO</w:t>
      </w:r>
      <w:r w:rsidRPr="00D56FC8">
        <w:rPr>
          <w:color w:val="000000"/>
          <w:sz w:val="20"/>
          <w:szCs w:val="20"/>
          <w:vertAlign w:val="subscript"/>
          <w:lang w:val="en-US"/>
        </w:rPr>
        <w:t>x</w:t>
      </w:r>
      <w:r w:rsidRPr="00D56FC8">
        <w:rPr>
          <w:color w:val="000000"/>
          <w:sz w:val="20"/>
          <w:szCs w:val="20"/>
          <w:lang w:val="en-US"/>
        </w:rPr>
        <w:t xml:space="preserve">) = </w:t>
      </w:r>
      <w:r w:rsidRPr="00D56FC8">
        <w:rPr>
          <w:i/>
          <w:iCs/>
          <w:color w:val="000000"/>
          <w:sz w:val="20"/>
          <w:szCs w:val="20"/>
          <w:lang w:val="en-US"/>
        </w:rPr>
        <w:t>f</w:t>
      </w:r>
      <w:r w:rsidRPr="00D56FC8">
        <w:rPr>
          <w:color w:val="000000"/>
          <w:sz w:val="20"/>
          <w:szCs w:val="20"/>
          <w:lang w:val="en-US"/>
        </w:rPr>
        <w:t>(</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are hourly mass emissions of carbon monoxide, carbon dioxide, solid particles, unburned hydrocarbons, engine fuel vapors, crankcase gases, sulfur oxides, dihydrogen monoxide vapors, nitrogen oxides, respectively, kg/h; </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 RICE crankshaft rotation speed, rpm;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xml:space="preserve"> – RICE crankshaft torque, N·m; </w:t>
      </w:r>
      <w:r w:rsidRPr="00D56FC8">
        <w:rPr>
          <w:i/>
          <w:iCs/>
          <w:color w:val="000000"/>
          <w:sz w:val="20"/>
          <w:szCs w:val="20"/>
          <w:lang w:val="en-US"/>
        </w:rPr>
        <w:t>N</w:t>
      </w:r>
      <w:r w:rsidRPr="00D56FC8">
        <w:rPr>
          <w:color w:val="000000"/>
          <w:sz w:val="20"/>
          <w:szCs w:val="20"/>
          <w:lang w:val="en-US"/>
        </w:rPr>
        <w:t xml:space="preserve"> – indicator of EG opacity, %; </w:t>
      </w:r>
      <w:r w:rsidRPr="00D56FC8">
        <w:rPr>
          <w:i/>
          <w:iCs/>
          <w:color w:val="000000"/>
          <w:sz w:val="20"/>
          <w:szCs w:val="20"/>
          <w:lang w:val="en-US"/>
        </w:rPr>
        <w:t>C</w:t>
      </w:r>
      <w:r w:rsidRPr="00D56FC8">
        <w:rPr>
          <w:color w:val="000000"/>
          <w:sz w:val="20"/>
          <w:szCs w:val="20"/>
          <w:lang w:val="en-US"/>
        </w:rPr>
        <w:t>(C</w:t>
      </w:r>
      <w:r w:rsidRPr="00D56FC8">
        <w:rPr>
          <w:color w:val="000000"/>
          <w:sz w:val="20"/>
          <w:szCs w:val="20"/>
          <w:vertAlign w:val="subscript"/>
          <w:lang w:val="en-US"/>
        </w:rPr>
        <w:t>n</w:t>
      </w:r>
      <w:r w:rsidRPr="00D56FC8">
        <w:rPr>
          <w:color w:val="000000"/>
          <w:sz w:val="20"/>
          <w:szCs w:val="20"/>
          <w:lang w:val="en-US"/>
        </w:rPr>
        <w:t>H</w:t>
      </w:r>
      <w:r w:rsidRPr="00D56FC8">
        <w:rPr>
          <w:color w:val="000000"/>
          <w:sz w:val="20"/>
          <w:szCs w:val="20"/>
          <w:vertAlign w:val="subscript"/>
          <w:lang w:val="en-US"/>
        </w:rPr>
        <w:t>m</w:t>
      </w:r>
      <w:r w:rsidRPr="00D56FC8">
        <w:rPr>
          <w:color w:val="000000"/>
          <w:sz w:val="20"/>
          <w:szCs w:val="20"/>
          <w:lang w:val="en-US"/>
        </w:rPr>
        <w:t xml:space="preserve">) – concentration of unburned hydrocarbons in EG, ppm; </w:t>
      </w:r>
      <w:r w:rsidRPr="00D56FC8">
        <w:rPr>
          <w:i/>
          <w:iCs/>
          <w:color w:val="000000"/>
          <w:sz w:val="20"/>
          <w:szCs w:val="20"/>
          <w:lang w:val="en-US"/>
        </w:rPr>
        <w:t>G</w:t>
      </w:r>
      <w:r w:rsidRPr="00D56FC8">
        <w:rPr>
          <w:i/>
          <w:iCs/>
          <w:color w:val="000000"/>
          <w:sz w:val="20"/>
          <w:szCs w:val="20"/>
          <w:vertAlign w:val="subscript"/>
          <w:lang w:val="en-US"/>
        </w:rPr>
        <w:t>fuel</w:t>
      </w:r>
      <w:r w:rsidRPr="00D56FC8">
        <w:rPr>
          <w:color w:val="000000"/>
          <w:sz w:val="20"/>
          <w:szCs w:val="20"/>
          <w:lang w:val="en-US"/>
        </w:rPr>
        <w:t xml:space="preserve"> – mass hourly motor fuel consumption, kg/h; </w:t>
      </w:r>
      <w:r w:rsidRPr="00D56FC8">
        <w:rPr>
          <w:i/>
          <w:iCs/>
          <w:color w:val="000000"/>
          <w:sz w:val="20"/>
          <w:szCs w:val="20"/>
          <w:lang w:val="en-US"/>
        </w:rPr>
        <w:t>G</w:t>
      </w:r>
      <w:r w:rsidRPr="00D56FC8">
        <w:rPr>
          <w:i/>
          <w:iCs/>
          <w:color w:val="000000"/>
          <w:sz w:val="20"/>
          <w:szCs w:val="20"/>
          <w:vertAlign w:val="subscript"/>
          <w:lang w:val="en-US"/>
        </w:rPr>
        <w:t>air</w:t>
      </w:r>
      <w:r w:rsidRPr="00D56FC8">
        <w:rPr>
          <w:color w:val="000000"/>
          <w:sz w:val="20"/>
          <w:szCs w:val="20"/>
          <w:lang w:val="en-US"/>
        </w:rPr>
        <w:t xml:space="preserve"> – mass hourly air consumption, kg/h.</w:t>
      </w:r>
    </w:p>
    <w:p w:rsidR="00F775BC" w:rsidRPr="00D56FC8" w:rsidRDefault="00F775BC">
      <w:pPr>
        <w:widowControl w:val="0"/>
        <w:ind w:firstLine="283"/>
        <w:jc w:val="both"/>
        <w:rPr>
          <w:color w:val="000000"/>
          <w:sz w:val="20"/>
          <w:szCs w:val="20"/>
          <w:lang w:val="en-US"/>
        </w:rPr>
      </w:pPr>
      <w:r w:rsidRPr="00D56FC8">
        <w:rPr>
          <w:color w:val="000000"/>
          <w:sz w:val="20"/>
          <w:szCs w:val="20"/>
          <w:lang w:val="en-US"/>
        </w:rPr>
        <w:t xml:space="preserve">The distributions of mass hourly emissions values of carbonaceous substances and EG greenhouse gases from RICE taking into account </w:t>
      </w:r>
      <w:r w:rsidRPr="00D56FC8">
        <w:rPr>
          <w:i/>
          <w:iCs/>
          <w:color w:val="000000"/>
          <w:sz w:val="20"/>
          <w:szCs w:val="20"/>
          <w:lang w:val="en-US"/>
        </w:rPr>
        <w:t>G</w:t>
      </w:r>
      <w:r w:rsidRPr="00D56FC8">
        <w:rPr>
          <w:color w:val="000000"/>
          <w:sz w:val="20"/>
          <w:szCs w:val="20"/>
          <w:lang w:val="en-US"/>
        </w:rPr>
        <w:t xml:space="preserve">(CO), </w:t>
      </w:r>
      <w:r w:rsidRPr="00D56FC8">
        <w:rPr>
          <w:i/>
          <w:iCs/>
          <w:color w:val="000000"/>
          <w:sz w:val="20"/>
          <w:szCs w:val="20"/>
          <w:lang w:val="en-US"/>
        </w:rPr>
        <w:t>G</w:t>
      </w:r>
      <w:r w:rsidRPr="00D56FC8">
        <w:rPr>
          <w:color w:val="000000"/>
          <w:sz w:val="20"/>
          <w:szCs w:val="20"/>
          <w:lang w:val="en-US"/>
        </w:rPr>
        <w:t>(CO</w:t>
      </w:r>
      <w:r w:rsidRPr="00D56FC8">
        <w:rPr>
          <w:color w:val="000000"/>
          <w:sz w:val="20"/>
          <w:szCs w:val="20"/>
          <w:vertAlign w:val="subscript"/>
          <w:lang w:val="en-US"/>
        </w:rPr>
        <w:t>2</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 xml:space="preserve">(PM), </w:t>
      </w:r>
      <w:r w:rsidRPr="00D56FC8">
        <w:rPr>
          <w:i/>
          <w:iCs/>
          <w:color w:val="000000"/>
          <w:sz w:val="20"/>
          <w:szCs w:val="20"/>
          <w:lang w:val="en-US"/>
        </w:rPr>
        <w:t>G</w:t>
      </w:r>
      <w:r w:rsidRPr="00D56FC8">
        <w:rPr>
          <w:color w:val="000000"/>
          <w:sz w:val="20"/>
          <w:szCs w:val="20"/>
          <w:lang w:val="en-US"/>
        </w:rPr>
        <w:t>(C</w:t>
      </w:r>
      <w:r w:rsidRPr="00D56FC8">
        <w:rPr>
          <w:color w:val="000000"/>
          <w:sz w:val="20"/>
          <w:szCs w:val="20"/>
          <w:vertAlign w:val="subscript"/>
          <w:lang w:val="en-US"/>
        </w:rPr>
        <w:t>n</w:t>
      </w:r>
      <w:r w:rsidRPr="00D56FC8">
        <w:rPr>
          <w:color w:val="000000"/>
          <w:sz w:val="20"/>
          <w:szCs w:val="20"/>
          <w:lang w:val="en-US"/>
        </w:rPr>
        <w:t>H</w:t>
      </w:r>
      <w:r w:rsidRPr="00D56FC8">
        <w:rPr>
          <w:color w:val="000000"/>
          <w:sz w:val="20"/>
          <w:szCs w:val="20"/>
          <w:vertAlign w:val="subscript"/>
          <w:lang w:val="en-US"/>
        </w:rPr>
        <w:t>m</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 xml:space="preserve">(RB), </w:t>
      </w:r>
      <w:r w:rsidRPr="00D56FC8">
        <w:rPr>
          <w:i/>
          <w:iCs/>
          <w:color w:val="000000"/>
          <w:sz w:val="20"/>
          <w:szCs w:val="20"/>
          <w:lang w:val="en-US"/>
        </w:rPr>
        <w:t>G</w:t>
      </w:r>
      <w:r w:rsidRPr="00D56FC8">
        <w:rPr>
          <w:color w:val="000000"/>
          <w:sz w:val="20"/>
          <w:szCs w:val="20"/>
          <w:lang w:val="en-US"/>
        </w:rPr>
        <w:t xml:space="preserve">(CG), </w:t>
      </w:r>
      <w:r w:rsidRPr="00D56FC8">
        <w:rPr>
          <w:i/>
          <w:iCs/>
          <w:color w:val="000000"/>
          <w:sz w:val="20"/>
          <w:szCs w:val="20"/>
          <w:lang w:val="en-US"/>
        </w:rPr>
        <w:t>G</w:t>
      </w:r>
      <w:r w:rsidRPr="00D56FC8">
        <w:rPr>
          <w:color w:val="000000"/>
          <w:sz w:val="20"/>
          <w:szCs w:val="20"/>
          <w:lang w:val="en-US"/>
        </w:rPr>
        <w:t>(CO</w:t>
      </w:r>
      <w:r w:rsidRPr="00D56FC8">
        <w:rPr>
          <w:color w:val="000000"/>
          <w:sz w:val="20"/>
          <w:szCs w:val="20"/>
          <w:vertAlign w:val="subscript"/>
          <w:lang w:val="en-US"/>
        </w:rPr>
        <w:t>2</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(SO</w:t>
      </w:r>
      <w:r w:rsidRPr="00D56FC8">
        <w:rPr>
          <w:color w:val="000000"/>
          <w:sz w:val="20"/>
          <w:szCs w:val="20"/>
          <w:vertAlign w:val="subscript"/>
          <w:lang w:val="en-US"/>
        </w:rPr>
        <w:t>x</w:t>
      </w:r>
      <w:r w:rsidRPr="00D56FC8">
        <w:rPr>
          <w:color w:val="000000"/>
          <w:sz w:val="20"/>
          <w:szCs w:val="20"/>
          <w:lang w:val="en-US"/>
        </w:rPr>
        <w:t xml:space="preserve">), </w:t>
      </w:r>
      <w:r w:rsidRPr="00D56FC8">
        <w:rPr>
          <w:i/>
          <w:iCs/>
          <w:color w:val="000000"/>
          <w:sz w:val="20"/>
          <w:szCs w:val="20"/>
          <w:lang w:val="en-US"/>
        </w:rPr>
        <w:t>G</w:t>
      </w:r>
      <w:r w:rsidRPr="00D56FC8">
        <w:rPr>
          <w:color w:val="000000"/>
          <w:sz w:val="20"/>
          <w:szCs w:val="20"/>
          <w:lang w:val="en-US"/>
        </w:rPr>
        <w:t>(H</w:t>
      </w:r>
      <w:r w:rsidRPr="00D56FC8">
        <w:rPr>
          <w:color w:val="000000"/>
          <w:sz w:val="20"/>
          <w:szCs w:val="20"/>
          <w:vertAlign w:val="subscript"/>
          <w:lang w:val="en-US"/>
        </w:rPr>
        <w:t>2</w:t>
      </w:r>
      <w:r w:rsidRPr="00D56FC8">
        <w:rPr>
          <w:color w:val="000000"/>
          <w:sz w:val="20"/>
          <w:szCs w:val="20"/>
          <w:lang w:val="en-US"/>
        </w:rPr>
        <w:t xml:space="preserve">O) and </w:t>
      </w:r>
      <w:r w:rsidRPr="00D56FC8">
        <w:rPr>
          <w:i/>
          <w:iCs/>
          <w:color w:val="000000"/>
          <w:sz w:val="20"/>
          <w:szCs w:val="20"/>
          <w:lang w:val="en-US"/>
        </w:rPr>
        <w:t>G</w:t>
      </w:r>
      <w:r w:rsidRPr="00D56FC8">
        <w:rPr>
          <w:color w:val="000000"/>
          <w:sz w:val="20"/>
          <w:szCs w:val="20"/>
          <w:lang w:val="en-US"/>
        </w:rPr>
        <w:t>(NO</w:t>
      </w:r>
      <w:r w:rsidRPr="00D56FC8">
        <w:rPr>
          <w:color w:val="000000"/>
          <w:sz w:val="20"/>
          <w:szCs w:val="20"/>
          <w:vertAlign w:val="subscript"/>
          <w:lang w:val="en-US"/>
        </w:rPr>
        <w:t>x</w:t>
      </w:r>
      <w:r w:rsidRPr="00D56FC8">
        <w:rPr>
          <w:color w:val="000000"/>
          <w:sz w:val="20"/>
          <w:szCs w:val="20"/>
          <w:lang w:val="en-US"/>
        </w:rPr>
        <w:t>) in the field of operating regimes of RICE, i.e. in the coordinates (</w:t>
      </w:r>
      <w:r w:rsidRPr="00D56FC8">
        <w:rPr>
          <w:i/>
          <w:iCs/>
          <w:color w:val="000000"/>
          <w:sz w:val="20"/>
          <w:szCs w:val="20"/>
          <w:lang w:val="en-US"/>
        </w:rPr>
        <w:t>n</w:t>
      </w:r>
      <w:r w:rsidRPr="00D56FC8">
        <w:rPr>
          <w:i/>
          <w:iCs/>
          <w:color w:val="000000"/>
          <w:sz w:val="20"/>
          <w:szCs w:val="20"/>
          <w:vertAlign w:val="subscript"/>
          <w:lang w:val="en-US"/>
        </w:rPr>
        <w:t>cs</w:t>
      </w:r>
      <w:r w:rsidRPr="00D56FC8">
        <w:rPr>
          <w:color w:val="000000"/>
          <w:sz w:val="20"/>
          <w:szCs w:val="20"/>
          <w:lang w:val="en-US"/>
        </w:rPr>
        <w:t xml:space="preserve">, </w:t>
      </w:r>
      <w:r w:rsidRPr="00D56FC8">
        <w:rPr>
          <w:i/>
          <w:iCs/>
          <w:color w:val="000000"/>
          <w:sz w:val="20"/>
          <w:szCs w:val="20"/>
          <w:lang w:val="en-US"/>
        </w:rPr>
        <w:t>M</w:t>
      </w:r>
      <w:r w:rsidRPr="00D56FC8">
        <w:rPr>
          <w:i/>
          <w:iCs/>
          <w:color w:val="000000"/>
          <w:sz w:val="20"/>
          <w:szCs w:val="20"/>
          <w:vertAlign w:val="subscript"/>
          <w:lang w:val="en-US"/>
        </w:rPr>
        <w:t>T</w:t>
      </w:r>
      <w:r w:rsidRPr="00D56FC8">
        <w:rPr>
          <w:color w:val="000000"/>
          <w:sz w:val="20"/>
          <w:szCs w:val="20"/>
          <w:lang w:val="en-US"/>
        </w:rPr>
        <w:t>), have been defined based on the results of bench motor tests and the application of conversion formulas [34], as well as mathematical modeling, for example in a free open access software package Blitz-PRO [41].</w:t>
      </w:r>
    </w:p>
    <w:p w:rsidR="00F775BC" w:rsidRPr="00D56FC8" w:rsidRDefault="00F775BC">
      <w:pPr>
        <w:widowControl w:val="0"/>
        <w:ind w:firstLine="283"/>
        <w:jc w:val="both"/>
        <w:rPr>
          <w:color w:val="000000"/>
          <w:sz w:val="20"/>
          <w:szCs w:val="20"/>
          <w:lang w:val="en-US"/>
        </w:rPr>
      </w:pPr>
      <w:r w:rsidRPr="00D56FC8">
        <w:rPr>
          <w:color w:val="000000"/>
          <w:sz w:val="20"/>
          <w:szCs w:val="20"/>
          <w:lang w:val="en-US"/>
        </w:rPr>
        <w:t xml:space="preserve">In the suggested approach, the only values which remain undetermined are weighting factors </w:t>
      </w:r>
      <w:r w:rsidRPr="00D56FC8">
        <w:rPr>
          <w:i/>
          <w:iCs/>
          <w:color w:val="000000"/>
          <w:sz w:val="20"/>
          <w:szCs w:val="20"/>
          <w:lang w:val="en-US"/>
        </w:rPr>
        <w:t>B</w:t>
      </w:r>
      <w:r w:rsidRPr="00D56FC8">
        <w:rPr>
          <w:i/>
          <w:iCs/>
          <w:color w:val="000000"/>
          <w:sz w:val="20"/>
          <w:szCs w:val="20"/>
          <w:vertAlign w:val="subscript"/>
          <w:lang w:val="en-US"/>
        </w:rPr>
        <w:t>D</w:t>
      </w:r>
      <w:r w:rsidRPr="00D56FC8">
        <w:rPr>
          <w:color w:val="000000"/>
          <w:sz w:val="20"/>
          <w:szCs w:val="20"/>
          <w:lang w:val="en-US"/>
        </w:rPr>
        <w:t xml:space="preserve">, </w:t>
      </w:r>
      <w:r w:rsidRPr="00D56FC8">
        <w:rPr>
          <w:i/>
          <w:iCs/>
          <w:color w:val="000000"/>
          <w:sz w:val="20"/>
          <w:szCs w:val="20"/>
          <w:lang w:val="en-US"/>
        </w:rPr>
        <w:t>B</w:t>
      </w:r>
      <w:r w:rsidRPr="00D56FC8">
        <w:rPr>
          <w:i/>
          <w:iCs/>
          <w:color w:val="000000"/>
          <w:sz w:val="20"/>
          <w:szCs w:val="20"/>
          <w:vertAlign w:val="subscript"/>
          <w:lang w:val="en-US"/>
        </w:rPr>
        <w:t>EG</w:t>
      </w:r>
      <w:r w:rsidRPr="00D56FC8">
        <w:rPr>
          <w:color w:val="000000"/>
          <w:sz w:val="20"/>
          <w:szCs w:val="20"/>
          <w:lang w:val="en-US"/>
        </w:rPr>
        <w:t xml:space="preserve">, </w:t>
      </w:r>
      <w:r w:rsidRPr="00D56FC8">
        <w:rPr>
          <w:i/>
          <w:iCs/>
          <w:color w:val="000000"/>
          <w:sz w:val="20"/>
          <w:szCs w:val="20"/>
          <w:lang w:val="en-US"/>
        </w:rPr>
        <w:t>B</w:t>
      </w:r>
      <w:r w:rsidRPr="00D56FC8">
        <w:rPr>
          <w:i/>
          <w:iCs/>
          <w:color w:val="000000"/>
          <w:sz w:val="20"/>
          <w:szCs w:val="20"/>
          <w:vertAlign w:val="subscript"/>
          <w:lang w:val="en-US"/>
        </w:rPr>
        <w:t>UV</w:t>
      </w:r>
      <w:r w:rsidRPr="00D56FC8">
        <w:rPr>
          <w:color w:val="000000"/>
          <w:sz w:val="20"/>
          <w:szCs w:val="20"/>
          <w:lang w:val="en-US"/>
        </w:rPr>
        <w:t xml:space="preserve"> and </w:t>
      </w:r>
      <w:r w:rsidRPr="00D56FC8">
        <w:rPr>
          <w:i/>
          <w:iCs/>
          <w:color w:val="000000"/>
          <w:sz w:val="20"/>
          <w:szCs w:val="20"/>
          <w:lang w:val="en-US"/>
        </w:rPr>
        <w:t>B</w:t>
      </w:r>
      <w:r w:rsidRPr="00D56FC8">
        <w:rPr>
          <w:i/>
          <w:iCs/>
          <w:color w:val="000000"/>
          <w:sz w:val="20"/>
          <w:szCs w:val="20"/>
          <w:vertAlign w:val="subscript"/>
          <w:lang w:val="en-US"/>
        </w:rPr>
        <w:t>GH</w:t>
      </w:r>
      <w:r w:rsidRPr="00D56FC8">
        <w:rPr>
          <w:color w:val="000000"/>
          <w:sz w:val="20"/>
          <w:szCs w:val="20"/>
          <w:lang w:val="en-US"/>
        </w:rPr>
        <w:t xml:space="preserve"> of the components of thermal pollution criterion of RICE </w:t>
      </w:r>
      <w:r w:rsidRPr="00D56FC8">
        <w:rPr>
          <w:i/>
          <w:iCs/>
          <w:color w:val="000000"/>
          <w:sz w:val="20"/>
          <w:szCs w:val="20"/>
          <w:lang w:val="en-US"/>
        </w:rPr>
        <w:t>K</w:t>
      </w:r>
      <w:r w:rsidRPr="00D56FC8">
        <w:rPr>
          <w:i/>
          <w:iCs/>
          <w:color w:val="000000"/>
          <w:sz w:val="20"/>
          <w:szCs w:val="20"/>
          <w:vertAlign w:val="subscript"/>
          <w:lang w:val="en-US"/>
        </w:rPr>
        <w:t>D</w:t>
      </w:r>
      <w:r w:rsidRPr="00D56FC8">
        <w:rPr>
          <w:color w:val="000000"/>
          <w:sz w:val="20"/>
          <w:szCs w:val="20"/>
          <w:lang w:val="en-US"/>
        </w:rPr>
        <w:t xml:space="preserve">, criterion of emission of EG carbonaceous fractions </w:t>
      </w:r>
      <w:r w:rsidRPr="00D56FC8">
        <w:rPr>
          <w:i/>
          <w:iCs/>
          <w:color w:val="000000"/>
          <w:sz w:val="20"/>
          <w:szCs w:val="20"/>
          <w:lang w:val="en-US"/>
        </w:rPr>
        <w:t>K</w:t>
      </w:r>
      <w:r w:rsidRPr="00D56FC8">
        <w:rPr>
          <w:i/>
          <w:iCs/>
          <w:color w:val="000000"/>
          <w:sz w:val="20"/>
          <w:szCs w:val="20"/>
          <w:vertAlign w:val="subscript"/>
          <w:lang w:val="en-US"/>
        </w:rPr>
        <w:t>EG</w:t>
      </w:r>
      <w:r w:rsidRPr="00D56FC8">
        <w:rPr>
          <w:color w:val="000000"/>
          <w:sz w:val="20"/>
          <w:szCs w:val="20"/>
          <w:lang w:val="en-US"/>
        </w:rPr>
        <w:t xml:space="preserve">, criterion of emission of other carbonaceous gases </w:t>
      </w:r>
      <w:r w:rsidRPr="00D56FC8">
        <w:rPr>
          <w:i/>
          <w:iCs/>
          <w:color w:val="000000"/>
          <w:sz w:val="20"/>
          <w:szCs w:val="20"/>
          <w:lang w:val="en-US"/>
        </w:rPr>
        <w:t>K</w:t>
      </w:r>
      <w:r w:rsidRPr="00D56FC8">
        <w:rPr>
          <w:i/>
          <w:iCs/>
          <w:color w:val="000000"/>
          <w:sz w:val="20"/>
          <w:szCs w:val="20"/>
          <w:vertAlign w:val="subscript"/>
          <w:lang w:val="en-US"/>
        </w:rPr>
        <w:t>UV</w:t>
      </w:r>
      <w:r w:rsidRPr="00D56FC8">
        <w:rPr>
          <w:color w:val="000000"/>
          <w:sz w:val="20"/>
          <w:szCs w:val="20"/>
          <w:lang w:val="en-US"/>
        </w:rPr>
        <w:t xml:space="preserve">, and criterion of emission of EG greenhouse gases </w:t>
      </w:r>
      <w:r w:rsidRPr="00D56FC8">
        <w:rPr>
          <w:i/>
          <w:iCs/>
          <w:color w:val="000000"/>
          <w:sz w:val="20"/>
          <w:szCs w:val="20"/>
          <w:lang w:val="en-US"/>
        </w:rPr>
        <w:t>K</w:t>
      </w:r>
      <w:r w:rsidRPr="00D56FC8">
        <w:rPr>
          <w:i/>
          <w:iCs/>
          <w:color w:val="000000"/>
          <w:sz w:val="20"/>
          <w:szCs w:val="20"/>
          <w:vertAlign w:val="subscript"/>
          <w:lang w:val="en-US"/>
        </w:rPr>
        <w:t>GH</w:t>
      </w:r>
      <w:r w:rsidRPr="00D56FC8">
        <w:rPr>
          <w:color w:val="000000"/>
          <w:sz w:val="20"/>
          <w:szCs w:val="20"/>
          <w:lang w:val="en-US"/>
        </w:rPr>
        <w:t xml:space="preserve">. </w:t>
      </w:r>
    </w:p>
    <w:p w:rsidR="00F775BC" w:rsidRPr="00D56FC8" w:rsidRDefault="00F775BC">
      <w:pPr>
        <w:widowControl w:val="0"/>
        <w:ind w:firstLine="283"/>
        <w:jc w:val="both"/>
        <w:rPr>
          <w:color w:val="000000"/>
          <w:sz w:val="20"/>
          <w:szCs w:val="20"/>
          <w:lang w:val="en-US"/>
        </w:rPr>
      </w:pPr>
      <w:r w:rsidRPr="00D56FC8">
        <w:rPr>
          <w:color w:val="000000"/>
          <w:sz w:val="20"/>
          <w:szCs w:val="20"/>
          <w:lang w:val="en-US"/>
        </w:rPr>
        <w:t>Therefore, this study proposes a formula (17) to establish the physical significance and interpretation of the weighting factor</w:t>
      </w:r>
      <w:r w:rsidRPr="00D56FC8">
        <w:rPr>
          <w:i/>
          <w:iCs/>
          <w:color w:val="000000"/>
          <w:sz w:val="20"/>
          <w:szCs w:val="20"/>
          <w:lang w:val="en-US"/>
        </w:rPr>
        <w:t xml:space="preserve"> B</w:t>
      </w:r>
      <w:r w:rsidRPr="00D56FC8">
        <w:rPr>
          <w:i/>
          <w:iCs/>
          <w:color w:val="000000"/>
          <w:sz w:val="20"/>
          <w:szCs w:val="20"/>
          <w:vertAlign w:val="subscript"/>
          <w:lang w:val="en-US"/>
        </w:rPr>
        <w:t>D</w:t>
      </w:r>
      <w:r w:rsidRPr="00D56FC8">
        <w:rPr>
          <w:color w:val="000000"/>
          <w:sz w:val="20"/>
          <w:szCs w:val="20"/>
          <w:lang w:val="en-US"/>
        </w:rPr>
        <w:t xml:space="preserve"> of the criterion of thermal pollution criterion of RICE </w:t>
      </w:r>
      <w:r w:rsidRPr="00D56FC8">
        <w:rPr>
          <w:i/>
          <w:iCs/>
          <w:color w:val="000000"/>
          <w:sz w:val="20"/>
          <w:szCs w:val="20"/>
          <w:lang w:val="en-US"/>
        </w:rPr>
        <w:t>K</w:t>
      </w:r>
      <w:r w:rsidRPr="00D56FC8">
        <w:rPr>
          <w:i/>
          <w:iCs/>
          <w:color w:val="000000"/>
          <w:sz w:val="20"/>
          <w:szCs w:val="20"/>
          <w:vertAlign w:val="subscript"/>
          <w:lang w:val="en-US"/>
        </w:rPr>
        <w:t>D</w:t>
      </w:r>
      <w:r w:rsidRPr="00D56FC8">
        <w:rPr>
          <w:color w:val="000000"/>
          <w:sz w:val="20"/>
          <w:szCs w:val="20"/>
          <w:lang w:val="en-US"/>
        </w:rPr>
        <w:t xml:space="preserve"> offered to use the values of weighting factors (dimensionless quantities) of thermal energy emissions from RICE </w:t>
      </w:r>
      <w:r w:rsidRPr="00D56FC8">
        <w:rPr>
          <w:i/>
          <w:iCs/>
          <w:color w:val="000000"/>
          <w:sz w:val="20"/>
          <w:szCs w:val="20"/>
          <w:lang w:val="en-US"/>
        </w:rPr>
        <w:t>A</w:t>
      </w:r>
      <w:r w:rsidRPr="00D56FC8">
        <w:rPr>
          <w:color w:val="000000"/>
          <w:sz w:val="20"/>
          <w:szCs w:val="20"/>
          <w:lang w:val="en-US"/>
        </w:rPr>
        <w:t>(Q) = 28.8 (dimensionless quantity) [34].</w:t>
      </w:r>
    </w:p>
    <w:p w:rsidR="00F775BC" w:rsidRPr="00D56FC8" w:rsidRDefault="00F775BC">
      <w:pPr>
        <w:widowControl w:val="0"/>
        <w:jc w:val="both"/>
        <w:rPr>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12"/>
          <w:sz w:val="20"/>
          <w:szCs w:val="20"/>
          <w:lang w:val="en-US"/>
        </w:rPr>
        <w:object w:dxaOrig="978" w:dyaOrig="339">
          <v:shape id="Object 40" o:spid="_x0000_i1043" type="#_x0000_t75" style="width:49.45pt;height:17.2pt;mso-position-horizontal-relative:page;mso-position-vertical-relative:page" o:ole="">
            <v:fill o:detectmouseclick="t"/>
            <v:imagedata r:id="rId63" o:title=""/>
          </v:shape>
          <o:OLEObject Type="Embed" ProgID="Equation.DSMT4" ShapeID="Object 40" DrawAspect="Content" ObjectID="_1829805965" r:id="rId64"/>
        </w:object>
      </w:r>
      <w:r w:rsidRPr="00D56FC8">
        <w:rPr>
          <w:color w:val="000000"/>
          <w:sz w:val="20"/>
          <w:lang w:val="en-US"/>
        </w:rPr>
        <w:tab/>
        <w:t>(17)</w:t>
      </w:r>
    </w:p>
    <w:p w:rsidR="00F775BC" w:rsidRPr="00D56FC8" w:rsidRDefault="00F775BC">
      <w:pPr>
        <w:widowControl w:val="0"/>
        <w:jc w:val="both"/>
        <w:rPr>
          <w:color w:val="000000"/>
          <w:sz w:val="20"/>
          <w:szCs w:val="20"/>
          <w:lang w:val="en-US"/>
        </w:rPr>
      </w:pPr>
    </w:p>
    <w:p w:rsidR="00F775BC" w:rsidRPr="00D56FC8" w:rsidRDefault="00F775BC">
      <w:pPr>
        <w:widowControl w:val="0"/>
        <w:ind w:firstLine="283"/>
        <w:jc w:val="both"/>
        <w:rPr>
          <w:i/>
          <w:iCs/>
          <w:color w:val="000000"/>
          <w:sz w:val="20"/>
          <w:szCs w:val="20"/>
          <w:lang w:val="en-US"/>
        </w:rPr>
      </w:pPr>
      <w:r w:rsidRPr="00D56FC8">
        <w:rPr>
          <w:color w:val="000000"/>
          <w:sz w:val="20"/>
          <w:szCs w:val="20"/>
          <w:lang w:val="en-US"/>
        </w:rPr>
        <w:t xml:space="preserve">This study also suggests a formula (18) for the moment of time </w:t>
      </w:r>
      <w:r w:rsidRPr="00D56FC8">
        <w:rPr>
          <w:i/>
          <w:iCs/>
          <w:color w:val="000000"/>
          <w:sz w:val="20"/>
          <w:szCs w:val="20"/>
          <w:lang w:val="en-US"/>
        </w:rPr>
        <w:t>t</w:t>
      </w:r>
      <w:r w:rsidRPr="00D56FC8">
        <w:rPr>
          <w:color w:val="000000"/>
          <w:sz w:val="20"/>
          <w:szCs w:val="20"/>
          <w:lang w:val="en-US"/>
        </w:rPr>
        <w:t xml:space="preserve"> to determine the physical significance and interpretation of weighting factor </w:t>
      </w:r>
      <w:r w:rsidRPr="00D56FC8">
        <w:rPr>
          <w:i/>
          <w:iCs/>
          <w:color w:val="000000"/>
          <w:sz w:val="20"/>
          <w:szCs w:val="20"/>
          <w:lang w:val="en-US"/>
        </w:rPr>
        <w:t>B</w:t>
      </w:r>
      <w:r w:rsidRPr="00D56FC8">
        <w:rPr>
          <w:i/>
          <w:iCs/>
          <w:color w:val="000000"/>
          <w:sz w:val="20"/>
          <w:szCs w:val="20"/>
          <w:vertAlign w:val="subscript"/>
          <w:lang w:val="en-US"/>
        </w:rPr>
        <w:t>EG</w:t>
      </w:r>
      <w:r w:rsidRPr="00D56FC8">
        <w:rPr>
          <w:color w:val="000000"/>
          <w:sz w:val="20"/>
          <w:szCs w:val="20"/>
          <w:lang w:val="en-US"/>
        </w:rPr>
        <w:t xml:space="preserve"> of the emission criterion of EG carbonaceous fractions of RICE </w:t>
      </w:r>
      <w:r w:rsidRPr="00D56FC8">
        <w:rPr>
          <w:i/>
          <w:iCs/>
          <w:color w:val="000000"/>
          <w:sz w:val="20"/>
          <w:szCs w:val="20"/>
          <w:lang w:val="en-US"/>
        </w:rPr>
        <w:t>K</w:t>
      </w:r>
      <w:r w:rsidRPr="00D56FC8">
        <w:rPr>
          <w:i/>
          <w:iCs/>
          <w:color w:val="000000"/>
          <w:sz w:val="20"/>
          <w:szCs w:val="20"/>
          <w:vertAlign w:val="subscript"/>
          <w:lang w:val="en-US"/>
        </w:rPr>
        <w:t>EG</w:t>
      </w:r>
      <w:r w:rsidRPr="00D56FC8">
        <w:rPr>
          <w:color w:val="000000"/>
          <w:sz w:val="20"/>
          <w:szCs w:val="20"/>
          <w:lang w:val="en-US"/>
        </w:rPr>
        <w:t xml:space="preserve"> using the value of the coefficient β</w:t>
      </w:r>
      <w:r w:rsidRPr="00D56FC8">
        <w:rPr>
          <w:i/>
          <w:iCs/>
          <w:color w:val="000000"/>
          <w:sz w:val="20"/>
          <w:szCs w:val="20"/>
          <w:vertAlign w:val="subscript"/>
          <w:lang w:val="en-US"/>
        </w:rPr>
        <w:t>EG</w:t>
      </w:r>
      <w:r w:rsidRPr="00D56FC8">
        <w:rPr>
          <w:color w:val="000000"/>
          <w:sz w:val="20"/>
          <w:szCs w:val="20"/>
          <w:lang w:val="en-US"/>
        </w:rPr>
        <w:t xml:space="preserve"> (dimensionless quantity) according to formula (3). It is determined by the values of monetary equivalents </w:t>
      </w:r>
      <w:r w:rsidRPr="00D56FC8">
        <w:rPr>
          <w:i/>
          <w:iCs/>
          <w:color w:val="000000"/>
          <w:sz w:val="20"/>
          <w:szCs w:val="20"/>
          <w:lang w:val="en-US"/>
        </w:rPr>
        <w:t>Z</w:t>
      </w:r>
      <w:r w:rsidRPr="00D56FC8">
        <w:rPr>
          <w:i/>
          <w:iCs/>
          <w:color w:val="000000"/>
          <w:sz w:val="20"/>
          <w:szCs w:val="20"/>
          <w:vertAlign w:val="subscript"/>
          <w:lang w:val="en-US"/>
        </w:rPr>
        <w:t>f</w:t>
      </w:r>
      <w:r w:rsidRPr="00D56FC8">
        <w:rPr>
          <w:color w:val="000000"/>
          <w:sz w:val="20"/>
          <w:szCs w:val="20"/>
          <w:lang w:val="en-US"/>
        </w:rPr>
        <w:t xml:space="preserve"> and </w:t>
      </w:r>
      <w:r w:rsidRPr="00D56FC8">
        <w:rPr>
          <w:i/>
          <w:iCs/>
          <w:color w:val="000000"/>
          <w:sz w:val="20"/>
          <w:szCs w:val="20"/>
          <w:lang w:val="en-US"/>
        </w:rPr>
        <w:t>Z</w:t>
      </w:r>
      <w:r w:rsidRPr="00D56FC8">
        <w:rPr>
          <w:i/>
          <w:iCs/>
          <w:color w:val="000000"/>
          <w:sz w:val="20"/>
          <w:szCs w:val="20"/>
          <w:vertAlign w:val="subscript"/>
          <w:lang w:val="en-US"/>
        </w:rPr>
        <w:t>e</w:t>
      </w:r>
      <w:r w:rsidRPr="00D56FC8">
        <w:rPr>
          <w:color w:val="000000"/>
          <w:sz w:val="20"/>
          <w:szCs w:val="20"/>
          <w:lang w:val="en-US"/>
        </w:rPr>
        <w:t xml:space="preserve"> as components of a complex fuel-ecological criterion </w:t>
      </w:r>
      <w:r w:rsidRPr="00D56FC8">
        <w:rPr>
          <w:i/>
          <w:iCs/>
          <w:color w:val="000000"/>
          <w:sz w:val="20"/>
          <w:szCs w:val="20"/>
          <w:lang w:val="en-US"/>
        </w:rPr>
        <w:t>K</w:t>
      </w:r>
      <w:r w:rsidRPr="00D56FC8">
        <w:rPr>
          <w:i/>
          <w:iCs/>
          <w:color w:val="000000"/>
          <w:sz w:val="20"/>
          <w:szCs w:val="20"/>
          <w:vertAlign w:val="subscript"/>
          <w:lang w:val="en-US"/>
        </w:rPr>
        <w:t>fe</w:t>
      </w:r>
      <w:r w:rsidRPr="00D56FC8">
        <w:rPr>
          <w:color w:val="000000"/>
          <w:sz w:val="20"/>
          <w:szCs w:val="20"/>
          <w:lang w:val="en-US"/>
        </w:rPr>
        <w:t xml:space="preserve">, described by the formulas (6) and (7), with the consideration of the value of </w:t>
      </w:r>
      <w:r w:rsidRPr="00D56FC8">
        <w:rPr>
          <w:i/>
          <w:iCs/>
          <w:color w:val="000000"/>
          <w:sz w:val="20"/>
          <w:szCs w:val="20"/>
          <w:lang w:val="en-US"/>
        </w:rPr>
        <w:t>Z</w:t>
      </w:r>
      <w:r w:rsidRPr="00D56FC8">
        <w:rPr>
          <w:i/>
          <w:iCs/>
          <w:color w:val="000000"/>
          <w:sz w:val="20"/>
          <w:szCs w:val="20"/>
          <w:vertAlign w:val="subscript"/>
          <w:lang w:val="en-US"/>
        </w:rPr>
        <w:t>e</w:t>
      </w:r>
      <w:r w:rsidRPr="00D56FC8">
        <w:rPr>
          <w:color w:val="000000"/>
          <w:sz w:val="20"/>
          <w:szCs w:val="20"/>
          <w:lang w:val="en-US"/>
        </w:rPr>
        <w:t xml:space="preserve"> of emissions and weighting factors only of legally regulated carbonaceous pollutants in the composition of EG and carbon dioxide (i.e. without considering emissions and the weighting factor of nitrogen oxides), namely: CO,</w:t>
      </w:r>
      <w:r w:rsidRPr="00D56FC8">
        <w:rPr>
          <w:i/>
          <w:iCs/>
          <w:color w:val="000000"/>
          <w:sz w:val="20"/>
          <w:szCs w:val="20"/>
          <w:lang w:val="en-US"/>
        </w:rPr>
        <w:t xml:space="preserve"> </w:t>
      </w:r>
      <w:r w:rsidRPr="00D56FC8">
        <w:rPr>
          <w:color w:val="000000"/>
          <w:sz w:val="20"/>
          <w:szCs w:val="20"/>
          <w:lang w:val="en-US"/>
        </w:rPr>
        <w:t>CO</w:t>
      </w:r>
      <w:r w:rsidRPr="00D56FC8">
        <w:rPr>
          <w:color w:val="000000"/>
          <w:sz w:val="20"/>
          <w:szCs w:val="20"/>
          <w:vertAlign w:val="subscript"/>
          <w:lang w:val="en-US"/>
        </w:rPr>
        <w:t>2</w:t>
      </w:r>
      <w:r w:rsidRPr="00D56FC8">
        <w:rPr>
          <w:i/>
          <w:iCs/>
          <w:color w:val="000000"/>
          <w:sz w:val="20"/>
          <w:szCs w:val="20"/>
          <w:lang w:val="en-US"/>
        </w:rPr>
        <w:t xml:space="preserve">, </w:t>
      </w:r>
      <w:r w:rsidRPr="00D56FC8">
        <w:rPr>
          <w:color w:val="000000"/>
          <w:sz w:val="20"/>
          <w:szCs w:val="20"/>
          <w:lang w:val="en-US"/>
        </w:rPr>
        <w:t>PM, C</w:t>
      </w:r>
      <w:r w:rsidRPr="00D56FC8">
        <w:rPr>
          <w:color w:val="000000"/>
          <w:sz w:val="20"/>
          <w:szCs w:val="20"/>
          <w:vertAlign w:val="subscript"/>
          <w:lang w:val="en-US"/>
        </w:rPr>
        <w:t>n</w:t>
      </w:r>
      <w:r w:rsidRPr="00D56FC8">
        <w:rPr>
          <w:color w:val="000000"/>
          <w:sz w:val="20"/>
          <w:szCs w:val="20"/>
          <w:lang w:val="en-US"/>
        </w:rPr>
        <w:t>H</w:t>
      </w:r>
      <w:r w:rsidRPr="00D56FC8">
        <w:rPr>
          <w:color w:val="000000"/>
          <w:sz w:val="20"/>
          <w:szCs w:val="20"/>
          <w:vertAlign w:val="subscript"/>
          <w:lang w:val="en-US"/>
        </w:rPr>
        <w:t>m</w:t>
      </w:r>
      <w:r w:rsidRPr="00D56FC8">
        <w:rPr>
          <w:i/>
          <w:iCs/>
          <w:color w:val="000000"/>
          <w:sz w:val="20"/>
          <w:szCs w:val="20"/>
          <w:lang w:val="en-US"/>
        </w:rPr>
        <w:t>.</w:t>
      </w:r>
    </w:p>
    <w:p w:rsidR="00F775BC" w:rsidRPr="00D56FC8" w:rsidRDefault="00F775BC">
      <w:pPr>
        <w:widowControl w:val="0"/>
        <w:jc w:val="both"/>
        <w:rPr>
          <w:i/>
          <w:iCs/>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32"/>
          <w:sz w:val="20"/>
          <w:szCs w:val="20"/>
          <w:lang w:val="en-US"/>
        </w:rPr>
        <w:object w:dxaOrig="7900" w:dyaOrig="720">
          <v:shape id="Object 41" o:spid="_x0000_i1044" type="#_x0000_t75" style="width:395.45pt;height:36.55pt;mso-position-horizontal-relative:page;mso-position-vertical-relative:page" o:ole="">
            <v:fill o:detectmouseclick="t"/>
            <v:imagedata r:id="rId65" o:title=""/>
          </v:shape>
          <o:OLEObject Type="Embed" ProgID="Equation.DSMT4" ShapeID="Object 41" DrawAspect="Content" ObjectID="_1829805966" r:id="rId66"/>
        </w:object>
      </w:r>
      <w:r w:rsidRPr="00D56FC8">
        <w:rPr>
          <w:color w:val="000000"/>
          <w:sz w:val="20"/>
          <w:lang w:val="en-US"/>
        </w:rPr>
        <w:tab/>
        <w:t>(18)</w:t>
      </w:r>
    </w:p>
    <w:p w:rsidR="00F775BC" w:rsidRPr="00D56FC8" w:rsidRDefault="00F775BC">
      <w:pPr>
        <w:widowControl w:val="0"/>
        <w:jc w:val="both"/>
        <w:rPr>
          <w:color w:val="000000"/>
          <w:sz w:val="20"/>
          <w:szCs w:val="20"/>
          <w:lang w:val="en-US"/>
        </w:rPr>
      </w:pPr>
    </w:p>
    <w:p w:rsidR="00F775BC" w:rsidRPr="00D56FC8" w:rsidRDefault="00F775BC">
      <w:pPr>
        <w:widowControl w:val="0"/>
        <w:ind w:firstLine="283"/>
        <w:jc w:val="both"/>
        <w:rPr>
          <w:i/>
          <w:iCs/>
          <w:color w:val="000000"/>
          <w:sz w:val="20"/>
          <w:szCs w:val="20"/>
          <w:lang w:val="en-US"/>
        </w:rPr>
      </w:pPr>
      <w:r w:rsidRPr="00D56FC8">
        <w:rPr>
          <w:color w:val="000000"/>
          <w:sz w:val="20"/>
          <w:szCs w:val="20"/>
          <w:lang w:val="en-US"/>
        </w:rPr>
        <w:t xml:space="preserve">This study proposes a formula (19) for the moment of time </w:t>
      </w:r>
      <w:r w:rsidRPr="00D56FC8">
        <w:rPr>
          <w:i/>
          <w:iCs/>
          <w:color w:val="000000"/>
          <w:sz w:val="20"/>
          <w:szCs w:val="20"/>
          <w:lang w:val="en-US"/>
        </w:rPr>
        <w:t>t</w:t>
      </w:r>
      <w:r w:rsidRPr="00D56FC8">
        <w:rPr>
          <w:color w:val="000000"/>
          <w:sz w:val="20"/>
          <w:szCs w:val="20"/>
          <w:lang w:val="en-US"/>
        </w:rPr>
        <w:t xml:space="preserve"> to determine the physical content and meaning of weighting factor </w:t>
      </w:r>
      <w:r w:rsidRPr="00D56FC8">
        <w:rPr>
          <w:i/>
          <w:iCs/>
          <w:color w:val="000000"/>
          <w:sz w:val="20"/>
          <w:szCs w:val="20"/>
          <w:lang w:val="en-US"/>
        </w:rPr>
        <w:t>B</w:t>
      </w:r>
      <w:r w:rsidRPr="00D56FC8">
        <w:rPr>
          <w:i/>
          <w:iCs/>
          <w:color w:val="000000"/>
          <w:sz w:val="20"/>
          <w:szCs w:val="20"/>
          <w:vertAlign w:val="subscript"/>
          <w:lang w:val="en-US"/>
        </w:rPr>
        <w:t>UV</w:t>
      </w:r>
      <w:r w:rsidRPr="00D56FC8">
        <w:rPr>
          <w:color w:val="000000"/>
          <w:sz w:val="20"/>
          <w:szCs w:val="20"/>
          <w:lang w:val="en-US"/>
        </w:rPr>
        <w:t xml:space="preserve"> of the o emission criterion of EG carbonaceous fractions of RICE </w:t>
      </w:r>
      <w:r w:rsidRPr="00D56FC8">
        <w:rPr>
          <w:i/>
          <w:iCs/>
          <w:color w:val="000000"/>
          <w:sz w:val="20"/>
          <w:szCs w:val="20"/>
          <w:lang w:val="en-US"/>
        </w:rPr>
        <w:t>K</w:t>
      </w:r>
      <w:r w:rsidRPr="00D56FC8">
        <w:rPr>
          <w:i/>
          <w:iCs/>
          <w:color w:val="000000"/>
          <w:sz w:val="20"/>
          <w:szCs w:val="20"/>
          <w:vertAlign w:val="subscript"/>
          <w:lang w:val="en-US"/>
        </w:rPr>
        <w:t>UV</w:t>
      </w:r>
      <w:r w:rsidRPr="00D56FC8">
        <w:rPr>
          <w:color w:val="000000"/>
          <w:sz w:val="20"/>
          <w:szCs w:val="20"/>
          <w:lang w:val="en-US"/>
        </w:rPr>
        <w:t xml:space="preserve"> offered using the value of the coefficient β</w:t>
      </w:r>
      <w:r w:rsidRPr="00D56FC8">
        <w:rPr>
          <w:i/>
          <w:iCs/>
          <w:color w:val="000000"/>
          <w:sz w:val="20"/>
          <w:szCs w:val="20"/>
          <w:vertAlign w:val="subscript"/>
          <w:lang w:val="en-US"/>
        </w:rPr>
        <w:t>UV</w:t>
      </w:r>
      <w:r w:rsidRPr="00D56FC8">
        <w:rPr>
          <w:color w:val="000000"/>
          <w:sz w:val="20"/>
          <w:szCs w:val="20"/>
          <w:lang w:val="en-US"/>
        </w:rPr>
        <w:t xml:space="preserve"> (dimensionless quantity) according to formula (3) considering the value of </w:t>
      </w:r>
      <w:r w:rsidRPr="00D56FC8">
        <w:rPr>
          <w:i/>
          <w:iCs/>
          <w:color w:val="000000"/>
          <w:sz w:val="20"/>
          <w:szCs w:val="20"/>
          <w:lang w:val="en-US"/>
        </w:rPr>
        <w:t>Z</w:t>
      </w:r>
      <w:r w:rsidRPr="00D56FC8">
        <w:rPr>
          <w:i/>
          <w:iCs/>
          <w:color w:val="000000"/>
          <w:sz w:val="20"/>
          <w:szCs w:val="20"/>
          <w:vertAlign w:val="subscript"/>
          <w:lang w:val="en-US"/>
        </w:rPr>
        <w:t>e</w:t>
      </w:r>
      <w:r w:rsidRPr="00D56FC8">
        <w:rPr>
          <w:color w:val="000000"/>
          <w:sz w:val="20"/>
          <w:szCs w:val="20"/>
          <w:lang w:val="en-US"/>
        </w:rPr>
        <w:t xml:space="preserve"> of emissions and weighting factors of other carbonaceous gases (crankcase and motor fuel vapors) and sulfur oxides SO</w:t>
      </w:r>
      <w:r w:rsidRPr="00D56FC8">
        <w:rPr>
          <w:color w:val="000000"/>
          <w:sz w:val="20"/>
          <w:szCs w:val="20"/>
          <w:vertAlign w:val="subscript"/>
          <w:lang w:val="en-US"/>
        </w:rPr>
        <w:t>x</w:t>
      </w:r>
      <w:r w:rsidRPr="00D56FC8">
        <w:rPr>
          <w:i/>
          <w:iCs/>
          <w:color w:val="000000"/>
          <w:sz w:val="20"/>
          <w:szCs w:val="20"/>
          <w:lang w:val="en-US"/>
        </w:rPr>
        <w:t>.</w:t>
      </w:r>
    </w:p>
    <w:p w:rsidR="00F775BC" w:rsidRPr="00D56FC8" w:rsidRDefault="00F775BC">
      <w:pPr>
        <w:widowControl w:val="0"/>
        <w:ind w:firstLine="283"/>
        <w:jc w:val="both"/>
        <w:rPr>
          <w:i/>
          <w:iCs/>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32"/>
          <w:sz w:val="20"/>
          <w:szCs w:val="20"/>
          <w:lang w:val="en-US"/>
        </w:rPr>
        <w:object w:dxaOrig="7260" w:dyaOrig="720">
          <v:shape id="Object 42" o:spid="_x0000_i1045" type="#_x0000_t75" style="width:363.2pt;height:36.55pt;mso-position-horizontal-relative:page;mso-position-vertical-relative:page" o:ole="">
            <v:fill o:detectmouseclick="t"/>
            <v:imagedata r:id="rId67" o:title=""/>
          </v:shape>
          <o:OLEObject Type="Embed" ProgID="Equation.DSMT4" ShapeID="Object 42" DrawAspect="Content" ObjectID="_1829805967" r:id="rId68"/>
        </w:object>
      </w:r>
      <w:r w:rsidRPr="00D56FC8">
        <w:rPr>
          <w:color w:val="000000"/>
          <w:sz w:val="20"/>
          <w:lang w:val="en-US"/>
        </w:rPr>
        <w:tab/>
        <w:t>(19)</w:t>
      </w:r>
    </w:p>
    <w:p w:rsidR="00F775BC" w:rsidRPr="00D56FC8" w:rsidRDefault="00F775BC">
      <w:pPr>
        <w:widowControl w:val="0"/>
        <w:ind w:firstLine="283"/>
        <w:jc w:val="both"/>
        <w:rPr>
          <w:color w:val="000000"/>
          <w:sz w:val="20"/>
          <w:szCs w:val="20"/>
          <w:lang w:val="en-US"/>
        </w:rPr>
      </w:pPr>
    </w:p>
    <w:p w:rsidR="00F775BC" w:rsidRPr="00D56FC8" w:rsidRDefault="00F775BC">
      <w:pPr>
        <w:widowControl w:val="0"/>
        <w:ind w:firstLine="283"/>
        <w:jc w:val="both"/>
        <w:rPr>
          <w:color w:val="000000"/>
          <w:sz w:val="20"/>
          <w:szCs w:val="20"/>
          <w:lang w:val="en-US"/>
        </w:rPr>
      </w:pPr>
      <w:r w:rsidRPr="00D56FC8">
        <w:rPr>
          <w:color w:val="000000"/>
          <w:sz w:val="20"/>
          <w:szCs w:val="20"/>
          <w:lang w:val="en-US"/>
        </w:rPr>
        <w:t xml:space="preserve">Finally, this study suggests a formula (20) for the moment of time </w:t>
      </w:r>
      <w:r w:rsidRPr="00D56FC8">
        <w:rPr>
          <w:i/>
          <w:iCs/>
          <w:color w:val="000000"/>
          <w:sz w:val="20"/>
          <w:szCs w:val="20"/>
          <w:lang w:val="en-US"/>
        </w:rPr>
        <w:t>t</w:t>
      </w:r>
      <w:r w:rsidRPr="00D56FC8">
        <w:rPr>
          <w:color w:val="000000"/>
          <w:sz w:val="20"/>
          <w:szCs w:val="20"/>
          <w:lang w:val="en-US"/>
        </w:rPr>
        <w:t xml:space="preserve"> to determine the physical significance and interpretation of the weighting factor</w:t>
      </w:r>
      <w:r w:rsidRPr="00D56FC8">
        <w:rPr>
          <w:i/>
          <w:iCs/>
          <w:color w:val="000000"/>
          <w:sz w:val="20"/>
          <w:szCs w:val="20"/>
          <w:lang w:val="en-US"/>
        </w:rPr>
        <w:t xml:space="preserve"> B</w:t>
      </w:r>
      <w:r w:rsidRPr="00D56FC8">
        <w:rPr>
          <w:i/>
          <w:iCs/>
          <w:color w:val="000000"/>
          <w:sz w:val="20"/>
          <w:szCs w:val="20"/>
          <w:vertAlign w:val="subscript"/>
          <w:lang w:val="en-US"/>
        </w:rPr>
        <w:t>GH</w:t>
      </w:r>
      <w:r w:rsidRPr="00D56FC8">
        <w:rPr>
          <w:color w:val="000000"/>
          <w:sz w:val="20"/>
          <w:szCs w:val="20"/>
          <w:lang w:val="en-US"/>
        </w:rPr>
        <w:t xml:space="preserve"> of the emission criterion of EG greenhouse gases </w:t>
      </w:r>
      <w:r w:rsidRPr="00D56FC8">
        <w:rPr>
          <w:i/>
          <w:iCs/>
          <w:color w:val="000000"/>
          <w:sz w:val="20"/>
          <w:szCs w:val="20"/>
          <w:lang w:val="en-US"/>
        </w:rPr>
        <w:t>K</w:t>
      </w:r>
      <w:r w:rsidRPr="00D56FC8">
        <w:rPr>
          <w:i/>
          <w:iCs/>
          <w:color w:val="000000"/>
          <w:sz w:val="20"/>
          <w:szCs w:val="20"/>
          <w:vertAlign w:val="subscript"/>
          <w:lang w:val="en-US"/>
        </w:rPr>
        <w:t>GH</w:t>
      </w:r>
      <w:r w:rsidRPr="00D56FC8">
        <w:rPr>
          <w:color w:val="000000"/>
          <w:sz w:val="20"/>
          <w:szCs w:val="20"/>
          <w:lang w:val="en-US"/>
        </w:rPr>
        <w:t xml:space="preserve"> using the value of the coefficient β</w:t>
      </w:r>
      <w:r w:rsidRPr="00D56FC8">
        <w:rPr>
          <w:i/>
          <w:iCs/>
          <w:color w:val="000000"/>
          <w:sz w:val="20"/>
          <w:szCs w:val="20"/>
          <w:vertAlign w:val="subscript"/>
          <w:lang w:val="en-US"/>
        </w:rPr>
        <w:t>GH</w:t>
      </w:r>
      <w:r w:rsidRPr="00D56FC8">
        <w:rPr>
          <w:color w:val="000000"/>
          <w:sz w:val="20"/>
          <w:szCs w:val="20"/>
          <w:lang w:val="en-US"/>
        </w:rPr>
        <w:t xml:space="preserve"> (dimensionless quantity) according to formula (3) considering the value of </w:t>
      </w:r>
      <w:r w:rsidRPr="00D56FC8">
        <w:rPr>
          <w:i/>
          <w:iCs/>
          <w:color w:val="000000"/>
          <w:sz w:val="20"/>
          <w:szCs w:val="20"/>
          <w:lang w:val="en-US"/>
        </w:rPr>
        <w:t>Z</w:t>
      </w:r>
      <w:r w:rsidRPr="00D56FC8">
        <w:rPr>
          <w:i/>
          <w:iCs/>
          <w:color w:val="000000"/>
          <w:sz w:val="20"/>
          <w:szCs w:val="20"/>
          <w:vertAlign w:val="subscript"/>
          <w:lang w:val="en-US"/>
        </w:rPr>
        <w:t>e</w:t>
      </w:r>
      <w:r w:rsidRPr="00D56FC8">
        <w:rPr>
          <w:color w:val="000000"/>
          <w:sz w:val="20"/>
          <w:szCs w:val="20"/>
          <w:lang w:val="en-US"/>
        </w:rPr>
        <w:t xml:space="preserve"> of emissions and weighting factors of greenhouse gases, namely: CO</w:t>
      </w:r>
      <w:r w:rsidRPr="00D56FC8">
        <w:rPr>
          <w:color w:val="000000"/>
          <w:sz w:val="20"/>
          <w:szCs w:val="20"/>
          <w:vertAlign w:val="subscript"/>
          <w:lang w:val="en-US"/>
        </w:rPr>
        <w:t>2</w:t>
      </w:r>
      <w:r w:rsidRPr="00D56FC8">
        <w:rPr>
          <w:color w:val="000000"/>
          <w:sz w:val="20"/>
          <w:szCs w:val="20"/>
          <w:lang w:val="en-US"/>
        </w:rPr>
        <w:t>, C</w:t>
      </w:r>
      <w:r w:rsidRPr="00D56FC8">
        <w:rPr>
          <w:color w:val="000000"/>
          <w:sz w:val="20"/>
          <w:szCs w:val="20"/>
          <w:vertAlign w:val="subscript"/>
          <w:lang w:val="en-US"/>
        </w:rPr>
        <w:t>n</w:t>
      </w:r>
      <w:r w:rsidRPr="00D56FC8">
        <w:rPr>
          <w:color w:val="000000"/>
          <w:sz w:val="20"/>
          <w:szCs w:val="20"/>
          <w:lang w:val="en-US"/>
        </w:rPr>
        <w:t>H</w:t>
      </w:r>
      <w:r w:rsidRPr="00D56FC8">
        <w:rPr>
          <w:color w:val="000000"/>
          <w:sz w:val="20"/>
          <w:szCs w:val="20"/>
          <w:vertAlign w:val="subscript"/>
          <w:lang w:val="en-US"/>
        </w:rPr>
        <w:t>m</w:t>
      </w:r>
      <w:r w:rsidRPr="00D56FC8">
        <w:rPr>
          <w:color w:val="000000"/>
          <w:sz w:val="20"/>
          <w:szCs w:val="20"/>
          <w:lang w:val="en-US"/>
        </w:rPr>
        <w:t>, H</w:t>
      </w:r>
      <w:r w:rsidRPr="00D56FC8">
        <w:rPr>
          <w:color w:val="000000"/>
          <w:sz w:val="20"/>
          <w:szCs w:val="20"/>
          <w:vertAlign w:val="subscript"/>
          <w:lang w:val="en-US"/>
        </w:rPr>
        <w:t>2</w:t>
      </w:r>
      <w:r w:rsidRPr="00D56FC8">
        <w:rPr>
          <w:color w:val="000000"/>
          <w:sz w:val="20"/>
          <w:szCs w:val="20"/>
          <w:lang w:val="en-US"/>
        </w:rPr>
        <w:t>O, NO</w:t>
      </w:r>
      <w:r w:rsidRPr="00D56FC8">
        <w:rPr>
          <w:color w:val="000000"/>
          <w:sz w:val="20"/>
          <w:szCs w:val="20"/>
          <w:vertAlign w:val="subscript"/>
          <w:lang w:val="en-US"/>
        </w:rPr>
        <w:t>x</w:t>
      </w:r>
      <w:r w:rsidRPr="00D56FC8">
        <w:rPr>
          <w:color w:val="000000"/>
          <w:sz w:val="20"/>
          <w:szCs w:val="20"/>
          <w:lang w:val="en-US"/>
        </w:rPr>
        <w:t>, RB, CG.</w:t>
      </w:r>
    </w:p>
    <w:p w:rsidR="00F775BC" w:rsidRPr="00D56FC8" w:rsidRDefault="00F775BC">
      <w:pPr>
        <w:widowControl w:val="0"/>
        <w:ind w:firstLine="283"/>
        <w:jc w:val="both"/>
        <w:rPr>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32"/>
          <w:sz w:val="20"/>
          <w:szCs w:val="20"/>
          <w:lang w:val="en-US"/>
        </w:rPr>
        <w:object w:dxaOrig="8760" w:dyaOrig="720">
          <v:shape id="Object 43" o:spid="_x0000_i1046" type="#_x0000_t75" style="width:438.45pt;height:36.55pt;mso-position-horizontal-relative:page;mso-position-vertical-relative:page" o:ole="">
            <v:fill o:detectmouseclick="t"/>
            <v:imagedata r:id="rId69" o:title=""/>
          </v:shape>
          <o:OLEObject Type="Embed" ProgID="Equation.DSMT4" ShapeID="Object 43" DrawAspect="Content" ObjectID="_1829805968" r:id="rId70"/>
        </w:object>
      </w:r>
      <w:r w:rsidRPr="00D56FC8">
        <w:rPr>
          <w:color w:val="000000"/>
          <w:sz w:val="20"/>
          <w:lang w:val="en-US"/>
        </w:rPr>
        <w:tab/>
        <w:t>(20)</w:t>
      </w:r>
    </w:p>
    <w:p w:rsidR="00F775BC" w:rsidRPr="00D56FC8" w:rsidRDefault="00F775BC">
      <w:pPr>
        <w:widowControl w:val="0"/>
        <w:jc w:val="both"/>
        <w:rPr>
          <w:i/>
          <w:iCs/>
          <w:color w:val="000000"/>
          <w:sz w:val="20"/>
          <w:szCs w:val="20"/>
          <w:lang w:val="en-US"/>
        </w:rPr>
      </w:pPr>
    </w:p>
    <w:p w:rsidR="00F775BC" w:rsidRPr="0004059C" w:rsidRDefault="00F775BC">
      <w:pPr>
        <w:widowControl w:val="0"/>
        <w:ind w:firstLine="283"/>
        <w:jc w:val="both"/>
        <w:rPr>
          <w:color w:val="000000"/>
          <w:sz w:val="20"/>
          <w:szCs w:val="20"/>
          <w:lang w:val="en-US" w:eastAsia="zh-CN"/>
        </w:rPr>
      </w:pPr>
      <w:r w:rsidRPr="0004059C">
        <w:rPr>
          <w:color w:val="000000"/>
          <w:sz w:val="20"/>
          <w:szCs w:val="20"/>
          <w:lang w:val="en-US" w:eastAsia="zh-CN"/>
        </w:rPr>
        <w:t>To determine discount rate values, it has been proposed to use the tabular method of market risk premiums, specifically Damodaran’s tables, the current values of which are available online [48].</w:t>
      </w:r>
    </w:p>
    <w:p w:rsidR="00F775BC" w:rsidRPr="0004059C" w:rsidRDefault="00F775BC">
      <w:pPr>
        <w:widowControl w:val="0"/>
        <w:ind w:firstLine="283"/>
        <w:jc w:val="both"/>
        <w:rPr>
          <w:color w:val="000000"/>
          <w:sz w:val="20"/>
          <w:szCs w:val="20"/>
          <w:lang w:val="en-US" w:eastAsia="zh-CN"/>
        </w:rPr>
      </w:pPr>
      <w:r w:rsidRPr="0004059C">
        <w:rPr>
          <w:color w:val="000000"/>
          <w:sz w:val="20"/>
          <w:szCs w:val="20"/>
          <w:lang w:val="en-US" w:eastAsia="zh-CN"/>
        </w:rPr>
        <w:t>Finally, the corresponding author of this article has proposed a novel approach for a comprehensive, criteria-based assessment of the technogenic and ecological safety of accident-free operation of a power plant with a RICE, namely the Energy and Ecological Efficiency Index (</w:t>
      </w:r>
      <w:r w:rsidRPr="0004059C">
        <w:rPr>
          <w:i/>
          <w:iCs/>
          <w:color w:val="000000"/>
          <w:sz w:val="20"/>
          <w:szCs w:val="20"/>
          <w:lang w:val="en-US" w:eastAsia="zh-CN"/>
        </w:rPr>
        <w:t>3EI</w:t>
      </w:r>
      <w:r w:rsidRPr="0004059C">
        <w:rPr>
          <w:color w:val="000000"/>
          <w:sz w:val="20"/>
          <w:szCs w:val="20"/>
          <w:lang w:val="en-US" w:eastAsia="zh-CN"/>
        </w:rPr>
        <w:t xml:space="preserve">, a dimensionless quantity). This index is vectorial in nature and incorporates a criterion that reflects the legally mandated requirements for the ecological safety level of the process </w:t>
      </w:r>
      <w:r w:rsidRPr="0004059C">
        <w:rPr>
          <w:color w:val="000000"/>
          <w:sz w:val="20"/>
          <w:szCs w:val="20"/>
          <w:lang w:val="en-US"/>
        </w:rPr>
        <w:t xml:space="preserve">– </w:t>
      </w:r>
      <w:r w:rsidRPr="0004059C">
        <w:rPr>
          <w:color w:val="000000"/>
          <w:sz w:val="20"/>
          <w:szCs w:val="20"/>
          <w:lang w:val="en-US" w:eastAsia="zh-CN"/>
        </w:rPr>
        <w:t>specifically, emissions of regulated pollutants and motor fuel consumption. This criterion is represented by the complex Fuel-Ecological Criterion (</w:t>
      </w:r>
      <w:r w:rsidRPr="0004059C">
        <w:rPr>
          <w:i/>
          <w:iCs/>
          <w:color w:val="000000"/>
          <w:sz w:val="20"/>
          <w:szCs w:val="20"/>
          <w:lang w:val="en-US" w:eastAsia="zh-CN"/>
        </w:rPr>
        <w:t>K</w:t>
      </w:r>
      <w:r w:rsidRPr="0004059C">
        <w:rPr>
          <w:i/>
          <w:iCs/>
          <w:color w:val="000000"/>
          <w:sz w:val="20"/>
          <w:szCs w:val="20"/>
          <w:vertAlign w:val="subscript"/>
          <w:lang w:val="en-US" w:eastAsia="zh-CN"/>
        </w:rPr>
        <w:t>fe</w:t>
      </w:r>
      <w:r w:rsidRPr="0004059C">
        <w:rPr>
          <w:color w:val="000000"/>
          <w:sz w:val="20"/>
          <w:szCs w:val="20"/>
          <w:lang w:val="en-US" w:eastAsia="zh-CN"/>
        </w:rPr>
        <w:t xml:space="preserve">), corresponding to the real part of the complex number or the first component of the matrix. The criterion characterizes the latest requirements for the ES level of the specified process (thermal energy emission, greenhouse gases, and the presence of the so-called «carbon footprint») </w:t>
      </w:r>
      <w:r w:rsidRPr="0004059C">
        <w:rPr>
          <w:color w:val="000000"/>
          <w:sz w:val="20"/>
          <w:szCs w:val="20"/>
          <w:lang w:val="en-US"/>
        </w:rPr>
        <w:t>–</w:t>
      </w:r>
      <w:r w:rsidRPr="0004059C">
        <w:rPr>
          <w:color w:val="000000"/>
          <w:sz w:val="20"/>
          <w:szCs w:val="20"/>
          <w:lang w:val="en-US" w:eastAsia="zh-CN"/>
        </w:rPr>
        <w:t xml:space="preserve"> this is the DeCarb</w:t>
      </w:r>
      <w:r w:rsidRPr="0004059C">
        <w:rPr>
          <w:color w:val="000000"/>
          <w:sz w:val="20"/>
          <w:szCs w:val="20"/>
          <w:lang w:val="en-US"/>
        </w:rPr>
        <w:t>–</w:t>
      </w:r>
      <w:r w:rsidRPr="0004059C">
        <w:rPr>
          <w:color w:val="000000"/>
          <w:sz w:val="20"/>
          <w:szCs w:val="20"/>
          <w:lang w:val="en-US" w:eastAsia="zh-CN"/>
        </w:rPr>
        <w:t xml:space="preserve">Index </w:t>
      </w:r>
      <w:r w:rsidRPr="0004059C">
        <w:rPr>
          <w:i/>
          <w:iCs/>
          <w:color w:val="000000"/>
          <w:sz w:val="20"/>
          <w:szCs w:val="20"/>
          <w:lang w:val="en-US" w:eastAsia="zh-CN"/>
        </w:rPr>
        <w:t xml:space="preserve">DCI </w:t>
      </w:r>
      <w:r w:rsidRPr="0004059C">
        <w:rPr>
          <w:color w:val="000000"/>
          <w:sz w:val="20"/>
          <w:szCs w:val="20"/>
          <w:lang w:val="en-US" w:eastAsia="zh-CN"/>
        </w:rPr>
        <w:t>(the imaginary part of the complex number, corresponding to the second component of the matrix), i.e. formula (21) takes place</w:t>
      </w:r>
    </w:p>
    <w:p w:rsidR="00F775BC" w:rsidRPr="00D56FC8" w:rsidRDefault="00F775BC">
      <w:pPr>
        <w:widowControl w:val="0"/>
        <w:jc w:val="both"/>
        <w:rPr>
          <w:color w:val="000000"/>
          <w:sz w:val="20"/>
          <w:szCs w:val="20"/>
          <w:lang w:val="en-US" w:eastAsia="zh-CN"/>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28"/>
          <w:sz w:val="20"/>
          <w:szCs w:val="20"/>
          <w:lang w:val="en-US"/>
        </w:rPr>
        <w:object w:dxaOrig="3960" w:dyaOrig="659">
          <v:shape id="Object 44" o:spid="_x0000_i1047" type="#_x0000_t75" style="width:198.8pt;height:33.3pt;mso-position-horizontal-relative:page;mso-position-vertical-relative:page" o:ole="">
            <v:fill o:detectmouseclick="t"/>
            <v:imagedata r:id="rId71" o:title=""/>
          </v:shape>
          <o:OLEObject Type="Embed" ProgID="Equation.DSMT4" ShapeID="Object 44" DrawAspect="Content" ObjectID="_1829805969" r:id="rId72"/>
        </w:object>
      </w:r>
      <w:r w:rsidRPr="00D56FC8">
        <w:rPr>
          <w:color w:val="000000"/>
          <w:sz w:val="20"/>
          <w:lang w:val="en-US"/>
        </w:rPr>
        <w:tab/>
        <w:t>(21)</w:t>
      </w:r>
    </w:p>
    <w:p w:rsidR="00F775BC" w:rsidRPr="00D56FC8" w:rsidRDefault="00F775BC">
      <w:pPr>
        <w:widowControl w:val="0"/>
        <w:jc w:val="both"/>
        <w:rPr>
          <w:color w:val="000000"/>
          <w:sz w:val="20"/>
          <w:szCs w:val="20"/>
          <w:lang w:val="en-US" w:eastAsia="zh-CN"/>
        </w:rPr>
      </w:pPr>
    </w:p>
    <w:p w:rsidR="00F775BC" w:rsidRPr="00D56FC8" w:rsidRDefault="00F775BC">
      <w:pPr>
        <w:widowControl w:val="0"/>
        <w:jc w:val="both"/>
        <w:rPr>
          <w:color w:val="000000"/>
          <w:sz w:val="20"/>
          <w:szCs w:val="20"/>
          <w:lang w:val="en-US" w:eastAsia="zh-CN"/>
        </w:rPr>
      </w:pPr>
      <w:r w:rsidRPr="00D56FC8">
        <w:rPr>
          <w:color w:val="000000"/>
          <w:sz w:val="20"/>
          <w:szCs w:val="20"/>
          <w:lang w:val="en-US" w:eastAsia="zh-CN"/>
        </w:rPr>
        <w:t>where j = (</w:t>
      </w:r>
      <w:r w:rsidRPr="00D56FC8">
        <w:rPr>
          <w:color w:val="000000"/>
          <w:sz w:val="20"/>
          <w:szCs w:val="20"/>
          <w:lang w:val="en-US"/>
        </w:rPr>
        <w:t>–1</w:t>
      </w:r>
      <w:r w:rsidRPr="00D56FC8">
        <w:rPr>
          <w:color w:val="000000"/>
          <w:sz w:val="20"/>
          <w:szCs w:val="20"/>
          <w:lang w:val="en-US" w:eastAsia="zh-CN"/>
        </w:rPr>
        <w:t>)</w:t>
      </w:r>
      <w:r w:rsidRPr="00D56FC8">
        <w:rPr>
          <w:color w:val="000000"/>
          <w:sz w:val="20"/>
          <w:szCs w:val="20"/>
          <w:vertAlign w:val="superscript"/>
          <w:lang w:val="en-US" w:eastAsia="zh-CN"/>
        </w:rPr>
        <w:t>1/2</w:t>
      </w:r>
      <w:r w:rsidRPr="00D56FC8">
        <w:rPr>
          <w:color w:val="000000"/>
          <w:sz w:val="20"/>
          <w:szCs w:val="20"/>
          <w:lang w:val="en-US" w:eastAsia="zh-CN"/>
        </w:rPr>
        <w:t xml:space="preserve"> = </w:t>
      </w:r>
      <w:r w:rsidRPr="00D56FC8">
        <w:rPr>
          <w:i/>
          <w:iCs/>
          <w:color w:val="000000"/>
          <w:sz w:val="20"/>
          <w:szCs w:val="20"/>
          <w:lang w:val="en-US" w:eastAsia="zh-CN"/>
        </w:rPr>
        <w:t>e</w:t>
      </w:r>
      <w:r w:rsidRPr="00D56FC8">
        <w:rPr>
          <w:color w:val="000000"/>
          <w:sz w:val="20"/>
          <w:szCs w:val="20"/>
          <w:vertAlign w:val="superscript"/>
          <w:lang w:val="en-US" w:eastAsia="zh-CN"/>
        </w:rPr>
        <w:t>iπ/2</w:t>
      </w:r>
      <w:r w:rsidRPr="00D56FC8">
        <w:rPr>
          <w:color w:val="000000"/>
          <w:sz w:val="20"/>
          <w:szCs w:val="20"/>
          <w:lang w:val="en-US" w:eastAsia="zh-CN"/>
        </w:rPr>
        <w:t xml:space="preserve"> </w:t>
      </w:r>
      <w:r w:rsidRPr="00D56FC8">
        <w:rPr>
          <w:color w:val="000000"/>
          <w:sz w:val="20"/>
          <w:szCs w:val="20"/>
          <w:lang w:val="en-US"/>
        </w:rPr>
        <w:t>is an</w:t>
      </w:r>
      <w:r w:rsidRPr="00D56FC8">
        <w:rPr>
          <w:color w:val="000000"/>
          <w:sz w:val="20"/>
          <w:szCs w:val="20"/>
          <w:lang w:val="en-US" w:eastAsia="zh-CN"/>
        </w:rPr>
        <w:t xml:space="preserve"> imaginary unit. </w:t>
      </w:r>
    </w:p>
    <w:p w:rsidR="00F775BC" w:rsidRPr="00D56FC8" w:rsidRDefault="00F775BC">
      <w:pPr>
        <w:widowControl w:val="0"/>
        <w:ind w:firstLine="283"/>
        <w:jc w:val="both"/>
        <w:rPr>
          <w:color w:val="000000"/>
          <w:sz w:val="20"/>
          <w:szCs w:val="20"/>
          <w:lang w:val="en-US" w:eastAsia="zh-CN"/>
        </w:rPr>
      </w:pPr>
      <w:r w:rsidRPr="00D56FC8">
        <w:rPr>
          <w:color w:val="000000"/>
          <w:sz w:val="20"/>
          <w:szCs w:val="20"/>
          <w:lang w:val="en-US" w:eastAsia="zh-CN"/>
        </w:rPr>
        <w:t xml:space="preserve">In this case, the index </w:t>
      </w:r>
      <w:r w:rsidRPr="00D56FC8">
        <w:rPr>
          <w:i/>
          <w:iCs/>
          <w:color w:val="000000"/>
          <w:sz w:val="20"/>
          <w:szCs w:val="20"/>
          <w:lang w:val="en-US" w:eastAsia="zh-CN"/>
        </w:rPr>
        <w:t>3EI</w:t>
      </w:r>
      <w:r w:rsidRPr="00D56FC8">
        <w:rPr>
          <w:color w:val="000000"/>
          <w:sz w:val="20"/>
          <w:szCs w:val="20"/>
          <w:lang w:val="en-US" w:eastAsia="zh-CN"/>
        </w:rPr>
        <w:t xml:space="preserve"> is a radius vector on the phase plane in coordinates (</w:t>
      </w:r>
      <w:r w:rsidRPr="00D56FC8">
        <w:rPr>
          <w:i/>
          <w:iCs/>
          <w:color w:val="000000"/>
          <w:sz w:val="20"/>
          <w:szCs w:val="20"/>
          <w:lang w:val="en-US" w:eastAsia="zh-CN"/>
        </w:rPr>
        <w:t>K</w:t>
      </w:r>
      <w:r w:rsidRPr="00D56FC8">
        <w:rPr>
          <w:i/>
          <w:iCs/>
          <w:color w:val="000000"/>
          <w:sz w:val="20"/>
          <w:szCs w:val="20"/>
          <w:vertAlign w:val="subscript"/>
          <w:lang w:val="en-US" w:eastAsia="zh-CN"/>
        </w:rPr>
        <w:t>fe</w:t>
      </w:r>
      <w:r w:rsidRPr="00D56FC8">
        <w:rPr>
          <w:color w:val="000000"/>
          <w:sz w:val="20"/>
          <w:szCs w:val="20"/>
          <w:lang w:val="en-US" w:eastAsia="zh-CN"/>
        </w:rPr>
        <w:t xml:space="preserve">, </w:t>
      </w:r>
      <w:r w:rsidRPr="00D56FC8">
        <w:rPr>
          <w:i/>
          <w:iCs/>
          <w:color w:val="000000"/>
          <w:sz w:val="20"/>
          <w:szCs w:val="20"/>
          <w:lang w:val="en-US" w:eastAsia="zh-CN"/>
        </w:rPr>
        <w:t>DCI</w:t>
      </w:r>
      <w:r w:rsidRPr="00D56FC8">
        <w:rPr>
          <w:color w:val="000000"/>
          <w:sz w:val="20"/>
          <w:szCs w:val="20"/>
          <w:lang w:val="en-US" w:eastAsia="zh-CN"/>
        </w:rPr>
        <w:t>), and its absolute value (modulus) is determined by formula (22), and the angle of inclination to the abscissa axis (</w:t>
      </w:r>
      <w:r w:rsidRPr="00D56FC8">
        <w:rPr>
          <w:i/>
          <w:iCs/>
          <w:color w:val="000000"/>
          <w:sz w:val="20"/>
          <w:szCs w:val="20"/>
          <w:lang w:val="en-US" w:eastAsia="zh-CN"/>
        </w:rPr>
        <w:t>K</w:t>
      </w:r>
      <w:r w:rsidRPr="00D56FC8">
        <w:rPr>
          <w:i/>
          <w:iCs/>
          <w:color w:val="000000"/>
          <w:sz w:val="20"/>
          <w:szCs w:val="20"/>
          <w:vertAlign w:val="subscript"/>
          <w:lang w:val="en-US" w:eastAsia="zh-CN"/>
        </w:rPr>
        <w:t>fe</w:t>
      </w:r>
      <w:r w:rsidRPr="00D56FC8">
        <w:rPr>
          <w:color w:val="000000"/>
          <w:sz w:val="20"/>
          <w:szCs w:val="20"/>
          <w:lang w:val="en-US" w:eastAsia="zh-CN"/>
        </w:rPr>
        <w:t>) ψ (see formula (23).</w:t>
      </w:r>
    </w:p>
    <w:p w:rsidR="00F775BC" w:rsidRPr="00D56FC8" w:rsidRDefault="00F775BC">
      <w:pPr>
        <w:widowControl w:val="0"/>
        <w:ind w:firstLine="283"/>
        <w:jc w:val="both"/>
        <w:rPr>
          <w:color w:val="000000"/>
          <w:sz w:val="20"/>
          <w:szCs w:val="20"/>
          <w:lang w:val="en-US" w:eastAsia="zh-CN"/>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14"/>
          <w:sz w:val="20"/>
          <w:szCs w:val="20"/>
          <w:lang w:val="en-US"/>
        </w:rPr>
        <w:object w:dxaOrig="1798" w:dyaOrig="418">
          <v:shape id="Object 45" o:spid="_x0000_i1048" type="#_x0000_t75" style="width:90.25pt;height:21.5pt;mso-position-horizontal-relative:page;mso-position-vertical-relative:page" o:ole="">
            <v:fill o:detectmouseclick="t"/>
            <v:imagedata r:id="rId73" o:title=""/>
          </v:shape>
          <o:OLEObject Type="Embed" ProgID="Equation.DSMT4" ShapeID="Object 45" DrawAspect="Content" ObjectID="_1829805970" r:id="rId74"/>
        </w:object>
      </w:r>
      <w:r w:rsidRPr="00D56FC8">
        <w:rPr>
          <w:color w:val="000000"/>
          <w:sz w:val="20"/>
          <w:lang w:val="en-US"/>
        </w:rPr>
        <w:tab/>
        <w:t>(22)</w:t>
      </w:r>
    </w:p>
    <w:p w:rsidR="00F775BC" w:rsidRPr="00D56FC8" w:rsidRDefault="00F775BC">
      <w:pPr>
        <w:widowControl w:val="0"/>
        <w:ind w:firstLine="283"/>
        <w:jc w:val="both"/>
        <w:rPr>
          <w:color w:val="000000"/>
          <w:sz w:val="20"/>
          <w:szCs w:val="20"/>
          <w:lang w:val="en-US" w:eastAsia="zh-CN"/>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30"/>
          <w:sz w:val="20"/>
          <w:szCs w:val="20"/>
          <w:lang w:val="en-US"/>
        </w:rPr>
        <w:object w:dxaOrig="1499" w:dyaOrig="699">
          <v:shape id="Object 46" o:spid="_x0000_i1049" type="#_x0000_t75" style="width:75.2pt;height:35.45pt;mso-position-horizontal-relative:page;mso-position-vertical-relative:page" o:ole="">
            <v:fill o:detectmouseclick="t"/>
            <v:imagedata r:id="rId75" o:title=""/>
          </v:shape>
          <o:OLEObject Type="Embed" ProgID="Equation.DSMT4" ShapeID="Object 46" DrawAspect="Content" ObjectID="_1829805971" r:id="rId76"/>
        </w:object>
      </w:r>
      <w:r w:rsidRPr="00D56FC8">
        <w:rPr>
          <w:color w:val="000000"/>
          <w:sz w:val="20"/>
          <w:szCs w:val="20"/>
          <w:lang w:val="en-US" w:eastAsia="zh-CN"/>
        </w:rPr>
        <w:t>, degrees.</w:t>
      </w:r>
      <w:r w:rsidRPr="00D56FC8">
        <w:rPr>
          <w:color w:val="000000"/>
          <w:sz w:val="20"/>
          <w:lang w:val="en-US"/>
        </w:rPr>
        <w:tab/>
        <w:t>(23)</w:t>
      </w:r>
    </w:p>
    <w:p w:rsidR="00F775BC" w:rsidRPr="00D56FC8" w:rsidRDefault="00F775BC">
      <w:pPr>
        <w:widowControl w:val="0"/>
        <w:ind w:firstLine="283"/>
        <w:jc w:val="both"/>
        <w:rPr>
          <w:color w:val="000000"/>
          <w:sz w:val="20"/>
          <w:szCs w:val="20"/>
          <w:lang w:val="en-US" w:eastAsia="zh-CN"/>
        </w:rPr>
      </w:pPr>
    </w:p>
    <w:p w:rsidR="00F775BC" w:rsidRPr="00D56FC8" w:rsidRDefault="00F775BC">
      <w:pPr>
        <w:widowControl w:val="0"/>
        <w:ind w:firstLine="283"/>
        <w:jc w:val="both"/>
        <w:rPr>
          <w:color w:val="000000"/>
          <w:sz w:val="20"/>
          <w:szCs w:val="20"/>
          <w:lang w:val="en-US" w:eastAsia="zh-CN"/>
        </w:rPr>
      </w:pPr>
      <w:r w:rsidRPr="00D56FC8">
        <w:rPr>
          <w:color w:val="000000"/>
          <w:sz w:val="20"/>
          <w:szCs w:val="20"/>
          <w:lang w:val="en-US" w:eastAsia="zh-CN"/>
        </w:rPr>
        <w:t>Simultaneously, it has been proposed to characterize the factors influencing ecological safety that arise at other stages of the life cycle of such technical objects</w:t>
      </w:r>
      <w:r w:rsidRPr="00D56FC8">
        <w:rPr>
          <w:color w:val="000000"/>
          <w:sz w:val="20"/>
          <w:szCs w:val="20"/>
          <w:lang w:eastAsia="zh-CN"/>
        </w:rPr>
        <w:t xml:space="preserve"> </w:t>
      </w:r>
      <w:r w:rsidRPr="00D56FC8">
        <w:rPr>
          <w:color w:val="000000"/>
          <w:sz w:val="20"/>
          <w:szCs w:val="20"/>
          <w:lang w:val="en-US"/>
        </w:rPr>
        <w:t>–</w:t>
      </w:r>
      <w:r w:rsidRPr="00D56FC8">
        <w:rPr>
          <w:color w:val="000000"/>
          <w:sz w:val="20"/>
          <w:szCs w:val="20"/>
        </w:rPr>
        <w:t xml:space="preserve"> </w:t>
      </w:r>
      <w:r w:rsidRPr="00D56FC8">
        <w:rPr>
          <w:color w:val="000000"/>
          <w:sz w:val="20"/>
          <w:szCs w:val="20"/>
          <w:lang w:val="en-US" w:eastAsia="zh-CN"/>
        </w:rPr>
        <w:t xml:space="preserve">beyond </w:t>
      </w:r>
      <w:r w:rsidRPr="00D56FC8">
        <w:rPr>
          <w:color w:val="000000"/>
          <w:sz w:val="20"/>
          <w:szCs w:val="20"/>
          <w:lang w:eastAsia="zh-CN"/>
        </w:rPr>
        <w:t>«</w:t>
      </w:r>
      <w:r w:rsidRPr="00D56FC8">
        <w:rPr>
          <w:color w:val="000000"/>
          <w:sz w:val="20"/>
          <w:szCs w:val="20"/>
          <w:lang w:val="en-US" w:eastAsia="zh-CN"/>
        </w:rPr>
        <w:t>accident-free operation</w:t>
      </w:r>
      <w:r w:rsidRPr="00D56FC8">
        <w:rPr>
          <w:color w:val="000000"/>
          <w:sz w:val="20"/>
          <w:szCs w:val="20"/>
          <w:lang w:eastAsia="zh-CN"/>
        </w:rPr>
        <w:t>»</w:t>
      </w:r>
      <w:r w:rsidRPr="00D56FC8">
        <w:rPr>
          <w:color w:val="000000"/>
          <w:sz w:val="20"/>
          <w:szCs w:val="20"/>
          <w:lang w:val="en-US" w:eastAsia="zh-CN"/>
        </w:rPr>
        <w:t xml:space="preserve"> and </w:t>
      </w:r>
      <w:r w:rsidRPr="00D56FC8">
        <w:rPr>
          <w:color w:val="000000"/>
          <w:sz w:val="20"/>
          <w:szCs w:val="20"/>
          <w:lang w:eastAsia="zh-CN"/>
        </w:rPr>
        <w:t>«</w:t>
      </w:r>
      <w:r w:rsidRPr="00D56FC8">
        <w:rPr>
          <w:color w:val="000000"/>
          <w:sz w:val="20"/>
          <w:szCs w:val="20"/>
          <w:lang w:val="en-US" w:eastAsia="zh-CN"/>
        </w:rPr>
        <w:t>design and production</w:t>
      </w:r>
      <w:r w:rsidRPr="00D56FC8">
        <w:rPr>
          <w:color w:val="000000"/>
          <w:sz w:val="20"/>
          <w:szCs w:val="20"/>
          <w:lang w:eastAsia="zh-CN"/>
        </w:rPr>
        <w:t xml:space="preserve">» </w:t>
      </w:r>
      <w:r w:rsidRPr="00D56FC8">
        <w:rPr>
          <w:color w:val="000000"/>
          <w:sz w:val="20"/>
          <w:szCs w:val="20"/>
          <w:lang w:val="en-US"/>
        </w:rPr>
        <w:t>–</w:t>
      </w:r>
      <w:r w:rsidRPr="00D56FC8">
        <w:rPr>
          <w:color w:val="000000"/>
          <w:sz w:val="20"/>
          <w:szCs w:val="20"/>
          <w:lang w:val="en-US" w:eastAsia="zh-CN"/>
        </w:rPr>
        <w:t>such as environmental pollution from solid waste (worn or damaged components) and spills of technical fluids (motor fuel, engine oil, etc.), using the Utilization and Disposal Index (</w:t>
      </w:r>
      <w:r w:rsidRPr="00D56FC8">
        <w:rPr>
          <w:i/>
          <w:iCs/>
          <w:color w:val="000000"/>
          <w:sz w:val="20"/>
          <w:szCs w:val="20"/>
          <w:lang w:val="en-US" w:eastAsia="zh-CN"/>
        </w:rPr>
        <w:t>UDI</w:t>
      </w:r>
      <w:r w:rsidRPr="00D56FC8">
        <w:rPr>
          <w:color w:val="000000"/>
          <w:sz w:val="20"/>
          <w:szCs w:val="20"/>
          <w:lang w:val="en-US" w:eastAsia="zh-CN"/>
        </w:rPr>
        <w:t>, a dimensionless quantity). Additionally, factors of ecological safety arising from information and energy impacts on the environment</w:t>
      </w:r>
      <w:r w:rsidRPr="00D56FC8">
        <w:rPr>
          <w:color w:val="000000"/>
          <w:sz w:val="20"/>
          <w:szCs w:val="20"/>
          <w:lang w:eastAsia="zh-CN"/>
        </w:rPr>
        <w:t xml:space="preserve"> </w:t>
      </w:r>
      <w:r w:rsidRPr="00D56FC8">
        <w:rPr>
          <w:color w:val="000000"/>
          <w:sz w:val="20"/>
          <w:szCs w:val="20"/>
          <w:lang w:val="en-US"/>
        </w:rPr>
        <w:t>–</w:t>
      </w:r>
      <w:r w:rsidRPr="00D56FC8">
        <w:rPr>
          <w:color w:val="000000"/>
          <w:sz w:val="20"/>
          <w:szCs w:val="20"/>
        </w:rPr>
        <w:t xml:space="preserve"> </w:t>
      </w:r>
      <w:r w:rsidRPr="00D56FC8">
        <w:rPr>
          <w:color w:val="000000"/>
          <w:sz w:val="20"/>
          <w:szCs w:val="20"/>
          <w:lang w:val="en-US" w:eastAsia="zh-CN"/>
        </w:rPr>
        <w:t>such as noise, vibration, and electromagnetic or informational pollution</w:t>
      </w:r>
      <w:r w:rsidRPr="00D56FC8">
        <w:rPr>
          <w:color w:val="000000"/>
          <w:sz w:val="20"/>
          <w:szCs w:val="20"/>
          <w:lang w:eastAsia="zh-CN"/>
        </w:rPr>
        <w:t xml:space="preserve"> </w:t>
      </w:r>
      <w:r w:rsidRPr="00D56FC8">
        <w:rPr>
          <w:color w:val="000000"/>
          <w:sz w:val="20"/>
          <w:szCs w:val="20"/>
          <w:lang w:val="en-US"/>
        </w:rPr>
        <w:t>–</w:t>
      </w:r>
      <w:r w:rsidRPr="00D56FC8">
        <w:rPr>
          <w:color w:val="000000"/>
          <w:sz w:val="20"/>
          <w:szCs w:val="20"/>
        </w:rPr>
        <w:t xml:space="preserve"> </w:t>
      </w:r>
      <w:r w:rsidRPr="00D56FC8">
        <w:rPr>
          <w:color w:val="000000"/>
          <w:sz w:val="20"/>
          <w:szCs w:val="20"/>
          <w:lang w:val="en-US" w:eastAsia="zh-CN"/>
        </w:rPr>
        <w:t>are characterized using the Information and Energy Index (</w:t>
      </w:r>
      <w:r w:rsidRPr="00D56FC8">
        <w:rPr>
          <w:i/>
          <w:iCs/>
          <w:color w:val="000000"/>
          <w:sz w:val="20"/>
          <w:szCs w:val="20"/>
          <w:lang w:val="en-US" w:eastAsia="zh-CN"/>
        </w:rPr>
        <w:t>IEI</w:t>
      </w:r>
      <w:r w:rsidRPr="00D56FC8">
        <w:rPr>
          <w:color w:val="000000"/>
          <w:sz w:val="20"/>
          <w:szCs w:val="20"/>
          <w:lang w:val="en-US" w:eastAsia="zh-CN"/>
        </w:rPr>
        <w:t xml:space="preserve">, a dimensionless quantity). These two indices also form a vector – the Energy and Utilization Efficiency Index </w:t>
      </w:r>
      <w:r w:rsidRPr="00D56FC8">
        <w:rPr>
          <w:i/>
          <w:iCs/>
          <w:color w:val="000000"/>
          <w:sz w:val="20"/>
          <w:szCs w:val="20"/>
          <w:lang w:val="en-US" w:eastAsia="zh-CN"/>
        </w:rPr>
        <w:t>2EUI</w:t>
      </w:r>
      <w:r w:rsidRPr="00D56FC8">
        <w:rPr>
          <w:color w:val="000000"/>
          <w:sz w:val="20"/>
          <w:szCs w:val="20"/>
          <w:lang w:val="en-US" w:eastAsia="zh-CN"/>
        </w:rPr>
        <w:t xml:space="preserve"> (a dimensionless quantity), which is described by a complex number or a column matrix (see formula (24)) and has parameters determined by formulas (25) and (26).</w:t>
      </w:r>
    </w:p>
    <w:p w:rsidR="00F775BC" w:rsidRPr="00D56FC8" w:rsidRDefault="00F775BC">
      <w:pPr>
        <w:widowControl w:val="0"/>
        <w:jc w:val="both"/>
        <w:rPr>
          <w:color w:val="000000"/>
          <w:sz w:val="20"/>
          <w:szCs w:val="20"/>
          <w:lang w:val="en-US" w:eastAsia="zh-CN"/>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26"/>
          <w:sz w:val="20"/>
          <w:szCs w:val="20"/>
          <w:lang w:val="en-US"/>
        </w:rPr>
        <w:object w:dxaOrig="4060" w:dyaOrig="619">
          <v:shape id="Object 47" o:spid="_x0000_i1050" type="#_x0000_t75" style="width:203.1pt;height:31.15pt;mso-position-horizontal-relative:page;mso-position-vertical-relative:page" o:ole="">
            <v:fill o:detectmouseclick="t"/>
            <v:imagedata r:id="rId77" o:title=""/>
          </v:shape>
          <o:OLEObject Type="Embed" ProgID="Equation.DSMT4" ShapeID="Object 47" DrawAspect="Content" ObjectID="_1829805972" r:id="rId78"/>
        </w:object>
      </w:r>
      <w:r w:rsidRPr="00D56FC8">
        <w:rPr>
          <w:color w:val="000000"/>
          <w:sz w:val="20"/>
          <w:szCs w:val="20"/>
          <w:lang w:val="en-US"/>
        </w:rPr>
        <w:t>.</w:t>
      </w:r>
      <w:r w:rsidRPr="00D56FC8">
        <w:rPr>
          <w:color w:val="000000"/>
          <w:sz w:val="20"/>
          <w:lang w:val="en-US"/>
        </w:rPr>
        <w:tab/>
        <w:t>(24)</w:t>
      </w:r>
    </w:p>
    <w:p w:rsidR="00F775BC" w:rsidRPr="00D56FC8" w:rsidRDefault="00F775BC">
      <w:pPr>
        <w:tabs>
          <w:tab w:val="center" w:pos="4320"/>
          <w:tab w:val="right" w:pos="9242"/>
        </w:tabs>
        <w:jc w:val="center"/>
        <w:rPr>
          <w:color w:val="000000"/>
          <w:sz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12"/>
          <w:sz w:val="20"/>
          <w:szCs w:val="20"/>
          <w:lang w:val="en-US"/>
        </w:rPr>
        <w:object w:dxaOrig="1978" w:dyaOrig="399">
          <v:shape id="Object 48" o:spid="_x0000_i1051" type="#_x0000_t75" style="width:98.85pt;height:20.4pt;mso-position-horizontal-relative:page;mso-position-vertical-relative:page" o:ole="">
            <v:fill o:detectmouseclick="t"/>
            <v:imagedata r:id="rId79" o:title=""/>
          </v:shape>
          <o:OLEObject Type="Embed" ProgID="Equation.DSMT4" ShapeID="Object 48" DrawAspect="Content" ObjectID="_1829805973" r:id="rId80"/>
        </w:object>
      </w:r>
      <w:r w:rsidRPr="00D56FC8">
        <w:rPr>
          <w:color w:val="000000"/>
          <w:sz w:val="20"/>
          <w:lang w:val="en-US"/>
        </w:rPr>
        <w:tab/>
        <w:t>(25)</w:t>
      </w:r>
    </w:p>
    <w:p w:rsidR="00F775BC" w:rsidRPr="00D56FC8" w:rsidRDefault="00F775BC">
      <w:pPr>
        <w:widowControl w:val="0"/>
        <w:jc w:val="both"/>
        <w:rPr>
          <w:color w:val="000000"/>
          <w:sz w:val="20"/>
          <w:szCs w:val="20"/>
          <w:lang w:val="en-US" w:eastAsia="zh-CN"/>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24"/>
          <w:sz w:val="20"/>
          <w:szCs w:val="20"/>
          <w:lang w:val="en-US"/>
        </w:rPr>
        <w:object w:dxaOrig="1440" w:dyaOrig="579">
          <v:shape id="Object 49" o:spid="_x0000_i1052" type="#_x0000_t75" style="width:1in;height:29pt;mso-position-horizontal-relative:page;mso-position-vertical-relative:page" o:ole="">
            <v:fill o:detectmouseclick="t"/>
            <v:imagedata r:id="rId81" o:title=""/>
          </v:shape>
          <o:OLEObject Type="Embed" ProgID="Equation.DSMT4" ShapeID="Object 49" DrawAspect="Content" ObjectID="_1829805974" r:id="rId82"/>
        </w:object>
      </w:r>
      <w:r w:rsidRPr="00D56FC8">
        <w:rPr>
          <w:color w:val="000000"/>
          <w:sz w:val="20"/>
          <w:szCs w:val="20"/>
          <w:lang w:val="en-US"/>
        </w:rPr>
        <w:t>.</w:t>
      </w:r>
      <w:r w:rsidRPr="00D56FC8">
        <w:rPr>
          <w:color w:val="000000"/>
          <w:sz w:val="20"/>
          <w:szCs w:val="20"/>
          <w:lang w:val="en-US" w:eastAsia="zh-CN"/>
        </w:rPr>
        <w:t xml:space="preserve"> degrees.</w:t>
      </w:r>
      <w:r w:rsidRPr="00D56FC8">
        <w:rPr>
          <w:color w:val="000000"/>
          <w:sz w:val="20"/>
          <w:lang w:val="en-US"/>
        </w:rPr>
        <w:tab/>
        <w:t>(26)</w:t>
      </w:r>
    </w:p>
    <w:p w:rsidR="00F775BC" w:rsidRPr="00D56FC8" w:rsidRDefault="00F775BC">
      <w:pPr>
        <w:widowControl w:val="0"/>
        <w:jc w:val="both"/>
        <w:rPr>
          <w:color w:val="000000"/>
          <w:sz w:val="20"/>
          <w:szCs w:val="20"/>
          <w:lang w:val="en-US" w:eastAsia="zh-CN"/>
        </w:rPr>
      </w:pPr>
    </w:p>
    <w:p w:rsidR="00F775BC" w:rsidRPr="00D56FC8" w:rsidRDefault="00F775BC">
      <w:pPr>
        <w:widowControl w:val="0"/>
        <w:ind w:firstLine="283"/>
        <w:jc w:val="both"/>
        <w:rPr>
          <w:color w:val="000000"/>
          <w:sz w:val="20"/>
          <w:szCs w:val="20"/>
          <w:lang w:val="en-US"/>
        </w:rPr>
      </w:pPr>
      <w:r w:rsidRPr="00D56FC8">
        <w:rPr>
          <w:color w:val="000000"/>
          <w:sz w:val="20"/>
          <w:szCs w:val="20"/>
          <w:lang w:val="en-US" w:eastAsia="zh-CN"/>
        </w:rPr>
        <w:t>In light of the foregoing considerations, the authors suggest that the approach to determining the monetary equivalents of the complex Fuel–Ecological Criterion (</w:t>
      </w:r>
      <w:r w:rsidRPr="00D56FC8">
        <w:rPr>
          <w:i/>
          <w:iCs/>
          <w:color w:val="000000"/>
          <w:sz w:val="20"/>
          <w:szCs w:val="20"/>
          <w:lang w:val="en-US" w:eastAsia="zh-CN"/>
        </w:rPr>
        <w:t>K</w:t>
      </w:r>
      <w:r w:rsidRPr="00D56FC8">
        <w:rPr>
          <w:i/>
          <w:iCs/>
          <w:color w:val="000000"/>
          <w:sz w:val="20"/>
          <w:szCs w:val="20"/>
          <w:vertAlign w:val="subscript"/>
          <w:lang w:val="en-US" w:eastAsia="zh-CN"/>
        </w:rPr>
        <w:t>fe</w:t>
      </w:r>
      <w:r w:rsidRPr="00D56FC8">
        <w:rPr>
          <w:color w:val="000000"/>
          <w:sz w:val="20"/>
          <w:szCs w:val="20"/>
          <w:lang w:val="en-US" w:eastAsia="zh-CN"/>
        </w:rPr>
        <w:t xml:space="preserve">) should also be revised. Thus, the </w:t>
      </w:r>
      <w:r w:rsidRPr="00D56FC8">
        <w:rPr>
          <w:color w:val="000000"/>
          <w:sz w:val="20"/>
          <w:szCs w:val="20"/>
          <w:lang w:val="en-US"/>
        </w:rPr>
        <w:t>total fuel and ecological costs</w:t>
      </w:r>
      <w:r w:rsidRPr="00D56FC8">
        <w:rPr>
          <w:color w:val="000000"/>
          <w:sz w:val="20"/>
          <w:szCs w:val="20"/>
          <w:lang w:val="en-US" w:eastAsia="zh-CN"/>
        </w:rPr>
        <w:t xml:space="preserve"> </w:t>
      </w:r>
      <w:r w:rsidRPr="00D56FC8">
        <w:rPr>
          <w:i/>
          <w:iCs/>
          <w:color w:val="000000"/>
          <w:sz w:val="20"/>
          <w:szCs w:val="20"/>
          <w:lang w:val="en-US"/>
        </w:rPr>
        <w:t>Z</w:t>
      </w:r>
      <w:r w:rsidRPr="00D56FC8">
        <w:rPr>
          <w:i/>
          <w:iCs/>
          <w:color w:val="000000"/>
          <w:sz w:val="20"/>
          <w:szCs w:val="20"/>
          <w:vertAlign w:val="subscript"/>
          <w:lang w:val="en-US"/>
        </w:rPr>
        <w:t>fe</w:t>
      </w:r>
      <w:r w:rsidRPr="00D56FC8">
        <w:rPr>
          <w:color w:val="000000"/>
          <w:sz w:val="20"/>
          <w:szCs w:val="20"/>
          <w:lang w:val="en-US"/>
        </w:rPr>
        <w:t xml:space="preserve"> (in $/(kW∙h)) (see formula (4)) are not represented as a scalar quantity, but as a vector sum of two components: monetary costs for consumed motor fuel </w:t>
      </w:r>
      <w:r w:rsidRPr="00D56FC8">
        <w:rPr>
          <w:i/>
          <w:iCs/>
          <w:color w:val="000000"/>
          <w:sz w:val="20"/>
          <w:szCs w:val="20"/>
          <w:lang w:val="en-US"/>
        </w:rPr>
        <w:t>Z</w:t>
      </w:r>
      <w:r w:rsidRPr="00D56FC8">
        <w:rPr>
          <w:i/>
          <w:iCs/>
          <w:color w:val="000000"/>
          <w:sz w:val="20"/>
          <w:szCs w:val="20"/>
          <w:vertAlign w:val="subscript"/>
          <w:lang w:val="en-US"/>
        </w:rPr>
        <w:t>f</w:t>
      </w:r>
      <w:r w:rsidRPr="00D56FC8">
        <w:rPr>
          <w:color w:val="000000"/>
          <w:sz w:val="20"/>
          <w:szCs w:val="20"/>
          <w:lang w:val="en-US"/>
        </w:rPr>
        <w:t xml:space="preserve"> (in $/(kW∙h), a real part of a complex number) (see formula (6)), compensation for ecological damage to the environment and human </w:t>
      </w:r>
      <w:r w:rsidRPr="00D56FC8">
        <w:rPr>
          <w:i/>
          <w:iCs/>
          <w:color w:val="000000"/>
          <w:sz w:val="20"/>
          <w:szCs w:val="20"/>
          <w:lang w:val="en-US"/>
        </w:rPr>
        <w:t>Z</w:t>
      </w:r>
      <w:r w:rsidRPr="00D56FC8">
        <w:rPr>
          <w:i/>
          <w:iCs/>
          <w:color w:val="000000"/>
          <w:sz w:val="20"/>
          <w:szCs w:val="20"/>
          <w:vertAlign w:val="subscript"/>
          <w:lang w:val="en-US"/>
        </w:rPr>
        <w:t>e</w:t>
      </w:r>
      <w:r w:rsidRPr="00D56FC8">
        <w:rPr>
          <w:color w:val="000000"/>
          <w:sz w:val="20"/>
          <w:szCs w:val="20"/>
          <w:lang w:val="en-US"/>
        </w:rPr>
        <w:t xml:space="preserve"> (in $/(kW∙h), an imaginary part of a complex number) (see formula (7)), that is, expressed by a radius vector on the phase plane (</w:t>
      </w:r>
      <w:r w:rsidRPr="00D56FC8">
        <w:rPr>
          <w:i/>
          <w:iCs/>
          <w:color w:val="000000"/>
          <w:sz w:val="20"/>
          <w:szCs w:val="20"/>
          <w:lang w:val="en-US"/>
        </w:rPr>
        <w:t>Z</w:t>
      </w:r>
      <w:r w:rsidRPr="00D56FC8">
        <w:rPr>
          <w:i/>
          <w:iCs/>
          <w:color w:val="000000"/>
          <w:sz w:val="20"/>
          <w:szCs w:val="20"/>
          <w:vertAlign w:val="subscript"/>
          <w:lang w:val="en-US"/>
        </w:rPr>
        <w:t>f</w:t>
      </w:r>
      <w:r w:rsidRPr="00D56FC8">
        <w:rPr>
          <w:color w:val="000000"/>
          <w:sz w:val="20"/>
          <w:szCs w:val="20"/>
          <w:lang w:val="en-US"/>
        </w:rPr>
        <w:t xml:space="preserve">, </w:t>
      </w:r>
      <w:r w:rsidRPr="00D56FC8">
        <w:rPr>
          <w:i/>
          <w:iCs/>
          <w:color w:val="000000"/>
          <w:sz w:val="20"/>
          <w:szCs w:val="20"/>
          <w:lang w:val="en-US"/>
        </w:rPr>
        <w:t>Z</w:t>
      </w:r>
      <w:r w:rsidRPr="00D56FC8">
        <w:rPr>
          <w:i/>
          <w:iCs/>
          <w:color w:val="000000"/>
          <w:sz w:val="20"/>
          <w:szCs w:val="20"/>
          <w:vertAlign w:val="subscript"/>
          <w:lang w:val="en-US"/>
        </w:rPr>
        <w:t>e</w:t>
      </w:r>
      <w:r w:rsidRPr="00D56FC8">
        <w:rPr>
          <w:color w:val="000000"/>
          <w:sz w:val="20"/>
          <w:szCs w:val="20"/>
          <w:lang w:val="en-US"/>
        </w:rPr>
        <w:t xml:space="preserve">) and described by formulas (27)–(29). </w:t>
      </w:r>
    </w:p>
    <w:p w:rsidR="00F775BC" w:rsidRPr="00D56FC8" w:rsidRDefault="00F775BC">
      <w:pPr>
        <w:widowControl w:val="0"/>
        <w:ind w:firstLine="283"/>
        <w:jc w:val="both"/>
        <w:rPr>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28"/>
          <w:sz w:val="20"/>
          <w:szCs w:val="20"/>
          <w:lang w:val="en-US"/>
        </w:rPr>
        <w:object w:dxaOrig="3320" w:dyaOrig="659">
          <v:shape id="Object 50" o:spid="_x0000_i1053" type="#_x0000_t75" style="width:166.55pt;height:33.3pt;mso-position-horizontal-relative:page;mso-position-vertical-relative:page" o:ole="">
            <v:fill o:detectmouseclick="t"/>
            <v:imagedata r:id="rId83" o:title=""/>
          </v:shape>
          <o:OLEObject Type="Embed" ProgID="Equation.DSMT4" ShapeID="Object 50" DrawAspect="Content" ObjectID="_1829805975" r:id="rId84"/>
        </w:object>
      </w:r>
      <w:r w:rsidRPr="00D56FC8">
        <w:rPr>
          <w:color w:val="000000"/>
          <w:sz w:val="20"/>
          <w:szCs w:val="20"/>
          <w:lang w:val="en-US"/>
        </w:rPr>
        <w:t>.</w:t>
      </w:r>
      <w:r w:rsidRPr="00D56FC8">
        <w:rPr>
          <w:color w:val="000000"/>
          <w:sz w:val="20"/>
          <w:lang w:val="en-US"/>
        </w:rPr>
        <w:tab/>
        <w:t>(27)</w:t>
      </w:r>
    </w:p>
    <w:p w:rsidR="00F775BC" w:rsidRPr="00D56FC8" w:rsidRDefault="00F775BC">
      <w:pPr>
        <w:widowControl w:val="0"/>
        <w:ind w:firstLine="283"/>
        <w:jc w:val="both"/>
        <w:rPr>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14"/>
          <w:sz w:val="20"/>
          <w:szCs w:val="20"/>
          <w:lang w:val="en-US"/>
        </w:rPr>
        <w:object w:dxaOrig="1517" w:dyaOrig="418">
          <v:shape id="Object 51" o:spid="_x0000_i1054" type="#_x0000_t75" style="width:76.3pt;height:21.5pt;mso-position-horizontal-relative:page;mso-position-vertical-relative:page" o:ole="">
            <v:fill o:detectmouseclick="t"/>
            <v:imagedata r:id="rId85" o:title=""/>
          </v:shape>
          <o:OLEObject Type="Embed" ProgID="Equation.DSMT4" ShapeID="Object 51" DrawAspect="Content" ObjectID="_1829805976" r:id="rId86"/>
        </w:object>
      </w:r>
      <w:r w:rsidRPr="00D56FC8">
        <w:rPr>
          <w:color w:val="000000"/>
          <w:sz w:val="20"/>
          <w:szCs w:val="20"/>
          <w:lang w:val="en-US"/>
        </w:rPr>
        <w:t>.</w:t>
      </w:r>
      <w:r w:rsidRPr="00D56FC8">
        <w:rPr>
          <w:color w:val="000000"/>
          <w:sz w:val="20"/>
          <w:lang w:val="en-US"/>
        </w:rPr>
        <w:tab/>
        <w:t>(28)</w:t>
      </w:r>
    </w:p>
    <w:p w:rsidR="00F775BC" w:rsidRPr="00D56FC8" w:rsidRDefault="00F775BC">
      <w:pPr>
        <w:widowControl w:val="0"/>
        <w:ind w:firstLine="283"/>
        <w:jc w:val="both"/>
        <w:rPr>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30"/>
          <w:sz w:val="20"/>
          <w:szCs w:val="20"/>
          <w:lang w:val="en-US"/>
        </w:rPr>
        <w:object w:dxaOrig="1319" w:dyaOrig="699">
          <v:shape id="Object 52" o:spid="_x0000_i1055" type="#_x0000_t75" style="width:66.65pt;height:35.45pt;mso-position-horizontal-relative:page;mso-position-vertical-relative:page" o:ole="">
            <v:fill o:detectmouseclick="t"/>
            <v:imagedata r:id="rId87" o:title=""/>
          </v:shape>
          <o:OLEObject Type="Embed" ProgID="Equation.DSMT4" ShapeID="Object 52" DrawAspect="Content" ObjectID="_1829805977" r:id="rId88"/>
        </w:object>
      </w:r>
      <w:r w:rsidRPr="00D56FC8">
        <w:rPr>
          <w:color w:val="000000"/>
          <w:sz w:val="20"/>
          <w:szCs w:val="20"/>
          <w:lang w:val="en-US" w:eastAsia="zh-CN"/>
        </w:rPr>
        <w:t>, degrees.</w:t>
      </w:r>
      <w:r w:rsidRPr="00D56FC8">
        <w:rPr>
          <w:color w:val="000000"/>
          <w:sz w:val="20"/>
          <w:lang w:val="en-US"/>
        </w:rPr>
        <w:tab/>
        <w:t>(29)</w:t>
      </w:r>
    </w:p>
    <w:p w:rsidR="00F775BC" w:rsidRPr="00D56FC8" w:rsidRDefault="00F775BC">
      <w:pPr>
        <w:widowControl w:val="0"/>
        <w:ind w:firstLine="283"/>
        <w:jc w:val="both"/>
        <w:rPr>
          <w:color w:val="000000"/>
          <w:sz w:val="20"/>
          <w:szCs w:val="20"/>
          <w:lang w:val="en-US"/>
        </w:rPr>
      </w:pPr>
    </w:p>
    <w:p w:rsidR="00F775BC" w:rsidRPr="00D56FC8" w:rsidRDefault="00F775BC">
      <w:pPr>
        <w:widowControl w:val="0"/>
        <w:ind w:firstLine="283"/>
        <w:jc w:val="both"/>
        <w:rPr>
          <w:color w:val="000000"/>
          <w:sz w:val="20"/>
          <w:szCs w:val="20"/>
          <w:lang w:val="en-US" w:eastAsia="zh-CN"/>
        </w:rPr>
      </w:pPr>
      <w:r w:rsidRPr="00D56FC8">
        <w:rPr>
          <w:color w:val="000000"/>
          <w:sz w:val="20"/>
          <w:szCs w:val="20"/>
          <w:lang w:val="en-US" w:eastAsia="zh-CN"/>
        </w:rPr>
        <w:t xml:space="preserve">Taking into account the effects of inflation in this context, it is possible to scale the components of the radius vector </w:t>
      </w:r>
      <w:r w:rsidRPr="00D56FC8">
        <w:rPr>
          <w:i/>
          <w:iCs/>
          <w:color w:val="000000"/>
          <w:sz w:val="20"/>
          <w:szCs w:val="20"/>
          <w:lang w:val="en-US"/>
        </w:rPr>
        <w:t>Z</w:t>
      </w:r>
      <w:r w:rsidRPr="00D56FC8">
        <w:rPr>
          <w:i/>
          <w:iCs/>
          <w:color w:val="000000"/>
          <w:sz w:val="20"/>
          <w:szCs w:val="20"/>
          <w:vertAlign w:val="subscript"/>
          <w:lang w:val="en-US"/>
        </w:rPr>
        <w:t>fe</w:t>
      </w:r>
      <w:r w:rsidRPr="00D56FC8">
        <w:rPr>
          <w:color w:val="000000"/>
          <w:sz w:val="20"/>
          <w:szCs w:val="20"/>
          <w:lang w:val="en-US" w:eastAsia="zh-CN"/>
        </w:rPr>
        <w:t xml:space="preserve"> to a scalar value – the inflation indicator</w:t>
      </w:r>
      <w:r w:rsidRPr="00D56FC8">
        <w:rPr>
          <w:color w:val="000000"/>
          <w:sz w:val="20"/>
          <w:szCs w:val="20"/>
          <w:lang w:val="en-US"/>
        </w:rPr>
        <w:t xml:space="preserve"> (for example, the </w:t>
      </w:r>
      <w:r w:rsidRPr="00D56FC8">
        <w:rPr>
          <w:i/>
          <w:iCs/>
          <w:color w:val="000000"/>
          <w:sz w:val="20"/>
          <w:szCs w:val="20"/>
          <w:lang w:val="en-US"/>
        </w:rPr>
        <w:t xml:space="preserve">CPI </w:t>
      </w:r>
      <w:r w:rsidRPr="00D56FC8">
        <w:rPr>
          <w:color w:val="000000"/>
          <w:sz w:val="20"/>
          <w:szCs w:val="20"/>
          <w:lang w:val="en-US"/>
        </w:rPr>
        <w:t xml:space="preserve">index or the product of discount rates </w:t>
      </w:r>
      <w:r w:rsidRPr="00D56FC8">
        <w:rPr>
          <w:i/>
          <w:iCs/>
          <w:color w:val="000000"/>
          <w:sz w:val="20"/>
          <w:szCs w:val="20"/>
          <w:lang w:val="en-US"/>
        </w:rPr>
        <w:t>i</w:t>
      </w:r>
      <w:r w:rsidRPr="00D56FC8">
        <w:rPr>
          <w:color w:val="000000"/>
          <w:sz w:val="20"/>
          <w:szCs w:val="20"/>
          <w:vertAlign w:val="subscript"/>
          <w:lang w:val="en-US"/>
        </w:rPr>
        <w:t>2</w:t>
      </w:r>
      <w:r w:rsidRPr="00D56FC8">
        <w:rPr>
          <w:color w:val="000000"/>
          <w:sz w:val="20"/>
          <w:szCs w:val="20"/>
          <w:lang w:val="en-US"/>
        </w:rPr>
        <w:t xml:space="preserve"> · </w:t>
      </w:r>
      <w:r w:rsidRPr="00D56FC8">
        <w:rPr>
          <w:i/>
          <w:iCs/>
          <w:color w:val="000000"/>
          <w:sz w:val="20"/>
          <w:szCs w:val="20"/>
          <w:lang w:val="en-US"/>
        </w:rPr>
        <w:t>i</w:t>
      </w:r>
      <w:r w:rsidRPr="00D56FC8">
        <w:rPr>
          <w:color w:val="000000"/>
          <w:sz w:val="20"/>
          <w:szCs w:val="20"/>
          <w:vertAlign w:val="subscript"/>
          <w:lang w:val="en-US"/>
        </w:rPr>
        <w:t>4</w:t>
      </w:r>
      <w:r w:rsidRPr="00D56FC8">
        <w:rPr>
          <w:color w:val="000000"/>
          <w:sz w:val="20"/>
          <w:szCs w:val="20"/>
          <w:lang w:val="en-US"/>
        </w:rPr>
        <w:t xml:space="preserve"> as a function of </w:t>
      </w:r>
      <w:r w:rsidRPr="00D56FC8">
        <w:rPr>
          <w:i/>
          <w:iCs/>
          <w:color w:val="000000"/>
          <w:sz w:val="20"/>
          <w:szCs w:val="20"/>
          <w:lang w:val="en-US"/>
        </w:rPr>
        <w:t>CPI</w:t>
      </w:r>
      <w:r w:rsidRPr="00D56FC8">
        <w:rPr>
          <w:color w:val="000000"/>
          <w:sz w:val="20"/>
          <w:szCs w:val="20"/>
          <w:lang w:val="en-US"/>
        </w:rPr>
        <w:t>), that is, the formulas hold (30)–(32), which formulas (11) and (13) reflect. Then the coefficient β (see formula (3)) takes on a slightly different meaning, namely according to the formula (33).</w:t>
      </w:r>
    </w:p>
    <w:p w:rsidR="00F775BC" w:rsidRPr="00D56FC8" w:rsidRDefault="00F775BC">
      <w:pPr>
        <w:widowControl w:val="0"/>
        <w:jc w:val="both"/>
        <w:rPr>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28"/>
          <w:sz w:val="20"/>
          <w:szCs w:val="20"/>
          <w:lang w:val="en-US"/>
        </w:rPr>
        <w:object w:dxaOrig="6840" w:dyaOrig="659">
          <v:shape id="Object 53" o:spid="_x0000_i1056" type="#_x0000_t75" style="width:342.8pt;height:33.3pt;mso-position-horizontal-relative:page;mso-position-vertical-relative:page" o:ole="">
            <v:fill o:detectmouseclick="t"/>
            <v:imagedata r:id="rId89" o:title=""/>
          </v:shape>
          <o:OLEObject Type="Embed" ProgID="Equation.DSMT4" ShapeID="Object 53" DrawAspect="Content" ObjectID="_1829805978" r:id="rId90"/>
        </w:object>
      </w:r>
      <w:r w:rsidRPr="00D56FC8">
        <w:rPr>
          <w:color w:val="000000"/>
          <w:sz w:val="20"/>
          <w:szCs w:val="20"/>
          <w:lang w:val="en-US" w:eastAsia="zh-CN"/>
        </w:rPr>
        <w:t xml:space="preserve">, </w:t>
      </w:r>
      <w:r w:rsidRPr="00D56FC8">
        <w:rPr>
          <w:color w:val="000000"/>
          <w:sz w:val="20"/>
          <w:szCs w:val="20"/>
          <w:lang w:val="en-US"/>
        </w:rPr>
        <w:t>$/(kW∙h).</w:t>
      </w:r>
      <w:r w:rsidRPr="00D56FC8">
        <w:rPr>
          <w:color w:val="000000"/>
          <w:sz w:val="20"/>
          <w:lang w:val="en-US"/>
        </w:rPr>
        <w:tab/>
        <w:t>(30)</w:t>
      </w:r>
    </w:p>
    <w:p w:rsidR="00F775BC" w:rsidRPr="00D56FC8" w:rsidRDefault="00F775BC">
      <w:pPr>
        <w:widowControl w:val="0"/>
        <w:jc w:val="both"/>
        <w:rPr>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14"/>
          <w:sz w:val="20"/>
          <w:szCs w:val="20"/>
          <w:lang w:val="en-US"/>
        </w:rPr>
        <w:object w:dxaOrig="1398" w:dyaOrig="418">
          <v:shape id="Object 54" o:spid="_x0000_i1057" type="#_x0000_t75" style="width:69.85pt;height:21.5pt;mso-position-horizontal-relative:page;mso-position-vertical-relative:page" o:ole="">
            <v:fill o:detectmouseclick="t"/>
            <v:imagedata r:id="rId91" o:title=""/>
          </v:shape>
          <o:OLEObject Type="Embed" ProgID="Equation.DSMT4" ShapeID="Object 54" DrawAspect="Content" ObjectID="_1829805979" r:id="rId92"/>
        </w:object>
      </w:r>
      <w:r w:rsidRPr="00D56FC8">
        <w:rPr>
          <w:color w:val="000000"/>
          <w:sz w:val="20"/>
          <w:szCs w:val="20"/>
          <w:lang w:val="en-US" w:eastAsia="zh-CN"/>
        </w:rPr>
        <w:t xml:space="preserve">, </w:t>
      </w:r>
      <w:r w:rsidRPr="00D56FC8">
        <w:rPr>
          <w:color w:val="000000"/>
          <w:sz w:val="20"/>
          <w:szCs w:val="20"/>
          <w:lang w:val="en-US"/>
        </w:rPr>
        <w:t>$/(kW∙h).</w:t>
      </w:r>
      <w:r w:rsidRPr="00D56FC8">
        <w:rPr>
          <w:color w:val="000000"/>
          <w:sz w:val="20"/>
          <w:lang w:val="en-US"/>
        </w:rPr>
        <w:tab/>
        <w:t>(31)</w:t>
      </w:r>
    </w:p>
    <w:p w:rsidR="00F775BC" w:rsidRPr="00D56FC8" w:rsidRDefault="00F775BC">
      <w:pPr>
        <w:widowControl w:val="0"/>
        <w:jc w:val="both"/>
        <w:rPr>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30"/>
          <w:sz w:val="20"/>
          <w:szCs w:val="20"/>
          <w:lang w:val="en-US"/>
        </w:rPr>
        <w:object w:dxaOrig="2420" w:dyaOrig="699">
          <v:shape id="Object 55" o:spid="_x0000_i1058" type="#_x0000_t75" style="width:121.45pt;height:35.45pt;mso-position-horizontal-relative:page;mso-position-vertical-relative:page" o:ole="">
            <v:fill o:detectmouseclick="t"/>
            <v:imagedata r:id="rId93" o:title=""/>
          </v:shape>
          <o:OLEObject Type="Embed" ProgID="Equation.DSMT4" ShapeID="Object 55" DrawAspect="Content" ObjectID="_1829805980" r:id="rId94"/>
        </w:object>
      </w:r>
      <w:r w:rsidRPr="00D56FC8">
        <w:rPr>
          <w:color w:val="000000"/>
          <w:sz w:val="20"/>
          <w:szCs w:val="20"/>
          <w:lang w:val="en-US" w:eastAsia="zh-CN"/>
        </w:rPr>
        <w:t>, degrees.</w:t>
      </w:r>
      <w:r w:rsidRPr="00D56FC8">
        <w:rPr>
          <w:color w:val="000000"/>
          <w:sz w:val="20"/>
          <w:lang w:val="en-US"/>
        </w:rPr>
        <w:tab/>
        <w:t>(32)</w:t>
      </w:r>
    </w:p>
    <w:p w:rsidR="00F775BC" w:rsidRPr="00D56FC8" w:rsidRDefault="00F775BC">
      <w:pPr>
        <w:widowControl w:val="0"/>
        <w:jc w:val="both"/>
        <w:rPr>
          <w:color w:val="000000"/>
          <w:sz w:val="20"/>
          <w:szCs w:val="20"/>
          <w:lang w:val="en-US"/>
        </w:rPr>
      </w:pPr>
    </w:p>
    <w:p w:rsidR="00F775BC" w:rsidRPr="00D56FC8" w:rsidRDefault="00F775BC">
      <w:pPr>
        <w:tabs>
          <w:tab w:val="center" w:pos="4320"/>
          <w:tab w:val="right" w:pos="9242"/>
        </w:tabs>
        <w:jc w:val="center"/>
        <w:rPr>
          <w:color w:val="000000"/>
          <w:sz w:val="20"/>
          <w:lang w:val="en-US"/>
        </w:rPr>
      </w:pPr>
      <w:r w:rsidRPr="00D56FC8">
        <w:rPr>
          <w:color w:val="000000"/>
          <w:sz w:val="20"/>
          <w:lang w:val="en-US"/>
        </w:rPr>
        <w:tab/>
      </w:r>
      <w:r w:rsidRPr="00D56FC8">
        <w:rPr>
          <w:color w:val="000000"/>
          <w:position w:val="-34"/>
          <w:sz w:val="20"/>
          <w:szCs w:val="20"/>
          <w:lang w:val="en-US"/>
        </w:rPr>
        <w:object w:dxaOrig="1820" w:dyaOrig="679">
          <v:shape id="Object 56" o:spid="_x0000_i1059" type="#_x0000_t75" style="width:91.35pt;height:34.4pt;mso-position-horizontal-relative:page;mso-position-vertical-relative:page" o:ole="">
            <v:fill o:detectmouseclick="t"/>
            <v:imagedata r:id="rId95" o:title=""/>
          </v:shape>
          <o:OLEObject Type="Embed" ProgID="Equation.DSMT4" ShapeID="Object 56" DrawAspect="Content" ObjectID="_1829805981" r:id="rId96"/>
        </w:object>
      </w:r>
      <w:r w:rsidRPr="00D56FC8">
        <w:rPr>
          <w:color w:val="000000"/>
          <w:sz w:val="20"/>
          <w:szCs w:val="20"/>
          <w:lang w:val="en-US"/>
        </w:rPr>
        <w:t>.</w:t>
      </w:r>
      <w:r w:rsidRPr="00D56FC8">
        <w:rPr>
          <w:color w:val="000000"/>
          <w:sz w:val="20"/>
          <w:lang w:val="en-US"/>
        </w:rPr>
        <w:tab/>
        <w:t>(33)</w:t>
      </w:r>
    </w:p>
    <w:p w:rsidR="00F775BC" w:rsidRPr="00D56FC8" w:rsidRDefault="00F775BC">
      <w:pPr>
        <w:widowControl w:val="0"/>
        <w:jc w:val="both"/>
        <w:rPr>
          <w:color w:val="000000"/>
          <w:sz w:val="20"/>
          <w:szCs w:val="20"/>
          <w:lang w:val="en-US"/>
        </w:rPr>
      </w:pPr>
    </w:p>
    <w:p w:rsidR="00F775BC" w:rsidRPr="00D56FC8" w:rsidRDefault="00F775BC">
      <w:pPr>
        <w:widowControl w:val="0"/>
        <w:ind w:firstLine="283"/>
        <w:jc w:val="both"/>
        <w:rPr>
          <w:color w:val="000000"/>
          <w:sz w:val="20"/>
          <w:szCs w:val="20"/>
          <w:lang w:val="en-US" w:eastAsia="zh-CN"/>
        </w:rPr>
      </w:pPr>
      <w:r w:rsidRPr="00D56FC8">
        <w:rPr>
          <w:color w:val="000000"/>
          <w:sz w:val="20"/>
          <w:szCs w:val="20"/>
          <w:lang w:val="en-US" w:eastAsia="zh-CN"/>
        </w:rPr>
        <w:t>Thus, a comprehensive assessment of the technogenic and ecological safety throughout the entire life cycle of a power plant with RICE</w:t>
      </w:r>
      <w:r w:rsidRPr="00D56FC8">
        <w:rPr>
          <w:color w:val="000000"/>
          <w:sz w:val="20"/>
          <w:szCs w:val="20"/>
          <w:lang w:eastAsia="zh-CN"/>
        </w:rPr>
        <w:t xml:space="preserve"> </w:t>
      </w:r>
      <w:r w:rsidRPr="00D56FC8">
        <w:rPr>
          <w:color w:val="000000"/>
          <w:sz w:val="20"/>
          <w:szCs w:val="20"/>
          <w:lang w:val="en-US"/>
        </w:rPr>
        <w:t>–</w:t>
      </w:r>
      <w:r w:rsidRPr="00D56FC8">
        <w:rPr>
          <w:color w:val="000000"/>
          <w:sz w:val="20"/>
          <w:szCs w:val="20"/>
        </w:rPr>
        <w:t xml:space="preserve"> </w:t>
      </w:r>
      <w:r w:rsidRPr="00D56FC8">
        <w:rPr>
          <w:color w:val="000000"/>
          <w:sz w:val="20"/>
          <w:szCs w:val="20"/>
          <w:lang w:val="en-US" w:eastAsia="zh-CN"/>
        </w:rPr>
        <w:t>including operation and disposal (Post</w:t>
      </w:r>
      <w:r w:rsidRPr="00D56FC8">
        <w:rPr>
          <w:color w:val="000000"/>
          <w:sz w:val="20"/>
          <w:szCs w:val="20"/>
          <w:lang w:val="en-US"/>
        </w:rPr>
        <w:t>–</w:t>
      </w:r>
      <w:r w:rsidRPr="00D56FC8">
        <w:rPr>
          <w:color w:val="000000"/>
          <w:sz w:val="20"/>
          <w:szCs w:val="20"/>
          <w:lang w:val="en-US" w:eastAsia="zh-CN"/>
        </w:rPr>
        <w:t>Production stage)</w:t>
      </w:r>
      <w:r w:rsidRPr="00D56FC8">
        <w:rPr>
          <w:color w:val="000000"/>
          <w:sz w:val="20"/>
          <w:szCs w:val="20"/>
          <w:lang w:eastAsia="zh-CN"/>
        </w:rPr>
        <w:t xml:space="preserve"> </w:t>
      </w:r>
      <w:r w:rsidRPr="00D56FC8">
        <w:rPr>
          <w:color w:val="000000"/>
          <w:sz w:val="20"/>
          <w:szCs w:val="20"/>
          <w:lang w:val="en-US"/>
        </w:rPr>
        <w:t>–</w:t>
      </w:r>
      <w:r w:rsidRPr="00D56FC8">
        <w:rPr>
          <w:color w:val="000000"/>
          <w:sz w:val="20"/>
          <w:szCs w:val="20"/>
        </w:rPr>
        <w:t xml:space="preserve"> </w:t>
      </w:r>
      <w:r w:rsidRPr="00D56FC8">
        <w:rPr>
          <w:color w:val="000000"/>
          <w:sz w:val="20"/>
          <w:szCs w:val="20"/>
          <w:lang w:val="en-US" w:eastAsia="zh-CN"/>
        </w:rPr>
        <w:t>can, according to the proposed approach, be represented by the vector of the Ecological, Energy, and Economic Efficiency Index</w:t>
      </w:r>
      <w:r w:rsidRPr="00D56FC8">
        <w:rPr>
          <w:i/>
          <w:iCs/>
          <w:color w:val="000000"/>
          <w:sz w:val="20"/>
          <w:szCs w:val="20"/>
          <w:lang w:val="en-US" w:eastAsia="zh-CN"/>
        </w:rPr>
        <w:t xml:space="preserve"> 4EI</w:t>
      </w:r>
      <w:r w:rsidRPr="00D56FC8">
        <w:rPr>
          <w:color w:val="000000"/>
          <w:sz w:val="20"/>
          <w:szCs w:val="20"/>
          <w:lang w:val="en-US" w:eastAsia="zh-CN"/>
        </w:rPr>
        <w:t xml:space="preserve">. This is the combined product of three vectors: index vector </w:t>
      </w:r>
      <w:r w:rsidRPr="00D56FC8">
        <w:rPr>
          <w:i/>
          <w:iCs/>
          <w:color w:val="000000"/>
          <w:sz w:val="20"/>
          <w:szCs w:val="20"/>
          <w:lang w:val="en-US" w:eastAsia="zh-CN"/>
        </w:rPr>
        <w:t>3EI</w:t>
      </w:r>
      <w:r w:rsidRPr="00D56FC8">
        <w:rPr>
          <w:color w:val="000000"/>
          <w:sz w:val="20"/>
          <w:szCs w:val="20"/>
          <w:lang w:val="en-US" w:eastAsia="zh-CN"/>
        </w:rPr>
        <w:t xml:space="preserve">, index vector </w:t>
      </w:r>
      <w:r w:rsidRPr="00D56FC8">
        <w:rPr>
          <w:i/>
          <w:iCs/>
          <w:color w:val="000000"/>
          <w:sz w:val="20"/>
          <w:szCs w:val="20"/>
          <w:lang w:val="en-US" w:eastAsia="zh-CN"/>
        </w:rPr>
        <w:t>2EUI</w:t>
      </w:r>
      <w:r w:rsidRPr="00D56FC8">
        <w:rPr>
          <w:color w:val="000000"/>
          <w:sz w:val="20"/>
          <w:szCs w:val="20"/>
          <w:lang w:val="en-US"/>
        </w:rPr>
        <w:t xml:space="preserve"> and </w:t>
      </w:r>
      <w:r w:rsidRPr="00D56FC8">
        <w:rPr>
          <w:color w:val="000000"/>
          <w:sz w:val="20"/>
          <w:szCs w:val="20"/>
          <w:lang w:val="en-US" w:eastAsia="zh-CN"/>
        </w:rPr>
        <w:t xml:space="preserve">vector </w:t>
      </w:r>
      <w:r w:rsidRPr="00D56FC8">
        <w:rPr>
          <w:i/>
          <w:iCs/>
          <w:color w:val="000000"/>
          <w:sz w:val="20"/>
          <w:szCs w:val="20"/>
          <w:lang w:val="en-US" w:eastAsia="zh-CN"/>
        </w:rPr>
        <w:t>z</w:t>
      </w:r>
      <w:r w:rsidRPr="00D56FC8">
        <w:rPr>
          <w:i/>
          <w:iCs/>
          <w:color w:val="000000"/>
          <w:sz w:val="20"/>
          <w:szCs w:val="20"/>
          <w:vertAlign w:val="subscript"/>
          <w:lang w:val="en-US" w:eastAsia="zh-CN"/>
        </w:rPr>
        <w:t>fe</w:t>
      </w:r>
      <w:r w:rsidRPr="00D56FC8">
        <w:rPr>
          <w:color w:val="000000"/>
          <w:sz w:val="20"/>
          <w:szCs w:val="20"/>
          <w:lang w:val="en-US"/>
        </w:rPr>
        <w:t xml:space="preserve">, thus, it is a scalar dimensional quantity (expressed in $/(kW∙h)) and is determined by the formula (34): scalar product of the vector </w:t>
      </w:r>
      <w:r w:rsidRPr="00D56FC8">
        <w:rPr>
          <w:i/>
          <w:iCs/>
          <w:color w:val="000000"/>
          <w:sz w:val="20"/>
          <w:szCs w:val="20"/>
          <w:lang w:val="en-US" w:eastAsia="zh-CN"/>
        </w:rPr>
        <w:t>z</w:t>
      </w:r>
      <w:r w:rsidRPr="00D56FC8">
        <w:rPr>
          <w:i/>
          <w:iCs/>
          <w:color w:val="000000"/>
          <w:sz w:val="20"/>
          <w:szCs w:val="20"/>
          <w:vertAlign w:val="subscript"/>
          <w:lang w:val="en-US" w:eastAsia="zh-CN"/>
        </w:rPr>
        <w:t>fe</w:t>
      </w:r>
      <w:r w:rsidRPr="00D56FC8">
        <w:rPr>
          <w:color w:val="000000"/>
          <w:sz w:val="20"/>
          <w:szCs w:val="20"/>
          <w:lang w:val="en-US"/>
        </w:rPr>
        <w:t xml:space="preserve"> on the vector product of vectors </w:t>
      </w:r>
      <w:r w:rsidRPr="00D56FC8">
        <w:rPr>
          <w:i/>
          <w:iCs/>
          <w:color w:val="000000"/>
          <w:sz w:val="20"/>
          <w:szCs w:val="20"/>
          <w:lang w:val="en-US" w:eastAsia="zh-CN"/>
        </w:rPr>
        <w:t>3EI</w:t>
      </w:r>
      <w:r w:rsidRPr="00D56FC8">
        <w:rPr>
          <w:color w:val="000000"/>
          <w:sz w:val="20"/>
          <w:szCs w:val="20"/>
          <w:lang w:val="en-US"/>
        </w:rPr>
        <w:t xml:space="preserve"> and </w:t>
      </w:r>
      <w:r w:rsidRPr="00D56FC8">
        <w:rPr>
          <w:i/>
          <w:iCs/>
          <w:color w:val="000000"/>
          <w:sz w:val="20"/>
          <w:szCs w:val="20"/>
          <w:lang w:val="en-US" w:eastAsia="zh-CN"/>
        </w:rPr>
        <w:t>2EUI</w:t>
      </w:r>
      <w:r w:rsidRPr="00D56FC8">
        <w:rPr>
          <w:color w:val="000000"/>
          <w:sz w:val="20"/>
          <w:szCs w:val="20"/>
          <w:lang w:val="en-US" w:eastAsia="zh-CN"/>
        </w:rPr>
        <w:t xml:space="preserve">. </w:t>
      </w:r>
    </w:p>
    <w:p w:rsidR="00F775BC" w:rsidRPr="00D56FC8" w:rsidRDefault="00F775BC">
      <w:pPr>
        <w:widowControl w:val="0"/>
        <w:tabs>
          <w:tab w:val="left" w:pos="3181"/>
        </w:tabs>
        <w:jc w:val="both"/>
        <w:rPr>
          <w:color w:val="000000"/>
          <w:sz w:val="20"/>
          <w:szCs w:val="20"/>
          <w:lang w:val="en-US" w:eastAsia="zh-CN"/>
        </w:rPr>
      </w:pPr>
    </w:p>
    <w:p w:rsidR="00F775BC" w:rsidRPr="00D56FC8" w:rsidRDefault="00F775BC">
      <w:pPr>
        <w:widowControl w:val="0"/>
        <w:jc w:val="center"/>
        <w:rPr>
          <w:color w:val="000000"/>
          <w:sz w:val="20"/>
          <w:szCs w:val="20"/>
          <w:lang w:val="en-US" w:eastAsia="zh-CN"/>
        </w:rPr>
      </w:pPr>
      <w:r w:rsidRPr="00D56FC8">
        <w:rPr>
          <w:color w:val="000000"/>
          <w:position w:val="-14"/>
          <w:sz w:val="20"/>
          <w:szCs w:val="20"/>
          <w:lang w:val="en-US"/>
        </w:rPr>
        <w:object w:dxaOrig="5319" w:dyaOrig="379">
          <v:shape id="Object 57" o:spid="_x0000_i1060" type="#_x0000_t75" style="width:267.6pt;height:19.35pt;mso-position-horizontal-relative:page;mso-position-vertical-relative:page" o:ole="">
            <v:fill o:detectmouseclick="t"/>
            <v:imagedata r:id="rId97" o:title=""/>
          </v:shape>
          <o:OLEObject Type="Embed" ProgID="Equation.DSMT4" ShapeID="Object 57" DrawAspect="Content" ObjectID="_1829805982" r:id="rId98"/>
        </w:object>
      </w:r>
    </w:p>
    <w:p w:rsidR="00F775BC" w:rsidRPr="00D56FC8" w:rsidRDefault="00F775BC">
      <w:pPr>
        <w:widowControl w:val="0"/>
        <w:jc w:val="center"/>
        <w:rPr>
          <w:color w:val="000000"/>
          <w:sz w:val="20"/>
          <w:szCs w:val="20"/>
          <w:lang w:val="en-US"/>
        </w:rPr>
      </w:pPr>
      <w:r w:rsidRPr="00D56FC8">
        <w:rPr>
          <w:color w:val="000000"/>
          <w:position w:val="-16"/>
          <w:sz w:val="20"/>
          <w:szCs w:val="20"/>
          <w:lang w:val="en-US"/>
        </w:rPr>
        <w:object w:dxaOrig="7193" w:dyaOrig="418">
          <v:shape id="Object 58" o:spid="_x0000_i1061" type="#_x0000_t75" style="width:361.05pt;height:21.5pt;mso-position-horizontal-relative:page;mso-position-vertical-relative:page" o:ole="">
            <v:fill o:detectmouseclick="t"/>
            <v:imagedata r:id="rId99" o:title=""/>
          </v:shape>
          <o:OLEObject Type="Embed" ProgID="Equation.DSMT4" ShapeID="Object 58" DrawAspect="Content" ObjectID="_1829805983" r:id="rId100"/>
        </w:object>
      </w:r>
    </w:p>
    <w:p w:rsidR="00F775BC" w:rsidRPr="00D56FC8" w:rsidRDefault="00F775BC">
      <w:pPr>
        <w:widowControl w:val="0"/>
        <w:jc w:val="center"/>
        <w:rPr>
          <w:color w:val="000000"/>
          <w:sz w:val="20"/>
          <w:szCs w:val="20"/>
          <w:lang w:val="en-US"/>
        </w:rPr>
      </w:pPr>
      <w:r w:rsidRPr="00D56FC8">
        <w:rPr>
          <w:color w:val="000000"/>
          <w:position w:val="-18"/>
          <w:sz w:val="20"/>
          <w:szCs w:val="20"/>
          <w:lang w:val="en-US"/>
        </w:rPr>
        <w:object w:dxaOrig="3900" w:dyaOrig="459">
          <v:shape id="Object 59" o:spid="_x0000_i1062" type="#_x0000_t75" style="width:195.6pt;height:22.55pt;mso-position-horizontal-relative:page;mso-position-vertical-relative:page" o:ole="">
            <v:fill o:detectmouseclick="t"/>
            <v:imagedata r:id="rId101" o:title=""/>
          </v:shape>
          <o:OLEObject Type="Embed" ProgID="Equation.DSMT4" ShapeID="Object 59" DrawAspect="Content" ObjectID="_1829805984" r:id="rId102"/>
        </w:object>
      </w:r>
    </w:p>
    <w:p w:rsidR="00F775BC" w:rsidRPr="00D56FC8" w:rsidRDefault="00F775BC">
      <w:pPr>
        <w:widowControl w:val="0"/>
        <w:jc w:val="center"/>
        <w:rPr>
          <w:color w:val="000000"/>
          <w:sz w:val="20"/>
          <w:szCs w:val="20"/>
          <w:lang w:val="en-US"/>
        </w:rPr>
      </w:pPr>
      <w:r w:rsidRPr="00D56FC8">
        <w:rPr>
          <w:color w:val="000000"/>
          <w:position w:val="-34"/>
          <w:sz w:val="20"/>
          <w:szCs w:val="20"/>
          <w:lang w:val="en-US"/>
        </w:rPr>
        <w:object w:dxaOrig="7520" w:dyaOrig="779">
          <v:shape id="Object 60" o:spid="_x0000_i1063" type="#_x0000_t75" style="width:377.2pt;height:38.7pt;mso-position-horizontal-relative:page;mso-position-vertical-relative:page" o:ole="">
            <v:fill o:detectmouseclick="t"/>
            <v:imagedata r:id="rId103" o:title=""/>
          </v:shape>
          <o:OLEObject Type="Embed" ProgID="Equation.DSMT4" ShapeID="Object 60" DrawAspect="Content" ObjectID="_1829805985" r:id="rId104"/>
        </w:object>
      </w:r>
    </w:p>
    <w:p w:rsidR="00F775BC" w:rsidRPr="00D56FC8" w:rsidRDefault="00F775BC">
      <w:pPr>
        <w:widowControl w:val="0"/>
        <w:jc w:val="both"/>
        <w:rPr>
          <w:color w:val="000000"/>
          <w:sz w:val="20"/>
          <w:szCs w:val="20"/>
          <w:lang w:val="en-US"/>
        </w:rPr>
      </w:pPr>
    </w:p>
    <w:p w:rsidR="00F775BC" w:rsidRPr="00D56FC8" w:rsidRDefault="00F775BC">
      <w:pPr>
        <w:widowControl w:val="0"/>
        <w:jc w:val="center"/>
        <w:rPr>
          <w:color w:val="000000"/>
          <w:sz w:val="20"/>
          <w:szCs w:val="20"/>
          <w:lang w:val="en-US"/>
        </w:rPr>
      </w:pPr>
      <w:r w:rsidRPr="00D56FC8">
        <w:rPr>
          <w:color w:val="000000"/>
          <w:position w:val="-24"/>
          <w:sz w:val="20"/>
          <w:szCs w:val="20"/>
          <w:lang w:val="en-US"/>
        </w:rPr>
        <w:object w:dxaOrig="5800" w:dyaOrig="579">
          <v:shape id="Object 61" o:spid="_x0000_i1064" type="#_x0000_t75" style="width:291.2pt;height:29pt;mso-position-horizontal-relative:page;mso-position-vertical-relative:page" o:ole="">
            <v:fill o:detectmouseclick="t"/>
            <v:imagedata r:id="rId105" o:title=""/>
          </v:shape>
          <o:OLEObject Type="Embed" ProgID="Equation.DSMT4" ShapeID="Object 61" DrawAspect="Content" ObjectID="_1829805986" r:id="rId106"/>
        </w:object>
      </w:r>
    </w:p>
    <w:p w:rsidR="00F775BC" w:rsidRPr="00D56FC8" w:rsidRDefault="00F775BC">
      <w:pPr>
        <w:widowControl w:val="0"/>
        <w:jc w:val="right"/>
        <w:rPr>
          <w:color w:val="000000"/>
          <w:sz w:val="20"/>
          <w:szCs w:val="20"/>
          <w:lang w:val="en-US" w:eastAsia="zh-CN"/>
        </w:rPr>
      </w:pPr>
      <w:r w:rsidRPr="00D56FC8">
        <w:rPr>
          <w:color w:val="000000"/>
          <w:position w:val="-34"/>
          <w:sz w:val="20"/>
          <w:szCs w:val="20"/>
          <w:lang w:val="en-US"/>
        </w:rPr>
        <w:object w:dxaOrig="8140" w:dyaOrig="779">
          <v:shape id="Object 62" o:spid="_x0000_i1065" type="#_x0000_t75" style="width:408.35pt;height:38.7pt;mso-position-horizontal-relative:page;mso-position-vertical-relative:page" o:ole="">
            <v:fill o:detectmouseclick="t"/>
            <v:imagedata r:id="rId107" o:title=""/>
          </v:shape>
          <o:OLEObject Type="Embed" ProgID="Equation.DSMT4" ShapeID="Object 62" DrawAspect="Content" ObjectID="_1829805987" r:id="rId108"/>
        </w:object>
      </w:r>
      <w:r w:rsidRPr="00D56FC8">
        <w:rPr>
          <w:color w:val="000000"/>
          <w:sz w:val="20"/>
          <w:szCs w:val="20"/>
          <w:lang w:val="en-US" w:eastAsia="zh-CN"/>
        </w:rPr>
        <w:t xml:space="preserve">, </w:t>
      </w:r>
      <w:r w:rsidRPr="00D56FC8">
        <w:rPr>
          <w:color w:val="000000"/>
          <w:sz w:val="20"/>
          <w:szCs w:val="20"/>
          <w:lang w:val="en-US"/>
        </w:rPr>
        <w:t xml:space="preserve">$/(kW∙h). </w:t>
      </w:r>
      <w:r w:rsidRPr="00D56FC8">
        <w:rPr>
          <w:color w:val="000000"/>
          <w:sz w:val="20"/>
          <w:szCs w:val="20"/>
          <w:lang w:val="en-US" w:eastAsia="zh-CN"/>
        </w:rPr>
        <w:t>(34)</w:t>
      </w:r>
    </w:p>
    <w:p w:rsidR="00F775BC" w:rsidRPr="00D56FC8" w:rsidRDefault="00F775BC">
      <w:pPr>
        <w:widowControl w:val="0"/>
        <w:tabs>
          <w:tab w:val="left" w:pos="360"/>
        </w:tabs>
        <w:ind w:firstLine="283"/>
        <w:jc w:val="both"/>
        <w:rPr>
          <w:color w:val="000000"/>
          <w:sz w:val="20"/>
          <w:szCs w:val="20"/>
          <w:lang w:val="en-US" w:eastAsia="zh-CN"/>
        </w:rPr>
      </w:pPr>
    </w:p>
    <w:p w:rsidR="00F775BC" w:rsidRPr="00D56FC8" w:rsidRDefault="00F775BC">
      <w:pPr>
        <w:widowControl w:val="0"/>
        <w:tabs>
          <w:tab w:val="left" w:pos="360"/>
        </w:tabs>
        <w:ind w:firstLine="283"/>
        <w:jc w:val="both"/>
        <w:rPr>
          <w:color w:val="000000"/>
          <w:sz w:val="20"/>
          <w:szCs w:val="20"/>
          <w:lang w:val="en-US" w:eastAsia="zh-CN"/>
        </w:rPr>
      </w:pPr>
      <w:r w:rsidRPr="00D56FC8">
        <w:rPr>
          <w:color w:val="000000"/>
          <w:sz w:val="20"/>
          <w:szCs w:val="20"/>
          <w:lang w:val="en-US" w:eastAsia="zh-CN"/>
        </w:rPr>
        <w:t>This approach represents a significant alternative to the Index of Particulate Matter Filter Efficiency in environmental protection technologies for diesel generators using biofuels, as developed in study [34] and presented in the conference proceedings [49] in 2021 by the corresponding author of this article, Prof. Oleksandr Kondratenko. Nevertheless, it draws upon the experience gained from comparative analyses, computational studies, and practical applications of the aforementioned criterion. It should also be noted that a complex, criteria-based assessment has been successfully applied by the authors in research on the development of an ecological safety framework for the operational model of a firefighting and emergency-rescue vehicle with a reciprocating internal combustion engine consuming a mixture of biodiesel and petroleum fuel [50].</w:t>
      </w:r>
    </w:p>
    <w:p w:rsidR="00F775BC" w:rsidRPr="00D56FC8" w:rsidRDefault="00F775BC">
      <w:pPr>
        <w:widowControl w:val="0"/>
        <w:tabs>
          <w:tab w:val="left" w:pos="360"/>
        </w:tabs>
        <w:ind w:firstLine="283"/>
        <w:jc w:val="both"/>
        <w:rPr>
          <w:color w:val="000000"/>
          <w:sz w:val="20"/>
          <w:szCs w:val="20"/>
          <w:lang w:val="en-US" w:eastAsia="zh-CN"/>
        </w:rPr>
      </w:pPr>
      <w:r w:rsidRPr="00D56FC8">
        <w:rPr>
          <w:color w:val="000000"/>
          <w:sz w:val="20"/>
          <w:szCs w:val="20"/>
          <w:lang w:val="en-US" w:eastAsia="zh-CN"/>
        </w:rPr>
        <w:t>The proposed new approach to a complex criteria-based assessment of the ES level the application of PP with RICE, in particular FERV divisions of the SES of Ukraine, at the stages of the life cycle «Accident-free Exploitation» and «Utilization» (however, without taking into account the stage «Designing and Manufacturing») has the following sub-stage, in a certain sense «physical content».</w:t>
      </w:r>
    </w:p>
    <w:p w:rsidR="00F775BC" w:rsidRPr="00D56FC8" w:rsidRDefault="00F775BC">
      <w:pPr>
        <w:widowControl w:val="0"/>
        <w:tabs>
          <w:tab w:val="left" w:pos="360"/>
        </w:tabs>
        <w:ind w:firstLine="283"/>
        <w:jc w:val="both"/>
        <w:rPr>
          <w:color w:val="000000"/>
          <w:sz w:val="20"/>
          <w:szCs w:val="20"/>
          <w:lang w:val="en-US" w:eastAsia="zh-CN"/>
        </w:rPr>
      </w:pPr>
      <w:r w:rsidRPr="00D56FC8">
        <w:rPr>
          <w:color w:val="000000"/>
          <w:sz w:val="20"/>
          <w:szCs w:val="20"/>
          <w:lang w:val="en-US" w:eastAsia="zh-CN"/>
        </w:rPr>
        <w:t>1. The principle of combining pairwise scalar dimensionless indicators, similar in terms of the characteristics of the life cycle stage, but different in terms of the ES factors taken into account, as well as two scalar dimensional heterogeneous quantities with monetary equivalents, by transforming them into a single two-component vector:</w:t>
      </w:r>
    </w:p>
    <w:p w:rsidR="00F775BC" w:rsidRPr="00D56FC8" w:rsidRDefault="00F775BC">
      <w:pPr>
        <w:widowControl w:val="0"/>
        <w:tabs>
          <w:tab w:val="left" w:pos="360"/>
        </w:tabs>
        <w:ind w:firstLine="283"/>
        <w:jc w:val="both"/>
        <w:rPr>
          <w:color w:val="000000"/>
          <w:sz w:val="20"/>
          <w:szCs w:val="20"/>
          <w:lang w:val="en-US" w:eastAsia="zh-CN"/>
        </w:rPr>
      </w:pPr>
      <w:r w:rsidRPr="00D56FC8">
        <w:rPr>
          <w:color w:val="000000"/>
          <w:sz w:val="20"/>
          <w:szCs w:val="20"/>
          <w:lang w:val="en-US"/>
        </w:rPr>
        <w:t xml:space="preserve">– </w:t>
      </w:r>
      <w:r w:rsidRPr="00D56FC8">
        <w:rPr>
          <w:color w:val="000000"/>
          <w:sz w:val="20"/>
          <w:szCs w:val="20"/>
          <w:lang w:val="en-US" w:eastAsia="zh-CN"/>
        </w:rPr>
        <w:t>the complex Fuel</w:t>
      </w:r>
      <w:r w:rsidRPr="00D56FC8">
        <w:rPr>
          <w:color w:val="000000"/>
          <w:sz w:val="20"/>
          <w:szCs w:val="20"/>
          <w:lang w:val="en-US"/>
        </w:rPr>
        <w:t>–</w:t>
      </w:r>
      <w:r w:rsidRPr="00D56FC8">
        <w:rPr>
          <w:color w:val="000000"/>
          <w:sz w:val="20"/>
          <w:szCs w:val="20"/>
          <w:lang w:val="en-US" w:eastAsia="zh-CN"/>
        </w:rPr>
        <w:t xml:space="preserve">Ecological Criterion </w:t>
      </w:r>
      <w:r w:rsidRPr="00D56FC8">
        <w:rPr>
          <w:i/>
          <w:iCs/>
          <w:color w:val="000000"/>
          <w:sz w:val="20"/>
          <w:szCs w:val="20"/>
          <w:lang w:val="en-US" w:eastAsia="zh-CN"/>
        </w:rPr>
        <w:t>K</w:t>
      </w:r>
      <w:r w:rsidRPr="00D56FC8">
        <w:rPr>
          <w:i/>
          <w:iCs/>
          <w:color w:val="000000"/>
          <w:sz w:val="20"/>
          <w:szCs w:val="20"/>
          <w:vertAlign w:val="subscript"/>
          <w:lang w:val="en-US" w:eastAsia="zh-CN"/>
        </w:rPr>
        <w:t>fe</w:t>
      </w:r>
      <w:r w:rsidRPr="00D56FC8">
        <w:rPr>
          <w:color w:val="000000"/>
          <w:sz w:val="20"/>
          <w:szCs w:val="20"/>
          <w:lang w:val="en-US" w:eastAsia="zh-CN"/>
        </w:rPr>
        <w:t xml:space="preserve"> and the DeCarb</w:t>
      </w:r>
      <w:r w:rsidRPr="00D56FC8">
        <w:rPr>
          <w:color w:val="000000"/>
          <w:sz w:val="20"/>
          <w:szCs w:val="20"/>
          <w:lang w:val="en-US"/>
        </w:rPr>
        <w:t>–</w:t>
      </w:r>
      <w:r w:rsidRPr="00D56FC8">
        <w:rPr>
          <w:color w:val="000000"/>
          <w:sz w:val="20"/>
          <w:szCs w:val="20"/>
          <w:lang w:val="en-US" w:eastAsia="zh-CN"/>
        </w:rPr>
        <w:t xml:space="preserve">Index </w:t>
      </w:r>
      <w:r w:rsidRPr="00D56FC8">
        <w:rPr>
          <w:i/>
          <w:iCs/>
          <w:color w:val="000000"/>
          <w:sz w:val="20"/>
          <w:szCs w:val="20"/>
          <w:lang w:val="en-US" w:eastAsia="zh-CN"/>
        </w:rPr>
        <w:t>DCI</w:t>
      </w:r>
      <w:r w:rsidRPr="00D56FC8">
        <w:rPr>
          <w:color w:val="000000"/>
          <w:sz w:val="20"/>
          <w:szCs w:val="20"/>
          <w:lang w:val="en-US" w:eastAsia="zh-CN"/>
        </w:rPr>
        <w:t xml:space="preserve"> into the dimensionless vector of the Energy and Ecological Efficiency Index </w:t>
      </w:r>
      <w:r w:rsidRPr="00D56FC8">
        <w:rPr>
          <w:i/>
          <w:iCs/>
          <w:color w:val="000000"/>
          <w:sz w:val="20"/>
          <w:szCs w:val="20"/>
          <w:lang w:val="en-US" w:eastAsia="zh-CN"/>
        </w:rPr>
        <w:t>3EI</w:t>
      </w:r>
      <w:r w:rsidRPr="00D56FC8">
        <w:rPr>
          <w:color w:val="000000"/>
          <w:sz w:val="20"/>
          <w:szCs w:val="20"/>
          <w:lang w:val="en-US" w:eastAsia="zh-CN"/>
        </w:rPr>
        <w:t xml:space="preserve">,  </w:t>
      </w:r>
    </w:p>
    <w:p w:rsidR="00F775BC" w:rsidRPr="00D56FC8" w:rsidRDefault="00F775BC">
      <w:pPr>
        <w:widowControl w:val="0"/>
        <w:tabs>
          <w:tab w:val="left" w:pos="360"/>
        </w:tabs>
        <w:ind w:firstLine="283"/>
        <w:jc w:val="both"/>
        <w:rPr>
          <w:color w:val="000000"/>
          <w:sz w:val="20"/>
          <w:szCs w:val="20"/>
          <w:lang w:val="en-US"/>
        </w:rPr>
      </w:pPr>
      <w:r w:rsidRPr="00D56FC8">
        <w:rPr>
          <w:color w:val="000000"/>
          <w:sz w:val="20"/>
          <w:szCs w:val="20"/>
          <w:lang w:val="en-US"/>
        </w:rPr>
        <w:t xml:space="preserve">– </w:t>
      </w:r>
      <w:r w:rsidRPr="00D56FC8">
        <w:rPr>
          <w:color w:val="000000"/>
          <w:sz w:val="20"/>
          <w:szCs w:val="20"/>
          <w:lang w:val="en-US" w:eastAsia="zh-CN"/>
        </w:rPr>
        <w:t xml:space="preserve">the Utilization and Disposal Index </w:t>
      </w:r>
      <w:r w:rsidRPr="00D56FC8">
        <w:rPr>
          <w:i/>
          <w:iCs/>
          <w:color w:val="000000"/>
          <w:sz w:val="20"/>
          <w:szCs w:val="20"/>
          <w:lang w:val="en-US" w:eastAsia="zh-CN"/>
        </w:rPr>
        <w:t>UDI</w:t>
      </w:r>
      <w:r w:rsidRPr="00D56FC8">
        <w:rPr>
          <w:color w:val="000000"/>
          <w:sz w:val="20"/>
          <w:szCs w:val="20"/>
          <w:lang w:val="en-US" w:eastAsia="zh-CN"/>
        </w:rPr>
        <w:t xml:space="preserve"> and the Information and Energy Index </w:t>
      </w:r>
      <w:r w:rsidRPr="00D56FC8">
        <w:rPr>
          <w:i/>
          <w:iCs/>
          <w:color w:val="000000"/>
          <w:sz w:val="20"/>
          <w:szCs w:val="20"/>
          <w:lang w:val="en-US" w:eastAsia="zh-CN"/>
        </w:rPr>
        <w:t xml:space="preserve">IEI </w:t>
      </w:r>
      <w:r w:rsidRPr="00D56FC8">
        <w:rPr>
          <w:color w:val="000000"/>
          <w:sz w:val="20"/>
          <w:szCs w:val="20"/>
          <w:lang w:val="en-US" w:eastAsia="zh-CN"/>
        </w:rPr>
        <w:t xml:space="preserve">into the dimensionless vector of the Energy and Utilization Efficiency Index </w:t>
      </w:r>
      <w:r w:rsidRPr="00D56FC8">
        <w:rPr>
          <w:i/>
          <w:iCs/>
          <w:color w:val="000000"/>
          <w:sz w:val="20"/>
          <w:szCs w:val="20"/>
          <w:lang w:val="en-US" w:eastAsia="zh-CN"/>
        </w:rPr>
        <w:t>2EUI</w:t>
      </w:r>
      <w:r w:rsidRPr="00D56FC8">
        <w:rPr>
          <w:color w:val="000000"/>
          <w:sz w:val="20"/>
          <w:szCs w:val="20"/>
          <w:lang w:val="en-US" w:eastAsia="zh-CN"/>
        </w:rPr>
        <w:t>,</w:t>
      </w:r>
    </w:p>
    <w:p w:rsidR="00F775BC" w:rsidRPr="00D56FC8" w:rsidRDefault="00F775BC">
      <w:pPr>
        <w:widowControl w:val="0"/>
        <w:tabs>
          <w:tab w:val="left" w:pos="360"/>
        </w:tabs>
        <w:ind w:firstLine="283"/>
        <w:jc w:val="both"/>
        <w:rPr>
          <w:color w:val="000000"/>
          <w:sz w:val="20"/>
          <w:szCs w:val="20"/>
          <w:lang w:val="en-US"/>
        </w:rPr>
      </w:pPr>
      <w:r w:rsidRPr="00D56FC8">
        <w:rPr>
          <w:color w:val="000000"/>
          <w:sz w:val="20"/>
          <w:szCs w:val="20"/>
          <w:lang w:val="en-US"/>
        </w:rPr>
        <w:t xml:space="preserve">– </w:t>
      </w:r>
      <w:r w:rsidRPr="00D56FC8">
        <w:rPr>
          <w:color w:val="000000"/>
          <w:sz w:val="20"/>
          <w:szCs w:val="20"/>
          <w:lang w:val="en-US" w:eastAsia="zh-CN"/>
        </w:rPr>
        <w:t xml:space="preserve">the </w:t>
      </w:r>
      <w:r w:rsidRPr="00D56FC8">
        <w:rPr>
          <w:color w:val="000000"/>
          <w:sz w:val="20"/>
          <w:szCs w:val="20"/>
          <w:lang w:val="en-US"/>
        </w:rPr>
        <w:t xml:space="preserve">monetary costs for consumed motor fuel </w:t>
      </w:r>
      <w:r w:rsidRPr="00D56FC8">
        <w:rPr>
          <w:i/>
          <w:iCs/>
          <w:color w:val="000000"/>
          <w:sz w:val="20"/>
          <w:szCs w:val="20"/>
          <w:lang w:val="en-US"/>
        </w:rPr>
        <w:t>Z</w:t>
      </w:r>
      <w:r w:rsidRPr="00D56FC8">
        <w:rPr>
          <w:i/>
          <w:iCs/>
          <w:color w:val="000000"/>
          <w:sz w:val="20"/>
          <w:szCs w:val="20"/>
          <w:vertAlign w:val="subscript"/>
          <w:lang w:val="en-US"/>
        </w:rPr>
        <w:t>f</w:t>
      </w:r>
      <w:r w:rsidRPr="00D56FC8">
        <w:rPr>
          <w:color w:val="000000"/>
          <w:sz w:val="20"/>
          <w:szCs w:val="20"/>
          <w:lang w:val="en-US"/>
        </w:rPr>
        <w:t xml:space="preserve"> and </w:t>
      </w:r>
      <w:r w:rsidRPr="00D56FC8">
        <w:rPr>
          <w:color w:val="000000"/>
          <w:sz w:val="20"/>
          <w:szCs w:val="20"/>
          <w:lang w:val="en-US" w:eastAsia="zh-CN"/>
        </w:rPr>
        <w:t xml:space="preserve">the </w:t>
      </w:r>
      <w:r w:rsidRPr="00D56FC8">
        <w:rPr>
          <w:color w:val="000000"/>
          <w:sz w:val="20"/>
          <w:szCs w:val="20"/>
          <w:lang w:val="en-US"/>
        </w:rPr>
        <w:t xml:space="preserve">compensation for ecological damage to the environment and human </w:t>
      </w:r>
      <w:r w:rsidRPr="00D56FC8">
        <w:rPr>
          <w:i/>
          <w:iCs/>
          <w:color w:val="000000"/>
          <w:sz w:val="20"/>
          <w:szCs w:val="20"/>
          <w:lang w:val="en-US"/>
        </w:rPr>
        <w:t>Z</w:t>
      </w:r>
      <w:r w:rsidRPr="00D56FC8">
        <w:rPr>
          <w:i/>
          <w:iCs/>
          <w:color w:val="000000"/>
          <w:sz w:val="20"/>
          <w:szCs w:val="20"/>
          <w:vertAlign w:val="subscript"/>
          <w:lang w:val="en-US"/>
        </w:rPr>
        <w:t>e</w:t>
      </w:r>
      <w:r w:rsidRPr="00D56FC8">
        <w:rPr>
          <w:color w:val="000000"/>
          <w:sz w:val="20"/>
          <w:szCs w:val="20"/>
          <w:lang w:val="en-US"/>
        </w:rPr>
        <w:t xml:space="preserve"> </w:t>
      </w:r>
      <w:r w:rsidRPr="00D56FC8">
        <w:rPr>
          <w:color w:val="000000"/>
          <w:sz w:val="20"/>
          <w:szCs w:val="20"/>
          <w:lang w:val="en-US" w:eastAsia="zh-CN"/>
        </w:rPr>
        <w:t xml:space="preserve">into the dimensional vector of the </w:t>
      </w:r>
      <w:r w:rsidRPr="00D56FC8">
        <w:rPr>
          <w:color w:val="000000"/>
          <w:sz w:val="20"/>
          <w:szCs w:val="20"/>
          <w:lang w:val="en-US"/>
        </w:rPr>
        <w:t>total fuel and ecological costs</w:t>
      </w:r>
      <w:r w:rsidRPr="00D56FC8">
        <w:rPr>
          <w:color w:val="000000"/>
          <w:sz w:val="20"/>
          <w:szCs w:val="20"/>
          <w:lang w:val="en-US" w:eastAsia="zh-CN"/>
        </w:rPr>
        <w:t xml:space="preserve"> </w:t>
      </w:r>
      <w:r w:rsidRPr="00D56FC8">
        <w:rPr>
          <w:i/>
          <w:iCs/>
          <w:color w:val="000000"/>
          <w:sz w:val="20"/>
          <w:szCs w:val="20"/>
          <w:lang w:val="en-US"/>
        </w:rPr>
        <w:t>Z</w:t>
      </w:r>
      <w:r w:rsidRPr="00D56FC8">
        <w:rPr>
          <w:i/>
          <w:iCs/>
          <w:color w:val="000000"/>
          <w:sz w:val="20"/>
          <w:szCs w:val="20"/>
          <w:vertAlign w:val="subscript"/>
          <w:lang w:val="en-US"/>
        </w:rPr>
        <w:t>fe</w:t>
      </w:r>
      <w:r w:rsidRPr="00D56FC8">
        <w:rPr>
          <w:color w:val="000000"/>
          <w:sz w:val="20"/>
          <w:szCs w:val="20"/>
          <w:lang w:val="en-US"/>
        </w:rPr>
        <w:t>,</w:t>
      </w:r>
    </w:p>
    <w:p w:rsidR="00F775BC" w:rsidRPr="00D56FC8" w:rsidRDefault="00F775BC">
      <w:pPr>
        <w:widowControl w:val="0"/>
        <w:tabs>
          <w:tab w:val="left" w:pos="360"/>
        </w:tabs>
        <w:jc w:val="both"/>
        <w:rPr>
          <w:color w:val="000000"/>
          <w:sz w:val="20"/>
          <w:szCs w:val="20"/>
          <w:lang w:val="en-US"/>
        </w:rPr>
      </w:pPr>
      <w:r w:rsidRPr="00D56FC8">
        <w:rPr>
          <w:color w:val="000000"/>
          <w:sz w:val="20"/>
          <w:szCs w:val="20"/>
          <w:lang w:val="en-US"/>
        </w:rPr>
        <w:t>this allows us to operate with these quantities taking into account all aspects of their fundamental differences and similarities.</w:t>
      </w:r>
    </w:p>
    <w:p w:rsidR="00F775BC" w:rsidRPr="00D56FC8" w:rsidRDefault="00F775BC">
      <w:pPr>
        <w:widowControl w:val="0"/>
        <w:tabs>
          <w:tab w:val="left" w:pos="360"/>
        </w:tabs>
        <w:ind w:firstLine="283"/>
        <w:jc w:val="both"/>
        <w:rPr>
          <w:color w:val="000000"/>
          <w:sz w:val="20"/>
          <w:szCs w:val="20"/>
          <w:lang w:val="en-US" w:eastAsia="zh-CN"/>
        </w:rPr>
      </w:pPr>
      <w:r w:rsidRPr="00D56FC8">
        <w:rPr>
          <w:color w:val="000000"/>
          <w:sz w:val="20"/>
          <w:szCs w:val="20"/>
          <w:lang w:val="en-US" w:eastAsia="zh-CN"/>
        </w:rPr>
        <w:t xml:space="preserve">2. The principle of obtaining the resulting dimensionless scalar indicator, which characterizes the ES level of the use of PP with RICE at the stages of the life cycle «Accident-free Exploitation» and «Utilization» </w:t>
      </w:r>
      <w:r w:rsidRPr="00D56FC8">
        <w:rPr>
          <w:color w:val="000000"/>
          <w:sz w:val="20"/>
          <w:szCs w:val="20"/>
          <w:lang w:val="en-US"/>
        </w:rPr>
        <w:t>–</w:t>
      </w:r>
      <w:r w:rsidRPr="00D56FC8">
        <w:rPr>
          <w:color w:val="000000"/>
          <w:sz w:val="20"/>
          <w:szCs w:val="20"/>
          <w:lang w:val="en-US" w:eastAsia="zh-CN"/>
        </w:rPr>
        <w:t xml:space="preserve"> the Index of Ecological, Energy and Economic Efficiency </w:t>
      </w:r>
      <w:r w:rsidRPr="00D56FC8">
        <w:rPr>
          <w:i/>
          <w:iCs/>
          <w:color w:val="000000"/>
          <w:sz w:val="20"/>
          <w:szCs w:val="20"/>
          <w:lang w:val="en-US" w:eastAsia="zh-CN"/>
        </w:rPr>
        <w:t>4EI</w:t>
      </w:r>
      <w:r w:rsidRPr="00D56FC8">
        <w:rPr>
          <w:color w:val="000000"/>
          <w:sz w:val="20"/>
          <w:szCs w:val="20"/>
          <w:lang w:val="en-US" w:eastAsia="zh-CN"/>
        </w:rPr>
        <w:t xml:space="preserve"> as the mixed product of three vectors: the index vector </w:t>
      </w:r>
      <w:r w:rsidRPr="00D56FC8">
        <w:rPr>
          <w:i/>
          <w:iCs/>
          <w:color w:val="000000"/>
          <w:sz w:val="20"/>
          <w:szCs w:val="20"/>
          <w:lang w:val="en-US" w:eastAsia="zh-CN"/>
        </w:rPr>
        <w:t>3EI</w:t>
      </w:r>
      <w:r w:rsidRPr="00D56FC8">
        <w:rPr>
          <w:color w:val="000000"/>
          <w:sz w:val="20"/>
          <w:szCs w:val="20"/>
          <w:lang w:val="en-US" w:eastAsia="zh-CN"/>
        </w:rPr>
        <w:t xml:space="preserve">, the index vector </w:t>
      </w:r>
      <w:r w:rsidRPr="00D56FC8">
        <w:rPr>
          <w:i/>
          <w:iCs/>
          <w:color w:val="000000"/>
          <w:sz w:val="20"/>
          <w:szCs w:val="20"/>
          <w:lang w:val="en-US" w:eastAsia="zh-CN"/>
        </w:rPr>
        <w:t>2EUI</w:t>
      </w:r>
      <w:r w:rsidRPr="00D56FC8">
        <w:rPr>
          <w:color w:val="000000"/>
          <w:sz w:val="20"/>
          <w:szCs w:val="20"/>
          <w:lang w:val="en-US" w:eastAsia="zh-CN"/>
        </w:rPr>
        <w:t xml:space="preserve"> and the vector </w:t>
      </w:r>
      <w:r w:rsidRPr="00D56FC8">
        <w:rPr>
          <w:i/>
          <w:iCs/>
          <w:color w:val="000000"/>
          <w:sz w:val="20"/>
          <w:szCs w:val="20"/>
          <w:lang w:val="en-US" w:eastAsia="zh-CN"/>
        </w:rPr>
        <w:t>z</w:t>
      </w:r>
      <w:r w:rsidRPr="00D56FC8">
        <w:rPr>
          <w:i/>
          <w:iCs/>
          <w:color w:val="000000"/>
          <w:sz w:val="20"/>
          <w:szCs w:val="20"/>
          <w:vertAlign w:val="subscript"/>
          <w:lang w:val="en-US" w:eastAsia="zh-CN"/>
        </w:rPr>
        <w:t>fe</w:t>
      </w:r>
      <w:r w:rsidRPr="00D56FC8">
        <w:rPr>
          <w:color w:val="000000"/>
          <w:sz w:val="20"/>
          <w:szCs w:val="20"/>
          <w:lang w:val="en-US" w:eastAsia="zh-CN"/>
        </w:rPr>
        <w:t>, allows using the advantages of the vector approach, taking into account the manifestations of the phenomenon of inflation and, nevertheless, obtaining a dimensionless scalar value that best corresponds to the general idea of a complex criteria-based assessment.</w:t>
      </w:r>
    </w:p>
    <w:p w:rsidR="00F775BC" w:rsidRPr="00D56FC8" w:rsidRDefault="00F775BC">
      <w:pPr>
        <w:widowControl w:val="0"/>
        <w:spacing w:before="360" w:after="360"/>
        <w:jc w:val="center"/>
        <w:rPr>
          <w:rFonts w:eastAsia="Calibri"/>
          <w:b/>
          <w:bCs/>
          <w:smallCaps/>
          <w:color w:val="000000"/>
          <w:lang w:val="en-US"/>
        </w:rPr>
      </w:pPr>
      <w:r w:rsidRPr="00D56FC8">
        <w:rPr>
          <w:rFonts w:eastAsia="Times New Roman"/>
          <w:b/>
          <w:color w:val="000000"/>
          <w:szCs w:val="20"/>
          <w:lang w:val="en-US"/>
        </w:rPr>
        <w:t>CONCLUSIONS</w:t>
      </w:r>
    </w:p>
    <w:p w:rsidR="00F775BC" w:rsidRPr="00D56FC8" w:rsidRDefault="00F775BC">
      <w:pPr>
        <w:widowControl w:val="0"/>
        <w:tabs>
          <w:tab w:val="left" w:pos="360"/>
        </w:tabs>
        <w:ind w:firstLine="283"/>
        <w:jc w:val="both"/>
        <w:rPr>
          <w:rFonts w:eastAsia="Calibri"/>
          <w:color w:val="000000"/>
          <w:sz w:val="20"/>
          <w:szCs w:val="20"/>
          <w:lang w:val="en-US"/>
        </w:rPr>
      </w:pPr>
      <w:r w:rsidRPr="00D56FC8">
        <w:rPr>
          <w:color w:val="000000"/>
          <w:sz w:val="20"/>
          <w:szCs w:val="20"/>
          <w:lang w:val="en-US"/>
        </w:rPr>
        <w:t>Thus, in this study, the selection of monetary equivalents for the complex Fuel–Ecological Criterion was substantiated through comparative calculations. The observed differences in monetary values can be interpreted as part of the methodological component of the resulting systematic error when applying this criterion. The subject of the study is fully aligned with the key provisions of the Presidential Decree №</w:t>
      </w:r>
      <w:r w:rsidRPr="00D56FC8">
        <w:rPr>
          <w:rFonts w:eastAsia="Times New Roman"/>
          <w:color w:val="000000"/>
          <w:sz w:val="20"/>
          <w:szCs w:val="20"/>
          <w:lang w:val="en-US"/>
        </w:rPr>
        <w:t xml:space="preserve"> 722/2019 of 30.09.2</w:t>
      </w:r>
      <w:r w:rsidRPr="00D56FC8">
        <w:rPr>
          <w:rFonts w:eastAsia="Calibri"/>
          <w:color w:val="000000"/>
          <w:sz w:val="20"/>
          <w:szCs w:val="20"/>
          <w:lang w:val="en-US"/>
        </w:rPr>
        <w:t xml:space="preserve">019 «About the </w:t>
      </w:r>
      <w:r w:rsidRPr="00D56FC8">
        <w:rPr>
          <w:rFonts w:eastAsia="Calibri"/>
          <w:color w:val="000000"/>
          <w:sz w:val="20"/>
          <w:szCs w:val="20"/>
          <w:lang w:val="en-US"/>
        </w:rPr>
        <w:lastRenderedPageBreak/>
        <w:t xml:space="preserve">Sustainable Development Goals of Ukraine for the period up to 2030» [51], «Regulation on the Organization of Environmental Support of the SES of Ukraine», approved by Order </w:t>
      </w:r>
      <w:r w:rsidRPr="00D56FC8">
        <w:rPr>
          <w:color w:val="000000"/>
          <w:sz w:val="20"/>
          <w:szCs w:val="20"/>
          <w:lang w:val="en-US"/>
        </w:rPr>
        <w:t>№</w:t>
      </w:r>
      <w:r w:rsidRPr="00D56FC8">
        <w:rPr>
          <w:rFonts w:eastAsia="Calibri"/>
          <w:color w:val="000000"/>
          <w:sz w:val="20"/>
          <w:szCs w:val="20"/>
          <w:lang w:val="en-US"/>
        </w:rPr>
        <w:t xml:space="preserve"> 618 of 20.09.2013 [52], Specialty passport 21.06.01 «Ecological Safety», approved by the resolution of the Presidium of the Higher Attestation Commission of Ukraine № 33-07/7 dated 04.07.2001 [53], Resolution of the Cabinet of Ministers of Ukraine № 476 dated 04/30/2024 «On approval of the list of priority thematic areas of scientific research and scientific and technical developments for the period until December 31 of the year following the termination or abolition of martial law in Ukraine» [54] and Law of Ukraine </w:t>
      </w:r>
      <w:r w:rsidRPr="00D56FC8">
        <w:rPr>
          <w:color w:val="000000"/>
          <w:sz w:val="20"/>
          <w:szCs w:val="20"/>
          <w:lang w:val="en-US"/>
        </w:rPr>
        <w:t>№</w:t>
      </w:r>
      <w:r w:rsidRPr="00D56FC8">
        <w:rPr>
          <w:rFonts w:eastAsia="Calibri"/>
          <w:color w:val="000000"/>
          <w:sz w:val="20"/>
          <w:szCs w:val="20"/>
          <w:lang w:val="en-US"/>
        </w:rPr>
        <w:t xml:space="preserve"> 3769-IX of 04.06.2024 «On Amendments to Certain Laws of Ukraine Regarding the Mandatory Use of Liquid Biofuels (Biocomponents) in the Transport Sector» [55]. </w:t>
      </w:r>
      <w:r w:rsidRPr="00D56FC8">
        <w:rPr>
          <w:color w:val="000000"/>
          <w:sz w:val="20"/>
          <w:szCs w:val="20"/>
          <w:lang w:val="en-US"/>
        </w:rPr>
        <w:t>At the same time, the research topic also corresponds to the content of the Topics of Scientific Research and Scientific and Technical (Experimental) Developments for 2025-2029, approved by Order of the MIA of Ukraine № 326 dated 21.05.2024, namely: item 25 «Modeling and Forecasting of the State of the Environment, Technologies for Overcoming Negative Impacts on It» [56]. In accordance with the Priority Areas of Scientific Activity of the NUCP of Ukraine of SES of Ukraine [57], the research topic corresponds to area 2 «Problems of increasing the efficiency of ensuring fire safety of objects, processes, etc.», item 2.5 «Methods for determining the characteristics of fire equipment, automation, signaling, other products and fire protection systems». The text of the Civil Defense Service Oath (Civil Defense Code of Ukraine in the current version of September 12, 2025, Article 108) [58] states: I swear to courageously and resolutely protect the lives and health of citizens, the property of Ukraine, and its natural environment from emergencies.</w:t>
      </w:r>
    </w:p>
    <w:p w:rsidR="00F775BC" w:rsidRPr="00D56FC8" w:rsidRDefault="00F775BC">
      <w:pPr>
        <w:widowControl w:val="0"/>
        <w:tabs>
          <w:tab w:val="left" w:pos="360"/>
        </w:tabs>
        <w:ind w:firstLine="283"/>
        <w:jc w:val="both"/>
        <w:rPr>
          <w:color w:val="000000"/>
          <w:sz w:val="20"/>
          <w:szCs w:val="20"/>
          <w:lang w:val="en-US"/>
        </w:rPr>
      </w:pPr>
      <w:r w:rsidRPr="00D56FC8">
        <w:rPr>
          <w:rFonts w:eastAsia="Calibri"/>
          <w:color w:val="000000"/>
          <w:sz w:val="20"/>
          <w:szCs w:val="20"/>
          <w:lang w:val="en-US"/>
        </w:rPr>
        <w:t xml:space="preserve">A novel criterion has been proposed for a comprehensive assessment of the level of decarbonization of internal combustion engines, their thermal environmental pollution, and associated greenhouse gas emissions, taking into account the RICE Thermal Pollution Criterion </w:t>
      </w:r>
      <w:r w:rsidRPr="00D56FC8">
        <w:rPr>
          <w:rFonts w:eastAsia="Calibri"/>
          <w:i/>
          <w:iCs/>
          <w:color w:val="000000"/>
          <w:sz w:val="20"/>
          <w:szCs w:val="20"/>
          <w:lang w:val="en-US"/>
        </w:rPr>
        <w:t>K</w:t>
      </w:r>
      <w:r w:rsidRPr="00D56FC8">
        <w:rPr>
          <w:rFonts w:eastAsia="Calibri"/>
          <w:color w:val="000000"/>
          <w:sz w:val="20"/>
          <w:szCs w:val="20"/>
          <w:lang w:val="en-US"/>
        </w:rPr>
        <w:t xml:space="preserve"> – termed the DeCarb–Index </w:t>
      </w:r>
      <w:r w:rsidRPr="00D56FC8">
        <w:rPr>
          <w:rFonts w:eastAsia="Calibri"/>
          <w:i/>
          <w:iCs/>
          <w:color w:val="000000"/>
          <w:sz w:val="20"/>
          <w:szCs w:val="20"/>
          <w:lang w:val="en-US"/>
        </w:rPr>
        <w:t>DCI</w:t>
      </w:r>
      <w:r w:rsidRPr="00D56FC8">
        <w:rPr>
          <w:rFonts w:eastAsia="Calibri"/>
          <w:color w:val="000000"/>
          <w:sz w:val="20"/>
          <w:szCs w:val="20"/>
          <w:lang w:val="en-US"/>
        </w:rPr>
        <w:t xml:space="preserve">. The placement of the value equivalents for the components of this proposed criterion has been established, and two mechanisms for incorporating the effects of inflation into the calculations have been identified: the Consumer Price Index </w:t>
      </w:r>
      <w:r w:rsidRPr="00D56FC8">
        <w:rPr>
          <w:rFonts w:eastAsia="Calibri"/>
          <w:i/>
          <w:iCs/>
          <w:color w:val="000000"/>
          <w:sz w:val="20"/>
          <w:szCs w:val="20"/>
          <w:lang w:val="en-US"/>
        </w:rPr>
        <w:t>CPI</w:t>
      </w:r>
      <w:r w:rsidRPr="00D56FC8">
        <w:rPr>
          <w:rFonts w:eastAsia="Calibri"/>
          <w:color w:val="000000"/>
          <w:sz w:val="20"/>
          <w:szCs w:val="20"/>
          <w:lang w:val="en-US"/>
        </w:rPr>
        <w:t xml:space="preserve"> and the Discount Rate</w:t>
      </w:r>
      <w:r w:rsidRPr="00D56FC8">
        <w:rPr>
          <w:color w:val="000000"/>
          <w:sz w:val="20"/>
          <w:szCs w:val="20"/>
          <w:lang w:val="en-US"/>
        </w:rPr>
        <w:t xml:space="preserve"> </w:t>
      </w:r>
      <w:r w:rsidRPr="00D56FC8">
        <w:rPr>
          <w:i/>
          <w:iCs/>
          <w:color w:val="000000"/>
          <w:sz w:val="20"/>
          <w:szCs w:val="20"/>
          <w:lang w:val="en-US"/>
        </w:rPr>
        <w:t>i</w:t>
      </w:r>
      <w:r w:rsidRPr="00D56FC8">
        <w:rPr>
          <w:color w:val="000000"/>
          <w:sz w:val="20"/>
          <w:szCs w:val="20"/>
          <w:lang w:val="en-US"/>
        </w:rPr>
        <w:t>.</w:t>
      </w:r>
    </w:p>
    <w:p w:rsidR="00F775BC" w:rsidRPr="00D56FC8" w:rsidRDefault="00F775BC">
      <w:pPr>
        <w:widowControl w:val="0"/>
        <w:tabs>
          <w:tab w:val="left" w:pos="360"/>
        </w:tabs>
        <w:ind w:firstLine="283"/>
        <w:jc w:val="both"/>
        <w:rPr>
          <w:color w:val="000000"/>
          <w:sz w:val="20"/>
          <w:szCs w:val="20"/>
          <w:lang w:val="en-US" w:eastAsia="zh-CN"/>
        </w:rPr>
      </w:pPr>
      <w:r w:rsidRPr="00D56FC8">
        <w:rPr>
          <w:color w:val="000000"/>
          <w:sz w:val="20"/>
          <w:szCs w:val="20"/>
          <w:lang w:val="en-US" w:eastAsia="zh-CN"/>
        </w:rPr>
        <w:t xml:space="preserve">A novel approach has been proposed for a comprehensive, criteria-based assessment of the ES associated with the operation of power plants with RICE, in particular, FERV units of the State Emergency Service of Ukraine, at the </w:t>
      </w:r>
      <w:r w:rsidRPr="00D56FC8">
        <w:rPr>
          <w:color w:val="000000"/>
          <w:sz w:val="20"/>
          <w:szCs w:val="20"/>
          <w:lang w:eastAsia="zh-CN"/>
        </w:rPr>
        <w:t>«</w:t>
      </w:r>
      <w:r w:rsidRPr="00D56FC8">
        <w:rPr>
          <w:color w:val="000000"/>
          <w:sz w:val="20"/>
          <w:szCs w:val="20"/>
          <w:lang w:val="en-US" w:eastAsia="zh-CN"/>
        </w:rPr>
        <w:t>Accident-Free Operation</w:t>
      </w:r>
      <w:r w:rsidRPr="00D56FC8">
        <w:rPr>
          <w:color w:val="000000"/>
          <w:sz w:val="20"/>
          <w:szCs w:val="20"/>
          <w:lang w:eastAsia="zh-CN"/>
        </w:rPr>
        <w:t>»</w:t>
      </w:r>
      <w:r w:rsidRPr="00D56FC8">
        <w:rPr>
          <w:color w:val="000000"/>
          <w:sz w:val="20"/>
          <w:szCs w:val="20"/>
          <w:lang w:val="en-US" w:eastAsia="zh-CN"/>
        </w:rPr>
        <w:t xml:space="preserve"> and </w:t>
      </w:r>
      <w:r w:rsidRPr="00D56FC8">
        <w:rPr>
          <w:color w:val="000000"/>
          <w:sz w:val="20"/>
          <w:szCs w:val="20"/>
          <w:lang w:eastAsia="zh-CN"/>
        </w:rPr>
        <w:t>«</w:t>
      </w:r>
      <w:r w:rsidRPr="00D56FC8">
        <w:rPr>
          <w:color w:val="000000"/>
          <w:sz w:val="20"/>
          <w:szCs w:val="20"/>
          <w:lang w:val="en-US" w:eastAsia="zh-CN"/>
        </w:rPr>
        <w:t>Utilization</w:t>
      </w:r>
      <w:r w:rsidRPr="00D56FC8">
        <w:rPr>
          <w:color w:val="000000"/>
          <w:sz w:val="20"/>
          <w:szCs w:val="20"/>
          <w:lang w:eastAsia="zh-CN"/>
        </w:rPr>
        <w:t>»</w:t>
      </w:r>
      <w:r w:rsidRPr="00D56FC8">
        <w:rPr>
          <w:color w:val="000000"/>
          <w:sz w:val="20"/>
          <w:szCs w:val="20"/>
          <w:lang w:val="en-US" w:eastAsia="zh-CN"/>
        </w:rPr>
        <w:t xml:space="preserve"> stages of their life cycle (however, without the stage «Designing and Manufacturing»). It involves, at the first stage, combining pairwise scalar dimensionless indicators, similar in terms of the features of the life cycle stage, but heterogeneous in terms of the ES factors taken into account, as well as two scalar dimensional heterogeneous quantities with monetary equivalents, </w:t>
      </w:r>
      <w:r w:rsidRPr="00D56FC8">
        <w:rPr>
          <w:bCs/>
          <w:color w:val="000000"/>
          <w:sz w:val="20"/>
          <w:szCs w:val="20"/>
          <w:lang w:val="en-US"/>
        </w:rPr>
        <w:t xml:space="preserve">taking into account inflation, namely, contains the product of discount rates </w:t>
      </w:r>
      <w:r w:rsidRPr="00D56FC8">
        <w:rPr>
          <w:bCs/>
          <w:i/>
          <w:iCs/>
          <w:color w:val="000000"/>
          <w:sz w:val="20"/>
          <w:szCs w:val="20"/>
          <w:lang w:val="en-US"/>
        </w:rPr>
        <w:t>i</w:t>
      </w:r>
      <w:r w:rsidRPr="00D56FC8">
        <w:rPr>
          <w:bCs/>
          <w:color w:val="000000"/>
          <w:sz w:val="20"/>
          <w:szCs w:val="20"/>
          <w:vertAlign w:val="subscript"/>
          <w:lang w:val="en-US"/>
        </w:rPr>
        <w:t>2</w:t>
      </w:r>
      <w:r w:rsidRPr="00D56FC8">
        <w:rPr>
          <w:bCs/>
          <w:color w:val="000000"/>
          <w:sz w:val="20"/>
          <w:szCs w:val="20"/>
          <w:lang w:val="en-US"/>
        </w:rPr>
        <w:t xml:space="preserve"> and </w:t>
      </w:r>
      <w:r w:rsidRPr="00D56FC8">
        <w:rPr>
          <w:bCs/>
          <w:i/>
          <w:iCs/>
          <w:color w:val="000000"/>
          <w:sz w:val="20"/>
          <w:szCs w:val="20"/>
          <w:lang w:val="en-US"/>
        </w:rPr>
        <w:t>i</w:t>
      </w:r>
      <w:r w:rsidRPr="00D56FC8">
        <w:rPr>
          <w:bCs/>
          <w:color w:val="000000"/>
          <w:sz w:val="20"/>
          <w:szCs w:val="20"/>
          <w:vertAlign w:val="subscript"/>
          <w:lang w:val="en-US"/>
        </w:rPr>
        <w:t>4</w:t>
      </w:r>
      <w:r w:rsidRPr="00D56FC8">
        <w:rPr>
          <w:bCs/>
          <w:color w:val="000000"/>
          <w:sz w:val="20"/>
          <w:szCs w:val="20"/>
          <w:lang w:val="en-US"/>
        </w:rPr>
        <w:t xml:space="preserve"> as a function of </w:t>
      </w:r>
      <w:r w:rsidRPr="00D56FC8">
        <w:rPr>
          <w:bCs/>
          <w:i/>
          <w:iCs/>
          <w:color w:val="000000"/>
          <w:sz w:val="20"/>
          <w:szCs w:val="20"/>
          <w:lang w:val="en-US"/>
        </w:rPr>
        <w:t>CPI</w:t>
      </w:r>
      <w:r w:rsidRPr="00D56FC8">
        <w:rPr>
          <w:color w:val="000000"/>
          <w:sz w:val="20"/>
          <w:szCs w:val="20"/>
          <w:lang w:val="en-US" w:eastAsia="zh-CN"/>
        </w:rPr>
        <w:t>, by converting at the second stage into a single two-component vector, which is further transformed into the resulting dimensionless scalar indicator that characterizes the ES level of the use of PP with RICE at the specified stages of the life cycle. This approach enables the analysis of these quantities by accounting for all their fundamental differences and similarities at the first stage, while leveraging the advantages of a vector-based method. It also incorporates the effects of inflation, ultimately yielding a dimensionless scalar quantity that best represents the overall concept of a complex, criteria-based assessment at the second stage. This methodology allows, firstly, the integration of contemporary decarbonization trends, including thermal energy and greenhouse gas emissions, and secondly, the evaluation of all life-cycle stages beyond the first</w:t>
      </w:r>
      <w:r w:rsidRPr="00D56FC8">
        <w:rPr>
          <w:bCs/>
          <w:color w:val="000000"/>
          <w:sz w:val="20"/>
          <w:szCs w:val="20"/>
          <w:lang w:val="en-US"/>
        </w:rPr>
        <w:t xml:space="preserve"> </w:t>
      </w:r>
      <w:r w:rsidRPr="00D56FC8">
        <w:rPr>
          <w:color w:val="000000"/>
          <w:sz w:val="20"/>
          <w:szCs w:val="20"/>
          <w:lang w:val="en-US"/>
        </w:rPr>
        <w:t>–</w:t>
      </w:r>
      <w:r w:rsidRPr="00D56FC8">
        <w:rPr>
          <w:bCs/>
          <w:color w:val="000000"/>
          <w:sz w:val="20"/>
          <w:szCs w:val="20"/>
          <w:lang w:val="en-US"/>
        </w:rPr>
        <w:t xml:space="preserve"> </w:t>
      </w:r>
      <w:r w:rsidRPr="00D56FC8">
        <w:rPr>
          <w:bCs/>
          <w:color w:val="000000"/>
          <w:sz w:val="20"/>
          <w:szCs w:val="20"/>
        </w:rPr>
        <w:t>«</w:t>
      </w:r>
      <w:r w:rsidRPr="00D56FC8">
        <w:rPr>
          <w:bCs/>
          <w:color w:val="000000"/>
          <w:sz w:val="20"/>
          <w:szCs w:val="20"/>
          <w:lang w:val="en-US"/>
        </w:rPr>
        <w:t>Design and Production</w:t>
      </w:r>
      <w:r w:rsidRPr="00D56FC8">
        <w:rPr>
          <w:bCs/>
          <w:color w:val="000000"/>
          <w:sz w:val="20"/>
          <w:szCs w:val="20"/>
        </w:rPr>
        <w:t>»</w:t>
      </w:r>
      <w:r w:rsidRPr="00D56FC8">
        <w:rPr>
          <w:bCs/>
          <w:color w:val="000000"/>
          <w:sz w:val="20"/>
          <w:szCs w:val="20"/>
          <w:lang w:val="en-US"/>
        </w:rPr>
        <w:t>.</w:t>
      </w:r>
    </w:p>
    <w:p w:rsidR="00F775BC" w:rsidRPr="00D56FC8" w:rsidRDefault="00F775BC">
      <w:pPr>
        <w:keepNext/>
        <w:spacing w:before="240" w:after="240"/>
        <w:ind w:left="720"/>
        <w:jc w:val="center"/>
        <w:outlineLvl w:val="0"/>
        <w:rPr>
          <w:rFonts w:eastAsia="Times New Roman"/>
          <w:caps/>
          <w:color w:val="000000"/>
          <w:sz w:val="20"/>
          <w:szCs w:val="20"/>
          <w:lang w:val="en-US"/>
        </w:rPr>
      </w:pPr>
      <w:r w:rsidRPr="00D56FC8">
        <w:rPr>
          <w:rFonts w:eastAsia="Times New Roman"/>
          <w:b/>
          <w:caps/>
          <w:color w:val="000000"/>
          <w:szCs w:val="20"/>
          <w:lang w:val="en-US"/>
        </w:rPr>
        <w:t>ACKNOWLEDGMENTS</w:t>
      </w:r>
    </w:p>
    <w:p w:rsidR="00F775BC" w:rsidRPr="00D56FC8" w:rsidRDefault="00F775BC">
      <w:pPr>
        <w:widowControl w:val="0"/>
        <w:tabs>
          <w:tab w:val="left" w:pos="360"/>
        </w:tabs>
        <w:ind w:firstLine="283"/>
        <w:jc w:val="both"/>
        <w:rPr>
          <w:rFonts w:eastAsia="Calibri"/>
          <w:color w:val="000000"/>
          <w:sz w:val="20"/>
          <w:szCs w:val="20"/>
          <w:lang w:val="en-US"/>
        </w:rPr>
      </w:pPr>
      <w:r w:rsidRPr="00D56FC8">
        <w:rPr>
          <w:color w:val="000000"/>
          <w:sz w:val="20"/>
          <w:szCs w:val="20"/>
          <w:lang w:val="en-US"/>
        </w:rPr>
        <w:t>The research has been performe</w:t>
      </w:r>
      <w:r w:rsidRPr="00D56FC8">
        <w:rPr>
          <w:rFonts w:eastAsia="Calibri"/>
          <w:color w:val="000000"/>
          <w:sz w:val="20"/>
          <w:szCs w:val="20"/>
          <w:lang w:val="en-US"/>
        </w:rPr>
        <w:t xml:space="preserve">d within the R&amp;D work </w:t>
      </w:r>
      <w:r w:rsidRPr="00D56FC8">
        <w:rPr>
          <w:rFonts w:eastAsia="Calibri"/>
          <w:color w:val="000000"/>
          <w:sz w:val="20"/>
          <w:szCs w:val="20"/>
        </w:rPr>
        <w:t>«</w:t>
      </w:r>
      <w:r w:rsidRPr="00D56FC8">
        <w:rPr>
          <w:rFonts w:eastAsia="Calibri"/>
          <w:color w:val="000000"/>
          <w:sz w:val="20"/>
          <w:szCs w:val="20"/>
          <w:lang w:val="en-US"/>
        </w:rPr>
        <w:t>Development of a methodology for complex assessment of the impact of exploitation and application of special equipment on the environment in conditions of military aggression</w:t>
      </w:r>
      <w:r w:rsidRPr="00D56FC8">
        <w:rPr>
          <w:rFonts w:eastAsia="Calibri"/>
          <w:color w:val="000000"/>
          <w:sz w:val="20"/>
          <w:szCs w:val="20"/>
        </w:rPr>
        <w:t>»</w:t>
      </w:r>
      <w:r w:rsidRPr="00D56FC8">
        <w:rPr>
          <w:rFonts w:eastAsia="Calibri"/>
          <w:color w:val="000000"/>
          <w:sz w:val="20"/>
          <w:szCs w:val="20"/>
          <w:lang w:val="en-US"/>
        </w:rPr>
        <w:t xml:space="preserve"> (State Reg. № 0124U000374). The materials from the VCU library system have been used, including electronic versions of journals and other materials, databases, interlibrary subscription as part of participation in Non-Resident Academic Associates program co-sponsored by the College of Humanities and Sciences at Virginia Commonwealth University and the Davis Center for Eurasian Studies at Harvard University in 202–2025 academic year.</w:t>
      </w:r>
      <w:r w:rsidRPr="00D56FC8">
        <w:rPr>
          <w:color w:val="000000"/>
          <w:sz w:val="20"/>
          <w:szCs w:val="20"/>
          <w:lang w:val="en-US"/>
        </w:rPr>
        <w:t xml:space="preserve"> </w:t>
      </w:r>
      <w:r w:rsidRPr="00D56FC8">
        <w:rPr>
          <w:rFonts w:eastAsia="Calibri"/>
          <w:color w:val="000000"/>
          <w:sz w:val="20"/>
          <w:szCs w:val="20"/>
          <w:lang w:val="en-US"/>
        </w:rPr>
        <w:t xml:space="preserve">In the study there have also been used the results of the author’s completion of the course on the educational online platform </w:t>
      </w:r>
      <w:r w:rsidRPr="00D56FC8">
        <w:rPr>
          <w:rFonts w:eastAsia="Calibri"/>
          <w:color w:val="000000"/>
          <w:sz w:val="20"/>
          <w:szCs w:val="20"/>
        </w:rPr>
        <w:t>«</w:t>
      </w:r>
      <w:r w:rsidRPr="00D56FC8">
        <w:rPr>
          <w:rFonts w:eastAsia="Calibri"/>
          <w:color w:val="000000"/>
          <w:sz w:val="20"/>
          <w:szCs w:val="20"/>
          <w:lang w:val="en-US"/>
        </w:rPr>
        <w:t>Progresylni!</w:t>
      </w:r>
      <w:r w:rsidRPr="00D56FC8">
        <w:rPr>
          <w:rFonts w:eastAsia="Calibri"/>
          <w:color w:val="000000"/>
          <w:sz w:val="20"/>
          <w:szCs w:val="20"/>
        </w:rPr>
        <w:t>»</w:t>
      </w:r>
      <w:r w:rsidRPr="00D56FC8">
        <w:rPr>
          <w:rFonts w:eastAsia="Calibri"/>
          <w:color w:val="000000"/>
          <w:sz w:val="20"/>
          <w:szCs w:val="20"/>
          <w:lang w:val="en-US"/>
        </w:rPr>
        <w:t xml:space="preserve"> </w:t>
      </w:r>
      <w:r w:rsidRPr="00D56FC8">
        <w:rPr>
          <w:rFonts w:eastAsia="Calibri"/>
          <w:color w:val="000000"/>
          <w:sz w:val="20"/>
          <w:szCs w:val="20"/>
        </w:rPr>
        <w:t>«</w:t>
      </w:r>
      <w:r w:rsidRPr="00D56FC8">
        <w:rPr>
          <w:rFonts w:eastAsia="Calibri"/>
          <w:color w:val="000000"/>
          <w:sz w:val="20"/>
          <w:szCs w:val="20"/>
          <w:lang w:val="en-US"/>
        </w:rPr>
        <w:t xml:space="preserve">Big Course </w:t>
      </w:r>
      <w:r w:rsidRPr="00D56FC8">
        <w:rPr>
          <w:rFonts w:eastAsia="Calibri"/>
          <w:color w:val="000000"/>
          <w:sz w:val="20"/>
          <w:szCs w:val="20"/>
        </w:rPr>
        <w:t>«</w:t>
      </w:r>
      <w:r w:rsidRPr="00D56FC8">
        <w:rPr>
          <w:rFonts w:eastAsia="Calibri"/>
          <w:color w:val="000000"/>
          <w:sz w:val="20"/>
          <w:szCs w:val="20"/>
          <w:lang w:val="en-US"/>
        </w:rPr>
        <w:t>About AI in Education</w:t>
      </w:r>
      <w:r w:rsidRPr="00D56FC8">
        <w:rPr>
          <w:rFonts w:eastAsia="Calibri"/>
          <w:color w:val="000000"/>
          <w:sz w:val="20"/>
          <w:szCs w:val="20"/>
        </w:rPr>
        <w:t>»</w:t>
      </w:r>
      <w:r w:rsidRPr="00D56FC8">
        <w:rPr>
          <w:rFonts w:eastAsia="Calibri"/>
          <w:color w:val="000000"/>
          <w:sz w:val="20"/>
          <w:szCs w:val="20"/>
          <w:lang w:val="en-US"/>
        </w:rPr>
        <w:t xml:space="preserve"> (26.05-09.06.2025, 1.5 ECTS credits, certificate VKShIO-1773), the course on the educational online platform </w:t>
      </w:r>
      <w:r w:rsidRPr="00D56FC8">
        <w:rPr>
          <w:rFonts w:eastAsia="Calibri"/>
          <w:color w:val="000000"/>
          <w:sz w:val="20"/>
          <w:szCs w:val="20"/>
        </w:rPr>
        <w:t>«</w:t>
      </w:r>
      <w:r w:rsidRPr="00D56FC8">
        <w:rPr>
          <w:rFonts w:eastAsia="Calibri"/>
          <w:color w:val="000000"/>
          <w:sz w:val="20"/>
          <w:szCs w:val="20"/>
          <w:lang w:val="en-US"/>
        </w:rPr>
        <w:t>Zrozumilo!</w:t>
      </w:r>
      <w:r w:rsidRPr="00D56FC8">
        <w:rPr>
          <w:rFonts w:eastAsia="Calibri"/>
          <w:color w:val="000000"/>
          <w:sz w:val="20"/>
          <w:szCs w:val="20"/>
        </w:rPr>
        <w:t>»</w:t>
      </w:r>
      <w:r w:rsidRPr="00D56FC8">
        <w:rPr>
          <w:rFonts w:eastAsia="Calibri"/>
          <w:color w:val="000000"/>
          <w:sz w:val="20"/>
          <w:szCs w:val="20"/>
          <w:lang w:val="en-US"/>
        </w:rPr>
        <w:t xml:space="preserve"> </w:t>
      </w:r>
      <w:r w:rsidRPr="00D56FC8">
        <w:rPr>
          <w:rFonts w:eastAsia="Calibri"/>
          <w:color w:val="000000"/>
          <w:sz w:val="20"/>
          <w:szCs w:val="20"/>
        </w:rPr>
        <w:t>«</w:t>
      </w:r>
      <w:r w:rsidRPr="00D56FC8">
        <w:rPr>
          <w:rFonts w:eastAsia="Calibri"/>
          <w:color w:val="000000"/>
          <w:sz w:val="20"/>
          <w:szCs w:val="20"/>
          <w:lang w:val="en-US"/>
        </w:rPr>
        <w:t>Training of Energy Auditors of Buildings and Designers (TEAD)</w:t>
      </w:r>
      <w:r w:rsidRPr="00D56FC8">
        <w:rPr>
          <w:rFonts w:eastAsia="Calibri"/>
          <w:color w:val="000000"/>
          <w:sz w:val="20"/>
          <w:szCs w:val="20"/>
        </w:rPr>
        <w:t>»</w:t>
      </w:r>
      <w:r w:rsidRPr="00D56FC8">
        <w:rPr>
          <w:rFonts w:eastAsia="Calibri"/>
          <w:color w:val="000000"/>
          <w:sz w:val="20"/>
          <w:szCs w:val="20"/>
          <w:lang w:val="en-US"/>
        </w:rPr>
        <w:t xml:space="preserve"> (23.06-23.07.2025, 3.76 ECTS credits, certificate, certificate </w:t>
      </w:r>
      <w:r w:rsidRPr="00D56FC8">
        <w:rPr>
          <w:color w:val="000000"/>
          <w:sz w:val="20"/>
          <w:szCs w:val="20"/>
          <w:lang w:val="en-US"/>
        </w:rPr>
        <w:t>№</w:t>
      </w:r>
      <w:r w:rsidRPr="00D56FC8">
        <w:rPr>
          <w:rFonts w:eastAsia="Calibri"/>
          <w:color w:val="000000"/>
          <w:sz w:val="20"/>
          <w:szCs w:val="20"/>
          <w:lang w:val="en-US"/>
        </w:rPr>
        <w:t xml:space="preserve"> 1649/25) and full-time participation in the training program </w:t>
      </w:r>
      <w:r w:rsidRPr="00D56FC8">
        <w:rPr>
          <w:rFonts w:eastAsia="Calibri"/>
          <w:color w:val="000000"/>
          <w:sz w:val="20"/>
          <w:szCs w:val="20"/>
        </w:rPr>
        <w:t>«</w:t>
      </w:r>
      <w:r w:rsidRPr="00D56FC8">
        <w:rPr>
          <w:rFonts w:eastAsia="Calibri"/>
          <w:color w:val="000000"/>
          <w:sz w:val="20"/>
          <w:szCs w:val="20"/>
          <w:lang w:val="en-US"/>
        </w:rPr>
        <w:t>Academy of Mentoring</w:t>
      </w:r>
      <w:r w:rsidRPr="00D56FC8">
        <w:rPr>
          <w:rFonts w:eastAsia="Calibri"/>
          <w:color w:val="000000"/>
          <w:sz w:val="20"/>
          <w:szCs w:val="20"/>
        </w:rPr>
        <w:t>»</w:t>
      </w:r>
      <w:r w:rsidRPr="00D56FC8">
        <w:rPr>
          <w:rFonts w:eastAsia="Calibri"/>
          <w:color w:val="000000"/>
          <w:sz w:val="20"/>
          <w:szCs w:val="20"/>
          <w:lang w:val="en-US"/>
        </w:rPr>
        <w:t xml:space="preserve"> of the Public Organization </w:t>
      </w:r>
      <w:r w:rsidRPr="00D56FC8">
        <w:rPr>
          <w:rFonts w:eastAsia="Calibri"/>
          <w:color w:val="000000"/>
          <w:sz w:val="20"/>
          <w:szCs w:val="20"/>
        </w:rPr>
        <w:t>«</w:t>
      </w:r>
      <w:r w:rsidRPr="00D56FC8">
        <w:rPr>
          <w:rFonts w:eastAsia="Calibri"/>
          <w:color w:val="000000"/>
          <w:sz w:val="20"/>
          <w:szCs w:val="20"/>
          <w:lang w:val="en-US"/>
        </w:rPr>
        <w:t>Progresylni!</w:t>
      </w:r>
      <w:r w:rsidRPr="00D56FC8">
        <w:rPr>
          <w:rFonts w:eastAsia="Calibri"/>
          <w:color w:val="000000"/>
          <w:sz w:val="20"/>
          <w:szCs w:val="20"/>
        </w:rPr>
        <w:t>»</w:t>
      </w:r>
      <w:r w:rsidRPr="00D56FC8">
        <w:rPr>
          <w:rFonts w:eastAsia="Calibri"/>
          <w:color w:val="000000"/>
          <w:sz w:val="20"/>
          <w:szCs w:val="20"/>
          <w:lang w:val="en-US"/>
        </w:rPr>
        <w:t xml:space="preserve"> (14-18.08.2025, 1.0 ECTS credits, certificate </w:t>
      </w:r>
      <w:r w:rsidRPr="00D56FC8">
        <w:rPr>
          <w:color w:val="000000"/>
          <w:sz w:val="20"/>
          <w:szCs w:val="20"/>
          <w:lang w:val="en-US"/>
        </w:rPr>
        <w:t>№ 012/AM dated 17.08.2025</w:t>
      </w:r>
      <w:r w:rsidRPr="00D56FC8">
        <w:rPr>
          <w:rFonts w:eastAsia="Calibri"/>
          <w:color w:val="000000"/>
          <w:sz w:val="20"/>
          <w:szCs w:val="20"/>
          <w:lang w:val="en-US"/>
        </w:rPr>
        <w:t>).</w:t>
      </w:r>
    </w:p>
    <w:p w:rsidR="00F775BC" w:rsidRPr="00D56FC8" w:rsidRDefault="00F775BC">
      <w:pPr>
        <w:widowControl w:val="0"/>
        <w:tabs>
          <w:tab w:val="left" w:pos="360"/>
        </w:tabs>
        <w:ind w:firstLine="283"/>
        <w:jc w:val="both"/>
        <w:rPr>
          <w:rFonts w:eastAsia="Calibri"/>
          <w:color w:val="000000"/>
          <w:sz w:val="20"/>
          <w:szCs w:val="20"/>
          <w:lang w:val="en-US"/>
        </w:rPr>
      </w:pPr>
    </w:p>
    <w:p w:rsidR="00F775BC" w:rsidRPr="00D56FC8" w:rsidRDefault="00F775BC">
      <w:pPr>
        <w:widowControl w:val="0"/>
        <w:tabs>
          <w:tab w:val="left" w:pos="360"/>
        </w:tabs>
        <w:spacing w:before="240" w:after="240"/>
        <w:jc w:val="center"/>
        <w:rPr>
          <w:rFonts w:eastAsia="Times New Roman"/>
          <w:b/>
          <w:caps/>
          <w:color w:val="000000"/>
          <w:szCs w:val="20"/>
          <w:lang w:val="en-US"/>
        </w:rPr>
      </w:pPr>
      <w:r w:rsidRPr="00D56FC8">
        <w:rPr>
          <w:rFonts w:eastAsia="Times New Roman"/>
          <w:b/>
          <w:caps/>
          <w:color w:val="000000"/>
          <w:szCs w:val="20"/>
          <w:lang w:val="en-US"/>
        </w:rPr>
        <w:lastRenderedPageBreak/>
        <w:t>Conflict of interests</w:t>
      </w:r>
    </w:p>
    <w:p w:rsidR="00F775BC" w:rsidRPr="00D56FC8" w:rsidRDefault="00F775BC">
      <w:pPr>
        <w:pStyle w:val="Paragraph"/>
        <w:rPr>
          <w:color w:val="000000"/>
          <w:lang w:val="en-US"/>
        </w:rPr>
      </w:pPr>
      <w:r w:rsidRPr="00D56FC8">
        <w:rPr>
          <w:color w:val="000000"/>
          <w:lang w:val="en-US"/>
        </w:rPr>
        <w:t>The authors declare that there is no conflict of interests regarding the publication of this paper.</w:t>
      </w:r>
    </w:p>
    <w:p w:rsidR="00F775BC" w:rsidRPr="00D56FC8" w:rsidRDefault="00F775BC">
      <w:pPr>
        <w:widowControl w:val="0"/>
        <w:tabs>
          <w:tab w:val="left" w:pos="360"/>
        </w:tabs>
        <w:spacing w:before="240" w:after="240"/>
        <w:jc w:val="center"/>
        <w:rPr>
          <w:rFonts w:eastAsia="Times New Roman"/>
          <w:b/>
          <w:caps/>
          <w:color w:val="000000"/>
          <w:szCs w:val="20"/>
          <w:lang w:val="en-US"/>
        </w:rPr>
      </w:pPr>
      <w:r w:rsidRPr="00D56FC8">
        <w:rPr>
          <w:rFonts w:eastAsia="Times New Roman"/>
          <w:b/>
          <w:caps/>
          <w:color w:val="000000"/>
          <w:szCs w:val="20"/>
          <w:lang w:val="en-US"/>
        </w:rPr>
        <w:t>AI APPLICATION DECLARATION</w:t>
      </w:r>
    </w:p>
    <w:p w:rsidR="00F775BC" w:rsidRPr="00D56FC8" w:rsidRDefault="00F775BC">
      <w:pPr>
        <w:pStyle w:val="Paragraph"/>
        <w:rPr>
          <w:color w:val="000000"/>
          <w:lang w:val="en-US"/>
        </w:rPr>
      </w:pPr>
      <w:r w:rsidRPr="00D56FC8">
        <w:rPr>
          <w:color w:val="000000"/>
          <w:lang w:val="en-US"/>
        </w:rPr>
        <w:t>The authors declare that there is no AI application regarding the publication of this paper.</w:t>
      </w:r>
    </w:p>
    <w:p w:rsidR="00F775BC" w:rsidRPr="00D56FC8" w:rsidRDefault="00F775BC">
      <w:pPr>
        <w:keepNext/>
        <w:spacing w:before="240" w:after="240"/>
        <w:ind w:left="720"/>
        <w:jc w:val="center"/>
        <w:outlineLvl w:val="0"/>
        <w:rPr>
          <w:rFonts w:eastAsia="Times New Roman"/>
          <w:caps/>
          <w:color w:val="000000"/>
          <w:sz w:val="20"/>
          <w:szCs w:val="20"/>
          <w:lang w:val="en-US"/>
        </w:rPr>
      </w:pPr>
      <w:r w:rsidRPr="00D56FC8">
        <w:rPr>
          <w:rFonts w:eastAsia="Times New Roman"/>
          <w:b/>
          <w:caps/>
          <w:color w:val="000000"/>
          <w:szCs w:val="20"/>
          <w:lang w:val="en-US"/>
        </w:rPr>
        <w:t>REFERENCES</w:t>
      </w:r>
    </w:p>
    <w:p w:rsidR="00F775BC" w:rsidRPr="00D56FC8" w:rsidRDefault="00F775BC">
      <w:pPr>
        <w:pStyle w:val="a6"/>
        <w:widowControl w:val="0"/>
        <w:tabs>
          <w:tab w:val="clear" w:pos="288"/>
        </w:tabs>
        <w:suppressAutoHyphens/>
        <w:spacing w:after="0" w:line="240" w:lineRule="auto"/>
        <w:ind w:left="426" w:hanging="426"/>
        <w:rPr>
          <w:color w:val="000000"/>
          <w:spacing w:val="0"/>
        </w:rPr>
      </w:pPr>
      <w:r w:rsidRPr="00D56FC8">
        <w:rPr>
          <w:color w:val="000000"/>
        </w:rPr>
        <w:t xml:space="preserve">[1] S. O. Vambol, V. V. Vambol, O. M. Kondratenko, and I .V. Mishchenko, </w:t>
      </w:r>
      <w:r w:rsidRPr="00D56FC8">
        <w:rPr>
          <w:i/>
          <w:iCs/>
          <w:color w:val="000000"/>
        </w:rPr>
        <w:t>Criteria based assessment of ecological safety level of exploitation process of power plants: Monograph</w:t>
      </w:r>
      <w:r w:rsidRPr="00D56FC8">
        <w:rPr>
          <w:color w:val="000000"/>
        </w:rPr>
        <w:t>, (Styl-Izdat, Kharkiv, 2018)</w:t>
      </w:r>
      <w:r w:rsidRPr="00D56FC8">
        <w:rPr>
          <w:color w:val="000000"/>
          <w:spacing w:val="0"/>
        </w:rPr>
        <w:t xml:space="preserve">. </w:t>
      </w:r>
      <w:r w:rsidRPr="00D56FC8">
        <w:rPr>
          <w:color w:val="000000"/>
        </w:rPr>
        <w:t xml:space="preserve">Available at: </w:t>
      </w:r>
      <w:hyperlink r:id="rId109" w:history="1">
        <w:r w:rsidRPr="00D56FC8">
          <w:rPr>
            <w:rStyle w:val="a4"/>
            <w:spacing w:val="0"/>
          </w:rPr>
          <w:t>http://repositsc.nuczu.edu.ua/bitstream/123456789/8457/1/Monograph_320_V2.pdf</w:t>
        </w:r>
      </w:hyperlink>
      <w:r w:rsidRPr="00D56FC8">
        <w:rPr>
          <w:color w:val="000000"/>
          <w:spacing w:val="0"/>
        </w:rPr>
        <w:t>.</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 M. I. Vasiliev, I. O. Movchan, and O. M. Koval, "Diminishing of ecological risk via optimization of fire-extinguishing system projects in timber-yards," in </w:t>
      </w:r>
      <w:r w:rsidRPr="00D56FC8">
        <w:rPr>
          <w:rStyle w:val="a3"/>
          <w:color w:val="000000"/>
        </w:rPr>
        <w:t>Naukovyi Visnyk Natsionalnoho Hirnychoho Universytetu</w:t>
      </w:r>
      <w:r w:rsidRPr="00D56FC8">
        <w:rPr>
          <w:color w:val="000000"/>
        </w:rPr>
        <w:t xml:space="preserve">, </w:t>
      </w:r>
      <w:r w:rsidRPr="00D56FC8">
        <w:rPr>
          <w:rStyle w:val="a5"/>
          <w:color w:val="000000"/>
        </w:rPr>
        <w:t>5</w:t>
      </w:r>
      <w:r w:rsidRPr="00D56FC8">
        <w:rPr>
          <w:color w:val="000000"/>
        </w:rPr>
        <w:t xml:space="preserve">, pp. 106–113, (2014). Available at: </w:t>
      </w:r>
      <w:hyperlink r:id="rId110" w:history="1">
        <w:r w:rsidRPr="00D56FC8">
          <w:rPr>
            <w:rStyle w:val="a4"/>
          </w:rPr>
          <w:t>https://www.nvngu.in.ua/index.php/en/archive/on-the-issues/985-2014/contents-no-5-2014/environmental-safety-labour-protection/2797-diminishing-of-ecological-risk-via-optimization-of-fire-extinguishing-system-projects-in-timber-yards</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bookmarkStart w:id="1" w:name="_Hlk194342162"/>
      <w:r w:rsidRPr="00D56FC8">
        <w:rPr>
          <w:color w:val="000000"/>
        </w:rPr>
        <w:t xml:space="preserve">[3] V. V. Tiutiunyk, H. V. Ivanets, I. A. Tolkunov, and E. I. Stetsyuk, "System approach for readiness assessment units of civil defense to actions at emergency situations," in </w:t>
      </w:r>
      <w:r w:rsidRPr="00D56FC8">
        <w:rPr>
          <w:i/>
          <w:iCs/>
          <w:color w:val="000000"/>
        </w:rPr>
        <w:t>Naukovyi Visnyk Natsionalnoho Hirnychoho Universytetu</w:t>
      </w:r>
      <w:r w:rsidRPr="00D56FC8">
        <w:rPr>
          <w:color w:val="000000"/>
        </w:rPr>
        <w:t xml:space="preserve">, </w:t>
      </w:r>
      <w:r w:rsidRPr="00D56FC8">
        <w:rPr>
          <w:b/>
          <w:bCs/>
          <w:color w:val="000000"/>
        </w:rPr>
        <w:t>1</w:t>
      </w:r>
      <w:r w:rsidRPr="00D56FC8">
        <w:rPr>
          <w:color w:val="000000"/>
        </w:rPr>
        <w:t xml:space="preserve">, pp. 99–105, (2018), Available at: </w:t>
      </w:r>
      <w:hyperlink r:id="rId111" w:history="1">
        <w:r w:rsidRPr="00D56FC8">
          <w:rPr>
            <w:rStyle w:val="a4"/>
          </w:rPr>
          <w:t>http://www.nvngu.in.ua/index.php/en/archive/on-the-issues/1546-2018/contents-1-2018/environmental-safety-labour-protection/4281-system-approach-for-readiness-assessment-units-of-civil-defense-to-actions-at-emergency-situations</w:t>
        </w:r>
      </w:hyperlink>
      <w:r w:rsidRPr="00D56FC8">
        <w:rPr>
          <w:color w:val="000000"/>
        </w:rPr>
        <w:t>.</w:t>
      </w:r>
      <w:bookmarkEnd w:id="1"/>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spacing w:val="0"/>
        </w:rPr>
      </w:pPr>
      <w:r w:rsidRPr="00D56FC8">
        <w:rPr>
          <w:color w:val="000000"/>
        </w:rPr>
        <w:t xml:space="preserve">[4] V. O. Shvedun, "Experience of EU countries in ensuring public administration of advertising activity," in </w:t>
      </w:r>
      <w:r w:rsidRPr="00D56FC8">
        <w:rPr>
          <w:i/>
          <w:iCs/>
          <w:color w:val="000000"/>
        </w:rPr>
        <w:t>Actual Problems of Economics</w:t>
      </w:r>
      <w:r w:rsidRPr="00D56FC8">
        <w:rPr>
          <w:color w:val="000000"/>
        </w:rPr>
        <w:t xml:space="preserve">, </w:t>
      </w:r>
      <w:r w:rsidRPr="00D56FC8">
        <w:rPr>
          <w:b/>
          <w:bCs/>
          <w:color w:val="000000"/>
        </w:rPr>
        <w:t>168</w:t>
      </w:r>
      <w:r w:rsidRPr="00D56FC8">
        <w:rPr>
          <w:color w:val="000000"/>
        </w:rPr>
        <w:t xml:space="preserve">(6), art. no. A084, pp. 84–90, (2015). Available at: </w:t>
      </w:r>
      <w:hyperlink r:id="rId112" w:history="1">
        <w:r w:rsidRPr="00D56FC8">
          <w:rPr>
            <w:rStyle w:val="a4"/>
            <w:rFonts w:eastAsia="SimSun"/>
          </w:rPr>
          <w:t>http://nbuv.gov.ua/UJRN/ape_2015_6_12</w:t>
        </w:r>
      </w:hyperlink>
      <w:r w:rsidRPr="00D56FC8">
        <w:rPr>
          <w:rStyle w:val="a4"/>
          <w:rFonts w:eastAsia="SimSun"/>
        </w:rPr>
        <w:t>.</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[5] Y. Otrosh, A. Kovalov, O. Semkiv, I. Rudeshko, and V. Diven, "Methodology remaining lifetime determination of the building structures", in </w:t>
      </w:r>
      <w:r w:rsidRPr="00D56FC8">
        <w:rPr>
          <w:i/>
          <w:iCs/>
          <w:color w:val="000000"/>
        </w:rPr>
        <w:t>MATEC Web of Conferences</w:t>
      </w:r>
      <w:r w:rsidRPr="00D56FC8">
        <w:rPr>
          <w:color w:val="000000"/>
        </w:rPr>
        <w:t xml:space="preserve">, </w:t>
      </w:r>
      <w:r w:rsidRPr="00D56FC8">
        <w:rPr>
          <w:b/>
          <w:bCs/>
          <w:color w:val="000000"/>
        </w:rPr>
        <w:t>230</w:t>
      </w:r>
      <w:r w:rsidRPr="00D56FC8">
        <w:rPr>
          <w:color w:val="000000"/>
        </w:rPr>
        <w:t xml:space="preserve">(02023), (2018). </w:t>
      </w:r>
      <w:hyperlink r:id="rId113" w:history="1">
        <w:r w:rsidRPr="00D56FC8">
          <w:rPr>
            <w:rStyle w:val="a4"/>
            <w:rFonts w:eastAsia="SimSun"/>
          </w:rPr>
          <w:t>https://doi.org/10.1051/matecconf/201823002023</w:t>
        </w:r>
      </w:hyperlink>
      <w:r w:rsidRPr="00D56FC8">
        <w:rPr>
          <w:rStyle w:val="a4"/>
          <w:rFonts w:eastAsia="SimSun"/>
        </w:rPr>
        <w:t>.</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[6] A. M. Levterov and A. A. Levterov, "Thermodynamic properties of fatty acid esters in some biodiesel fuels," in </w:t>
      </w:r>
      <w:r w:rsidRPr="00D56FC8">
        <w:rPr>
          <w:i/>
          <w:iCs/>
          <w:color w:val="000000"/>
        </w:rPr>
        <w:t>Functional Materials</w:t>
      </w:r>
      <w:r w:rsidRPr="00D56FC8">
        <w:rPr>
          <w:color w:val="000000"/>
        </w:rPr>
        <w:t xml:space="preserve">, </w:t>
      </w:r>
      <w:r w:rsidRPr="00D56FC8">
        <w:rPr>
          <w:b/>
          <w:bCs/>
          <w:color w:val="000000"/>
        </w:rPr>
        <w:t>25</w:t>
      </w:r>
      <w:r w:rsidRPr="00D56FC8">
        <w:rPr>
          <w:color w:val="000000"/>
        </w:rPr>
        <w:t xml:space="preserve">(2), pp. 308–312, (2018), </w:t>
      </w:r>
      <w:hyperlink r:id="rId114" w:history="1">
        <w:r w:rsidRPr="00D56FC8">
          <w:rPr>
            <w:rStyle w:val="a4"/>
          </w:rPr>
          <w:t>https://doi.org/10.15407/fm25.02.308</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[7] O. Kondratenko, I. Mishchenko, G. Chernobay, and Yu. Derkach, "Criteria-based assessment of the level of ecological safety of exploitation of electric generating power plant that consumes biofuels," in </w:t>
      </w:r>
      <w:r w:rsidRPr="00D56FC8">
        <w:rPr>
          <w:i/>
          <w:iCs/>
          <w:color w:val="000000"/>
        </w:rPr>
        <w:t>Proc. 2018 IEEE 3rd Int. Conf. Intelligent Energy and Power Systems (IEPS–2018)</w:t>
      </w:r>
      <w:r w:rsidRPr="00D56FC8">
        <w:rPr>
          <w:color w:val="000000"/>
        </w:rPr>
        <w:t xml:space="preserve">, Kharkiv, Ukraine, Sep. 10–14, pp. 185–189, (2018), </w:t>
      </w:r>
      <w:hyperlink r:id="rId115" w:history="1">
        <w:r w:rsidRPr="00D56FC8">
          <w:rPr>
            <w:rStyle w:val="a4"/>
          </w:rPr>
          <w:t>https://doi.org/10.1109/IEPS.2018.8559570</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[8] P. Korba, O. Balli, H. Caliskan, S. Al-Rabeei, and U. Kale, "Thermodynamics, environmental damage cost, exergoeconomic, life cycle, and exergoenvironmental analyses of a JP-8 fueled turbodiesel aviation engine at take-off phase," in </w:t>
      </w:r>
      <w:r w:rsidRPr="00D56FC8">
        <w:rPr>
          <w:i/>
          <w:iCs/>
          <w:color w:val="000000"/>
        </w:rPr>
        <w:t>Case Studies in Thermal Engineering</w:t>
      </w:r>
      <w:r w:rsidRPr="00D56FC8">
        <w:rPr>
          <w:color w:val="000000"/>
        </w:rPr>
        <w:t xml:space="preserve">, </w:t>
      </w:r>
      <w:r w:rsidRPr="00D56FC8">
        <w:rPr>
          <w:b/>
          <w:bCs/>
          <w:color w:val="000000"/>
        </w:rPr>
        <w:t>43</w:t>
      </w:r>
      <w:r w:rsidRPr="00D56FC8">
        <w:rPr>
          <w:color w:val="000000"/>
        </w:rPr>
        <w:t xml:space="preserve">, 102806, (2023), </w:t>
      </w:r>
      <w:hyperlink r:id="rId116" w:history="1">
        <w:r w:rsidRPr="00D56FC8">
          <w:rPr>
            <w:rStyle w:val="a4"/>
          </w:rPr>
          <w:t>https://doi.org/10.1016/j.csite.2023.102806</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[9] H. Y. Akdeniz, O. Balli, and H. Caliskan, "Energy, exergy, economic, environmental, energy based economic, exergoeconomic and enviroeconomic (7E) analyses of a jet fueled turbofan type of aircraft engine," in </w:t>
      </w:r>
      <w:r w:rsidRPr="00D56FC8">
        <w:rPr>
          <w:i/>
          <w:iCs/>
          <w:color w:val="000000"/>
        </w:rPr>
        <w:t>Fuel</w:t>
      </w:r>
      <w:r w:rsidRPr="00D56FC8">
        <w:rPr>
          <w:color w:val="000000"/>
        </w:rPr>
        <w:t xml:space="preserve">, </w:t>
      </w:r>
      <w:r w:rsidRPr="00D56FC8">
        <w:rPr>
          <w:b/>
          <w:bCs/>
          <w:color w:val="000000"/>
        </w:rPr>
        <w:t>322</w:t>
      </w:r>
      <w:r w:rsidRPr="00D56FC8">
        <w:rPr>
          <w:color w:val="000000"/>
        </w:rPr>
        <w:t xml:space="preserve">, 124165, (2022), </w:t>
      </w:r>
      <w:hyperlink r:id="rId117" w:history="1">
        <w:r w:rsidRPr="00D56FC8">
          <w:rPr>
            <w:rStyle w:val="a4"/>
          </w:rPr>
          <w:t>https://doi.org/10.1016/j.fuel.2022.124165</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[10] O. Balli, N. Caliskan, and H. Caliskan, "Aviation, energy, exergy, sustainability, exergoenvironmental and thermoeconomic analyses of a turbojet engine fueled with jet fuel and biofuel used on a pilot trainer aircraft", in </w:t>
      </w:r>
      <w:r w:rsidRPr="00D56FC8">
        <w:rPr>
          <w:i/>
          <w:iCs/>
          <w:color w:val="000000"/>
        </w:rPr>
        <w:t>Energy</w:t>
      </w:r>
      <w:r w:rsidRPr="00D56FC8">
        <w:rPr>
          <w:color w:val="000000"/>
        </w:rPr>
        <w:t xml:space="preserve">, </w:t>
      </w:r>
      <w:r w:rsidRPr="00D56FC8">
        <w:rPr>
          <w:b/>
          <w:bCs/>
          <w:color w:val="000000"/>
        </w:rPr>
        <w:t>263</w:t>
      </w:r>
      <w:r w:rsidRPr="00D56FC8">
        <w:rPr>
          <w:color w:val="000000"/>
        </w:rPr>
        <w:t xml:space="preserve">(D), 126022, (2023), </w:t>
      </w:r>
      <w:hyperlink r:id="rId118" w:history="1">
        <w:r w:rsidRPr="00D56FC8">
          <w:rPr>
            <w:rStyle w:val="a4"/>
          </w:rPr>
          <w:t>https://doi.org/10.1016/j.energy.2022.126022</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[11] K. Q. Bui, L. P. Perera, J. Emblemsvåg, "Life-cycle cost analysis of an innovative marine dual-fuel engine under uncertainties," in </w:t>
      </w:r>
      <w:r w:rsidRPr="00D56FC8">
        <w:rPr>
          <w:i/>
          <w:iCs/>
          <w:color w:val="000000"/>
        </w:rPr>
        <w:t>Journal of Cleaner Production</w:t>
      </w:r>
      <w:r w:rsidRPr="00D56FC8">
        <w:rPr>
          <w:color w:val="000000"/>
        </w:rPr>
        <w:t xml:space="preserve">, </w:t>
      </w:r>
      <w:r w:rsidRPr="00D56FC8">
        <w:rPr>
          <w:b/>
          <w:bCs/>
          <w:color w:val="000000"/>
        </w:rPr>
        <w:t>380(</w:t>
      </w:r>
      <w:r w:rsidRPr="00D56FC8">
        <w:rPr>
          <w:color w:val="000000"/>
        </w:rPr>
        <w:t xml:space="preserve">2), 134847, (2022), </w:t>
      </w:r>
      <w:hyperlink r:id="rId119" w:history="1">
        <w:r w:rsidRPr="00D56FC8">
          <w:rPr>
            <w:rStyle w:val="a4"/>
          </w:rPr>
          <w:t>https://doi.org/10.1016/j.jclepro.2022.134847</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[12] L. M. Abadie and N. Goicoechea, "Powering newly constructed vessels to comply with ECA regulations under fuel market prices uncertainty: Diesel or dual fuel engine?," in </w:t>
      </w:r>
      <w:r w:rsidRPr="00D56FC8">
        <w:rPr>
          <w:i/>
          <w:iCs/>
          <w:color w:val="000000"/>
        </w:rPr>
        <w:t>Transportation Research, Part D: Transport and Environment</w:t>
      </w:r>
      <w:r w:rsidRPr="00D56FC8">
        <w:rPr>
          <w:color w:val="000000"/>
        </w:rPr>
        <w:t xml:space="preserve">, </w:t>
      </w:r>
      <w:r w:rsidRPr="00D56FC8">
        <w:rPr>
          <w:b/>
          <w:bCs/>
          <w:color w:val="000000"/>
        </w:rPr>
        <w:t>67</w:t>
      </w:r>
      <w:r w:rsidRPr="00D56FC8">
        <w:rPr>
          <w:color w:val="000000"/>
        </w:rPr>
        <w:t xml:space="preserve">, pp. 433–448, (2019), </w:t>
      </w:r>
      <w:hyperlink r:id="rId120" w:history="1">
        <w:r w:rsidRPr="00D56FC8">
          <w:rPr>
            <w:rStyle w:val="a4"/>
          </w:rPr>
          <w:t>https://doi.org/10.1016/j.trd.2018.12.012</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[13] S. M. M. E. Ayad, C. R. P. Belchior, and J. R. Sodré, "Exergoeconomic analysis of a lean burn engine operating with ethanol and hydrogen addition, " in </w:t>
      </w:r>
      <w:r w:rsidRPr="00D56FC8">
        <w:rPr>
          <w:i/>
          <w:iCs/>
          <w:color w:val="000000"/>
        </w:rPr>
        <w:t>International Journal of Hydrogen Energy</w:t>
      </w:r>
      <w:r w:rsidRPr="00D56FC8">
        <w:rPr>
          <w:color w:val="000000"/>
        </w:rPr>
        <w:t xml:space="preserve">, </w:t>
      </w:r>
      <w:r w:rsidRPr="00D56FC8">
        <w:rPr>
          <w:b/>
          <w:bCs/>
          <w:color w:val="000000"/>
        </w:rPr>
        <w:t>61</w:t>
      </w:r>
      <w:r w:rsidRPr="00D56FC8">
        <w:rPr>
          <w:color w:val="000000"/>
        </w:rPr>
        <w:t xml:space="preserve">, pp. 387–394, (2024), </w:t>
      </w:r>
      <w:hyperlink r:id="rId121" w:history="1">
        <w:r w:rsidRPr="00D56FC8">
          <w:rPr>
            <w:rStyle w:val="a4"/>
          </w:rPr>
          <w:t>https://doi.org/10.1016/j.ijhydene.2024.02.279</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[14] K. Gore, P. Rigot-Müller, and J. Coughlan, "Cost assessment of alternative fuels for maritime transportation in </w:t>
      </w:r>
      <w:r w:rsidRPr="00D56FC8">
        <w:rPr>
          <w:color w:val="000000"/>
        </w:rPr>
        <w:lastRenderedPageBreak/>
        <w:t xml:space="preserve">Ireland", in </w:t>
      </w:r>
      <w:r w:rsidRPr="00D56FC8">
        <w:rPr>
          <w:i/>
          <w:iCs/>
          <w:color w:val="000000"/>
        </w:rPr>
        <w:t>Transportation Research, Part D: Transport and Environment</w:t>
      </w:r>
      <w:r w:rsidRPr="00D56FC8">
        <w:rPr>
          <w:color w:val="000000"/>
        </w:rPr>
        <w:t xml:space="preserve">, </w:t>
      </w:r>
      <w:r w:rsidRPr="00D56FC8">
        <w:rPr>
          <w:b/>
          <w:bCs/>
          <w:color w:val="000000"/>
        </w:rPr>
        <w:t>110</w:t>
      </w:r>
      <w:r w:rsidRPr="00D56FC8">
        <w:rPr>
          <w:color w:val="000000"/>
        </w:rPr>
        <w:t xml:space="preserve">, 103416, (2022), </w:t>
      </w:r>
      <w:hyperlink r:id="rId122" w:history="1">
        <w:r w:rsidRPr="00D56FC8">
          <w:rPr>
            <w:rStyle w:val="a4"/>
          </w:rPr>
          <w:t>https://doi.org/10.1016/j.trd.2022.103416</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[15] M. F. Rojas-Michaga, S. Michailos, E. Cardozo, K. J. Hughes, D. Ingham, and M. Pourkashanian, "A techno-economic and life cycle assessment of a new power and biomass to liquids (PBtL) configuration with negative emissions for producing sustainable aviation fuel (SAF)," in </w:t>
      </w:r>
      <w:r w:rsidRPr="00D56FC8">
        <w:rPr>
          <w:i/>
          <w:iCs/>
          <w:color w:val="000000"/>
        </w:rPr>
        <w:t>Energy Conversion and Management: X</w:t>
      </w:r>
      <w:r w:rsidRPr="00D56FC8">
        <w:rPr>
          <w:color w:val="000000"/>
        </w:rPr>
        <w:t xml:space="preserve">, </w:t>
      </w:r>
      <w:r w:rsidRPr="00D56FC8">
        <w:rPr>
          <w:b/>
          <w:bCs/>
          <w:color w:val="000000"/>
        </w:rPr>
        <w:t>25</w:t>
      </w:r>
      <w:r w:rsidRPr="00D56FC8">
        <w:rPr>
          <w:color w:val="000000"/>
        </w:rPr>
        <w:t xml:space="preserve">, 100841, (2025), </w:t>
      </w:r>
      <w:hyperlink r:id="rId123" w:history="1">
        <w:r w:rsidRPr="00D56FC8">
          <w:rPr>
            <w:rStyle w:val="a4"/>
          </w:rPr>
          <w:t>https://doi.org/10.1016/j.ecmx.2024.100841</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[16] Sh. Wang, Ch. Li, Y. Hu, H. Wang, G. Xu, G. Zhao, and Sh. Wang, "Assessing the prospect of bio-methanol fuel in China from a life cycle perspective," in </w:t>
      </w:r>
      <w:r w:rsidRPr="00D56FC8">
        <w:rPr>
          <w:i/>
          <w:iCs/>
          <w:color w:val="000000"/>
        </w:rPr>
        <w:t>Fuel</w:t>
      </w:r>
      <w:r w:rsidRPr="00D56FC8">
        <w:rPr>
          <w:color w:val="000000"/>
        </w:rPr>
        <w:t xml:space="preserve">, </w:t>
      </w:r>
      <w:r w:rsidRPr="00D56FC8">
        <w:rPr>
          <w:b/>
          <w:bCs/>
          <w:color w:val="000000"/>
        </w:rPr>
        <w:t>358</w:t>
      </w:r>
      <w:r w:rsidRPr="00D56FC8">
        <w:rPr>
          <w:color w:val="000000"/>
        </w:rPr>
        <w:t xml:space="preserve">(B), 130255, (2024), </w:t>
      </w:r>
      <w:hyperlink r:id="rId124" w:history="1">
        <w:r w:rsidRPr="00D56FC8">
          <w:rPr>
            <w:rStyle w:val="a4"/>
          </w:rPr>
          <w:t>https://doi.org/10.1016/j.fuel.2023.130255</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[17] Y. Wang, R. Sedghi, H. Shahbeik, H. Hosseinzadeh-Bandbafha, J. Pan, M. Tabatabaei, and M. Aghbashlo, "A comprehensive review of exergy analysis in biodiesel-powered engines for sustainable power generation," in </w:t>
      </w:r>
      <w:r w:rsidRPr="00D56FC8">
        <w:rPr>
          <w:i/>
          <w:iCs/>
          <w:color w:val="000000"/>
        </w:rPr>
        <w:t>Sustainable Energy Technologies and Assessments</w:t>
      </w:r>
      <w:r w:rsidRPr="00D56FC8">
        <w:rPr>
          <w:color w:val="000000"/>
        </w:rPr>
        <w:t xml:space="preserve">, </w:t>
      </w:r>
      <w:r w:rsidRPr="00D56FC8">
        <w:rPr>
          <w:b/>
          <w:bCs/>
          <w:color w:val="000000"/>
        </w:rPr>
        <w:t>68</w:t>
      </w:r>
      <w:r w:rsidRPr="00D56FC8">
        <w:rPr>
          <w:color w:val="000000"/>
        </w:rPr>
        <w:t xml:space="preserve">, 103869, (2024), </w:t>
      </w:r>
      <w:hyperlink r:id="rId125" w:history="1">
        <w:r w:rsidRPr="00D56FC8">
          <w:rPr>
            <w:rStyle w:val="a4"/>
          </w:rPr>
          <w:t>https://doi.org/10.1016/j.seta.2024.103869</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[18] M. Mbarawa, "Performance, emission and economic assessment of clove stem oil–diesel blended fuels as alternative fuels for diesel engines," in </w:t>
      </w:r>
      <w:r w:rsidRPr="00D56FC8">
        <w:rPr>
          <w:i/>
          <w:iCs/>
          <w:color w:val="000000"/>
        </w:rPr>
        <w:t>Renewable Energy</w:t>
      </w:r>
      <w:r w:rsidRPr="00D56FC8">
        <w:rPr>
          <w:color w:val="000000"/>
        </w:rPr>
        <w:t xml:space="preserve">, </w:t>
      </w:r>
      <w:r w:rsidRPr="00D56FC8">
        <w:rPr>
          <w:b/>
          <w:bCs/>
          <w:color w:val="000000"/>
        </w:rPr>
        <w:t>33</w:t>
      </w:r>
      <w:r w:rsidRPr="00D56FC8">
        <w:rPr>
          <w:color w:val="000000"/>
        </w:rPr>
        <w:t xml:space="preserve">(5), pp. 871–882, (2008) </w:t>
      </w:r>
      <w:hyperlink r:id="rId126" w:history="1">
        <w:r w:rsidRPr="00D56FC8">
          <w:rPr>
            <w:rStyle w:val="a4"/>
          </w:rPr>
          <w:t>https://doi.org/10.1016/j.renene.2007.06.009</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[19] N. Upadhyay, K. Kumar, R. K. Das, and S. K. Ghosh, "A thermodynamic approach to energy, exergy, exergoeconomic, enviroeconomic, and sustainability assessments involving an VCR diesel engine employing third-generation biodiesel with TiO2 NPs and n-heptane," in </w:t>
      </w:r>
      <w:r w:rsidRPr="00D56FC8">
        <w:rPr>
          <w:i/>
          <w:iCs/>
          <w:color w:val="000000"/>
        </w:rPr>
        <w:t>Energy Conversion and Management</w:t>
      </w:r>
      <w:r w:rsidRPr="00D56FC8">
        <w:rPr>
          <w:color w:val="000000"/>
        </w:rPr>
        <w:t xml:space="preserve">, </w:t>
      </w:r>
      <w:r w:rsidRPr="00D56FC8">
        <w:rPr>
          <w:b/>
          <w:bCs/>
          <w:color w:val="000000"/>
        </w:rPr>
        <w:t>321</w:t>
      </w:r>
      <w:r w:rsidRPr="00D56FC8">
        <w:rPr>
          <w:color w:val="000000"/>
        </w:rPr>
        <w:t xml:space="preserve">, 119064, (2024), </w:t>
      </w:r>
      <w:hyperlink r:id="rId127" w:history="1">
        <w:r w:rsidRPr="00D56FC8">
          <w:rPr>
            <w:rStyle w:val="a4"/>
          </w:rPr>
          <w:t>https://doi.org/10.1016/j.enconman.2024.119064</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[20] Y. Ishimoto, Ch. Wulf, A. Schonhoff, and W. Kuckshinrichs, "Life cycle costing approaches of fuel cell and hydrogen systems: A literature review," in </w:t>
      </w:r>
      <w:r w:rsidRPr="00D56FC8">
        <w:rPr>
          <w:i/>
          <w:iCs/>
          <w:color w:val="000000"/>
        </w:rPr>
        <w:t>International Journal of Hydrogen Energy</w:t>
      </w:r>
      <w:r w:rsidRPr="00D56FC8">
        <w:rPr>
          <w:color w:val="000000"/>
        </w:rPr>
        <w:t xml:space="preserve">, </w:t>
      </w:r>
      <w:r w:rsidRPr="00D56FC8">
        <w:rPr>
          <w:b/>
          <w:bCs/>
          <w:color w:val="000000"/>
        </w:rPr>
        <w:t>54</w:t>
      </w:r>
      <w:r w:rsidRPr="00D56FC8">
        <w:rPr>
          <w:color w:val="000000"/>
        </w:rPr>
        <w:t xml:space="preserve">, pp. 361–374, (2024), </w:t>
      </w:r>
      <w:hyperlink r:id="rId128" w:history="1">
        <w:r w:rsidRPr="00D56FC8">
          <w:rPr>
            <w:rStyle w:val="a4"/>
          </w:rPr>
          <w:t>https://doi.org/10.1016/j.ijhydene.2023.04.035</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[21] S. Sarvaiya, S. Ganesh, and B. Xu, "Comparative analysis of hybrid vehicle energy management strategies with optimization of fuel economy and battery life," in </w:t>
      </w:r>
      <w:r w:rsidRPr="00D56FC8">
        <w:rPr>
          <w:i/>
          <w:iCs/>
          <w:color w:val="000000"/>
        </w:rPr>
        <w:t>Energy</w:t>
      </w:r>
      <w:r w:rsidRPr="00D56FC8">
        <w:rPr>
          <w:color w:val="000000"/>
        </w:rPr>
        <w:t xml:space="preserve">, </w:t>
      </w:r>
      <w:r w:rsidRPr="00D56FC8">
        <w:rPr>
          <w:b/>
          <w:bCs/>
          <w:color w:val="000000"/>
        </w:rPr>
        <w:t>228</w:t>
      </w:r>
      <w:r w:rsidRPr="00D56FC8">
        <w:rPr>
          <w:color w:val="000000"/>
        </w:rPr>
        <w:t xml:space="preserve">, 120604, (2021), </w:t>
      </w:r>
      <w:hyperlink r:id="rId129" w:history="1">
        <w:r w:rsidRPr="00D56FC8">
          <w:rPr>
            <w:rStyle w:val="a4"/>
          </w:rPr>
          <w:t>https://doi.org/10.1016/j.energy.2021.120604</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[22] C. Domarchi and E. Cherchi, "Role of car segment and fuel type in the choice of alternative fuel vehicles: A cross-nested logit model for the English market," in </w:t>
      </w:r>
      <w:r w:rsidRPr="00D56FC8">
        <w:rPr>
          <w:i/>
          <w:iCs/>
          <w:color w:val="000000"/>
        </w:rPr>
        <w:t>Applied Energy</w:t>
      </w:r>
      <w:r w:rsidRPr="00D56FC8">
        <w:rPr>
          <w:color w:val="000000"/>
        </w:rPr>
        <w:t xml:space="preserve">, </w:t>
      </w:r>
      <w:r w:rsidRPr="00D56FC8">
        <w:rPr>
          <w:b/>
          <w:bCs/>
          <w:color w:val="000000"/>
        </w:rPr>
        <w:t>357</w:t>
      </w:r>
      <w:r w:rsidRPr="00D56FC8">
        <w:rPr>
          <w:color w:val="000000"/>
        </w:rPr>
        <w:t xml:space="preserve">, 122451, (2024), </w:t>
      </w:r>
      <w:hyperlink r:id="rId130" w:history="1">
        <w:r w:rsidRPr="00D56FC8">
          <w:rPr>
            <w:rStyle w:val="a4"/>
          </w:rPr>
          <w:t>https://doi.org/10.1016/j.apenergy.2023.122451</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[23] Ch. Lu "When will biofuels be economically feasible for commercial flights? Considering the difference between environmental benefits and fuel purchase costs," in </w:t>
      </w:r>
      <w:r w:rsidRPr="00D56FC8">
        <w:rPr>
          <w:i/>
          <w:iCs/>
          <w:color w:val="000000"/>
        </w:rPr>
        <w:t>Journal of Cleaner Production</w:t>
      </w:r>
      <w:r w:rsidRPr="00D56FC8">
        <w:rPr>
          <w:color w:val="000000"/>
        </w:rPr>
        <w:t xml:space="preserve">, </w:t>
      </w:r>
      <w:r w:rsidRPr="00D56FC8">
        <w:rPr>
          <w:b/>
          <w:bCs/>
          <w:color w:val="000000"/>
        </w:rPr>
        <w:t>181</w:t>
      </w:r>
      <w:r w:rsidRPr="00D56FC8">
        <w:rPr>
          <w:color w:val="000000"/>
        </w:rPr>
        <w:t xml:space="preserve">, pp. 365–373, (2018), </w:t>
      </w:r>
      <w:hyperlink r:id="rId131" w:history="1">
        <w:r w:rsidRPr="00D56FC8">
          <w:rPr>
            <w:rStyle w:val="a4"/>
          </w:rPr>
          <w:t>https://doi.org/10.1016/j.jclepro.2018.01.227</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[24] B. Jesus, I. A. Inês Ferreira, A. Carreira, S. O. Erikstad, and R. Godina, "Economic framework for green shipping corridors: Evaluating cost-effective transition from fossil fuels towards hydrogen," in </w:t>
      </w:r>
      <w:r w:rsidRPr="00D56FC8">
        <w:rPr>
          <w:i/>
          <w:iCs/>
          <w:color w:val="000000"/>
        </w:rPr>
        <w:t>International Journal of Hydrogen Energy</w:t>
      </w:r>
      <w:r w:rsidRPr="00D56FC8">
        <w:rPr>
          <w:color w:val="000000"/>
        </w:rPr>
        <w:t xml:space="preserve">, </w:t>
      </w:r>
      <w:r w:rsidRPr="00D56FC8">
        <w:rPr>
          <w:b/>
          <w:bCs/>
          <w:color w:val="000000"/>
        </w:rPr>
        <w:t>83</w:t>
      </w:r>
      <w:r w:rsidRPr="00D56FC8">
        <w:rPr>
          <w:color w:val="000000"/>
        </w:rPr>
        <w:t xml:space="preserve">, pp. 1429–1447, (2024), </w:t>
      </w:r>
      <w:hyperlink r:id="rId132" w:history="1">
        <w:r w:rsidRPr="00D56FC8">
          <w:rPr>
            <w:rStyle w:val="a4"/>
          </w:rPr>
          <w:t>https://doi.org/10.1016/j.ijhydene.2024.08.147</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[25] P. Korba, O. Balli, H. Caliskan, S. Al-Rabeei, and U. Kale, "Energy, exergy, economic, environmental, and sustainability assessments of the CFM56-3 series turbofan engine used in the aviation sector," in </w:t>
      </w:r>
      <w:r w:rsidRPr="00D56FC8">
        <w:rPr>
          <w:i/>
          <w:iCs/>
          <w:color w:val="000000"/>
        </w:rPr>
        <w:t>Energy</w:t>
      </w:r>
      <w:r w:rsidRPr="00D56FC8">
        <w:rPr>
          <w:color w:val="000000"/>
        </w:rPr>
        <w:t xml:space="preserve">, </w:t>
      </w:r>
      <w:r w:rsidRPr="00D56FC8">
        <w:rPr>
          <w:b/>
          <w:bCs/>
          <w:color w:val="000000"/>
        </w:rPr>
        <w:t>269</w:t>
      </w:r>
      <w:r w:rsidRPr="00D56FC8">
        <w:rPr>
          <w:color w:val="000000"/>
        </w:rPr>
        <w:t xml:space="preserve">, 126765, (2023), </w:t>
      </w:r>
      <w:hyperlink r:id="rId133" w:history="1">
        <w:r w:rsidRPr="00D56FC8">
          <w:rPr>
            <w:rStyle w:val="a4"/>
          </w:rPr>
          <w:t>https://doi.org/10.1016/j.energy.2023.126765</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[26] C. Balbontin, D. A. Hensher, L. Ho, and E. Wei, "Identifying the relationship between tyre performance, fuel consumption and maintenance costs in operating urban bus services: A case study in Sydney, Australia using telematics and fitted sensors," in </w:t>
      </w:r>
      <w:r w:rsidRPr="00D56FC8">
        <w:rPr>
          <w:i/>
          <w:iCs/>
          <w:color w:val="000000"/>
        </w:rPr>
        <w:t>International Journal of Sustainable Transportation</w:t>
      </w:r>
      <w:r w:rsidRPr="00D56FC8">
        <w:rPr>
          <w:color w:val="000000"/>
        </w:rPr>
        <w:t xml:space="preserve">, </w:t>
      </w:r>
      <w:r w:rsidRPr="00D56FC8">
        <w:rPr>
          <w:b/>
          <w:bCs/>
          <w:color w:val="000000"/>
        </w:rPr>
        <w:t>17</w:t>
      </w:r>
      <w:r w:rsidRPr="00D56FC8">
        <w:rPr>
          <w:color w:val="000000"/>
        </w:rPr>
        <w:t xml:space="preserve">(4), pp. 348–368, (2023), </w:t>
      </w:r>
      <w:hyperlink r:id="rId134" w:history="1">
        <w:r w:rsidRPr="00D56FC8">
          <w:rPr>
            <w:rStyle w:val="a4"/>
          </w:rPr>
          <w:t>https://doi.org/10.1080/15568318.2022.2039977</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[27] F. Chireshe, A. M. Petersen, A. Ravinath, L. Mnyakeni, G. Ellis, H. Viljoen, E. Vienings, C. Wessels, W. H. L. Stafford, T. Bole-Rentel, J. Reeler, and J. F. Görgens, "Cost-effective sustainable aviation fuel: Insights from a techno-economic and logistics analysis," in </w:t>
      </w:r>
      <w:r w:rsidRPr="00D56FC8">
        <w:rPr>
          <w:i/>
          <w:iCs/>
          <w:color w:val="000000"/>
        </w:rPr>
        <w:t>Renewable and Sustainable Energy Reviews</w:t>
      </w:r>
      <w:r w:rsidRPr="00D56FC8">
        <w:rPr>
          <w:color w:val="000000"/>
        </w:rPr>
        <w:t xml:space="preserve">, </w:t>
      </w:r>
      <w:r w:rsidRPr="00D56FC8">
        <w:rPr>
          <w:b/>
          <w:bCs/>
          <w:color w:val="000000"/>
        </w:rPr>
        <w:t>210</w:t>
      </w:r>
      <w:r w:rsidRPr="00D56FC8">
        <w:rPr>
          <w:color w:val="000000"/>
        </w:rPr>
        <w:t xml:space="preserve">, 115157, (2025), </w:t>
      </w:r>
      <w:hyperlink r:id="rId135" w:history="1">
        <w:r w:rsidRPr="00D56FC8">
          <w:rPr>
            <w:rStyle w:val="a4"/>
          </w:rPr>
          <w:t>https://doi.org/10.1016/j.rser.2024.115157</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[28] J. E. H. Branco, F. V. da Rocha, T. G. Péra, F. P. de Bastiani, D. B. Bartholomeu, E. L. Costa, I. G. Junior, "Assessing greenhouse gas emissions and costs of Brazilian light-duty vehicles," in </w:t>
      </w:r>
      <w:r w:rsidRPr="00D56FC8">
        <w:rPr>
          <w:i/>
          <w:iCs/>
          <w:color w:val="000000"/>
        </w:rPr>
        <w:t>Renewable and Sustainable Energy Reviews</w:t>
      </w:r>
      <w:r w:rsidRPr="00D56FC8">
        <w:rPr>
          <w:color w:val="000000"/>
        </w:rPr>
        <w:t xml:space="preserve">, </w:t>
      </w:r>
      <w:r w:rsidRPr="00D56FC8">
        <w:rPr>
          <w:b/>
          <w:bCs/>
          <w:color w:val="000000"/>
        </w:rPr>
        <w:t>206</w:t>
      </w:r>
      <w:r w:rsidRPr="00D56FC8">
        <w:rPr>
          <w:color w:val="000000"/>
        </w:rPr>
        <w:t xml:space="preserve">, 114845, (2024), </w:t>
      </w:r>
      <w:hyperlink r:id="rId136" w:history="1">
        <w:r w:rsidRPr="00D56FC8">
          <w:rPr>
            <w:rStyle w:val="a4"/>
          </w:rPr>
          <w:t>https://doi.org/10.1016/j.rser.2024.114845</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[29] L. Kistner, F. L. Schubert, Ch. Minke, A. Bensmann, and R. Hanke-Rauschenbach, "Techno-economic and Environmental Comparison of Internal Combustion Engines and Solid Oxide Fuel Cells for Ship Applications," in </w:t>
      </w:r>
      <w:r w:rsidRPr="00D56FC8">
        <w:rPr>
          <w:i/>
          <w:iCs/>
          <w:color w:val="000000"/>
        </w:rPr>
        <w:t>Journal of Power Sources</w:t>
      </w:r>
      <w:r w:rsidRPr="00D56FC8">
        <w:rPr>
          <w:color w:val="000000"/>
        </w:rPr>
        <w:t xml:space="preserve">, </w:t>
      </w:r>
      <w:r w:rsidRPr="00D56FC8">
        <w:rPr>
          <w:b/>
          <w:bCs/>
          <w:color w:val="000000"/>
        </w:rPr>
        <w:t>508</w:t>
      </w:r>
      <w:r w:rsidRPr="00D56FC8">
        <w:rPr>
          <w:color w:val="000000"/>
        </w:rPr>
        <w:t xml:space="preserve">, 230328, (2021), </w:t>
      </w:r>
      <w:hyperlink r:id="rId137" w:history="1">
        <w:r w:rsidRPr="00D56FC8">
          <w:rPr>
            <w:rStyle w:val="a4"/>
          </w:rPr>
          <w:t>https://doi.org/10.1016/j.jpowsour.2021.230328</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[30] O. Balli, U. Kale, D. Rohács, T. Karakoc, "Environmental damage cost and exergoenvironmental evaluations of piston prop aviation engines for the landing and take-off flight phases," in </w:t>
      </w:r>
      <w:r w:rsidRPr="00D56FC8">
        <w:rPr>
          <w:i/>
          <w:iCs/>
          <w:color w:val="000000"/>
        </w:rPr>
        <w:t>Energy</w:t>
      </w:r>
      <w:r w:rsidRPr="00D56FC8">
        <w:rPr>
          <w:color w:val="000000"/>
        </w:rPr>
        <w:t xml:space="preserve">, </w:t>
      </w:r>
      <w:r w:rsidRPr="00D56FC8">
        <w:rPr>
          <w:b/>
          <w:bCs/>
          <w:color w:val="000000"/>
        </w:rPr>
        <w:t>261</w:t>
      </w:r>
      <w:r w:rsidRPr="00D56FC8">
        <w:rPr>
          <w:color w:val="000000"/>
        </w:rPr>
        <w:t xml:space="preserve">(B), 125356, (2022), </w:t>
      </w:r>
      <w:hyperlink r:id="rId138" w:history="1">
        <w:r w:rsidRPr="00D56FC8">
          <w:rPr>
            <w:rStyle w:val="a4"/>
          </w:rPr>
          <w:t>https://doi.org/10.1016/j.energy.2022.125356</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bCs/>
          <w:i/>
          <w:iCs/>
          <w:color w:val="000000"/>
        </w:rPr>
      </w:pPr>
      <w:r w:rsidRPr="00D56FC8">
        <w:rPr>
          <w:color w:val="000000"/>
        </w:rPr>
        <w:t xml:space="preserve">[31] X. Liu, F. Zhao, and Z. Liu, "Energy-saving cost-effectiveness analysis of improving engine thermal efficiency </w:t>
      </w:r>
      <w:r w:rsidRPr="00D56FC8">
        <w:rPr>
          <w:color w:val="000000"/>
        </w:rPr>
        <w:lastRenderedPageBreak/>
        <w:t>and extending all-electric range methods for plug-in hybrid electric vehicles," in</w:t>
      </w:r>
      <w:r w:rsidRPr="00D56FC8">
        <w:rPr>
          <w:i/>
          <w:iCs/>
          <w:color w:val="000000"/>
        </w:rPr>
        <w:t xml:space="preserve"> Energy Conversion and Management</w:t>
      </w:r>
      <w:r w:rsidRPr="00D56FC8">
        <w:rPr>
          <w:color w:val="000000"/>
        </w:rPr>
        <w:t xml:space="preserve">, </w:t>
      </w:r>
      <w:r w:rsidRPr="00D56FC8">
        <w:rPr>
          <w:b/>
          <w:bCs/>
          <w:color w:val="000000"/>
        </w:rPr>
        <w:t>267</w:t>
      </w:r>
      <w:r w:rsidRPr="00D56FC8">
        <w:rPr>
          <w:color w:val="000000"/>
        </w:rPr>
        <w:t xml:space="preserve">, 115898, (2022), </w:t>
      </w:r>
      <w:hyperlink r:id="rId139" w:history="1">
        <w:r w:rsidRPr="00D56FC8">
          <w:rPr>
            <w:rStyle w:val="a4"/>
          </w:rPr>
          <w:t>https://doi.org/10.1016/j.enconman.2022.115898</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bCs/>
          <w:i/>
          <w:iCs/>
          <w:color w:val="000000"/>
        </w:rPr>
      </w:pPr>
      <w:r w:rsidRPr="00D56FC8">
        <w:rPr>
          <w:color w:val="000000"/>
        </w:rPr>
        <w:t xml:space="preserve">[32] A. Kumar, I. Mohan, and D. B. Lata, "Modelling to predict performance and emission parameters of hydrogen, additive and nano-particles blended fuel in a dual-fuel diesel engine through artificial neural network," in </w:t>
      </w:r>
      <w:r w:rsidRPr="00D56FC8">
        <w:rPr>
          <w:i/>
          <w:iCs/>
          <w:color w:val="000000"/>
        </w:rPr>
        <w:t>International Journal of Hydrogen Energy</w:t>
      </w:r>
      <w:r w:rsidRPr="00D56FC8">
        <w:rPr>
          <w:color w:val="000000"/>
        </w:rPr>
        <w:t xml:space="preserve">, </w:t>
      </w:r>
      <w:r w:rsidRPr="00D56FC8">
        <w:rPr>
          <w:b/>
          <w:bCs/>
          <w:color w:val="000000"/>
        </w:rPr>
        <w:t>80</w:t>
      </w:r>
      <w:r w:rsidRPr="00D56FC8">
        <w:rPr>
          <w:color w:val="000000"/>
        </w:rPr>
        <w:t xml:space="preserve">, pp. 599–611, (2024), </w:t>
      </w:r>
      <w:hyperlink r:id="rId140" w:history="1">
        <w:r w:rsidRPr="00D56FC8">
          <w:rPr>
            <w:rStyle w:val="a4"/>
          </w:rPr>
          <w:t>https://doi.org/10.1016/j.ijhydene.2024.07.150</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bCs/>
          <w:color w:val="000000"/>
        </w:rPr>
      </w:pPr>
      <w:r w:rsidRPr="00D56FC8">
        <w:rPr>
          <w:color w:val="000000"/>
        </w:rPr>
        <w:t xml:space="preserve">[33] I. V. Parsadanov, </w:t>
      </w:r>
      <w:r w:rsidRPr="00D56FC8">
        <w:rPr>
          <w:i/>
          <w:iCs/>
          <w:color w:val="000000"/>
        </w:rPr>
        <w:t>Improving the quality and competitiveness of diesel engines based on complex fuel and ecological criteria: Monograph</w:t>
      </w:r>
      <w:r w:rsidRPr="00D56FC8">
        <w:rPr>
          <w:color w:val="000000"/>
        </w:rPr>
        <w:t xml:space="preserve"> (NTU «KhPI», Kharkiv, 2003).</w:t>
      </w:r>
      <w:r w:rsidRPr="00D56FC8">
        <w:rPr>
          <w:bCs/>
          <w:color w:val="000000"/>
        </w:rPr>
        <w:t xml:space="preserve"> </w:t>
      </w:r>
      <w:r w:rsidRPr="00D56FC8">
        <w:rPr>
          <w:color w:val="000000"/>
        </w:rPr>
        <w:t xml:space="preserve">Available at: </w:t>
      </w:r>
      <w:hyperlink r:id="rId141" w:history="1">
        <w:r w:rsidRPr="00D56FC8">
          <w:rPr>
            <w:rStyle w:val="a4"/>
            <w:bCs/>
          </w:rPr>
          <w:t>https://web.kpi.kharkov.ua/diesel/nauka/pidruchniki/</w:t>
        </w:r>
      </w:hyperlink>
      <w:r w:rsidRPr="00D56FC8">
        <w:rPr>
          <w:bCs/>
          <w:color w:val="000000"/>
        </w:rPr>
        <w:t>.</w:t>
      </w:r>
    </w:p>
    <w:p w:rsidR="00F775BC" w:rsidRPr="00D56FC8" w:rsidRDefault="00F775BC">
      <w:pPr>
        <w:pStyle w:val="a6"/>
        <w:widowControl w:val="0"/>
        <w:tabs>
          <w:tab w:val="clear" w:pos="288"/>
          <w:tab w:val="left" w:pos="546"/>
        </w:tabs>
        <w:suppressAutoHyphens/>
        <w:spacing w:after="0" w:line="240" w:lineRule="auto"/>
        <w:ind w:left="426" w:hanging="426"/>
        <w:rPr>
          <w:bCs/>
          <w:color w:val="000000"/>
          <w:shd w:val="clear" w:color="auto" w:fill="FFFFFF"/>
        </w:rPr>
      </w:pPr>
      <w:r w:rsidRPr="00D56FC8">
        <w:rPr>
          <w:color w:val="000000"/>
        </w:rPr>
        <w:t xml:space="preserve">[34] O. M. Kondratenko, </w:t>
      </w:r>
      <w:r w:rsidRPr="00D56FC8">
        <w:rPr>
          <w:i/>
          <w:iCs/>
          <w:color w:val="000000"/>
        </w:rPr>
        <w:t>Naukovo-metodolohichni osnovy zakhystu atmosfernoho povitria vid tekhnohennoho vplyvu enerhoustanovok z porshnevymy dvyhunamy vnutrishnoho zghoriannia: dys. d-ra tekhn. nauk: spets 21.06.01 – ekolohichna bezpeka</w:t>
      </w:r>
      <w:r w:rsidRPr="00D56FC8">
        <w:rPr>
          <w:color w:val="000000"/>
        </w:rPr>
        <w:t xml:space="preserve"> (</w:t>
      </w:r>
      <w:r w:rsidRPr="00D56FC8">
        <w:rPr>
          <w:color w:val="000000"/>
          <w:lang w:eastAsia="zh-CN"/>
        </w:rPr>
        <w:t xml:space="preserve">Scientific and methodological basis of protection of atmospheric air from technogenic impact of power plants with </w:t>
      </w:r>
      <w:r w:rsidRPr="00D56FC8">
        <w:rPr>
          <w:color w:val="000000"/>
        </w:rPr>
        <w:t xml:space="preserve">reciprocating internal combustion engines: dissertation for Doctor of Technical Sciences: speciality 21.06.01 – Ecological Safety) (National University for Civil Protection of Ukraine, State Emergency Service of Ukraine, Kharkiv, 2021).  Available at: </w:t>
      </w:r>
      <w:hyperlink r:id="rId142" w:history="1">
        <w:r w:rsidRPr="00D56FC8">
          <w:rPr>
            <w:rStyle w:val="a4"/>
          </w:rPr>
          <w:t>http://repositsc.nuczu.edu.ua/handle/123456789/25902</w:t>
        </w:r>
      </w:hyperlink>
      <w:r w:rsidRPr="00D56FC8">
        <w:rPr>
          <w:color w:val="000000"/>
        </w:rPr>
        <w:t>.</w:t>
      </w:r>
    </w:p>
    <w:p w:rsidR="00F775BC" w:rsidRPr="00D56FC8" w:rsidRDefault="00F775BC">
      <w:pPr>
        <w:pStyle w:val="a6"/>
        <w:widowControl w:val="0"/>
        <w:tabs>
          <w:tab w:val="clear" w:pos="288"/>
          <w:tab w:val="left" w:pos="546"/>
        </w:tabs>
        <w:suppressAutoHyphens/>
        <w:spacing w:after="0" w:line="240" w:lineRule="auto"/>
        <w:ind w:left="426" w:hanging="426"/>
        <w:rPr>
          <w:color w:val="000000"/>
          <w:spacing w:val="0"/>
        </w:rPr>
      </w:pPr>
      <w:r w:rsidRPr="00D56FC8">
        <w:rPr>
          <w:color w:val="000000"/>
        </w:rPr>
        <w:t xml:space="preserve">[35] O. M. Kondratenko, </w:t>
      </w:r>
      <w:r w:rsidRPr="00D56FC8">
        <w:rPr>
          <w:i/>
          <w:iCs/>
          <w:color w:val="000000"/>
        </w:rPr>
        <w:t>Metrological aspects of complex criteria-based assessment of ecological safety level of exploitation of reciprocating engines of power plants: Monograph</w:t>
      </w:r>
      <w:r w:rsidRPr="00D56FC8">
        <w:rPr>
          <w:color w:val="000000"/>
        </w:rPr>
        <w:t xml:space="preserve"> (Style-Izdat, Kharkiv, 2019), 532 p. Available at: </w:t>
      </w:r>
      <w:hyperlink r:id="rId143" w:history="1">
        <w:r w:rsidRPr="00D56FC8">
          <w:rPr>
            <w:rStyle w:val="a4"/>
          </w:rPr>
          <w:t>http://repositsc.nuczu.edu.ua/handle/123456789/10293</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spacing w:val="0"/>
        </w:rPr>
      </w:pPr>
      <w:r w:rsidRPr="00D56FC8">
        <w:rPr>
          <w:color w:val="000000"/>
        </w:rPr>
        <w:t xml:space="preserve">[36] </w:t>
      </w:r>
      <w:r w:rsidRPr="00D56FC8">
        <w:rPr>
          <w:rStyle w:val="hpsalt-edited"/>
          <w:color w:val="000000"/>
        </w:rPr>
        <w:t xml:space="preserve">Official site of National Bank of Ukraine, </w:t>
      </w:r>
      <w:r w:rsidRPr="00D56FC8">
        <w:rPr>
          <w:color w:val="000000"/>
        </w:rPr>
        <w:t xml:space="preserve">Available at: </w:t>
      </w:r>
      <w:hyperlink r:id="rId144" w:history="1">
        <w:r w:rsidRPr="00D56FC8">
          <w:rPr>
            <w:rStyle w:val="a4"/>
          </w:rPr>
          <w:t>https://bank.gov.ua/control/en/curmetal/detail/currency?period=daily</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[37] O. M. Kondratenko, S. O. Vambol, O. P. Strokov, and A. M. Avramenko, "Mathematical model of the efficiency of diesel particulate matter filter," in </w:t>
      </w:r>
      <w:r w:rsidRPr="00D56FC8">
        <w:rPr>
          <w:i/>
          <w:iCs/>
          <w:color w:val="000000"/>
        </w:rPr>
        <w:t>Naukovyi Visnyk Natsionalnoho Hirnychoho Universytetu</w:t>
      </w:r>
      <w:r w:rsidRPr="00D56FC8">
        <w:rPr>
          <w:color w:val="000000"/>
        </w:rPr>
        <w:t xml:space="preserve">, </w:t>
      </w:r>
      <w:r w:rsidRPr="00D56FC8">
        <w:rPr>
          <w:b/>
          <w:bCs/>
          <w:color w:val="000000"/>
        </w:rPr>
        <w:t>6</w:t>
      </w:r>
      <w:r w:rsidRPr="00D56FC8">
        <w:rPr>
          <w:color w:val="000000"/>
        </w:rPr>
        <w:t xml:space="preserve">, pp. 55–61, (2015), Available at: </w:t>
      </w:r>
      <w:hyperlink r:id="rId145" w:history="1">
        <w:r w:rsidRPr="00D56FC8">
          <w:rPr>
            <w:rStyle w:val="a4"/>
          </w:rPr>
          <w:t>https://nvngu.in.ua/index.php/en/component/jdownloads/finish/57-06/8434-2015-06-kondratenko</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[38] S. Vambol, V. Vambol, O. Kondratenko, Y. Suchikova, and O. Hurenko, "Assessment of improvement of ecological safety of power plants by arranging the system of pollutant neutralization," in </w:t>
      </w:r>
      <w:r w:rsidRPr="00D56FC8">
        <w:rPr>
          <w:i/>
          <w:iCs/>
          <w:color w:val="000000"/>
        </w:rPr>
        <w:t>Eastern-European Journal of Enterprise Technologies</w:t>
      </w:r>
      <w:r w:rsidRPr="00D56FC8">
        <w:rPr>
          <w:color w:val="000000"/>
        </w:rPr>
        <w:t xml:space="preserve">, </w:t>
      </w:r>
      <w:r w:rsidRPr="00D56FC8">
        <w:rPr>
          <w:b/>
          <w:bCs/>
          <w:color w:val="000000"/>
        </w:rPr>
        <w:t>3</w:t>
      </w:r>
      <w:r w:rsidRPr="00D56FC8">
        <w:rPr>
          <w:color w:val="000000"/>
        </w:rPr>
        <w:t xml:space="preserve">(10-87), 63–73 (2017). Available at: </w:t>
      </w:r>
      <w:hyperlink r:id="rId146" w:history="1">
        <w:r w:rsidRPr="00D56FC8">
          <w:rPr>
            <w:rStyle w:val="a4"/>
          </w:rPr>
          <w:t>https://doi.org/10.15587/1729-4061.2017.102314</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[39] O. M. Kondratenko, "Taking into account the emissions of CO</w:t>
      </w:r>
      <w:r w:rsidRPr="00D56FC8">
        <w:rPr>
          <w:color w:val="000000"/>
          <w:vertAlign w:val="subscript"/>
        </w:rPr>
        <w:t>2</w:t>
      </w:r>
      <w:r w:rsidRPr="00D56FC8">
        <w:rPr>
          <w:color w:val="000000"/>
        </w:rPr>
        <w:t xml:space="preserve"> as a toxic pollutant and as a greenhouse gas in fuel and ecological complex criteria-based assessment of diesel-generator operation process," in </w:t>
      </w:r>
      <w:r w:rsidRPr="00D56FC8">
        <w:rPr>
          <w:i/>
          <w:iCs/>
          <w:color w:val="000000"/>
        </w:rPr>
        <w:t>Technogenic and Ecological Safety</w:t>
      </w:r>
      <w:r w:rsidRPr="00D56FC8">
        <w:rPr>
          <w:color w:val="000000"/>
        </w:rPr>
        <w:t xml:space="preserve">, </w:t>
      </w:r>
      <w:r w:rsidRPr="00D56FC8">
        <w:rPr>
          <w:b/>
          <w:bCs/>
          <w:color w:val="000000"/>
        </w:rPr>
        <w:t>6</w:t>
      </w:r>
      <w:r w:rsidRPr="00D56FC8">
        <w:rPr>
          <w:color w:val="000000"/>
        </w:rPr>
        <w:t xml:space="preserve">(2/2019), pp. 12–23 (2019). Available at: </w:t>
      </w:r>
      <w:hyperlink r:id="rId147" w:history="1">
        <w:r w:rsidRPr="00D56FC8">
          <w:rPr>
            <w:rStyle w:val="a4"/>
          </w:rPr>
          <w:t>http://repositsc.nuczu.edu.ua/handle/123456789/9630?locale=en</w:t>
        </w:r>
      </w:hyperlink>
      <w:r w:rsidRPr="00D56FC8">
        <w:rPr>
          <w:color w:val="000000"/>
        </w:rPr>
        <w:t>.</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[40] S. Vambol, V. Vambol, V. Sobyna, V. Koloskov, and L. Poberezhna, "Investigation of the energy efficiency of waste utilization technology, with considering the use of low-temperature separation of the resulting gas mixtures," in </w:t>
      </w:r>
      <w:r w:rsidRPr="00D56FC8">
        <w:rPr>
          <w:i/>
          <w:iCs/>
          <w:color w:val="000000"/>
        </w:rPr>
        <w:t>Energetika</w:t>
      </w:r>
      <w:r w:rsidRPr="00D56FC8">
        <w:rPr>
          <w:color w:val="000000"/>
        </w:rPr>
        <w:t xml:space="preserve">, </w:t>
      </w:r>
      <w:r w:rsidRPr="00D56FC8">
        <w:rPr>
          <w:b/>
          <w:bCs/>
          <w:color w:val="000000"/>
        </w:rPr>
        <w:t>64</w:t>
      </w:r>
      <w:r w:rsidRPr="00D56FC8">
        <w:rPr>
          <w:color w:val="000000"/>
        </w:rPr>
        <w:t xml:space="preserve">(4), pp. 186–195, (2018), </w:t>
      </w:r>
      <w:hyperlink r:id="rId148" w:history="1">
        <w:r w:rsidRPr="00D56FC8">
          <w:rPr>
            <w:rStyle w:val="a4"/>
          </w:rPr>
          <w:t>https://doi.org/10.6001/energetika.v64i4.3893</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spacing w:val="0"/>
        </w:rPr>
      </w:pPr>
      <w:r w:rsidRPr="00D56FC8">
        <w:rPr>
          <w:color w:val="000000"/>
        </w:rPr>
        <w:t xml:space="preserve">[41] </w:t>
      </w:r>
      <w:r w:rsidRPr="00D56FC8">
        <w:rPr>
          <w:bCs/>
          <w:color w:val="000000"/>
          <w:shd w:val="clear" w:color="auto" w:fill="FFFFFF"/>
        </w:rPr>
        <w:t xml:space="preserve">Online free system for modeling the working processes of reciprocating internal combustion engines using digital twins Blitz-PRO, WWW document, </w:t>
      </w:r>
      <w:r w:rsidRPr="00D56FC8">
        <w:rPr>
          <w:color w:val="000000"/>
        </w:rPr>
        <w:t xml:space="preserve">Available at: </w:t>
      </w:r>
      <w:hyperlink r:id="rId149" w:history="1">
        <w:r w:rsidRPr="00D56FC8">
          <w:rPr>
            <w:rStyle w:val="a4"/>
            <w:bCs/>
            <w:shd w:val="clear" w:color="auto" w:fill="FFFFFF"/>
          </w:rPr>
          <w:t>http://blitzpro.zeddmalam.com/application/index/signin</w:t>
        </w:r>
      </w:hyperlink>
      <w:r w:rsidRPr="00D56FC8">
        <w:rPr>
          <w:bCs/>
          <w:color w:val="000000"/>
          <w:shd w:val="clear" w:color="auto" w:fill="FFFFFF"/>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[42] </w:t>
      </w:r>
      <w:r w:rsidRPr="00D56FC8">
        <w:rPr>
          <w:i/>
          <w:iCs/>
          <w:color w:val="000000"/>
        </w:rPr>
        <w:t>Uniform provision concerning the approval of compression ignition (C.I.) and natural gas (NG) engines as well as positive-ignition (P.I.) engines fuelled with liquefied petroleum gas (LPG) and vehicles equipped with C.I. and NG engines and P.I. engines fuelled with LPG, with regard to the emissions of pollutants by the engine: regulation United Nations Economic and Social Council Economics Commission for Europe Inland Transport Committee Working Party on the Construction of Vehicles of 26 January 2013 year Regulation No. 49, Revision 6</w:t>
      </w:r>
      <w:r w:rsidRPr="00D56FC8">
        <w:rPr>
          <w:color w:val="000000"/>
        </w:rPr>
        <w:t xml:space="preserve"> (UNECE, Geneva, 2013). Available at: </w:t>
      </w:r>
      <w:hyperlink r:id="rId150" w:history="1">
        <w:r w:rsidRPr="00D56FC8">
          <w:rPr>
            <w:rStyle w:val="a4"/>
          </w:rPr>
          <w:t>https://unece.org/sites/default/files/2021-07/R049r4e.pdf</w:t>
        </w:r>
      </w:hyperlink>
      <w:r w:rsidRPr="00D56FC8">
        <w:rPr>
          <w:color w:val="000000"/>
        </w:rPr>
        <w:t>.</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[43] E. Daşdemir, A </w:t>
      </w:r>
      <w:r w:rsidRPr="00D56FC8">
        <w:rPr>
          <w:i/>
          <w:iCs/>
          <w:color w:val="000000"/>
        </w:rPr>
        <w:t>New Proposal for Consumer Price Index (CPI) Calculation and Income Distribution Measurement by Income Groups</w:t>
      </w:r>
      <w:r w:rsidRPr="00D56FC8">
        <w:rPr>
          <w:color w:val="000000"/>
        </w:rPr>
        <w:t xml:space="preserve"> in </w:t>
      </w:r>
      <w:r w:rsidRPr="00D56FC8">
        <w:rPr>
          <w:i/>
          <w:iCs/>
          <w:color w:val="000000"/>
        </w:rPr>
        <w:t>Journal of Economy, Culture and Society</w:t>
      </w:r>
      <w:r w:rsidRPr="00D56FC8">
        <w:rPr>
          <w:color w:val="000000"/>
        </w:rPr>
        <w:t>, </w:t>
      </w:r>
      <w:r w:rsidRPr="00D56FC8">
        <w:rPr>
          <w:b/>
          <w:bCs/>
          <w:color w:val="000000"/>
        </w:rPr>
        <w:t>0</w:t>
      </w:r>
      <w:r w:rsidRPr="00D56FC8">
        <w:rPr>
          <w:color w:val="000000"/>
        </w:rPr>
        <w:t xml:space="preserve">(65), pp. 395–414, (2022). Available at:  </w:t>
      </w:r>
      <w:hyperlink r:id="rId151" w:history="1">
        <w:r w:rsidRPr="00D56FC8">
          <w:rPr>
            <w:rStyle w:val="a4"/>
          </w:rPr>
          <w:t>https://doi.org/10.26650/JECS2021-984480</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[44] </w:t>
      </w:r>
      <w:r w:rsidRPr="00D56FC8">
        <w:rPr>
          <w:bCs/>
          <w:color w:val="000000"/>
          <w:shd w:val="clear" w:color="auto" w:fill="FFFFFF"/>
        </w:rPr>
        <w:t xml:space="preserve">V.G. Rogov </w:t>
      </w:r>
      <w:r w:rsidRPr="00D56FC8">
        <w:rPr>
          <w:bCs/>
          <w:i/>
          <w:iCs/>
          <w:color w:val="000000"/>
          <w:shd w:val="clear" w:color="auto" w:fill="FFFFFF"/>
        </w:rPr>
        <w:t>Assessment of the effectiveness of economic stimulation of the development of shipbuilding enterprises</w:t>
      </w:r>
      <w:r w:rsidRPr="00D56FC8">
        <w:rPr>
          <w:bCs/>
          <w:color w:val="000000"/>
          <w:shd w:val="clear" w:color="auto" w:fill="FFFFFF"/>
        </w:rPr>
        <w:t xml:space="preserve">. Business-Inform </w:t>
      </w:r>
      <w:r w:rsidRPr="00D56FC8">
        <w:rPr>
          <w:bCs/>
          <w:color w:val="000000"/>
          <w:shd w:val="clear" w:color="auto" w:fill="FFFFFF"/>
          <w:lang w:eastAsia="zh-CN"/>
        </w:rPr>
        <w:t>№ 11, pp. 205</w:t>
      </w:r>
      <w:r w:rsidRPr="00D56FC8">
        <w:rPr>
          <w:bCs/>
          <w:color w:val="000000"/>
          <w:shd w:val="clear" w:color="auto" w:fill="FFFFFF"/>
        </w:rPr>
        <w:t xml:space="preserve">–211, </w:t>
      </w:r>
      <w:r w:rsidRPr="00D56FC8">
        <w:rPr>
          <w:bCs/>
          <w:color w:val="000000"/>
          <w:shd w:val="clear" w:color="auto" w:fill="FFFFFF"/>
          <w:lang w:eastAsia="zh-CN"/>
        </w:rPr>
        <w:t>(2020).</w:t>
      </w:r>
      <w:r w:rsidRPr="00D56FC8">
        <w:rPr>
          <w:bCs/>
          <w:color w:val="000000"/>
          <w:shd w:val="clear" w:color="auto" w:fill="FFFFFF"/>
        </w:rPr>
        <w:t xml:space="preserve"> </w:t>
      </w:r>
      <w:r w:rsidRPr="00D56FC8">
        <w:rPr>
          <w:color w:val="000000"/>
        </w:rPr>
        <w:t xml:space="preserve">Available at: </w:t>
      </w:r>
      <w:hyperlink r:id="rId152" w:history="1">
        <w:r w:rsidRPr="00D56FC8">
          <w:rPr>
            <w:rStyle w:val="a4"/>
            <w:bCs/>
            <w:shd w:val="clear" w:color="auto" w:fill="FFFFFF"/>
            <w:lang w:eastAsia="zh-CN"/>
          </w:rPr>
          <w:t>https://doi.org/10.32983/2222-4459-2020-11-205-211</w:t>
        </w:r>
      </w:hyperlink>
      <w:r w:rsidRPr="00D56FC8">
        <w:rPr>
          <w:bCs/>
          <w:color w:val="000000"/>
          <w:shd w:val="clear" w:color="auto" w:fill="FFFFFF"/>
          <w:lang w:eastAsia="zh-CN"/>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[45] O. Kondratenko, V. Koloskov, H. Koloskova, O. Lytvynenko,</w:t>
      </w:r>
      <w:r w:rsidRPr="00D56FC8">
        <w:rPr>
          <w:i/>
          <w:iCs/>
          <w:color w:val="000000"/>
        </w:rPr>
        <w:t xml:space="preserve"> Determination of quantitative and qualitative aspects of environmental pollution by thermal energy from power plants with reciprocating internal combustion engines. Technogenic and ecological safety</w:t>
      </w:r>
      <w:r w:rsidRPr="00D56FC8">
        <w:rPr>
          <w:color w:val="000000"/>
        </w:rPr>
        <w:t>, 17(1/2025), pp. 18–31,</w:t>
      </w:r>
      <w:r w:rsidRPr="00D56FC8">
        <w:rPr>
          <w:i/>
          <w:iCs/>
          <w:color w:val="000000"/>
        </w:rPr>
        <w:t xml:space="preserve"> (2025</w:t>
      </w:r>
      <w:r w:rsidRPr="00D56FC8">
        <w:rPr>
          <w:color w:val="000000"/>
        </w:rPr>
        <w:t xml:space="preserve">). Available at: </w:t>
      </w:r>
      <w:hyperlink r:id="rId153" w:history="1">
        <w:r w:rsidRPr="00D56FC8">
          <w:rPr>
            <w:rStyle w:val="a4"/>
            <w:bCs/>
            <w:shd w:val="clear" w:color="auto" w:fill="FFFFFF"/>
            <w:lang w:eastAsia="zh-CN"/>
          </w:rPr>
          <w:t>https://doi.org/</w:t>
        </w:r>
        <w:r w:rsidRPr="00D56FC8">
          <w:rPr>
            <w:rStyle w:val="a4"/>
          </w:rPr>
          <w:t>10.52363/2522-1892.2025.1.2</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[46] O. Kondratenko, O. Lytvynenko, </w:t>
      </w:r>
      <w:r w:rsidRPr="00D56FC8">
        <w:rPr>
          <w:i/>
          <w:iCs/>
          <w:color w:val="000000"/>
        </w:rPr>
        <w:t xml:space="preserve">Exploring the digital landscape: interdisciplinary perspectives. Monograph. </w:t>
      </w:r>
      <w:r w:rsidRPr="00D56FC8">
        <w:rPr>
          <w:i/>
          <w:iCs/>
          <w:color w:val="000000"/>
        </w:rPr>
        <w:lastRenderedPageBreak/>
        <w:t>Сhapter 5 «Artificial intelligence and innovative educational approaches in digital society». Subsection 5.6. Ecological safety of transport as a component of national security of Ukraine during armed aggression and as a prerequisite for a «green» transition during post-war reconstruction, Materials of 6th International scientific conference «Digital economy and digital society», Section 6 «Learning for the green and digital transition», Academy of Silesia, Katowice, Poland, April 09–10, 2024, pp. 853–869,</w:t>
      </w:r>
      <w:r w:rsidRPr="00D56FC8">
        <w:rPr>
          <w:color w:val="000000"/>
        </w:rPr>
        <w:t xml:space="preserve"> (</w:t>
      </w:r>
      <w:r w:rsidRPr="00D56FC8">
        <w:rPr>
          <w:i/>
          <w:iCs/>
          <w:color w:val="000000"/>
        </w:rPr>
        <w:t xml:space="preserve">The University of Technology in Katowice Press, Katowice, 2024). </w:t>
      </w:r>
      <w:r w:rsidRPr="00D56FC8">
        <w:rPr>
          <w:color w:val="000000"/>
        </w:rPr>
        <w:t xml:space="preserve">Available at: </w:t>
      </w:r>
      <w:hyperlink r:id="rId154" w:history="1">
        <w:r w:rsidRPr="00D56FC8">
          <w:rPr>
            <w:rStyle w:val="a4"/>
          </w:rPr>
          <w:t>http://www.wydawnictwo.wst.pl/uploads/files/f22f3113112eb3a985d36ee5fcdb6747.pdf</w:t>
        </w:r>
      </w:hyperlink>
      <w:r w:rsidRPr="00D56FC8">
        <w:rPr>
          <w:color w:val="000000"/>
        </w:rPr>
        <w:t xml:space="preserve">, DOI: </w:t>
      </w:r>
      <w:hyperlink r:id="rId155" w:history="1">
        <w:r w:rsidRPr="00D56FC8">
          <w:rPr>
            <w:rStyle w:val="a4"/>
            <w:bCs/>
            <w:shd w:val="clear" w:color="auto" w:fill="FFFFFF"/>
            <w:lang w:eastAsia="zh-CN"/>
          </w:rPr>
          <w:t>https://doi.org/</w:t>
        </w:r>
        <w:r w:rsidRPr="00D56FC8">
          <w:rPr>
            <w:rStyle w:val="a4"/>
          </w:rPr>
          <w:t>10.54264/M036</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[47] A.P. Marchenko, I.V. Parsadanov </w:t>
      </w:r>
      <w:r w:rsidRPr="00D56FC8">
        <w:rPr>
          <w:i/>
          <w:iCs/>
          <w:color w:val="000000"/>
        </w:rPr>
        <w:t>Сriteria for assessing the effectiveness of transport power plants decarbonisation in accordance with implementation of the sustainable development concept, Internal Combustion Engines</w:t>
      </w:r>
      <w:r w:rsidRPr="00D56FC8">
        <w:rPr>
          <w:color w:val="000000"/>
        </w:rPr>
        <w:t>, № 1, pp. 3</w:t>
      </w:r>
      <w:r w:rsidRPr="00D56FC8">
        <w:rPr>
          <w:bCs/>
          <w:color w:val="000000"/>
          <w:shd w:val="clear" w:color="auto" w:fill="FFFFFF"/>
        </w:rPr>
        <w:t>–</w:t>
      </w:r>
      <w:r w:rsidRPr="00D56FC8">
        <w:rPr>
          <w:color w:val="000000"/>
        </w:rPr>
        <w:t xml:space="preserve">11 (2024). Available at: </w:t>
      </w:r>
      <w:hyperlink r:id="rId156" w:history="1">
        <w:r w:rsidRPr="00D56FC8">
          <w:rPr>
            <w:rStyle w:val="a4"/>
            <w:bCs/>
            <w:shd w:val="clear" w:color="auto" w:fill="FFFFFF"/>
            <w:lang w:eastAsia="zh-CN"/>
          </w:rPr>
          <w:t>https://doi.org/</w:t>
        </w:r>
        <w:r w:rsidRPr="00D56FC8">
          <w:rPr>
            <w:rStyle w:val="a4"/>
          </w:rPr>
          <w:t>10.20998/0419-8719.2024.1.01</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bCs/>
          <w:color w:val="000000"/>
          <w:shd w:val="clear" w:color="auto" w:fill="FFFFFF"/>
        </w:rPr>
      </w:pPr>
      <w:r w:rsidRPr="00D56FC8">
        <w:rPr>
          <w:color w:val="000000"/>
        </w:rPr>
        <w:t xml:space="preserve">[48] </w:t>
      </w:r>
      <w:r w:rsidRPr="00D56FC8">
        <w:rPr>
          <w:bCs/>
          <w:color w:val="000000"/>
          <w:shd w:val="clear" w:color="auto" w:fill="FFFFFF"/>
          <w:lang w:eastAsia="zh-CN"/>
        </w:rPr>
        <w:t xml:space="preserve">Risk Premiums for Other Markets. Damodaran online, WWW document, </w:t>
      </w:r>
      <w:r w:rsidRPr="00D56FC8">
        <w:rPr>
          <w:color w:val="000000"/>
        </w:rPr>
        <w:t xml:space="preserve">Available at: </w:t>
      </w:r>
      <w:hyperlink r:id="rId157" w:history="1">
        <w:r w:rsidRPr="00D56FC8">
          <w:rPr>
            <w:rStyle w:val="a4"/>
            <w:bCs/>
            <w:shd w:val="clear" w:color="auto" w:fill="FFFFFF"/>
            <w:lang w:eastAsia="zh-CN"/>
          </w:rPr>
          <w:t>http://pages.stern.nyu.edu/~adamodar/</w:t>
        </w:r>
      </w:hyperlink>
      <w:r w:rsidRPr="00D56FC8">
        <w:rPr>
          <w:bCs/>
          <w:color w:val="000000"/>
          <w:shd w:val="clear" w:color="auto" w:fill="FFFFFF"/>
          <w:lang w:eastAsia="zh-CN"/>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bCs/>
          <w:color w:val="000000"/>
          <w:shd w:val="clear" w:color="auto" w:fill="FFFFFF"/>
          <w:lang w:eastAsia="zh-CN"/>
        </w:rPr>
      </w:pPr>
      <w:r w:rsidRPr="00D56FC8">
        <w:rPr>
          <w:color w:val="000000"/>
        </w:rPr>
        <w:t xml:space="preserve">[49] </w:t>
      </w:r>
      <w:r w:rsidRPr="00D56FC8">
        <w:rPr>
          <w:bCs/>
          <w:color w:val="000000"/>
          <w:shd w:val="clear" w:color="auto" w:fill="FFFFFF"/>
          <w:lang w:eastAsia="zh-CN"/>
        </w:rPr>
        <w:t xml:space="preserve">O. Kondratenko, V. Andronov, V. Koloskov, O. Strokov, </w:t>
      </w:r>
      <w:r w:rsidRPr="00D56FC8">
        <w:rPr>
          <w:bCs/>
          <w:i/>
          <w:iCs/>
          <w:color w:val="000000"/>
          <w:shd w:val="clear" w:color="auto" w:fill="FFFFFF"/>
          <w:lang w:eastAsia="zh-CN"/>
        </w:rPr>
        <w:t>Development and Use of the Index of Particulate Matter Filter Efficiency in Environmental Protection Technology for Diesel-Generator with Consumption of Biofuels</w:t>
      </w:r>
      <w:r w:rsidRPr="00D56FC8">
        <w:rPr>
          <w:bCs/>
          <w:color w:val="000000"/>
          <w:shd w:val="clear" w:color="auto" w:fill="FFFFFF"/>
          <w:lang w:eastAsia="zh-CN"/>
        </w:rPr>
        <w:t xml:space="preserve">. 2021 IEEE KhPI Week on Advanced Technology: Conference Proceedings (13–17 September 2021, NTU «KhPI», Kharkiv). Pp. 239–244. </w:t>
      </w:r>
      <w:r w:rsidRPr="00D56FC8">
        <w:rPr>
          <w:color w:val="000000"/>
        </w:rPr>
        <w:t xml:space="preserve">Available at: </w:t>
      </w:r>
      <w:hyperlink r:id="rId158" w:history="1">
        <w:r w:rsidRPr="00D56FC8">
          <w:rPr>
            <w:rStyle w:val="a4"/>
            <w:bCs/>
            <w:shd w:val="clear" w:color="auto" w:fill="FFFFFF"/>
            <w:lang w:eastAsia="zh-CN"/>
          </w:rPr>
          <w:t>https://doi.org/10.1109/KhPIWeek53812.2021.9570034</w:t>
        </w:r>
      </w:hyperlink>
      <w:r w:rsidRPr="00D56FC8">
        <w:rPr>
          <w:bCs/>
          <w:color w:val="000000"/>
          <w:shd w:val="clear" w:color="auto" w:fill="FFFFFF"/>
          <w:lang w:eastAsia="zh-CN"/>
        </w:rPr>
        <w:t xml:space="preserve">. </w:t>
      </w:r>
    </w:p>
    <w:p w:rsidR="00F775BC" w:rsidRPr="00D56FC8" w:rsidRDefault="00F775BC">
      <w:pPr>
        <w:pStyle w:val="a6"/>
        <w:widowControl w:val="0"/>
        <w:tabs>
          <w:tab w:val="clear" w:pos="288"/>
        </w:tabs>
        <w:suppressAutoHyphens/>
        <w:spacing w:after="0" w:line="240" w:lineRule="auto"/>
        <w:ind w:left="426" w:hanging="426"/>
        <w:rPr>
          <w:bCs/>
          <w:color w:val="000000"/>
          <w:shd w:val="clear" w:color="auto" w:fill="FFFFFF"/>
          <w:lang w:eastAsia="zh-CN"/>
        </w:rPr>
      </w:pPr>
      <w:r w:rsidRPr="00D56FC8">
        <w:rPr>
          <w:color w:val="000000"/>
        </w:rPr>
        <w:t xml:space="preserve">[50] O. Kondratenko, V. Koloskov, H. Koloskova, O. Lytvynenko, </w:t>
      </w:r>
      <w:r w:rsidRPr="00D56FC8">
        <w:rPr>
          <w:i/>
          <w:iCs/>
          <w:color w:val="000000"/>
        </w:rPr>
        <w:t>Development of ecological safety structure of exploitation model of firefighting and emergency-rescue vehicle with reciprocating ICE that consumes mixture of biodiesel and petroleum fuel. Proceedings of International Scientific and Practical Conference Until the Day of Workers of Automobile Transport and Road Workers “Modern Automotive Industry, Transport and Road Infrastructure ‘2024 (MAITRI 2024)</w:t>
      </w:r>
      <w:r w:rsidRPr="00D56FC8">
        <w:rPr>
          <w:color w:val="000000"/>
        </w:rPr>
        <w:t xml:space="preserve">”, </w:t>
      </w:r>
      <w:r w:rsidRPr="00D56FC8">
        <w:rPr>
          <w:i/>
          <w:iCs/>
          <w:color w:val="000000"/>
        </w:rPr>
        <w:t>22–23 October 2024</w:t>
      </w:r>
      <w:r w:rsidRPr="00D56FC8">
        <w:rPr>
          <w:color w:val="000000"/>
        </w:rPr>
        <w:t xml:space="preserve">, (Kharkiv National Automobile and Highway University, Kharkiv, 2025). AIP Conference Proceedings, </w:t>
      </w:r>
      <w:r w:rsidRPr="00D56FC8">
        <w:rPr>
          <w:b/>
          <w:bCs/>
          <w:color w:val="000000"/>
        </w:rPr>
        <w:t>34289</w:t>
      </w:r>
      <w:r w:rsidRPr="00D56FC8">
        <w:rPr>
          <w:color w:val="000000"/>
        </w:rPr>
        <w:t xml:space="preserve">(1). 020010 (2025). Available at: </w:t>
      </w:r>
      <w:hyperlink r:id="rId159" w:history="1">
        <w:r w:rsidRPr="00D56FC8">
          <w:rPr>
            <w:rStyle w:val="a4"/>
          </w:rPr>
          <w:t>https://doi.org/10.1063/12.0038600</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[51] </w:t>
      </w:r>
      <w:r w:rsidRPr="00D56FC8">
        <w:rPr>
          <w:i/>
          <w:iCs/>
          <w:color w:val="000000"/>
        </w:rPr>
        <w:t>About the Sustainable Development Goals of Ukraine for the period up to 2030:</w:t>
      </w:r>
      <w:r w:rsidRPr="00D56FC8">
        <w:rPr>
          <w:color w:val="000000"/>
        </w:rPr>
        <w:t xml:space="preserve"> </w:t>
      </w:r>
      <w:r w:rsidRPr="00D56FC8">
        <w:rPr>
          <w:i/>
          <w:iCs/>
          <w:color w:val="000000"/>
        </w:rPr>
        <w:t>Presidential Decree No.</w:t>
      </w:r>
      <w:r w:rsidRPr="00D56FC8">
        <w:rPr>
          <w:color w:val="000000"/>
        </w:rPr>
        <w:t xml:space="preserve"> 722/2019 of 30.09.2019, Available at: </w:t>
      </w:r>
      <w:hyperlink r:id="rId160" w:history="1">
        <w:r w:rsidRPr="00D56FC8">
          <w:rPr>
            <w:rStyle w:val="a4"/>
          </w:rPr>
          <w:t>https://zakon.rada.gov.ua/laws/show/722/2019#Text</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[52] </w:t>
      </w:r>
      <w:r w:rsidRPr="00D56FC8">
        <w:rPr>
          <w:i/>
          <w:iCs/>
          <w:color w:val="000000"/>
        </w:rPr>
        <w:t>On approval of the Regulations on the organization of environmental support of the State Emergency Service of Ukraine: Order of SES of Ukraine</w:t>
      </w:r>
      <w:r w:rsidRPr="00D56FC8">
        <w:rPr>
          <w:color w:val="000000"/>
        </w:rPr>
        <w:t xml:space="preserve"> </w:t>
      </w:r>
      <w:r w:rsidRPr="00D56FC8">
        <w:rPr>
          <w:i/>
          <w:iCs/>
          <w:color w:val="000000"/>
        </w:rPr>
        <w:t>No.</w:t>
      </w:r>
      <w:r w:rsidRPr="00D56FC8">
        <w:rPr>
          <w:color w:val="000000"/>
        </w:rPr>
        <w:t xml:space="preserve"> 618 of 20.09.2013, Available at: </w:t>
      </w:r>
      <w:hyperlink r:id="rId161" w:history="1">
        <w:r w:rsidRPr="00D56FC8">
          <w:rPr>
            <w:rStyle w:val="a4"/>
          </w:rPr>
          <w:t>https://zakon.rada.gov.ua/rada/show/v0618388-13#Text</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[53] </w:t>
      </w:r>
      <w:r w:rsidRPr="00D56FC8">
        <w:rPr>
          <w:i/>
          <w:iCs/>
          <w:color w:val="000000"/>
        </w:rPr>
        <w:t xml:space="preserve">Specialty passport 21.06.01 «Ecological Safety», approved by the resolution of the Presidium of the Higher Attestation Commission of Ukraine № 33-07/7 dated 04.07.2001, </w:t>
      </w:r>
      <w:r w:rsidRPr="00D56FC8">
        <w:rPr>
          <w:color w:val="000000"/>
        </w:rPr>
        <w:t xml:space="preserve">Available at: </w:t>
      </w:r>
      <w:hyperlink r:id="rId162" w:history="1">
        <w:r w:rsidRPr="00D56FC8">
          <w:rPr>
            <w:rStyle w:val="a4"/>
          </w:rPr>
          <w:t>https://zakon.rada.gov.ua/rada/show/va7_7330-01#Text</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rPr>
      </w:pPr>
      <w:r w:rsidRPr="00D56FC8">
        <w:rPr>
          <w:color w:val="000000"/>
        </w:rPr>
        <w:t xml:space="preserve">[54] </w:t>
      </w:r>
      <w:r w:rsidRPr="00D56FC8">
        <w:rPr>
          <w:i/>
          <w:iCs/>
          <w:color w:val="000000"/>
        </w:rPr>
        <w:t xml:space="preserve">Resolution of the Cabinet of Ministers of Ukraine № 476 dated 04/30/2024 «On approval of the list of priority thematic areas of scientific research and scientific and technical developments for the period until December 31 of the year following the termination or abolition of martial law in Ukraine», </w:t>
      </w:r>
      <w:r w:rsidRPr="00D56FC8">
        <w:rPr>
          <w:color w:val="000000"/>
        </w:rPr>
        <w:t xml:space="preserve">Available at: </w:t>
      </w:r>
      <w:hyperlink r:id="rId163" w:history="1">
        <w:r w:rsidRPr="00D56FC8">
          <w:rPr>
            <w:rStyle w:val="a4"/>
          </w:rPr>
          <w:t>https://zakon.rada.gov.ua/laws/show/476-2024-%D0%BF#Text</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lang w:eastAsia="zh-CN"/>
        </w:rPr>
      </w:pPr>
      <w:r w:rsidRPr="00D56FC8">
        <w:rPr>
          <w:color w:val="000000"/>
        </w:rPr>
        <w:t xml:space="preserve">[55] </w:t>
      </w:r>
      <w:r w:rsidRPr="00D56FC8">
        <w:rPr>
          <w:i/>
          <w:iCs/>
          <w:color w:val="000000"/>
        </w:rPr>
        <w:t xml:space="preserve">Law of Ukraine No. 3769-IX of 04.06.2024 «On Amendments to Certain Laws of Ukraine Regarding the Mandatory Use of Liquid Biofuels (Biocomponents) in the Transport Sector», </w:t>
      </w:r>
      <w:r w:rsidRPr="00D56FC8">
        <w:rPr>
          <w:color w:val="000000"/>
        </w:rPr>
        <w:t xml:space="preserve">Available at: </w:t>
      </w:r>
      <w:hyperlink r:id="rId164" w:history="1">
        <w:r w:rsidRPr="00D56FC8">
          <w:rPr>
            <w:rStyle w:val="a4"/>
          </w:rPr>
          <w:t>https://zakon.rada.gov.ua/laws/show/3769-20#Text</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lang w:eastAsia="zh-CN"/>
        </w:rPr>
      </w:pPr>
      <w:r w:rsidRPr="00D56FC8">
        <w:rPr>
          <w:color w:val="000000"/>
        </w:rPr>
        <w:t xml:space="preserve">[56] Topics of Scientific Research and Scientific and Technical (Experimental) Developments for 2025-2029, approved by Order of the MIA of Ukraine № 326 dated 21.05.2024. Available at: </w:t>
      </w:r>
      <w:hyperlink r:id="rId165" w:history="1">
        <w:r w:rsidRPr="00D56FC8">
          <w:rPr>
            <w:rStyle w:val="a4"/>
          </w:rPr>
          <w:t>https://mvs.gov.ua/normativno-pravovi-akti/nakaz-mvs-vid-21052024-326-pro-zatverdzennia-tematiki-naukovix-doslidzen-i-naukovo-texnicnix-eksperimentalnix-rozrobok-na-2025-2029-roki</w:t>
        </w:r>
      </w:hyperlink>
      <w:r w:rsidRPr="00D56FC8">
        <w:rPr>
          <w:color w:val="000000"/>
        </w:rPr>
        <w:t xml:space="preserve">. </w:t>
      </w:r>
    </w:p>
    <w:p w:rsidR="00F775BC" w:rsidRPr="00D56FC8" w:rsidRDefault="00F775BC">
      <w:pPr>
        <w:pStyle w:val="a6"/>
        <w:widowControl w:val="0"/>
        <w:tabs>
          <w:tab w:val="clear" w:pos="288"/>
          <w:tab w:val="left" w:pos="546"/>
        </w:tabs>
        <w:suppressAutoHyphens/>
        <w:spacing w:after="0" w:line="240" w:lineRule="auto"/>
        <w:ind w:left="426" w:hanging="426"/>
        <w:rPr>
          <w:color w:val="000000"/>
          <w:lang w:eastAsia="zh-CN"/>
        </w:rPr>
      </w:pPr>
      <w:r w:rsidRPr="00D56FC8">
        <w:rPr>
          <w:color w:val="000000"/>
        </w:rPr>
        <w:t xml:space="preserve">[57] </w:t>
      </w:r>
      <w:r w:rsidRPr="00D56FC8">
        <w:rPr>
          <w:rFonts w:eastAsia="SimSun"/>
          <w:color w:val="000000"/>
        </w:rPr>
        <w:t xml:space="preserve">Priority Areas of Scientific Activity of the NUCP of Ukraine of SES of Ukraine. </w:t>
      </w:r>
      <w:r w:rsidRPr="00D56FC8">
        <w:rPr>
          <w:color w:val="000000"/>
        </w:rPr>
        <w:t xml:space="preserve">Available at: </w:t>
      </w:r>
      <w:hyperlink r:id="rId166" w:history="1">
        <w:r w:rsidRPr="00D56FC8">
          <w:rPr>
            <w:rStyle w:val="a4"/>
          </w:rPr>
          <w:t>https://nuczu.edu.ua/ukr/nauka/priorytetni-napriamky-naukovoi-diialnosti</w:t>
        </w:r>
      </w:hyperlink>
      <w:r w:rsidRPr="00D56FC8">
        <w:rPr>
          <w:color w:val="000000"/>
        </w:rPr>
        <w:t xml:space="preserve">. </w:t>
      </w:r>
    </w:p>
    <w:p w:rsidR="00F775BC" w:rsidRDefault="00F775BC">
      <w:pPr>
        <w:pStyle w:val="a6"/>
        <w:widowControl w:val="0"/>
        <w:tabs>
          <w:tab w:val="clear" w:pos="288"/>
          <w:tab w:val="left" w:pos="546"/>
        </w:tabs>
        <w:suppressAutoHyphens/>
        <w:spacing w:after="0" w:line="240" w:lineRule="auto"/>
        <w:ind w:left="426" w:hanging="426"/>
        <w:rPr>
          <w:color w:val="000000"/>
          <w:lang w:eastAsia="zh-CN"/>
        </w:rPr>
      </w:pPr>
      <w:r w:rsidRPr="00D56FC8">
        <w:rPr>
          <w:color w:val="000000"/>
        </w:rPr>
        <w:t xml:space="preserve">[58] Civil Defense Code of Ukraine in the current version of 12.09.2025. Available at: </w:t>
      </w:r>
      <w:hyperlink r:id="rId167" w:history="1">
        <w:r w:rsidRPr="00D56FC8">
          <w:rPr>
            <w:rStyle w:val="a4"/>
          </w:rPr>
          <w:t>https://zakon.rada.gov.ua/laws/show/5403-17#Text</w:t>
        </w:r>
      </w:hyperlink>
      <w:r w:rsidRPr="00D56FC8">
        <w:rPr>
          <w:color w:val="000000"/>
        </w:rPr>
        <w:t>.</w:t>
      </w:r>
      <w:r>
        <w:rPr>
          <w:color w:val="000000"/>
        </w:rPr>
        <w:t xml:space="preserve"> </w:t>
      </w:r>
    </w:p>
    <w:sectPr w:rsidR="00F775BC">
      <w:pgSz w:w="12240" w:h="15840"/>
      <w:pgMar w:top="1440" w:right="1440" w:bottom="1440" w:left="1440"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9603E"/>
    <w:multiLevelType w:val="multilevel"/>
    <w:tmpl w:val="4189603E"/>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noPunctuationKerning/>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E80"/>
    <w:rsid w:val="000020A8"/>
    <w:rsid w:val="00014C60"/>
    <w:rsid w:val="000164D5"/>
    <w:rsid w:val="0004059C"/>
    <w:rsid w:val="00052F25"/>
    <w:rsid w:val="000535B3"/>
    <w:rsid w:val="00057910"/>
    <w:rsid w:val="00084771"/>
    <w:rsid w:val="00095A22"/>
    <w:rsid w:val="000B0D1A"/>
    <w:rsid w:val="000C4E5C"/>
    <w:rsid w:val="000E1A63"/>
    <w:rsid w:val="000E4361"/>
    <w:rsid w:val="000E55F6"/>
    <w:rsid w:val="000F2411"/>
    <w:rsid w:val="000F4458"/>
    <w:rsid w:val="001117ED"/>
    <w:rsid w:val="00126597"/>
    <w:rsid w:val="00127629"/>
    <w:rsid w:val="001538BF"/>
    <w:rsid w:val="0018031A"/>
    <w:rsid w:val="00187728"/>
    <w:rsid w:val="00187C34"/>
    <w:rsid w:val="00196965"/>
    <w:rsid w:val="001A5513"/>
    <w:rsid w:val="001A617B"/>
    <w:rsid w:val="001A7064"/>
    <w:rsid w:val="001C78C6"/>
    <w:rsid w:val="001E20C1"/>
    <w:rsid w:val="001E71C4"/>
    <w:rsid w:val="001F5DE6"/>
    <w:rsid w:val="00214664"/>
    <w:rsid w:val="00220C74"/>
    <w:rsid w:val="0025579A"/>
    <w:rsid w:val="00260D2C"/>
    <w:rsid w:val="00272297"/>
    <w:rsid w:val="00285CE3"/>
    <w:rsid w:val="002E6852"/>
    <w:rsid w:val="003146FC"/>
    <w:rsid w:val="0032186D"/>
    <w:rsid w:val="00322166"/>
    <w:rsid w:val="00327E39"/>
    <w:rsid w:val="003558C6"/>
    <w:rsid w:val="00356AD5"/>
    <w:rsid w:val="00372BDB"/>
    <w:rsid w:val="00375169"/>
    <w:rsid w:val="003B034A"/>
    <w:rsid w:val="003B341A"/>
    <w:rsid w:val="003B355C"/>
    <w:rsid w:val="003C5192"/>
    <w:rsid w:val="003E0430"/>
    <w:rsid w:val="003F1ADE"/>
    <w:rsid w:val="003F3886"/>
    <w:rsid w:val="003F5382"/>
    <w:rsid w:val="003F6AE1"/>
    <w:rsid w:val="00404F5A"/>
    <w:rsid w:val="00412170"/>
    <w:rsid w:val="00412793"/>
    <w:rsid w:val="004269FF"/>
    <w:rsid w:val="00432927"/>
    <w:rsid w:val="00433F5B"/>
    <w:rsid w:val="0043796F"/>
    <w:rsid w:val="004429A9"/>
    <w:rsid w:val="004452C8"/>
    <w:rsid w:val="0044634C"/>
    <w:rsid w:val="0046093A"/>
    <w:rsid w:val="0046394F"/>
    <w:rsid w:val="00491187"/>
    <w:rsid w:val="00494218"/>
    <w:rsid w:val="004A1625"/>
    <w:rsid w:val="004A6B11"/>
    <w:rsid w:val="004B58BE"/>
    <w:rsid w:val="004E25A4"/>
    <w:rsid w:val="004F25FD"/>
    <w:rsid w:val="00502C70"/>
    <w:rsid w:val="00522F67"/>
    <w:rsid w:val="00537085"/>
    <w:rsid w:val="00537C81"/>
    <w:rsid w:val="00542895"/>
    <w:rsid w:val="005470BA"/>
    <w:rsid w:val="005631E4"/>
    <w:rsid w:val="00567836"/>
    <w:rsid w:val="00577153"/>
    <w:rsid w:val="005929DC"/>
    <w:rsid w:val="005A1353"/>
    <w:rsid w:val="005A2AF6"/>
    <w:rsid w:val="005A2EDA"/>
    <w:rsid w:val="005A57F0"/>
    <w:rsid w:val="005A61B7"/>
    <w:rsid w:val="005C0820"/>
    <w:rsid w:val="005C19FB"/>
    <w:rsid w:val="005E0F9F"/>
    <w:rsid w:val="005E182C"/>
    <w:rsid w:val="005E6DF7"/>
    <w:rsid w:val="006351A4"/>
    <w:rsid w:val="00636288"/>
    <w:rsid w:val="006377C2"/>
    <w:rsid w:val="006436D5"/>
    <w:rsid w:val="00646C16"/>
    <w:rsid w:val="006615E1"/>
    <w:rsid w:val="00684978"/>
    <w:rsid w:val="00685D62"/>
    <w:rsid w:val="006D08AF"/>
    <w:rsid w:val="006E444E"/>
    <w:rsid w:val="006E6B6E"/>
    <w:rsid w:val="007039A8"/>
    <w:rsid w:val="00705756"/>
    <w:rsid w:val="007221F5"/>
    <w:rsid w:val="00724DBB"/>
    <w:rsid w:val="007331AC"/>
    <w:rsid w:val="007454BE"/>
    <w:rsid w:val="007646C0"/>
    <w:rsid w:val="00771DBE"/>
    <w:rsid w:val="00782D44"/>
    <w:rsid w:val="007A27BB"/>
    <w:rsid w:val="007A63A7"/>
    <w:rsid w:val="007B0DF7"/>
    <w:rsid w:val="007E1FA4"/>
    <w:rsid w:val="007E4CCE"/>
    <w:rsid w:val="007F3632"/>
    <w:rsid w:val="00807285"/>
    <w:rsid w:val="008326A8"/>
    <w:rsid w:val="00843EF1"/>
    <w:rsid w:val="008440C6"/>
    <w:rsid w:val="0085185A"/>
    <w:rsid w:val="00853D78"/>
    <w:rsid w:val="00856B12"/>
    <w:rsid w:val="00870638"/>
    <w:rsid w:val="00872E3E"/>
    <w:rsid w:val="00882ED4"/>
    <w:rsid w:val="00884AA9"/>
    <w:rsid w:val="00894FA0"/>
    <w:rsid w:val="008A48FE"/>
    <w:rsid w:val="008A4C2D"/>
    <w:rsid w:val="008D1100"/>
    <w:rsid w:val="008E5274"/>
    <w:rsid w:val="008E7C46"/>
    <w:rsid w:val="00901CE2"/>
    <w:rsid w:val="00931B6B"/>
    <w:rsid w:val="00934A6F"/>
    <w:rsid w:val="00935178"/>
    <w:rsid w:val="00944C7F"/>
    <w:rsid w:val="00963CA7"/>
    <w:rsid w:val="00964BEC"/>
    <w:rsid w:val="009668B3"/>
    <w:rsid w:val="00980B25"/>
    <w:rsid w:val="00981EB6"/>
    <w:rsid w:val="009826D3"/>
    <w:rsid w:val="009860D4"/>
    <w:rsid w:val="00997EF5"/>
    <w:rsid w:val="009C2C0A"/>
    <w:rsid w:val="009D20C5"/>
    <w:rsid w:val="00A155DA"/>
    <w:rsid w:val="00A24A70"/>
    <w:rsid w:val="00A36956"/>
    <w:rsid w:val="00A406D1"/>
    <w:rsid w:val="00A43570"/>
    <w:rsid w:val="00A61E80"/>
    <w:rsid w:val="00A71B2A"/>
    <w:rsid w:val="00A77AF2"/>
    <w:rsid w:val="00A863F6"/>
    <w:rsid w:val="00AA5A96"/>
    <w:rsid w:val="00AA7A9F"/>
    <w:rsid w:val="00AB7736"/>
    <w:rsid w:val="00AE18B7"/>
    <w:rsid w:val="00AE4A9D"/>
    <w:rsid w:val="00AF2FC5"/>
    <w:rsid w:val="00AF5330"/>
    <w:rsid w:val="00AF56B5"/>
    <w:rsid w:val="00B029C2"/>
    <w:rsid w:val="00B057BD"/>
    <w:rsid w:val="00B14FBA"/>
    <w:rsid w:val="00B2105D"/>
    <w:rsid w:val="00B30203"/>
    <w:rsid w:val="00B324D4"/>
    <w:rsid w:val="00B655D2"/>
    <w:rsid w:val="00B82706"/>
    <w:rsid w:val="00B83EDD"/>
    <w:rsid w:val="00B93632"/>
    <w:rsid w:val="00BA73F3"/>
    <w:rsid w:val="00BD571F"/>
    <w:rsid w:val="00BE098C"/>
    <w:rsid w:val="00BE118C"/>
    <w:rsid w:val="00BE3ED5"/>
    <w:rsid w:val="00BF2592"/>
    <w:rsid w:val="00BF391F"/>
    <w:rsid w:val="00BF70B8"/>
    <w:rsid w:val="00C10A5E"/>
    <w:rsid w:val="00C14B60"/>
    <w:rsid w:val="00C16311"/>
    <w:rsid w:val="00C174A9"/>
    <w:rsid w:val="00C17B4A"/>
    <w:rsid w:val="00C2237F"/>
    <w:rsid w:val="00C279E0"/>
    <w:rsid w:val="00C32EB5"/>
    <w:rsid w:val="00C429F0"/>
    <w:rsid w:val="00C64851"/>
    <w:rsid w:val="00C656DD"/>
    <w:rsid w:val="00C75EBD"/>
    <w:rsid w:val="00C7697E"/>
    <w:rsid w:val="00C94616"/>
    <w:rsid w:val="00C952A5"/>
    <w:rsid w:val="00C9727F"/>
    <w:rsid w:val="00CA0EA8"/>
    <w:rsid w:val="00CA2E05"/>
    <w:rsid w:val="00CB3926"/>
    <w:rsid w:val="00CE085F"/>
    <w:rsid w:val="00D14ADF"/>
    <w:rsid w:val="00D27F37"/>
    <w:rsid w:val="00D31108"/>
    <w:rsid w:val="00D46C42"/>
    <w:rsid w:val="00D56FC8"/>
    <w:rsid w:val="00D613BC"/>
    <w:rsid w:val="00D6627B"/>
    <w:rsid w:val="00D73642"/>
    <w:rsid w:val="00D75688"/>
    <w:rsid w:val="00D77A94"/>
    <w:rsid w:val="00D833BE"/>
    <w:rsid w:val="00DA007F"/>
    <w:rsid w:val="00DB578C"/>
    <w:rsid w:val="00DC4932"/>
    <w:rsid w:val="00DD55CE"/>
    <w:rsid w:val="00DF376A"/>
    <w:rsid w:val="00E02FC3"/>
    <w:rsid w:val="00E302B8"/>
    <w:rsid w:val="00E35A9B"/>
    <w:rsid w:val="00E612BC"/>
    <w:rsid w:val="00E955B4"/>
    <w:rsid w:val="00EE0630"/>
    <w:rsid w:val="00EF4AFD"/>
    <w:rsid w:val="00F06629"/>
    <w:rsid w:val="00F175C0"/>
    <w:rsid w:val="00F50A1F"/>
    <w:rsid w:val="00F5354E"/>
    <w:rsid w:val="00F775BC"/>
    <w:rsid w:val="00FD045B"/>
    <w:rsid w:val="00FE3570"/>
    <w:rsid w:val="00FF2F51"/>
    <w:rsid w:val="01BB649A"/>
    <w:rsid w:val="023128A5"/>
    <w:rsid w:val="029E07B4"/>
    <w:rsid w:val="02B70580"/>
    <w:rsid w:val="02D37EB0"/>
    <w:rsid w:val="03056F0A"/>
    <w:rsid w:val="033E77E8"/>
    <w:rsid w:val="034623EE"/>
    <w:rsid w:val="039842CF"/>
    <w:rsid w:val="04F668B1"/>
    <w:rsid w:val="05DC112D"/>
    <w:rsid w:val="05DF20B2"/>
    <w:rsid w:val="05F30D52"/>
    <w:rsid w:val="06801C3B"/>
    <w:rsid w:val="06AB4C7D"/>
    <w:rsid w:val="06BA630B"/>
    <w:rsid w:val="07B66435"/>
    <w:rsid w:val="08065CFF"/>
    <w:rsid w:val="096E5786"/>
    <w:rsid w:val="09F31262"/>
    <w:rsid w:val="0A7E33C5"/>
    <w:rsid w:val="0AF90B10"/>
    <w:rsid w:val="0B737155"/>
    <w:rsid w:val="0BBF7486"/>
    <w:rsid w:val="0CCD0C4F"/>
    <w:rsid w:val="0CFC4A5D"/>
    <w:rsid w:val="0D2A42A8"/>
    <w:rsid w:val="0D714A1C"/>
    <w:rsid w:val="0D7630A2"/>
    <w:rsid w:val="0D817B82"/>
    <w:rsid w:val="0EE13979"/>
    <w:rsid w:val="0EFF09AB"/>
    <w:rsid w:val="0F147D62"/>
    <w:rsid w:val="0FB513D3"/>
    <w:rsid w:val="10247488"/>
    <w:rsid w:val="11B5219D"/>
    <w:rsid w:val="11DF2FE2"/>
    <w:rsid w:val="12221C5A"/>
    <w:rsid w:val="12B058B8"/>
    <w:rsid w:val="12BD714C"/>
    <w:rsid w:val="12E54A8E"/>
    <w:rsid w:val="13030792"/>
    <w:rsid w:val="13237D6B"/>
    <w:rsid w:val="14116779"/>
    <w:rsid w:val="14790727"/>
    <w:rsid w:val="14C70602"/>
    <w:rsid w:val="151505A6"/>
    <w:rsid w:val="15B648AC"/>
    <w:rsid w:val="15CF3257"/>
    <w:rsid w:val="166C4E41"/>
    <w:rsid w:val="176667F0"/>
    <w:rsid w:val="17725E86"/>
    <w:rsid w:val="17885A88"/>
    <w:rsid w:val="183C0DD2"/>
    <w:rsid w:val="185276F3"/>
    <w:rsid w:val="18FB4688"/>
    <w:rsid w:val="19501B94"/>
    <w:rsid w:val="19D96275"/>
    <w:rsid w:val="19DC71FA"/>
    <w:rsid w:val="19F1171D"/>
    <w:rsid w:val="1A314705"/>
    <w:rsid w:val="1AF45AC8"/>
    <w:rsid w:val="1C151423"/>
    <w:rsid w:val="1C820953"/>
    <w:rsid w:val="1DC13FCB"/>
    <w:rsid w:val="1E233701"/>
    <w:rsid w:val="1E931436"/>
    <w:rsid w:val="1F723023"/>
    <w:rsid w:val="1FAB6CE1"/>
    <w:rsid w:val="1FC76E78"/>
    <w:rsid w:val="205F522A"/>
    <w:rsid w:val="2141547C"/>
    <w:rsid w:val="22110F83"/>
    <w:rsid w:val="228E7A3D"/>
    <w:rsid w:val="22914245"/>
    <w:rsid w:val="22B221FB"/>
    <w:rsid w:val="22CA56D0"/>
    <w:rsid w:val="24215EE4"/>
    <w:rsid w:val="24A63930"/>
    <w:rsid w:val="24BF5DCE"/>
    <w:rsid w:val="24D05608"/>
    <w:rsid w:val="27DE7AB5"/>
    <w:rsid w:val="28400C18"/>
    <w:rsid w:val="29564EDD"/>
    <w:rsid w:val="2993394C"/>
    <w:rsid w:val="299F7C0A"/>
    <w:rsid w:val="2A415DDF"/>
    <w:rsid w:val="2B057BED"/>
    <w:rsid w:val="2B572EC1"/>
    <w:rsid w:val="2B626DED"/>
    <w:rsid w:val="2B6F32B8"/>
    <w:rsid w:val="2BEC66B7"/>
    <w:rsid w:val="2C12605B"/>
    <w:rsid w:val="2CA45E23"/>
    <w:rsid w:val="2CA64350"/>
    <w:rsid w:val="2D9561D7"/>
    <w:rsid w:val="2EFF74F5"/>
    <w:rsid w:val="2F355C83"/>
    <w:rsid w:val="2F737636"/>
    <w:rsid w:val="2FAE6846"/>
    <w:rsid w:val="2FC132E8"/>
    <w:rsid w:val="30023C4C"/>
    <w:rsid w:val="31A124F9"/>
    <w:rsid w:val="31D64F52"/>
    <w:rsid w:val="31F75486"/>
    <w:rsid w:val="3292434A"/>
    <w:rsid w:val="329C71B9"/>
    <w:rsid w:val="332C7A82"/>
    <w:rsid w:val="33605D91"/>
    <w:rsid w:val="33A46447"/>
    <w:rsid w:val="33BB606C"/>
    <w:rsid w:val="346933D7"/>
    <w:rsid w:val="34C44320"/>
    <w:rsid w:val="352D04CC"/>
    <w:rsid w:val="3569702C"/>
    <w:rsid w:val="36A66A34"/>
    <w:rsid w:val="37E706C5"/>
    <w:rsid w:val="3A015E74"/>
    <w:rsid w:val="3A5768EF"/>
    <w:rsid w:val="3A6F00EE"/>
    <w:rsid w:val="3AF328C6"/>
    <w:rsid w:val="3B545DE3"/>
    <w:rsid w:val="3BB13F7E"/>
    <w:rsid w:val="3E541FD3"/>
    <w:rsid w:val="3EB5188C"/>
    <w:rsid w:val="3F006868"/>
    <w:rsid w:val="3F6A0B47"/>
    <w:rsid w:val="3FF2415D"/>
    <w:rsid w:val="401D732F"/>
    <w:rsid w:val="40C916D7"/>
    <w:rsid w:val="41C872E7"/>
    <w:rsid w:val="42F609E7"/>
    <w:rsid w:val="42FE0D52"/>
    <w:rsid w:val="437B6846"/>
    <w:rsid w:val="440F6F36"/>
    <w:rsid w:val="4587329F"/>
    <w:rsid w:val="463D245D"/>
    <w:rsid w:val="46986572"/>
    <w:rsid w:val="46B04006"/>
    <w:rsid w:val="46C4652A"/>
    <w:rsid w:val="46C9474D"/>
    <w:rsid w:val="47CD3E12"/>
    <w:rsid w:val="47D518F6"/>
    <w:rsid w:val="48A37CB9"/>
    <w:rsid w:val="4942653E"/>
    <w:rsid w:val="494A394A"/>
    <w:rsid w:val="498022EE"/>
    <w:rsid w:val="4A0A0505"/>
    <w:rsid w:val="4AB57382"/>
    <w:rsid w:val="4ACF3A74"/>
    <w:rsid w:val="4B683CC5"/>
    <w:rsid w:val="4C943432"/>
    <w:rsid w:val="4CBC6B75"/>
    <w:rsid w:val="4CCD100D"/>
    <w:rsid w:val="4D4963D8"/>
    <w:rsid w:val="4DBC2E94"/>
    <w:rsid w:val="4DBF3E19"/>
    <w:rsid w:val="4DDF3E76"/>
    <w:rsid w:val="4EC7464B"/>
    <w:rsid w:val="4F155BB9"/>
    <w:rsid w:val="4F573F3A"/>
    <w:rsid w:val="4F712098"/>
    <w:rsid w:val="4F934689"/>
    <w:rsid w:val="500C6EE1"/>
    <w:rsid w:val="501F49FD"/>
    <w:rsid w:val="507D7A71"/>
    <w:rsid w:val="50C77758"/>
    <w:rsid w:val="519A31F0"/>
    <w:rsid w:val="51FD4034"/>
    <w:rsid w:val="52715451"/>
    <w:rsid w:val="52BD1DF8"/>
    <w:rsid w:val="536F1AF1"/>
    <w:rsid w:val="537304F7"/>
    <w:rsid w:val="543350B2"/>
    <w:rsid w:val="555A2916"/>
    <w:rsid w:val="558511DC"/>
    <w:rsid w:val="55B94FAC"/>
    <w:rsid w:val="55BB5E32"/>
    <w:rsid w:val="55E258B5"/>
    <w:rsid w:val="56E3499B"/>
    <w:rsid w:val="57D65228"/>
    <w:rsid w:val="58894CCC"/>
    <w:rsid w:val="58D17AEF"/>
    <w:rsid w:val="58D83B51"/>
    <w:rsid w:val="59C759D8"/>
    <w:rsid w:val="5A376F91"/>
    <w:rsid w:val="5ACE4F06"/>
    <w:rsid w:val="5B222411"/>
    <w:rsid w:val="5C2A51C2"/>
    <w:rsid w:val="5C584A0D"/>
    <w:rsid w:val="5D77618B"/>
    <w:rsid w:val="5D9909D7"/>
    <w:rsid w:val="5DC63307"/>
    <w:rsid w:val="5E046209"/>
    <w:rsid w:val="5E1075E1"/>
    <w:rsid w:val="5E4A5D2B"/>
    <w:rsid w:val="5EC057CC"/>
    <w:rsid w:val="5FA62EFB"/>
    <w:rsid w:val="601B01B2"/>
    <w:rsid w:val="60980A56"/>
    <w:rsid w:val="61B6700A"/>
    <w:rsid w:val="62122FF4"/>
    <w:rsid w:val="62E50DCE"/>
    <w:rsid w:val="62F42AEA"/>
    <w:rsid w:val="63053881"/>
    <w:rsid w:val="63984453"/>
    <w:rsid w:val="645E2BB9"/>
    <w:rsid w:val="64C4255D"/>
    <w:rsid w:val="663933C4"/>
    <w:rsid w:val="665E5B82"/>
    <w:rsid w:val="6692162D"/>
    <w:rsid w:val="671F01BE"/>
    <w:rsid w:val="67475AFF"/>
    <w:rsid w:val="67D81B6B"/>
    <w:rsid w:val="69E17233"/>
    <w:rsid w:val="6A3E5FE4"/>
    <w:rsid w:val="6AAD5E11"/>
    <w:rsid w:val="6AE05366"/>
    <w:rsid w:val="6B663041"/>
    <w:rsid w:val="6B897DA7"/>
    <w:rsid w:val="6C386C1D"/>
    <w:rsid w:val="6C3C1BEC"/>
    <w:rsid w:val="6CD77560"/>
    <w:rsid w:val="6D8A2D46"/>
    <w:rsid w:val="6DE26D1F"/>
    <w:rsid w:val="6DE74955"/>
    <w:rsid w:val="6E406FF2"/>
    <w:rsid w:val="6E8B036B"/>
    <w:rsid w:val="6E9B2B83"/>
    <w:rsid w:val="6ED95200"/>
    <w:rsid w:val="6F247264"/>
    <w:rsid w:val="6F616035"/>
    <w:rsid w:val="70527CD6"/>
    <w:rsid w:val="71A55FFE"/>
    <w:rsid w:val="71EF2F7B"/>
    <w:rsid w:val="7295548B"/>
    <w:rsid w:val="73011B3E"/>
    <w:rsid w:val="73F3494A"/>
    <w:rsid w:val="74EE6765"/>
    <w:rsid w:val="75396BE3"/>
    <w:rsid w:val="75982A7C"/>
    <w:rsid w:val="763F6F7E"/>
    <w:rsid w:val="76732B4B"/>
    <w:rsid w:val="772B5411"/>
    <w:rsid w:val="77BB5871"/>
    <w:rsid w:val="78BA359E"/>
    <w:rsid w:val="7968023E"/>
    <w:rsid w:val="79E5308B"/>
    <w:rsid w:val="7A0016B7"/>
    <w:rsid w:val="7A1D0838"/>
    <w:rsid w:val="7A385094"/>
    <w:rsid w:val="7ADB11C0"/>
    <w:rsid w:val="7BB05772"/>
    <w:rsid w:val="7BBD4E90"/>
    <w:rsid w:val="7C272341"/>
    <w:rsid w:val="7C283604"/>
    <w:rsid w:val="7DF46070"/>
    <w:rsid w:val="7E514E49"/>
    <w:rsid w:val="7F5F2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semiHidden="1"/>
    <w:lsdException w:name="toc 3" w:semiHidden="1"/>
    <w:lsdException w:name="caption" w:semiHidden="1" w:unhideWhenUsed="1"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Paragraph"/>
    <w:qFormat/>
    <w:pPr>
      <w:keepNext/>
      <w:keepLines/>
      <w:numPr>
        <w:numId w:val="1"/>
      </w:numPr>
      <w:tabs>
        <w:tab w:val="left" w:pos="216"/>
        <w:tab w:val="left" w:pos="576"/>
      </w:tabs>
      <w:spacing w:before="160" w:after="80"/>
      <w:jc w:val="center"/>
      <w:outlineLvl w:val="0"/>
    </w:pPr>
    <w:rPr>
      <w:smallCaps/>
      <w:sz w:val="20"/>
      <w:szCs w:val="20"/>
      <w:lang w:val="en-US" w:eastAsia="en-US"/>
    </w:rPr>
  </w:style>
  <w:style w:type="paragraph" w:styleId="2">
    <w:name w:val="heading 2"/>
    <w:basedOn w:val="a"/>
    <w:next w:val="a"/>
    <w:link w:val="20"/>
    <w:qFormat/>
    <w:pPr>
      <w:keepNext/>
      <w:keepLines/>
      <w:numPr>
        <w:ilvl w:val="1"/>
        <w:numId w:val="1"/>
      </w:numPr>
      <w:tabs>
        <w:tab w:val="clear" w:pos="360"/>
        <w:tab w:val="left" w:pos="288"/>
      </w:tabs>
      <w:spacing w:before="120" w:after="60"/>
      <w:outlineLvl w:val="1"/>
    </w:pPr>
    <w:rPr>
      <w:rFonts w:eastAsia="MS Mincho"/>
      <w:i/>
      <w:iCs/>
      <w:sz w:val="20"/>
      <w:szCs w:val="20"/>
      <w:lang w:val="en-US" w:eastAsia="en-US"/>
    </w:rPr>
  </w:style>
  <w:style w:type="paragraph" w:styleId="3">
    <w:name w:val="heading 3"/>
    <w:basedOn w:val="a"/>
    <w:next w:val="a"/>
    <w:qFormat/>
    <w:pPr>
      <w:numPr>
        <w:ilvl w:val="2"/>
        <w:numId w:val="1"/>
      </w:numPr>
      <w:tabs>
        <w:tab w:val="left" w:pos="540"/>
      </w:tabs>
      <w:spacing w:line="240" w:lineRule="exact"/>
      <w:ind w:firstLine="288"/>
      <w:jc w:val="both"/>
      <w:outlineLvl w:val="2"/>
    </w:pPr>
    <w:rPr>
      <w:rFonts w:eastAsia="MS Mincho"/>
      <w:i/>
      <w:iCs/>
      <w:sz w:val="20"/>
      <w:szCs w:val="20"/>
      <w:lang w:val="en-US" w:eastAsia="en-US"/>
    </w:rPr>
  </w:style>
  <w:style w:type="paragraph" w:styleId="4">
    <w:name w:val="heading 4"/>
    <w:basedOn w:val="a"/>
    <w:next w:val="a"/>
    <w:qFormat/>
    <w:pPr>
      <w:numPr>
        <w:ilvl w:val="3"/>
        <w:numId w:val="1"/>
      </w:numPr>
      <w:tabs>
        <w:tab w:val="left" w:pos="720"/>
        <w:tab w:val="left" w:pos="821"/>
      </w:tabs>
      <w:spacing w:before="40" w:after="40"/>
      <w:ind w:firstLine="504"/>
      <w:jc w:val="both"/>
      <w:outlineLvl w:val="3"/>
    </w:pPr>
    <w:rPr>
      <w:rFonts w:eastAsia="MS Mincho"/>
      <w:i/>
      <w:iCs/>
      <w:sz w:val="20"/>
      <w:szCs w:val="20"/>
      <w:lang w:val="en-US" w:eastAsia="en-US"/>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qFormat/>
    <w:pPr>
      <w:ind w:firstLine="284"/>
      <w:jc w:val="both"/>
    </w:pPr>
    <w:rPr>
      <w:sz w:val="20"/>
    </w:rPr>
  </w:style>
  <w:style w:type="character" w:customStyle="1" w:styleId="20">
    <w:name w:val="Заголовок 2 Знак"/>
    <w:link w:val="2"/>
    <w:locked/>
    <w:rPr>
      <w:rFonts w:eastAsia="MS Mincho"/>
      <w:i/>
      <w:iCs/>
      <w:lang w:val="en-US" w:eastAsia="en-US" w:bidi="ar-SA"/>
    </w:rPr>
  </w:style>
  <w:style w:type="character" w:styleId="a3">
    <w:name w:val="Emphasis"/>
    <w:uiPriority w:val="20"/>
    <w:qFormat/>
    <w:rPr>
      <w:i/>
      <w:iCs/>
    </w:rPr>
  </w:style>
  <w:style w:type="character" w:styleId="a4">
    <w:name w:val="Hyperlink"/>
    <w:rPr>
      <w:color w:val="0000FF"/>
      <w:u w:val="single"/>
    </w:rPr>
  </w:style>
  <w:style w:type="character" w:styleId="a5">
    <w:name w:val="Strong"/>
    <w:uiPriority w:val="22"/>
    <w:qFormat/>
    <w:rPr>
      <w:b/>
      <w:bCs/>
    </w:rPr>
  </w:style>
  <w:style w:type="paragraph" w:styleId="a6">
    <w:name w:val="Body Text"/>
    <w:basedOn w:val="a"/>
    <w:pPr>
      <w:tabs>
        <w:tab w:val="left" w:pos="288"/>
      </w:tabs>
      <w:spacing w:after="120" w:line="228" w:lineRule="auto"/>
      <w:ind w:firstLine="288"/>
      <w:jc w:val="both"/>
    </w:pPr>
    <w:rPr>
      <w:rFonts w:eastAsia="MS Mincho"/>
      <w:spacing w:val="-1"/>
      <w:sz w:val="20"/>
      <w:szCs w:val="20"/>
      <w:lang w:val="en-US" w:eastAsia="en-US"/>
    </w:rPr>
  </w:style>
  <w:style w:type="paragraph" w:styleId="10">
    <w:name w:val="toc 1"/>
    <w:basedOn w:val="a"/>
    <w:next w:val="a"/>
    <w:semiHidden/>
    <w:pPr>
      <w:widowControl w:val="0"/>
      <w:tabs>
        <w:tab w:val="right" w:leader="dot" w:pos="9628"/>
      </w:tabs>
      <w:snapToGrid w:val="0"/>
      <w:spacing w:line="360" w:lineRule="auto"/>
      <w:ind w:left="709" w:hanging="709"/>
    </w:pPr>
    <w:rPr>
      <w:b/>
      <w:caps/>
      <w:sz w:val="28"/>
      <w:szCs w:val="28"/>
      <w:lang w:eastAsia="en-US"/>
    </w:rPr>
  </w:style>
  <w:style w:type="paragraph" w:styleId="30">
    <w:name w:val="toc 3"/>
    <w:basedOn w:val="a"/>
    <w:next w:val="a"/>
    <w:semiHidden/>
    <w:pPr>
      <w:widowControl w:val="0"/>
      <w:snapToGrid w:val="0"/>
      <w:spacing w:line="360" w:lineRule="auto"/>
      <w:ind w:left="2127" w:hanging="709"/>
    </w:pPr>
    <w:rPr>
      <w:sz w:val="28"/>
      <w:szCs w:val="16"/>
      <w:lang w:eastAsia="en-US"/>
    </w:rPr>
  </w:style>
  <w:style w:type="paragraph" w:styleId="21">
    <w:name w:val="toc 2"/>
    <w:basedOn w:val="a"/>
    <w:next w:val="a"/>
    <w:semiHidden/>
    <w:pPr>
      <w:widowControl w:val="0"/>
      <w:tabs>
        <w:tab w:val="right" w:leader="dot" w:pos="9628"/>
      </w:tabs>
      <w:snapToGrid w:val="0"/>
      <w:spacing w:line="360" w:lineRule="auto"/>
      <w:ind w:left="1418" w:hanging="709"/>
      <w:jc w:val="both"/>
    </w:pPr>
    <w:rPr>
      <w:sz w:val="28"/>
      <w:szCs w:val="16"/>
      <w:lang w:eastAsia="en-US"/>
    </w:rPr>
  </w:style>
  <w:style w:type="table" w:styleId="a7">
    <w:name w:val="Table Grid"/>
    <w:basedOn w:val="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A"/>
    <w:basedOn w:val="a"/>
    <w:pPr>
      <w:widowControl w:val="0"/>
      <w:snapToGrid w:val="0"/>
      <w:spacing w:line="360" w:lineRule="auto"/>
      <w:ind w:firstLine="709"/>
      <w:jc w:val="both"/>
    </w:pPr>
    <w:rPr>
      <w:sz w:val="28"/>
      <w:szCs w:val="28"/>
      <w:lang w:eastAsia="en-US"/>
    </w:rPr>
  </w:style>
  <w:style w:type="paragraph" w:customStyle="1" w:styleId="Default">
    <w:name w:val="Default"/>
    <w:pPr>
      <w:autoSpaceDE w:val="0"/>
      <w:autoSpaceDN w:val="0"/>
      <w:adjustRightInd w:val="0"/>
    </w:pPr>
    <w:rPr>
      <w:rFonts w:ascii="Segoe UI" w:hAnsi="Segoe UI" w:cs="Segoe UI"/>
      <w:color w:val="000000"/>
      <w:sz w:val="24"/>
      <w:szCs w:val="24"/>
    </w:rPr>
  </w:style>
  <w:style w:type="paragraph" w:customStyle="1" w:styleId="7">
    <w:name w:val=" Знак Знак7 Знак Знак Знак Знак"/>
    <w:basedOn w:val="a"/>
    <w:rPr>
      <w:rFonts w:ascii="Verdana" w:hAnsi="Verdana" w:cs="Verdana"/>
      <w:sz w:val="20"/>
      <w:szCs w:val="20"/>
      <w:lang w:val="en-US" w:eastAsia="en-US"/>
    </w:rPr>
  </w:style>
  <w:style w:type="character" w:customStyle="1" w:styleId="alt-edited">
    <w:name w:val="alt-edited"/>
  </w:style>
  <w:style w:type="character" w:customStyle="1" w:styleId="shorttext">
    <w:name w:val="short_text"/>
  </w:style>
  <w:style w:type="character" w:customStyle="1" w:styleId="hps">
    <w:name w:val="hps"/>
  </w:style>
  <w:style w:type="character" w:customStyle="1" w:styleId="hpsalt-edited">
    <w:name w:val="hps alt-edited"/>
  </w:style>
  <w:style w:type="character" w:customStyle="1" w:styleId="tlid-translationtranslation">
    <w:name w:val="tlid-translation translation"/>
  </w:style>
  <w:style w:type="character" w:customStyle="1" w:styleId="gi">
    <w:name w:val="gi"/>
  </w:style>
  <w:style w:type="character" w:customStyle="1" w:styleId="katex-mathml">
    <w:name w:val="katex-mathml"/>
  </w:style>
  <w:style w:type="character" w:customStyle="1" w:styleId="mord">
    <w:name w:val="mord"/>
  </w:style>
  <w:style w:type="character" w:customStyle="1" w:styleId="vlist-s">
    <w:name w:val="vlist-s"/>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semiHidden="1"/>
    <w:lsdException w:name="toc 3" w:semiHidden="1"/>
    <w:lsdException w:name="caption" w:semiHidden="1" w:unhideWhenUsed="1"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Paragraph"/>
    <w:qFormat/>
    <w:pPr>
      <w:keepNext/>
      <w:keepLines/>
      <w:numPr>
        <w:numId w:val="1"/>
      </w:numPr>
      <w:tabs>
        <w:tab w:val="left" w:pos="216"/>
        <w:tab w:val="left" w:pos="576"/>
      </w:tabs>
      <w:spacing w:before="160" w:after="80"/>
      <w:jc w:val="center"/>
      <w:outlineLvl w:val="0"/>
    </w:pPr>
    <w:rPr>
      <w:smallCaps/>
      <w:sz w:val="20"/>
      <w:szCs w:val="20"/>
      <w:lang w:val="en-US" w:eastAsia="en-US"/>
    </w:rPr>
  </w:style>
  <w:style w:type="paragraph" w:styleId="2">
    <w:name w:val="heading 2"/>
    <w:basedOn w:val="a"/>
    <w:next w:val="a"/>
    <w:link w:val="20"/>
    <w:qFormat/>
    <w:pPr>
      <w:keepNext/>
      <w:keepLines/>
      <w:numPr>
        <w:ilvl w:val="1"/>
        <w:numId w:val="1"/>
      </w:numPr>
      <w:tabs>
        <w:tab w:val="clear" w:pos="360"/>
        <w:tab w:val="left" w:pos="288"/>
      </w:tabs>
      <w:spacing w:before="120" w:after="60"/>
      <w:outlineLvl w:val="1"/>
    </w:pPr>
    <w:rPr>
      <w:rFonts w:eastAsia="MS Mincho"/>
      <w:i/>
      <w:iCs/>
      <w:sz w:val="20"/>
      <w:szCs w:val="20"/>
      <w:lang w:val="en-US" w:eastAsia="en-US"/>
    </w:rPr>
  </w:style>
  <w:style w:type="paragraph" w:styleId="3">
    <w:name w:val="heading 3"/>
    <w:basedOn w:val="a"/>
    <w:next w:val="a"/>
    <w:qFormat/>
    <w:pPr>
      <w:numPr>
        <w:ilvl w:val="2"/>
        <w:numId w:val="1"/>
      </w:numPr>
      <w:tabs>
        <w:tab w:val="left" w:pos="540"/>
      </w:tabs>
      <w:spacing w:line="240" w:lineRule="exact"/>
      <w:ind w:firstLine="288"/>
      <w:jc w:val="both"/>
      <w:outlineLvl w:val="2"/>
    </w:pPr>
    <w:rPr>
      <w:rFonts w:eastAsia="MS Mincho"/>
      <w:i/>
      <w:iCs/>
      <w:sz w:val="20"/>
      <w:szCs w:val="20"/>
      <w:lang w:val="en-US" w:eastAsia="en-US"/>
    </w:rPr>
  </w:style>
  <w:style w:type="paragraph" w:styleId="4">
    <w:name w:val="heading 4"/>
    <w:basedOn w:val="a"/>
    <w:next w:val="a"/>
    <w:qFormat/>
    <w:pPr>
      <w:numPr>
        <w:ilvl w:val="3"/>
        <w:numId w:val="1"/>
      </w:numPr>
      <w:tabs>
        <w:tab w:val="left" w:pos="720"/>
        <w:tab w:val="left" w:pos="821"/>
      </w:tabs>
      <w:spacing w:before="40" w:after="40"/>
      <w:ind w:firstLine="504"/>
      <w:jc w:val="both"/>
      <w:outlineLvl w:val="3"/>
    </w:pPr>
    <w:rPr>
      <w:rFonts w:eastAsia="MS Mincho"/>
      <w:i/>
      <w:iCs/>
      <w:sz w:val="20"/>
      <w:szCs w:val="20"/>
      <w:lang w:val="en-US" w:eastAsia="en-US"/>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qFormat/>
    <w:pPr>
      <w:ind w:firstLine="284"/>
      <w:jc w:val="both"/>
    </w:pPr>
    <w:rPr>
      <w:sz w:val="20"/>
    </w:rPr>
  </w:style>
  <w:style w:type="character" w:customStyle="1" w:styleId="20">
    <w:name w:val="Заголовок 2 Знак"/>
    <w:link w:val="2"/>
    <w:locked/>
    <w:rPr>
      <w:rFonts w:eastAsia="MS Mincho"/>
      <w:i/>
      <w:iCs/>
      <w:lang w:val="en-US" w:eastAsia="en-US" w:bidi="ar-SA"/>
    </w:rPr>
  </w:style>
  <w:style w:type="character" w:styleId="a3">
    <w:name w:val="Emphasis"/>
    <w:uiPriority w:val="20"/>
    <w:qFormat/>
    <w:rPr>
      <w:i/>
      <w:iCs/>
    </w:rPr>
  </w:style>
  <w:style w:type="character" w:styleId="a4">
    <w:name w:val="Hyperlink"/>
    <w:rPr>
      <w:color w:val="0000FF"/>
      <w:u w:val="single"/>
    </w:rPr>
  </w:style>
  <w:style w:type="character" w:styleId="a5">
    <w:name w:val="Strong"/>
    <w:uiPriority w:val="22"/>
    <w:qFormat/>
    <w:rPr>
      <w:b/>
      <w:bCs/>
    </w:rPr>
  </w:style>
  <w:style w:type="paragraph" w:styleId="a6">
    <w:name w:val="Body Text"/>
    <w:basedOn w:val="a"/>
    <w:pPr>
      <w:tabs>
        <w:tab w:val="left" w:pos="288"/>
      </w:tabs>
      <w:spacing w:after="120" w:line="228" w:lineRule="auto"/>
      <w:ind w:firstLine="288"/>
      <w:jc w:val="both"/>
    </w:pPr>
    <w:rPr>
      <w:rFonts w:eastAsia="MS Mincho"/>
      <w:spacing w:val="-1"/>
      <w:sz w:val="20"/>
      <w:szCs w:val="20"/>
      <w:lang w:val="en-US" w:eastAsia="en-US"/>
    </w:rPr>
  </w:style>
  <w:style w:type="paragraph" w:styleId="10">
    <w:name w:val="toc 1"/>
    <w:basedOn w:val="a"/>
    <w:next w:val="a"/>
    <w:semiHidden/>
    <w:pPr>
      <w:widowControl w:val="0"/>
      <w:tabs>
        <w:tab w:val="right" w:leader="dot" w:pos="9628"/>
      </w:tabs>
      <w:snapToGrid w:val="0"/>
      <w:spacing w:line="360" w:lineRule="auto"/>
      <w:ind w:left="709" w:hanging="709"/>
    </w:pPr>
    <w:rPr>
      <w:b/>
      <w:caps/>
      <w:sz w:val="28"/>
      <w:szCs w:val="28"/>
      <w:lang w:eastAsia="en-US"/>
    </w:rPr>
  </w:style>
  <w:style w:type="paragraph" w:styleId="30">
    <w:name w:val="toc 3"/>
    <w:basedOn w:val="a"/>
    <w:next w:val="a"/>
    <w:semiHidden/>
    <w:pPr>
      <w:widowControl w:val="0"/>
      <w:snapToGrid w:val="0"/>
      <w:spacing w:line="360" w:lineRule="auto"/>
      <w:ind w:left="2127" w:hanging="709"/>
    </w:pPr>
    <w:rPr>
      <w:sz w:val="28"/>
      <w:szCs w:val="16"/>
      <w:lang w:eastAsia="en-US"/>
    </w:rPr>
  </w:style>
  <w:style w:type="paragraph" w:styleId="21">
    <w:name w:val="toc 2"/>
    <w:basedOn w:val="a"/>
    <w:next w:val="a"/>
    <w:semiHidden/>
    <w:pPr>
      <w:widowControl w:val="0"/>
      <w:tabs>
        <w:tab w:val="right" w:leader="dot" w:pos="9628"/>
      </w:tabs>
      <w:snapToGrid w:val="0"/>
      <w:spacing w:line="360" w:lineRule="auto"/>
      <w:ind w:left="1418" w:hanging="709"/>
      <w:jc w:val="both"/>
    </w:pPr>
    <w:rPr>
      <w:sz w:val="28"/>
      <w:szCs w:val="16"/>
      <w:lang w:eastAsia="en-US"/>
    </w:rPr>
  </w:style>
  <w:style w:type="table" w:styleId="a7">
    <w:name w:val="Table Grid"/>
    <w:basedOn w:val="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A"/>
    <w:basedOn w:val="a"/>
    <w:pPr>
      <w:widowControl w:val="0"/>
      <w:snapToGrid w:val="0"/>
      <w:spacing w:line="360" w:lineRule="auto"/>
      <w:ind w:firstLine="709"/>
      <w:jc w:val="both"/>
    </w:pPr>
    <w:rPr>
      <w:sz w:val="28"/>
      <w:szCs w:val="28"/>
      <w:lang w:eastAsia="en-US"/>
    </w:rPr>
  </w:style>
  <w:style w:type="paragraph" w:customStyle="1" w:styleId="Default">
    <w:name w:val="Default"/>
    <w:pPr>
      <w:autoSpaceDE w:val="0"/>
      <w:autoSpaceDN w:val="0"/>
      <w:adjustRightInd w:val="0"/>
    </w:pPr>
    <w:rPr>
      <w:rFonts w:ascii="Segoe UI" w:hAnsi="Segoe UI" w:cs="Segoe UI"/>
      <w:color w:val="000000"/>
      <w:sz w:val="24"/>
      <w:szCs w:val="24"/>
    </w:rPr>
  </w:style>
  <w:style w:type="paragraph" w:customStyle="1" w:styleId="7">
    <w:name w:val=" Знак Знак7 Знак Знак Знак Знак"/>
    <w:basedOn w:val="a"/>
    <w:rPr>
      <w:rFonts w:ascii="Verdana" w:hAnsi="Verdana" w:cs="Verdana"/>
      <w:sz w:val="20"/>
      <w:szCs w:val="20"/>
      <w:lang w:val="en-US" w:eastAsia="en-US"/>
    </w:rPr>
  </w:style>
  <w:style w:type="character" w:customStyle="1" w:styleId="alt-edited">
    <w:name w:val="alt-edited"/>
  </w:style>
  <w:style w:type="character" w:customStyle="1" w:styleId="shorttext">
    <w:name w:val="short_text"/>
  </w:style>
  <w:style w:type="character" w:customStyle="1" w:styleId="hps">
    <w:name w:val="hps"/>
  </w:style>
  <w:style w:type="character" w:customStyle="1" w:styleId="hpsalt-edited">
    <w:name w:val="hps alt-edited"/>
  </w:style>
  <w:style w:type="character" w:customStyle="1" w:styleId="tlid-translationtranslation">
    <w:name w:val="tlid-translation translation"/>
  </w:style>
  <w:style w:type="character" w:customStyle="1" w:styleId="gi">
    <w:name w:val="gi"/>
  </w:style>
  <w:style w:type="character" w:customStyle="1" w:styleId="katex-mathml">
    <w:name w:val="katex-mathml"/>
  </w:style>
  <w:style w:type="character" w:customStyle="1" w:styleId="mord">
    <w:name w:val="mord"/>
  </w:style>
  <w:style w:type="character" w:customStyle="1" w:styleId="vlist-s">
    <w:name w:val="vlis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hyperlink" Target="https://doi.org/10.1016/j.fuel.2022.124165" TargetMode="External"/><Relationship Id="rId21" Type="http://schemas.openxmlformats.org/officeDocument/2006/relationships/oleObject" Target="embeddings/oleObject8.bin"/><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0.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image" Target="media/image53.wmf"/><Relationship Id="rId112" Type="http://schemas.openxmlformats.org/officeDocument/2006/relationships/hyperlink" Target="http://www.irbis-nbuv.gov.ua/cgi-bin/irbis_nbuv/cgiirbis_64.exe?I21DBN=LINK&amp;P21DBN=UJRN&amp;Z21ID=&amp;S21REF=10&amp;S21CNR=20&amp;S21STN=1&amp;S21FMT=ASP_meta&amp;C21COM=S&amp;2_S21P03=FILA=&amp;2_S21STR=ape_2015_6_12" TargetMode="External"/><Relationship Id="rId133" Type="http://schemas.openxmlformats.org/officeDocument/2006/relationships/hyperlink" Target="https://doi.org/10.1016/j.energy.2023.126765" TargetMode="External"/><Relationship Id="rId138" Type="http://schemas.openxmlformats.org/officeDocument/2006/relationships/hyperlink" Target="https://doi.org/10.1016/j.energy.2022.125356" TargetMode="External"/><Relationship Id="rId154" Type="http://schemas.openxmlformats.org/officeDocument/2006/relationships/hyperlink" Target="http://www.wydawnictwo.wst.pl/uploads/files/f22f3113112eb3a985d36ee5fcdb6747.pdf" TargetMode="External"/><Relationship Id="rId159" Type="http://schemas.openxmlformats.org/officeDocument/2006/relationships/hyperlink" Target="https://doi.org/10.1063/12.0038600" TargetMode="External"/><Relationship Id="rId16" Type="http://schemas.openxmlformats.org/officeDocument/2006/relationships/image" Target="media/image6.wmf"/><Relationship Id="rId107" Type="http://schemas.openxmlformats.org/officeDocument/2006/relationships/image" Target="media/image62.wmf"/><Relationship Id="rId11" Type="http://schemas.openxmlformats.org/officeDocument/2006/relationships/oleObject" Target="embeddings/oleObject3.bin"/><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5.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48.wmf"/><Relationship Id="rId102" Type="http://schemas.openxmlformats.org/officeDocument/2006/relationships/oleObject" Target="embeddings/oleObject38.bin"/><Relationship Id="rId123" Type="http://schemas.openxmlformats.org/officeDocument/2006/relationships/hyperlink" Target="https://doi.org/10.1016/j.ecmx.2024.100841" TargetMode="External"/><Relationship Id="rId128" Type="http://schemas.openxmlformats.org/officeDocument/2006/relationships/hyperlink" Target="https://doi.org/10.1016/j.ijhydene.2023.04.035" TargetMode="External"/><Relationship Id="rId144" Type="http://schemas.openxmlformats.org/officeDocument/2006/relationships/hyperlink" Target="https://bank.gov.ua/control/en/curmetal/detail/currency?period=daily" TargetMode="External"/><Relationship Id="rId149" Type="http://schemas.openxmlformats.org/officeDocument/2006/relationships/hyperlink" Target="http://blitzpro.zeddmalam.com/application/index/signin" TargetMode="External"/><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image" Target="media/image56.wmf"/><Relationship Id="rId160" Type="http://schemas.openxmlformats.org/officeDocument/2006/relationships/hyperlink" Target="https://zakon.rada.gov.ua/laws/show/722/2019#Text" TargetMode="External"/><Relationship Id="rId165" Type="http://schemas.openxmlformats.org/officeDocument/2006/relationships/hyperlink" Target="https://mvs.gov.ua/normativno-pravovi-akti/nakaz-mvs-vid-21052024-326-pro-zatverdzennia-tematiki-naukovix-doslidzen-i-naukovo-texnicnix-eksperimentalnix-rozrobok-na-2025-2029-roki" TargetMode="External"/><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oleObject" Target="embeddings/oleObject19.bin"/><Relationship Id="rId69" Type="http://schemas.openxmlformats.org/officeDocument/2006/relationships/image" Target="media/image43.wmf"/><Relationship Id="rId113" Type="http://schemas.openxmlformats.org/officeDocument/2006/relationships/hyperlink" Target="https://doi.org/10.1051/matecconf/201823002023" TargetMode="External"/><Relationship Id="rId118" Type="http://schemas.openxmlformats.org/officeDocument/2006/relationships/hyperlink" Target="https://doi.org/10.1016/j.energy.2022.126022" TargetMode="External"/><Relationship Id="rId134" Type="http://schemas.openxmlformats.org/officeDocument/2006/relationships/hyperlink" Target="https://doi.org/10.1080/15568318.2022.2039977" TargetMode="External"/><Relationship Id="rId139" Type="http://schemas.openxmlformats.org/officeDocument/2006/relationships/hyperlink" Target="https://doi.org/10.1016/j.enconman.2022.115898" TargetMode="External"/><Relationship Id="rId80" Type="http://schemas.openxmlformats.org/officeDocument/2006/relationships/oleObject" Target="embeddings/oleObject27.bin"/><Relationship Id="rId85" Type="http://schemas.openxmlformats.org/officeDocument/2006/relationships/image" Target="media/image51.wmf"/><Relationship Id="rId150" Type="http://schemas.openxmlformats.org/officeDocument/2006/relationships/hyperlink" Target="https://unece.org/sites/default/files/2021-07/R049r4e.pdf" TargetMode="External"/><Relationship Id="rId155" Type="http://schemas.openxmlformats.org/officeDocument/2006/relationships/hyperlink" Target="https://doi.org/10.54264/M036" TargetMode="External"/><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38.wmf"/><Relationship Id="rId103" Type="http://schemas.openxmlformats.org/officeDocument/2006/relationships/image" Target="media/image60.wmf"/><Relationship Id="rId108" Type="http://schemas.openxmlformats.org/officeDocument/2006/relationships/oleObject" Target="embeddings/oleObject41.bin"/><Relationship Id="rId124" Type="http://schemas.openxmlformats.org/officeDocument/2006/relationships/hyperlink" Target="https://doi.org/10.1016/j.fuel.2023.130255" TargetMode="External"/><Relationship Id="rId129" Type="http://schemas.openxmlformats.org/officeDocument/2006/relationships/hyperlink" Target="https://doi.org/10.1016/j.energy.2021.120604" TargetMode="External"/><Relationship Id="rId54" Type="http://schemas.openxmlformats.org/officeDocument/2006/relationships/oleObject" Target="embeddings/oleObject14.bin"/><Relationship Id="rId70" Type="http://schemas.openxmlformats.org/officeDocument/2006/relationships/oleObject" Target="embeddings/oleObject22.bin"/><Relationship Id="rId75" Type="http://schemas.openxmlformats.org/officeDocument/2006/relationships/image" Target="media/image46.wmf"/><Relationship Id="rId91" Type="http://schemas.openxmlformats.org/officeDocument/2006/relationships/image" Target="media/image54.wmf"/><Relationship Id="rId96" Type="http://schemas.openxmlformats.org/officeDocument/2006/relationships/oleObject" Target="embeddings/oleObject35.bin"/><Relationship Id="rId140" Type="http://schemas.openxmlformats.org/officeDocument/2006/relationships/hyperlink" Target="https://doi.org/10.1016/j.ijhydene.2024.07.150" TargetMode="External"/><Relationship Id="rId145" Type="http://schemas.openxmlformats.org/officeDocument/2006/relationships/hyperlink" Target="https://nvngu.in.ua/index.php/en/component/jdownloads/finish/57-06/8434-2015-06-kondratenko" TargetMode="External"/><Relationship Id="rId161" Type="http://schemas.openxmlformats.org/officeDocument/2006/relationships/hyperlink" Target="https://zakon.rada.gov.ua/rada/show/v0618388-13#Text" TargetMode="External"/><Relationship Id="rId166" Type="http://schemas.openxmlformats.org/officeDocument/2006/relationships/hyperlink" Target="https://nuczu.edu.ua/ukr/nauka/priorytetni-napriamky-naukovoi-diialnosti" TargetMode="Externa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37.wmf"/><Relationship Id="rId106" Type="http://schemas.openxmlformats.org/officeDocument/2006/relationships/oleObject" Target="embeddings/oleObject40.bin"/><Relationship Id="rId114" Type="http://schemas.openxmlformats.org/officeDocument/2006/relationships/hyperlink" Target="https://doi.org/10.15407/fm25.02.308" TargetMode="External"/><Relationship Id="rId119" Type="http://schemas.openxmlformats.org/officeDocument/2006/relationships/hyperlink" Target="https://doi.org/10.1016/j.jclepro.2022.134847" TargetMode="External"/><Relationship Id="rId127" Type="http://schemas.openxmlformats.org/officeDocument/2006/relationships/hyperlink" Target="https://doi.org/10.1016/j.enconman.2024.119064" TargetMode="External"/><Relationship Id="rId10" Type="http://schemas.openxmlformats.org/officeDocument/2006/relationships/image" Target="media/image3.wmf"/><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41.wmf"/><Relationship Id="rId73" Type="http://schemas.openxmlformats.org/officeDocument/2006/relationships/image" Target="media/image45.wmf"/><Relationship Id="rId78" Type="http://schemas.openxmlformats.org/officeDocument/2006/relationships/oleObject" Target="embeddings/oleObject26.bin"/><Relationship Id="rId81" Type="http://schemas.openxmlformats.org/officeDocument/2006/relationships/image" Target="media/image49.w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hyperlink" Target="https://doi.org/10.1016/j.trd.2022.103416" TargetMode="External"/><Relationship Id="rId130" Type="http://schemas.openxmlformats.org/officeDocument/2006/relationships/hyperlink" Target="https://doi.org/10.1016/j.apenergy.2023.122451" TargetMode="External"/><Relationship Id="rId135" Type="http://schemas.openxmlformats.org/officeDocument/2006/relationships/hyperlink" Target="https://doi.org/10.1016/j.rser.2024.115157" TargetMode="External"/><Relationship Id="rId143" Type="http://schemas.openxmlformats.org/officeDocument/2006/relationships/hyperlink" Target="http://repositsc.nuczu.edu.ua/handle/123456789/10293" TargetMode="External"/><Relationship Id="rId148" Type="http://schemas.openxmlformats.org/officeDocument/2006/relationships/hyperlink" Target="https://doi.org/10.6001/energetika.v64i4.3893" TargetMode="External"/><Relationship Id="rId151" Type="http://schemas.openxmlformats.org/officeDocument/2006/relationships/hyperlink" Target="https://doi.org/10.26650/JECS2021-984480" TargetMode="External"/><Relationship Id="rId156" Type="http://schemas.openxmlformats.org/officeDocument/2006/relationships/hyperlink" Target="https://doi.org/10.20998/0419-8719.2024.1.01" TargetMode="External"/><Relationship Id="rId164" Type="http://schemas.openxmlformats.org/officeDocument/2006/relationships/hyperlink" Target="https://zakon.rada.gov.ua/laws/show/3769-20#Text"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22.jpeg"/><Relationship Id="rId109" Type="http://schemas.openxmlformats.org/officeDocument/2006/relationships/hyperlink" Target="http://repositsc.nuczu.edu.ua/bitstream/123456789/8457/1/Monograph_320_V2.pdf" TargetMode="External"/><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6.wmf"/><Relationship Id="rId76" Type="http://schemas.openxmlformats.org/officeDocument/2006/relationships/oleObject" Target="embeddings/oleObject25.bin"/><Relationship Id="rId97" Type="http://schemas.openxmlformats.org/officeDocument/2006/relationships/image" Target="media/image57.wmf"/><Relationship Id="rId104" Type="http://schemas.openxmlformats.org/officeDocument/2006/relationships/oleObject" Target="embeddings/oleObject39.bin"/><Relationship Id="rId120" Type="http://schemas.openxmlformats.org/officeDocument/2006/relationships/hyperlink" Target="https://doi.org/10.1016/j.trd.2018.12.012" TargetMode="External"/><Relationship Id="rId125" Type="http://schemas.openxmlformats.org/officeDocument/2006/relationships/hyperlink" Target="https://doi.org/10.1016/j.seta.2024.103869" TargetMode="External"/><Relationship Id="rId141" Type="http://schemas.openxmlformats.org/officeDocument/2006/relationships/hyperlink" Target="https://web.kpi.kharkov.ua/diesel/nauka/pidruchniki/" TargetMode="External"/><Relationship Id="rId146" Type="http://schemas.openxmlformats.org/officeDocument/2006/relationships/hyperlink" Target="https://doi.org/10.15587/1729-4061.2017.102314" TargetMode="External"/><Relationship Id="rId167" Type="http://schemas.openxmlformats.org/officeDocument/2006/relationships/hyperlink" Target="https://zakon.rada.gov.ua/laws/show/5403-17#Text" TargetMode="External"/><Relationship Id="rId7" Type="http://schemas.openxmlformats.org/officeDocument/2006/relationships/oleObject" Target="embeddings/oleObject1.bin"/><Relationship Id="rId71" Type="http://schemas.openxmlformats.org/officeDocument/2006/relationships/image" Target="media/image44.wmf"/><Relationship Id="rId92" Type="http://schemas.openxmlformats.org/officeDocument/2006/relationships/oleObject" Target="embeddings/oleObject33.bin"/><Relationship Id="rId162" Type="http://schemas.openxmlformats.org/officeDocument/2006/relationships/hyperlink" Target="https://zakon.rada.gov.ua/rada/show/va7_7330-01#Text" TargetMode="External"/><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oleObject" Target="embeddings/oleObject20.bin"/><Relationship Id="rId87" Type="http://schemas.openxmlformats.org/officeDocument/2006/relationships/image" Target="media/image52.wmf"/><Relationship Id="rId110" Type="http://schemas.openxmlformats.org/officeDocument/2006/relationships/hyperlink" Target="https://www.nvngu.in.ua/index.php/en/archive/on-the-issues/985-2014/contents-no-5-2014/environmental-safety-labour-protection/2797-diminishing-of-ecological-risk-via-optimization-of-fire-extinguishing-system-projects-in-timber-yards" TargetMode="External"/><Relationship Id="rId115" Type="http://schemas.openxmlformats.org/officeDocument/2006/relationships/hyperlink" Target="https://doi.org/10.1109/IEPS.2018.8559570" TargetMode="External"/><Relationship Id="rId131" Type="http://schemas.openxmlformats.org/officeDocument/2006/relationships/hyperlink" Target="https://doi.org/10.1016/j.jclepro.2018.01.227" TargetMode="External"/><Relationship Id="rId136" Type="http://schemas.openxmlformats.org/officeDocument/2006/relationships/hyperlink" Target="https://doi.org/10.1016/j.rser.2024.114845" TargetMode="External"/><Relationship Id="rId157" Type="http://schemas.openxmlformats.org/officeDocument/2006/relationships/hyperlink" Target="http://pages.stern.nyu.edu/~adamodar/" TargetMode="External"/><Relationship Id="rId61" Type="http://schemas.openxmlformats.org/officeDocument/2006/relationships/image" Target="media/image39.wmf"/><Relationship Id="rId82" Type="http://schemas.openxmlformats.org/officeDocument/2006/relationships/oleObject" Target="embeddings/oleObject28.bin"/><Relationship Id="rId152" Type="http://schemas.openxmlformats.org/officeDocument/2006/relationships/hyperlink" Target="https://doi.org/10.32983/2222-4459-2020-11-205-211" TargetMode="External"/><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oleObject" Target="embeddings/oleObject15.bin"/><Relationship Id="rId77" Type="http://schemas.openxmlformats.org/officeDocument/2006/relationships/image" Target="media/image47.wmf"/><Relationship Id="rId100" Type="http://schemas.openxmlformats.org/officeDocument/2006/relationships/oleObject" Target="embeddings/oleObject37.bin"/><Relationship Id="rId105" Type="http://schemas.openxmlformats.org/officeDocument/2006/relationships/image" Target="media/image61.wmf"/><Relationship Id="rId126" Type="http://schemas.openxmlformats.org/officeDocument/2006/relationships/hyperlink" Target="https://doi.org/10.1016/j.renene.2007.06.009" TargetMode="External"/><Relationship Id="rId147" Type="http://schemas.openxmlformats.org/officeDocument/2006/relationships/hyperlink" Target="http://repositsc.nuczu.edu.ua/handle/123456789/9630?locale=en" TargetMode="External"/><Relationship Id="rId168"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34.wmf"/><Relationship Id="rId72" Type="http://schemas.openxmlformats.org/officeDocument/2006/relationships/oleObject" Target="embeddings/oleObject23.bin"/><Relationship Id="rId93" Type="http://schemas.openxmlformats.org/officeDocument/2006/relationships/image" Target="media/image55.wmf"/><Relationship Id="rId98" Type="http://schemas.openxmlformats.org/officeDocument/2006/relationships/oleObject" Target="embeddings/oleObject36.bin"/><Relationship Id="rId121" Type="http://schemas.openxmlformats.org/officeDocument/2006/relationships/hyperlink" Target="https://doi.org/10.1016/j.ijhydene.2024.02.279" TargetMode="External"/><Relationship Id="rId142" Type="http://schemas.openxmlformats.org/officeDocument/2006/relationships/hyperlink" Target="http://repositsc.nuczu.edu.ua/handle/123456789/25902" TargetMode="External"/><Relationship Id="rId163" Type="http://schemas.openxmlformats.org/officeDocument/2006/relationships/hyperlink" Target="https://zakon.rada.gov.ua/laws/show/476-2024-%D0%BF#Text" TargetMode="External"/><Relationship Id="rId3" Type="http://schemas.microsoft.com/office/2007/relationships/stylesWithEffects" Target="stylesWithEffects.xml"/><Relationship Id="rId25" Type="http://schemas.openxmlformats.org/officeDocument/2006/relationships/oleObject" Target="embeddings/oleObject10.bin"/><Relationship Id="rId46" Type="http://schemas.openxmlformats.org/officeDocument/2006/relationships/image" Target="media/image29.jpeg"/><Relationship Id="rId67" Type="http://schemas.openxmlformats.org/officeDocument/2006/relationships/image" Target="media/image42.wmf"/><Relationship Id="rId116" Type="http://schemas.openxmlformats.org/officeDocument/2006/relationships/hyperlink" Target="https://doi.org/10.1016/j.csite.2023.102806" TargetMode="External"/><Relationship Id="rId137" Type="http://schemas.openxmlformats.org/officeDocument/2006/relationships/hyperlink" Target="https://doi.org/10.1016/j.jpowsour.2021.230328" TargetMode="External"/><Relationship Id="rId158" Type="http://schemas.openxmlformats.org/officeDocument/2006/relationships/hyperlink" Target="https://doi.org/10.1109/KhPIWeek53812.2021.9570034" TargetMode="External"/><Relationship Id="rId20" Type="http://schemas.openxmlformats.org/officeDocument/2006/relationships/image" Target="media/image8.wmf"/><Relationship Id="rId41" Type="http://schemas.openxmlformats.org/officeDocument/2006/relationships/image" Target="media/image24.jpeg"/><Relationship Id="rId62" Type="http://schemas.openxmlformats.org/officeDocument/2006/relationships/oleObject" Target="embeddings/oleObject18.bin"/><Relationship Id="rId83" Type="http://schemas.openxmlformats.org/officeDocument/2006/relationships/image" Target="media/image50.wmf"/><Relationship Id="rId88" Type="http://schemas.openxmlformats.org/officeDocument/2006/relationships/oleObject" Target="embeddings/oleObject31.bin"/><Relationship Id="rId111" Type="http://schemas.openxmlformats.org/officeDocument/2006/relationships/hyperlink" Target="http://www.nvngu.in.ua/index.php/en/archive/on-the-issues/1546-2018/contents-1-2018/environmental-safety-labour-protection/4281-system-approach-for-readiness-assessment-units-of-civil-defense-to-actions-at-emergency-situations" TargetMode="External"/><Relationship Id="rId132" Type="http://schemas.openxmlformats.org/officeDocument/2006/relationships/hyperlink" Target="https://doi.org/10.1016/j.ijhydene.2024.08.147" TargetMode="External"/><Relationship Id="rId153" Type="http://schemas.openxmlformats.org/officeDocument/2006/relationships/hyperlink" Target="https://doi.org/10.52363/2522-1892.2025.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10452</Words>
  <Characters>59580</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69893</CharactersWithSpaces>
  <SharedDoc>false</SharedDoc>
  <HLinks>
    <vt:vector size="354" baseType="variant">
      <vt:variant>
        <vt:i4>8126504</vt:i4>
      </vt:variant>
      <vt:variant>
        <vt:i4>297</vt:i4>
      </vt:variant>
      <vt:variant>
        <vt:i4>0</vt:i4>
      </vt:variant>
      <vt:variant>
        <vt:i4>5</vt:i4>
      </vt:variant>
      <vt:variant>
        <vt:lpwstr>https://zakon.rada.gov.ua/laws/show/5403-17</vt:lpwstr>
      </vt:variant>
      <vt:variant>
        <vt:lpwstr>Text</vt:lpwstr>
      </vt:variant>
      <vt:variant>
        <vt:i4>5046282</vt:i4>
      </vt:variant>
      <vt:variant>
        <vt:i4>294</vt:i4>
      </vt:variant>
      <vt:variant>
        <vt:i4>0</vt:i4>
      </vt:variant>
      <vt:variant>
        <vt:i4>5</vt:i4>
      </vt:variant>
      <vt:variant>
        <vt:lpwstr>https://nuczu.edu.ua/ukr/nauka/priorytetni-napriamky-naukovoi-diialnosti</vt:lpwstr>
      </vt:variant>
      <vt:variant>
        <vt:lpwstr/>
      </vt:variant>
      <vt:variant>
        <vt:i4>6619245</vt:i4>
      </vt:variant>
      <vt:variant>
        <vt:i4>291</vt:i4>
      </vt:variant>
      <vt:variant>
        <vt:i4>0</vt:i4>
      </vt:variant>
      <vt:variant>
        <vt:i4>5</vt:i4>
      </vt:variant>
      <vt:variant>
        <vt:lpwstr>https://mvs.gov.ua/normativno-pravovi-akti/nakaz-mvs-vid-21052024-326-pro-zatverdzennia-tematiki-naukovix-doslidzen-i-naukovo-texnicnix-eksperimentalnix-rozrobok-na-2025-2029-roki</vt:lpwstr>
      </vt:variant>
      <vt:variant>
        <vt:lpwstr/>
      </vt:variant>
      <vt:variant>
        <vt:i4>7733288</vt:i4>
      </vt:variant>
      <vt:variant>
        <vt:i4>288</vt:i4>
      </vt:variant>
      <vt:variant>
        <vt:i4>0</vt:i4>
      </vt:variant>
      <vt:variant>
        <vt:i4>5</vt:i4>
      </vt:variant>
      <vt:variant>
        <vt:lpwstr>https://zakon.rada.gov.ua/laws/show/3769-20</vt:lpwstr>
      </vt:variant>
      <vt:variant>
        <vt:lpwstr>Text</vt:lpwstr>
      </vt:variant>
      <vt:variant>
        <vt:i4>2293870</vt:i4>
      </vt:variant>
      <vt:variant>
        <vt:i4>285</vt:i4>
      </vt:variant>
      <vt:variant>
        <vt:i4>0</vt:i4>
      </vt:variant>
      <vt:variant>
        <vt:i4>5</vt:i4>
      </vt:variant>
      <vt:variant>
        <vt:lpwstr>https://zakon.rada.gov.ua/laws/show/476-2024-%D0%BF</vt:lpwstr>
      </vt:variant>
      <vt:variant>
        <vt:lpwstr>Text</vt:lpwstr>
      </vt:variant>
      <vt:variant>
        <vt:i4>5570661</vt:i4>
      </vt:variant>
      <vt:variant>
        <vt:i4>282</vt:i4>
      </vt:variant>
      <vt:variant>
        <vt:i4>0</vt:i4>
      </vt:variant>
      <vt:variant>
        <vt:i4>5</vt:i4>
      </vt:variant>
      <vt:variant>
        <vt:lpwstr>https://zakon.rada.gov.ua/rada/show/va7_7330-01</vt:lpwstr>
      </vt:variant>
      <vt:variant>
        <vt:lpwstr>Text</vt:lpwstr>
      </vt:variant>
      <vt:variant>
        <vt:i4>6488160</vt:i4>
      </vt:variant>
      <vt:variant>
        <vt:i4>279</vt:i4>
      </vt:variant>
      <vt:variant>
        <vt:i4>0</vt:i4>
      </vt:variant>
      <vt:variant>
        <vt:i4>5</vt:i4>
      </vt:variant>
      <vt:variant>
        <vt:lpwstr>https://zakon.rada.gov.ua/rada/show/v0618388-13</vt:lpwstr>
      </vt:variant>
      <vt:variant>
        <vt:lpwstr>Text</vt:lpwstr>
      </vt:variant>
      <vt:variant>
        <vt:i4>6160390</vt:i4>
      </vt:variant>
      <vt:variant>
        <vt:i4>276</vt:i4>
      </vt:variant>
      <vt:variant>
        <vt:i4>0</vt:i4>
      </vt:variant>
      <vt:variant>
        <vt:i4>5</vt:i4>
      </vt:variant>
      <vt:variant>
        <vt:lpwstr>https://zakon.rada.gov.ua/laws/show/722/2019</vt:lpwstr>
      </vt:variant>
      <vt:variant>
        <vt:lpwstr>Text</vt:lpwstr>
      </vt:variant>
      <vt:variant>
        <vt:i4>2228350</vt:i4>
      </vt:variant>
      <vt:variant>
        <vt:i4>273</vt:i4>
      </vt:variant>
      <vt:variant>
        <vt:i4>0</vt:i4>
      </vt:variant>
      <vt:variant>
        <vt:i4>5</vt:i4>
      </vt:variant>
      <vt:variant>
        <vt:lpwstr>https://doi.org/10.1063/12.0038600</vt:lpwstr>
      </vt:variant>
      <vt:variant>
        <vt:lpwstr/>
      </vt:variant>
      <vt:variant>
        <vt:i4>3866748</vt:i4>
      </vt:variant>
      <vt:variant>
        <vt:i4>270</vt:i4>
      </vt:variant>
      <vt:variant>
        <vt:i4>0</vt:i4>
      </vt:variant>
      <vt:variant>
        <vt:i4>5</vt:i4>
      </vt:variant>
      <vt:variant>
        <vt:lpwstr>https://doi.org/10.1109/KhPIWeek53812.2021.9570034</vt:lpwstr>
      </vt:variant>
      <vt:variant>
        <vt:lpwstr/>
      </vt:variant>
      <vt:variant>
        <vt:i4>6094873</vt:i4>
      </vt:variant>
      <vt:variant>
        <vt:i4>267</vt:i4>
      </vt:variant>
      <vt:variant>
        <vt:i4>0</vt:i4>
      </vt:variant>
      <vt:variant>
        <vt:i4>5</vt:i4>
      </vt:variant>
      <vt:variant>
        <vt:lpwstr>http://pages.stern.nyu.edu/~adamodar/</vt:lpwstr>
      </vt:variant>
      <vt:variant>
        <vt:lpwstr/>
      </vt:variant>
      <vt:variant>
        <vt:i4>1900627</vt:i4>
      </vt:variant>
      <vt:variant>
        <vt:i4>264</vt:i4>
      </vt:variant>
      <vt:variant>
        <vt:i4>0</vt:i4>
      </vt:variant>
      <vt:variant>
        <vt:i4>5</vt:i4>
      </vt:variant>
      <vt:variant>
        <vt:lpwstr>https://doi.org/10.20998/0419-8719.2024.1.01</vt:lpwstr>
      </vt:variant>
      <vt:variant>
        <vt:lpwstr/>
      </vt:variant>
      <vt:variant>
        <vt:i4>5242951</vt:i4>
      </vt:variant>
      <vt:variant>
        <vt:i4>261</vt:i4>
      </vt:variant>
      <vt:variant>
        <vt:i4>0</vt:i4>
      </vt:variant>
      <vt:variant>
        <vt:i4>5</vt:i4>
      </vt:variant>
      <vt:variant>
        <vt:lpwstr>https://doi.org/10.54264/M036</vt:lpwstr>
      </vt:variant>
      <vt:variant>
        <vt:lpwstr/>
      </vt:variant>
      <vt:variant>
        <vt:i4>6225996</vt:i4>
      </vt:variant>
      <vt:variant>
        <vt:i4>258</vt:i4>
      </vt:variant>
      <vt:variant>
        <vt:i4>0</vt:i4>
      </vt:variant>
      <vt:variant>
        <vt:i4>5</vt:i4>
      </vt:variant>
      <vt:variant>
        <vt:lpwstr>http://www.wydawnictwo.wst.pl/uploads/files/f22f3113112eb3a985d36ee5fcdb6747.pdf</vt:lpwstr>
      </vt:variant>
      <vt:variant>
        <vt:lpwstr/>
      </vt:variant>
      <vt:variant>
        <vt:i4>3080292</vt:i4>
      </vt:variant>
      <vt:variant>
        <vt:i4>255</vt:i4>
      </vt:variant>
      <vt:variant>
        <vt:i4>0</vt:i4>
      </vt:variant>
      <vt:variant>
        <vt:i4>5</vt:i4>
      </vt:variant>
      <vt:variant>
        <vt:lpwstr>https://doi.org/10.52363/2522-1892.2025.1.2</vt:lpwstr>
      </vt:variant>
      <vt:variant>
        <vt:lpwstr/>
      </vt:variant>
      <vt:variant>
        <vt:i4>3932259</vt:i4>
      </vt:variant>
      <vt:variant>
        <vt:i4>252</vt:i4>
      </vt:variant>
      <vt:variant>
        <vt:i4>0</vt:i4>
      </vt:variant>
      <vt:variant>
        <vt:i4>5</vt:i4>
      </vt:variant>
      <vt:variant>
        <vt:lpwstr>https://doi.org/10.32983/2222-4459-2020-11-205-211</vt:lpwstr>
      </vt:variant>
      <vt:variant>
        <vt:lpwstr/>
      </vt:variant>
      <vt:variant>
        <vt:i4>1114196</vt:i4>
      </vt:variant>
      <vt:variant>
        <vt:i4>249</vt:i4>
      </vt:variant>
      <vt:variant>
        <vt:i4>0</vt:i4>
      </vt:variant>
      <vt:variant>
        <vt:i4>5</vt:i4>
      </vt:variant>
      <vt:variant>
        <vt:lpwstr>https://doi.org/10.26650/JECS2021-984480</vt:lpwstr>
      </vt:variant>
      <vt:variant>
        <vt:lpwstr/>
      </vt:variant>
      <vt:variant>
        <vt:i4>4259848</vt:i4>
      </vt:variant>
      <vt:variant>
        <vt:i4>246</vt:i4>
      </vt:variant>
      <vt:variant>
        <vt:i4>0</vt:i4>
      </vt:variant>
      <vt:variant>
        <vt:i4>5</vt:i4>
      </vt:variant>
      <vt:variant>
        <vt:lpwstr>https://unece.org/sites/default/files/2021-07/R049r4e.pdf</vt:lpwstr>
      </vt:variant>
      <vt:variant>
        <vt:lpwstr/>
      </vt:variant>
      <vt:variant>
        <vt:i4>7274596</vt:i4>
      </vt:variant>
      <vt:variant>
        <vt:i4>243</vt:i4>
      </vt:variant>
      <vt:variant>
        <vt:i4>0</vt:i4>
      </vt:variant>
      <vt:variant>
        <vt:i4>5</vt:i4>
      </vt:variant>
      <vt:variant>
        <vt:lpwstr>http://blitzpro.zeddmalam.com/application/index/signin</vt:lpwstr>
      </vt:variant>
      <vt:variant>
        <vt:lpwstr/>
      </vt:variant>
      <vt:variant>
        <vt:i4>1638468</vt:i4>
      </vt:variant>
      <vt:variant>
        <vt:i4>240</vt:i4>
      </vt:variant>
      <vt:variant>
        <vt:i4>0</vt:i4>
      </vt:variant>
      <vt:variant>
        <vt:i4>5</vt:i4>
      </vt:variant>
      <vt:variant>
        <vt:lpwstr>https://doi.org/10.6001/energetika.v64i4.3893</vt:lpwstr>
      </vt:variant>
      <vt:variant>
        <vt:lpwstr/>
      </vt:variant>
      <vt:variant>
        <vt:i4>1900551</vt:i4>
      </vt:variant>
      <vt:variant>
        <vt:i4>237</vt:i4>
      </vt:variant>
      <vt:variant>
        <vt:i4>0</vt:i4>
      </vt:variant>
      <vt:variant>
        <vt:i4>5</vt:i4>
      </vt:variant>
      <vt:variant>
        <vt:lpwstr>http://repositsc.nuczu.edu.ua/handle/123456789/9630?locale=en</vt:lpwstr>
      </vt:variant>
      <vt:variant>
        <vt:lpwstr/>
      </vt:variant>
      <vt:variant>
        <vt:i4>3866735</vt:i4>
      </vt:variant>
      <vt:variant>
        <vt:i4>234</vt:i4>
      </vt:variant>
      <vt:variant>
        <vt:i4>0</vt:i4>
      </vt:variant>
      <vt:variant>
        <vt:i4>5</vt:i4>
      </vt:variant>
      <vt:variant>
        <vt:lpwstr>https://doi.org/10.15587/1729-4061.2017.102314</vt:lpwstr>
      </vt:variant>
      <vt:variant>
        <vt:lpwstr/>
      </vt:variant>
      <vt:variant>
        <vt:i4>3473528</vt:i4>
      </vt:variant>
      <vt:variant>
        <vt:i4>231</vt:i4>
      </vt:variant>
      <vt:variant>
        <vt:i4>0</vt:i4>
      </vt:variant>
      <vt:variant>
        <vt:i4>5</vt:i4>
      </vt:variant>
      <vt:variant>
        <vt:lpwstr>https://nvngu.in.ua/index.php/en/component/jdownloads/finish/57-06/8434-2015-06-kondratenko</vt:lpwstr>
      </vt:variant>
      <vt:variant>
        <vt:lpwstr/>
      </vt:variant>
      <vt:variant>
        <vt:i4>196608</vt:i4>
      </vt:variant>
      <vt:variant>
        <vt:i4>228</vt:i4>
      </vt:variant>
      <vt:variant>
        <vt:i4>0</vt:i4>
      </vt:variant>
      <vt:variant>
        <vt:i4>5</vt:i4>
      </vt:variant>
      <vt:variant>
        <vt:lpwstr>https://bank.gov.ua/control/en/curmetal/detail/currency?period=daily</vt:lpwstr>
      </vt:variant>
      <vt:variant>
        <vt:lpwstr/>
      </vt:variant>
      <vt:variant>
        <vt:i4>1441878</vt:i4>
      </vt:variant>
      <vt:variant>
        <vt:i4>225</vt:i4>
      </vt:variant>
      <vt:variant>
        <vt:i4>0</vt:i4>
      </vt:variant>
      <vt:variant>
        <vt:i4>5</vt:i4>
      </vt:variant>
      <vt:variant>
        <vt:lpwstr>http://repositsc.nuczu.edu.ua/handle/123456789/10293</vt:lpwstr>
      </vt:variant>
      <vt:variant>
        <vt:lpwstr/>
      </vt:variant>
      <vt:variant>
        <vt:i4>2031706</vt:i4>
      </vt:variant>
      <vt:variant>
        <vt:i4>222</vt:i4>
      </vt:variant>
      <vt:variant>
        <vt:i4>0</vt:i4>
      </vt:variant>
      <vt:variant>
        <vt:i4>5</vt:i4>
      </vt:variant>
      <vt:variant>
        <vt:lpwstr>http://repositsc.nuczu.edu.ua/handle/123456789/25902</vt:lpwstr>
      </vt:variant>
      <vt:variant>
        <vt:lpwstr/>
      </vt:variant>
      <vt:variant>
        <vt:i4>131103</vt:i4>
      </vt:variant>
      <vt:variant>
        <vt:i4>219</vt:i4>
      </vt:variant>
      <vt:variant>
        <vt:i4>0</vt:i4>
      </vt:variant>
      <vt:variant>
        <vt:i4>5</vt:i4>
      </vt:variant>
      <vt:variant>
        <vt:lpwstr>https://web.kpi.kharkov.ua/diesel/nauka/pidruchniki/</vt:lpwstr>
      </vt:variant>
      <vt:variant>
        <vt:lpwstr/>
      </vt:variant>
      <vt:variant>
        <vt:i4>3604540</vt:i4>
      </vt:variant>
      <vt:variant>
        <vt:i4>216</vt:i4>
      </vt:variant>
      <vt:variant>
        <vt:i4>0</vt:i4>
      </vt:variant>
      <vt:variant>
        <vt:i4>5</vt:i4>
      </vt:variant>
      <vt:variant>
        <vt:lpwstr>https://doi.org/10.1016/j.ijhydene.2024.07.150</vt:lpwstr>
      </vt:variant>
      <vt:variant>
        <vt:lpwstr/>
      </vt:variant>
      <vt:variant>
        <vt:i4>2162734</vt:i4>
      </vt:variant>
      <vt:variant>
        <vt:i4>213</vt:i4>
      </vt:variant>
      <vt:variant>
        <vt:i4>0</vt:i4>
      </vt:variant>
      <vt:variant>
        <vt:i4>5</vt:i4>
      </vt:variant>
      <vt:variant>
        <vt:lpwstr>https://doi.org/10.1016/j.enconman.2022.115898</vt:lpwstr>
      </vt:variant>
      <vt:variant>
        <vt:lpwstr/>
      </vt:variant>
      <vt:variant>
        <vt:i4>4194380</vt:i4>
      </vt:variant>
      <vt:variant>
        <vt:i4>210</vt:i4>
      </vt:variant>
      <vt:variant>
        <vt:i4>0</vt:i4>
      </vt:variant>
      <vt:variant>
        <vt:i4>5</vt:i4>
      </vt:variant>
      <vt:variant>
        <vt:lpwstr>https://doi.org/10.1016/j.energy.2022.125356</vt:lpwstr>
      </vt:variant>
      <vt:variant>
        <vt:lpwstr/>
      </vt:variant>
      <vt:variant>
        <vt:i4>3145770</vt:i4>
      </vt:variant>
      <vt:variant>
        <vt:i4>207</vt:i4>
      </vt:variant>
      <vt:variant>
        <vt:i4>0</vt:i4>
      </vt:variant>
      <vt:variant>
        <vt:i4>5</vt:i4>
      </vt:variant>
      <vt:variant>
        <vt:lpwstr>https://doi.org/10.1016/j.jpowsour.2021.230328</vt:lpwstr>
      </vt:variant>
      <vt:variant>
        <vt:lpwstr/>
      </vt:variant>
      <vt:variant>
        <vt:i4>3080250</vt:i4>
      </vt:variant>
      <vt:variant>
        <vt:i4>204</vt:i4>
      </vt:variant>
      <vt:variant>
        <vt:i4>0</vt:i4>
      </vt:variant>
      <vt:variant>
        <vt:i4>5</vt:i4>
      </vt:variant>
      <vt:variant>
        <vt:lpwstr>https://doi.org/10.1016/j.rser.2024.114845</vt:lpwstr>
      </vt:variant>
      <vt:variant>
        <vt:lpwstr/>
      </vt:variant>
      <vt:variant>
        <vt:i4>2359354</vt:i4>
      </vt:variant>
      <vt:variant>
        <vt:i4>201</vt:i4>
      </vt:variant>
      <vt:variant>
        <vt:i4>0</vt:i4>
      </vt:variant>
      <vt:variant>
        <vt:i4>5</vt:i4>
      </vt:variant>
      <vt:variant>
        <vt:lpwstr>https://doi.org/10.1016/j.rser.2024.115157</vt:lpwstr>
      </vt:variant>
      <vt:variant>
        <vt:lpwstr/>
      </vt:variant>
      <vt:variant>
        <vt:i4>196675</vt:i4>
      </vt:variant>
      <vt:variant>
        <vt:i4>198</vt:i4>
      </vt:variant>
      <vt:variant>
        <vt:i4>0</vt:i4>
      </vt:variant>
      <vt:variant>
        <vt:i4>5</vt:i4>
      </vt:variant>
      <vt:variant>
        <vt:lpwstr>https://doi.org/10.1080/15568318.2022.2039977</vt:lpwstr>
      </vt:variant>
      <vt:variant>
        <vt:lpwstr/>
      </vt:variant>
      <vt:variant>
        <vt:i4>4653133</vt:i4>
      </vt:variant>
      <vt:variant>
        <vt:i4>195</vt:i4>
      </vt:variant>
      <vt:variant>
        <vt:i4>0</vt:i4>
      </vt:variant>
      <vt:variant>
        <vt:i4>5</vt:i4>
      </vt:variant>
      <vt:variant>
        <vt:lpwstr>https://doi.org/10.1016/j.energy.2023.126765</vt:lpwstr>
      </vt:variant>
      <vt:variant>
        <vt:lpwstr/>
      </vt:variant>
      <vt:variant>
        <vt:i4>4128829</vt:i4>
      </vt:variant>
      <vt:variant>
        <vt:i4>192</vt:i4>
      </vt:variant>
      <vt:variant>
        <vt:i4>0</vt:i4>
      </vt:variant>
      <vt:variant>
        <vt:i4>5</vt:i4>
      </vt:variant>
      <vt:variant>
        <vt:lpwstr>https://doi.org/10.1016/j.ijhydene.2024.08.147</vt:lpwstr>
      </vt:variant>
      <vt:variant>
        <vt:lpwstr/>
      </vt:variant>
      <vt:variant>
        <vt:i4>4325377</vt:i4>
      </vt:variant>
      <vt:variant>
        <vt:i4>189</vt:i4>
      </vt:variant>
      <vt:variant>
        <vt:i4>0</vt:i4>
      </vt:variant>
      <vt:variant>
        <vt:i4>5</vt:i4>
      </vt:variant>
      <vt:variant>
        <vt:lpwstr>https://doi.org/10.1016/j.jclepro.2018.01.227</vt:lpwstr>
      </vt:variant>
      <vt:variant>
        <vt:lpwstr/>
      </vt:variant>
      <vt:variant>
        <vt:i4>3145771</vt:i4>
      </vt:variant>
      <vt:variant>
        <vt:i4>186</vt:i4>
      </vt:variant>
      <vt:variant>
        <vt:i4>0</vt:i4>
      </vt:variant>
      <vt:variant>
        <vt:i4>5</vt:i4>
      </vt:variant>
      <vt:variant>
        <vt:lpwstr>https://doi.org/10.1016/j.apenergy.2023.122451</vt:lpwstr>
      </vt:variant>
      <vt:variant>
        <vt:lpwstr/>
      </vt:variant>
      <vt:variant>
        <vt:i4>4653135</vt:i4>
      </vt:variant>
      <vt:variant>
        <vt:i4>183</vt:i4>
      </vt:variant>
      <vt:variant>
        <vt:i4>0</vt:i4>
      </vt:variant>
      <vt:variant>
        <vt:i4>5</vt:i4>
      </vt:variant>
      <vt:variant>
        <vt:lpwstr>https://doi.org/10.1016/j.energy.2021.120604</vt:lpwstr>
      </vt:variant>
      <vt:variant>
        <vt:lpwstr/>
      </vt:variant>
      <vt:variant>
        <vt:i4>3145789</vt:i4>
      </vt:variant>
      <vt:variant>
        <vt:i4>180</vt:i4>
      </vt:variant>
      <vt:variant>
        <vt:i4>0</vt:i4>
      </vt:variant>
      <vt:variant>
        <vt:i4>5</vt:i4>
      </vt:variant>
      <vt:variant>
        <vt:lpwstr>https://doi.org/10.1016/j.ijhydene.2023.04.035</vt:lpwstr>
      </vt:variant>
      <vt:variant>
        <vt:lpwstr/>
      </vt:variant>
      <vt:variant>
        <vt:i4>2424875</vt:i4>
      </vt:variant>
      <vt:variant>
        <vt:i4>177</vt:i4>
      </vt:variant>
      <vt:variant>
        <vt:i4>0</vt:i4>
      </vt:variant>
      <vt:variant>
        <vt:i4>5</vt:i4>
      </vt:variant>
      <vt:variant>
        <vt:lpwstr>https://doi.org/10.1016/j.enconman.2024.119064</vt:lpwstr>
      </vt:variant>
      <vt:variant>
        <vt:lpwstr/>
      </vt:variant>
      <vt:variant>
        <vt:i4>4849731</vt:i4>
      </vt:variant>
      <vt:variant>
        <vt:i4>174</vt:i4>
      </vt:variant>
      <vt:variant>
        <vt:i4>0</vt:i4>
      </vt:variant>
      <vt:variant>
        <vt:i4>5</vt:i4>
      </vt:variant>
      <vt:variant>
        <vt:lpwstr>https://doi.org/10.1016/j.renene.2007.06.009</vt:lpwstr>
      </vt:variant>
      <vt:variant>
        <vt:lpwstr/>
      </vt:variant>
      <vt:variant>
        <vt:i4>2555951</vt:i4>
      </vt:variant>
      <vt:variant>
        <vt:i4>171</vt:i4>
      </vt:variant>
      <vt:variant>
        <vt:i4>0</vt:i4>
      </vt:variant>
      <vt:variant>
        <vt:i4>5</vt:i4>
      </vt:variant>
      <vt:variant>
        <vt:lpwstr>https://doi.org/10.1016/j.seta.2024.103869</vt:lpwstr>
      </vt:variant>
      <vt:variant>
        <vt:lpwstr/>
      </vt:variant>
      <vt:variant>
        <vt:i4>4128812</vt:i4>
      </vt:variant>
      <vt:variant>
        <vt:i4>168</vt:i4>
      </vt:variant>
      <vt:variant>
        <vt:i4>0</vt:i4>
      </vt:variant>
      <vt:variant>
        <vt:i4>5</vt:i4>
      </vt:variant>
      <vt:variant>
        <vt:lpwstr>https://doi.org/10.1016/j.fuel.2023.130255</vt:lpwstr>
      </vt:variant>
      <vt:variant>
        <vt:lpwstr/>
      </vt:variant>
      <vt:variant>
        <vt:i4>3145761</vt:i4>
      </vt:variant>
      <vt:variant>
        <vt:i4>165</vt:i4>
      </vt:variant>
      <vt:variant>
        <vt:i4>0</vt:i4>
      </vt:variant>
      <vt:variant>
        <vt:i4>5</vt:i4>
      </vt:variant>
      <vt:variant>
        <vt:lpwstr>https://doi.org/10.1016/j.ecmx.2024.100841</vt:lpwstr>
      </vt:variant>
      <vt:variant>
        <vt:lpwstr/>
      </vt:variant>
      <vt:variant>
        <vt:i4>5308428</vt:i4>
      </vt:variant>
      <vt:variant>
        <vt:i4>162</vt:i4>
      </vt:variant>
      <vt:variant>
        <vt:i4>0</vt:i4>
      </vt:variant>
      <vt:variant>
        <vt:i4>5</vt:i4>
      </vt:variant>
      <vt:variant>
        <vt:lpwstr>https://doi.org/10.1016/j.trd.2022.103416</vt:lpwstr>
      </vt:variant>
      <vt:variant>
        <vt:lpwstr/>
      </vt:variant>
      <vt:variant>
        <vt:i4>3670078</vt:i4>
      </vt:variant>
      <vt:variant>
        <vt:i4>159</vt:i4>
      </vt:variant>
      <vt:variant>
        <vt:i4>0</vt:i4>
      </vt:variant>
      <vt:variant>
        <vt:i4>5</vt:i4>
      </vt:variant>
      <vt:variant>
        <vt:lpwstr>https://doi.org/10.1016/j.ijhydene.2024.02.279</vt:lpwstr>
      </vt:variant>
      <vt:variant>
        <vt:lpwstr/>
      </vt:variant>
      <vt:variant>
        <vt:i4>4587529</vt:i4>
      </vt:variant>
      <vt:variant>
        <vt:i4>156</vt:i4>
      </vt:variant>
      <vt:variant>
        <vt:i4>0</vt:i4>
      </vt:variant>
      <vt:variant>
        <vt:i4>5</vt:i4>
      </vt:variant>
      <vt:variant>
        <vt:lpwstr>https://doi.org/10.1016/j.trd.2018.12.012</vt:lpwstr>
      </vt:variant>
      <vt:variant>
        <vt:lpwstr/>
      </vt:variant>
      <vt:variant>
        <vt:i4>5570570</vt:i4>
      </vt:variant>
      <vt:variant>
        <vt:i4>153</vt:i4>
      </vt:variant>
      <vt:variant>
        <vt:i4>0</vt:i4>
      </vt:variant>
      <vt:variant>
        <vt:i4>5</vt:i4>
      </vt:variant>
      <vt:variant>
        <vt:lpwstr>https://doi.org/10.1016/j.jclepro.2022.134847</vt:lpwstr>
      </vt:variant>
      <vt:variant>
        <vt:lpwstr/>
      </vt:variant>
      <vt:variant>
        <vt:i4>4653128</vt:i4>
      </vt:variant>
      <vt:variant>
        <vt:i4>150</vt:i4>
      </vt:variant>
      <vt:variant>
        <vt:i4>0</vt:i4>
      </vt:variant>
      <vt:variant>
        <vt:i4>5</vt:i4>
      </vt:variant>
      <vt:variant>
        <vt:lpwstr>https://doi.org/10.1016/j.energy.2022.126022</vt:lpwstr>
      </vt:variant>
      <vt:variant>
        <vt:lpwstr/>
      </vt:variant>
      <vt:variant>
        <vt:i4>3997738</vt:i4>
      </vt:variant>
      <vt:variant>
        <vt:i4>147</vt:i4>
      </vt:variant>
      <vt:variant>
        <vt:i4>0</vt:i4>
      </vt:variant>
      <vt:variant>
        <vt:i4>5</vt:i4>
      </vt:variant>
      <vt:variant>
        <vt:lpwstr>https://doi.org/10.1016/j.fuel.2022.124165</vt:lpwstr>
      </vt:variant>
      <vt:variant>
        <vt:lpwstr/>
      </vt:variant>
      <vt:variant>
        <vt:i4>2424959</vt:i4>
      </vt:variant>
      <vt:variant>
        <vt:i4>144</vt:i4>
      </vt:variant>
      <vt:variant>
        <vt:i4>0</vt:i4>
      </vt:variant>
      <vt:variant>
        <vt:i4>5</vt:i4>
      </vt:variant>
      <vt:variant>
        <vt:lpwstr>https://doi.org/10.1016/j.csite.2023.102806</vt:lpwstr>
      </vt:variant>
      <vt:variant>
        <vt:lpwstr/>
      </vt:variant>
      <vt:variant>
        <vt:i4>1245269</vt:i4>
      </vt:variant>
      <vt:variant>
        <vt:i4>141</vt:i4>
      </vt:variant>
      <vt:variant>
        <vt:i4>0</vt:i4>
      </vt:variant>
      <vt:variant>
        <vt:i4>5</vt:i4>
      </vt:variant>
      <vt:variant>
        <vt:lpwstr>https://doi.org/10.1109/IEPS.2018.8559570</vt:lpwstr>
      </vt:variant>
      <vt:variant>
        <vt:lpwstr/>
      </vt:variant>
      <vt:variant>
        <vt:i4>4980742</vt:i4>
      </vt:variant>
      <vt:variant>
        <vt:i4>138</vt:i4>
      </vt:variant>
      <vt:variant>
        <vt:i4>0</vt:i4>
      </vt:variant>
      <vt:variant>
        <vt:i4>5</vt:i4>
      </vt:variant>
      <vt:variant>
        <vt:lpwstr>https://doi.org/10.15407/fm25.02.308</vt:lpwstr>
      </vt:variant>
      <vt:variant>
        <vt:lpwstr/>
      </vt:variant>
      <vt:variant>
        <vt:i4>3670057</vt:i4>
      </vt:variant>
      <vt:variant>
        <vt:i4>135</vt:i4>
      </vt:variant>
      <vt:variant>
        <vt:i4>0</vt:i4>
      </vt:variant>
      <vt:variant>
        <vt:i4>5</vt:i4>
      </vt:variant>
      <vt:variant>
        <vt:lpwstr>https://doi.org/10.1051/matecconf/201823002023</vt:lpwstr>
      </vt:variant>
      <vt:variant>
        <vt:lpwstr/>
      </vt:variant>
      <vt:variant>
        <vt:i4>4325376</vt:i4>
      </vt:variant>
      <vt:variant>
        <vt:i4>132</vt:i4>
      </vt:variant>
      <vt:variant>
        <vt:i4>0</vt:i4>
      </vt:variant>
      <vt:variant>
        <vt:i4>5</vt:i4>
      </vt:variant>
      <vt:variant>
        <vt:lpwstr>http://www.irbis-nbuv.gov.ua/cgi-bin/irbis_nbuv/cgiirbis_64.exe?I21DBN=LINK&amp;P21DBN=UJRN&amp;Z21ID=&amp;S21REF=10&amp;S21CNR=20&amp;S21STN=1&amp;S21FMT=ASP_meta&amp;C21COM=S&amp;2_S21P03=FILA=&amp;2_S21STR=ape_2015_6_12</vt:lpwstr>
      </vt:variant>
      <vt:variant>
        <vt:lpwstr/>
      </vt:variant>
      <vt:variant>
        <vt:i4>3342384</vt:i4>
      </vt:variant>
      <vt:variant>
        <vt:i4>129</vt:i4>
      </vt:variant>
      <vt:variant>
        <vt:i4>0</vt:i4>
      </vt:variant>
      <vt:variant>
        <vt:i4>5</vt:i4>
      </vt:variant>
      <vt:variant>
        <vt:lpwstr>http://www.nvngu.in.ua/index.php/en/archive/on-the-issues/1546-2018/contents-1-2018/environmental-safety-labour-protection/4281-system-approach-for-readiness-assessment-units-of-civil-defense-to-actions-at-emergency-situations</vt:lpwstr>
      </vt:variant>
      <vt:variant>
        <vt:lpwstr/>
      </vt:variant>
      <vt:variant>
        <vt:i4>917511</vt:i4>
      </vt:variant>
      <vt:variant>
        <vt:i4>126</vt:i4>
      </vt:variant>
      <vt:variant>
        <vt:i4>0</vt:i4>
      </vt:variant>
      <vt:variant>
        <vt:i4>5</vt:i4>
      </vt:variant>
      <vt:variant>
        <vt:lpwstr>https://www.nvngu.in.ua/index.php/en/archive/on-the-issues/985-2014/contents-no-5-2014/environmental-safety-labour-protection/2797-diminishing-of-ecological-risk-via-optimization-of-fire-extinguishing-system-projects-in-timber-yards</vt:lpwstr>
      </vt:variant>
      <vt:variant>
        <vt:lpwstr/>
      </vt:variant>
      <vt:variant>
        <vt:i4>1966097</vt:i4>
      </vt:variant>
      <vt:variant>
        <vt:i4>123</vt:i4>
      </vt:variant>
      <vt:variant>
        <vt:i4>0</vt:i4>
      </vt:variant>
      <vt:variant>
        <vt:i4>5</vt:i4>
      </vt:variant>
      <vt:variant>
        <vt:lpwstr>http://repositsc.nuczu.edu.ua/bitstream/123456789/8457/1/Monograph_320_V2.pdf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KORYSTUVACH</dc:creator>
  <cp:lastModifiedBy>VolodimyrSSD</cp:lastModifiedBy>
  <cp:revision>2</cp:revision>
  <dcterms:created xsi:type="dcterms:W3CDTF">2026-01-13T08:39:00Z</dcterms:created>
  <dcterms:modified xsi:type="dcterms:W3CDTF">2026-01-13T08:39:00Z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1049-12.2.0.22222</vt:lpwstr>
  </property>
  <property fmtid="{D5CDD505-2E9C-101B-9397-08002B2CF9AE}" pid="3" name="ICV">
    <vt:lpwstr>BBF572D48369497C840DFACD36E7A432_13</vt:lpwstr>
  </property>
</Properties>
</file>