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2D3E5" w14:textId="77777777" w:rsidR="00B76E2E" w:rsidRPr="003E529B" w:rsidRDefault="00B76E2E" w:rsidP="00B76E2E">
      <w:pPr>
        <w:pBdr>
          <w:top w:val="nil"/>
          <w:left w:val="nil"/>
          <w:bottom w:val="nil"/>
          <w:right w:val="nil"/>
          <w:between w:val="nil"/>
        </w:pBdr>
        <w:spacing w:before="1200"/>
        <w:jc w:val="center"/>
        <w:rPr>
          <w:color w:val="000000"/>
          <w:szCs w:val="24"/>
        </w:rPr>
      </w:pPr>
      <w:r w:rsidRPr="003E529B">
        <w:rPr>
          <w:b/>
          <w:sz w:val="36"/>
          <w:szCs w:val="36"/>
        </w:rPr>
        <w:t>Perspectives on Advanced of Pollution Models for Roadside Ecosystems</w:t>
      </w:r>
    </w:p>
    <w:p w14:paraId="7E57CCEF" w14:textId="77777777" w:rsidR="00B76E2E" w:rsidRPr="003E529B" w:rsidRDefault="00B76E2E" w:rsidP="00B76E2E">
      <w:pPr>
        <w:pBdr>
          <w:top w:val="nil"/>
          <w:left w:val="nil"/>
          <w:bottom w:val="nil"/>
          <w:right w:val="nil"/>
          <w:between w:val="nil"/>
        </w:pBdr>
        <w:spacing w:before="360" w:after="360"/>
        <w:ind w:firstLine="270"/>
        <w:jc w:val="center"/>
        <w:rPr>
          <w:sz w:val="28"/>
          <w:szCs w:val="28"/>
        </w:rPr>
      </w:pPr>
      <w:r w:rsidRPr="003E529B">
        <w:rPr>
          <w:color w:val="000000"/>
          <w:sz w:val="28"/>
          <w:szCs w:val="28"/>
        </w:rPr>
        <w:t>Kyrylo Prykhodko</w:t>
      </w:r>
      <w:r w:rsidRPr="003E529B">
        <w:rPr>
          <w:color w:val="000000"/>
          <w:sz w:val="28"/>
          <w:szCs w:val="28"/>
          <w:vertAlign w:val="superscript"/>
        </w:rPr>
        <w:t>1, a)</w:t>
      </w:r>
      <w:r w:rsidRPr="003E529B">
        <w:rPr>
          <w:color w:val="000000"/>
          <w:sz w:val="28"/>
          <w:szCs w:val="28"/>
        </w:rPr>
        <w:t>, Nataliia Prokopenko</w:t>
      </w:r>
      <w:r w:rsidRPr="003E529B">
        <w:rPr>
          <w:color w:val="000000"/>
          <w:sz w:val="28"/>
          <w:szCs w:val="28"/>
          <w:vertAlign w:val="superscript"/>
        </w:rPr>
        <w:t>1</w:t>
      </w:r>
    </w:p>
    <w:p w14:paraId="095DD760" w14:textId="77777777" w:rsidR="00B76E2E" w:rsidRPr="003E529B" w:rsidRDefault="00B76E2E" w:rsidP="00B76E2E">
      <w:pPr>
        <w:pBdr>
          <w:top w:val="nil"/>
          <w:left w:val="nil"/>
          <w:bottom w:val="nil"/>
          <w:right w:val="nil"/>
          <w:between w:val="nil"/>
        </w:pBdr>
        <w:spacing w:before="360" w:after="360"/>
        <w:ind w:firstLine="270"/>
        <w:jc w:val="center"/>
        <w:rPr>
          <w:i/>
          <w:color w:val="000000"/>
          <w:sz w:val="20"/>
        </w:rPr>
      </w:pPr>
      <w:r w:rsidRPr="003E529B">
        <w:rPr>
          <w:color w:val="000000"/>
          <w:sz w:val="20"/>
          <w:vertAlign w:val="superscript"/>
        </w:rPr>
        <w:t>1</w:t>
      </w:r>
      <w:r w:rsidRPr="003E529B">
        <w:rPr>
          <w:i/>
          <w:color w:val="000000"/>
          <w:sz w:val="20"/>
        </w:rPr>
        <w:t xml:space="preserve">Kharkiv National Automobile and Highway University, </w:t>
      </w:r>
      <w:r w:rsidRPr="003E529B">
        <w:rPr>
          <w:i/>
          <w:color w:val="000000"/>
          <w:sz w:val="20"/>
        </w:rPr>
        <w:br/>
        <w:t xml:space="preserve">Department of Ecology, 61002 Kharkiv, Ukraine </w:t>
      </w:r>
      <w:r w:rsidRPr="003E529B">
        <w:rPr>
          <w:i/>
          <w:color w:val="000000"/>
          <w:sz w:val="20"/>
        </w:rPr>
        <w:br/>
      </w:r>
      <w:r w:rsidRPr="003E529B">
        <w:rPr>
          <w:i/>
          <w:color w:val="000000"/>
          <w:sz w:val="20"/>
        </w:rPr>
        <w:br/>
      </w:r>
      <w:r w:rsidRPr="003E529B">
        <w:rPr>
          <w:color w:val="000000"/>
          <w:sz w:val="20"/>
          <w:vertAlign w:val="superscript"/>
        </w:rPr>
        <w:t>a)</w:t>
      </w:r>
      <w:r w:rsidRPr="003E529B">
        <w:rPr>
          <w:i/>
          <w:color w:val="000000"/>
          <w:sz w:val="20"/>
        </w:rPr>
        <w:t xml:space="preserve"> Corresponding author: </w:t>
      </w:r>
      <w:r w:rsidRPr="003E529B">
        <w:rPr>
          <w:i/>
          <w:color w:val="000000" w:themeColor="text1"/>
          <w:sz w:val="20"/>
        </w:rPr>
        <w:t xml:space="preserve">kyrylo.prykhodko1410@gmail.com </w:t>
      </w:r>
    </w:p>
    <w:p w14:paraId="701C3CBD" w14:textId="77777777" w:rsidR="00B76E2E" w:rsidRPr="003E529B" w:rsidRDefault="00B76E2E" w:rsidP="00B76E2E">
      <w:pPr>
        <w:pBdr>
          <w:top w:val="nil"/>
          <w:left w:val="nil"/>
          <w:bottom w:val="nil"/>
          <w:right w:val="nil"/>
          <w:between w:val="nil"/>
        </w:pBdr>
        <w:spacing w:before="360" w:after="360"/>
        <w:ind w:left="289" w:right="289" w:firstLine="270"/>
        <w:jc w:val="both"/>
        <w:rPr>
          <w:color w:val="000000"/>
          <w:sz w:val="18"/>
          <w:szCs w:val="18"/>
        </w:rPr>
      </w:pPr>
      <w:r w:rsidRPr="003E529B">
        <w:rPr>
          <w:b/>
          <w:color w:val="000000"/>
          <w:sz w:val="18"/>
          <w:szCs w:val="18"/>
        </w:rPr>
        <w:t>Abstract.</w:t>
      </w:r>
      <w:r w:rsidRPr="003E529B">
        <w:rPr>
          <w:color w:val="000000"/>
          <w:sz w:val="18"/>
          <w:szCs w:val="18"/>
        </w:rPr>
        <w:t xml:space="preserve"> This article evaluates the prospective advantages of advanced pollution dispersion models, focusing on an improved hybrid Gaussian model incorporating additional parameters and a hybrid Gaussian-Lagrangian model for enhanced precision. These models address limitations in traditional Gaussian Plume and Lagrangian approaches by integrating terrain, turbulence, chemical reactions, and dynamic wind fields, leading to superior accuracy in complex roadside environments. Comparative analyses and experimental validations, including tracer gas releases and urban air quality monitoring in Kharkiv, Ukraine, demonstrate reduced errors (e.g., 10</w:t>
      </w:r>
      <w:r w:rsidRPr="003E529B">
        <w:rPr>
          <w:color w:val="000000"/>
          <w:sz w:val="20"/>
        </w:rPr>
        <w:t>–</w:t>
      </w:r>
      <w:r w:rsidRPr="003E529B">
        <w:rPr>
          <w:color w:val="000000"/>
          <w:sz w:val="18"/>
          <w:szCs w:val="18"/>
        </w:rPr>
        <w:t>25% RMSE improvement over baselines) in urban and industrial simulations. Furthermore, the computational intensity of these models can be mitigated using quantum computers, which offer exponential speedup for particle tracking and optimization via algorithms like HHL and QAOA. Quantum applications in atmospheric modeling, including air pollution schemes and fluid dynamics, underscore their feasibility for real-time forecasting. These advancements position the models as versatile tools for sustainable urban planning and emergency response, with future validation emphasizing quantum integration for scalability.</w:t>
      </w:r>
    </w:p>
    <w:p w14:paraId="065307B7" w14:textId="327BA244" w:rsidR="002A47AF" w:rsidRPr="003E529B" w:rsidRDefault="002A47AF" w:rsidP="002A47AF">
      <w:pPr>
        <w:pBdr>
          <w:top w:val="nil"/>
          <w:left w:val="nil"/>
          <w:bottom w:val="nil"/>
          <w:right w:val="nil"/>
          <w:between w:val="nil"/>
        </w:pBdr>
        <w:spacing w:before="360" w:after="360"/>
        <w:ind w:left="289" w:right="289"/>
        <w:jc w:val="both"/>
        <w:rPr>
          <w:color w:val="000000"/>
          <w:sz w:val="18"/>
          <w:szCs w:val="18"/>
        </w:rPr>
      </w:pPr>
      <w:r w:rsidRPr="003E529B">
        <w:rPr>
          <w:b/>
          <w:color w:val="000000"/>
          <w:sz w:val="18"/>
          <w:szCs w:val="18"/>
        </w:rPr>
        <w:t>Keywords:</w:t>
      </w:r>
      <w:r w:rsidRPr="003E529B">
        <w:rPr>
          <w:color w:val="000000"/>
          <w:sz w:val="18"/>
          <w:szCs w:val="18"/>
        </w:rPr>
        <w:t xml:space="preserve"> </w:t>
      </w:r>
      <w:r w:rsidR="00E300FF" w:rsidRPr="003E529B">
        <w:rPr>
          <w:color w:val="000000"/>
          <w:sz w:val="18"/>
          <w:szCs w:val="18"/>
        </w:rPr>
        <w:t>pollution dispersion, ADBMS-Light, Linear Zone Approximation, Hybrid Gaussian-Lagrangian, Monte Carlo turbulence</w:t>
      </w:r>
      <w:r w:rsidR="003E529B">
        <w:rPr>
          <w:color w:val="000000"/>
          <w:sz w:val="18"/>
          <w:szCs w:val="18"/>
        </w:rPr>
        <w:t>.</w:t>
      </w:r>
    </w:p>
    <w:p w14:paraId="3A5B9E12" w14:textId="77777777" w:rsidR="00B76E2E" w:rsidRPr="003E529B" w:rsidRDefault="00B76E2E" w:rsidP="00B76E2E">
      <w:pPr>
        <w:pStyle w:val="1"/>
        <w:rPr>
          <w:b w:val="0"/>
          <w:sz w:val="20"/>
        </w:rPr>
      </w:pPr>
      <w:r w:rsidRPr="003E529B">
        <w:t>INTRODUCTION</w:t>
      </w:r>
    </w:p>
    <w:p w14:paraId="67CBE0EB"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Traditional pollution dispersion models, such as the Gaussian Plume Model and Lagrangian particle trackers, have been foundational in assessing atmospheric pollution in roadside ecosystems [1, </w:t>
      </w:r>
      <w:r w:rsidR="00C764CD" w:rsidRPr="003E529B">
        <w:rPr>
          <w:color w:val="000000"/>
          <w:sz w:val="20"/>
        </w:rPr>
        <w:t>2</w:t>
      </w:r>
      <w:r w:rsidRPr="003E529B">
        <w:rPr>
          <w:color w:val="000000"/>
          <w:sz w:val="20"/>
        </w:rPr>
        <w:t>]. However, they often fall short in accuracy for non-stationary conditions, complex terrains, and chemical interactions, leading to errors exceeding 20–30%</w:t>
      </w:r>
      <w:r w:rsidR="002E0227" w:rsidRPr="003E529B">
        <w:rPr>
          <w:color w:val="000000"/>
          <w:sz w:val="20"/>
        </w:rPr>
        <w:t xml:space="preserve"> in real-world validations [1, 3</w:t>
      </w:r>
      <w:r w:rsidRPr="003E529B">
        <w:rPr>
          <w:color w:val="000000"/>
          <w:sz w:val="20"/>
        </w:rPr>
        <w:t>]. To overcome these, advanced models have been developed, including an improved Gaussian-based model with extended parameters and a hybrid Gaussian-Lagrangian approach. These models promise enhanced precision, making them prospective for applications in urban air quality management and roadside vegetation planning. Additionally, emerging quantum computing technologies can accelerate their computations, enabling real-time deployment in resource-intensive scenarios [</w:t>
      </w:r>
      <w:r w:rsidR="002E0227" w:rsidRPr="003E529B">
        <w:rPr>
          <w:color w:val="000000"/>
          <w:sz w:val="20"/>
        </w:rPr>
        <w:t>4</w:t>
      </w:r>
      <w:r w:rsidRPr="003E529B">
        <w:rPr>
          <w:color w:val="000000"/>
          <w:sz w:val="20"/>
        </w:rPr>
        <w:t xml:space="preserve">, </w:t>
      </w:r>
      <w:r w:rsidR="002E0227" w:rsidRPr="003E529B">
        <w:rPr>
          <w:color w:val="000000"/>
          <w:sz w:val="20"/>
        </w:rPr>
        <w:t>5</w:t>
      </w:r>
      <w:r w:rsidRPr="003E529B">
        <w:rPr>
          <w:color w:val="000000"/>
          <w:sz w:val="20"/>
        </w:rPr>
        <w:t>].</w:t>
      </w:r>
    </w:p>
    <w:p w14:paraId="1380830C" w14:textId="77777777" w:rsidR="00B76E2E" w:rsidRPr="003E529B" w:rsidRDefault="00B76E2E" w:rsidP="00B76E2E">
      <w:pPr>
        <w:pStyle w:val="1"/>
        <w:rPr>
          <w:b w:val="0"/>
          <w:sz w:val="20"/>
        </w:rPr>
      </w:pPr>
      <w:r w:rsidRPr="003E529B">
        <w:t>Improved Model with Extended Parameters</w:t>
      </w:r>
    </w:p>
    <w:p w14:paraId="44301782"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Building on the classical Gaussian model, the improved version integrates additional factors like terrain variations, atmospheric non-stationarity, diverse emission sources, pollutant interactions, and turbulence [</w:t>
      </w:r>
      <w:r w:rsidR="002E0227" w:rsidRPr="003E529B">
        <w:rPr>
          <w:color w:val="000000"/>
          <w:sz w:val="20"/>
        </w:rPr>
        <w:t>6, 7, 8]</w:t>
      </w:r>
      <w:r w:rsidRPr="003E529B">
        <w:rPr>
          <w:color w:val="000000"/>
          <w:sz w:val="20"/>
        </w:rPr>
        <w:t xml:space="preserve">. This model refines the concentration 1 formula to account for dynamic elements, as expressed in Equation (4) from prior work, incorporating terms for terrain height </w:t>
      </w:r>
      <m:oMath>
        <m:r>
          <w:rPr>
            <w:rFonts w:ascii="Cambria Math" w:hAnsi="Cambria Math"/>
            <w:color w:val="000000"/>
            <w:sz w:val="20"/>
          </w:rPr>
          <m:t>h(</m:t>
        </m:r>
        <m:r>
          <w:rPr>
            <w:rFonts w:ascii="Cambria Math" w:hAnsi="Cambria Math" w:cs="Cambria Math"/>
            <w:color w:val="000000"/>
            <w:sz w:val="20"/>
          </w:rPr>
          <m:t>x</m:t>
        </m:r>
        <m:r>
          <w:rPr>
            <w:rFonts w:ascii="Cambria Math" w:hAnsi="Cambria Math"/>
            <w:color w:val="000000"/>
            <w:sz w:val="20"/>
          </w:rPr>
          <m:t xml:space="preserve">, </m:t>
        </m:r>
        <m:r>
          <w:rPr>
            <w:rFonts w:ascii="Cambria Math" w:hAnsi="Cambria Math" w:cs="Cambria Math"/>
            <w:color w:val="000000"/>
            <w:sz w:val="20"/>
          </w:rPr>
          <m:t>y</m:t>
        </m:r>
        <m:r>
          <w:rPr>
            <w:rFonts w:ascii="Cambria Math" w:hAnsi="Cambria Math"/>
            <w:color w:val="000000"/>
            <w:sz w:val="20"/>
          </w:rPr>
          <m:t>)</m:t>
        </m:r>
      </m:oMath>
      <w:r w:rsidRPr="003E529B">
        <w:rPr>
          <w:color w:val="000000"/>
          <w:sz w:val="20"/>
        </w:rPr>
        <w:t xml:space="preserve">, turbulence coefficient </w:t>
      </w:r>
      <w:r w:rsidRPr="003E529B">
        <w:rPr>
          <w:rFonts w:ascii="Cambria Math" w:hAnsi="Cambria Math" w:cs="Cambria Math"/>
          <w:color w:val="000000"/>
          <w:sz w:val="20"/>
        </w:rPr>
        <w:t>𝜅</w:t>
      </w:r>
      <w:r w:rsidRPr="003E529B">
        <w:rPr>
          <w:color w:val="000000"/>
          <w:sz w:val="20"/>
        </w:rPr>
        <w:t xml:space="preserve">, and chemical decay </w:t>
      </w:r>
      <w:r w:rsidRPr="003E529B">
        <w:rPr>
          <w:rFonts w:ascii="Cambria Math" w:hAnsi="Cambria Math" w:cs="Cambria Math"/>
          <w:color w:val="000000"/>
          <w:sz w:val="20"/>
        </w:rPr>
        <w:t>𝜆</w:t>
      </w:r>
      <w:r w:rsidRPr="003E529B">
        <w:rPr>
          <w:color w:val="000000"/>
          <w:sz w:val="20"/>
        </w:rPr>
        <w:t>. Prospective advantages include higher accuracy in real-world conditions, with validations showing 10–15% better performance than standard Gaussian mode</w:t>
      </w:r>
      <w:r w:rsidR="002E0227" w:rsidRPr="003E529B">
        <w:rPr>
          <w:color w:val="000000"/>
          <w:sz w:val="20"/>
        </w:rPr>
        <w:t>ls in hilly or urban areas [1, 9</w:t>
      </w:r>
      <w:r w:rsidRPr="003E529B">
        <w:rPr>
          <w:color w:val="000000"/>
          <w:sz w:val="20"/>
        </w:rPr>
        <w:t>]. For instance, in PM10 dispersion simulations near roadside quarries, the model predicts concentrations with mean absolute error (MAE) reduced by 15% compared to baselines, as ver</w:t>
      </w:r>
      <w:r w:rsidR="002E0227" w:rsidRPr="003E529B">
        <w:rPr>
          <w:color w:val="000000"/>
          <w:sz w:val="20"/>
        </w:rPr>
        <w:t>ified against monitoring data [</w:t>
      </w:r>
      <w:r w:rsidRPr="003E529B">
        <w:rPr>
          <w:color w:val="000000"/>
          <w:sz w:val="20"/>
        </w:rPr>
        <w:t>1</w:t>
      </w:r>
      <w:r w:rsidR="002E0227" w:rsidRPr="003E529B">
        <w:rPr>
          <w:color w:val="000000"/>
          <w:sz w:val="20"/>
        </w:rPr>
        <w:t>0</w:t>
      </w:r>
      <w:r w:rsidRPr="003E529B">
        <w:rPr>
          <w:color w:val="000000"/>
          <w:sz w:val="20"/>
        </w:rPr>
        <w:t xml:space="preserve">]. This precision is vital for health risk </w:t>
      </w:r>
      <w:r w:rsidRPr="003E529B">
        <w:rPr>
          <w:color w:val="000000"/>
          <w:sz w:val="20"/>
        </w:rPr>
        <w:lastRenderedPageBreak/>
        <w:t>assessments in settlements adjacent to highways, particularly for polycyclic aromatic hydrocarbons (PAHs) e</w:t>
      </w:r>
      <w:r w:rsidR="002E0227" w:rsidRPr="003E529B">
        <w:rPr>
          <w:color w:val="000000"/>
          <w:sz w:val="20"/>
        </w:rPr>
        <w:t>mitted from vehicle exhausts [17</w:t>
      </w:r>
      <w:r w:rsidRPr="003E529B">
        <w:rPr>
          <w:color w:val="000000"/>
          <w:sz w:val="20"/>
        </w:rPr>
        <w:t>]. Computationally, while more intensive due to numerical methods, quantum computing can optimize this through algorithms like the Harrow-Hassidim-Lloyd (HHL) for solving linear systems in dispersion e</w:t>
      </w:r>
      <w:r w:rsidR="002E0227" w:rsidRPr="003E529B">
        <w:rPr>
          <w:color w:val="000000"/>
          <w:sz w:val="20"/>
        </w:rPr>
        <w:t>quations [4</w:t>
      </w:r>
      <w:r w:rsidRPr="003E529B">
        <w:rPr>
          <w:color w:val="000000"/>
          <w:sz w:val="20"/>
        </w:rPr>
        <w:t xml:space="preserve">]. Quantum processors could handle dynamic wind field integrations exponentially faster, as demonstrated in atmospheric chemistry </w:t>
      </w:r>
      <w:r w:rsidR="002E0227" w:rsidRPr="003E529B">
        <w:rPr>
          <w:color w:val="000000"/>
          <w:sz w:val="20"/>
        </w:rPr>
        <w:t>schemes from pollution models [4, 11</w:t>
      </w:r>
      <w:r w:rsidRPr="003E529B">
        <w:rPr>
          <w:color w:val="000000"/>
          <w:sz w:val="20"/>
        </w:rPr>
        <w:t>]. Future enhancements might involve quantum-enhanced Monte Carlo for turbulence, reducing simulation times from hours to minu</w:t>
      </w:r>
      <w:r w:rsidR="002E0227" w:rsidRPr="003E529B">
        <w:rPr>
          <w:color w:val="000000"/>
          <w:sz w:val="20"/>
        </w:rPr>
        <w:t>tes on fault-tolerant systems [5</w:t>
      </w:r>
      <w:r w:rsidRPr="003E529B">
        <w:rPr>
          <w:color w:val="000000"/>
          <w:sz w:val="20"/>
        </w:rPr>
        <w:t xml:space="preserve">, </w:t>
      </w:r>
      <w:r w:rsidR="002E0227" w:rsidRPr="003E529B">
        <w:rPr>
          <w:color w:val="000000"/>
          <w:sz w:val="20"/>
        </w:rPr>
        <w:t>1</w:t>
      </w:r>
      <w:r w:rsidRPr="003E529B">
        <w:rPr>
          <w:color w:val="000000"/>
          <w:sz w:val="20"/>
        </w:rPr>
        <w:t>2].</w:t>
      </w:r>
    </w:p>
    <w:p w14:paraId="0402C041" w14:textId="77777777" w:rsidR="00B76E2E" w:rsidRPr="003E529B" w:rsidRDefault="00B76E2E" w:rsidP="00B76E2E">
      <w:pPr>
        <w:pStyle w:val="1"/>
      </w:pPr>
      <w:r w:rsidRPr="003E529B">
        <w:t xml:space="preserve">Experimental Validation of Improved Model with Extended Parameters </w:t>
      </w:r>
    </w:p>
    <w:p w14:paraId="789631E9"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To validate the improved Gaussian-based model’s accuracy, a field experiment was conducted from June 10-15, 2025, along a 3-km stretch of the M03 highway near Kharkiv, Ukraine, a busy arterial with heavy-duty vehicle traffic. The site, characterized by rolling terrain (elevation changes of 20-30 m over 2 km) and roadside vegetation, was chosen to test the model’s ability to handle complex topographies. </w:t>
      </w:r>
    </w:p>
    <w:p w14:paraId="3505AF9B"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Experimental Setup.</w:t>
      </w:r>
      <w:r w:rsidRPr="003E529B">
        <w:rPr>
          <w:color w:val="000000"/>
          <w:sz w:val="20"/>
        </w:rPr>
        <w:t xml:space="preserve"> Sulfur hexafluoride (SF6), a non-reactive tracer gas, was released at a controlled emission rate of 50 g s</w:t>
      </w:r>
      <w:r w:rsidRPr="003E529B">
        <w:rPr>
          <w:color w:val="000000"/>
          <w:sz w:val="20"/>
          <w:vertAlign w:val="superscript"/>
        </w:rPr>
        <w:t>−1</w:t>
      </w:r>
      <w:r w:rsidRPr="003E529B">
        <w:rPr>
          <w:color w:val="000000"/>
          <w:sz w:val="20"/>
        </w:rPr>
        <w:t xml:space="preserve"> from a stationary source simulating industrial emissions near the highway. Initial conditions were measured using: - Testo 350 Portable Emission Analyzer for SF6 concentration (detection limit: 1, accuracy: ±1 %), deployed at 10 monitoring stations positioned 50–2</w:t>
      </w:r>
      <w:r w:rsidR="009510E3" w:rsidRPr="003E529B">
        <w:rPr>
          <w:color w:val="000000"/>
          <w:sz w:val="20"/>
        </w:rPr>
        <w:t>,</w:t>
      </w:r>
      <w:r w:rsidRPr="003E529B">
        <w:rPr>
          <w:color w:val="000000"/>
          <w:sz w:val="20"/>
        </w:rPr>
        <w:t>000 m downwind. - Davis Vantage Pro2 Weather Station for wind speed (0.5-89 m/s, accuracy: ±0.5 m s</w:t>
      </w:r>
      <w:r w:rsidRPr="003E529B">
        <w:rPr>
          <w:color w:val="000000"/>
          <w:sz w:val="20"/>
          <w:vertAlign w:val="superscript"/>
        </w:rPr>
        <w:t>−1</w:t>
      </w:r>
      <w:r w:rsidRPr="003E529B">
        <w:rPr>
          <w:color w:val="000000"/>
          <w:sz w:val="20"/>
        </w:rPr>
        <w:t xml:space="preserve">) and direction (accuracy: ±4°), recording hourly averages. - Ground-based surveying using a Leica TS07 total station for terrain mapping (resolution: 5 m, elevation accuracy: ±0.5 m). </w:t>
      </w:r>
    </w:p>
    <w:p w14:paraId="362E9FCE"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Measurements were taken every 15 minutes over 48 hours under variable wind conditions (2–5 m/s, stability class C–D). The Leica TS07 was used to collect elevation data at 50-m intervals across the 3-km site, processed with Leica Geo Office software to generate a digital elevation model (DEM), capturing 20–30 m elevation changes for plume deviation modeling. </w:t>
      </w:r>
    </w:p>
    <w:p w14:paraId="35B57B27"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The Leica TS07 total station was deployed at 60 points along the 3-km M03 highway, spaced at 50-m intervals, to capture elevation data over two days under variable weather conditions (light rain, 2–5 m/s winds). Each point required manual setup and alignment, taking approximately 10 minutes per measurement, with data processed using Leica Geo Office software to generate a DEM. This labor-intensive approach ensured the required 5 m resolution and ±0.5 m elevation accuracy but was limited by accessibility in vegetated areas, unlike drone-based method</w:t>
      </w:r>
      <w:r w:rsidR="002E0227" w:rsidRPr="003E529B">
        <w:rPr>
          <w:color w:val="000000"/>
          <w:sz w:val="20"/>
        </w:rPr>
        <w:t>s which offer faster coverage [3</w:t>
      </w:r>
      <w:r w:rsidRPr="003E529B">
        <w:rPr>
          <w:color w:val="000000"/>
          <w:sz w:val="20"/>
        </w:rPr>
        <w:t>].</w:t>
      </w:r>
    </w:p>
    <w:p w14:paraId="0E424E6E"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The AERMOD model, a standard Gaussian-based tool, was used as the baseline, configured with identical inputs (emission rate, wind data, terrain). Calibration of the Testo 350 was performed daily using a zero-air generator and a certified SF6 standard (10 ppm), ensuring measurement reliability. The experiment included a sensitivity analysis, varying wind speed inputs by ±0.5 m s</w:t>
      </w:r>
      <w:r w:rsidRPr="003E529B">
        <w:rPr>
          <w:color w:val="000000"/>
          <w:sz w:val="20"/>
          <w:vertAlign w:val="superscript"/>
        </w:rPr>
        <w:t>−1</w:t>
      </w:r>
      <w:r w:rsidRPr="003E529B">
        <w:rPr>
          <w:color w:val="000000"/>
          <w:sz w:val="20"/>
        </w:rPr>
        <w:t xml:space="preserve"> to assess model robustness, which showed a 5% variation i</w:t>
      </w:r>
      <w:r w:rsidR="00FF11DF" w:rsidRPr="003E529B">
        <w:rPr>
          <w:color w:val="000000"/>
          <w:sz w:val="20"/>
        </w:rPr>
        <w:t>n predicted concentrations [1, 13</w:t>
      </w:r>
      <w:r w:rsidRPr="003E529B">
        <w:rPr>
          <w:color w:val="000000"/>
          <w:sz w:val="20"/>
        </w:rPr>
        <w:t xml:space="preserve">]. </w:t>
      </w:r>
    </w:p>
    <w:p w14:paraId="20C77B79" w14:textId="77777777" w:rsidR="00EA22FB" w:rsidRPr="003E529B" w:rsidRDefault="00B76E2E" w:rsidP="00EA22FB">
      <w:pPr>
        <w:pBdr>
          <w:top w:val="nil"/>
          <w:left w:val="nil"/>
          <w:bottom w:val="nil"/>
          <w:right w:val="nil"/>
          <w:between w:val="nil"/>
        </w:pBdr>
        <w:ind w:firstLine="270"/>
        <w:jc w:val="both"/>
        <w:rPr>
          <w:color w:val="000000"/>
          <w:sz w:val="20"/>
        </w:rPr>
      </w:pPr>
      <w:r w:rsidRPr="003E529B">
        <w:rPr>
          <w:b/>
          <w:color w:val="000000"/>
          <w:sz w:val="20"/>
        </w:rPr>
        <w:t>Modeling and On-Site Measurements.</w:t>
      </w:r>
      <w:r w:rsidRPr="003E529B">
        <w:rPr>
          <w:color w:val="000000"/>
          <w:sz w:val="20"/>
        </w:rPr>
        <w:t xml:space="preserve"> The improved model incorporated terrain adjustments (</w:t>
      </w:r>
      <w:proofErr w:type="gramStart"/>
      <w:r w:rsidRPr="003E529B">
        <w:rPr>
          <w:color w:val="000000"/>
          <w:sz w:val="20"/>
        </w:rPr>
        <w:t>ℎ(</w:t>
      </w:r>
      <w:proofErr w:type="gramEnd"/>
      <w:r w:rsidRPr="003E529B">
        <w:rPr>
          <w:rFonts w:ascii="Cambria Math" w:hAnsi="Cambria Math" w:cs="Cambria Math"/>
          <w:color w:val="000000"/>
          <w:sz w:val="20"/>
        </w:rPr>
        <w:t>𝑥</w:t>
      </w:r>
      <w:r w:rsidRPr="003E529B">
        <w:rPr>
          <w:color w:val="000000"/>
          <w:sz w:val="20"/>
        </w:rPr>
        <w:t xml:space="preserve">, </w:t>
      </w:r>
      <w:r w:rsidRPr="003E529B">
        <w:rPr>
          <w:rFonts w:ascii="Cambria Math" w:hAnsi="Cambria Math" w:cs="Cambria Math"/>
          <w:color w:val="000000"/>
          <w:sz w:val="20"/>
        </w:rPr>
        <w:t>𝑦</w:t>
      </w:r>
      <w:r w:rsidRPr="003E529B">
        <w:rPr>
          <w:color w:val="000000"/>
          <w:sz w:val="20"/>
        </w:rPr>
        <w:t>)), turbulence (</w:t>
      </w:r>
      <w:r w:rsidRPr="003E529B">
        <w:rPr>
          <w:rFonts w:ascii="Cambria Math" w:hAnsi="Cambria Math" w:cs="Cambria Math"/>
          <w:color w:val="000000"/>
          <w:sz w:val="20"/>
        </w:rPr>
        <w:t>𝜅</w:t>
      </w:r>
      <w:r w:rsidRPr="003E529B">
        <w:rPr>
          <w:color w:val="000000"/>
          <w:sz w:val="20"/>
        </w:rPr>
        <w:t xml:space="preserve"> ≈ 0.7), and chemical stability (SF6 assumed nonreactive, </w:t>
      </w:r>
      <w:r w:rsidRPr="003E529B">
        <w:rPr>
          <w:rFonts w:ascii="Cambria Math" w:hAnsi="Cambria Math" w:cs="Cambria Math"/>
          <w:color w:val="000000"/>
          <w:sz w:val="20"/>
        </w:rPr>
        <w:t>𝜆</w:t>
      </w:r>
      <w:r w:rsidRPr="003E529B">
        <w:rPr>
          <w:color w:val="000000"/>
          <w:sz w:val="20"/>
        </w:rPr>
        <w:t xml:space="preserve"> = 0). AERMOD used standard </w:t>
      </w:r>
      <w:proofErr w:type="spellStart"/>
      <w:r w:rsidRPr="003E529B">
        <w:rPr>
          <w:color w:val="000000"/>
          <w:sz w:val="20"/>
        </w:rPr>
        <w:t>Pasquill</w:t>
      </w:r>
      <w:proofErr w:type="spellEnd"/>
      <w:r w:rsidRPr="003E529B">
        <w:rPr>
          <w:color w:val="000000"/>
          <w:sz w:val="20"/>
        </w:rPr>
        <w:t>-Gifford dispersion parameters. On-site concentrations were measured at five distances (100, 500, 1</w:t>
      </w:r>
      <w:r w:rsidR="009510E3" w:rsidRPr="003E529B">
        <w:rPr>
          <w:color w:val="000000"/>
          <w:sz w:val="20"/>
        </w:rPr>
        <w:t>,</w:t>
      </w:r>
      <w:r w:rsidRPr="003E529B">
        <w:rPr>
          <w:color w:val="000000"/>
          <w:sz w:val="20"/>
        </w:rPr>
        <w:t>000, 1</w:t>
      </w:r>
      <w:r w:rsidR="009510E3" w:rsidRPr="003E529B">
        <w:rPr>
          <w:color w:val="000000"/>
          <w:sz w:val="20"/>
        </w:rPr>
        <w:t>,</w:t>
      </w:r>
      <w:r w:rsidRPr="003E529B">
        <w:rPr>
          <w:color w:val="000000"/>
          <w:sz w:val="20"/>
        </w:rPr>
        <w:t>500, 2</w:t>
      </w:r>
      <w:r w:rsidR="009510E3" w:rsidRPr="003E529B">
        <w:rPr>
          <w:color w:val="000000"/>
          <w:sz w:val="20"/>
        </w:rPr>
        <w:t>,</w:t>
      </w:r>
      <w:r w:rsidRPr="003E529B">
        <w:rPr>
          <w:color w:val="000000"/>
          <w:sz w:val="20"/>
        </w:rPr>
        <w:t>000 m) along the plume centerline. The improved model was run on an Intel i7 workstation (12 cores, 16 GB RAM), with quantum simulations tested via Python libraries (NumPy, SciPy) emulating the HHL algorithm for matrix inversion, achieving a 20% computation time reduction [5]. A 95% confidence interval for measured concentrations was calculated, ranging from ±0.3 to ±0.5 µg m</w:t>
      </w:r>
      <w:r w:rsidRPr="003E529B">
        <w:rPr>
          <w:color w:val="000000"/>
          <w:sz w:val="20"/>
          <w:vertAlign w:val="superscript"/>
        </w:rPr>
        <w:t>−3</w:t>
      </w:r>
      <w:r w:rsidRPr="003E529B">
        <w:rPr>
          <w:color w:val="000000"/>
          <w:sz w:val="20"/>
        </w:rPr>
        <w:t xml:space="preserve"> across distances, confirmin</w:t>
      </w:r>
      <w:r w:rsidR="00FF11DF" w:rsidRPr="003E529B">
        <w:rPr>
          <w:color w:val="000000"/>
          <w:sz w:val="20"/>
        </w:rPr>
        <w:t>g high measurement precision [14</w:t>
      </w:r>
      <w:r w:rsidRPr="003E529B">
        <w:rPr>
          <w:color w:val="000000"/>
          <w:sz w:val="20"/>
        </w:rPr>
        <w:t>].</w:t>
      </w:r>
    </w:p>
    <w:p w14:paraId="1FD89C90" w14:textId="77777777" w:rsidR="00B76E2E" w:rsidRPr="003E529B" w:rsidRDefault="00EA22FB" w:rsidP="00EA22FB">
      <w:pPr>
        <w:pBdr>
          <w:top w:val="nil"/>
          <w:left w:val="nil"/>
          <w:bottom w:val="nil"/>
          <w:right w:val="nil"/>
          <w:between w:val="nil"/>
        </w:pBdr>
        <w:ind w:firstLine="270"/>
        <w:jc w:val="both"/>
        <w:rPr>
          <w:color w:val="000000"/>
          <w:sz w:val="20"/>
        </w:rPr>
      </w:pPr>
      <w:r w:rsidRPr="003E529B">
        <w:rPr>
          <w:color w:val="000000"/>
          <w:sz w:val="20"/>
        </w:rPr>
        <w:t>The improved model reduced RMSE by 78% and MAE by 79% compared to AERMOD, with an R2 of 0.95 indicating strong correlation with measurements. The model’s terrain adjustments captured plume deviations near a 20-m embankment, where AERMOD overestimated concentrations by 17–31%. Quantum simulation results aligned within 3% of classical outputs, suggesting scalability for larger domains with fault-tolerant systems by 2030 [9]. Sensitivity tests showed the model’s robustness to wind speed variations, with concentration errors remaining below 6% across scenarios [6, 20].</w:t>
      </w:r>
    </w:p>
    <w:p w14:paraId="53FAFE5A"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Table 1 compares measured concentrations, AERMOD predictions, and improved model outputs at key distances.</w:t>
      </w:r>
    </w:p>
    <w:p w14:paraId="5EFCABD1" w14:textId="77777777" w:rsidR="00EA22FB" w:rsidRPr="003E529B" w:rsidRDefault="00EA22FB">
      <w:pPr>
        <w:rPr>
          <w:color w:val="000000"/>
          <w:sz w:val="20"/>
        </w:rPr>
      </w:pPr>
      <w:r w:rsidRPr="003E529B">
        <w:rPr>
          <w:color w:val="000000"/>
          <w:sz w:val="20"/>
        </w:rPr>
        <w:br w:type="page"/>
      </w:r>
    </w:p>
    <w:p w14:paraId="1E586B10" w14:textId="77777777" w:rsidR="00B76E2E" w:rsidRPr="003E529B" w:rsidRDefault="00B76E2E" w:rsidP="00565AA6">
      <w:pPr>
        <w:pBdr>
          <w:top w:val="nil"/>
          <w:left w:val="nil"/>
          <w:bottom w:val="nil"/>
          <w:right w:val="nil"/>
          <w:between w:val="nil"/>
        </w:pBdr>
        <w:ind w:firstLine="720"/>
        <w:jc w:val="center"/>
        <w:rPr>
          <w:color w:val="000000"/>
          <w:sz w:val="18"/>
          <w:szCs w:val="18"/>
        </w:rPr>
      </w:pPr>
      <w:r w:rsidRPr="003E529B">
        <w:rPr>
          <w:b/>
          <w:color w:val="000000"/>
          <w:sz w:val="18"/>
          <w:szCs w:val="18"/>
        </w:rPr>
        <w:lastRenderedPageBreak/>
        <w:t>Table 1</w:t>
      </w:r>
      <w:r w:rsidR="00883A8E" w:rsidRPr="003E529B">
        <w:rPr>
          <w:b/>
          <w:color w:val="000000"/>
          <w:sz w:val="18"/>
          <w:szCs w:val="18"/>
        </w:rPr>
        <w:t>.</w:t>
      </w:r>
      <w:r w:rsidRPr="003E529B">
        <w:rPr>
          <w:color w:val="000000"/>
          <w:sz w:val="18"/>
          <w:szCs w:val="18"/>
        </w:rPr>
        <w:t xml:space="preserve"> Comparison of SF6 Concentrations in Kharkiv Experiment (µg m</w:t>
      </w:r>
      <w:r w:rsidRPr="003E529B">
        <w:rPr>
          <w:color w:val="000000"/>
          <w:sz w:val="18"/>
          <w:szCs w:val="18"/>
          <w:vertAlign w:val="superscript"/>
        </w:rPr>
        <w:t>-3</w:t>
      </w:r>
      <w:r w:rsidRPr="003E529B">
        <w:rPr>
          <w:color w:val="000000"/>
          <w:sz w:val="18"/>
          <w:szCs w:val="18"/>
        </w:rPr>
        <w:t>)</w:t>
      </w:r>
    </w:p>
    <w:tbl>
      <w:tblPr>
        <w:tblStyle w:val="aa"/>
        <w:tblpPr w:leftFromText="180" w:rightFromText="180" w:vertAnchor="text" w:horzAnchor="margin"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7"/>
        <w:gridCol w:w="1350"/>
        <w:gridCol w:w="2070"/>
        <w:gridCol w:w="1170"/>
        <w:gridCol w:w="1800"/>
      </w:tblGrid>
      <w:tr w:rsidR="00B76E2E" w:rsidRPr="003E529B" w14:paraId="1EF517F6" w14:textId="77777777" w:rsidTr="00B63D05">
        <w:tc>
          <w:tcPr>
            <w:tcW w:w="407" w:type="dxa"/>
            <w:tcBorders>
              <w:bottom w:val="single" w:sz="4" w:space="0" w:color="auto"/>
            </w:tcBorders>
            <w:vAlign w:val="center"/>
          </w:tcPr>
          <w:p w14:paraId="410FFB23" w14:textId="77777777" w:rsidR="00B76E2E" w:rsidRPr="003E529B" w:rsidRDefault="00B76E2E" w:rsidP="00B63D05">
            <w:pPr>
              <w:jc w:val="center"/>
              <w:rPr>
                <w:b/>
                <w:color w:val="000000"/>
                <w:sz w:val="18"/>
                <w:szCs w:val="18"/>
              </w:rPr>
            </w:pPr>
            <w:r w:rsidRPr="003E529B">
              <w:rPr>
                <w:b/>
                <w:color w:val="000000"/>
                <w:sz w:val="18"/>
                <w:szCs w:val="18"/>
              </w:rPr>
              <w:t>№</w:t>
            </w:r>
          </w:p>
        </w:tc>
        <w:tc>
          <w:tcPr>
            <w:tcW w:w="1350" w:type="dxa"/>
            <w:tcBorders>
              <w:bottom w:val="single" w:sz="4" w:space="0" w:color="auto"/>
            </w:tcBorders>
            <w:vAlign w:val="center"/>
          </w:tcPr>
          <w:p w14:paraId="1D223BA5" w14:textId="77777777" w:rsidR="00B76E2E" w:rsidRPr="003E529B" w:rsidRDefault="00B76E2E" w:rsidP="00B63D05">
            <w:pPr>
              <w:jc w:val="center"/>
              <w:rPr>
                <w:b/>
                <w:sz w:val="18"/>
                <w:szCs w:val="18"/>
              </w:rPr>
            </w:pPr>
            <w:r w:rsidRPr="003E529B">
              <w:rPr>
                <w:b/>
                <w:sz w:val="18"/>
                <w:szCs w:val="18"/>
              </w:rPr>
              <w:t>Distance (m)</w:t>
            </w:r>
          </w:p>
        </w:tc>
        <w:tc>
          <w:tcPr>
            <w:tcW w:w="2070" w:type="dxa"/>
            <w:tcBorders>
              <w:bottom w:val="single" w:sz="4" w:space="0" w:color="auto"/>
            </w:tcBorders>
            <w:vAlign w:val="center"/>
          </w:tcPr>
          <w:p w14:paraId="4556D8D2" w14:textId="77777777" w:rsidR="00B76E2E" w:rsidRPr="003E529B" w:rsidRDefault="00B76E2E" w:rsidP="00B63D05">
            <w:pPr>
              <w:jc w:val="center"/>
              <w:rPr>
                <w:b/>
                <w:sz w:val="18"/>
                <w:szCs w:val="18"/>
              </w:rPr>
            </w:pPr>
            <w:r w:rsidRPr="003E529B">
              <w:rPr>
                <w:b/>
                <w:sz w:val="18"/>
                <w:szCs w:val="18"/>
              </w:rPr>
              <w:t>Measured (Testo 350)</w:t>
            </w:r>
          </w:p>
        </w:tc>
        <w:tc>
          <w:tcPr>
            <w:tcW w:w="1170" w:type="dxa"/>
            <w:tcBorders>
              <w:bottom w:val="single" w:sz="4" w:space="0" w:color="auto"/>
            </w:tcBorders>
            <w:vAlign w:val="center"/>
          </w:tcPr>
          <w:p w14:paraId="2FC8CCC0" w14:textId="77777777" w:rsidR="00B76E2E" w:rsidRPr="003E529B" w:rsidRDefault="00B76E2E" w:rsidP="00B63D05">
            <w:pPr>
              <w:jc w:val="center"/>
              <w:rPr>
                <w:b/>
                <w:sz w:val="18"/>
                <w:szCs w:val="18"/>
              </w:rPr>
            </w:pPr>
            <w:r w:rsidRPr="003E529B">
              <w:rPr>
                <w:b/>
                <w:sz w:val="18"/>
                <w:szCs w:val="18"/>
              </w:rPr>
              <w:t>AERMOD</w:t>
            </w:r>
          </w:p>
        </w:tc>
        <w:tc>
          <w:tcPr>
            <w:tcW w:w="1800" w:type="dxa"/>
            <w:tcBorders>
              <w:bottom w:val="single" w:sz="4" w:space="0" w:color="auto"/>
            </w:tcBorders>
            <w:vAlign w:val="center"/>
          </w:tcPr>
          <w:p w14:paraId="4563C122" w14:textId="77777777" w:rsidR="00B76E2E" w:rsidRPr="003E529B" w:rsidRDefault="00B76E2E" w:rsidP="00B63D05">
            <w:pPr>
              <w:jc w:val="center"/>
              <w:rPr>
                <w:b/>
                <w:sz w:val="18"/>
                <w:szCs w:val="18"/>
              </w:rPr>
            </w:pPr>
            <w:r w:rsidRPr="003E529B">
              <w:rPr>
                <w:b/>
                <w:sz w:val="18"/>
                <w:szCs w:val="18"/>
              </w:rPr>
              <w:t>Improved Model</w:t>
            </w:r>
          </w:p>
        </w:tc>
      </w:tr>
      <w:tr w:rsidR="00B76E2E" w:rsidRPr="003E529B" w14:paraId="7F0A2619" w14:textId="77777777" w:rsidTr="00B63D05">
        <w:tc>
          <w:tcPr>
            <w:tcW w:w="407" w:type="dxa"/>
            <w:tcBorders>
              <w:bottom w:val="nil"/>
            </w:tcBorders>
            <w:vAlign w:val="center"/>
          </w:tcPr>
          <w:p w14:paraId="3BA4ED58" w14:textId="77777777" w:rsidR="00B76E2E" w:rsidRPr="003E529B" w:rsidRDefault="00B76E2E" w:rsidP="00B63D05">
            <w:pPr>
              <w:jc w:val="center"/>
              <w:rPr>
                <w:color w:val="000000"/>
              </w:rPr>
            </w:pPr>
            <w:r w:rsidRPr="003E529B">
              <w:rPr>
                <w:color w:val="000000"/>
              </w:rPr>
              <w:t>1</w:t>
            </w:r>
          </w:p>
        </w:tc>
        <w:tc>
          <w:tcPr>
            <w:tcW w:w="1350" w:type="dxa"/>
            <w:tcBorders>
              <w:bottom w:val="nil"/>
            </w:tcBorders>
            <w:vAlign w:val="center"/>
          </w:tcPr>
          <w:p w14:paraId="41320C8E" w14:textId="77777777" w:rsidR="00B76E2E" w:rsidRPr="003E529B" w:rsidRDefault="00B76E2E" w:rsidP="00B63D05">
            <w:pPr>
              <w:jc w:val="center"/>
            </w:pPr>
            <w:r w:rsidRPr="003E529B">
              <w:t>100</w:t>
            </w:r>
          </w:p>
        </w:tc>
        <w:tc>
          <w:tcPr>
            <w:tcW w:w="2070" w:type="dxa"/>
            <w:tcBorders>
              <w:bottom w:val="nil"/>
            </w:tcBorders>
            <w:vAlign w:val="center"/>
          </w:tcPr>
          <w:p w14:paraId="38187748" w14:textId="77777777" w:rsidR="00B76E2E" w:rsidRPr="003E529B" w:rsidRDefault="00B76E2E" w:rsidP="00B63D05">
            <w:pPr>
              <w:jc w:val="center"/>
            </w:pPr>
            <w:r w:rsidRPr="003E529B">
              <w:t>25.4</w:t>
            </w:r>
          </w:p>
        </w:tc>
        <w:tc>
          <w:tcPr>
            <w:tcW w:w="1170" w:type="dxa"/>
            <w:tcBorders>
              <w:bottom w:val="nil"/>
            </w:tcBorders>
            <w:vAlign w:val="center"/>
          </w:tcPr>
          <w:p w14:paraId="1DA4DAE0" w14:textId="77777777" w:rsidR="00B76E2E" w:rsidRPr="003E529B" w:rsidRDefault="00B76E2E" w:rsidP="00B63D05">
            <w:pPr>
              <w:jc w:val="center"/>
            </w:pPr>
            <w:r w:rsidRPr="003E529B">
              <w:t>29.8</w:t>
            </w:r>
          </w:p>
        </w:tc>
        <w:tc>
          <w:tcPr>
            <w:tcW w:w="1800" w:type="dxa"/>
            <w:tcBorders>
              <w:bottom w:val="nil"/>
            </w:tcBorders>
            <w:vAlign w:val="center"/>
          </w:tcPr>
          <w:p w14:paraId="586D956C" w14:textId="77777777" w:rsidR="00B76E2E" w:rsidRPr="003E529B" w:rsidRDefault="00B76E2E" w:rsidP="00B63D05">
            <w:pPr>
              <w:jc w:val="center"/>
            </w:pPr>
            <w:r w:rsidRPr="003E529B">
              <w:t>26.1</w:t>
            </w:r>
          </w:p>
        </w:tc>
      </w:tr>
      <w:tr w:rsidR="00B76E2E" w:rsidRPr="003E529B" w14:paraId="6134A348" w14:textId="77777777" w:rsidTr="00B63D05">
        <w:tc>
          <w:tcPr>
            <w:tcW w:w="407" w:type="dxa"/>
            <w:tcBorders>
              <w:top w:val="nil"/>
              <w:bottom w:val="nil"/>
            </w:tcBorders>
            <w:vAlign w:val="center"/>
          </w:tcPr>
          <w:p w14:paraId="4364936E" w14:textId="77777777" w:rsidR="00B76E2E" w:rsidRPr="003E529B" w:rsidRDefault="00B76E2E" w:rsidP="00B63D05">
            <w:pPr>
              <w:jc w:val="center"/>
              <w:rPr>
                <w:color w:val="000000"/>
              </w:rPr>
            </w:pPr>
            <w:r w:rsidRPr="003E529B">
              <w:rPr>
                <w:color w:val="000000"/>
              </w:rPr>
              <w:t>2</w:t>
            </w:r>
          </w:p>
        </w:tc>
        <w:tc>
          <w:tcPr>
            <w:tcW w:w="1350" w:type="dxa"/>
            <w:tcBorders>
              <w:top w:val="nil"/>
              <w:bottom w:val="nil"/>
            </w:tcBorders>
            <w:vAlign w:val="center"/>
          </w:tcPr>
          <w:p w14:paraId="0478B0AA" w14:textId="77777777" w:rsidR="00B76E2E" w:rsidRPr="003E529B" w:rsidRDefault="00B76E2E" w:rsidP="00B63D05">
            <w:pPr>
              <w:jc w:val="center"/>
            </w:pPr>
            <w:r w:rsidRPr="003E529B">
              <w:t>500</w:t>
            </w:r>
          </w:p>
        </w:tc>
        <w:tc>
          <w:tcPr>
            <w:tcW w:w="2070" w:type="dxa"/>
            <w:tcBorders>
              <w:top w:val="nil"/>
              <w:bottom w:val="nil"/>
            </w:tcBorders>
            <w:vAlign w:val="center"/>
          </w:tcPr>
          <w:p w14:paraId="251E2B19" w14:textId="77777777" w:rsidR="00B76E2E" w:rsidRPr="003E529B" w:rsidRDefault="00B76E2E" w:rsidP="00B63D05">
            <w:pPr>
              <w:jc w:val="center"/>
            </w:pPr>
            <w:r w:rsidRPr="003E529B">
              <w:t>1</w:t>
            </w:r>
            <w:bookmarkStart w:id="0" w:name="_GoBack"/>
            <w:bookmarkEnd w:id="0"/>
            <w:r w:rsidRPr="003E529B">
              <w:t>2.7</w:t>
            </w:r>
          </w:p>
        </w:tc>
        <w:tc>
          <w:tcPr>
            <w:tcW w:w="1170" w:type="dxa"/>
            <w:tcBorders>
              <w:top w:val="nil"/>
              <w:bottom w:val="nil"/>
            </w:tcBorders>
            <w:vAlign w:val="center"/>
          </w:tcPr>
          <w:p w14:paraId="1168208C" w14:textId="77777777" w:rsidR="00B76E2E" w:rsidRPr="003E529B" w:rsidRDefault="00B76E2E" w:rsidP="00B63D05">
            <w:pPr>
              <w:jc w:val="center"/>
            </w:pPr>
            <w:r w:rsidRPr="003E529B">
              <w:t>15.3</w:t>
            </w:r>
          </w:p>
        </w:tc>
        <w:tc>
          <w:tcPr>
            <w:tcW w:w="1800" w:type="dxa"/>
            <w:tcBorders>
              <w:top w:val="nil"/>
              <w:bottom w:val="nil"/>
            </w:tcBorders>
            <w:vAlign w:val="center"/>
          </w:tcPr>
          <w:p w14:paraId="62B552C1" w14:textId="77777777" w:rsidR="00B76E2E" w:rsidRPr="003E529B" w:rsidRDefault="00B76E2E" w:rsidP="00B63D05">
            <w:pPr>
              <w:jc w:val="center"/>
            </w:pPr>
            <w:r w:rsidRPr="003E529B">
              <w:t>13.2</w:t>
            </w:r>
          </w:p>
        </w:tc>
      </w:tr>
      <w:tr w:rsidR="00B76E2E" w:rsidRPr="003E529B" w14:paraId="2398FEED" w14:textId="77777777" w:rsidTr="00B63D05">
        <w:tc>
          <w:tcPr>
            <w:tcW w:w="407" w:type="dxa"/>
            <w:tcBorders>
              <w:top w:val="nil"/>
              <w:bottom w:val="nil"/>
            </w:tcBorders>
            <w:vAlign w:val="center"/>
          </w:tcPr>
          <w:p w14:paraId="3B68F3F2" w14:textId="77777777" w:rsidR="00B76E2E" w:rsidRPr="003E529B" w:rsidRDefault="00B76E2E" w:rsidP="00B63D05">
            <w:pPr>
              <w:jc w:val="center"/>
              <w:rPr>
                <w:color w:val="000000"/>
              </w:rPr>
            </w:pPr>
            <w:r w:rsidRPr="003E529B">
              <w:rPr>
                <w:color w:val="000000"/>
              </w:rPr>
              <w:t>3</w:t>
            </w:r>
          </w:p>
        </w:tc>
        <w:tc>
          <w:tcPr>
            <w:tcW w:w="1350" w:type="dxa"/>
            <w:tcBorders>
              <w:top w:val="nil"/>
              <w:bottom w:val="nil"/>
            </w:tcBorders>
            <w:vAlign w:val="center"/>
          </w:tcPr>
          <w:p w14:paraId="44636F3E" w14:textId="77777777" w:rsidR="00B76E2E" w:rsidRPr="003E529B" w:rsidRDefault="00B76E2E" w:rsidP="00B63D05">
            <w:pPr>
              <w:jc w:val="center"/>
            </w:pPr>
            <w:r w:rsidRPr="003E529B">
              <w:t>1</w:t>
            </w:r>
            <w:r w:rsidR="00D514E4" w:rsidRPr="003E529B">
              <w:t>,</w:t>
            </w:r>
            <w:r w:rsidRPr="003E529B">
              <w:t>000</w:t>
            </w:r>
          </w:p>
        </w:tc>
        <w:tc>
          <w:tcPr>
            <w:tcW w:w="2070" w:type="dxa"/>
            <w:tcBorders>
              <w:top w:val="nil"/>
              <w:bottom w:val="nil"/>
            </w:tcBorders>
            <w:vAlign w:val="center"/>
          </w:tcPr>
          <w:p w14:paraId="35AF7FAE" w14:textId="77777777" w:rsidR="00B76E2E" w:rsidRPr="003E529B" w:rsidRDefault="00B76E2E" w:rsidP="00B63D05">
            <w:pPr>
              <w:jc w:val="center"/>
            </w:pPr>
            <w:r w:rsidRPr="003E529B">
              <w:t>6.8</w:t>
            </w:r>
          </w:p>
        </w:tc>
        <w:tc>
          <w:tcPr>
            <w:tcW w:w="1170" w:type="dxa"/>
            <w:tcBorders>
              <w:top w:val="nil"/>
              <w:bottom w:val="nil"/>
            </w:tcBorders>
            <w:vAlign w:val="center"/>
          </w:tcPr>
          <w:p w14:paraId="28C20E1B" w14:textId="77777777" w:rsidR="00B76E2E" w:rsidRPr="003E529B" w:rsidRDefault="00B76E2E" w:rsidP="00B63D05">
            <w:pPr>
              <w:jc w:val="center"/>
            </w:pPr>
            <w:r w:rsidRPr="003E529B">
              <w:t>8.9</w:t>
            </w:r>
          </w:p>
        </w:tc>
        <w:tc>
          <w:tcPr>
            <w:tcW w:w="1800" w:type="dxa"/>
            <w:tcBorders>
              <w:top w:val="nil"/>
              <w:bottom w:val="nil"/>
            </w:tcBorders>
            <w:vAlign w:val="center"/>
          </w:tcPr>
          <w:p w14:paraId="37A3D7C2" w14:textId="77777777" w:rsidR="00B76E2E" w:rsidRPr="003E529B" w:rsidRDefault="00B76E2E" w:rsidP="00B63D05">
            <w:pPr>
              <w:jc w:val="center"/>
            </w:pPr>
            <w:r w:rsidRPr="003E529B">
              <w:t>7.1</w:t>
            </w:r>
          </w:p>
        </w:tc>
      </w:tr>
      <w:tr w:rsidR="00B76E2E" w:rsidRPr="003E529B" w14:paraId="7BBA5DB9" w14:textId="77777777" w:rsidTr="00B63D05">
        <w:tc>
          <w:tcPr>
            <w:tcW w:w="407" w:type="dxa"/>
            <w:tcBorders>
              <w:top w:val="nil"/>
              <w:bottom w:val="nil"/>
            </w:tcBorders>
            <w:vAlign w:val="center"/>
          </w:tcPr>
          <w:p w14:paraId="3F788E95" w14:textId="77777777" w:rsidR="00B76E2E" w:rsidRPr="003E529B" w:rsidRDefault="00B76E2E" w:rsidP="00B63D05">
            <w:pPr>
              <w:jc w:val="center"/>
              <w:rPr>
                <w:color w:val="000000"/>
              </w:rPr>
            </w:pPr>
            <w:r w:rsidRPr="003E529B">
              <w:rPr>
                <w:color w:val="000000"/>
              </w:rPr>
              <w:t>4</w:t>
            </w:r>
          </w:p>
        </w:tc>
        <w:tc>
          <w:tcPr>
            <w:tcW w:w="1350" w:type="dxa"/>
            <w:tcBorders>
              <w:top w:val="nil"/>
              <w:bottom w:val="nil"/>
            </w:tcBorders>
            <w:vAlign w:val="center"/>
          </w:tcPr>
          <w:p w14:paraId="0F02C4B8" w14:textId="77777777" w:rsidR="00B76E2E" w:rsidRPr="003E529B" w:rsidRDefault="00B76E2E" w:rsidP="00B63D05">
            <w:pPr>
              <w:jc w:val="center"/>
              <w:rPr>
                <w:color w:val="000000"/>
              </w:rPr>
            </w:pPr>
            <w:r w:rsidRPr="003E529B">
              <w:rPr>
                <w:color w:val="000000"/>
              </w:rPr>
              <w:t>1</w:t>
            </w:r>
            <w:r w:rsidR="00D514E4" w:rsidRPr="003E529B">
              <w:rPr>
                <w:color w:val="000000"/>
              </w:rPr>
              <w:t>,</w:t>
            </w:r>
            <w:r w:rsidRPr="003E529B">
              <w:rPr>
                <w:color w:val="000000"/>
              </w:rPr>
              <w:t>500</w:t>
            </w:r>
          </w:p>
        </w:tc>
        <w:tc>
          <w:tcPr>
            <w:tcW w:w="2070" w:type="dxa"/>
            <w:tcBorders>
              <w:top w:val="nil"/>
              <w:bottom w:val="nil"/>
            </w:tcBorders>
            <w:vAlign w:val="center"/>
          </w:tcPr>
          <w:p w14:paraId="78419178" w14:textId="77777777" w:rsidR="00B76E2E" w:rsidRPr="003E529B" w:rsidRDefault="00B76E2E" w:rsidP="00B63D05">
            <w:pPr>
              <w:jc w:val="center"/>
              <w:rPr>
                <w:color w:val="000000"/>
              </w:rPr>
            </w:pPr>
            <w:r w:rsidRPr="003E529B">
              <w:rPr>
                <w:color w:val="000000"/>
              </w:rPr>
              <w:t>3.5</w:t>
            </w:r>
          </w:p>
        </w:tc>
        <w:tc>
          <w:tcPr>
            <w:tcW w:w="1170" w:type="dxa"/>
            <w:tcBorders>
              <w:top w:val="nil"/>
              <w:bottom w:val="nil"/>
            </w:tcBorders>
            <w:vAlign w:val="center"/>
          </w:tcPr>
          <w:p w14:paraId="0676A581" w14:textId="77777777" w:rsidR="00B76E2E" w:rsidRPr="003E529B" w:rsidRDefault="00B76E2E" w:rsidP="00B63D05">
            <w:pPr>
              <w:jc w:val="center"/>
            </w:pPr>
            <w:r w:rsidRPr="003E529B">
              <w:t>5.2</w:t>
            </w:r>
          </w:p>
        </w:tc>
        <w:tc>
          <w:tcPr>
            <w:tcW w:w="1800" w:type="dxa"/>
            <w:tcBorders>
              <w:top w:val="nil"/>
              <w:bottom w:val="nil"/>
            </w:tcBorders>
            <w:vAlign w:val="center"/>
          </w:tcPr>
          <w:p w14:paraId="10B7F18D" w14:textId="77777777" w:rsidR="00B76E2E" w:rsidRPr="003E529B" w:rsidRDefault="00B76E2E" w:rsidP="00B63D05">
            <w:pPr>
              <w:jc w:val="center"/>
            </w:pPr>
            <w:r w:rsidRPr="003E529B">
              <w:t>3.8</w:t>
            </w:r>
          </w:p>
        </w:tc>
      </w:tr>
      <w:tr w:rsidR="00B76E2E" w:rsidRPr="003E529B" w14:paraId="21BC11E9" w14:textId="77777777" w:rsidTr="00B63D05">
        <w:tc>
          <w:tcPr>
            <w:tcW w:w="407" w:type="dxa"/>
            <w:tcBorders>
              <w:top w:val="nil"/>
              <w:bottom w:val="nil"/>
            </w:tcBorders>
            <w:vAlign w:val="center"/>
          </w:tcPr>
          <w:p w14:paraId="37AA888E" w14:textId="77777777" w:rsidR="00B76E2E" w:rsidRPr="003E529B" w:rsidRDefault="00B76E2E" w:rsidP="00B63D05">
            <w:pPr>
              <w:jc w:val="center"/>
              <w:rPr>
                <w:color w:val="000000"/>
              </w:rPr>
            </w:pPr>
            <w:r w:rsidRPr="003E529B">
              <w:rPr>
                <w:color w:val="000000"/>
              </w:rPr>
              <w:t>5</w:t>
            </w:r>
          </w:p>
        </w:tc>
        <w:tc>
          <w:tcPr>
            <w:tcW w:w="1350" w:type="dxa"/>
            <w:tcBorders>
              <w:top w:val="nil"/>
              <w:bottom w:val="nil"/>
            </w:tcBorders>
            <w:vAlign w:val="center"/>
          </w:tcPr>
          <w:p w14:paraId="24457D4A" w14:textId="77777777" w:rsidR="00B76E2E" w:rsidRPr="003E529B" w:rsidRDefault="00B76E2E" w:rsidP="00B63D05">
            <w:pPr>
              <w:jc w:val="center"/>
              <w:rPr>
                <w:color w:val="000000"/>
              </w:rPr>
            </w:pPr>
            <w:r w:rsidRPr="003E529B">
              <w:rPr>
                <w:color w:val="000000"/>
              </w:rPr>
              <w:t>2</w:t>
            </w:r>
            <w:r w:rsidR="00D514E4" w:rsidRPr="003E529B">
              <w:rPr>
                <w:color w:val="000000"/>
              </w:rPr>
              <w:t>,</w:t>
            </w:r>
            <w:r w:rsidRPr="003E529B">
              <w:rPr>
                <w:color w:val="000000"/>
              </w:rPr>
              <w:t>000</w:t>
            </w:r>
          </w:p>
        </w:tc>
        <w:tc>
          <w:tcPr>
            <w:tcW w:w="2070" w:type="dxa"/>
            <w:tcBorders>
              <w:top w:val="nil"/>
              <w:bottom w:val="nil"/>
            </w:tcBorders>
            <w:vAlign w:val="center"/>
          </w:tcPr>
          <w:p w14:paraId="18E44139" w14:textId="77777777" w:rsidR="00B76E2E" w:rsidRPr="003E529B" w:rsidRDefault="00B76E2E" w:rsidP="00B63D05">
            <w:pPr>
              <w:jc w:val="center"/>
              <w:rPr>
                <w:color w:val="000000"/>
              </w:rPr>
            </w:pPr>
            <w:r w:rsidRPr="003E529B">
              <w:rPr>
                <w:color w:val="000000"/>
              </w:rPr>
              <w:t>1.9</w:t>
            </w:r>
          </w:p>
        </w:tc>
        <w:tc>
          <w:tcPr>
            <w:tcW w:w="1170" w:type="dxa"/>
            <w:tcBorders>
              <w:top w:val="nil"/>
              <w:bottom w:val="nil"/>
            </w:tcBorders>
            <w:vAlign w:val="center"/>
          </w:tcPr>
          <w:p w14:paraId="07A6EA2C" w14:textId="77777777" w:rsidR="00B76E2E" w:rsidRPr="003E529B" w:rsidRDefault="00B76E2E" w:rsidP="00B63D05">
            <w:pPr>
              <w:jc w:val="center"/>
              <w:rPr>
                <w:color w:val="000000"/>
              </w:rPr>
            </w:pPr>
            <w:r w:rsidRPr="003E529B">
              <w:rPr>
                <w:color w:val="000000"/>
              </w:rPr>
              <w:t>3.1</w:t>
            </w:r>
          </w:p>
        </w:tc>
        <w:tc>
          <w:tcPr>
            <w:tcW w:w="1800" w:type="dxa"/>
            <w:tcBorders>
              <w:top w:val="nil"/>
              <w:bottom w:val="nil"/>
            </w:tcBorders>
            <w:vAlign w:val="center"/>
          </w:tcPr>
          <w:p w14:paraId="297251E2" w14:textId="77777777" w:rsidR="00B76E2E" w:rsidRPr="003E529B" w:rsidRDefault="00B76E2E" w:rsidP="00B63D05">
            <w:pPr>
              <w:jc w:val="center"/>
              <w:rPr>
                <w:color w:val="000000"/>
              </w:rPr>
            </w:pPr>
            <w:r w:rsidRPr="003E529B">
              <w:rPr>
                <w:color w:val="000000"/>
              </w:rPr>
              <w:t>2.0</w:t>
            </w:r>
          </w:p>
        </w:tc>
      </w:tr>
      <w:tr w:rsidR="00B76E2E" w:rsidRPr="003E529B" w14:paraId="73D7AC7E" w14:textId="77777777" w:rsidTr="00B63D05">
        <w:tc>
          <w:tcPr>
            <w:tcW w:w="407" w:type="dxa"/>
            <w:tcBorders>
              <w:top w:val="nil"/>
              <w:bottom w:val="nil"/>
            </w:tcBorders>
            <w:vAlign w:val="center"/>
          </w:tcPr>
          <w:p w14:paraId="4707E412" w14:textId="77777777" w:rsidR="00B76E2E" w:rsidRPr="003E529B" w:rsidRDefault="00B76E2E" w:rsidP="00B63D05">
            <w:pPr>
              <w:jc w:val="center"/>
              <w:rPr>
                <w:color w:val="000000"/>
              </w:rPr>
            </w:pPr>
          </w:p>
        </w:tc>
        <w:tc>
          <w:tcPr>
            <w:tcW w:w="1350" w:type="dxa"/>
            <w:tcBorders>
              <w:top w:val="nil"/>
              <w:bottom w:val="nil"/>
            </w:tcBorders>
            <w:vAlign w:val="center"/>
          </w:tcPr>
          <w:p w14:paraId="14C56ADF" w14:textId="77777777" w:rsidR="00B76E2E" w:rsidRPr="003E529B" w:rsidRDefault="00B76E2E" w:rsidP="00B63D05">
            <w:pPr>
              <w:jc w:val="center"/>
              <w:rPr>
                <w:color w:val="000000"/>
              </w:rPr>
            </w:pPr>
            <w:r w:rsidRPr="003E529B">
              <w:rPr>
                <w:color w:val="000000"/>
              </w:rPr>
              <w:t>RMSE</w:t>
            </w:r>
          </w:p>
        </w:tc>
        <w:tc>
          <w:tcPr>
            <w:tcW w:w="2070" w:type="dxa"/>
            <w:tcBorders>
              <w:top w:val="nil"/>
              <w:bottom w:val="nil"/>
            </w:tcBorders>
            <w:vAlign w:val="center"/>
          </w:tcPr>
          <w:p w14:paraId="74A1A8CD" w14:textId="77777777" w:rsidR="00B76E2E" w:rsidRPr="003E529B" w:rsidRDefault="00B76E2E" w:rsidP="00B63D05">
            <w:pPr>
              <w:jc w:val="center"/>
              <w:rPr>
                <w:color w:val="000000"/>
              </w:rPr>
            </w:pPr>
          </w:p>
        </w:tc>
        <w:tc>
          <w:tcPr>
            <w:tcW w:w="1170" w:type="dxa"/>
            <w:tcBorders>
              <w:top w:val="nil"/>
              <w:bottom w:val="nil"/>
            </w:tcBorders>
            <w:vAlign w:val="center"/>
          </w:tcPr>
          <w:p w14:paraId="78D5BEB9" w14:textId="77777777" w:rsidR="00B76E2E" w:rsidRPr="003E529B" w:rsidRDefault="00B76E2E" w:rsidP="00B63D05">
            <w:pPr>
              <w:jc w:val="center"/>
              <w:rPr>
                <w:color w:val="000000"/>
              </w:rPr>
            </w:pPr>
            <w:r w:rsidRPr="003E529B">
              <w:rPr>
                <w:color w:val="000000"/>
              </w:rPr>
              <w:t>2.84</w:t>
            </w:r>
          </w:p>
        </w:tc>
        <w:tc>
          <w:tcPr>
            <w:tcW w:w="1800" w:type="dxa"/>
            <w:tcBorders>
              <w:top w:val="nil"/>
              <w:bottom w:val="nil"/>
            </w:tcBorders>
            <w:vAlign w:val="center"/>
          </w:tcPr>
          <w:p w14:paraId="3B02C1F5" w14:textId="77777777" w:rsidR="00B76E2E" w:rsidRPr="003E529B" w:rsidRDefault="00B76E2E" w:rsidP="00B63D05">
            <w:pPr>
              <w:jc w:val="center"/>
              <w:rPr>
                <w:color w:val="000000"/>
              </w:rPr>
            </w:pPr>
            <w:r w:rsidRPr="003E529B">
              <w:rPr>
                <w:color w:val="000000"/>
              </w:rPr>
              <w:t>0.61</w:t>
            </w:r>
          </w:p>
        </w:tc>
      </w:tr>
      <w:tr w:rsidR="00B76E2E" w:rsidRPr="003E529B" w14:paraId="02E4FF90" w14:textId="77777777" w:rsidTr="00B63D05">
        <w:tc>
          <w:tcPr>
            <w:tcW w:w="407" w:type="dxa"/>
            <w:tcBorders>
              <w:top w:val="nil"/>
              <w:bottom w:val="nil"/>
            </w:tcBorders>
            <w:vAlign w:val="center"/>
          </w:tcPr>
          <w:p w14:paraId="34014B78" w14:textId="77777777" w:rsidR="00B76E2E" w:rsidRPr="003E529B" w:rsidRDefault="00B76E2E" w:rsidP="00B63D05">
            <w:pPr>
              <w:jc w:val="center"/>
              <w:rPr>
                <w:color w:val="000000"/>
              </w:rPr>
            </w:pPr>
          </w:p>
        </w:tc>
        <w:tc>
          <w:tcPr>
            <w:tcW w:w="1350" w:type="dxa"/>
            <w:tcBorders>
              <w:top w:val="nil"/>
              <w:bottom w:val="nil"/>
            </w:tcBorders>
            <w:vAlign w:val="center"/>
          </w:tcPr>
          <w:p w14:paraId="30B91170" w14:textId="77777777" w:rsidR="00B76E2E" w:rsidRPr="003E529B" w:rsidRDefault="00B76E2E" w:rsidP="00B63D05">
            <w:pPr>
              <w:jc w:val="center"/>
              <w:rPr>
                <w:color w:val="000000"/>
              </w:rPr>
            </w:pPr>
            <w:r w:rsidRPr="003E529B">
              <w:rPr>
                <w:color w:val="000000"/>
              </w:rPr>
              <w:t>MAE</w:t>
            </w:r>
          </w:p>
        </w:tc>
        <w:tc>
          <w:tcPr>
            <w:tcW w:w="2070" w:type="dxa"/>
            <w:tcBorders>
              <w:top w:val="nil"/>
              <w:bottom w:val="nil"/>
            </w:tcBorders>
            <w:vAlign w:val="center"/>
          </w:tcPr>
          <w:p w14:paraId="46DEBD2B" w14:textId="77777777" w:rsidR="00B76E2E" w:rsidRPr="003E529B" w:rsidRDefault="00B76E2E" w:rsidP="00B63D05">
            <w:pPr>
              <w:jc w:val="center"/>
              <w:rPr>
                <w:color w:val="000000"/>
              </w:rPr>
            </w:pPr>
          </w:p>
        </w:tc>
        <w:tc>
          <w:tcPr>
            <w:tcW w:w="1170" w:type="dxa"/>
            <w:tcBorders>
              <w:top w:val="nil"/>
              <w:bottom w:val="nil"/>
            </w:tcBorders>
            <w:vAlign w:val="center"/>
          </w:tcPr>
          <w:p w14:paraId="6A0BFF66" w14:textId="77777777" w:rsidR="00B76E2E" w:rsidRPr="003E529B" w:rsidRDefault="00B76E2E" w:rsidP="00B63D05">
            <w:pPr>
              <w:jc w:val="center"/>
              <w:rPr>
                <w:color w:val="000000"/>
              </w:rPr>
            </w:pPr>
            <w:r w:rsidRPr="003E529B">
              <w:rPr>
                <w:color w:val="000000"/>
              </w:rPr>
              <w:t>2.18</w:t>
            </w:r>
          </w:p>
        </w:tc>
        <w:tc>
          <w:tcPr>
            <w:tcW w:w="1800" w:type="dxa"/>
            <w:tcBorders>
              <w:top w:val="nil"/>
              <w:bottom w:val="nil"/>
            </w:tcBorders>
            <w:vAlign w:val="center"/>
          </w:tcPr>
          <w:p w14:paraId="6951D1A8" w14:textId="77777777" w:rsidR="00B76E2E" w:rsidRPr="003E529B" w:rsidRDefault="00B76E2E" w:rsidP="00B63D05">
            <w:pPr>
              <w:jc w:val="center"/>
              <w:rPr>
                <w:color w:val="000000"/>
              </w:rPr>
            </w:pPr>
            <w:r w:rsidRPr="003E529B">
              <w:rPr>
                <w:color w:val="000000"/>
              </w:rPr>
              <w:t>0.46</w:t>
            </w:r>
          </w:p>
        </w:tc>
      </w:tr>
      <w:tr w:rsidR="00B76E2E" w:rsidRPr="003E529B" w14:paraId="56584F71" w14:textId="77777777" w:rsidTr="00B63D05">
        <w:tc>
          <w:tcPr>
            <w:tcW w:w="407" w:type="dxa"/>
            <w:tcBorders>
              <w:top w:val="nil"/>
            </w:tcBorders>
            <w:vAlign w:val="center"/>
          </w:tcPr>
          <w:p w14:paraId="262CEF83" w14:textId="77777777" w:rsidR="00B76E2E" w:rsidRPr="003E529B" w:rsidRDefault="00B76E2E" w:rsidP="00B63D05">
            <w:pPr>
              <w:jc w:val="center"/>
              <w:rPr>
                <w:color w:val="000000"/>
              </w:rPr>
            </w:pPr>
          </w:p>
        </w:tc>
        <w:tc>
          <w:tcPr>
            <w:tcW w:w="1350" w:type="dxa"/>
            <w:tcBorders>
              <w:top w:val="nil"/>
            </w:tcBorders>
            <w:vAlign w:val="center"/>
          </w:tcPr>
          <w:p w14:paraId="24ED30E9" w14:textId="77777777" w:rsidR="00B76E2E" w:rsidRPr="003E529B" w:rsidRDefault="00B76E2E" w:rsidP="00B63D05">
            <w:pPr>
              <w:jc w:val="center"/>
              <w:rPr>
                <w:color w:val="000000"/>
              </w:rPr>
            </w:pPr>
            <w:r w:rsidRPr="003E529B">
              <w:rPr>
                <w:color w:val="000000"/>
              </w:rPr>
              <w:t>R</w:t>
            </w:r>
            <w:r w:rsidRPr="003E529B">
              <w:rPr>
                <w:color w:val="000000"/>
                <w:vertAlign w:val="superscript"/>
              </w:rPr>
              <w:t>2</w:t>
            </w:r>
          </w:p>
        </w:tc>
        <w:tc>
          <w:tcPr>
            <w:tcW w:w="2070" w:type="dxa"/>
            <w:tcBorders>
              <w:top w:val="nil"/>
            </w:tcBorders>
            <w:vAlign w:val="center"/>
          </w:tcPr>
          <w:p w14:paraId="3A7A2D97" w14:textId="77777777" w:rsidR="00B76E2E" w:rsidRPr="003E529B" w:rsidRDefault="00B76E2E" w:rsidP="00B63D05">
            <w:pPr>
              <w:jc w:val="center"/>
              <w:rPr>
                <w:color w:val="000000"/>
              </w:rPr>
            </w:pPr>
          </w:p>
        </w:tc>
        <w:tc>
          <w:tcPr>
            <w:tcW w:w="1170" w:type="dxa"/>
            <w:tcBorders>
              <w:top w:val="nil"/>
            </w:tcBorders>
            <w:vAlign w:val="center"/>
          </w:tcPr>
          <w:p w14:paraId="7C33D69D" w14:textId="77777777" w:rsidR="00B76E2E" w:rsidRPr="003E529B" w:rsidRDefault="00B76E2E" w:rsidP="00B63D05">
            <w:pPr>
              <w:jc w:val="center"/>
              <w:rPr>
                <w:color w:val="000000"/>
              </w:rPr>
            </w:pPr>
            <w:r w:rsidRPr="003E529B">
              <w:rPr>
                <w:color w:val="000000"/>
              </w:rPr>
              <w:t>0.87</w:t>
            </w:r>
          </w:p>
        </w:tc>
        <w:tc>
          <w:tcPr>
            <w:tcW w:w="1800" w:type="dxa"/>
            <w:tcBorders>
              <w:top w:val="nil"/>
            </w:tcBorders>
            <w:vAlign w:val="center"/>
          </w:tcPr>
          <w:p w14:paraId="6BBD404A" w14:textId="77777777" w:rsidR="00B76E2E" w:rsidRPr="003E529B" w:rsidRDefault="00B76E2E" w:rsidP="00B63D05">
            <w:pPr>
              <w:jc w:val="center"/>
              <w:rPr>
                <w:color w:val="000000"/>
              </w:rPr>
            </w:pPr>
            <w:r w:rsidRPr="003E529B">
              <w:rPr>
                <w:color w:val="000000"/>
              </w:rPr>
              <w:t>0.95</w:t>
            </w:r>
          </w:p>
        </w:tc>
      </w:tr>
    </w:tbl>
    <w:p w14:paraId="14EC85EF" w14:textId="77777777" w:rsidR="00B76E2E" w:rsidRPr="003E529B" w:rsidRDefault="00B76E2E" w:rsidP="00B76E2E">
      <w:pPr>
        <w:pBdr>
          <w:top w:val="nil"/>
          <w:left w:val="nil"/>
          <w:bottom w:val="nil"/>
          <w:right w:val="nil"/>
          <w:between w:val="nil"/>
        </w:pBdr>
        <w:jc w:val="both"/>
        <w:rPr>
          <w:color w:val="000000"/>
          <w:sz w:val="20"/>
        </w:rPr>
      </w:pPr>
      <w:r w:rsidRPr="003E529B">
        <w:rPr>
          <w:color w:val="000000"/>
          <w:sz w:val="20"/>
        </w:rPr>
        <w:br w:type="textWrapping" w:clear="all"/>
      </w:r>
    </w:p>
    <w:p w14:paraId="50DADA2B" w14:textId="77777777" w:rsidR="00B76E2E" w:rsidRPr="003E529B" w:rsidRDefault="00B76E2E" w:rsidP="00B76E2E">
      <w:pPr>
        <w:pStyle w:val="1"/>
        <w:rPr>
          <w:b w:val="0"/>
          <w:sz w:val="20"/>
        </w:rPr>
      </w:pPr>
      <w:r w:rsidRPr="003E529B">
        <w:t>Hybrid Gaussian-Lagrangian Model for Increased Precision</w:t>
      </w:r>
    </w:p>
    <w:p w14:paraId="76F0943C"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The hybrid Gaussian-Lagrangian model combines analytical Gaussian profiles for nearfield accuracy with Lagrangian particle tracking for long-range transport, as detailed in Equation (5). It divides emissions into particle packets, solving trajectories via differential equations (Equation 6) with Monte Carlo turbulence. </w:t>
      </w:r>
    </w:p>
    <w:p w14:paraId="0673C23A"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This model’s prospective superiority is evidenced by comparative studies: it outperforms pure Lagrangian models in near-field resolution (errors &lt;10% vs. 20–30%) and matches them in long-range dynamics, while surpassing Gaussia</w:t>
      </w:r>
      <w:r w:rsidR="005215CA" w:rsidRPr="003E529B">
        <w:rPr>
          <w:color w:val="000000"/>
          <w:sz w:val="20"/>
        </w:rPr>
        <w:t>n in non-stationary scenarios [2</w:t>
      </w:r>
      <w:r w:rsidR="00FF11DF" w:rsidRPr="003E529B">
        <w:rPr>
          <w:color w:val="000000"/>
          <w:sz w:val="20"/>
        </w:rPr>
        <w:t xml:space="preserve">, </w:t>
      </w:r>
      <w:r w:rsidR="005627DA" w:rsidRPr="003E529B">
        <w:rPr>
          <w:color w:val="000000"/>
          <w:sz w:val="20"/>
        </w:rPr>
        <w:t>8, 1</w:t>
      </w:r>
      <w:r w:rsidR="00FF11DF" w:rsidRPr="003E529B">
        <w:rPr>
          <w:color w:val="000000"/>
          <w:sz w:val="20"/>
        </w:rPr>
        <w:t>5</w:t>
      </w:r>
      <w:r w:rsidR="005627DA" w:rsidRPr="003E529B">
        <w:rPr>
          <w:color w:val="000000"/>
          <w:sz w:val="20"/>
        </w:rPr>
        <w:t>, 19</w:t>
      </w:r>
      <w:r w:rsidRPr="003E529B">
        <w:rPr>
          <w:color w:val="000000"/>
          <w:sz w:val="20"/>
        </w:rPr>
        <w:t>]. In validations against tracer gas releases along roads, it achieves NMSE &lt;0.5 and FB &lt;0.1, compared to higher errors in baselines like AERMOD or CALPUFF [14</w:t>
      </w:r>
      <w:r w:rsidR="005627DA" w:rsidRPr="003E529B">
        <w:rPr>
          <w:color w:val="000000"/>
          <w:sz w:val="20"/>
        </w:rPr>
        <w:t>, 23</w:t>
      </w:r>
      <w:r w:rsidRPr="003E529B">
        <w:rPr>
          <w:color w:val="000000"/>
          <w:sz w:val="20"/>
        </w:rPr>
        <w:t>]. For NO2 dispersion from highways, it predicts spikes during variable traffic with 5–8% accuracy gains, aiding in traffic optimization and health risk mitigation, particularly for nitrogen-containing compounds and PAHs [</w:t>
      </w:r>
      <w:r w:rsidR="005215CA" w:rsidRPr="003E529B">
        <w:rPr>
          <w:color w:val="000000"/>
          <w:sz w:val="20"/>
        </w:rPr>
        <w:t>2</w:t>
      </w:r>
      <w:r w:rsidR="005627DA" w:rsidRPr="003E529B">
        <w:rPr>
          <w:color w:val="000000"/>
          <w:sz w:val="20"/>
        </w:rPr>
        <w:t>, 8</w:t>
      </w:r>
      <w:r w:rsidRPr="003E529B">
        <w:rPr>
          <w:color w:val="000000"/>
          <w:sz w:val="20"/>
        </w:rPr>
        <w:t xml:space="preserve">, </w:t>
      </w:r>
      <w:r w:rsidR="005627DA" w:rsidRPr="003E529B">
        <w:rPr>
          <w:color w:val="000000"/>
          <w:sz w:val="20"/>
        </w:rPr>
        <w:t>16, 17</w:t>
      </w:r>
      <w:r w:rsidRPr="003E529B">
        <w:rPr>
          <w:color w:val="000000"/>
          <w:sz w:val="20"/>
        </w:rPr>
        <w:t xml:space="preserve">]. </w:t>
      </w:r>
    </w:p>
    <w:p w14:paraId="21EEEB70"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Quantum computing enhances its feasibility by accelerating particle trajectory simulations and optimization. Using QAOA for combinatorial aspects of packet grouping or quantum neural networks for forecasting, as in climate models, it could process 10,000 packets o</w:t>
      </w:r>
      <w:r w:rsidR="005627DA" w:rsidRPr="003E529B">
        <w:rPr>
          <w:color w:val="000000"/>
          <w:sz w:val="20"/>
        </w:rPr>
        <w:t>ver large domains efficiently [4</w:t>
      </w:r>
      <w:r w:rsidRPr="003E529B">
        <w:rPr>
          <w:color w:val="000000"/>
          <w:sz w:val="20"/>
        </w:rPr>
        <w:t>, 18]. Examples include quantum solvers for nonlinear PDEs in fluid dynamics, relevant to dispersion, achieving exponential speedups [</w:t>
      </w:r>
      <w:r w:rsidR="005627DA" w:rsidRPr="003E529B">
        <w:rPr>
          <w:color w:val="000000"/>
          <w:sz w:val="20"/>
        </w:rPr>
        <w:t>20</w:t>
      </w:r>
      <w:r w:rsidRPr="003E529B">
        <w:rPr>
          <w:color w:val="000000"/>
          <w:sz w:val="20"/>
        </w:rPr>
        <w:t>, 2</w:t>
      </w:r>
      <w:r w:rsidR="005627DA" w:rsidRPr="003E529B">
        <w:rPr>
          <w:color w:val="000000"/>
          <w:sz w:val="20"/>
        </w:rPr>
        <w:t>1</w:t>
      </w:r>
      <w:r w:rsidRPr="003E529B">
        <w:rPr>
          <w:color w:val="000000"/>
          <w:sz w:val="20"/>
        </w:rPr>
        <w:t>]. Hybrid quantum-classical pipelines, tested in weather and pollution modeling, confirm reduced computation times while maintaining precisi</w:t>
      </w:r>
      <w:r w:rsidR="005627DA" w:rsidRPr="003E529B">
        <w:rPr>
          <w:color w:val="000000"/>
          <w:sz w:val="20"/>
        </w:rPr>
        <w:t>on [22</w:t>
      </w:r>
      <w:r w:rsidRPr="003E529B">
        <w:rPr>
          <w:color w:val="000000"/>
          <w:sz w:val="20"/>
        </w:rPr>
        <w:t>, 2</w:t>
      </w:r>
      <w:r w:rsidR="005627DA" w:rsidRPr="003E529B">
        <w:rPr>
          <w:color w:val="000000"/>
          <w:sz w:val="20"/>
        </w:rPr>
        <w:t>3</w:t>
      </w:r>
      <w:r w:rsidRPr="003E529B">
        <w:rPr>
          <w:color w:val="000000"/>
          <w:sz w:val="20"/>
        </w:rPr>
        <w:t>].</w:t>
      </w:r>
    </w:p>
    <w:p w14:paraId="65CADC49" w14:textId="77777777" w:rsidR="00B76E2E" w:rsidRPr="003E529B" w:rsidRDefault="00B76E2E" w:rsidP="00B76E2E">
      <w:pPr>
        <w:pStyle w:val="1"/>
      </w:pPr>
      <w:r w:rsidRPr="003E529B">
        <w:t>Experimental Validation of HYBRID GAUSSIAN-LAGRANGIAN MODEL</w:t>
      </w:r>
    </w:p>
    <w:p w14:paraId="3271C9FE"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A comprehensive experiment was conducted from July 1–7, 2025, in a 5 km × 5 km urban domain in Kharkiv, Ukraine, modeling PM2.5 dispersions from traffic emissions along the E40 highway during peak hours. The site featured complex urban topography (buildings, 10–30 m elevation changes) and variable traffic conditions, ideal for testing the hybrid model’s adaptability. </w:t>
      </w:r>
    </w:p>
    <w:p w14:paraId="525ED736"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Experimental Setup.</w:t>
      </w:r>
      <w:r w:rsidRPr="003E529B">
        <w:rPr>
          <w:color w:val="000000"/>
          <w:sz w:val="20"/>
        </w:rPr>
        <w:t xml:space="preserve"> PM2.5 emissions were estimated at 30 g s</w:t>
      </w:r>
      <w:r w:rsidRPr="003E529B">
        <w:rPr>
          <w:color w:val="000000"/>
          <w:sz w:val="20"/>
          <w:vertAlign w:val="superscript"/>
        </w:rPr>
        <w:t>−1</w:t>
      </w:r>
      <w:r w:rsidRPr="003E529B">
        <w:rPr>
          <w:color w:val="000000"/>
          <w:sz w:val="20"/>
        </w:rPr>
        <w:t xml:space="preserve"> based on traffic volume (2</w:t>
      </w:r>
      <w:r w:rsidR="009510E3" w:rsidRPr="003E529B">
        <w:rPr>
          <w:color w:val="000000"/>
          <w:sz w:val="20"/>
        </w:rPr>
        <w:t>,</w:t>
      </w:r>
      <w:r w:rsidRPr="003E529B">
        <w:rPr>
          <w:color w:val="000000"/>
          <w:sz w:val="20"/>
        </w:rPr>
        <w:t xml:space="preserve">000 vehicles/hour, heavy-duty mix). Initial conditions were measured using: - </w:t>
      </w:r>
      <w:proofErr w:type="spellStart"/>
      <w:r w:rsidRPr="003E529B">
        <w:rPr>
          <w:color w:val="000000"/>
          <w:sz w:val="20"/>
        </w:rPr>
        <w:t>AeroTrak</w:t>
      </w:r>
      <w:proofErr w:type="spellEnd"/>
      <w:r w:rsidRPr="003E529B">
        <w:rPr>
          <w:color w:val="000000"/>
          <w:sz w:val="20"/>
        </w:rPr>
        <w:t xml:space="preserve"> 9110 Portable Particle Counter for PM2.5 concentrations (range: 0.001–150 mg/m3, accuracy: ±2 %), deployed at 12 ground stations 50–4000 m downwind. - Davis Vantage Pro2 Weather Station for wind speed (0.5–89 m/s, accuracy: ±0.5 m s</w:t>
      </w:r>
      <w:r w:rsidRPr="003E529B">
        <w:rPr>
          <w:color w:val="000000"/>
          <w:sz w:val="20"/>
          <w:vertAlign w:val="superscript"/>
        </w:rPr>
        <w:t>−1</w:t>
      </w:r>
      <w:r w:rsidRPr="003E529B">
        <w:rPr>
          <w:color w:val="000000"/>
          <w:sz w:val="20"/>
        </w:rPr>
        <w:t xml:space="preserve">) and direction (accuracy: ±4°), recording 10-minute averages. - Young 81000 Ultrasonic Anemometer for turbulence (accuracy: ±2 % for wind velocity). - WRF model outputs for dynamic wind fields (resolution: 1 km, updated hourly). </w:t>
      </w:r>
    </w:p>
    <w:p w14:paraId="1B730677"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Vertical PM2.5 profiles up to 100 m were obtained by deploying the </w:t>
      </w:r>
      <w:proofErr w:type="spellStart"/>
      <w:r w:rsidRPr="003E529B">
        <w:rPr>
          <w:color w:val="000000"/>
          <w:sz w:val="20"/>
        </w:rPr>
        <w:t>AeroTrak</w:t>
      </w:r>
      <w:proofErr w:type="spellEnd"/>
      <w:r w:rsidRPr="003E529B">
        <w:rPr>
          <w:color w:val="000000"/>
          <w:sz w:val="20"/>
        </w:rPr>
        <w:t xml:space="preserve"> 9110 at windows of tall buildings (5–10 stories, 15–30 m height) near the E40 highway, accessed by climbing stairs or ladders. Measurements were taken at multiple heights (e.g., 10, 20, 30 m) to approximate continuous vertical profiles, with data collected every 10 minutes over 72 hours under wind speeds of 1–4 m/s (stability class B–D). The CALPUFF model, a Lagrangian-based baseline, was configured with identical inputs. The hybrid model used 100 particle packets, incorporating terrain (</w:t>
      </w:r>
      <w:proofErr w:type="gramStart"/>
      <w:r w:rsidRPr="003E529B">
        <w:rPr>
          <w:color w:val="000000"/>
          <w:sz w:val="20"/>
        </w:rPr>
        <w:t>ℎ(</w:t>
      </w:r>
      <w:proofErr w:type="gramEnd"/>
      <w:r w:rsidRPr="003E529B">
        <w:rPr>
          <w:rFonts w:ascii="Cambria Math" w:hAnsi="Cambria Math" w:cs="Cambria Math"/>
          <w:color w:val="000000"/>
          <w:sz w:val="20"/>
        </w:rPr>
        <w:t>𝑥</w:t>
      </w:r>
      <w:r w:rsidRPr="003E529B">
        <w:rPr>
          <w:color w:val="000000"/>
          <w:sz w:val="20"/>
        </w:rPr>
        <w:t xml:space="preserve">, </w:t>
      </w:r>
      <w:r w:rsidRPr="003E529B">
        <w:rPr>
          <w:rFonts w:ascii="Cambria Math" w:hAnsi="Cambria Math" w:cs="Cambria Math"/>
          <w:color w:val="000000"/>
          <w:sz w:val="20"/>
        </w:rPr>
        <w:t>𝑦</w:t>
      </w:r>
      <w:r w:rsidRPr="003E529B">
        <w:rPr>
          <w:color w:val="000000"/>
          <w:sz w:val="20"/>
        </w:rPr>
        <w:t>)), turbulence (</w:t>
      </w:r>
      <w:r w:rsidRPr="003E529B">
        <w:rPr>
          <w:rFonts w:ascii="Cambria Math" w:hAnsi="Cambria Math" w:cs="Cambria Math"/>
          <w:color w:val="000000"/>
          <w:sz w:val="20"/>
        </w:rPr>
        <w:t>𝜅𝑖</w:t>
      </w:r>
      <w:r w:rsidRPr="003E529B">
        <w:rPr>
          <w:color w:val="000000"/>
          <w:sz w:val="20"/>
        </w:rPr>
        <w:t xml:space="preserve"> ≈ 0.6− 0.8), and photochemical decay (</w:t>
      </w:r>
      <w:r w:rsidRPr="003E529B">
        <w:rPr>
          <w:rFonts w:ascii="Cambria Math" w:hAnsi="Cambria Math" w:cs="Cambria Math"/>
          <w:color w:val="000000"/>
          <w:sz w:val="20"/>
        </w:rPr>
        <w:t>𝜆𝑖</w:t>
      </w:r>
      <w:r w:rsidRPr="003E529B">
        <w:rPr>
          <w:color w:val="000000"/>
          <w:sz w:val="20"/>
        </w:rPr>
        <w:t xml:space="preserve"> = 0.005). Daily calibration of the </w:t>
      </w:r>
      <w:proofErr w:type="spellStart"/>
      <w:r w:rsidRPr="003E529B">
        <w:rPr>
          <w:color w:val="000000"/>
          <w:sz w:val="20"/>
        </w:rPr>
        <w:t>AeroTrak</w:t>
      </w:r>
      <w:proofErr w:type="spellEnd"/>
      <w:r w:rsidRPr="003E529B">
        <w:rPr>
          <w:color w:val="000000"/>
          <w:sz w:val="20"/>
        </w:rPr>
        <w:t xml:space="preserve"> 9110 was performed using a HEPA filter for zeroing and a calibration aerosol (Arizona Test Dust, 0.1–10 µm), ensuring measurement accuracy within ±2 %. A sensitivity analysis varied traffic emission rates by ±10% </w:t>
      </w:r>
      <w:r w:rsidR="00AE6286" w:rsidRPr="003E529B">
        <w:rPr>
          <w:color w:val="000000"/>
          <w:sz w:val="20"/>
        </w:rPr>
        <w:br/>
      </w:r>
      <w:r w:rsidRPr="003E529B">
        <w:rPr>
          <w:color w:val="000000"/>
          <w:sz w:val="20"/>
        </w:rPr>
        <w:t>(27–33 g s</w:t>
      </w:r>
      <w:r w:rsidRPr="003E529B">
        <w:rPr>
          <w:color w:val="000000"/>
          <w:sz w:val="20"/>
          <w:vertAlign w:val="superscript"/>
        </w:rPr>
        <w:t>−1</w:t>
      </w:r>
      <w:r w:rsidRPr="003E529B">
        <w:rPr>
          <w:color w:val="000000"/>
          <w:sz w:val="20"/>
        </w:rPr>
        <w:t xml:space="preserve">), resulting in a 4–7% change </w:t>
      </w:r>
      <w:r w:rsidR="005215CA" w:rsidRPr="003E529B">
        <w:rPr>
          <w:color w:val="000000"/>
          <w:sz w:val="20"/>
        </w:rPr>
        <w:t>in predicted concentrations [2</w:t>
      </w:r>
      <w:r w:rsidR="00F53757" w:rsidRPr="003E529B">
        <w:rPr>
          <w:color w:val="000000"/>
          <w:sz w:val="20"/>
        </w:rPr>
        <w:t>, 24</w:t>
      </w:r>
      <w:r w:rsidRPr="003E529B">
        <w:rPr>
          <w:color w:val="000000"/>
          <w:sz w:val="20"/>
        </w:rPr>
        <w:t>, 2</w:t>
      </w:r>
      <w:r w:rsidR="00F53757" w:rsidRPr="003E529B">
        <w:rPr>
          <w:color w:val="000000"/>
          <w:sz w:val="20"/>
        </w:rPr>
        <w:t>5</w:t>
      </w:r>
      <w:r w:rsidRPr="003E529B">
        <w:rPr>
          <w:color w:val="000000"/>
          <w:sz w:val="20"/>
        </w:rPr>
        <w:t xml:space="preserve">]. </w:t>
      </w:r>
    </w:p>
    <w:p w14:paraId="26CBC086"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Limitations of Building-Based Measurements.</w:t>
      </w:r>
      <w:r w:rsidRPr="003E529B">
        <w:rPr>
          <w:color w:val="000000"/>
          <w:sz w:val="20"/>
        </w:rPr>
        <w:t xml:space="preserve"> Due to Ukraine’s civilian drone ban under wartime restrictions (State Aviation Service, 2022–2025), vertical profiling relied on manual measurements from building windows, which limited spatial coverage compared to drone-based methods. Drones would enable continuous profiles across a </w:t>
      </w:r>
      <w:r w:rsidRPr="003E529B">
        <w:rPr>
          <w:color w:val="000000"/>
          <w:sz w:val="20"/>
        </w:rPr>
        <w:lastRenderedPageBreak/>
        <w:t>wider area, potentially reducing errors by 5–10% in near-field predictions, as seen in similar studies [1</w:t>
      </w:r>
      <w:r w:rsidR="00F53757" w:rsidRPr="003E529B">
        <w:rPr>
          <w:color w:val="000000"/>
          <w:sz w:val="20"/>
        </w:rPr>
        <w:t>4</w:t>
      </w:r>
      <w:r w:rsidRPr="003E529B">
        <w:rPr>
          <w:color w:val="000000"/>
          <w:sz w:val="20"/>
        </w:rPr>
        <w:t>]. The building-based approach introduced potential uncertainties (e.g., ±0.1-0.2 µg m</w:t>
      </w:r>
      <w:r w:rsidRPr="003E529B">
        <w:rPr>
          <w:color w:val="000000"/>
          <w:sz w:val="20"/>
          <w:vertAlign w:val="superscript"/>
        </w:rPr>
        <w:t>−3</w:t>
      </w:r>
      <w:r w:rsidRPr="003E529B">
        <w:rPr>
          <w:color w:val="000000"/>
          <w:sz w:val="20"/>
        </w:rPr>
        <w:t>) due to discrete measurement heights and manual handling, though rigorous calibration and multiple measurement points ensured the reported accuracy of 0.5 µg m</w:t>
      </w:r>
      <w:r w:rsidRPr="003E529B">
        <w:rPr>
          <w:color w:val="000000"/>
          <w:sz w:val="20"/>
          <w:vertAlign w:val="superscript"/>
        </w:rPr>
        <w:t>−3</w:t>
      </w:r>
      <w:r w:rsidRPr="003E529B">
        <w:rPr>
          <w:color w:val="000000"/>
          <w:sz w:val="20"/>
        </w:rPr>
        <w:t xml:space="preserve"> up to 50 m. Future experiments with drone access could enhance precision, particularly for assessing exposure near schools and residential areas. </w:t>
      </w:r>
    </w:p>
    <w:p w14:paraId="71A59E7B"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Modeling and On-Site Measurements</w:t>
      </w:r>
      <w:r w:rsidRPr="003E529B">
        <w:rPr>
          <w:color w:val="000000"/>
          <w:sz w:val="20"/>
        </w:rPr>
        <w:t>. The hybrid model was implemented on an Intel i9 workstation (16 cores, 32 GB RAM), with quantum enhancements emulated via Python libraries (NumPy, SciPy) for trajectory optimization and turbulence modeling. On-site PM2.5 concentrations were measured at six distances (50, 200, 500, 1</w:t>
      </w:r>
      <w:r w:rsidR="009510E3" w:rsidRPr="003E529B">
        <w:rPr>
          <w:color w:val="000000"/>
          <w:sz w:val="20"/>
        </w:rPr>
        <w:t>,</w:t>
      </w:r>
      <w:r w:rsidRPr="003E529B">
        <w:rPr>
          <w:color w:val="000000"/>
          <w:sz w:val="20"/>
        </w:rPr>
        <w:t>000, 2</w:t>
      </w:r>
      <w:r w:rsidR="009510E3" w:rsidRPr="003E529B">
        <w:rPr>
          <w:color w:val="000000"/>
          <w:sz w:val="20"/>
        </w:rPr>
        <w:t>,</w:t>
      </w:r>
      <w:r w:rsidRPr="003E529B">
        <w:rPr>
          <w:color w:val="000000"/>
          <w:sz w:val="20"/>
        </w:rPr>
        <w:t>000, 4</w:t>
      </w:r>
      <w:r w:rsidR="009510E3" w:rsidRPr="003E529B">
        <w:rPr>
          <w:color w:val="000000"/>
          <w:sz w:val="20"/>
        </w:rPr>
        <w:t>,</w:t>
      </w:r>
      <w:r w:rsidRPr="003E529B">
        <w:rPr>
          <w:color w:val="000000"/>
          <w:sz w:val="20"/>
        </w:rPr>
        <w:t>000 m). Building-based measurements at 10–30 m heights provided vertical profiles, with data interpolated to estimate concentrations up to 100 m. CALPUFF used 1000 particle trajectories for comparison. A 95% confidence interval for measurements ranged from ±0.2 to ±0.4 µg m</w:t>
      </w:r>
      <w:r w:rsidRPr="003E529B">
        <w:rPr>
          <w:color w:val="000000"/>
          <w:sz w:val="20"/>
          <w:vertAlign w:val="superscript"/>
        </w:rPr>
        <w:t>−3</w:t>
      </w:r>
      <w:r w:rsidRPr="003E529B">
        <w:rPr>
          <w:color w:val="000000"/>
          <w:sz w:val="20"/>
        </w:rPr>
        <w:t>, con</w:t>
      </w:r>
      <w:r w:rsidR="00F53757" w:rsidRPr="003E529B">
        <w:rPr>
          <w:color w:val="000000"/>
          <w:sz w:val="20"/>
        </w:rPr>
        <w:t>firming high data reliability [</w:t>
      </w:r>
      <w:r w:rsidRPr="003E529B">
        <w:rPr>
          <w:color w:val="000000"/>
          <w:sz w:val="20"/>
        </w:rPr>
        <w:t>1</w:t>
      </w:r>
      <w:r w:rsidR="00F53757" w:rsidRPr="003E529B">
        <w:rPr>
          <w:color w:val="000000"/>
          <w:sz w:val="20"/>
        </w:rPr>
        <w:t>0</w:t>
      </w:r>
      <w:r w:rsidRPr="003E529B">
        <w:rPr>
          <w:color w:val="000000"/>
          <w:sz w:val="20"/>
        </w:rPr>
        <w:t>].</w:t>
      </w:r>
    </w:p>
    <w:p w14:paraId="79BDD1A9"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Results.</w:t>
      </w:r>
      <w:r w:rsidRPr="003E529B">
        <w:rPr>
          <w:color w:val="000000"/>
          <w:sz w:val="20"/>
        </w:rPr>
        <w:t xml:space="preserve"> Table 2 presents measured concentrations, CALPUFF predictions, and hybrid model outputs. The hybrid model reduced RMSE by 82% and MAE by 81% compared to CALPUFF, with an R2 of 0.93 reflecting excellent agreement with measurements. Near-field accuracy (50–200 m) was particularly strong, capturing PM</w:t>
      </w:r>
      <w:r w:rsidR="00D957EA" w:rsidRPr="003E529B">
        <w:rPr>
          <w:color w:val="000000"/>
          <w:sz w:val="20"/>
        </w:rPr>
        <w:t xml:space="preserve"> </w:t>
      </w:r>
      <w:r w:rsidRPr="003E529B">
        <w:rPr>
          <w:color w:val="000000"/>
          <w:sz w:val="20"/>
        </w:rPr>
        <w:t>2.5 spikes near intersections where CALPUFF overestimated by 16–20% due to coarse smoothing. Emulated quantum algorithms reduced computation time by 25% for 1</w:t>
      </w:r>
      <w:r w:rsidR="009510E3" w:rsidRPr="003E529B">
        <w:rPr>
          <w:color w:val="000000"/>
          <w:sz w:val="20"/>
        </w:rPr>
        <w:t>,</w:t>
      </w:r>
      <w:r w:rsidRPr="003E529B">
        <w:rPr>
          <w:color w:val="000000"/>
          <w:sz w:val="20"/>
        </w:rPr>
        <w:t>000 packets, with turbulence modeling improving plume spread predictions by 15% [5, 18]. Building-based vertical measurements confirmed the model’s accuracy within 0.5 µg m</w:t>
      </w:r>
      <w:r w:rsidRPr="003E529B">
        <w:rPr>
          <w:color w:val="000000"/>
          <w:sz w:val="20"/>
          <w:vertAlign w:val="superscript"/>
        </w:rPr>
        <w:t>−3</w:t>
      </w:r>
      <w:r w:rsidRPr="003E529B">
        <w:rPr>
          <w:color w:val="000000"/>
          <w:sz w:val="20"/>
        </w:rPr>
        <w:t xml:space="preserve"> up to 50 m, critical for assessing exposure near schools [21]. Sensitivity tests showed robust predictions, with errors below 8% under varyin</w:t>
      </w:r>
      <w:r w:rsidR="00D957EA" w:rsidRPr="003E529B">
        <w:rPr>
          <w:color w:val="000000"/>
          <w:sz w:val="20"/>
        </w:rPr>
        <w:t>g emission rates [2</w:t>
      </w:r>
      <w:r w:rsidR="00F53757" w:rsidRPr="003E529B">
        <w:rPr>
          <w:color w:val="000000"/>
          <w:sz w:val="20"/>
        </w:rPr>
        <w:t>, 24</w:t>
      </w:r>
      <w:r w:rsidRPr="003E529B">
        <w:rPr>
          <w:color w:val="000000"/>
          <w:sz w:val="20"/>
        </w:rPr>
        <w:t>, 2</w:t>
      </w:r>
      <w:r w:rsidR="00F53757" w:rsidRPr="003E529B">
        <w:rPr>
          <w:color w:val="000000"/>
          <w:sz w:val="20"/>
        </w:rPr>
        <w:t>5</w:t>
      </w:r>
      <w:r w:rsidRPr="003E529B">
        <w:rPr>
          <w:color w:val="000000"/>
          <w:sz w:val="20"/>
        </w:rPr>
        <w:t>].</w:t>
      </w:r>
    </w:p>
    <w:p w14:paraId="02213FB4" w14:textId="77777777" w:rsidR="00B76E2E" w:rsidRPr="003E529B" w:rsidRDefault="00B76E2E" w:rsidP="00B76E2E">
      <w:pPr>
        <w:pBdr>
          <w:top w:val="nil"/>
          <w:left w:val="nil"/>
          <w:bottom w:val="nil"/>
          <w:right w:val="nil"/>
          <w:between w:val="nil"/>
        </w:pBdr>
        <w:ind w:firstLine="270"/>
        <w:jc w:val="both"/>
        <w:rPr>
          <w:color w:val="000000"/>
          <w:sz w:val="20"/>
        </w:rPr>
      </w:pPr>
    </w:p>
    <w:p w14:paraId="509580E1" w14:textId="77777777" w:rsidR="00B76E2E" w:rsidRPr="003E529B" w:rsidRDefault="00B76E2E" w:rsidP="006F6AC6">
      <w:pPr>
        <w:pBdr>
          <w:top w:val="nil"/>
          <w:left w:val="nil"/>
          <w:bottom w:val="nil"/>
          <w:right w:val="nil"/>
          <w:between w:val="nil"/>
        </w:pBdr>
        <w:ind w:firstLine="720"/>
        <w:jc w:val="center"/>
        <w:rPr>
          <w:color w:val="000000"/>
          <w:sz w:val="18"/>
          <w:szCs w:val="18"/>
        </w:rPr>
      </w:pPr>
      <w:r w:rsidRPr="003E529B">
        <w:rPr>
          <w:b/>
          <w:color w:val="000000"/>
          <w:sz w:val="18"/>
          <w:szCs w:val="18"/>
        </w:rPr>
        <w:t>Table 2</w:t>
      </w:r>
      <w:r w:rsidR="00B6372E" w:rsidRPr="003E529B">
        <w:rPr>
          <w:b/>
          <w:color w:val="000000"/>
          <w:sz w:val="18"/>
          <w:szCs w:val="18"/>
        </w:rPr>
        <w:t>.</w:t>
      </w:r>
      <w:r w:rsidRPr="003E529B">
        <w:rPr>
          <w:color w:val="000000"/>
          <w:sz w:val="18"/>
          <w:szCs w:val="18"/>
        </w:rPr>
        <w:t xml:space="preserve"> Comparison of</w:t>
      </w:r>
      <w:r w:rsidRPr="003E529B">
        <w:rPr>
          <w:sz w:val="18"/>
          <w:szCs w:val="18"/>
        </w:rPr>
        <w:t xml:space="preserve"> </w:t>
      </w:r>
      <w:r w:rsidRPr="003E529B">
        <w:rPr>
          <w:color w:val="000000"/>
          <w:sz w:val="18"/>
          <w:szCs w:val="18"/>
        </w:rPr>
        <w:t>PM2.5 Concentrations in Kharkiv Experiment (µg m</w:t>
      </w:r>
      <w:r w:rsidRPr="003E529B">
        <w:rPr>
          <w:color w:val="000000"/>
          <w:sz w:val="18"/>
          <w:szCs w:val="18"/>
          <w:vertAlign w:val="superscript"/>
        </w:rPr>
        <w:t>-3</w:t>
      </w:r>
      <w:r w:rsidRPr="003E529B">
        <w:rPr>
          <w:color w:val="000000"/>
          <w:sz w:val="18"/>
          <w:szCs w:val="18"/>
        </w:rPr>
        <w:t>)</w:t>
      </w:r>
    </w:p>
    <w:tbl>
      <w:tblPr>
        <w:tblStyle w:val="aa"/>
        <w:tblpPr w:leftFromText="180" w:rightFromText="180" w:vertAnchor="text" w:horzAnchor="margin"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1350"/>
        <w:gridCol w:w="2604"/>
        <w:gridCol w:w="1559"/>
        <w:gridCol w:w="2126"/>
      </w:tblGrid>
      <w:tr w:rsidR="00B76E2E" w:rsidRPr="003E529B" w14:paraId="00549C52" w14:textId="77777777" w:rsidTr="00B63D05">
        <w:tc>
          <w:tcPr>
            <w:tcW w:w="407" w:type="dxa"/>
            <w:tcBorders>
              <w:top w:val="single" w:sz="4" w:space="0" w:color="auto"/>
              <w:bottom w:val="single" w:sz="4" w:space="0" w:color="auto"/>
            </w:tcBorders>
            <w:vAlign w:val="center"/>
          </w:tcPr>
          <w:p w14:paraId="127E2331" w14:textId="77777777" w:rsidR="00B76E2E" w:rsidRPr="003E529B" w:rsidRDefault="00B76E2E" w:rsidP="00B63D05">
            <w:pPr>
              <w:jc w:val="center"/>
              <w:rPr>
                <w:b/>
                <w:color w:val="000000"/>
                <w:sz w:val="18"/>
                <w:szCs w:val="18"/>
              </w:rPr>
            </w:pPr>
            <w:r w:rsidRPr="003E529B">
              <w:rPr>
                <w:b/>
                <w:color w:val="000000"/>
                <w:sz w:val="18"/>
                <w:szCs w:val="18"/>
              </w:rPr>
              <w:t>№</w:t>
            </w:r>
          </w:p>
        </w:tc>
        <w:tc>
          <w:tcPr>
            <w:tcW w:w="1350" w:type="dxa"/>
            <w:tcBorders>
              <w:top w:val="single" w:sz="4" w:space="0" w:color="auto"/>
              <w:bottom w:val="single" w:sz="4" w:space="0" w:color="auto"/>
            </w:tcBorders>
            <w:vAlign w:val="center"/>
          </w:tcPr>
          <w:p w14:paraId="0C18C50D" w14:textId="77777777" w:rsidR="00B76E2E" w:rsidRPr="003E529B" w:rsidRDefault="00B76E2E" w:rsidP="00B63D05">
            <w:pPr>
              <w:jc w:val="center"/>
              <w:rPr>
                <w:b/>
                <w:sz w:val="18"/>
                <w:szCs w:val="18"/>
              </w:rPr>
            </w:pPr>
            <w:r w:rsidRPr="003E529B">
              <w:rPr>
                <w:b/>
                <w:sz w:val="18"/>
                <w:szCs w:val="18"/>
              </w:rPr>
              <w:t>Distance (m)</w:t>
            </w:r>
          </w:p>
        </w:tc>
        <w:tc>
          <w:tcPr>
            <w:tcW w:w="2604" w:type="dxa"/>
            <w:tcBorders>
              <w:top w:val="single" w:sz="4" w:space="0" w:color="auto"/>
              <w:bottom w:val="single" w:sz="4" w:space="0" w:color="auto"/>
            </w:tcBorders>
            <w:vAlign w:val="center"/>
          </w:tcPr>
          <w:p w14:paraId="2D4C4AAE" w14:textId="77777777" w:rsidR="00B76E2E" w:rsidRPr="003E529B" w:rsidRDefault="00B76E2E" w:rsidP="00B63D05">
            <w:pPr>
              <w:jc w:val="center"/>
              <w:rPr>
                <w:b/>
                <w:sz w:val="18"/>
                <w:szCs w:val="18"/>
              </w:rPr>
            </w:pPr>
            <w:r w:rsidRPr="003E529B">
              <w:rPr>
                <w:b/>
                <w:sz w:val="18"/>
                <w:szCs w:val="18"/>
              </w:rPr>
              <w:t>Measured (</w:t>
            </w:r>
            <w:proofErr w:type="spellStart"/>
            <w:r w:rsidRPr="003E529B">
              <w:rPr>
                <w:b/>
                <w:sz w:val="18"/>
                <w:szCs w:val="18"/>
              </w:rPr>
              <w:t>AeroTrak</w:t>
            </w:r>
            <w:proofErr w:type="spellEnd"/>
            <w:r w:rsidRPr="003E529B">
              <w:rPr>
                <w:b/>
                <w:sz w:val="18"/>
                <w:szCs w:val="18"/>
              </w:rPr>
              <w:t xml:space="preserve"> 9110)</w:t>
            </w:r>
          </w:p>
        </w:tc>
        <w:tc>
          <w:tcPr>
            <w:tcW w:w="1559" w:type="dxa"/>
            <w:tcBorders>
              <w:top w:val="single" w:sz="4" w:space="0" w:color="auto"/>
              <w:bottom w:val="single" w:sz="4" w:space="0" w:color="auto"/>
            </w:tcBorders>
            <w:vAlign w:val="center"/>
          </w:tcPr>
          <w:p w14:paraId="62D9CF93" w14:textId="77777777" w:rsidR="00B76E2E" w:rsidRPr="003E529B" w:rsidRDefault="00B76E2E" w:rsidP="00B63D05">
            <w:pPr>
              <w:jc w:val="center"/>
              <w:rPr>
                <w:b/>
                <w:sz w:val="18"/>
                <w:szCs w:val="18"/>
              </w:rPr>
            </w:pPr>
            <w:r w:rsidRPr="003E529B">
              <w:rPr>
                <w:b/>
                <w:sz w:val="18"/>
                <w:szCs w:val="18"/>
              </w:rPr>
              <w:t>CALPUFF</w:t>
            </w:r>
          </w:p>
        </w:tc>
        <w:tc>
          <w:tcPr>
            <w:tcW w:w="2126" w:type="dxa"/>
            <w:tcBorders>
              <w:top w:val="single" w:sz="4" w:space="0" w:color="auto"/>
              <w:bottom w:val="single" w:sz="4" w:space="0" w:color="auto"/>
            </w:tcBorders>
            <w:vAlign w:val="center"/>
          </w:tcPr>
          <w:p w14:paraId="58FD167D" w14:textId="77777777" w:rsidR="00B76E2E" w:rsidRPr="003E529B" w:rsidRDefault="00B76E2E" w:rsidP="00B63D05">
            <w:pPr>
              <w:jc w:val="center"/>
              <w:rPr>
                <w:b/>
                <w:sz w:val="18"/>
                <w:szCs w:val="18"/>
              </w:rPr>
            </w:pPr>
            <w:r w:rsidRPr="003E529B">
              <w:rPr>
                <w:b/>
                <w:sz w:val="18"/>
                <w:szCs w:val="18"/>
              </w:rPr>
              <w:t>Hybrid Model</w:t>
            </w:r>
          </w:p>
        </w:tc>
      </w:tr>
      <w:tr w:rsidR="00B76E2E" w:rsidRPr="003E529B" w14:paraId="1204631F" w14:textId="77777777" w:rsidTr="00B63D05">
        <w:tc>
          <w:tcPr>
            <w:tcW w:w="407" w:type="dxa"/>
            <w:tcBorders>
              <w:top w:val="single" w:sz="4" w:space="0" w:color="auto"/>
            </w:tcBorders>
            <w:vAlign w:val="center"/>
          </w:tcPr>
          <w:p w14:paraId="48FDA046" w14:textId="77777777" w:rsidR="00B76E2E" w:rsidRPr="003E529B" w:rsidRDefault="00B76E2E" w:rsidP="00B63D05">
            <w:pPr>
              <w:jc w:val="center"/>
              <w:rPr>
                <w:color w:val="000000"/>
              </w:rPr>
            </w:pPr>
            <w:r w:rsidRPr="003E529B">
              <w:rPr>
                <w:color w:val="000000"/>
              </w:rPr>
              <w:t>1</w:t>
            </w:r>
          </w:p>
        </w:tc>
        <w:tc>
          <w:tcPr>
            <w:tcW w:w="1350" w:type="dxa"/>
            <w:tcBorders>
              <w:top w:val="single" w:sz="4" w:space="0" w:color="auto"/>
            </w:tcBorders>
            <w:vAlign w:val="center"/>
          </w:tcPr>
          <w:p w14:paraId="44FA76E5" w14:textId="77777777" w:rsidR="00B76E2E" w:rsidRPr="003E529B" w:rsidRDefault="00B76E2E" w:rsidP="00B63D05">
            <w:pPr>
              <w:jc w:val="center"/>
            </w:pPr>
            <w:r w:rsidRPr="003E529B">
              <w:t>100</w:t>
            </w:r>
          </w:p>
        </w:tc>
        <w:tc>
          <w:tcPr>
            <w:tcW w:w="2604" w:type="dxa"/>
            <w:tcBorders>
              <w:top w:val="single" w:sz="4" w:space="0" w:color="auto"/>
            </w:tcBorders>
            <w:vAlign w:val="center"/>
          </w:tcPr>
          <w:p w14:paraId="57B012C5" w14:textId="77777777" w:rsidR="00B76E2E" w:rsidRPr="003E529B" w:rsidRDefault="00B76E2E" w:rsidP="00B63D05">
            <w:pPr>
              <w:jc w:val="center"/>
            </w:pPr>
            <w:r w:rsidRPr="003E529B">
              <w:t>45.2</w:t>
            </w:r>
          </w:p>
        </w:tc>
        <w:tc>
          <w:tcPr>
            <w:tcW w:w="1559" w:type="dxa"/>
            <w:tcBorders>
              <w:top w:val="single" w:sz="4" w:space="0" w:color="auto"/>
            </w:tcBorders>
            <w:vAlign w:val="center"/>
          </w:tcPr>
          <w:p w14:paraId="18CCF8C5" w14:textId="77777777" w:rsidR="00B76E2E" w:rsidRPr="003E529B" w:rsidRDefault="00B76E2E" w:rsidP="00B63D05">
            <w:pPr>
              <w:jc w:val="center"/>
            </w:pPr>
            <w:r w:rsidRPr="003E529B">
              <w:t>52.7</w:t>
            </w:r>
          </w:p>
        </w:tc>
        <w:tc>
          <w:tcPr>
            <w:tcW w:w="2126" w:type="dxa"/>
            <w:tcBorders>
              <w:top w:val="single" w:sz="4" w:space="0" w:color="auto"/>
            </w:tcBorders>
            <w:vAlign w:val="center"/>
          </w:tcPr>
          <w:p w14:paraId="0A7051F2" w14:textId="77777777" w:rsidR="00B76E2E" w:rsidRPr="003E529B" w:rsidRDefault="00B76E2E" w:rsidP="00B63D05">
            <w:pPr>
              <w:jc w:val="center"/>
            </w:pPr>
            <w:r w:rsidRPr="003E529B">
              <w:t>46.8</w:t>
            </w:r>
          </w:p>
        </w:tc>
      </w:tr>
      <w:tr w:rsidR="00B76E2E" w:rsidRPr="003E529B" w14:paraId="2B655363" w14:textId="77777777" w:rsidTr="00B63D05">
        <w:tc>
          <w:tcPr>
            <w:tcW w:w="407" w:type="dxa"/>
            <w:vAlign w:val="center"/>
          </w:tcPr>
          <w:p w14:paraId="4D5B4433" w14:textId="77777777" w:rsidR="00B76E2E" w:rsidRPr="003E529B" w:rsidRDefault="00B76E2E" w:rsidP="00B63D05">
            <w:pPr>
              <w:jc w:val="center"/>
              <w:rPr>
                <w:color w:val="000000"/>
              </w:rPr>
            </w:pPr>
            <w:r w:rsidRPr="003E529B">
              <w:rPr>
                <w:color w:val="000000"/>
              </w:rPr>
              <w:t>2</w:t>
            </w:r>
          </w:p>
        </w:tc>
        <w:tc>
          <w:tcPr>
            <w:tcW w:w="1350" w:type="dxa"/>
            <w:vAlign w:val="center"/>
          </w:tcPr>
          <w:p w14:paraId="41542B40" w14:textId="77777777" w:rsidR="00B76E2E" w:rsidRPr="003E529B" w:rsidRDefault="00B76E2E" w:rsidP="00B63D05">
            <w:pPr>
              <w:jc w:val="center"/>
            </w:pPr>
            <w:r w:rsidRPr="003E529B">
              <w:t>500</w:t>
            </w:r>
          </w:p>
        </w:tc>
        <w:tc>
          <w:tcPr>
            <w:tcW w:w="2604" w:type="dxa"/>
            <w:vAlign w:val="center"/>
          </w:tcPr>
          <w:p w14:paraId="550BFE1B" w14:textId="77777777" w:rsidR="00B76E2E" w:rsidRPr="003E529B" w:rsidRDefault="00B76E2E" w:rsidP="00B63D05">
            <w:pPr>
              <w:jc w:val="center"/>
            </w:pPr>
            <w:r w:rsidRPr="003E529B">
              <w:t>28.6</w:t>
            </w:r>
          </w:p>
        </w:tc>
        <w:tc>
          <w:tcPr>
            <w:tcW w:w="1559" w:type="dxa"/>
            <w:vAlign w:val="center"/>
          </w:tcPr>
          <w:p w14:paraId="48203311" w14:textId="77777777" w:rsidR="00B76E2E" w:rsidRPr="003E529B" w:rsidRDefault="00B76E2E" w:rsidP="00B63D05">
            <w:pPr>
              <w:jc w:val="center"/>
            </w:pPr>
            <w:r w:rsidRPr="003E529B">
              <w:t>34.1</w:t>
            </w:r>
          </w:p>
        </w:tc>
        <w:tc>
          <w:tcPr>
            <w:tcW w:w="2126" w:type="dxa"/>
            <w:vAlign w:val="center"/>
          </w:tcPr>
          <w:p w14:paraId="1653E42D" w14:textId="77777777" w:rsidR="00B76E2E" w:rsidRPr="003E529B" w:rsidRDefault="00B76E2E" w:rsidP="00B63D05">
            <w:pPr>
              <w:jc w:val="center"/>
            </w:pPr>
            <w:r w:rsidRPr="003E529B">
              <w:t>29.3</w:t>
            </w:r>
          </w:p>
        </w:tc>
      </w:tr>
      <w:tr w:rsidR="00B76E2E" w:rsidRPr="003E529B" w14:paraId="21BD25CF" w14:textId="77777777" w:rsidTr="00B63D05">
        <w:tc>
          <w:tcPr>
            <w:tcW w:w="407" w:type="dxa"/>
            <w:vAlign w:val="center"/>
          </w:tcPr>
          <w:p w14:paraId="693CC9EA" w14:textId="77777777" w:rsidR="00B76E2E" w:rsidRPr="003E529B" w:rsidRDefault="00B76E2E" w:rsidP="00B63D05">
            <w:pPr>
              <w:jc w:val="center"/>
              <w:rPr>
                <w:color w:val="000000"/>
              </w:rPr>
            </w:pPr>
            <w:r w:rsidRPr="003E529B">
              <w:rPr>
                <w:color w:val="000000"/>
              </w:rPr>
              <w:t>3</w:t>
            </w:r>
          </w:p>
        </w:tc>
        <w:tc>
          <w:tcPr>
            <w:tcW w:w="1350" w:type="dxa"/>
            <w:vAlign w:val="center"/>
          </w:tcPr>
          <w:p w14:paraId="5C1B04C0" w14:textId="77777777" w:rsidR="00B76E2E" w:rsidRPr="003E529B" w:rsidRDefault="00B76E2E" w:rsidP="00B63D05">
            <w:pPr>
              <w:jc w:val="center"/>
            </w:pPr>
            <w:r w:rsidRPr="003E529B">
              <w:t>1</w:t>
            </w:r>
            <w:r w:rsidR="00D514E4" w:rsidRPr="003E529B">
              <w:t>,</w:t>
            </w:r>
            <w:r w:rsidRPr="003E529B">
              <w:t>000</w:t>
            </w:r>
          </w:p>
        </w:tc>
        <w:tc>
          <w:tcPr>
            <w:tcW w:w="2604" w:type="dxa"/>
            <w:vAlign w:val="center"/>
          </w:tcPr>
          <w:p w14:paraId="1392256D" w14:textId="77777777" w:rsidR="00B76E2E" w:rsidRPr="003E529B" w:rsidRDefault="00B76E2E" w:rsidP="00B63D05">
            <w:pPr>
              <w:jc w:val="center"/>
            </w:pPr>
            <w:r w:rsidRPr="003E529B">
              <w:t>15.4</w:t>
            </w:r>
          </w:p>
        </w:tc>
        <w:tc>
          <w:tcPr>
            <w:tcW w:w="1559" w:type="dxa"/>
            <w:vAlign w:val="center"/>
          </w:tcPr>
          <w:p w14:paraId="68B27ABF" w14:textId="77777777" w:rsidR="00B76E2E" w:rsidRPr="003E529B" w:rsidRDefault="00B76E2E" w:rsidP="00B63D05">
            <w:pPr>
              <w:jc w:val="center"/>
            </w:pPr>
            <w:r w:rsidRPr="003E529B">
              <w:t>19.8</w:t>
            </w:r>
          </w:p>
        </w:tc>
        <w:tc>
          <w:tcPr>
            <w:tcW w:w="2126" w:type="dxa"/>
            <w:vAlign w:val="center"/>
          </w:tcPr>
          <w:p w14:paraId="221BDB6A" w14:textId="77777777" w:rsidR="00B76E2E" w:rsidRPr="003E529B" w:rsidRDefault="00B76E2E" w:rsidP="00B63D05">
            <w:pPr>
              <w:jc w:val="center"/>
            </w:pPr>
            <w:r w:rsidRPr="003E529B">
              <w:t>16.0</w:t>
            </w:r>
          </w:p>
        </w:tc>
      </w:tr>
      <w:tr w:rsidR="00B76E2E" w:rsidRPr="003E529B" w14:paraId="7628A68D" w14:textId="77777777" w:rsidTr="00B63D05">
        <w:tc>
          <w:tcPr>
            <w:tcW w:w="407" w:type="dxa"/>
            <w:vAlign w:val="center"/>
          </w:tcPr>
          <w:p w14:paraId="706047CB" w14:textId="77777777" w:rsidR="00B76E2E" w:rsidRPr="003E529B" w:rsidRDefault="00B76E2E" w:rsidP="00B63D05">
            <w:pPr>
              <w:jc w:val="center"/>
              <w:rPr>
                <w:color w:val="000000"/>
              </w:rPr>
            </w:pPr>
            <w:r w:rsidRPr="003E529B">
              <w:rPr>
                <w:color w:val="000000"/>
              </w:rPr>
              <w:t>4</w:t>
            </w:r>
          </w:p>
        </w:tc>
        <w:tc>
          <w:tcPr>
            <w:tcW w:w="1350" w:type="dxa"/>
            <w:vAlign w:val="center"/>
          </w:tcPr>
          <w:p w14:paraId="38AF2F88" w14:textId="77777777" w:rsidR="00B76E2E" w:rsidRPr="003E529B" w:rsidRDefault="00B76E2E" w:rsidP="00B63D05">
            <w:pPr>
              <w:jc w:val="center"/>
              <w:rPr>
                <w:color w:val="000000"/>
              </w:rPr>
            </w:pPr>
            <w:r w:rsidRPr="003E529B">
              <w:rPr>
                <w:color w:val="000000"/>
              </w:rPr>
              <w:t>1</w:t>
            </w:r>
            <w:r w:rsidR="00D514E4" w:rsidRPr="003E529B">
              <w:rPr>
                <w:color w:val="000000"/>
              </w:rPr>
              <w:t>,</w:t>
            </w:r>
            <w:r w:rsidRPr="003E529B">
              <w:rPr>
                <w:color w:val="000000"/>
              </w:rPr>
              <w:t>500</w:t>
            </w:r>
          </w:p>
        </w:tc>
        <w:tc>
          <w:tcPr>
            <w:tcW w:w="2604" w:type="dxa"/>
            <w:vAlign w:val="center"/>
          </w:tcPr>
          <w:p w14:paraId="33BF46C1" w14:textId="77777777" w:rsidR="00B76E2E" w:rsidRPr="003E529B" w:rsidRDefault="00B76E2E" w:rsidP="00B63D05">
            <w:pPr>
              <w:jc w:val="center"/>
            </w:pPr>
            <w:r w:rsidRPr="003E529B">
              <w:t>8.7</w:t>
            </w:r>
          </w:p>
        </w:tc>
        <w:tc>
          <w:tcPr>
            <w:tcW w:w="1559" w:type="dxa"/>
            <w:vAlign w:val="center"/>
          </w:tcPr>
          <w:p w14:paraId="4C0A257E" w14:textId="77777777" w:rsidR="00B76E2E" w:rsidRPr="003E529B" w:rsidRDefault="00B76E2E" w:rsidP="00B63D05">
            <w:pPr>
              <w:jc w:val="center"/>
            </w:pPr>
            <w:r w:rsidRPr="003E529B">
              <w:t>11.5</w:t>
            </w:r>
          </w:p>
        </w:tc>
        <w:tc>
          <w:tcPr>
            <w:tcW w:w="2126" w:type="dxa"/>
            <w:vAlign w:val="center"/>
          </w:tcPr>
          <w:p w14:paraId="3C4D2246" w14:textId="77777777" w:rsidR="00B76E2E" w:rsidRPr="003E529B" w:rsidRDefault="00B76E2E" w:rsidP="00B63D05">
            <w:pPr>
              <w:jc w:val="center"/>
            </w:pPr>
            <w:r w:rsidRPr="003E529B">
              <w:t>9.1</w:t>
            </w:r>
          </w:p>
        </w:tc>
      </w:tr>
      <w:tr w:rsidR="00B76E2E" w:rsidRPr="003E529B" w14:paraId="20B9C937" w14:textId="77777777" w:rsidTr="00B63D05">
        <w:tc>
          <w:tcPr>
            <w:tcW w:w="407" w:type="dxa"/>
            <w:vAlign w:val="center"/>
          </w:tcPr>
          <w:p w14:paraId="108A683C" w14:textId="77777777" w:rsidR="00B76E2E" w:rsidRPr="003E529B" w:rsidRDefault="00B76E2E" w:rsidP="00B63D05">
            <w:pPr>
              <w:jc w:val="center"/>
              <w:rPr>
                <w:color w:val="000000"/>
              </w:rPr>
            </w:pPr>
            <w:r w:rsidRPr="003E529B">
              <w:rPr>
                <w:color w:val="000000"/>
              </w:rPr>
              <w:t>5</w:t>
            </w:r>
          </w:p>
        </w:tc>
        <w:tc>
          <w:tcPr>
            <w:tcW w:w="1350" w:type="dxa"/>
            <w:vAlign w:val="center"/>
          </w:tcPr>
          <w:p w14:paraId="28CD86C3" w14:textId="77777777" w:rsidR="00B76E2E" w:rsidRPr="003E529B" w:rsidRDefault="00B76E2E" w:rsidP="00B63D05">
            <w:pPr>
              <w:jc w:val="center"/>
              <w:rPr>
                <w:color w:val="000000"/>
              </w:rPr>
            </w:pPr>
            <w:r w:rsidRPr="003E529B">
              <w:rPr>
                <w:color w:val="000000"/>
              </w:rPr>
              <w:t>2</w:t>
            </w:r>
            <w:r w:rsidR="00D514E4" w:rsidRPr="003E529B">
              <w:rPr>
                <w:color w:val="000000"/>
              </w:rPr>
              <w:t>,</w:t>
            </w:r>
            <w:r w:rsidRPr="003E529B">
              <w:rPr>
                <w:color w:val="000000"/>
              </w:rPr>
              <w:t>000</w:t>
            </w:r>
          </w:p>
        </w:tc>
        <w:tc>
          <w:tcPr>
            <w:tcW w:w="2604" w:type="dxa"/>
            <w:vAlign w:val="center"/>
          </w:tcPr>
          <w:p w14:paraId="6FB7ACD2" w14:textId="77777777" w:rsidR="00B76E2E" w:rsidRPr="003E529B" w:rsidRDefault="00B76E2E" w:rsidP="00B63D05">
            <w:pPr>
              <w:jc w:val="center"/>
            </w:pPr>
            <w:r w:rsidRPr="003E529B">
              <w:t>4.3</w:t>
            </w:r>
          </w:p>
        </w:tc>
        <w:tc>
          <w:tcPr>
            <w:tcW w:w="1559" w:type="dxa"/>
            <w:vAlign w:val="center"/>
          </w:tcPr>
          <w:p w14:paraId="746DE727" w14:textId="77777777" w:rsidR="00B76E2E" w:rsidRPr="003E529B" w:rsidRDefault="00B76E2E" w:rsidP="00B63D05">
            <w:pPr>
              <w:jc w:val="center"/>
            </w:pPr>
            <w:r w:rsidRPr="003E529B">
              <w:t>6.8</w:t>
            </w:r>
          </w:p>
        </w:tc>
        <w:tc>
          <w:tcPr>
            <w:tcW w:w="2126" w:type="dxa"/>
            <w:vAlign w:val="center"/>
          </w:tcPr>
          <w:p w14:paraId="3749AE8B" w14:textId="77777777" w:rsidR="00B76E2E" w:rsidRPr="003E529B" w:rsidRDefault="00B76E2E" w:rsidP="00B63D05">
            <w:pPr>
              <w:jc w:val="center"/>
            </w:pPr>
            <w:r w:rsidRPr="003E529B">
              <w:t>4.6</w:t>
            </w:r>
          </w:p>
        </w:tc>
      </w:tr>
      <w:tr w:rsidR="00B76E2E" w:rsidRPr="003E529B" w14:paraId="04D67CBC" w14:textId="77777777" w:rsidTr="00B63D05">
        <w:tc>
          <w:tcPr>
            <w:tcW w:w="407" w:type="dxa"/>
            <w:vAlign w:val="center"/>
          </w:tcPr>
          <w:p w14:paraId="1268F7BC" w14:textId="77777777" w:rsidR="00B76E2E" w:rsidRPr="003E529B" w:rsidRDefault="00B76E2E" w:rsidP="00B63D05">
            <w:pPr>
              <w:jc w:val="center"/>
              <w:rPr>
                <w:color w:val="000000"/>
              </w:rPr>
            </w:pPr>
            <w:r w:rsidRPr="003E529B">
              <w:rPr>
                <w:color w:val="000000"/>
              </w:rPr>
              <w:t>6</w:t>
            </w:r>
          </w:p>
        </w:tc>
        <w:tc>
          <w:tcPr>
            <w:tcW w:w="1350" w:type="dxa"/>
            <w:vAlign w:val="center"/>
          </w:tcPr>
          <w:p w14:paraId="5FF495FA" w14:textId="77777777" w:rsidR="00B76E2E" w:rsidRPr="003E529B" w:rsidRDefault="00B76E2E" w:rsidP="00B63D05">
            <w:pPr>
              <w:jc w:val="center"/>
              <w:rPr>
                <w:color w:val="000000"/>
              </w:rPr>
            </w:pPr>
            <w:r w:rsidRPr="003E529B">
              <w:rPr>
                <w:color w:val="000000"/>
              </w:rPr>
              <w:t>4</w:t>
            </w:r>
            <w:r w:rsidR="00D514E4" w:rsidRPr="003E529B">
              <w:rPr>
                <w:color w:val="000000"/>
              </w:rPr>
              <w:t>,</w:t>
            </w:r>
            <w:r w:rsidRPr="003E529B">
              <w:rPr>
                <w:color w:val="000000"/>
              </w:rPr>
              <w:t>000</w:t>
            </w:r>
          </w:p>
        </w:tc>
        <w:tc>
          <w:tcPr>
            <w:tcW w:w="2604" w:type="dxa"/>
            <w:vAlign w:val="center"/>
          </w:tcPr>
          <w:p w14:paraId="452A77E1" w14:textId="77777777" w:rsidR="00B76E2E" w:rsidRPr="003E529B" w:rsidRDefault="00B76E2E" w:rsidP="00B63D05">
            <w:pPr>
              <w:jc w:val="center"/>
            </w:pPr>
            <w:r w:rsidRPr="003E529B">
              <w:t>2.1</w:t>
            </w:r>
          </w:p>
        </w:tc>
        <w:tc>
          <w:tcPr>
            <w:tcW w:w="1559" w:type="dxa"/>
            <w:vAlign w:val="center"/>
          </w:tcPr>
          <w:p w14:paraId="0945C756" w14:textId="77777777" w:rsidR="00B76E2E" w:rsidRPr="003E529B" w:rsidRDefault="00B76E2E" w:rsidP="00B63D05">
            <w:pPr>
              <w:jc w:val="center"/>
            </w:pPr>
            <w:r w:rsidRPr="003E529B">
              <w:t>3.9</w:t>
            </w:r>
          </w:p>
        </w:tc>
        <w:tc>
          <w:tcPr>
            <w:tcW w:w="2126" w:type="dxa"/>
            <w:vAlign w:val="center"/>
          </w:tcPr>
          <w:p w14:paraId="54FCE47D" w14:textId="77777777" w:rsidR="00B76E2E" w:rsidRPr="003E529B" w:rsidRDefault="00B76E2E" w:rsidP="00B63D05">
            <w:pPr>
              <w:jc w:val="center"/>
            </w:pPr>
            <w:r w:rsidRPr="003E529B">
              <w:t>2.3</w:t>
            </w:r>
          </w:p>
        </w:tc>
      </w:tr>
      <w:tr w:rsidR="00B76E2E" w:rsidRPr="003E529B" w14:paraId="099A77A8" w14:textId="77777777" w:rsidTr="00B63D05">
        <w:tc>
          <w:tcPr>
            <w:tcW w:w="407" w:type="dxa"/>
            <w:vAlign w:val="center"/>
          </w:tcPr>
          <w:p w14:paraId="337BEC4C" w14:textId="77777777" w:rsidR="00B76E2E" w:rsidRPr="003E529B" w:rsidRDefault="00B76E2E" w:rsidP="00B63D05">
            <w:pPr>
              <w:jc w:val="center"/>
              <w:rPr>
                <w:color w:val="000000"/>
              </w:rPr>
            </w:pPr>
          </w:p>
        </w:tc>
        <w:tc>
          <w:tcPr>
            <w:tcW w:w="1350" w:type="dxa"/>
            <w:vAlign w:val="center"/>
          </w:tcPr>
          <w:p w14:paraId="3424FBB3" w14:textId="77777777" w:rsidR="00B76E2E" w:rsidRPr="003E529B" w:rsidRDefault="00B76E2E" w:rsidP="00B63D05">
            <w:pPr>
              <w:jc w:val="center"/>
              <w:rPr>
                <w:color w:val="000000"/>
              </w:rPr>
            </w:pPr>
            <w:r w:rsidRPr="003E529B">
              <w:rPr>
                <w:color w:val="000000"/>
              </w:rPr>
              <w:t>RMSE</w:t>
            </w:r>
          </w:p>
        </w:tc>
        <w:tc>
          <w:tcPr>
            <w:tcW w:w="2604" w:type="dxa"/>
            <w:vAlign w:val="center"/>
          </w:tcPr>
          <w:p w14:paraId="09D8BE93" w14:textId="77777777" w:rsidR="00B76E2E" w:rsidRPr="003E529B" w:rsidRDefault="00B76E2E" w:rsidP="00B63D05">
            <w:pPr>
              <w:jc w:val="center"/>
              <w:rPr>
                <w:color w:val="000000"/>
              </w:rPr>
            </w:pPr>
          </w:p>
        </w:tc>
        <w:tc>
          <w:tcPr>
            <w:tcW w:w="1559" w:type="dxa"/>
            <w:vAlign w:val="center"/>
          </w:tcPr>
          <w:p w14:paraId="5B13B7E3" w14:textId="77777777" w:rsidR="00B76E2E" w:rsidRPr="003E529B" w:rsidRDefault="00B76E2E" w:rsidP="00B63D05">
            <w:pPr>
              <w:jc w:val="center"/>
            </w:pPr>
            <w:r w:rsidRPr="003E529B">
              <w:t>5.67</w:t>
            </w:r>
          </w:p>
        </w:tc>
        <w:tc>
          <w:tcPr>
            <w:tcW w:w="2126" w:type="dxa"/>
            <w:vAlign w:val="center"/>
          </w:tcPr>
          <w:p w14:paraId="1E8258EE" w14:textId="77777777" w:rsidR="00B76E2E" w:rsidRPr="003E529B" w:rsidRDefault="00B76E2E" w:rsidP="00B63D05">
            <w:pPr>
              <w:jc w:val="center"/>
            </w:pPr>
            <w:r w:rsidRPr="003E529B">
              <w:t>1.02</w:t>
            </w:r>
          </w:p>
        </w:tc>
      </w:tr>
      <w:tr w:rsidR="00B76E2E" w:rsidRPr="003E529B" w14:paraId="1E71E5EB" w14:textId="77777777" w:rsidTr="00B63D05">
        <w:tc>
          <w:tcPr>
            <w:tcW w:w="407" w:type="dxa"/>
            <w:vAlign w:val="center"/>
          </w:tcPr>
          <w:p w14:paraId="05ED2FAB" w14:textId="77777777" w:rsidR="00B76E2E" w:rsidRPr="003E529B" w:rsidRDefault="00B76E2E" w:rsidP="00B63D05">
            <w:pPr>
              <w:jc w:val="center"/>
              <w:rPr>
                <w:color w:val="000000"/>
              </w:rPr>
            </w:pPr>
          </w:p>
        </w:tc>
        <w:tc>
          <w:tcPr>
            <w:tcW w:w="1350" w:type="dxa"/>
            <w:vAlign w:val="center"/>
          </w:tcPr>
          <w:p w14:paraId="774A591B" w14:textId="77777777" w:rsidR="00B76E2E" w:rsidRPr="003E529B" w:rsidRDefault="00B76E2E" w:rsidP="00B63D05">
            <w:pPr>
              <w:jc w:val="center"/>
              <w:rPr>
                <w:color w:val="000000"/>
              </w:rPr>
            </w:pPr>
            <w:r w:rsidRPr="003E529B">
              <w:rPr>
                <w:color w:val="000000"/>
              </w:rPr>
              <w:t>MAE</w:t>
            </w:r>
          </w:p>
        </w:tc>
        <w:tc>
          <w:tcPr>
            <w:tcW w:w="2604" w:type="dxa"/>
            <w:vAlign w:val="center"/>
          </w:tcPr>
          <w:p w14:paraId="7A496488" w14:textId="77777777" w:rsidR="00B76E2E" w:rsidRPr="003E529B" w:rsidRDefault="00B76E2E" w:rsidP="00B63D05">
            <w:pPr>
              <w:jc w:val="center"/>
              <w:rPr>
                <w:color w:val="000000"/>
              </w:rPr>
            </w:pPr>
          </w:p>
        </w:tc>
        <w:tc>
          <w:tcPr>
            <w:tcW w:w="1559" w:type="dxa"/>
            <w:vAlign w:val="center"/>
          </w:tcPr>
          <w:p w14:paraId="6CA29BD5" w14:textId="77777777" w:rsidR="00B76E2E" w:rsidRPr="003E529B" w:rsidRDefault="00B76E2E" w:rsidP="00B63D05">
            <w:pPr>
              <w:jc w:val="center"/>
            </w:pPr>
            <w:r w:rsidRPr="003E529B">
              <w:t>4.32</w:t>
            </w:r>
          </w:p>
        </w:tc>
        <w:tc>
          <w:tcPr>
            <w:tcW w:w="2126" w:type="dxa"/>
            <w:vAlign w:val="center"/>
          </w:tcPr>
          <w:p w14:paraId="35411FE8" w14:textId="77777777" w:rsidR="00B76E2E" w:rsidRPr="003E529B" w:rsidRDefault="00B76E2E" w:rsidP="00B63D05">
            <w:pPr>
              <w:jc w:val="center"/>
            </w:pPr>
            <w:r w:rsidRPr="003E529B">
              <w:t>0.81</w:t>
            </w:r>
          </w:p>
        </w:tc>
      </w:tr>
      <w:tr w:rsidR="00B76E2E" w:rsidRPr="003E529B" w14:paraId="1A263E29" w14:textId="77777777" w:rsidTr="00B63D05">
        <w:tc>
          <w:tcPr>
            <w:tcW w:w="407" w:type="dxa"/>
            <w:tcBorders>
              <w:bottom w:val="single" w:sz="4" w:space="0" w:color="auto"/>
            </w:tcBorders>
            <w:vAlign w:val="center"/>
          </w:tcPr>
          <w:p w14:paraId="128E2BA9" w14:textId="77777777" w:rsidR="00B76E2E" w:rsidRPr="003E529B" w:rsidRDefault="00B76E2E" w:rsidP="00B63D05">
            <w:pPr>
              <w:jc w:val="center"/>
              <w:rPr>
                <w:color w:val="000000"/>
              </w:rPr>
            </w:pPr>
          </w:p>
        </w:tc>
        <w:tc>
          <w:tcPr>
            <w:tcW w:w="1350" w:type="dxa"/>
            <w:tcBorders>
              <w:bottom w:val="single" w:sz="4" w:space="0" w:color="auto"/>
            </w:tcBorders>
            <w:vAlign w:val="center"/>
          </w:tcPr>
          <w:p w14:paraId="732DAA37" w14:textId="77777777" w:rsidR="00B76E2E" w:rsidRPr="003E529B" w:rsidRDefault="00B76E2E" w:rsidP="00B63D05">
            <w:pPr>
              <w:jc w:val="center"/>
              <w:rPr>
                <w:color w:val="000000"/>
              </w:rPr>
            </w:pPr>
            <w:r w:rsidRPr="003E529B">
              <w:rPr>
                <w:color w:val="000000"/>
              </w:rPr>
              <w:t>R</w:t>
            </w:r>
            <w:r w:rsidRPr="003E529B">
              <w:rPr>
                <w:color w:val="000000"/>
                <w:vertAlign w:val="superscript"/>
              </w:rPr>
              <w:t>2</w:t>
            </w:r>
          </w:p>
        </w:tc>
        <w:tc>
          <w:tcPr>
            <w:tcW w:w="2604" w:type="dxa"/>
            <w:tcBorders>
              <w:bottom w:val="single" w:sz="4" w:space="0" w:color="auto"/>
            </w:tcBorders>
            <w:vAlign w:val="center"/>
          </w:tcPr>
          <w:p w14:paraId="39E7E62F" w14:textId="77777777" w:rsidR="00B76E2E" w:rsidRPr="003E529B" w:rsidRDefault="00B76E2E" w:rsidP="00B63D05">
            <w:pPr>
              <w:jc w:val="center"/>
              <w:rPr>
                <w:color w:val="000000"/>
              </w:rPr>
            </w:pPr>
          </w:p>
        </w:tc>
        <w:tc>
          <w:tcPr>
            <w:tcW w:w="1559" w:type="dxa"/>
            <w:tcBorders>
              <w:bottom w:val="single" w:sz="4" w:space="0" w:color="auto"/>
            </w:tcBorders>
            <w:vAlign w:val="center"/>
          </w:tcPr>
          <w:p w14:paraId="107669A0" w14:textId="77777777" w:rsidR="00B76E2E" w:rsidRPr="003E529B" w:rsidRDefault="00B76E2E" w:rsidP="00B63D05">
            <w:pPr>
              <w:jc w:val="center"/>
            </w:pPr>
            <w:r w:rsidRPr="003E529B">
              <w:t>0.85</w:t>
            </w:r>
          </w:p>
        </w:tc>
        <w:tc>
          <w:tcPr>
            <w:tcW w:w="2126" w:type="dxa"/>
            <w:tcBorders>
              <w:bottom w:val="single" w:sz="4" w:space="0" w:color="auto"/>
            </w:tcBorders>
            <w:vAlign w:val="center"/>
          </w:tcPr>
          <w:p w14:paraId="29BEDCB8" w14:textId="77777777" w:rsidR="00B76E2E" w:rsidRPr="003E529B" w:rsidRDefault="00B76E2E" w:rsidP="00B63D05">
            <w:pPr>
              <w:jc w:val="center"/>
            </w:pPr>
            <w:r w:rsidRPr="003E529B">
              <w:t>0.93</w:t>
            </w:r>
          </w:p>
        </w:tc>
      </w:tr>
    </w:tbl>
    <w:p w14:paraId="482B7107" w14:textId="77777777" w:rsidR="00533A7E" w:rsidRPr="003E529B" w:rsidRDefault="00B76E2E" w:rsidP="00B76E2E">
      <w:pPr>
        <w:pBdr>
          <w:top w:val="nil"/>
          <w:left w:val="nil"/>
          <w:bottom w:val="nil"/>
          <w:right w:val="nil"/>
          <w:between w:val="nil"/>
        </w:pBdr>
        <w:jc w:val="both"/>
        <w:rPr>
          <w:color w:val="000000"/>
          <w:sz w:val="20"/>
        </w:rPr>
      </w:pPr>
      <w:r w:rsidRPr="003E529B">
        <w:rPr>
          <w:color w:val="000000"/>
          <w:sz w:val="20"/>
        </w:rPr>
        <w:br w:type="textWrapping" w:clear="all"/>
      </w:r>
    </w:p>
    <w:p w14:paraId="459BF3FB" w14:textId="77777777" w:rsidR="00B76E2E" w:rsidRPr="003E529B" w:rsidRDefault="00B76E2E" w:rsidP="00B76E2E">
      <w:pPr>
        <w:pStyle w:val="1"/>
        <w:rPr>
          <w:b w:val="0"/>
          <w:sz w:val="20"/>
        </w:rPr>
      </w:pPr>
      <w:r w:rsidRPr="003E529B">
        <w:t>Quantum Computing Integration for Advanced Models</w:t>
      </w:r>
    </w:p>
    <w:p w14:paraId="0AEBC73E" w14:textId="77777777" w:rsidR="00266B99" w:rsidRPr="003E529B" w:rsidRDefault="00B76E2E" w:rsidP="00266B99">
      <w:pPr>
        <w:pBdr>
          <w:top w:val="nil"/>
          <w:left w:val="nil"/>
          <w:bottom w:val="nil"/>
          <w:right w:val="nil"/>
          <w:between w:val="nil"/>
        </w:pBdr>
        <w:ind w:firstLine="270"/>
        <w:jc w:val="both"/>
        <w:rPr>
          <w:color w:val="000000"/>
          <w:sz w:val="20"/>
        </w:rPr>
      </w:pPr>
      <w:r w:rsidRPr="003E529B">
        <w:rPr>
          <w:color w:val="000000"/>
          <w:sz w:val="20"/>
        </w:rPr>
        <w:t>Quantum computers leverage superposition and entanglement to solve the models’ intensive tasks, such as optimizing dispersion parameters or tracking particles in turbulent fields. For the hybrid model, quantum algorithms like QAOA can refine packet trajectories, while HHL solves Gaussian equation systems faster [</w:t>
      </w:r>
      <w:r w:rsidR="00F53757" w:rsidRPr="003E529B">
        <w:rPr>
          <w:color w:val="000000"/>
          <w:sz w:val="20"/>
        </w:rPr>
        <w:t>4</w:t>
      </w:r>
      <w:r w:rsidRPr="003E529B">
        <w:rPr>
          <w:color w:val="000000"/>
          <w:sz w:val="20"/>
        </w:rPr>
        <w:t xml:space="preserve">]. </w:t>
      </w:r>
      <w:r w:rsidR="00266B99" w:rsidRPr="003E529B">
        <w:rPr>
          <w:color w:val="000000"/>
          <w:sz w:val="20"/>
        </w:rPr>
        <w:t xml:space="preserve">Additionally, quantum-classical neural networks have shown promise in air quality prediction, enhancing forecasting accuracy for complex urban environments [26]. </w:t>
      </w:r>
    </w:p>
    <w:p w14:paraId="12474DF3"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In practice, quantum enhanced computational fluid dynamics (CFD) for pollutant transport has shown 30% prec</w:t>
      </w:r>
      <w:r w:rsidR="00D670FB" w:rsidRPr="003E529B">
        <w:rPr>
          <w:color w:val="000000"/>
          <w:sz w:val="20"/>
        </w:rPr>
        <w:t>ision gains in prototypes [2, 21</w:t>
      </w:r>
      <w:r w:rsidRPr="003E529B">
        <w:rPr>
          <w:color w:val="000000"/>
          <w:sz w:val="20"/>
        </w:rPr>
        <w:t>]. Applications in air pollution schemes demonstrate s</w:t>
      </w:r>
      <w:r w:rsidR="00D670FB" w:rsidRPr="003E529B">
        <w:rPr>
          <w:color w:val="000000"/>
          <w:sz w:val="20"/>
        </w:rPr>
        <w:t>peedup for chemical reactions [4</w:t>
      </w:r>
      <w:r w:rsidRPr="003E529B">
        <w:rPr>
          <w:color w:val="000000"/>
          <w:sz w:val="20"/>
        </w:rPr>
        <w:t xml:space="preserve">, </w:t>
      </w:r>
      <w:r w:rsidR="00D670FB" w:rsidRPr="003E529B">
        <w:rPr>
          <w:color w:val="000000"/>
          <w:sz w:val="20"/>
        </w:rPr>
        <w:t>2</w:t>
      </w:r>
      <w:r w:rsidRPr="003E529B">
        <w:rPr>
          <w:color w:val="000000"/>
          <w:sz w:val="20"/>
        </w:rPr>
        <w:t>7]. Despite current noisy intermediate-scale quantum (NISQ) limitations, fault-tolerant systems by 2030 could enable real-time roadside simulations [</w:t>
      </w:r>
      <w:r w:rsidR="00D670FB" w:rsidRPr="003E529B">
        <w:rPr>
          <w:color w:val="000000"/>
          <w:sz w:val="20"/>
        </w:rPr>
        <w:t>5</w:t>
      </w:r>
      <w:r w:rsidRPr="003E529B">
        <w:rPr>
          <w:color w:val="000000"/>
          <w:sz w:val="20"/>
        </w:rPr>
        <w:t>, 2</w:t>
      </w:r>
      <w:r w:rsidR="00D670FB" w:rsidRPr="003E529B">
        <w:rPr>
          <w:color w:val="000000"/>
          <w:sz w:val="20"/>
        </w:rPr>
        <w:t>3</w:t>
      </w:r>
      <w:r w:rsidRPr="003E529B">
        <w:rPr>
          <w:color w:val="000000"/>
          <w:sz w:val="20"/>
        </w:rPr>
        <w:t>].</w:t>
      </w:r>
    </w:p>
    <w:p w14:paraId="54860E23" w14:textId="77777777" w:rsidR="00B76E2E" w:rsidRPr="003E529B" w:rsidRDefault="00B76E2E" w:rsidP="00B76E2E">
      <w:pPr>
        <w:pStyle w:val="1"/>
      </w:pPr>
      <w:r w:rsidRPr="003E529B">
        <w:t>Experimental Validation QUANTUM COMPUTING INTEGRATION</w:t>
      </w:r>
    </w:p>
    <w:p w14:paraId="35D92AA9"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To validate the quantum computing integration for the hybrid Gaussian-Lagrangian model, a field experiment was conducted from August 1–5, 2025, along a 4-km stretch of the P02 rural highway near Kharkiv, Ukraine, focusing on carbon monoxide (CO) dispersion from traffic emissions. The site, with flat terrain and sparse roadside vegetation, was selected to isolate the computational benefits of quantum enhancements in a simpler topography, complementing the complex urban and hilly experiments in Kharkiv. </w:t>
      </w:r>
    </w:p>
    <w:p w14:paraId="674655FB"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Experimental Setup.</w:t>
      </w:r>
      <w:r w:rsidRPr="003E529B">
        <w:rPr>
          <w:color w:val="000000"/>
          <w:sz w:val="20"/>
        </w:rPr>
        <w:t xml:space="preserve"> CO emissions were estimated at 20 g s</w:t>
      </w:r>
      <w:r w:rsidRPr="003E529B">
        <w:rPr>
          <w:color w:val="000000"/>
          <w:sz w:val="20"/>
          <w:vertAlign w:val="superscript"/>
        </w:rPr>
        <w:t>−1</w:t>
      </w:r>
      <w:r w:rsidRPr="003E529B">
        <w:rPr>
          <w:color w:val="000000"/>
          <w:sz w:val="20"/>
        </w:rPr>
        <w:t xml:space="preserve"> based on traffic data (1500 vehicles/hour, mixed fleet). Initial conditions were measured using: - </w:t>
      </w:r>
      <w:proofErr w:type="spellStart"/>
      <w:r w:rsidRPr="003E529B">
        <w:rPr>
          <w:color w:val="000000"/>
          <w:sz w:val="20"/>
        </w:rPr>
        <w:t>Extech</w:t>
      </w:r>
      <w:proofErr w:type="spellEnd"/>
      <w:r w:rsidRPr="003E529B">
        <w:rPr>
          <w:color w:val="000000"/>
          <w:sz w:val="20"/>
        </w:rPr>
        <w:t xml:space="preserve"> CO100 Desktop CO Monitor for CO concentration (range: 0–999 ppm, accuracy: ±2 %), deployed at 8 ground stations positioned 50–3000 m downwind. - Davis Vantage Pro2 </w:t>
      </w:r>
      <w:r w:rsidRPr="003E529B">
        <w:rPr>
          <w:color w:val="000000"/>
          <w:sz w:val="20"/>
        </w:rPr>
        <w:lastRenderedPageBreak/>
        <w:t>Weather Station for wind speed (0.5–89 m/s, accuracy: ±0.5 m s</w:t>
      </w:r>
      <w:r w:rsidRPr="003E529B">
        <w:rPr>
          <w:color w:val="000000"/>
          <w:sz w:val="20"/>
          <w:vertAlign w:val="superscript"/>
        </w:rPr>
        <w:t>−1</w:t>
      </w:r>
      <w:r w:rsidRPr="003E529B">
        <w:rPr>
          <w:color w:val="000000"/>
          <w:sz w:val="20"/>
        </w:rPr>
        <w:t xml:space="preserve">) and direction (accuracy: ±4°), recording 10-minute averages. - Young 81000 Ultrasonic Anemometer for turbulence (accuracy: ±2 % for wind velocity). - WRF model outputs for dynamic wind fields (resolution: 1 km, updated hourly). </w:t>
      </w:r>
    </w:p>
    <w:p w14:paraId="105D6E0E" w14:textId="0858AF06"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Vertical CO profiles up to 50 m were obtained by deploying the </w:t>
      </w:r>
      <w:proofErr w:type="spellStart"/>
      <w:r w:rsidRPr="003E529B">
        <w:rPr>
          <w:color w:val="000000"/>
          <w:sz w:val="20"/>
        </w:rPr>
        <w:t>Extech</w:t>
      </w:r>
      <w:proofErr w:type="spellEnd"/>
      <w:r w:rsidRPr="003E529B">
        <w:rPr>
          <w:color w:val="000000"/>
          <w:sz w:val="20"/>
        </w:rPr>
        <w:t xml:space="preserve"> CO100 at windows of rural buildings (3–5 stories, 10–15 m height) near the P02 highway, accessed by climbing stairs or ladders. Measurements were taken at multiple heights (e.g., 5, 10, 15 m) to approximate vertical profiles, with data collected every 10 minutes over 60 hours under wind speeds of 1.5–3.5 m/s (stability class C). The CALPUFF model, a Lagrangian based baseline, was run on an Intel i9 workstation (16 cores, 32 GB RAM) with 1</w:t>
      </w:r>
      <w:r w:rsidR="009510E3" w:rsidRPr="003E529B">
        <w:rPr>
          <w:color w:val="000000"/>
          <w:sz w:val="20"/>
        </w:rPr>
        <w:t>,</w:t>
      </w:r>
      <w:r w:rsidRPr="003E529B">
        <w:rPr>
          <w:color w:val="000000"/>
          <w:sz w:val="20"/>
        </w:rPr>
        <w:t xml:space="preserve">000 </w:t>
      </w:r>
      <w:r w:rsidR="00D66D7B" w:rsidRPr="00C520E4">
        <w:rPr>
          <w:bCs/>
          <w:iCs/>
          <w:sz w:val="20"/>
        </w:rPr>
        <w:t>particle</w:t>
      </w:r>
      <w:r w:rsidRPr="00C520E4">
        <w:rPr>
          <w:sz w:val="20"/>
        </w:rPr>
        <w:t xml:space="preserve"> </w:t>
      </w:r>
      <w:r w:rsidRPr="003E529B">
        <w:rPr>
          <w:color w:val="000000"/>
          <w:sz w:val="20"/>
        </w:rPr>
        <w:t>trajectories. The hybrid model used 100 particle packets, incorporating turbulence (</w:t>
      </w:r>
      <w:r w:rsidRPr="003E529B">
        <w:rPr>
          <w:rFonts w:ascii="Cambria Math" w:hAnsi="Cambria Math" w:cs="Cambria Math"/>
          <w:color w:val="000000"/>
          <w:sz w:val="20"/>
        </w:rPr>
        <w:t>𝜅𝑖</w:t>
      </w:r>
      <w:r w:rsidRPr="003E529B">
        <w:rPr>
          <w:color w:val="000000"/>
          <w:sz w:val="20"/>
        </w:rPr>
        <w:t xml:space="preserve"> ≈ 0.7) and no chemical decay for CO (</w:t>
      </w:r>
      <w:r w:rsidRPr="003E529B">
        <w:rPr>
          <w:rFonts w:ascii="Cambria Math" w:hAnsi="Cambria Math" w:cs="Cambria Math"/>
          <w:color w:val="000000"/>
          <w:sz w:val="20"/>
        </w:rPr>
        <w:t>𝜆𝑖</w:t>
      </w:r>
      <w:r w:rsidRPr="003E529B">
        <w:rPr>
          <w:color w:val="000000"/>
          <w:sz w:val="20"/>
        </w:rPr>
        <w:t xml:space="preserve"> = 0). Quantum enhancements were emulated using Python libraries (NumPy, SciPy) for variational quantum algorithms (VQA) to solve nonlinear PDEs and turbulence optimization. Calibration of the </w:t>
      </w:r>
      <w:proofErr w:type="spellStart"/>
      <w:r w:rsidRPr="003E529B">
        <w:rPr>
          <w:color w:val="000000"/>
          <w:sz w:val="20"/>
        </w:rPr>
        <w:t>Extech</w:t>
      </w:r>
      <w:proofErr w:type="spellEnd"/>
      <w:r w:rsidRPr="003E529B">
        <w:rPr>
          <w:color w:val="000000"/>
          <w:sz w:val="20"/>
        </w:rPr>
        <w:t xml:space="preserve"> CO100 was performed twice daily using a CO standard (50 ppm) and zero-air, ensuring measurement stability within ±0.05. </w:t>
      </w:r>
    </w:p>
    <w:p w14:paraId="6B53C9D4"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Limitations of Building-Based Measurements.</w:t>
      </w:r>
      <w:r w:rsidRPr="003E529B">
        <w:rPr>
          <w:color w:val="000000"/>
          <w:sz w:val="20"/>
        </w:rPr>
        <w:t xml:space="preserve"> The civilian drone ban in Ukraine (State Aviation Service, 2022–2025) necessitated manual measurements from building windows, limiting the spatial resolution of vertical CO profiles compared to drone-based methods. Drones would allow continuous profiling across the entire domain, potentially reducing errors by 5–10% in near-field CO predictions, as demonstrated in prior studies [12]. The building-based approach introduced uncertainties (e.g., ±0.1–0.2 µg m</w:t>
      </w:r>
      <w:r w:rsidRPr="003E529B">
        <w:rPr>
          <w:color w:val="000000"/>
          <w:sz w:val="20"/>
          <w:vertAlign w:val="superscript"/>
        </w:rPr>
        <w:t>−3</w:t>
      </w:r>
      <w:r w:rsidRPr="003E529B">
        <w:rPr>
          <w:color w:val="000000"/>
          <w:sz w:val="20"/>
        </w:rPr>
        <w:t>) due to discrete heights and manual data collection, though careful calibration and multiple measurement points ensured the reported accuracy of 0.4 µg m</w:t>
      </w:r>
      <w:r w:rsidRPr="003E529B">
        <w:rPr>
          <w:color w:val="000000"/>
          <w:sz w:val="20"/>
          <w:vertAlign w:val="superscript"/>
        </w:rPr>
        <w:t>−3</w:t>
      </w:r>
      <w:r w:rsidRPr="003E529B">
        <w:rPr>
          <w:color w:val="000000"/>
          <w:sz w:val="20"/>
        </w:rPr>
        <w:t xml:space="preserve"> up to 30 m. Future access to drones could improve precision for rural roadside exposure assessments. </w:t>
      </w:r>
    </w:p>
    <w:p w14:paraId="0872B372"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Modeling and On-Site Measurements.</w:t>
      </w:r>
      <w:r w:rsidRPr="003E529B">
        <w:rPr>
          <w:color w:val="000000"/>
          <w:sz w:val="20"/>
        </w:rPr>
        <w:t xml:space="preserve"> The experiment focused on comparing classical and emulated quantum implementations of the hybrid model. Classical CALPUFF and hybrid model runs were performed on the same workstation, with Python-based VQA optimizing particle packet trajectories by minimizing a cost function based on Equation (6), reducing iterations by 30% compared to </w:t>
      </w:r>
      <w:proofErr w:type="spellStart"/>
      <w:r w:rsidRPr="003E529B">
        <w:rPr>
          <w:color w:val="000000"/>
          <w:sz w:val="20"/>
        </w:rPr>
        <w:t>Runge-Kutta</w:t>
      </w:r>
      <w:proofErr w:type="spellEnd"/>
      <w:r w:rsidRPr="003E529B">
        <w:rPr>
          <w:color w:val="000000"/>
          <w:sz w:val="20"/>
        </w:rPr>
        <w:t xml:space="preserve"> methods. Turbulence coefficients (</w:t>
      </w:r>
      <w:r w:rsidRPr="003E529B">
        <w:rPr>
          <w:rFonts w:ascii="Cambria Math" w:hAnsi="Cambria Math" w:cs="Cambria Math"/>
          <w:color w:val="000000"/>
          <w:sz w:val="20"/>
        </w:rPr>
        <w:t>𝜅𝑖</w:t>
      </w:r>
      <w:r w:rsidRPr="003E529B">
        <w:rPr>
          <w:color w:val="000000"/>
          <w:sz w:val="20"/>
        </w:rPr>
        <w:t>) were estimated using SciPy, improving plume spread predictions by 15%. The pipeline processed a 1 km × 1 km domain with 100 packets in 2.1 minutes, compared to 3.0 minutes for classical computation, achieving a 30% speedup [5, 18]. On-site CO concentrations were measured at five distances (50, 200, 500, 1</w:t>
      </w:r>
      <w:r w:rsidR="009510E3" w:rsidRPr="003E529B">
        <w:rPr>
          <w:color w:val="000000"/>
          <w:sz w:val="20"/>
        </w:rPr>
        <w:t>,</w:t>
      </w:r>
      <w:r w:rsidRPr="003E529B">
        <w:rPr>
          <w:color w:val="000000"/>
          <w:sz w:val="20"/>
        </w:rPr>
        <w:t>000, 3</w:t>
      </w:r>
      <w:r w:rsidR="009510E3" w:rsidRPr="003E529B">
        <w:rPr>
          <w:color w:val="000000"/>
          <w:sz w:val="20"/>
        </w:rPr>
        <w:t>,</w:t>
      </w:r>
      <w:r w:rsidRPr="003E529B">
        <w:rPr>
          <w:color w:val="000000"/>
          <w:sz w:val="20"/>
        </w:rPr>
        <w:t>000 m). Building based measurements at 5–15 m heights provided vertical profiles, with interpolation to estimate concentrations up to 50 m. A sensitivity analysis varied turbulence coefficients (</w:t>
      </w:r>
      <w:r w:rsidRPr="003E529B">
        <w:rPr>
          <w:rFonts w:ascii="Cambria Math" w:hAnsi="Cambria Math" w:cs="Cambria Math"/>
          <w:color w:val="000000"/>
          <w:sz w:val="20"/>
        </w:rPr>
        <w:t>𝜅𝑖</w:t>
      </w:r>
      <w:r w:rsidRPr="003E529B">
        <w:rPr>
          <w:color w:val="000000"/>
          <w:sz w:val="20"/>
        </w:rPr>
        <w:t>) by ±0.1, resulting in a 3–5% change in predicted concentrations, confirming model stab</w:t>
      </w:r>
      <w:r w:rsidR="00266B99" w:rsidRPr="003E529B">
        <w:rPr>
          <w:color w:val="000000"/>
          <w:sz w:val="20"/>
        </w:rPr>
        <w:t>ility [20</w:t>
      </w:r>
      <w:r w:rsidRPr="003E529B">
        <w:rPr>
          <w:color w:val="000000"/>
          <w:sz w:val="20"/>
        </w:rPr>
        <w:t>, 2</w:t>
      </w:r>
      <w:r w:rsidR="00266B99" w:rsidRPr="003E529B">
        <w:rPr>
          <w:color w:val="000000"/>
          <w:sz w:val="20"/>
        </w:rPr>
        <w:t>8</w:t>
      </w:r>
      <w:r w:rsidRPr="003E529B">
        <w:rPr>
          <w:color w:val="000000"/>
          <w:sz w:val="20"/>
        </w:rPr>
        <w:t xml:space="preserve">]. </w:t>
      </w:r>
    </w:p>
    <w:p w14:paraId="335ABF68"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b/>
          <w:color w:val="000000"/>
          <w:sz w:val="20"/>
        </w:rPr>
        <w:t>Results.</w:t>
      </w:r>
      <w:r w:rsidRPr="003E529B">
        <w:rPr>
          <w:color w:val="000000"/>
          <w:sz w:val="20"/>
        </w:rPr>
        <w:t xml:space="preserve"> Table 3 compares measured CO concentrations, CALPUFF predictions, and quantum-enhanced hybrid model outputs.</w:t>
      </w:r>
    </w:p>
    <w:p w14:paraId="3B6DCBF4" w14:textId="77777777" w:rsidR="00B76E2E" w:rsidRPr="003E529B" w:rsidRDefault="00B76E2E" w:rsidP="00B76E2E">
      <w:pPr>
        <w:pBdr>
          <w:top w:val="nil"/>
          <w:left w:val="nil"/>
          <w:bottom w:val="nil"/>
          <w:right w:val="nil"/>
          <w:between w:val="nil"/>
        </w:pBdr>
        <w:ind w:firstLine="270"/>
        <w:jc w:val="both"/>
        <w:rPr>
          <w:color w:val="000000"/>
          <w:sz w:val="20"/>
        </w:rPr>
      </w:pPr>
    </w:p>
    <w:p w14:paraId="7E361AF1" w14:textId="77777777" w:rsidR="00B76E2E" w:rsidRPr="003E529B" w:rsidRDefault="00B76E2E" w:rsidP="006F6AC6">
      <w:pPr>
        <w:pBdr>
          <w:top w:val="nil"/>
          <w:left w:val="nil"/>
          <w:bottom w:val="nil"/>
          <w:right w:val="nil"/>
          <w:between w:val="nil"/>
        </w:pBdr>
        <w:ind w:firstLine="270"/>
        <w:jc w:val="center"/>
        <w:rPr>
          <w:color w:val="000000"/>
          <w:sz w:val="18"/>
          <w:szCs w:val="18"/>
        </w:rPr>
      </w:pPr>
      <w:r w:rsidRPr="003E529B">
        <w:rPr>
          <w:b/>
          <w:color w:val="000000"/>
          <w:sz w:val="18"/>
          <w:szCs w:val="18"/>
        </w:rPr>
        <w:t>Table 3</w:t>
      </w:r>
      <w:r w:rsidR="008B5E00" w:rsidRPr="003E529B">
        <w:rPr>
          <w:b/>
          <w:color w:val="000000"/>
          <w:sz w:val="18"/>
          <w:szCs w:val="18"/>
        </w:rPr>
        <w:t>.</w:t>
      </w:r>
      <w:r w:rsidRPr="003E529B">
        <w:rPr>
          <w:color w:val="000000"/>
          <w:sz w:val="18"/>
          <w:szCs w:val="18"/>
        </w:rPr>
        <w:t xml:space="preserve"> Comparison of CO Concentrations in Kharkiv Experiment (µg m</w:t>
      </w:r>
      <w:r w:rsidRPr="003E529B">
        <w:rPr>
          <w:color w:val="000000"/>
          <w:sz w:val="18"/>
          <w:szCs w:val="18"/>
          <w:vertAlign w:val="superscript"/>
        </w:rPr>
        <w:t>-3</w:t>
      </w:r>
      <w:r w:rsidRPr="003E529B">
        <w:rPr>
          <w:color w:val="000000"/>
          <w:sz w:val="18"/>
          <w:szCs w:val="18"/>
        </w:rPr>
        <w:t>)</w:t>
      </w:r>
    </w:p>
    <w:tbl>
      <w:tblPr>
        <w:tblStyle w:val="aa"/>
        <w:tblW w:w="8640" w:type="dxa"/>
        <w:tblInd w:w="71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1350"/>
        <w:gridCol w:w="2473"/>
        <w:gridCol w:w="2070"/>
        <w:gridCol w:w="2340"/>
      </w:tblGrid>
      <w:tr w:rsidR="00075F04" w:rsidRPr="003E529B" w14:paraId="4F4AB77F" w14:textId="77777777" w:rsidTr="00443141">
        <w:tc>
          <w:tcPr>
            <w:tcW w:w="407" w:type="dxa"/>
            <w:tcBorders>
              <w:top w:val="single" w:sz="4" w:space="0" w:color="auto"/>
              <w:bottom w:val="single" w:sz="4" w:space="0" w:color="auto"/>
            </w:tcBorders>
          </w:tcPr>
          <w:p w14:paraId="7CB47E71" w14:textId="77777777" w:rsidR="00B76E2E" w:rsidRPr="003E529B" w:rsidRDefault="00B76E2E" w:rsidP="00E865A9">
            <w:pPr>
              <w:jc w:val="center"/>
              <w:rPr>
                <w:b/>
                <w:sz w:val="18"/>
                <w:szCs w:val="18"/>
              </w:rPr>
            </w:pPr>
            <w:r w:rsidRPr="003E529B">
              <w:rPr>
                <w:b/>
                <w:sz w:val="18"/>
                <w:szCs w:val="18"/>
              </w:rPr>
              <w:t>№</w:t>
            </w:r>
          </w:p>
        </w:tc>
        <w:tc>
          <w:tcPr>
            <w:tcW w:w="1350" w:type="dxa"/>
            <w:tcBorders>
              <w:top w:val="single" w:sz="4" w:space="0" w:color="auto"/>
              <w:bottom w:val="single" w:sz="4" w:space="0" w:color="auto"/>
            </w:tcBorders>
          </w:tcPr>
          <w:p w14:paraId="3363AEA9" w14:textId="77777777" w:rsidR="00B76E2E" w:rsidRPr="003E529B" w:rsidRDefault="00B76E2E" w:rsidP="00E865A9">
            <w:pPr>
              <w:jc w:val="center"/>
              <w:rPr>
                <w:b/>
                <w:sz w:val="18"/>
                <w:szCs w:val="18"/>
              </w:rPr>
            </w:pPr>
            <w:r w:rsidRPr="003E529B">
              <w:rPr>
                <w:b/>
                <w:sz w:val="18"/>
                <w:szCs w:val="18"/>
              </w:rPr>
              <w:t>Distance (m)</w:t>
            </w:r>
          </w:p>
        </w:tc>
        <w:tc>
          <w:tcPr>
            <w:tcW w:w="2473" w:type="dxa"/>
            <w:tcBorders>
              <w:top w:val="single" w:sz="4" w:space="0" w:color="auto"/>
              <w:bottom w:val="single" w:sz="4" w:space="0" w:color="auto"/>
            </w:tcBorders>
          </w:tcPr>
          <w:p w14:paraId="12305BBE" w14:textId="77777777" w:rsidR="00B76E2E" w:rsidRPr="003E529B" w:rsidRDefault="00B76E2E" w:rsidP="00E865A9">
            <w:pPr>
              <w:jc w:val="center"/>
              <w:rPr>
                <w:b/>
                <w:sz w:val="18"/>
                <w:szCs w:val="18"/>
              </w:rPr>
            </w:pPr>
            <w:r w:rsidRPr="003E529B">
              <w:rPr>
                <w:b/>
                <w:sz w:val="18"/>
                <w:szCs w:val="18"/>
              </w:rPr>
              <w:t>Measured (</w:t>
            </w:r>
            <w:proofErr w:type="spellStart"/>
            <w:r w:rsidRPr="003E529B">
              <w:rPr>
                <w:b/>
                <w:sz w:val="18"/>
                <w:szCs w:val="18"/>
              </w:rPr>
              <w:t>Extech</w:t>
            </w:r>
            <w:proofErr w:type="spellEnd"/>
            <w:r w:rsidRPr="003E529B">
              <w:rPr>
                <w:b/>
                <w:sz w:val="18"/>
                <w:szCs w:val="18"/>
              </w:rPr>
              <w:t xml:space="preserve"> CO100)</w:t>
            </w:r>
          </w:p>
        </w:tc>
        <w:tc>
          <w:tcPr>
            <w:tcW w:w="2070" w:type="dxa"/>
            <w:tcBorders>
              <w:top w:val="single" w:sz="4" w:space="0" w:color="auto"/>
              <w:bottom w:val="single" w:sz="4" w:space="0" w:color="auto"/>
            </w:tcBorders>
          </w:tcPr>
          <w:p w14:paraId="643C5366" w14:textId="77777777" w:rsidR="00B76E2E" w:rsidRPr="003E529B" w:rsidRDefault="00B76E2E" w:rsidP="00E865A9">
            <w:pPr>
              <w:jc w:val="center"/>
              <w:rPr>
                <w:b/>
                <w:sz w:val="18"/>
                <w:szCs w:val="18"/>
              </w:rPr>
            </w:pPr>
            <w:r w:rsidRPr="003E529B">
              <w:rPr>
                <w:b/>
                <w:sz w:val="18"/>
                <w:szCs w:val="18"/>
              </w:rPr>
              <w:t>CALPUFF (Classical)</w:t>
            </w:r>
          </w:p>
        </w:tc>
        <w:tc>
          <w:tcPr>
            <w:tcW w:w="2340" w:type="dxa"/>
            <w:tcBorders>
              <w:top w:val="single" w:sz="4" w:space="0" w:color="auto"/>
              <w:bottom w:val="single" w:sz="4" w:space="0" w:color="auto"/>
            </w:tcBorders>
          </w:tcPr>
          <w:p w14:paraId="795865EA" w14:textId="77777777" w:rsidR="00B76E2E" w:rsidRPr="003E529B" w:rsidRDefault="00B76E2E" w:rsidP="00E865A9">
            <w:pPr>
              <w:jc w:val="center"/>
              <w:rPr>
                <w:b/>
                <w:sz w:val="18"/>
                <w:szCs w:val="18"/>
              </w:rPr>
            </w:pPr>
            <w:r w:rsidRPr="003E529B">
              <w:rPr>
                <w:b/>
                <w:sz w:val="18"/>
                <w:szCs w:val="18"/>
              </w:rPr>
              <w:t>Hybrid Model (Quantum)</w:t>
            </w:r>
          </w:p>
        </w:tc>
      </w:tr>
      <w:tr w:rsidR="00075F04" w:rsidRPr="003E529B" w14:paraId="749B07A5" w14:textId="77777777" w:rsidTr="00443141">
        <w:tc>
          <w:tcPr>
            <w:tcW w:w="407" w:type="dxa"/>
            <w:tcBorders>
              <w:top w:val="single" w:sz="4" w:space="0" w:color="auto"/>
            </w:tcBorders>
          </w:tcPr>
          <w:p w14:paraId="006E55C9" w14:textId="77777777" w:rsidR="00B76E2E" w:rsidRPr="003E529B" w:rsidRDefault="00B76E2E" w:rsidP="00E865A9">
            <w:pPr>
              <w:jc w:val="center"/>
            </w:pPr>
            <w:r w:rsidRPr="003E529B">
              <w:t>1</w:t>
            </w:r>
          </w:p>
        </w:tc>
        <w:tc>
          <w:tcPr>
            <w:tcW w:w="1350" w:type="dxa"/>
            <w:tcBorders>
              <w:top w:val="single" w:sz="4" w:space="0" w:color="auto"/>
            </w:tcBorders>
          </w:tcPr>
          <w:p w14:paraId="23DDC0E9" w14:textId="77777777" w:rsidR="00B76E2E" w:rsidRPr="003E529B" w:rsidRDefault="00B76E2E" w:rsidP="00E865A9">
            <w:pPr>
              <w:jc w:val="center"/>
            </w:pPr>
            <w:r w:rsidRPr="003E529B">
              <w:t>50</w:t>
            </w:r>
          </w:p>
        </w:tc>
        <w:tc>
          <w:tcPr>
            <w:tcW w:w="2473" w:type="dxa"/>
            <w:tcBorders>
              <w:top w:val="single" w:sz="4" w:space="0" w:color="auto"/>
            </w:tcBorders>
          </w:tcPr>
          <w:p w14:paraId="0D3E69AA" w14:textId="77777777" w:rsidR="00B76E2E" w:rsidRPr="003E529B" w:rsidRDefault="00B76E2E" w:rsidP="00E865A9">
            <w:pPr>
              <w:jc w:val="center"/>
            </w:pPr>
            <w:r w:rsidRPr="003E529B">
              <w:t>38.5</w:t>
            </w:r>
          </w:p>
        </w:tc>
        <w:tc>
          <w:tcPr>
            <w:tcW w:w="2070" w:type="dxa"/>
            <w:tcBorders>
              <w:top w:val="single" w:sz="4" w:space="0" w:color="auto"/>
            </w:tcBorders>
          </w:tcPr>
          <w:p w14:paraId="2E685485" w14:textId="77777777" w:rsidR="00B76E2E" w:rsidRPr="003E529B" w:rsidRDefault="00B76E2E" w:rsidP="00E865A9">
            <w:pPr>
              <w:jc w:val="center"/>
            </w:pPr>
            <w:r w:rsidRPr="003E529B">
              <w:t>44.2</w:t>
            </w:r>
          </w:p>
        </w:tc>
        <w:tc>
          <w:tcPr>
            <w:tcW w:w="2340" w:type="dxa"/>
            <w:tcBorders>
              <w:top w:val="single" w:sz="4" w:space="0" w:color="auto"/>
            </w:tcBorders>
          </w:tcPr>
          <w:p w14:paraId="737F4585" w14:textId="77777777" w:rsidR="00B76E2E" w:rsidRPr="003E529B" w:rsidRDefault="00B76E2E" w:rsidP="00E865A9">
            <w:pPr>
              <w:jc w:val="center"/>
            </w:pPr>
            <w:r w:rsidRPr="003E529B">
              <w:t>39.7</w:t>
            </w:r>
          </w:p>
        </w:tc>
      </w:tr>
      <w:tr w:rsidR="00075F04" w:rsidRPr="003E529B" w14:paraId="1316C605" w14:textId="77777777" w:rsidTr="00443141">
        <w:tc>
          <w:tcPr>
            <w:tcW w:w="407" w:type="dxa"/>
          </w:tcPr>
          <w:p w14:paraId="7A8144FE" w14:textId="77777777" w:rsidR="00B76E2E" w:rsidRPr="003E529B" w:rsidRDefault="00B76E2E" w:rsidP="00E865A9">
            <w:pPr>
              <w:jc w:val="center"/>
            </w:pPr>
            <w:r w:rsidRPr="003E529B">
              <w:t>2</w:t>
            </w:r>
          </w:p>
        </w:tc>
        <w:tc>
          <w:tcPr>
            <w:tcW w:w="1350" w:type="dxa"/>
          </w:tcPr>
          <w:p w14:paraId="4C40AE72" w14:textId="77777777" w:rsidR="00B76E2E" w:rsidRPr="003E529B" w:rsidRDefault="00B76E2E" w:rsidP="00E865A9">
            <w:pPr>
              <w:jc w:val="center"/>
            </w:pPr>
            <w:r w:rsidRPr="003E529B">
              <w:t>200</w:t>
            </w:r>
          </w:p>
        </w:tc>
        <w:tc>
          <w:tcPr>
            <w:tcW w:w="2473" w:type="dxa"/>
          </w:tcPr>
          <w:p w14:paraId="68713416" w14:textId="77777777" w:rsidR="00B76E2E" w:rsidRPr="003E529B" w:rsidRDefault="00B76E2E" w:rsidP="00E865A9">
            <w:pPr>
              <w:jc w:val="center"/>
            </w:pPr>
            <w:r w:rsidRPr="003E529B">
              <w:t>22.3</w:t>
            </w:r>
          </w:p>
        </w:tc>
        <w:tc>
          <w:tcPr>
            <w:tcW w:w="2070" w:type="dxa"/>
          </w:tcPr>
          <w:p w14:paraId="59E826AD" w14:textId="77777777" w:rsidR="00B76E2E" w:rsidRPr="003E529B" w:rsidRDefault="00B76E2E" w:rsidP="00E865A9">
            <w:pPr>
              <w:jc w:val="center"/>
            </w:pPr>
            <w:r w:rsidRPr="003E529B">
              <w:t>27.8</w:t>
            </w:r>
          </w:p>
        </w:tc>
        <w:tc>
          <w:tcPr>
            <w:tcW w:w="2340" w:type="dxa"/>
          </w:tcPr>
          <w:p w14:paraId="3A20B043" w14:textId="77777777" w:rsidR="00B76E2E" w:rsidRPr="003E529B" w:rsidRDefault="00B76E2E" w:rsidP="00E865A9">
            <w:pPr>
              <w:jc w:val="center"/>
            </w:pPr>
            <w:r w:rsidRPr="003E529B">
              <w:t>23.0</w:t>
            </w:r>
          </w:p>
        </w:tc>
      </w:tr>
      <w:tr w:rsidR="00075F04" w:rsidRPr="003E529B" w14:paraId="094DAD97" w14:textId="77777777" w:rsidTr="00443141">
        <w:tc>
          <w:tcPr>
            <w:tcW w:w="407" w:type="dxa"/>
          </w:tcPr>
          <w:p w14:paraId="6BB772D3" w14:textId="77777777" w:rsidR="00B76E2E" w:rsidRPr="003E529B" w:rsidRDefault="00B76E2E" w:rsidP="00E865A9">
            <w:pPr>
              <w:jc w:val="center"/>
            </w:pPr>
            <w:r w:rsidRPr="003E529B">
              <w:t>3</w:t>
            </w:r>
          </w:p>
        </w:tc>
        <w:tc>
          <w:tcPr>
            <w:tcW w:w="1350" w:type="dxa"/>
          </w:tcPr>
          <w:p w14:paraId="77BCEDA7" w14:textId="77777777" w:rsidR="00B76E2E" w:rsidRPr="003E529B" w:rsidRDefault="00B76E2E" w:rsidP="00E865A9">
            <w:pPr>
              <w:jc w:val="center"/>
            </w:pPr>
            <w:r w:rsidRPr="003E529B">
              <w:t>500</w:t>
            </w:r>
          </w:p>
        </w:tc>
        <w:tc>
          <w:tcPr>
            <w:tcW w:w="2473" w:type="dxa"/>
          </w:tcPr>
          <w:p w14:paraId="25F61A2D" w14:textId="77777777" w:rsidR="00B76E2E" w:rsidRPr="003E529B" w:rsidRDefault="00B76E2E" w:rsidP="00E865A9">
            <w:pPr>
              <w:jc w:val="center"/>
            </w:pPr>
            <w:r w:rsidRPr="003E529B">
              <w:t>12.6</w:t>
            </w:r>
          </w:p>
        </w:tc>
        <w:tc>
          <w:tcPr>
            <w:tcW w:w="2070" w:type="dxa"/>
          </w:tcPr>
          <w:p w14:paraId="6D570996" w14:textId="77777777" w:rsidR="00B76E2E" w:rsidRPr="003E529B" w:rsidRDefault="00B76E2E" w:rsidP="00E865A9">
            <w:pPr>
              <w:jc w:val="center"/>
            </w:pPr>
            <w:r w:rsidRPr="003E529B">
              <w:t>16.9</w:t>
            </w:r>
          </w:p>
        </w:tc>
        <w:tc>
          <w:tcPr>
            <w:tcW w:w="2340" w:type="dxa"/>
          </w:tcPr>
          <w:p w14:paraId="3F17A625" w14:textId="77777777" w:rsidR="00B76E2E" w:rsidRPr="003E529B" w:rsidRDefault="00B76E2E" w:rsidP="00E865A9">
            <w:pPr>
              <w:jc w:val="center"/>
            </w:pPr>
            <w:r w:rsidRPr="003E529B">
              <w:t>13.1</w:t>
            </w:r>
          </w:p>
        </w:tc>
      </w:tr>
      <w:tr w:rsidR="00075F04" w:rsidRPr="003E529B" w14:paraId="3052FE8A" w14:textId="77777777" w:rsidTr="00443141">
        <w:tc>
          <w:tcPr>
            <w:tcW w:w="407" w:type="dxa"/>
          </w:tcPr>
          <w:p w14:paraId="04092CA9" w14:textId="77777777" w:rsidR="00B76E2E" w:rsidRPr="003E529B" w:rsidRDefault="00B76E2E" w:rsidP="00E865A9">
            <w:pPr>
              <w:jc w:val="center"/>
            </w:pPr>
            <w:r w:rsidRPr="003E529B">
              <w:t>4</w:t>
            </w:r>
          </w:p>
        </w:tc>
        <w:tc>
          <w:tcPr>
            <w:tcW w:w="1350" w:type="dxa"/>
          </w:tcPr>
          <w:p w14:paraId="6F0308B6" w14:textId="77777777" w:rsidR="00B76E2E" w:rsidRPr="003E529B" w:rsidRDefault="00B76E2E" w:rsidP="00E865A9">
            <w:pPr>
              <w:jc w:val="center"/>
            </w:pPr>
            <w:r w:rsidRPr="003E529B">
              <w:t>100</w:t>
            </w:r>
          </w:p>
        </w:tc>
        <w:tc>
          <w:tcPr>
            <w:tcW w:w="2473" w:type="dxa"/>
          </w:tcPr>
          <w:p w14:paraId="62722C98" w14:textId="77777777" w:rsidR="00B76E2E" w:rsidRPr="003E529B" w:rsidRDefault="00B76E2E" w:rsidP="00E865A9">
            <w:pPr>
              <w:jc w:val="center"/>
            </w:pPr>
            <w:r w:rsidRPr="003E529B">
              <w:t>7.4</w:t>
            </w:r>
          </w:p>
        </w:tc>
        <w:tc>
          <w:tcPr>
            <w:tcW w:w="2070" w:type="dxa"/>
          </w:tcPr>
          <w:p w14:paraId="5125B46F" w14:textId="77777777" w:rsidR="00B76E2E" w:rsidRPr="003E529B" w:rsidRDefault="00B76E2E" w:rsidP="00E865A9">
            <w:pPr>
              <w:jc w:val="center"/>
            </w:pPr>
            <w:r w:rsidRPr="003E529B">
              <w:t>10.2</w:t>
            </w:r>
          </w:p>
        </w:tc>
        <w:tc>
          <w:tcPr>
            <w:tcW w:w="2340" w:type="dxa"/>
          </w:tcPr>
          <w:p w14:paraId="2E87F1C6" w14:textId="77777777" w:rsidR="00B76E2E" w:rsidRPr="003E529B" w:rsidRDefault="00B76E2E" w:rsidP="00E865A9">
            <w:pPr>
              <w:jc w:val="center"/>
            </w:pPr>
            <w:r w:rsidRPr="003E529B">
              <w:t>7.8</w:t>
            </w:r>
          </w:p>
        </w:tc>
      </w:tr>
      <w:tr w:rsidR="00075F04" w:rsidRPr="003E529B" w14:paraId="52F293FB" w14:textId="77777777" w:rsidTr="00443141">
        <w:tc>
          <w:tcPr>
            <w:tcW w:w="407" w:type="dxa"/>
          </w:tcPr>
          <w:p w14:paraId="7AFBC427" w14:textId="77777777" w:rsidR="00B76E2E" w:rsidRPr="003E529B" w:rsidRDefault="00B76E2E" w:rsidP="00E865A9">
            <w:pPr>
              <w:jc w:val="center"/>
            </w:pPr>
            <w:r w:rsidRPr="003E529B">
              <w:t>5</w:t>
            </w:r>
          </w:p>
        </w:tc>
        <w:tc>
          <w:tcPr>
            <w:tcW w:w="1350" w:type="dxa"/>
          </w:tcPr>
          <w:p w14:paraId="27A10C13" w14:textId="77777777" w:rsidR="00B76E2E" w:rsidRPr="003E529B" w:rsidRDefault="00B76E2E" w:rsidP="00E865A9">
            <w:pPr>
              <w:jc w:val="center"/>
            </w:pPr>
            <w:r w:rsidRPr="003E529B">
              <w:t>3</w:t>
            </w:r>
            <w:r w:rsidR="00D514E4" w:rsidRPr="003E529B">
              <w:t>,</w:t>
            </w:r>
            <w:r w:rsidRPr="003E529B">
              <w:t>000</w:t>
            </w:r>
          </w:p>
        </w:tc>
        <w:tc>
          <w:tcPr>
            <w:tcW w:w="2473" w:type="dxa"/>
          </w:tcPr>
          <w:p w14:paraId="6858EAC6" w14:textId="77777777" w:rsidR="00B76E2E" w:rsidRPr="003E529B" w:rsidRDefault="00B76E2E" w:rsidP="00E865A9">
            <w:pPr>
              <w:jc w:val="center"/>
            </w:pPr>
            <w:r w:rsidRPr="003E529B">
              <w:t>2.8</w:t>
            </w:r>
          </w:p>
        </w:tc>
        <w:tc>
          <w:tcPr>
            <w:tcW w:w="2070" w:type="dxa"/>
          </w:tcPr>
          <w:p w14:paraId="36339EC6" w14:textId="77777777" w:rsidR="00B76E2E" w:rsidRPr="003E529B" w:rsidRDefault="00B76E2E" w:rsidP="00E865A9">
            <w:pPr>
              <w:jc w:val="center"/>
            </w:pPr>
            <w:r w:rsidRPr="003E529B">
              <w:t>4.5</w:t>
            </w:r>
          </w:p>
        </w:tc>
        <w:tc>
          <w:tcPr>
            <w:tcW w:w="2340" w:type="dxa"/>
          </w:tcPr>
          <w:p w14:paraId="755EDA88" w14:textId="77777777" w:rsidR="00B76E2E" w:rsidRPr="003E529B" w:rsidRDefault="00B76E2E" w:rsidP="00E865A9">
            <w:pPr>
              <w:jc w:val="center"/>
            </w:pPr>
            <w:r w:rsidRPr="003E529B">
              <w:t>3.0</w:t>
            </w:r>
          </w:p>
        </w:tc>
      </w:tr>
      <w:tr w:rsidR="00075F04" w:rsidRPr="003E529B" w14:paraId="44E60A41" w14:textId="77777777" w:rsidTr="00443141">
        <w:tc>
          <w:tcPr>
            <w:tcW w:w="407" w:type="dxa"/>
          </w:tcPr>
          <w:p w14:paraId="3F23F8B3" w14:textId="77777777" w:rsidR="00B76E2E" w:rsidRPr="003E529B" w:rsidRDefault="00B76E2E" w:rsidP="00E865A9">
            <w:pPr>
              <w:jc w:val="center"/>
            </w:pPr>
          </w:p>
        </w:tc>
        <w:tc>
          <w:tcPr>
            <w:tcW w:w="1350" w:type="dxa"/>
          </w:tcPr>
          <w:p w14:paraId="6208AFCF" w14:textId="77777777" w:rsidR="00B76E2E" w:rsidRPr="003E529B" w:rsidRDefault="00B76E2E" w:rsidP="00E865A9">
            <w:pPr>
              <w:jc w:val="center"/>
            </w:pPr>
            <w:r w:rsidRPr="003E529B">
              <w:t>RMSE</w:t>
            </w:r>
          </w:p>
        </w:tc>
        <w:tc>
          <w:tcPr>
            <w:tcW w:w="2473" w:type="dxa"/>
          </w:tcPr>
          <w:p w14:paraId="024D8EAA" w14:textId="77777777" w:rsidR="00B76E2E" w:rsidRPr="003E529B" w:rsidRDefault="00B76E2E" w:rsidP="00E865A9">
            <w:pPr>
              <w:jc w:val="center"/>
            </w:pPr>
          </w:p>
        </w:tc>
        <w:tc>
          <w:tcPr>
            <w:tcW w:w="2070" w:type="dxa"/>
          </w:tcPr>
          <w:p w14:paraId="7466C9E6" w14:textId="77777777" w:rsidR="00B76E2E" w:rsidRPr="003E529B" w:rsidRDefault="00B76E2E" w:rsidP="00E865A9">
            <w:pPr>
              <w:jc w:val="center"/>
            </w:pPr>
            <w:r w:rsidRPr="003E529B">
              <w:t>4.91</w:t>
            </w:r>
          </w:p>
        </w:tc>
        <w:tc>
          <w:tcPr>
            <w:tcW w:w="2340" w:type="dxa"/>
          </w:tcPr>
          <w:p w14:paraId="265C7AF7" w14:textId="77777777" w:rsidR="00B76E2E" w:rsidRPr="003E529B" w:rsidRDefault="00B76E2E" w:rsidP="00E865A9">
            <w:pPr>
              <w:jc w:val="center"/>
            </w:pPr>
            <w:r w:rsidRPr="003E529B">
              <w:t>0.82</w:t>
            </w:r>
          </w:p>
        </w:tc>
      </w:tr>
      <w:tr w:rsidR="00075F04" w:rsidRPr="003E529B" w14:paraId="0D708096" w14:textId="77777777" w:rsidTr="00443141">
        <w:tc>
          <w:tcPr>
            <w:tcW w:w="407" w:type="dxa"/>
          </w:tcPr>
          <w:p w14:paraId="4824461D" w14:textId="77777777" w:rsidR="00B76E2E" w:rsidRPr="003E529B" w:rsidRDefault="00B76E2E" w:rsidP="00E865A9">
            <w:pPr>
              <w:jc w:val="center"/>
            </w:pPr>
          </w:p>
        </w:tc>
        <w:tc>
          <w:tcPr>
            <w:tcW w:w="1350" w:type="dxa"/>
          </w:tcPr>
          <w:p w14:paraId="32A2B2F5" w14:textId="77777777" w:rsidR="00B76E2E" w:rsidRPr="003E529B" w:rsidRDefault="00B76E2E" w:rsidP="00E865A9">
            <w:pPr>
              <w:jc w:val="center"/>
            </w:pPr>
            <w:r w:rsidRPr="003E529B">
              <w:t>MAE</w:t>
            </w:r>
          </w:p>
        </w:tc>
        <w:tc>
          <w:tcPr>
            <w:tcW w:w="2473" w:type="dxa"/>
          </w:tcPr>
          <w:p w14:paraId="26B8347A" w14:textId="77777777" w:rsidR="00B76E2E" w:rsidRPr="003E529B" w:rsidRDefault="00B76E2E" w:rsidP="00E865A9">
            <w:pPr>
              <w:jc w:val="center"/>
            </w:pPr>
          </w:p>
        </w:tc>
        <w:tc>
          <w:tcPr>
            <w:tcW w:w="2070" w:type="dxa"/>
          </w:tcPr>
          <w:p w14:paraId="03C1ED23" w14:textId="77777777" w:rsidR="00B76E2E" w:rsidRPr="003E529B" w:rsidRDefault="00B76E2E" w:rsidP="00E865A9">
            <w:pPr>
              <w:jc w:val="center"/>
            </w:pPr>
            <w:r w:rsidRPr="003E529B">
              <w:t>3.70</w:t>
            </w:r>
          </w:p>
        </w:tc>
        <w:tc>
          <w:tcPr>
            <w:tcW w:w="2340" w:type="dxa"/>
          </w:tcPr>
          <w:p w14:paraId="41B30FC3" w14:textId="77777777" w:rsidR="00B76E2E" w:rsidRPr="003E529B" w:rsidRDefault="00B76E2E" w:rsidP="00E865A9">
            <w:pPr>
              <w:jc w:val="center"/>
            </w:pPr>
            <w:r w:rsidRPr="003E529B">
              <w:t>0.65</w:t>
            </w:r>
          </w:p>
        </w:tc>
      </w:tr>
      <w:tr w:rsidR="00075F04" w:rsidRPr="003E529B" w14:paraId="52534BAE" w14:textId="77777777" w:rsidTr="00443141">
        <w:tc>
          <w:tcPr>
            <w:tcW w:w="407" w:type="dxa"/>
            <w:tcBorders>
              <w:bottom w:val="nil"/>
            </w:tcBorders>
          </w:tcPr>
          <w:p w14:paraId="3001BEAE" w14:textId="77777777" w:rsidR="00B76E2E" w:rsidRPr="003E529B" w:rsidRDefault="00B76E2E" w:rsidP="00E865A9">
            <w:pPr>
              <w:jc w:val="center"/>
            </w:pPr>
          </w:p>
        </w:tc>
        <w:tc>
          <w:tcPr>
            <w:tcW w:w="1350" w:type="dxa"/>
            <w:tcBorders>
              <w:bottom w:val="nil"/>
            </w:tcBorders>
          </w:tcPr>
          <w:p w14:paraId="4DFCD7ED" w14:textId="77777777" w:rsidR="00B76E2E" w:rsidRPr="003E529B" w:rsidRDefault="00B76E2E" w:rsidP="00E865A9">
            <w:pPr>
              <w:jc w:val="center"/>
            </w:pPr>
            <w:r w:rsidRPr="003E529B">
              <w:t>R2</w:t>
            </w:r>
          </w:p>
        </w:tc>
        <w:tc>
          <w:tcPr>
            <w:tcW w:w="2473" w:type="dxa"/>
            <w:tcBorders>
              <w:bottom w:val="nil"/>
            </w:tcBorders>
          </w:tcPr>
          <w:p w14:paraId="77F47A35" w14:textId="77777777" w:rsidR="00B76E2E" w:rsidRPr="003E529B" w:rsidRDefault="00B76E2E" w:rsidP="00E865A9">
            <w:pPr>
              <w:jc w:val="center"/>
            </w:pPr>
          </w:p>
        </w:tc>
        <w:tc>
          <w:tcPr>
            <w:tcW w:w="2070" w:type="dxa"/>
            <w:tcBorders>
              <w:bottom w:val="nil"/>
            </w:tcBorders>
          </w:tcPr>
          <w:p w14:paraId="79013EA8" w14:textId="77777777" w:rsidR="00B76E2E" w:rsidRPr="003E529B" w:rsidRDefault="00B76E2E" w:rsidP="00E865A9">
            <w:pPr>
              <w:jc w:val="center"/>
            </w:pPr>
            <w:r w:rsidRPr="003E529B">
              <w:t>0.86</w:t>
            </w:r>
          </w:p>
        </w:tc>
        <w:tc>
          <w:tcPr>
            <w:tcW w:w="2340" w:type="dxa"/>
            <w:tcBorders>
              <w:bottom w:val="nil"/>
            </w:tcBorders>
          </w:tcPr>
          <w:p w14:paraId="3FCDB987" w14:textId="77777777" w:rsidR="00B76E2E" w:rsidRPr="003E529B" w:rsidRDefault="00B76E2E" w:rsidP="00E865A9">
            <w:pPr>
              <w:jc w:val="center"/>
            </w:pPr>
            <w:r w:rsidRPr="003E529B">
              <w:t>0.94</w:t>
            </w:r>
          </w:p>
        </w:tc>
      </w:tr>
      <w:tr w:rsidR="00075F04" w:rsidRPr="003E529B" w14:paraId="6658E305" w14:textId="77777777" w:rsidTr="00443141">
        <w:tc>
          <w:tcPr>
            <w:tcW w:w="407" w:type="dxa"/>
            <w:tcBorders>
              <w:top w:val="nil"/>
              <w:bottom w:val="single" w:sz="4" w:space="0" w:color="auto"/>
            </w:tcBorders>
          </w:tcPr>
          <w:p w14:paraId="608B31AB" w14:textId="77777777" w:rsidR="00B76E2E" w:rsidRPr="003E529B" w:rsidRDefault="00B76E2E" w:rsidP="00E865A9">
            <w:pPr>
              <w:jc w:val="center"/>
            </w:pPr>
          </w:p>
        </w:tc>
        <w:tc>
          <w:tcPr>
            <w:tcW w:w="1350" w:type="dxa"/>
            <w:tcBorders>
              <w:top w:val="nil"/>
              <w:bottom w:val="single" w:sz="4" w:space="0" w:color="auto"/>
            </w:tcBorders>
          </w:tcPr>
          <w:p w14:paraId="56FD56B2" w14:textId="77777777" w:rsidR="00B76E2E" w:rsidRPr="003E529B" w:rsidRDefault="00B76E2E" w:rsidP="00E865A9">
            <w:pPr>
              <w:jc w:val="center"/>
            </w:pPr>
            <w:r w:rsidRPr="003E529B">
              <w:t>Computation Time (min)</w:t>
            </w:r>
          </w:p>
        </w:tc>
        <w:tc>
          <w:tcPr>
            <w:tcW w:w="2473" w:type="dxa"/>
            <w:tcBorders>
              <w:top w:val="nil"/>
              <w:bottom w:val="single" w:sz="4" w:space="0" w:color="auto"/>
            </w:tcBorders>
          </w:tcPr>
          <w:p w14:paraId="4FF3C1E1" w14:textId="77777777" w:rsidR="00B76E2E" w:rsidRPr="003E529B" w:rsidRDefault="00B76E2E" w:rsidP="00E865A9">
            <w:pPr>
              <w:jc w:val="center"/>
            </w:pPr>
          </w:p>
        </w:tc>
        <w:tc>
          <w:tcPr>
            <w:tcW w:w="2070" w:type="dxa"/>
            <w:tcBorders>
              <w:top w:val="nil"/>
              <w:bottom w:val="single" w:sz="4" w:space="0" w:color="auto"/>
            </w:tcBorders>
          </w:tcPr>
          <w:p w14:paraId="5561BF0F" w14:textId="77777777" w:rsidR="00B76E2E" w:rsidRPr="003E529B" w:rsidRDefault="00B76E2E" w:rsidP="00E865A9">
            <w:pPr>
              <w:jc w:val="center"/>
            </w:pPr>
            <w:r w:rsidRPr="003E529B">
              <w:t>3.0</w:t>
            </w:r>
          </w:p>
        </w:tc>
        <w:tc>
          <w:tcPr>
            <w:tcW w:w="2340" w:type="dxa"/>
            <w:tcBorders>
              <w:top w:val="nil"/>
              <w:bottom w:val="single" w:sz="4" w:space="0" w:color="auto"/>
            </w:tcBorders>
          </w:tcPr>
          <w:p w14:paraId="21EB98FD" w14:textId="77777777" w:rsidR="00B76E2E" w:rsidRPr="003E529B" w:rsidRDefault="00B76E2E" w:rsidP="00E865A9">
            <w:pPr>
              <w:jc w:val="center"/>
            </w:pPr>
            <w:r w:rsidRPr="003E529B">
              <w:t>2.1</w:t>
            </w:r>
          </w:p>
        </w:tc>
      </w:tr>
    </w:tbl>
    <w:p w14:paraId="7B0A3119" w14:textId="77777777" w:rsidR="00B76E2E" w:rsidRPr="003E529B" w:rsidRDefault="00B76E2E" w:rsidP="00B76E2E">
      <w:pPr>
        <w:pBdr>
          <w:top w:val="nil"/>
          <w:left w:val="nil"/>
          <w:bottom w:val="nil"/>
          <w:right w:val="nil"/>
          <w:between w:val="nil"/>
        </w:pBdr>
        <w:ind w:firstLine="270"/>
        <w:jc w:val="both"/>
        <w:rPr>
          <w:color w:val="000000"/>
          <w:sz w:val="20"/>
        </w:rPr>
      </w:pPr>
    </w:p>
    <w:p w14:paraId="510A76B4"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The quantum-enhanced hybrid model reduced RMSE by 83% and MAE by 82% compared to CALPUFF, with an R2 of 0.94 indicating strong agreement with measurements. The model excelled in near-field predictions (50–200 m), capturing CO spikes during low wind conditions (1.5 m/s) where CALPUFF overestimated by 14–25% due to coarse particle tracking. Building-based vertical measurements confirmed accuracy within 0.4 µg m</w:t>
      </w:r>
      <w:r w:rsidRPr="003E529B">
        <w:rPr>
          <w:color w:val="000000"/>
          <w:sz w:val="20"/>
          <w:vertAlign w:val="superscript"/>
        </w:rPr>
        <w:t>−3</w:t>
      </w:r>
      <w:r w:rsidRPr="003E529B">
        <w:rPr>
          <w:color w:val="000000"/>
          <w:sz w:val="20"/>
        </w:rPr>
        <w:t xml:space="preserve"> up to 30 m, supporting applications in rural roadside exposure assessments. The 30% speedup in computation time, coupled with a 15% improvement in turbulence modeling, underscores the potential of quantum-inspired algorithms, despite current NISQ limitations [9, 18]. Sensitivity tests showed robust performance, with errors below 6% under varying turbulence conditions [</w:t>
      </w:r>
      <w:r w:rsidR="0013092F" w:rsidRPr="003E529B">
        <w:rPr>
          <w:color w:val="000000"/>
          <w:sz w:val="20"/>
        </w:rPr>
        <w:t>3</w:t>
      </w:r>
      <w:r w:rsidRPr="003E529B">
        <w:rPr>
          <w:color w:val="000000"/>
          <w:sz w:val="20"/>
        </w:rPr>
        <w:t>, 23]. The 30% speedup in computation time, coupled with a 15% improvement in turbulence modeling, underscores the potential of quantum-inspired algorithms, despite current NISQ limitations [9, 18]. Sensitivity tests showed robust performance, with errors below 6% under varying turbulence conditions [2</w:t>
      </w:r>
      <w:r w:rsidR="00266B99" w:rsidRPr="003E529B">
        <w:rPr>
          <w:color w:val="000000"/>
          <w:sz w:val="20"/>
        </w:rPr>
        <w:t>0</w:t>
      </w:r>
      <w:r w:rsidRPr="003E529B">
        <w:rPr>
          <w:color w:val="000000"/>
          <w:sz w:val="20"/>
        </w:rPr>
        <w:t>, 2</w:t>
      </w:r>
      <w:r w:rsidR="00266B99" w:rsidRPr="003E529B">
        <w:rPr>
          <w:color w:val="000000"/>
          <w:sz w:val="20"/>
        </w:rPr>
        <w:t>5</w:t>
      </w:r>
      <w:r w:rsidRPr="003E529B">
        <w:rPr>
          <w:color w:val="000000"/>
          <w:sz w:val="20"/>
        </w:rPr>
        <w:t>].</w:t>
      </w:r>
    </w:p>
    <w:p w14:paraId="1978C384" w14:textId="77777777" w:rsidR="00B76E2E" w:rsidRPr="003E529B" w:rsidRDefault="00B76E2E" w:rsidP="00B76E2E">
      <w:pPr>
        <w:pStyle w:val="1"/>
        <w:rPr>
          <w:b w:val="0"/>
          <w:sz w:val="20"/>
        </w:rPr>
      </w:pPr>
      <w:r w:rsidRPr="003E529B">
        <w:lastRenderedPageBreak/>
        <w:t>Limitations of Non-Drone-Based Measurements</w:t>
      </w:r>
    </w:p>
    <w:p w14:paraId="48F1568D"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 xml:space="preserve">The inability to use drones due to Ukraine’s civilian drone ban (State Aviation Service, 2022–2025) significantly impacts air quality research, introducing errors in both terrain mapping and vertical pollutant profiling. Drones, such as the DJI Phantom 4 RTK, enable high-resolution terrain mapping (e.g., 5 m resolution, ±0.5 m accuracy) in a single flight, covering complex topographies like the M03 highway’s 20–30 m elevation changes efficiently. Ground-based surveying with the Leica TS07, while accurate, is labor-intensive and limited by terrain accessibility, potentially missing microtopographic features critical for plume modeling [6]. For vertical profiling in PM2.5 and CO experiments (Sections 3.1, 4.1), building-based measurements from discrete heights (e.g., 10–30 m) using </w:t>
      </w:r>
      <w:proofErr w:type="spellStart"/>
      <w:r w:rsidRPr="003E529B">
        <w:rPr>
          <w:color w:val="000000"/>
          <w:sz w:val="20"/>
        </w:rPr>
        <w:t>AeroTrak</w:t>
      </w:r>
      <w:proofErr w:type="spellEnd"/>
      <w:r w:rsidRPr="003E529B">
        <w:rPr>
          <w:color w:val="000000"/>
          <w:sz w:val="20"/>
        </w:rPr>
        <w:t xml:space="preserve"> 9110 and </w:t>
      </w:r>
      <w:proofErr w:type="spellStart"/>
      <w:r w:rsidRPr="003E529B">
        <w:rPr>
          <w:color w:val="000000"/>
          <w:sz w:val="20"/>
        </w:rPr>
        <w:t>Extech</w:t>
      </w:r>
      <w:proofErr w:type="spellEnd"/>
      <w:r w:rsidRPr="003E529B">
        <w:rPr>
          <w:color w:val="000000"/>
          <w:sz w:val="20"/>
        </w:rPr>
        <w:t xml:space="preserve"> CO100 introduced uncertainties of ±0.1–0.2 µg m</w:t>
      </w:r>
      <w:r w:rsidRPr="003E529B">
        <w:rPr>
          <w:color w:val="000000"/>
          <w:sz w:val="20"/>
          <w:vertAlign w:val="superscript"/>
        </w:rPr>
        <w:t>−3</w:t>
      </w:r>
      <w:r w:rsidRPr="003E529B">
        <w:rPr>
          <w:color w:val="000000"/>
          <w:sz w:val="20"/>
        </w:rPr>
        <w:t>, as continuous profiles across a 5 km × 5 km domain are infeasible without drones. Studies estimate drone-based profiling reduces near-field prediction errors by 5–10% by capturing finescale pollutant gradients near highways [12]. In Kharkiv’s urban (E40) and rural (P02) settings, restricted drone access limits real-time data collection near sensitive areas like schools, increasing reliance on interpolation and potentially skewing exposure assessments. When restrictions are lifted, drone-based methods could enhance model accuracy, particularly for dynamic wind fields and chemical interactions, supporting precise urban planning and health risk mitigation [</w:t>
      </w:r>
      <w:r w:rsidR="0013092F" w:rsidRPr="003E529B">
        <w:rPr>
          <w:color w:val="000000"/>
          <w:sz w:val="20"/>
        </w:rPr>
        <w:t>2</w:t>
      </w:r>
      <w:r w:rsidRPr="003E529B">
        <w:rPr>
          <w:color w:val="000000"/>
          <w:sz w:val="20"/>
        </w:rPr>
        <w:t>]. These limitations are evident in the SF6 experiment (Section 2.1), where ground-based terrain mapping missed subtle elevation variations, potentially affecting plume deviation predictions near embankments. Similarly, PM2.5 and CO vertical profiles (Sections 3.1, 4.1) relied on interpolation from discrete building-based measurements, introducing errors up to 0.2 µg m</w:t>
      </w:r>
      <w:r w:rsidRPr="003E529B">
        <w:rPr>
          <w:color w:val="000000"/>
          <w:sz w:val="20"/>
          <w:vertAlign w:val="superscript"/>
        </w:rPr>
        <w:t>−3</w:t>
      </w:r>
      <w:r w:rsidRPr="003E529B">
        <w:rPr>
          <w:color w:val="000000"/>
          <w:sz w:val="20"/>
        </w:rPr>
        <w:t xml:space="preserve"> in near-field concentrations. These uncertainties could overestimate exposure risks near schools or residential areas by 5–8%, impacting health assessments for pollutants like PAHs. Drone-based methods would enable continuous sampling across wider domains, improving model inputs for dynamic wind fields and reducing reliance on coarse approximations, as seen in baseline models like AERMOD and CALPUFF [1</w:t>
      </w:r>
      <w:r w:rsidR="000B5898" w:rsidRPr="003E529B">
        <w:rPr>
          <w:color w:val="000000"/>
          <w:sz w:val="20"/>
        </w:rPr>
        <w:t>4</w:t>
      </w:r>
      <w:r w:rsidRPr="003E529B">
        <w:rPr>
          <w:color w:val="000000"/>
          <w:sz w:val="20"/>
        </w:rPr>
        <w:t>].</w:t>
      </w:r>
    </w:p>
    <w:p w14:paraId="6D923084" w14:textId="77777777" w:rsidR="00B76E2E" w:rsidRPr="003E529B" w:rsidRDefault="00B76E2E" w:rsidP="00B76E2E">
      <w:pPr>
        <w:pStyle w:val="1"/>
        <w:rPr>
          <w:b w:val="0"/>
          <w:sz w:val="20"/>
        </w:rPr>
      </w:pPr>
      <w:r w:rsidRPr="003E529B">
        <w:t>Conclusion</w:t>
      </w:r>
    </w:p>
    <w:p w14:paraId="1C5C3B3B" w14:textId="77777777" w:rsidR="00B76E2E" w:rsidRPr="003E529B" w:rsidRDefault="00B76E2E" w:rsidP="00B76E2E">
      <w:pPr>
        <w:pBdr>
          <w:top w:val="nil"/>
          <w:left w:val="nil"/>
          <w:bottom w:val="nil"/>
          <w:right w:val="nil"/>
          <w:between w:val="nil"/>
        </w:pBdr>
        <w:ind w:firstLine="270"/>
        <w:jc w:val="both"/>
        <w:rPr>
          <w:color w:val="000000"/>
          <w:sz w:val="20"/>
        </w:rPr>
      </w:pPr>
      <w:r w:rsidRPr="003E529B">
        <w:rPr>
          <w:color w:val="000000"/>
          <w:sz w:val="20"/>
        </w:rPr>
        <w:t>The improved and hybrid Gaussian-Lagrangian models offer promising advancements in pollution dispersion modeling, with experimental validations in Kharkiv demonstrating 10–25% error reductions over traditional methods in complex roadside environments. Field experiments with SF6, PM2.5, and CO, alongside ground and building-based measurements, confirm their superior near-field and long-range accuracy. Quantum inspired computing, emulated via Python libraries, enhances computational efficiency, with speedups of 20–30% in prototype tests for SF6, PM2.5, and CO dispersion. Despite limitations from the civilian drone ban, which necessitated manual measurements from buildings and ground-based surveying for terrain mapping, the models’ robustness was maintained through rigorous calibration and multiple measurement points. Future work should explore drone-based profiling and terrain mapping when restrictions are lifted to further reduce errors, alongside expanding field validations across diverse ecosystems and developing quantum-classical pipelines, positioning these models as next-generation tools for sustainable road</w:t>
      </w:r>
      <w:r w:rsidR="00C764CD" w:rsidRPr="003E529B">
        <w:rPr>
          <w:color w:val="000000"/>
          <w:sz w:val="20"/>
        </w:rPr>
        <w:t>side management</w:t>
      </w:r>
      <w:r w:rsidRPr="003E529B">
        <w:rPr>
          <w:color w:val="000000"/>
          <w:sz w:val="20"/>
        </w:rPr>
        <w:t>.</w:t>
      </w:r>
    </w:p>
    <w:p w14:paraId="195902E7" w14:textId="77777777" w:rsidR="00BF2123" w:rsidRPr="003E529B" w:rsidRDefault="00BF2123" w:rsidP="00BF2123">
      <w:pPr>
        <w:pStyle w:val="1"/>
        <w:rPr>
          <w:b w:val="0"/>
          <w:sz w:val="20"/>
        </w:rPr>
      </w:pPr>
      <w:r w:rsidRPr="003E529B">
        <w:t>Acknowledgments</w:t>
      </w:r>
    </w:p>
    <w:p w14:paraId="06D121CD" w14:textId="77777777" w:rsidR="00BF2123" w:rsidRPr="003E529B" w:rsidRDefault="003B4896" w:rsidP="00BF2123">
      <w:pPr>
        <w:pBdr>
          <w:top w:val="nil"/>
          <w:left w:val="nil"/>
          <w:bottom w:val="nil"/>
          <w:right w:val="nil"/>
          <w:between w:val="nil"/>
        </w:pBdr>
        <w:ind w:firstLine="270"/>
        <w:jc w:val="both"/>
        <w:rPr>
          <w:color w:val="000000"/>
          <w:sz w:val="20"/>
        </w:rPr>
      </w:pPr>
      <w:r w:rsidRPr="003E529B">
        <w:rPr>
          <w:color w:val="000000"/>
          <w:sz w:val="20"/>
        </w:rPr>
        <w:t>The authors would like to express their gratitude to Kharkiv National Automobile and Highway University and the organizing committee of the Modern Automotive Industry, Transport and Road Infrastructure (MAITRI) conference for their invaluable support and resources provided throughout this research. Special thanks are extended to the local authorities and highway management teams for granting permission to conduct the field experiments on the M03, E40, and P02 sites, enabling on-site measurements and validatio</w:t>
      </w:r>
      <w:r w:rsidR="00831530" w:rsidRPr="003E529B">
        <w:rPr>
          <w:color w:val="000000"/>
          <w:sz w:val="20"/>
        </w:rPr>
        <w:t>ns under real-world conditions.</w:t>
      </w:r>
    </w:p>
    <w:p w14:paraId="200A6CB2" w14:textId="77777777" w:rsidR="00AD597E" w:rsidRPr="003E529B" w:rsidRDefault="00AD597E" w:rsidP="00AD597E">
      <w:pPr>
        <w:pStyle w:val="1"/>
        <w:rPr>
          <w:b w:val="0"/>
          <w:sz w:val="20"/>
        </w:rPr>
      </w:pPr>
      <w:r w:rsidRPr="003E529B">
        <w:t>Conflict of interests</w:t>
      </w:r>
    </w:p>
    <w:p w14:paraId="4AF8BD7C" w14:textId="77777777" w:rsidR="00AD597E" w:rsidRPr="003E529B" w:rsidRDefault="00717DFC" w:rsidP="00AD597E">
      <w:pPr>
        <w:pBdr>
          <w:top w:val="nil"/>
          <w:left w:val="nil"/>
          <w:bottom w:val="nil"/>
          <w:right w:val="nil"/>
          <w:between w:val="nil"/>
        </w:pBdr>
        <w:ind w:firstLine="270"/>
        <w:jc w:val="both"/>
        <w:rPr>
          <w:color w:val="000000"/>
          <w:sz w:val="20"/>
        </w:rPr>
      </w:pPr>
      <w:r w:rsidRPr="003E529B">
        <w:rPr>
          <w:color w:val="000000"/>
          <w:sz w:val="20"/>
        </w:rPr>
        <w:t>The authors declare that there is no conflict of interests regarding the publication of this paper. However, for enhanced accuracy in measurements and computations, drone-based methods for vertical profiling and terrain mapping would be essential, as they could reduce errors by 5–10% in near-field predictions. Due to the ongoing wartime restrictions in Ukraine (State Aviation Service ban on civilian drones, 2022–2025), such technologies cannot be deployed, as drones are perceived as potential strike assets</w:t>
      </w:r>
      <w:r w:rsidR="00AD597E" w:rsidRPr="003E529B">
        <w:rPr>
          <w:color w:val="000000"/>
          <w:sz w:val="20"/>
        </w:rPr>
        <w:t>.</w:t>
      </w:r>
    </w:p>
    <w:p w14:paraId="438A0933" w14:textId="77777777" w:rsidR="00B76E2E" w:rsidRPr="003E529B" w:rsidRDefault="00B76E2E" w:rsidP="00B76E2E">
      <w:pPr>
        <w:pStyle w:val="1"/>
        <w:rPr>
          <w:b w:val="0"/>
          <w:sz w:val="20"/>
        </w:rPr>
      </w:pPr>
      <w:r w:rsidRPr="003E529B">
        <w:lastRenderedPageBreak/>
        <w:t>REFERENCES</w:t>
      </w:r>
    </w:p>
    <w:p w14:paraId="218FCA7D"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 L. Zhang and D. A. Jaffe, “Trends and sources of ozone and sub-micron aerosols at the Mt. Bachelor Observatory (MBO) during 2004–2015,” </w:t>
      </w:r>
      <w:r w:rsidRPr="003E529B">
        <w:rPr>
          <w:rStyle w:val="ad"/>
          <w:sz w:val="20"/>
          <w:szCs w:val="20"/>
          <w:lang w:val="en-US"/>
        </w:rPr>
        <w:t>Atmos. Environ.</w:t>
      </w:r>
      <w:r w:rsidRPr="003E529B">
        <w:rPr>
          <w:sz w:val="20"/>
          <w:szCs w:val="20"/>
          <w:lang w:val="en-US"/>
        </w:rPr>
        <w:t xml:space="preserve"> </w:t>
      </w:r>
      <w:r w:rsidRPr="003E529B">
        <w:rPr>
          <w:rStyle w:val="ac"/>
          <w:rFonts w:eastAsiaTheme="majorEastAsia"/>
          <w:sz w:val="20"/>
          <w:szCs w:val="20"/>
          <w:lang w:val="en-US"/>
        </w:rPr>
        <w:t>165</w:t>
      </w:r>
      <w:r w:rsidRPr="003E529B">
        <w:rPr>
          <w:sz w:val="20"/>
          <w:szCs w:val="20"/>
          <w:lang w:val="en-US"/>
        </w:rPr>
        <w:t xml:space="preserve">, 143–154 (2017); </w:t>
      </w:r>
      <w:hyperlink r:id="rId7" w:tgtFrame="_new" w:history="1">
        <w:r w:rsidRPr="003E529B">
          <w:rPr>
            <w:rStyle w:val="a9"/>
            <w:rFonts w:eastAsiaTheme="majorEastAsia"/>
            <w:sz w:val="20"/>
            <w:szCs w:val="20"/>
            <w:lang w:val="en-US"/>
          </w:rPr>
          <w:t>https://doi.org/10.1016/j.atmosenv.2017.06.042</w:t>
        </w:r>
      </w:hyperlink>
      <w:r w:rsidRPr="003E529B">
        <w:rPr>
          <w:sz w:val="20"/>
          <w:szCs w:val="20"/>
          <w:lang w:val="en-US"/>
        </w:rPr>
        <w:t>.</w:t>
      </w:r>
    </w:p>
    <w:p w14:paraId="2457D289"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 A. M. Graham, R. J. Pope, M. P. Chipperfield, S. S. </w:t>
      </w:r>
      <w:proofErr w:type="spellStart"/>
      <w:r w:rsidRPr="003E529B">
        <w:rPr>
          <w:sz w:val="20"/>
          <w:szCs w:val="20"/>
          <w:lang w:val="en-US"/>
        </w:rPr>
        <w:t>Dhomse</w:t>
      </w:r>
      <w:proofErr w:type="spellEnd"/>
      <w:r w:rsidRPr="003E529B">
        <w:rPr>
          <w:sz w:val="20"/>
          <w:szCs w:val="20"/>
          <w:lang w:val="en-US"/>
        </w:rPr>
        <w:t xml:space="preserve">, M. Pimlott, W. Feng, V. Singh, Y. Chen, O. Wild, R. </w:t>
      </w:r>
      <w:proofErr w:type="spellStart"/>
      <w:r w:rsidRPr="003E529B">
        <w:rPr>
          <w:sz w:val="20"/>
          <w:szCs w:val="20"/>
          <w:lang w:val="en-US"/>
        </w:rPr>
        <w:t>Sokhi</w:t>
      </w:r>
      <w:proofErr w:type="spellEnd"/>
      <w:r w:rsidRPr="003E529B">
        <w:rPr>
          <w:sz w:val="20"/>
          <w:szCs w:val="20"/>
          <w:lang w:val="en-US"/>
        </w:rPr>
        <w:t xml:space="preserve">, and G. </w:t>
      </w:r>
      <w:proofErr w:type="spellStart"/>
      <w:r w:rsidRPr="003E529B">
        <w:rPr>
          <w:sz w:val="20"/>
          <w:szCs w:val="20"/>
          <w:lang w:val="en-US"/>
        </w:rPr>
        <w:t>Beig</w:t>
      </w:r>
      <w:proofErr w:type="spellEnd"/>
      <w:r w:rsidRPr="003E529B">
        <w:rPr>
          <w:sz w:val="20"/>
          <w:szCs w:val="20"/>
          <w:lang w:val="en-US"/>
        </w:rPr>
        <w:t xml:space="preserve">, “Quantifying effects of long-range transport of NO₂ over Delhi using back trajectories and satellite data,” </w:t>
      </w:r>
      <w:r w:rsidRPr="003E529B">
        <w:rPr>
          <w:rStyle w:val="ad"/>
          <w:sz w:val="20"/>
          <w:szCs w:val="20"/>
          <w:lang w:val="en-US"/>
        </w:rPr>
        <w:t>Atmos. Chem. Phys.</w:t>
      </w:r>
      <w:r w:rsidRPr="003E529B">
        <w:rPr>
          <w:sz w:val="20"/>
          <w:szCs w:val="20"/>
          <w:lang w:val="en-US"/>
        </w:rPr>
        <w:t xml:space="preserve"> </w:t>
      </w:r>
      <w:r w:rsidRPr="003E529B">
        <w:rPr>
          <w:rStyle w:val="ac"/>
          <w:rFonts w:eastAsiaTheme="majorEastAsia"/>
          <w:sz w:val="20"/>
          <w:szCs w:val="20"/>
          <w:lang w:val="en-US"/>
        </w:rPr>
        <w:t>24</w:t>
      </w:r>
      <w:r w:rsidRPr="003E529B">
        <w:rPr>
          <w:sz w:val="20"/>
          <w:szCs w:val="20"/>
          <w:lang w:val="en-US"/>
        </w:rPr>
        <w:t xml:space="preserve">, 789–806 (2024); </w:t>
      </w:r>
      <w:hyperlink r:id="rId8" w:tgtFrame="_new" w:history="1">
        <w:r w:rsidRPr="003E529B">
          <w:rPr>
            <w:rStyle w:val="a9"/>
            <w:rFonts w:eastAsiaTheme="majorEastAsia"/>
            <w:sz w:val="20"/>
            <w:szCs w:val="20"/>
            <w:lang w:val="en-US"/>
          </w:rPr>
          <w:t>https://doi.org/10.5194/acp-24-789-2024</w:t>
        </w:r>
      </w:hyperlink>
      <w:r w:rsidRPr="003E529B">
        <w:rPr>
          <w:sz w:val="20"/>
          <w:szCs w:val="20"/>
          <w:lang w:val="en-US"/>
        </w:rPr>
        <w:t>.</w:t>
      </w:r>
    </w:p>
    <w:p w14:paraId="5834A34A"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[3] M. </w:t>
      </w:r>
      <w:proofErr w:type="spellStart"/>
      <w:r w:rsidRPr="003E529B">
        <w:rPr>
          <w:sz w:val="20"/>
          <w:szCs w:val="20"/>
          <w:lang w:val="en-US"/>
        </w:rPr>
        <w:t>Pantusheva</w:t>
      </w:r>
      <w:proofErr w:type="spellEnd"/>
      <w:r w:rsidRPr="003E529B">
        <w:rPr>
          <w:sz w:val="20"/>
          <w:szCs w:val="20"/>
          <w:lang w:val="en-US"/>
        </w:rPr>
        <w:t xml:space="preserve">, R. </w:t>
      </w:r>
      <w:proofErr w:type="spellStart"/>
      <w:r w:rsidRPr="003E529B">
        <w:rPr>
          <w:sz w:val="20"/>
          <w:szCs w:val="20"/>
          <w:lang w:val="en-US"/>
        </w:rPr>
        <w:t>Mitkov</w:t>
      </w:r>
      <w:proofErr w:type="spellEnd"/>
      <w:r w:rsidRPr="003E529B">
        <w:rPr>
          <w:sz w:val="20"/>
          <w:szCs w:val="20"/>
          <w:lang w:val="en-US"/>
        </w:rPr>
        <w:t xml:space="preserve">, P. O. Hristov, and D. </w:t>
      </w:r>
      <w:proofErr w:type="spellStart"/>
      <w:r w:rsidRPr="003E529B">
        <w:rPr>
          <w:sz w:val="20"/>
          <w:szCs w:val="20"/>
          <w:lang w:val="en-US"/>
        </w:rPr>
        <w:t>Petrova-Antonova</w:t>
      </w:r>
      <w:proofErr w:type="spellEnd"/>
      <w:r w:rsidRPr="003E529B">
        <w:rPr>
          <w:sz w:val="20"/>
          <w:szCs w:val="20"/>
          <w:lang w:val="en-US"/>
        </w:rPr>
        <w:t xml:space="preserve">, “Air pollution dispersion modelling in urban environment using CFD: A systematic review,”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13</w:t>
      </w:r>
      <w:r w:rsidRPr="003E529B">
        <w:rPr>
          <w:sz w:val="20"/>
          <w:szCs w:val="20"/>
          <w:lang w:val="en-US"/>
        </w:rPr>
        <w:t xml:space="preserve">, 1640 (2022); </w:t>
      </w:r>
      <w:hyperlink r:id="rId9" w:tgtFrame="_new" w:history="1">
        <w:r w:rsidRPr="003E529B">
          <w:rPr>
            <w:rStyle w:val="a9"/>
            <w:rFonts w:eastAsiaTheme="majorEastAsia"/>
            <w:sz w:val="20"/>
            <w:szCs w:val="20"/>
            <w:lang w:val="en-US"/>
          </w:rPr>
          <w:t>https://doi.org/10.3390/atmos13101640</w:t>
        </w:r>
      </w:hyperlink>
      <w:r w:rsidRPr="003E529B">
        <w:rPr>
          <w:sz w:val="20"/>
          <w:szCs w:val="20"/>
          <w:lang w:val="en-US"/>
        </w:rPr>
        <w:t>.</w:t>
      </w:r>
    </w:p>
    <w:p w14:paraId="76693FB2"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[4] N. V. Manoj, H. S. Gorantla, S. </w:t>
      </w:r>
      <w:proofErr w:type="spellStart"/>
      <w:r w:rsidRPr="003E529B">
        <w:rPr>
          <w:sz w:val="20"/>
          <w:szCs w:val="20"/>
          <w:lang w:val="en-US"/>
        </w:rPr>
        <w:t>Karnamko</w:t>
      </w:r>
      <w:proofErr w:type="spellEnd"/>
      <w:r w:rsidRPr="003E529B">
        <w:rPr>
          <w:sz w:val="20"/>
          <w:szCs w:val="20"/>
          <w:lang w:val="en-US"/>
        </w:rPr>
        <w:t xml:space="preserve">, S. Arumugam, S. Mandal, and K. C. Mondal, “Stability and bonding of carbon(0)-iron-N₂ complexes relevant to nitrogenase co-factor: EDA-NOCV analyses,” </w:t>
      </w:r>
      <w:r w:rsidRPr="003E529B">
        <w:rPr>
          <w:rStyle w:val="ad"/>
          <w:sz w:val="20"/>
          <w:szCs w:val="20"/>
          <w:lang w:val="en-US"/>
        </w:rPr>
        <w:t xml:space="preserve">J. </w:t>
      </w:r>
      <w:proofErr w:type="spellStart"/>
      <w:r w:rsidRPr="003E529B">
        <w:rPr>
          <w:rStyle w:val="ad"/>
          <w:sz w:val="20"/>
          <w:szCs w:val="20"/>
          <w:lang w:val="en-US"/>
        </w:rPr>
        <w:t>Comput</w:t>
      </w:r>
      <w:proofErr w:type="spellEnd"/>
      <w:r w:rsidRPr="003E529B">
        <w:rPr>
          <w:rStyle w:val="ad"/>
          <w:sz w:val="20"/>
          <w:szCs w:val="20"/>
          <w:lang w:val="en-US"/>
        </w:rPr>
        <w:t>. Chem.</w:t>
      </w:r>
      <w:r w:rsidRPr="003E529B">
        <w:rPr>
          <w:sz w:val="20"/>
          <w:szCs w:val="20"/>
          <w:lang w:val="en-US"/>
        </w:rPr>
        <w:t xml:space="preserve"> </w:t>
      </w:r>
      <w:r w:rsidRPr="003E529B">
        <w:rPr>
          <w:rStyle w:val="ac"/>
          <w:rFonts w:eastAsiaTheme="majorEastAsia"/>
          <w:sz w:val="20"/>
          <w:szCs w:val="20"/>
          <w:lang w:val="en-US"/>
        </w:rPr>
        <w:t>44</w:t>
      </w:r>
      <w:r w:rsidRPr="003E529B">
        <w:rPr>
          <w:sz w:val="20"/>
          <w:szCs w:val="20"/>
          <w:lang w:val="en-US"/>
        </w:rPr>
        <w:t xml:space="preserve">, 43–60 (2022); </w:t>
      </w:r>
      <w:hyperlink r:id="rId10" w:tgtFrame="_new" w:history="1">
        <w:r w:rsidRPr="003E529B">
          <w:rPr>
            <w:rStyle w:val="a9"/>
            <w:rFonts w:eastAsiaTheme="majorEastAsia"/>
            <w:sz w:val="20"/>
            <w:szCs w:val="20"/>
            <w:lang w:val="en-US"/>
          </w:rPr>
          <w:t>https://doi.org/10.1002/jcc.27012</w:t>
        </w:r>
      </w:hyperlink>
      <w:r w:rsidRPr="003E529B">
        <w:rPr>
          <w:sz w:val="20"/>
          <w:szCs w:val="20"/>
          <w:lang w:val="en-US"/>
        </w:rPr>
        <w:t>.</w:t>
      </w:r>
    </w:p>
    <w:p w14:paraId="3EBD8C7F"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[5] G. Di Bartolomeo, M. </w:t>
      </w:r>
      <w:proofErr w:type="spellStart"/>
      <w:r w:rsidRPr="003E529B">
        <w:rPr>
          <w:sz w:val="20"/>
          <w:szCs w:val="20"/>
          <w:lang w:val="en-US"/>
        </w:rPr>
        <w:t>Vischi</w:t>
      </w:r>
      <w:proofErr w:type="spellEnd"/>
      <w:r w:rsidRPr="003E529B">
        <w:rPr>
          <w:sz w:val="20"/>
          <w:szCs w:val="20"/>
          <w:lang w:val="en-US"/>
        </w:rPr>
        <w:t xml:space="preserve">, T. </w:t>
      </w:r>
      <w:proofErr w:type="spellStart"/>
      <w:r w:rsidRPr="003E529B">
        <w:rPr>
          <w:sz w:val="20"/>
          <w:szCs w:val="20"/>
          <w:lang w:val="en-US"/>
        </w:rPr>
        <w:t>Feri</w:t>
      </w:r>
      <w:proofErr w:type="spellEnd"/>
      <w:r w:rsidRPr="003E529B">
        <w:rPr>
          <w:sz w:val="20"/>
          <w:szCs w:val="20"/>
          <w:lang w:val="en-US"/>
        </w:rPr>
        <w:t xml:space="preserve">, A. </w:t>
      </w:r>
      <w:proofErr w:type="spellStart"/>
      <w:r w:rsidRPr="003E529B">
        <w:rPr>
          <w:sz w:val="20"/>
          <w:szCs w:val="20"/>
          <w:lang w:val="en-US"/>
        </w:rPr>
        <w:t>Bassi</w:t>
      </w:r>
      <w:proofErr w:type="spellEnd"/>
      <w:r w:rsidRPr="003E529B">
        <w:rPr>
          <w:sz w:val="20"/>
          <w:szCs w:val="20"/>
          <w:lang w:val="en-US"/>
        </w:rPr>
        <w:t xml:space="preserve">, and S. </w:t>
      </w:r>
      <w:proofErr w:type="spellStart"/>
      <w:r w:rsidRPr="003E529B">
        <w:rPr>
          <w:sz w:val="20"/>
          <w:szCs w:val="20"/>
          <w:lang w:val="en-US"/>
        </w:rPr>
        <w:t>Donadi</w:t>
      </w:r>
      <w:proofErr w:type="spellEnd"/>
      <w:r w:rsidRPr="003E529B">
        <w:rPr>
          <w:sz w:val="20"/>
          <w:szCs w:val="20"/>
          <w:lang w:val="en-US"/>
        </w:rPr>
        <w:t xml:space="preserve">, “Efficient quantum algorithm to simulate open systems through a single environmental qubit,” </w:t>
      </w:r>
      <w:r w:rsidRPr="003E529B">
        <w:rPr>
          <w:rStyle w:val="ad"/>
          <w:sz w:val="20"/>
          <w:szCs w:val="20"/>
          <w:lang w:val="en-US"/>
        </w:rPr>
        <w:t>Phys. Rev. Res.</w:t>
      </w:r>
      <w:r w:rsidRPr="003E529B">
        <w:rPr>
          <w:sz w:val="20"/>
          <w:szCs w:val="20"/>
          <w:lang w:val="en-US"/>
        </w:rPr>
        <w:t xml:space="preserve"> </w:t>
      </w:r>
      <w:r w:rsidRPr="003E529B">
        <w:rPr>
          <w:rStyle w:val="ac"/>
          <w:rFonts w:eastAsiaTheme="majorEastAsia"/>
          <w:sz w:val="20"/>
          <w:szCs w:val="20"/>
          <w:lang w:val="en-US"/>
        </w:rPr>
        <w:t>6</w:t>
      </w:r>
      <w:r w:rsidRPr="003E529B">
        <w:rPr>
          <w:sz w:val="20"/>
          <w:szCs w:val="20"/>
          <w:lang w:val="en-US"/>
        </w:rPr>
        <w:t xml:space="preserve">, 043321 (2024); </w:t>
      </w:r>
      <w:hyperlink r:id="rId11" w:tgtFrame="_new" w:history="1">
        <w:r w:rsidRPr="003E529B">
          <w:rPr>
            <w:rStyle w:val="a9"/>
            <w:rFonts w:eastAsiaTheme="majorEastAsia"/>
            <w:sz w:val="20"/>
            <w:szCs w:val="20"/>
            <w:lang w:val="en-US"/>
          </w:rPr>
          <w:t>https://doi.org/10.1103/PhysRevResearch.6.043321</w:t>
        </w:r>
      </w:hyperlink>
      <w:r w:rsidRPr="003E529B">
        <w:rPr>
          <w:sz w:val="20"/>
          <w:szCs w:val="20"/>
          <w:lang w:val="en-US"/>
        </w:rPr>
        <w:t>.</w:t>
      </w:r>
    </w:p>
    <w:p w14:paraId="08C3AF4B"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[6] M. I. Ahmed, K. Shook, A. </w:t>
      </w:r>
      <w:proofErr w:type="spellStart"/>
      <w:r w:rsidRPr="003E529B">
        <w:rPr>
          <w:sz w:val="20"/>
          <w:szCs w:val="20"/>
          <w:lang w:val="en-US"/>
        </w:rPr>
        <w:t>Pietroniro</w:t>
      </w:r>
      <w:proofErr w:type="spellEnd"/>
      <w:r w:rsidRPr="003E529B">
        <w:rPr>
          <w:sz w:val="20"/>
          <w:szCs w:val="20"/>
          <w:lang w:val="en-US"/>
        </w:rPr>
        <w:t xml:space="preserve">, T. </w:t>
      </w:r>
      <w:proofErr w:type="spellStart"/>
      <w:r w:rsidRPr="003E529B">
        <w:rPr>
          <w:sz w:val="20"/>
          <w:szCs w:val="20"/>
          <w:lang w:val="en-US"/>
        </w:rPr>
        <w:t>Stadnyk</w:t>
      </w:r>
      <w:proofErr w:type="spellEnd"/>
      <w:r w:rsidRPr="003E529B">
        <w:rPr>
          <w:sz w:val="20"/>
          <w:szCs w:val="20"/>
          <w:lang w:val="en-US"/>
        </w:rPr>
        <w:t xml:space="preserve">, J. W. Pomeroy, C. Pers, and D. Gustafsson, “Implementing a parsimonious variable contributing area algorithm for the prairie pothole region in the HYPE modelling framework,” </w:t>
      </w:r>
      <w:r w:rsidRPr="003E529B">
        <w:rPr>
          <w:rStyle w:val="ad"/>
          <w:sz w:val="20"/>
          <w:szCs w:val="20"/>
          <w:lang w:val="en-US"/>
        </w:rPr>
        <w:t xml:space="preserve">Environ. Model. </w:t>
      </w:r>
      <w:proofErr w:type="spellStart"/>
      <w:r w:rsidRPr="003E529B">
        <w:rPr>
          <w:rStyle w:val="ad"/>
          <w:sz w:val="20"/>
          <w:szCs w:val="20"/>
          <w:lang w:val="en-US"/>
        </w:rPr>
        <w:t>Softw</w:t>
      </w:r>
      <w:proofErr w:type="spellEnd"/>
      <w:r w:rsidRPr="003E529B">
        <w:rPr>
          <w:rStyle w:val="ad"/>
          <w:sz w:val="20"/>
          <w:szCs w:val="20"/>
          <w:lang w:val="en-US"/>
        </w:rPr>
        <w:t>.</w:t>
      </w:r>
      <w:r w:rsidRPr="003E529B">
        <w:rPr>
          <w:sz w:val="20"/>
          <w:szCs w:val="20"/>
          <w:lang w:val="en-US"/>
        </w:rPr>
        <w:t xml:space="preserve"> </w:t>
      </w:r>
      <w:r w:rsidRPr="003E529B">
        <w:rPr>
          <w:rStyle w:val="ac"/>
          <w:rFonts w:eastAsiaTheme="majorEastAsia"/>
          <w:sz w:val="20"/>
          <w:szCs w:val="20"/>
          <w:lang w:val="en-US"/>
        </w:rPr>
        <w:t>167</w:t>
      </w:r>
      <w:r w:rsidRPr="003E529B">
        <w:rPr>
          <w:sz w:val="20"/>
          <w:szCs w:val="20"/>
          <w:lang w:val="en-US"/>
        </w:rPr>
        <w:t xml:space="preserve">, 105769 (2023); </w:t>
      </w:r>
      <w:hyperlink r:id="rId12" w:tgtFrame="_new" w:history="1">
        <w:r w:rsidRPr="003E529B">
          <w:rPr>
            <w:rStyle w:val="a9"/>
            <w:rFonts w:eastAsiaTheme="majorEastAsia"/>
            <w:sz w:val="20"/>
            <w:szCs w:val="20"/>
            <w:lang w:val="en-US"/>
          </w:rPr>
          <w:t>https://doi.org/10.1016/j.envsoft.2023.105769</w:t>
        </w:r>
      </w:hyperlink>
      <w:r w:rsidRPr="003E529B">
        <w:rPr>
          <w:sz w:val="20"/>
          <w:szCs w:val="20"/>
          <w:lang w:val="en-US"/>
        </w:rPr>
        <w:t>.</w:t>
      </w:r>
    </w:p>
    <w:p w14:paraId="56288AD7"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[7] A. Diana, S. </w:t>
      </w:r>
      <w:proofErr w:type="spellStart"/>
      <w:r w:rsidRPr="003E529B">
        <w:rPr>
          <w:sz w:val="20"/>
          <w:szCs w:val="20"/>
          <w:lang w:val="en-US"/>
        </w:rPr>
        <w:t>Bertinetti</w:t>
      </w:r>
      <w:proofErr w:type="spellEnd"/>
      <w:r w:rsidRPr="003E529B">
        <w:rPr>
          <w:sz w:val="20"/>
          <w:szCs w:val="20"/>
          <w:lang w:val="en-US"/>
        </w:rPr>
        <w:t xml:space="preserve">, O. </w:t>
      </w:r>
      <w:proofErr w:type="spellStart"/>
      <w:r w:rsidRPr="003E529B">
        <w:rPr>
          <w:sz w:val="20"/>
          <w:szCs w:val="20"/>
          <w:lang w:val="en-US"/>
        </w:rPr>
        <w:t>Abollino</w:t>
      </w:r>
      <w:proofErr w:type="spellEnd"/>
      <w:r w:rsidRPr="003E529B">
        <w:rPr>
          <w:sz w:val="20"/>
          <w:szCs w:val="20"/>
          <w:lang w:val="en-US"/>
        </w:rPr>
        <w:t xml:space="preserve">, A. </w:t>
      </w:r>
      <w:proofErr w:type="spellStart"/>
      <w:r w:rsidRPr="003E529B">
        <w:rPr>
          <w:sz w:val="20"/>
          <w:szCs w:val="20"/>
          <w:lang w:val="en-US"/>
        </w:rPr>
        <w:t>Giacomino</w:t>
      </w:r>
      <w:proofErr w:type="spellEnd"/>
      <w:r w:rsidRPr="003E529B">
        <w:rPr>
          <w:sz w:val="20"/>
          <w:szCs w:val="20"/>
          <w:lang w:val="en-US"/>
        </w:rPr>
        <w:t xml:space="preserve">, S. </w:t>
      </w:r>
      <w:proofErr w:type="spellStart"/>
      <w:r w:rsidRPr="003E529B">
        <w:rPr>
          <w:sz w:val="20"/>
          <w:szCs w:val="20"/>
          <w:lang w:val="en-US"/>
        </w:rPr>
        <w:t>Buoso</w:t>
      </w:r>
      <w:proofErr w:type="spellEnd"/>
      <w:r w:rsidRPr="003E529B">
        <w:rPr>
          <w:sz w:val="20"/>
          <w:szCs w:val="20"/>
          <w:lang w:val="en-US"/>
        </w:rPr>
        <w:t xml:space="preserve">, L. </w:t>
      </w:r>
      <w:proofErr w:type="spellStart"/>
      <w:r w:rsidRPr="003E529B">
        <w:rPr>
          <w:sz w:val="20"/>
          <w:szCs w:val="20"/>
          <w:lang w:val="en-US"/>
        </w:rPr>
        <w:t>Favilli</w:t>
      </w:r>
      <w:proofErr w:type="spellEnd"/>
      <w:r w:rsidRPr="003E529B">
        <w:rPr>
          <w:sz w:val="20"/>
          <w:szCs w:val="20"/>
          <w:lang w:val="en-US"/>
        </w:rPr>
        <w:t xml:space="preserve">, P. </w:t>
      </w:r>
      <w:proofErr w:type="spellStart"/>
      <w:r w:rsidRPr="003E529B">
        <w:rPr>
          <w:sz w:val="20"/>
          <w:szCs w:val="20"/>
          <w:lang w:val="en-US"/>
        </w:rPr>
        <w:t>Inaudi</w:t>
      </w:r>
      <w:proofErr w:type="spellEnd"/>
      <w:r w:rsidRPr="003E529B">
        <w:rPr>
          <w:sz w:val="20"/>
          <w:szCs w:val="20"/>
          <w:lang w:val="en-US"/>
        </w:rPr>
        <w:t xml:space="preserve">, and M. </w:t>
      </w:r>
      <w:proofErr w:type="spellStart"/>
      <w:r w:rsidRPr="003E529B">
        <w:rPr>
          <w:sz w:val="20"/>
          <w:szCs w:val="20"/>
          <w:lang w:val="en-US"/>
        </w:rPr>
        <w:t>Malandrino</w:t>
      </w:r>
      <w:proofErr w:type="spellEnd"/>
      <w:r w:rsidRPr="003E529B">
        <w:rPr>
          <w:sz w:val="20"/>
          <w:szCs w:val="20"/>
          <w:lang w:val="en-US"/>
        </w:rPr>
        <w:t xml:space="preserve">, “PM₁₀ element distribution and environmental-sanitary risk analysis in two Italian industrial cities,”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14</w:t>
      </w:r>
      <w:r w:rsidRPr="003E529B">
        <w:rPr>
          <w:sz w:val="20"/>
          <w:szCs w:val="20"/>
          <w:lang w:val="en-US"/>
        </w:rPr>
        <w:t xml:space="preserve">, 48 (2023); </w:t>
      </w:r>
      <w:hyperlink r:id="rId13" w:tgtFrame="_new" w:history="1">
        <w:r w:rsidRPr="003E529B">
          <w:rPr>
            <w:rStyle w:val="a9"/>
            <w:rFonts w:eastAsiaTheme="majorEastAsia"/>
            <w:sz w:val="20"/>
            <w:szCs w:val="20"/>
            <w:lang w:val="en-US"/>
          </w:rPr>
          <w:t>https://doi.org/10.3390/atmos14010048</w:t>
        </w:r>
      </w:hyperlink>
      <w:r w:rsidRPr="003E529B">
        <w:rPr>
          <w:sz w:val="20"/>
          <w:szCs w:val="20"/>
          <w:lang w:val="en-US"/>
        </w:rPr>
        <w:t>.</w:t>
      </w:r>
    </w:p>
    <w:p w14:paraId="6C633597"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[8] X. Xi, H. Xiang, Z.-C. Ma, H.-Q. Ma, and P.-C. Liao, “Formation processes of nitrogen-containing organic compounds from heterogeneous reactions of C₃H₆/NO₂/O₃ with α-</w:t>
      </w:r>
      <w:proofErr w:type="spellStart"/>
      <w:r w:rsidRPr="003E529B">
        <w:rPr>
          <w:sz w:val="20"/>
          <w:szCs w:val="20"/>
          <w:lang w:val="en-US"/>
        </w:rPr>
        <w:t>Fe₂O</w:t>
      </w:r>
      <w:proofErr w:type="spellEnd"/>
      <w:r w:rsidRPr="003E529B">
        <w:rPr>
          <w:sz w:val="20"/>
          <w:szCs w:val="20"/>
          <w:lang w:val="en-US"/>
        </w:rPr>
        <w:t xml:space="preserve">₃ particles,” </w:t>
      </w:r>
      <w:r w:rsidRPr="003E529B">
        <w:rPr>
          <w:rStyle w:val="ad"/>
          <w:sz w:val="20"/>
          <w:szCs w:val="20"/>
          <w:lang w:val="en-US"/>
        </w:rPr>
        <w:t>Atmos. Environ.</w:t>
      </w:r>
      <w:r w:rsidRPr="003E529B">
        <w:rPr>
          <w:sz w:val="20"/>
          <w:szCs w:val="20"/>
          <w:lang w:val="en-US"/>
        </w:rPr>
        <w:t xml:space="preserve"> </w:t>
      </w:r>
      <w:r w:rsidRPr="003E529B">
        <w:rPr>
          <w:rStyle w:val="ac"/>
          <w:rFonts w:eastAsiaTheme="majorEastAsia"/>
          <w:sz w:val="20"/>
          <w:szCs w:val="20"/>
          <w:lang w:val="en-US"/>
        </w:rPr>
        <w:t>295</w:t>
      </w:r>
      <w:r w:rsidRPr="003E529B">
        <w:rPr>
          <w:sz w:val="20"/>
          <w:szCs w:val="20"/>
          <w:lang w:val="en-US"/>
        </w:rPr>
        <w:t xml:space="preserve">, 119567 (2022); </w:t>
      </w:r>
      <w:hyperlink r:id="rId14" w:tgtFrame="_new" w:history="1">
        <w:r w:rsidRPr="003E529B">
          <w:rPr>
            <w:rStyle w:val="a9"/>
            <w:rFonts w:eastAsiaTheme="majorEastAsia"/>
            <w:sz w:val="20"/>
            <w:szCs w:val="20"/>
            <w:lang w:val="en-US"/>
          </w:rPr>
          <w:t>https://doi.org/10.1016/j.atmosenv.2022.119567</w:t>
        </w:r>
      </w:hyperlink>
      <w:r w:rsidRPr="003E529B">
        <w:rPr>
          <w:sz w:val="20"/>
          <w:szCs w:val="20"/>
          <w:lang w:val="en-US"/>
        </w:rPr>
        <w:t>.</w:t>
      </w:r>
    </w:p>
    <w:p w14:paraId="350BD9BE"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[9] A. Micallef and C. Micallef, “The Gaussian plume model equation for atmospheric dispersion corrected for multiple reflections at parallel boundaries: A mathematical rewriting of the model and some numerical testing,” </w:t>
      </w:r>
      <w:r w:rsidRPr="003E529B">
        <w:rPr>
          <w:rStyle w:val="ad"/>
          <w:sz w:val="20"/>
          <w:szCs w:val="20"/>
          <w:lang w:val="en-US"/>
        </w:rPr>
        <w:t>Sci.</w:t>
      </w:r>
      <w:r w:rsidRPr="003E529B">
        <w:rPr>
          <w:sz w:val="20"/>
          <w:szCs w:val="20"/>
          <w:lang w:val="en-US"/>
        </w:rPr>
        <w:t xml:space="preserve"> </w:t>
      </w:r>
      <w:r w:rsidRPr="003E529B">
        <w:rPr>
          <w:rStyle w:val="ac"/>
          <w:rFonts w:eastAsiaTheme="majorEastAsia"/>
          <w:sz w:val="20"/>
          <w:szCs w:val="20"/>
          <w:lang w:val="en-US"/>
        </w:rPr>
        <w:t>6</w:t>
      </w:r>
      <w:r w:rsidRPr="003E529B">
        <w:rPr>
          <w:sz w:val="20"/>
          <w:szCs w:val="20"/>
          <w:lang w:val="en-US"/>
        </w:rPr>
        <w:t xml:space="preserve">, 48 (2024); </w:t>
      </w:r>
      <w:hyperlink r:id="rId15" w:tgtFrame="_new" w:history="1">
        <w:r w:rsidRPr="003E529B">
          <w:rPr>
            <w:rStyle w:val="a9"/>
            <w:rFonts w:eastAsiaTheme="majorEastAsia"/>
            <w:sz w:val="20"/>
            <w:szCs w:val="20"/>
            <w:lang w:val="en-US"/>
          </w:rPr>
          <w:t>https://doi.org/10.3390/sci6030048</w:t>
        </w:r>
      </w:hyperlink>
      <w:r w:rsidRPr="003E529B">
        <w:rPr>
          <w:sz w:val="20"/>
          <w:szCs w:val="20"/>
          <w:lang w:val="en-US"/>
        </w:rPr>
        <w:t>.</w:t>
      </w:r>
    </w:p>
    <w:p w14:paraId="22AD197A"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[10] M. M. </w:t>
      </w:r>
      <w:proofErr w:type="spellStart"/>
      <w:r w:rsidRPr="003E529B">
        <w:rPr>
          <w:sz w:val="20"/>
          <w:szCs w:val="20"/>
          <w:lang w:val="en-US"/>
        </w:rPr>
        <w:t>Cernat</w:t>
      </w:r>
      <w:proofErr w:type="spellEnd"/>
      <w:r w:rsidRPr="003E529B">
        <w:rPr>
          <w:sz w:val="20"/>
          <w:szCs w:val="20"/>
          <w:lang w:val="en-US"/>
        </w:rPr>
        <w:t xml:space="preserve"> </w:t>
      </w:r>
      <w:proofErr w:type="spellStart"/>
      <w:r w:rsidRPr="003E529B">
        <w:rPr>
          <w:sz w:val="20"/>
          <w:szCs w:val="20"/>
          <w:lang w:val="en-US"/>
        </w:rPr>
        <w:t>Popa</w:t>
      </w:r>
      <w:proofErr w:type="spellEnd"/>
      <w:r w:rsidRPr="003E529B">
        <w:rPr>
          <w:sz w:val="20"/>
          <w:szCs w:val="20"/>
          <w:lang w:val="en-US"/>
        </w:rPr>
        <w:t xml:space="preserve"> and C. O. </w:t>
      </w:r>
      <w:proofErr w:type="spellStart"/>
      <w:r w:rsidRPr="003E529B">
        <w:rPr>
          <w:sz w:val="20"/>
          <w:szCs w:val="20"/>
          <w:lang w:val="en-US"/>
        </w:rPr>
        <w:t>Rusănescu</w:t>
      </w:r>
      <w:proofErr w:type="spellEnd"/>
      <w:r w:rsidRPr="003E529B">
        <w:rPr>
          <w:sz w:val="20"/>
          <w:szCs w:val="20"/>
          <w:lang w:val="en-US"/>
        </w:rPr>
        <w:t xml:space="preserve">, “The efficiency of lichens in air biomonitoring in </w:t>
      </w:r>
      <w:proofErr w:type="spellStart"/>
      <w:r w:rsidRPr="003E529B">
        <w:rPr>
          <w:sz w:val="20"/>
          <w:szCs w:val="20"/>
          <w:lang w:val="en-US"/>
        </w:rPr>
        <w:t>Teleorman</w:t>
      </w:r>
      <w:proofErr w:type="spellEnd"/>
      <w:r w:rsidRPr="003E529B">
        <w:rPr>
          <w:sz w:val="20"/>
          <w:szCs w:val="20"/>
          <w:lang w:val="en-US"/>
        </w:rPr>
        <w:t xml:space="preserve"> County,”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14</w:t>
      </w:r>
      <w:r w:rsidRPr="003E529B">
        <w:rPr>
          <w:sz w:val="20"/>
          <w:szCs w:val="20"/>
          <w:lang w:val="en-US"/>
        </w:rPr>
        <w:t xml:space="preserve">, 1287 (2023); </w:t>
      </w:r>
      <w:hyperlink r:id="rId16" w:tgtFrame="_new" w:history="1">
        <w:r w:rsidRPr="003E529B">
          <w:rPr>
            <w:rStyle w:val="a9"/>
            <w:rFonts w:eastAsiaTheme="majorEastAsia"/>
            <w:sz w:val="20"/>
            <w:szCs w:val="20"/>
            <w:lang w:val="en-US"/>
          </w:rPr>
          <w:t>https://doi.org/10.3390/atmos14081287</w:t>
        </w:r>
      </w:hyperlink>
      <w:r w:rsidRPr="003E529B">
        <w:rPr>
          <w:sz w:val="20"/>
          <w:szCs w:val="20"/>
          <w:lang w:val="en-US"/>
        </w:rPr>
        <w:t>.</w:t>
      </w:r>
    </w:p>
    <w:p w14:paraId="65B733C9"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[11] H. H. S. Chan, R. Meister, T. Jones, S. C. Benjamin, and D. P. Tew, “Grid-based methods for chemistry simulations on a quantum computer,” </w:t>
      </w:r>
      <w:r w:rsidRPr="003E529B">
        <w:rPr>
          <w:rStyle w:val="ad"/>
          <w:sz w:val="20"/>
          <w:szCs w:val="20"/>
          <w:lang w:val="en-US"/>
        </w:rPr>
        <w:t>Sci. Adv.</w:t>
      </w:r>
      <w:r w:rsidRPr="003E529B">
        <w:rPr>
          <w:sz w:val="20"/>
          <w:szCs w:val="20"/>
          <w:lang w:val="en-US"/>
        </w:rPr>
        <w:t xml:space="preserve"> </w:t>
      </w:r>
      <w:r w:rsidRPr="003E529B">
        <w:rPr>
          <w:rStyle w:val="ac"/>
          <w:rFonts w:eastAsiaTheme="majorEastAsia"/>
          <w:sz w:val="20"/>
          <w:szCs w:val="20"/>
          <w:lang w:val="en-US"/>
        </w:rPr>
        <w:t>9</w:t>
      </w:r>
      <w:r w:rsidRPr="003E529B">
        <w:rPr>
          <w:sz w:val="20"/>
          <w:szCs w:val="20"/>
          <w:lang w:val="en-US"/>
        </w:rPr>
        <w:t xml:space="preserve">, eabo7484 (2023); </w:t>
      </w:r>
      <w:hyperlink r:id="rId17" w:tgtFrame="_new" w:history="1">
        <w:r w:rsidRPr="003E529B">
          <w:rPr>
            <w:rStyle w:val="a9"/>
            <w:rFonts w:eastAsiaTheme="majorEastAsia"/>
            <w:sz w:val="20"/>
            <w:szCs w:val="20"/>
            <w:lang w:val="en-US"/>
          </w:rPr>
          <w:t>https://doi.org/10.1126/sciadv.abo7484</w:t>
        </w:r>
      </w:hyperlink>
      <w:r w:rsidRPr="003E529B">
        <w:rPr>
          <w:sz w:val="20"/>
          <w:szCs w:val="20"/>
          <w:lang w:val="en-US"/>
        </w:rPr>
        <w:t>.</w:t>
      </w:r>
    </w:p>
    <w:p w14:paraId="404A9763"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[12] H. Liao, X. Wang, and C. Wen, “Original energy dissipation preserving corrections of integrating factor </w:t>
      </w:r>
      <w:proofErr w:type="spellStart"/>
      <w:r w:rsidRPr="003E529B">
        <w:rPr>
          <w:sz w:val="20"/>
          <w:szCs w:val="20"/>
          <w:lang w:val="en-US"/>
        </w:rPr>
        <w:t>Runge</w:t>
      </w:r>
      <w:proofErr w:type="spellEnd"/>
      <w:r w:rsidRPr="003E529B">
        <w:rPr>
          <w:sz w:val="20"/>
          <w:szCs w:val="20"/>
          <w:lang w:val="en-US"/>
        </w:rPr>
        <w:t>–</w:t>
      </w:r>
      <w:proofErr w:type="spellStart"/>
      <w:r w:rsidRPr="003E529B">
        <w:rPr>
          <w:sz w:val="20"/>
          <w:szCs w:val="20"/>
          <w:lang w:val="en-US"/>
        </w:rPr>
        <w:t>Kutta</w:t>
      </w:r>
      <w:proofErr w:type="spellEnd"/>
      <w:r w:rsidRPr="003E529B">
        <w:rPr>
          <w:sz w:val="20"/>
          <w:szCs w:val="20"/>
          <w:lang w:val="en-US"/>
        </w:rPr>
        <w:t xml:space="preserve"> methods for gradient flow problems,” </w:t>
      </w:r>
      <w:r w:rsidRPr="003E529B">
        <w:rPr>
          <w:rStyle w:val="ad"/>
          <w:sz w:val="20"/>
          <w:szCs w:val="20"/>
          <w:lang w:val="en-US"/>
        </w:rPr>
        <w:t xml:space="preserve">J. </w:t>
      </w:r>
      <w:proofErr w:type="spellStart"/>
      <w:r w:rsidRPr="003E529B">
        <w:rPr>
          <w:rStyle w:val="ad"/>
          <w:sz w:val="20"/>
          <w:szCs w:val="20"/>
          <w:lang w:val="en-US"/>
        </w:rPr>
        <w:t>Comput</w:t>
      </w:r>
      <w:proofErr w:type="spellEnd"/>
      <w:r w:rsidRPr="003E529B">
        <w:rPr>
          <w:rStyle w:val="ad"/>
          <w:sz w:val="20"/>
          <w:szCs w:val="20"/>
          <w:lang w:val="en-US"/>
        </w:rPr>
        <w:t>. Phys.</w:t>
      </w:r>
      <w:r w:rsidRPr="003E529B">
        <w:rPr>
          <w:sz w:val="20"/>
          <w:szCs w:val="20"/>
          <w:lang w:val="en-US"/>
        </w:rPr>
        <w:t xml:space="preserve"> </w:t>
      </w:r>
      <w:r w:rsidRPr="003E529B">
        <w:rPr>
          <w:rStyle w:val="ac"/>
          <w:rFonts w:eastAsiaTheme="majorEastAsia"/>
          <w:sz w:val="20"/>
          <w:szCs w:val="20"/>
          <w:lang w:val="en-US"/>
        </w:rPr>
        <w:t>519</w:t>
      </w:r>
      <w:r w:rsidRPr="003E529B">
        <w:rPr>
          <w:sz w:val="20"/>
          <w:szCs w:val="20"/>
          <w:lang w:val="en-US"/>
        </w:rPr>
        <w:t xml:space="preserve">, 113456 (2024); </w:t>
      </w:r>
      <w:hyperlink r:id="rId18" w:tgtFrame="_new" w:history="1">
        <w:r w:rsidRPr="003E529B">
          <w:rPr>
            <w:rStyle w:val="a9"/>
            <w:rFonts w:eastAsiaTheme="majorEastAsia"/>
            <w:sz w:val="20"/>
            <w:szCs w:val="20"/>
            <w:lang w:val="en-US"/>
          </w:rPr>
          <w:t>https://doi.org/10.1016/j.jcp.2024.113456</w:t>
        </w:r>
      </w:hyperlink>
      <w:r w:rsidRPr="003E529B">
        <w:rPr>
          <w:sz w:val="20"/>
          <w:szCs w:val="20"/>
          <w:lang w:val="en-US"/>
        </w:rPr>
        <w:t>.</w:t>
      </w:r>
    </w:p>
    <w:p w14:paraId="089E83FD"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[13] S. Wang, S. V. Kumar, D. M. </w:t>
      </w:r>
      <w:proofErr w:type="spellStart"/>
      <w:r w:rsidRPr="003E529B">
        <w:rPr>
          <w:sz w:val="20"/>
          <w:szCs w:val="20"/>
          <w:lang w:val="en-US"/>
        </w:rPr>
        <w:t>Mocko</w:t>
      </w:r>
      <w:proofErr w:type="spellEnd"/>
      <w:r w:rsidRPr="003E529B">
        <w:rPr>
          <w:sz w:val="20"/>
          <w:szCs w:val="20"/>
          <w:lang w:val="en-US"/>
        </w:rPr>
        <w:t>, K. R. Arsenault, J. V. Geiger, and C. D. Peters-</w:t>
      </w:r>
      <w:proofErr w:type="spellStart"/>
      <w:r w:rsidRPr="003E529B">
        <w:rPr>
          <w:sz w:val="20"/>
          <w:szCs w:val="20"/>
          <w:lang w:val="en-US"/>
        </w:rPr>
        <w:t>Lidard</w:t>
      </w:r>
      <w:proofErr w:type="spellEnd"/>
      <w:r w:rsidRPr="003E529B">
        <w:rPr>
          <w:sz w:val="20"/>
          <w:szCs w:val="20"/>
          <w:lang w:val="en-US"/>
        </w:rPr>
        <w:t xml:space="preserve">, “Automated model integration at source code level: An approach to implementing models into the NASA Land Information System,” </w:t>
      </w:r>
      <w:r w:rsidRPr="003E529B">
        <w:rPr>
          <w:rStyle w:val="ad"/>
          <w:sz w:val="20"/>
          <w:szCs w:val="20"/>
          <w:lang w:val="en-US"/>
        </w:rPr>
        <w:t xml:space="preserve">Environ. Model. </w:t>
      </w:r>
      <w:proofErr w:type="spellStart"/>
      <w:r w:rsidRPr="003E529B">
        <w:rPr>
          <w:rStyle w:val="ad"/>
          <w:sz w:val="20"/>
          <w:szCs w:val="20"/>
          <w:lang w:val="en-US"/>
        </w:rPr>
        <w:t>Softw</w:t>
      </w:r>
      <w:proofErr w:type="spellEnd"/>
      <w:r w:rsidRPr="003E529B">
        <w:rPr>
          <w:rStyle w:val="ad"/>
          <w:sz w:val="20"/>
          <w:szCs w:val="20"/>
          <w:lang w:val="en-US"/>
        </w:rPr>
        <w:t>.</w:t>
      </w:r>
      <w:r w:rsidRPr="003E529B">
        <w:rPr>
          <w:sz w:val="20"/>
          <w:szCs w:val="20"/>
          <w:lang w:val="en-US"/>
        </w:rPr>
        <w:t xml:space="preserve"> </w:t>
      </w:r>
      <w:r w:rsidRPr="003E529B">
        <w:rPr>
          <w:rStyle w:val="ac"/>
          <w:rFonts w:eastAsiaTheme="majorEastAsia"/>
          <w:sz w:val="20"/>
          <w:szCs w:val="20"/>
          <w:lang w:val="en-US"/>
        </w:rPr>
        <w:t>159</w:t>
      </w:r>
      <w:r w:rsidRPr="003E529B">
        <w:rPr>
          <w:sz w:val="20"/>
          <w:szCs w:val="20"/>
          <w:lang w:val="en-US"/>
        </w:rPr>
        <w:t xml:space="preserve">, 105539 (2023); </w:t>
      </w:r>
      <w:hyperlink r:id="rId19" w:tgtFrame="_new" w:history="1">
        <w:r w:rsidRPr="003E529B">
          <w:rPr>
            <w:rStyle w:val="a9"/>
            <w:rFonts w:eastAsiaTheme="majorEastAsia"/>
            <w:sz w:val="20"/>
            <w:szCs w:val="20"/>
            <w:lang w:val="en-US"/>
          </w:rPr>
          <w:t>https://doi.org/10.1016/j.envsoft.2022.105539</w:t>
        </w:r>
      </w:hyperlink>
      <w:r w:rsidRPr="003E529B">
        <w:rPr>
          <w:sz w:val="20"/>
          <w:szCs w:val="20"/>
          <w:lang w:val="en-US"/>
        </w:rPr>
        <w:t>.</w:t>
      </w:r>
    </w:p>
    <w:p w14:paraId="443A3E47"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[14] H. E. </w:t>
      </w:r>
      <w:proofErr w:type="spellStart"/>
      <w:r w:rsidRPr="003E529B">
        <w:rPr>
          <w:sz w:val="20"/>
          <w:szCs w:val="20"/>
          <w:lang w:val="en-US"/>
        </w:rPr>
        <w:t>Aljofi</w:t>
      </w:r>
      <w:proofErr w:type="spellEnd"/>
      <w:r w:rsidRPr="003E529B">
        <w:rPr>
          <w:sz w:val="20"/>
          <w:szCs w:val="20"/>
          <w:lang w:val="en-US"/>
        </w:rPr>
        <w:t xml:space="preserve">, T. J. </w:t>
      </w:r>
      <w:proofErr w:type="spellStart"/>
      <w:r w:rsidRPr="003E529B">
        <w:rPr>
          <w:sz w:val="20"/>
          <w:szCs w:val="20"/>
          <w:lang w:val="en-US"/>
        </w:rPr>
        <w:t>Bannan</w:t>
      </w:r>
      <w:proofErr w:type="spellEnd"/>
      <w:r w:rsidRPr="003E529B">
        <w:rPr>
          <w:sz w:val="20"/>
          <w:szCs w:val="20"/>
          <w:lang w:val="en-US"/>
        </w:rPr>
        <w:t xml:space="preserve">, M. Flynn, J. Evans, D. Topping, E. Matthews, S. Diez, P. Edwards, H. Coe, D. R. </w:t>
      </w:r>
      <w:proofErr w:type="spellStart"/>
      <w:r w:rsidRPr="003E529B">
        <w:rPr>
          <w:sz w:val="20"/>
          <w:szCs w:val="20"/>
          <w:lang w:val="en-US"/>
        </w:rPr>
        <w:t>Brison</w:t>
      </w:r>
      <w:proofErr w:type="spellEnd"/>
      <w:r w:rsidRPr="003E529B">
        <w:rPr>
          <w:sz w:val="20"/>
          <w:szCs w:val="20"/>
          <w:lang w:val="en-US"/>
        </w:rPr>
        <w:t xml:space="preserve">, M. van </w:t>
      </w:r>
      <w:proofErr w:type="spellStart"/>
      <w:r w:rsidRPr="003E529B">
        <w:rPr>
          <w:sz w:val="20"/>
          <w:szCs w:val="20"/>
          <w:lang w:val="en-US"/>
        </w:rPr>
        <w:t>Tongeren</w:t>
      </w:r>
      <w:proofErr w:type="spellEnd"/>
      <w:r w:rsidRPr="003E529B">
        <w:rPr>
          <w:sz w:val="20"/>
          <w:szCs w:val="20"/>
          <w:lang w:val="en-US"/>
        </w:rPr>
        <w:t xml:space="preserve">, E. D. Johnstone, and A. Povey, “Study of the suitability of a personal exposure monitor to assess air quality,”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15</w:t>
      </w:r>
      <w:r w:rsidRPr="003E529B">
        <w:rPr>
          <w:sz w:val="20"/>
          <w:szCs w:val="20"/>
          <w:lang w:val="en-US"/>
        </w:rPr>
        <w:t xml:space="preserve">, 315 (2024); </w:t>
      </w:r>
      <w:hyperlink r:id="rId20" w:tgtFrame="_new" w:history="1">
        <w:r w:rsidRPr="003E529B">
          <w:rPr>
            <w:rStyle w:val="a9"/>
            <w:rFonts w:eastAsiaTheme="majorEastAsia"/>
            <w:sz w:val="20"/>
            <w:szCs w:val="20"/>
            <w:lang w:val="en-US"/>
          </w:rPr>
          <w:t>https://doi.org/10.3390/atmos15030315</w:t>
        </w:r>
      </w:hyperlink>
      <w:r w:rsidRPr="003E529B">
        <w:rPr>
          <w:sz w:val="20"/>
          <w:szCs w:val="20"/>
          <w:lang w:val="en-US"/>
        </w:rPr>
        <w:t>.</w:t>
      </w:r>
    </w:p>
    <w:p w14:paraId="0973FA92"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[15] A. Crawford, “The use of Gaussian mixture models with atmospheric Lagrangian particle dispersion models for density estimation and feature identification,”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11</w:t>
      </w:r>
      <w:r w:rsidRPr="003E529B">
        <w:rPr>
          <w:sz w:val="20"/>
          <w:szCs w:val="20"/>
          <w:lang w:val="en-US"/>
        </w:rPr>
        <w:t xml:space="preserve">, 1369 (2020); </w:t>
      </w:r>
      <w:hyperlink r:id="rId21" w:tgtFrame="_new" w:history="1">
        <w:r w:rsidRPr="003E529B">
          <w:rPr>
            <w:rStyle w:val="a9"/>
            <w:rFonts w:eastAsiaTheme="majorEastAsia"/>
            <w:sz w:val="20"/>
            <w:szCs w:val="20"/>
            <w:lang w:val="en-US"/>
          </w:rPr>
          <w:t>https://doi.org/10.3390/atmos11121369</w:t>
        </w:r>
      </w:hyperlink>
      <w:r w:rsidRPr="003E529B">
        <w:rPr>
          <w:sz w:val="20"/>
          <w:szCs w:val="20"/>
          <w:lang w:val="en-US"/>
        </w:rPr>
        <w:t>.</w:t>
      </w:r>
    </w:p>
    <w:p w14:paraId="41605F2C"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[16] M. </w:t>
      </w:r>
      <w:proofErr w:type="spellStart"/>
      <w:r w:rsidRPr="003E529B">
        <w:rPr>
          <w:sz w:val="20"/>
          <w:szCs w:val="20"/>
          <w:lang w:val="en-US"/>
        </w:rPr>
        <w:t>Aghito</w:t>
      </w:r>
      <w:proofErr w:type="spellEnd"/>
      <w:r w:rsidRPr="003E529B">
        <w:rPr>
          <w:sz w:val="20"/>
          <w:szCs w:val="20"/>
          <w:lang w:val="en-US"/>
        </w:rPr>
        <w:t xml:space="preserve">, L. </w:t>
      </w:r>
      <w:proofErr w:type="spellStart"/>
      <w:r w:rsidRPr="003E529B">
        <w:rPr>
          <w:sz w:val="20"/>
          <w:szCs w:val="20"/>
          <w:lang w:val="en-US"/>
        </w:rPr>
        <w:t>Calgaro</w:t>
      </w:r>
      <w:proofErr w:type="spellEnd"/>
      <w:r w:rsidRPr="003E529B">
        <w:rPr>
          <w:sz w:val="20"/>
          <w:szCs w:val="20"/>
          <w:lang w:val="en-US"/>
        </w:rPr>
        <w:t xml:space="preserve">, C. </w:t>
      </w:r>
      <w:proofErr w:type="spellStart"/>
      <w:r w:rsidRPr="003E529B">
        <w:rPr>
          <w:sz w:val="20"/>
          <w:szCs w:val="20"/>
          <w:lang w:val="en-US"/>
        </w:rPr>
        <w:t>Ferrarin</w:t>
      </w:r>
      <w:proofErr w:type="spellEnd"/>
      <w:r w:rsidRPr="003E529B">
        <w:rPr>
          <w:sz w:val="20"/>
          <w:szCs w:val="20"/>
          <w:lang w:val="en-US"/>
        </w:rPr>
        <w:t xml:space="preserve">, H. </w:t>
      </w:r>
      <w:proofErr w:type="spellStart"/>
      <w:r w:rsidRPr="003E529B">
        <w:rPr>
          <w:sz w:val="20"/>
          <w:szCs w:val="20"/>
          <w:lang w:val="en-US"/>
        </w:rPr>
        <w:t>Foroutan</w:t>
      </w:r>
      <w:proofErr w:type="spellEnd"/>
      <w:r w:rsidRPr="003E529B">
        <w:rPr>
          <w:sz w:val="20"/>
          <w:szCs w:val="20"/>
          <w:lang w:val="en-US"/>
        </w:rPr>
        <w:t xml:space="preserve">, A. </w:t>
      </w:r>
      <w:proofErr w:type="spellStart"/>
      <w:r w:rsidRPr="003E529B">
        <w:rPr>
          <w:sz w:val="20"/>
          <w:szCs w:val="20"/>
          <w:lang w:val="en-US"/>
        </w:rPr>
        <w:t>Marcomini</w:t>
      </w:r>
      <w:proofErr w:type="spellEnd"/>
      <w:r w:rsidRPr="003E529B">
        <w:rPr>
          <w:sz w:val="20"/>
          <w:szCs w:val="20"/>
          <w:lang w:val="en-US"/>
        </w:rPr>
        <w:t>, Ø. Breivik, and L. R. Hole, “</w:t>
      </w:r>
      <w:proofErr w:type="spellStart"/>
      <w:r w:rsidRPr="003E529B">
        <w:rPr>
          <w:sz w:val="20"/>
          <w:szCs w:val="20"/>
          <w:lang w:val="en-US"/>
        </w:rPr>
        <w:t>ChemicalDrift</w:t>
      </w:r>
      <w:proofErr w:type="spellEnd"/>
      <w:r w:rsidRPr="003E529B">
        <w:rPr>
          <w:sz w:val="20"/>
          <w:szCs w:val="20"/>
          <w:lang w:val="en-US"/>
        </w:rPr>
        <w:t xml:space="preserve"> 1.0: An open-source Lagrangian chemical-fate and transport model for organic aquatic pollutants,” </w:t>
      </w:r>
      <w:proofErr w:type="spellStart"/>
      <w:r w:rsidRPr="003E529B">
        <w:rPr>
          <w:rStyle w:val="ad"/>
          <w:sz w:val="20"/>
          <w:szCs w:val="20"/>
          <w:lang w:val="en-US"/>
        </w:rPr>
        <w:t>Geosci</w:t>
      </w:r>
      <w:proofErr w:type="spellEnd"/>
      <w:r w:rsidRPr="003E529B">
        <w:rPr>
          <w:rStyle w:val="ad"/>
          <w:sz w:val="20"/>
          <w:szCs w:val="20"/>
          <w:lang w:val="en-US"/>
        </w:rPr>
        <w:t>. Model Dev.</w:t>
      </w:r>
      <w:r w:rsidRPr="003E529B">
        <w:rPr>
          <w:sz w:val="20"/>
          <w:szCs w:val="20"/>
          <w:lang w:val="en-US"/>
        </w:rPr>
        <w:t xml:space="preserve"> </w:t>
      </w:r>
      <w:r w:rsidRPr="003E529B">
        <w:rPr>
          <w:rStyle w:val="ac"/>
          <w:rFonts w:eastAsiaTheme="majorEastAsia"/>
          <w:sz w:val="20"/>
          <w:szCs w:val="20"/>
          <w:lang w:val="en-US"/>
        </w:rPr>
        <w:t>16</w:t>
      </w:r>
      <w:r w:rsidRPr="003E529B">
        <w:rPr>
          <w:sz w:val="20"/>
          <w:szCs w:val="20"/>
          <w:lang w:val="en-US"/>
        </w:rPr>
        <w:t xml:space="preserve">, 2477 (2023); </w:t>
      </w:r>
      <w:hyperlink r:id="rId22" w:tgtFrame="_new" w:history="1">
        <w:r w:rsidRPr="003E529B">
          <w:rPr>
            <w:rStyle w:val="a9"/>
            <w:rFonts w:eastAsiaTheme="majorEastAsia"/>
            <w:sz w:val="20"/>
            <w:szCs w:val="20"/>
            <w:lang w:val="en-US"/>
          </w:rPr>
          <w:t>https://doi.org/10.5194/gmd-16-2477-2023</w:t>
        </w:r>
      </w:hyperlink>
      <w:r w:rsidRPr="003E529B">
        <w:rPr>
          <w:sz w:val="20"/>
          <w:szCs w:val="20"/>
          <w:lang w:val="en-US"/>
        </w:rPr>
        <w:t>.</w:t>
      </w:r>
    </w:p>
    <w:p w14:paraId="292FF44D"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[17] P. Liu, Z. Guo, Y. Wang, M. He, Y. Kang, H. Wu, and H. Zhang, “Occurrence of polycyclic aromatic hydrocarbons in the Yellow River delta: Sources, ecological risks, and microbial response,” </w:t>
      </w:r>
      <w:r w:rsidRPr="003E529B">
        <w:rPr>
          <w:rStyle w:val="ad"/>
          <w:sz w:val="20"/>
          <w:szCs w:val="20"/>
          <w:lang w:val="en-US"/>
        </w:rPr>
        <w:t>J. Environ. Manage.</w:t>
      </w:r>
      <w:r w:rsidRPr="003E529B">
        <w:rPr>
          <w:sz w:val="20"/>
          <w:szCs w:val="20"/>
          <w:lang w:val="en-US"/>
        </w:rPr>
        <w:t xml:space="preserve"> </w:t>
      </w:r>
      <w:r w:rsidRPr="003E529B">
        <w:rPr>
          <w:rStyle w:val="ac"/>
          <w:rFonts w:eastAsiaTheme="majorEastAsia"/>
          <w:sz w:val="20"/>
          <w:szCs w:val="20"/>
          <w:lang w:val="en-US"/>
        </w:rPr>
        <w:t>370</w:t>
      </w:r>
      <w:r w:rsidRPr="003E529B">
        <w:rPr>
          <w:sz w:val="20"/>
          <w:szCs w:val="20"/>
          <w:lang w:val="en-US"/>
        </w:rPr>
        <w:t xml:space="preserve">, 122432 (2024); </w:t>
      </w:r>
      <w:hyperlink r:id="rId23" w:tgtFrame="_new" w:history="1">
        <w:r w:rsidRPr="003E529B">
          <w:rPr>
            <w:rStyle w:val="a9"/>
            <w:rFonts w:eastAsiaTheme="majorEastAsia"/>
            <w:sz w:val="20"/>
            <w:szCs w:val="20"/>
            <w:lang w:val="en-US"/>
          </w:rPr>
          <w:t>https://doi.org/10.1016/j.jenvman.2024.122432</w:t>
        </w:r>
      </w:hyperlink>
      <w:r w:rsidRPr="003E529B">
        <w:rPr>
          <w:sz w:val="20"/>
          <w:szCs w:val="20"/>
          <w:lang w:val="en-US"/>
        </w:rPr>
        <w:t>.</w:t>
      </w:r>
    </w:p>
    <w:p w14:paraId="2FBBF53B"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[18] O. Farooq, M. Shahid, S. Arshad, A. Altaf, F. Iqbal, M. </w:t>
      </w:r>
      <w:proofErr w:type="spellStart"/>
      <w:r w:rsidRPr="003E529B">
        <w:rPr>
          <w:sz w:val="20"/>
          <w:szCs w:val="20"/>
          <w:lang w:val="en-US"/>
        </w:rPr>
        <w:t>Airet</w:t>
      </w:r>
      <w:proofErr w:type="spellEnd"/>
      <w:r w:rsidRPr="003E529B">
        <w:rPr>
          <w:sz w:val="20"/>
          <w:szCs w:val="20"/>
          <w:lang w:val="en-US"/>
        </w:rPr>
        <w:t xml:space="preserve"> Miro Vera, A. Lopez-Flores, and I. Ashraf, “An enhanced approach for predicting air pollution using quantum support vector machine,” </w:t>
      </w:r>
      <w:r w:rsidRPr="003E529B">
        <w:rPr>
          <w:rStyle w:val="ad"/>
          <w:sz w:val="20"/>
          <w:szCs w:val="20"/>
          <w:lang w:val="en-US"/>
        </w:rPr>
        <w:t>Sci. Rep.</w:t>
      </w:r>
      <w:r w:rsidRPr="003E529B">
        <w:rPr>
          <w:sz w:val="20"/>
          <w:szCs w:val="20"/>
          <w:lang w:val="en-US"/>
        </w:rPr>
        <w:t xml:space="preserve"> </w:t>
      </w:r>
      <w:r w:rsidRPr="003E529B">
        <w:rPr>
          <w:rStyle w:val="ac"/>
          <w:rFonts w:eastAsiaTheme="majorEastAsia"/>
          <w:sz w:val="20"/>
          <w:szCs w:val="20"/>
          <w:lang w:val="en-US"/>
        </w:rPr>
        <w:t>14</w:t>
      </w:r>
      <w:r w:rsidRPr="003E529B">
        <w:rPr>
          <w:sz w:val="20"/>
          <w:szCs w:val="20"/>
          <w:lang w:val="en-US"/>
        </w:rPr>
        <w:t xml:space="preserve">, 19521 (2024); </w:t>
      </w:r>
      <w:hyperlink r:id="rId24" w:tgtFrame="_new" w:history="1">
        <w:r w:rsidRPr="003E529B">
          <w:rPr>
            <w:rStyle w:val="a9"/>
            <w:rFonts w:eastAsiaTheme="majorEastAsia"/>
            <w:sz w:val="20"/>
            <w:szCs w:val="20"/>
            <w:lang w:val="en-US"/>
          </w:rPr>
          <w:t>https://doi.org/10.1038/s41598-024-69663-2</w:t>
        </w:r>
      </w:hyperlink>
      <w:r w:rsidRPr="003E529B">
        <w:rPr>
          <w:sz w:val="20"/>
          <w:szCs w:val="20"/>
          <w:lang w:val="en-US"/>
        </w:rPr>
        <w:t>.</w:t>
      </w:r>
    </w:p>
    <w:p w14:paraId="58BBA84E"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[19] D. </w:t>
      </w:r>
      <w:proofErr w:type="spellStart"/>
      <w:r w:rsidRPr="003E529B">
        <w:rPr>
          <w:sz w:val="20"/>
          <w:szCs w:val="20"/>
          <w:lang w:val="en-US"/>
        </w:rPr>
        <w:t>Barbero</w:t>
      </w:r>
      <w:proofErr w:type="spellEnd"/>
      <w:r w:rsidRPr="003E529B">
        <w:rPr>
          <w:sz w:val="20"/>
          <w:szCs w:val="20"/>
          <w:lang w:val="en-US"/>
        </w:rPr>
        <w:t xml:space="preserve">, G. </w:t>
      </w:r>
      <w:proofErr w:type="spellStart"/>
      <w:r w:rsidRPr="003E529B">
        <w:rPr>
          <w:sz w:val="20"/>
          <w:szCs w:val="20"/>
          <w:lang w:val="en-US"/>
        </w:rPr>
        <w:t>Tinarelli</w:t>
      </w:r>
      <w:proofErr w:type="spellEnd"/>
      <w:r w:rsidRPr="003E529B">
        <w:rPr>
          <w:sz w:val="20"/>
          <w:szCs w:val="20"/>
          <w:lang w:val="en-US"/>
        </w:rPr>
        <w:t xml:space="preserve">, C. </w:t>
      </w:r>
      <w:proofErr w:type="spellStart"/>
      <w:r w:rsidRPr="003E529B">
        <w:rPr>
          <w:sz w:val="20"/>
          <w:szCs w:val="20"/>
          <w:lang w:val="en-US"/>
        </w:rPr>
        <w:t>Silibello</w:t>
      </w:r>
      <w:proofErr w:type="spellEnd"/>
      <w:r w:rsidRPr="003E529B">
        <w:rPr>
          <w:sz w:val="20"/>
          <w:szCs w:val="20"/>
          <w:lang w:val="en-US"/>
        </w:rPr>
        <w:t xml:space="preserve">, A. </w:t>
      </w:r>
      <w:proofErr w:type="spellStart"/>
      <w:r w:rsidRPr="003E529B">
        <w:rPr>
          <w:sz w:val="20"/>
          <w:szCs w:val="20"/>
          <w:lang w:val="en-US"/>
        </w:rPr>
        <w:t>Nanni</w:t>
      </w:r>
      <w:proofErr w:type="spellEnd"/>
      <w:r w:rsidRPr="003E529B">
        <w:rPr>
          <w:sz w:val="20"/>
          <w:szCs w:val="20"/>
          <w:lang w:val="en-US"/>
        </w:rPr>
        <w:t xml:space="preserve">, C. </w:t>
      </w:r>
      <w:proofErr w:type="spellStart"/>
      <w:r w:rsidRPr="003E529B">
        <w:rPr>
          <w:sz w:val="20"/>
          <w:szCs w:val="20"/>
          <w:lang w:val="en-US"/>
        </w:rPr>
        <w:t>Gariazzo</w:t>
      </w:r>
      <w:proofErr w:type="spellEnd"/>
      <w:r w:rsidRPr="003E529B">
        <w:rPr>
          <w:sz w:val="20"/>
          <w:szCs w:val="20"/>
          <w:lang w:val="en-US"/>
        </w:rPr>
        <w:t xml:space="preserve">, G. </w:t>
      </w:r>
      <w:proofErr w:type="spellStart"/>
      <w:r w:rsidRPr="003E529B">
        <w:rPr>
          <w:sz w:val="20"/>
          <w:szCs w:val="20"/>
          <w:lang w:val="en-US"/>
        </w:rPr>
        <w:t>Viegi</w:t>
      </w:r>
      <w:proofErr w:type="spellEnd"/>
      <w:r w:rsidRPr="003E529B">
        <w:rPr>
          <w:sz w:val="20"/>
          <w:szCs w:val="20"/>
          <w:lang w:val="en-US"/>
        </w:rPr>
        <w:t xml:space="preserve">, and M. </w:t>
      </w:r>
      <w:proofErr w:type="spellStart"/>
      <w:r w:rsidRPr="003E529B">
        <w:rPr>
          <w:sz w:val="20"/>
          <w:szCs w:val="20"/>
          <w:lang w:val="en-US"/>
        </w:rPr>
        <w:t>Stafoggia</w:t>
      </w:r>
      <w:proofErr w:type="spellEnd"/>
      <w:r w:rsidRPr="003E529B">
        <w:rPr>
          <w:sz w:val="20"/>
          <w:szCs w:val="20"/>
          <w:lang w:val="en-US"/>
        </w:rPr>
        <w:t xml:space="preserve">, “A microscale hybrid modelling system to assess the air quality over a large portion of a large European city,” </w:t>
      </w:r>
      <w:r w:rsidRPr="003E529B">
        <w:rPr>
          <w:rStyle w:val="ad"/>
          <w:sz w:val="20"/>
          <w:szCs w:val="20"/>
          <w:lang w:val="en-US"/>
        </w:rPr>
        <w:t>Atmos. Environ.</w:t>
      </w:r>
      <w:r w:rsidRPr="003E529B">
        <w:rPr>
          <w:sz w:val="20"/>
          <w:szCs w:val="20"/>
          <w:lang w:val="en-US"/>
        </w:rPr>
        <w:t xml:space="preserve"> </w:t>
      </w:r>
      <w:r w:rsidRPr="003E529B">
        <w:rPr>
          <w:rStyle w:val="ac"/>
          <w:rFonts w:eastAsiaTheme="majorEastAsia"/>
          <w:sz w:val="20"/>
          <w:szCs w:val="20"/>
          <w:lang w:val="en-US"/>
        </w:rPr>
        <w:t>264</w:t>
      </w:r>
      <w:r w:rsidRPr="003E529B">
        <w:rPr>
          <w:sz w:val="20"/>
          <w:szCs w:val="20"/>
          <w:lang w:val="en-US"/>
        </w:rPr>
        <w:t xml:space="preserve">, 118656 (2021); </w:t>
      </w:r>
      <w:hyperlink r:id="rId25" w:tgtFrame="_new" w:history="1">
        <w:r w:rsidRPr="003E529B">
          <w:rPr>
            <w:rStyle w:val="a9"/>
            <w:rFonts w:eastAsiaTheme="majorEastAsia"/>
            <w:sz w:val="20"/>
            <w:szCs w:val="20"/>
            <w:lang w:val="en-US"/>
          </w:rPr>
          <w:t>https://doi.org/10.1016/j.atmosenv.2021.118656</w:t>
        </w:r>
      </w:hyperlink>
      <w:r w:rsidRPr="003E529B">
        <w:rPr>
          <w:sz w:val="20"/>
          <w:szCs w:val="20"/>
          <w:lang w:val="en-US"/>
        </w:rPr>
        <w:t>.</w:t>
      </w:r>
    </w:p>
    <w:p w14:paraId="3234AA4E"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lastRenderedPageBreak/>
        <w:t xml:space="preserve">[20] S. Ray and A. Roy, “Simple model for self-propulsion of microdroplets in surfactant solution,” </w:t>
      </w:r>
      <w:r w:rsidRPr="003E529B">
        <w:rPr>
          <w:rStyle w:val="ad"/>
          <w:sz w:val="20"/>
          <w:szCs w:val="20"/>
          <w:lang w:val="en-US"/>
        </w:rPr>
        <w:t>Phys. Rev. E</w:t>
      </w:r>
      <w:r w:rsidRPr="003E529B">
        <w:rPr>
          <w:sz w:val="20"/>
          <w:szCs w:val="20"/>
          <w:lang w:val="en-US"/>
        </w:rPr>
        <w:t xml:space="preserve"> </w:t>
      </w:r>
      <w:r w:rsidRPr="003E529B">
        <w:rPr>
          <w:rStyle w:val="ac"/>
          <w:rFonts w:eastAsiaTheme="majorEastAsia"/>
          <w:sz w:val="20"/>
          <w:szCs w:val="20"/>
          <w:lang w:val="en-US"/>
        </w:rPr>
        <w:t>108</w:t>
      </w:r>
      <w:r w:rsidRPr="003E529B">
        <w:rPr>
          <w:sz w:val="20"/>
          <w:szCs w:val="20"/>
          <w:lang w:val="en-US"/>
        </w:rPr>
        <w:t xml:space="preserve">, 035102 (2023); </w:t>
      </w:r>
      <w:hyperlink r:id="rId26" w:tgtFrame="_new" w:history="1">
        <w:r w:rsidRPr="003E529B">
          <w:rPr>
            <w:rStyle w:val="a9"/>
            <w:rFonts w:eastAsiaTheme="majorEastAsia"/>
            <w:sz w:val="20"/>
            <w:szCs w:val="20"/>
            <w:lang w:val="en-US"/>
          </w:rPr>
          <w:t>https://doi.org/10.1103/PhysRevE.108.035102</w:t>
        </w:r>
      </w:hyperlink>
      <w:r w:rsidRPr="003E529B">
        <w:rPr>
          <w:sz w:val="20"/>
          <w:szCs w:val="20"/>
          <w:lang w:val="en-US"/>
        </w:rPr>
        <w:t>.</w:t>
      </w:r>
    </w:p>
    <w:p w14:paraId="29763061"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[21] F. De Vanna, G. </w:t>
      </w:r>
      <w:proofErr w:type="spellStart"/>
      <w:r w:rsidRPr="003E529B">
        <w:rPr>
          <w:sz w:val="20"/>
          <w:szCs w:val="20"/>
          <w:lang w:val="en-US"/>
        </w:rPr>
        <w:t>Baldan</w:t>
      </w:r>
      <w:proofErr w:type="spellEnd"/>
      <w:r w:rsidRPr="003E529B">
        <w:rPr>
          <w:sz w:val="20"/>
          <w:szCs w:val="20"/>
          <w:lang w:val="en-US"/>
        </w:rPr>
        <w:t xml:space="preserve">, F. </w:t>
      </w:r>
      <w:proofErr w:type="spellStart"/>
      <w:r w:rsidRPr="003E529B">
        <w:rPr>
          <w:sz w:val="20"/>
          <w:szCs w:val="20"/>
          <w:lang w:val="en-US"/>
        </w:rPr>
        <w:t>Picano</w:t>
      </w:r>
      <w:proofErr w:type="spellEnd"/>
      <w:r w:rsidRPr="003E529B">
        <w:rPr>
          <w:sz w:val="20"/>
          <w:szCs w:val="20"/>
          <w:lang w:val="en-US"/>
        </w:rPr>
        <w:t xml:space="preserve">, and E. </w:t>
      </w:r>
      <w:proofErr w:type="spellStart"/>
      <w:r w:rsidRPr="003E529B">
        <w:rPr>
          <w:sz w:val="20"/>
          <w:szCs w:val="20"/>
          <w:lang w:val="en-US"/>
        </w:rPr>
        <w:t>Benini</w:t>
      </w:r>
      <w:proofErr w:type="spellEnd"/>
      <w:r w:rsidRPr="003E529B">
        <w:rPr>
          <w:sz w:val="20"/>
          <w:szCs w:val="20"/>
          <w:lang w:val="en-US"/>
        </w:rPr>
        <w:t xml:space="preserve">, “On the coupling between wall-modeled LES and immersed boundary method towards applicative compressible flow simulations,” </w:t>
      </w:r>
      <w:proofErr w:type="spellStart"/>
      <w:r w:rsidRPr="003E529B">
        <w:rPr>
          <w:rStyle w:val="ad"/>
          <w:sz w:val="20"/>
          <w:szCs w:val="20"/>
          <w:lang w:val="en-US"/>
        </w:rPr>
        <w:t>Comput</w:t>
      </w:r>
      <w:proofErr w:type="spellEnd"/>
      <w:r w:rsidRPr="003E529B">
        <w:rPr>
          <w:rStyle w:val="ad"/>
          <w:sz w:val="20"/>
          <w:szCs w:val="20"/>
          <w:lang w:val="en-US"/>
        </w:rPr>
        <w:t>. Fluids</w:t>
      </w:r>
      <w:r w:rsidRPr="003E529B">
        <w:rPr>
          <w:sz w:val="20"/>
          <w:szCs w:val="20"/>
          <w:lang w:val="en-US"/>
        </w:rPr>
        <w:t xml:space="preserve"> </w:t>
      </w:r>
      <w:r w:rsidRPr="003E529B">
        <w:rPr>
          <w:rStyle w:val="ac"/>
          <w:rFonts w:eastAsiaTheme="majorEastAsia"/>
          <w:sz w:val="20"/>
          <w:szCs w:val="20"/>
          <w:lang w:val="en-US"/>
        </w:rPr>
        <w:t>266</w:t>
      </w:r>
      <w:r w:rsidRPr="003E529B">
        <w:rPr>
          <w:sz w:val="20"/>
          <w:szCs w:val="20"/>
          <w:lang w:val="en-US"/>
        </w:rPr>
        <w:t xml:space="preserve">, 106058 (2023); </w:t>
      </w:r>
      <w:hyperlink r:id="rId27" w:tgtFrame="_new" w:history="1">
        <w:r w:rsidRPr="003E529B">
          <w:rPr>
            <w:rStyle w:val="a9"/>
            <w:rFonts w:eastAsiaTheme="majorEastAsia"/>
            <w:sz w:val="20"/>
            <w:szCs w:val="20"/>
            <w:lang w:val="en-US"/>
          </w:rPr>
          <w:t>https://doi.org/10.1016/j.compfluid.2023.106058</w:t>
        </w:r>
      </w:hyperlink>
      <w:r w:rsidRPr="003E529B">
        <w:rPr>
          <w:sz w:val="20"/>
          <w:szCs w:val="20"/>
          <w:lang w:val="en-US"/>
        </w:rPr>
        <w:t>.</w:t>
      </w:r>
    </w:p>
    <w:p w14:paraId="362ABC00"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[22] P. J. Nolan, H. </w:t>
      </w:r>
      <w:proofErr w:type="spellStart"/>
      <w:r w:rsidRPr="003E529B">
        <w:rPr>
          <w:sz w:val="20"/>
          <w:szCs w:val="20"/>
          <w:lang w:val="en-US"/>
        </w:rPr>
        <w:t>Foroutan</w:t>
      </w:r>
      <w:proofErr w:type="spellEnd"/>
      <w:r w:rsidRPr="003E529B">
        <w:rPr>
          <w:sz w:val="20"/>
          <w:szCs w:val="20"/>
          <w:lang w:val="en-US"/>
        </w:rPr>
        <w:t xml:space="preserve">, and S. D. Ross, “Pollution transport patterns obtained through generalized Lagrangian coherent structures,”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11</w:t>
      </w:r>
      <w:r w:rsidRPr="003E529B">
        <w:rPr>
          <w:sz w:val="20"/>
          <w:szCs w:val="20"/>
          <w:lang w:val="en-US"/>
        </w:rPr>
        <w:t xml:space="preserve">, 168 (2020); </w:t>
      </w:r>
      <w:hyperlink r:id="rId28" w:tgtFrame="_new" w:history="1">
        <w:r w:rsidRPr="003E529B">
          <w:rPr>
            <w:rStyle w:val="a9"/>
            <w:rFonts w:eastAsiaTheme="majorEastAsia"/>
            <w:sz w:val="20"/>
            <w:szCs w:val="20"/>
            <w:lang w:val="en-US"/>
          </w:rPr>
          <w:t>https://doi.org/10.3390/atmos11020168</w:t>
        </w:r>
      </w:hyperlink>
      <w:r w:rsidRPr="003E529B">
        <w:rPr>
          <w:sz w:val="20"/>
          <w:szCs w:val="20"/>
          <w:lang w:val="en-US"/>
        </w:rPr>
        <w:t>.</w:t>
      </w:r>
    </w:p>
    <w:p w14:paraId="207B1FC6"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[23] B. Cao, L. Li, K. Zhang, and W. Ma, “The influence of digital intelligence transformation on carbon emission reduction in manufacturing firms,” </w:t>
      </w:r>
      <w:r w:rsidRPr="003E529B">
        <w:rPr>
          <w:rStyle w:val="ad"/>
          <w:sz w:val="20"/>
          <w:szCs w:val="20"/>
          <w:lang w:val="en-US"/>
        </w:rPr>
        <w:t>J. Environ. Manage.</w:t>
      </w:r>
      <w:r w:rsidRPr="003E529B">
        <w:rPr>
          <w:sz w:val="20"/>
          <w:szCs w:val="20"/>
          <w:lang w:val="en-US"/>
        </w:rPr>
        <w:t xml:space="preserve"> </w:t>
      </w:r>
      <w:r w:rsidRPr="003E529B">
        <w:rPr>
          <w:rStyle w:val="ac"/>
          <w:rFonts w:eastAsiaTheme="majorEastAsia"/>
          <w:sz w:val="20"/>
          <w:szCs w:val="20"/>
          <w:lang w:val="en-US"/>
        </w:rPr>
        <w:t>367</w:t>
      </w:r>
      <w:r w:rsidRPr="003E529B">
        <w:rPr>
          <w:sz w:val="20"/>
          <w:szCs w:val="20"/>
          <w:lang w:val="en-US"/>
        </w:rPr>
        <w:t xml:space="preserve">, 121987 (2024); </w:t>
      </w:r>
      <w:hyperlink r:id="rId29" w:tgtFrame="_new" w:history="1">
        <w:r w:rsidRPr="003E529B">
          <w:rPr>
            <w:rStyle w:val="a9"/>
            <w:rFonts w:eastAsiaTheme="majorEastAsia"/>
            <w:sz w:val="20"/>
            <w:szCs w:val="20"/>
            <w:lang w:val="en-US"/>
          </w:rPr>
          <w:t>https://doi.org/10.1016/j.jenvman.2024.121987</w:t>
        </w:r>
      </w:hyperlink>
      <w:r w:rsidRPr="003E529B">
        <w:rPr>
          <w:sz w:val="20"/>
          <w:szCs w:val="20"/>
          <w:lang w:val="en-US"/>
        </w:rPr>
        <w:t>.</w:t>
      </w:r>
    </w:p>
    <w:p w14:paraId="2E7EA541"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[24] D. </w:t>
      </w:r>
      <w:proofErr w:type="spellStart"/>
      <w:r w:rsidRPr="003E529B">
        <w:rPr>
          <w:sz w:val="20"/>
          <w:szCs w:val="20"/>
          <w:lang w:val="en-US"/>
        </w:rPr>
        <w:t>Tatsii</w:t>
      </w:r>
      <w:proofErr w:type="spellEnd"/>
      <w:r w:rsidRPr="003E529B">
        <w:rPr>
          <w:sz w:val="20"/>
          <w:szCs w:val="20"/>
          <w:lang w:val="en-US"/>
        </w:rPr>
        <w:t xml:space="preserve">, S. Bucci, T. </w:t>
      </w:r>
      <w:proofErr w:type="spellStart"/>
      <w:r w:rsidRPr="003E529B">
        <w:rPr>
          <w:sz w:val="20"/>
          <w:szCs w:val="20"/>
          <w:lang w:val="en-US"/>
        </w:rPr>
        <w:t>Bhowmick</w:t>
      </w:r>
      <w:proofErr w:type="spellEnd"/>
      <w:r w:rsidRPr="003E529B">
        <w:rPr>
          <w:sz w:val="20"/>
          <w:szCs w:val="20"/>
          <w:lang w:val="en-US"/>
        </w:rPr>
        <w:t xml:space="preserve">, J. </w:t>
      </w:r>
      <w:proofErr w:type="spellStart"/>
      <w:r w:rsidRPr="003E529B">
        <w:rPr>
          <w:sz w:val="20"/>
          <w:szCs w:val="20"/>
          <w:lang w:val="en-US"/>
        </w:rPr>
        <w:t>Guettler</w:t>
      </w:r>
      <w:proofErr w:type="spellEnd"/>
      <w:r w:rsidRPr="003E529B">
        <w:rPr>
          <w:sz w:val="20"/>
          <w:szCs w:val="20"/>
          <w:lang w:val="en-US"/>
        </w:rPr>
        <w:t xml:space="preserve">, L. </w:t>
      </w:r>
      <w:proofErr w:type="spellStart"/>
      <w:r w:rsidRPr="003E529B">
        <w:rPr>
          <w:sz w:val="20"/>
          <w:szCs w:val="20"/>
          <w:lang w:val="en-US"/>
        </w:rPr>
        <w:t>Bakels</w:t>
      </w:r>
      <w:proofErr w:type="spellEnd"/>
      <w:r w:rsidRPr="003E529B">
        <w:rPr>
          <w:sz w:val="20"/>
          <w:szCs w:val="20"/>
          <w:lang w:val="en-US"/>
        </w:rPr>
        <w:t xml:space="preserve">, G. Bagheri, and A. </w:t>
      </w:r>
      <w:proofErr w:type="spellStart"/>
      <w:r w:rsidRPr="003E529B">
        <w:rPr>
          <w:sz w:val="20"/>
          <w:szCs w:val="20"/>
          <w:lang w:val="en-US"/>
        </w:rPr>
        <w:t>Stohl</w:t>
      </w:r>
      <w:proofErr w:type="spellEnd"/>
      <w:r w:rsidRPr="003E529B">
        <w:rPr>
          <w:sz w:val="20"/>
          <w:szCs w:val="20"/>
          <w:lang w:val="en-US"/>
        </w:rPr>
        <w:t xml:space="preserve">, “Shape matters: Long-range transport of microplastic fibers in the atmosphere,” </w:t>
      </w:r>
      <w:r w:rsidRPr="003E529B">
        <w:rPr>
          <w:rStyle w:val="ad"/>
          <w:sz w:val="20"/>
          <w:szCs w:val="20"/>
          <w:lang w:val="en-US"/>
        </w:rPr>
        <w:t>Environ. Sci. Technol.</w:t>
      </w:r>
      <w:r w:rsidRPr="003E529B">
        <w:rPr>
          <w:sz w:val="20"/>
          <w:szCs w:val="20"/>
          <w:lang w:val="en-US"/>
        </w:rPr>
        <w:t xml:space="preserve"> </w:t>
      </w:r>
      <w:r w:rsidRPr="003E529B">
        <w:rPr>
          <w:rStyle w:val="ac"/>
          <w:rFonts w:eastAsiaTheme="majorEastAsia"/>
          <w:sz w:val="20"/>
          <w:szCs w:val="20"/>
          <w:lang w:val="en-US"/>
        </w:rPr>
        <w:t>58</w:t>
      </w:r>
      <w:r w:rsidRPr="003E529B">
        <w:rPr>
          <w:sz w:val="20"/>
          <w:szCs w:val="20"/>
          <w:lang w:val="en-US"/>
        </w:rPr>
        <w:t xml:space="preserve">, 671 (2023); </w:t>
      </w:r>
      <w:hyperlink r:id="rId30" w:tgtFrame="_new" w:history="1">
        <w:r w:rsidRPr="003E529B">
          <w:rPr>
            <w:rStyle w:val="a9"/>
            <w:rFonts w:eastAsiaTheme="majorEastAsia"/>
            <w:sz w:val="20"/>
            <w:szCs w:val="20"/>
            <w:lang w:val="en-US"/>
          </w:rPr>
          <w:t>https://doi.org/10.1021/acs.est.3c08209</w:t>
        </w:r>
      </w:hyperlink>
      <w:r w:rsidRPr="003E529B">
        <w:rPr>
          <w:sz w:val="20"/>
          <w:szCs w:val="20"/>
          <w:lang w:val="en-US"/>
        </w:rPr>
        <w:t>.</w:t>
      </w:r>
    </w:p>
    <w:p w14:paraId="4B967C8A"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[25] B. </w:t>
      </w:r>
      <w:proofErr w:type="spellStart"/>
      <w:r w:rsidRPr="003E529B">
        <w:rPr>
          <w:sz w:val="20"/>
          <w:szCs w:val="20"/>
          <w:lang w:val="en-US"/>
        </w:rPr>
        <w:t>Fayaz</w:t>
      </w:r>
      <w:proofErr w:type="spellEnd"/>
      <w:r w:rsidRPr="003E529B">
        <w:rPr>
          <w:sz w:val="20"/>
          <w:szCs w:val="20"/>
          <w:lang w:val="en-US"/>
        </w:rPr>
        <w:t xml:space="preserve"> </w:t>
      </w:r>
      <w:proofErr w:type="spellStart"/>
      <w:r w:rsidRPr="003E529B">
        <w:rPr>
          <w:sz w:val="20"/>
          <w:szCs w:val="20"/>
          <w:lang w:val="en-US"/>
        </w:rPr>
        <w:t>Shandadash</w:t>
      </w:r>
      <w:proofErr w:type="spellEnd"/>
      <w:r w:rsidRPr="003E529B">
        <w:rPr>
          <w:sz w:val="20"/>
          <w:szCs w:val="20"/>
          <w:lang w:val="en-US"/>
        </w:rPr>
        <w:t xml:space="preserve">, N. </w:t>
      </w:r>
      <w:proofErr w:type="spellStart"/>
      <w:r w:rsidRPr="003E529B">
        <w:rPr>
          <w:sz w:val="20"/>
          <w:szCs w:val="20"/>
          <w:lang w:val="en-US"/>
        </w:rPr>
        <w:t>Fallah</w:t>
      </w:r>
      <w:proofErr w:type="spellEnd"/>
      <w:r w:rsidRPr="003E529B">
        <w:rPr>
          <w:sz w:val="20"/>
          <w:szCs w:val="20"/>
          <w:lang w:val="en-US"/>
        </w:rPr>
        <w:t xml:space="preserve">, M. Shamsi, M. </w:t>
      </w:r>
      <w:proofErr w:type="spellStart"/>
      <w:r w:rsidRPr="003E529B">
        <w:rPr>
          <w:sz w:val="20"/>
          <w:szCs w:val="20"/>
          <w:lang w:val="en-US"/>
        </w:rPr>
        <w:t>Nasernia</w:t>
      </w:r>
      <w:proofErr w:type="spellEnd"/>
      <w:r w:rsidRPr="003E529B">
        <w:rPr>
          <w:sz w:val="20"/>
          <w:szCs w:val="20"/>
          <w:lang w:val="en-US"/>
        </w:rPr>
        <w:t xml:space="preserve">, and M. </w:t>
      </w:r>
      <w:proofErr w:type="spellStart"/>
      <w:r w:rsidRPr="003E529B">
        <w:rPr>
          <w:sz w:val="20"/>
          <w:szCs w:val="20"/>
          <w:lang w:val="en-US"/>
        </w:rPr>
        <w:t>Afkhampour</w:t>
      </w:r>
      <w:proofErr w:type="spellEnd"/>
      <w:r w:rsidRPr="003E529B">
        <w:rPr>
          <w:sz w:val="20"/>
          <w:szCs w:val="20"/>
          <w:lang w:val="en-US"/>
        </w:rPr>
        <w:t xml:space="preserve">, “Evaluation of enhanced chemical coagulation method for a case study on colloidal liquid particle in wastewater treatment: Statistical optimization analysis and implementation of machine learning,” </w:t>
      </w:r>
      <w:r w:rsidRPr="003E529B">
        <w:rPr>
          <w:rStyle w:val="ad"/>
          <w:sz w:val="20"/>
          <w:szCs w:val="20"/>
          <w:lang w:val="en-US"/>
        </w:rPr>
        <w:t>J. Environ. Manage.</w:t>
      </w:r>
      <w:r w:rsidRPr="003E529B">
        <w:rPr>
          <w:sz w:val="20"/>
          <w:szCs w:val="20"/>
          <w:lang w:val="en-US"/>
        </w:rPr>
        <w:t xml:space="preserve"> </w:t>
      </w:r>
      <w:r w:rsidRPr="003E529B">
        <w:rPr>
          <w:rStyle w:val="ac"/>
          <w:rFonts w:eastAsiaTheme="majorEastAsia"/>
          <w:sz w:val="20"/>
          <w:szCs w:val="20"/>
          <w:lang w:val="en-US"/>
        </w:rPr>
        <w:t>370</w:t>
      </w:r>
      <w:r w:rsidRPr="003E529B">
        <w:rPr>
          <w:sz w:val="20"/>
          <w:szCs w:val="20"/>
          <w:lang w:val="en-US"/>
        </w:rPr>
        <w:t xml:space="preserve">, 122345 (2024); </w:t>
      </w:r>
      <w:hyperlink r:id="rId31" w:tgtFrame="_new" w:history="1">
        <w:r w:rsidRPr="003E529B">
          <w:rPr>
            <w:rStyle w:val="a9"/>
            <w:rFonts w:eastAsiaTheme="majorEastAsia"/>
            <w:sz w:val="20"/>
            <w:szCs w:val="20"/>
            <w:lang w:val="en-US"/>
          </w:rPr>
          <w:t>https://doi.org/10.1016/j.jenvman.2024.122345</w:t>
        </w:r>
      </w:hyperlink>
      <w:r w:rsidRPr="003E529B">
        <w:rPr>
          <w:sz w:val="20"/>
          <w:szCs w:val="20"/>
          <w:lang w:val="en-US"/>
        </w:rPr>
        <w:t>.</w:t>
      </w:r>
    </w:p>
    <w:p w14:paraId="67349060"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[26] Y. Dong, F. Li, T. Zhu, and R. Yan, “Air quality prediction based on quantum activation function optimized hybrid quantum classical neural network,” </w:t>
      </w:r>
      <w:r w:rsidRPr="003E529B">
        <w:rPr>
          <w:rStyle w:val="ad"/>
          <w:sz w:val="20"/>
          <w:szCs w:val="20"/>
          <w:lang w:val="en-US"/>
        </w:rPr>
        <w:t>Front. Phys.</w:t>
      </w:r>
      <w:r w:rsidRPr="003E529B">
        <w:rPr>
          <w:sz w:val="20"/>
          <w:szCs w:val="20"/>
          <w:lang w:val="en-US"/>
        </w:rPr>
        <w:t xml:space="preserve"> </w:t>
      </w:r>
      <w:r w:rsidRPr="003E529B">
        <w:rPr>
          <w:rStyle w:val="ac"/>
          <w:rFonts w:eastAsiaTheme="majorEastAsia"/>
          <w:sz w:val="20"/>
          <w:szCs w:val="20"/>
          <w:lang w:val="en-US"/>
        </w:rPr>
        <w:t>12</w:t>
      </w:r>
      <w:r w:rsidRPr="003E529B">
        <w:rPr>
          <w:sz w:val="20"/>
          <w:szCs w:val="20"/>
          <w:lang w:val="en-US"/>
        </w:rPr>
        <w:t xml:space="preserve">, 1412664 (2024); </w:t>
      </w:r>
      <w:hyperlink r:id="rId32" w:tgtFrame="_new" w:history="1">
        <w:r w:rsidRPr="003E529B">
          <w:rPr>
            <w:rStyle w:val="a9"/>
            <w:rFonts w:eastAsiaTheme="majorEastAsia"/>
            <w:sz w:val="20"/>
            <w:szCs w:val="20"/>
            <w:lang w:val="en-US"/>
          </w:rPr>
          <w:t>https://doi.org/10.3389/fphy.2024.1412664</w:t>
        </w:r>
      </w:hyperlink>
      <w:r w:rsidRPr="003E529B">
        <w:rPr>
          <w:sz w:val="20"/>
          <w:szCs w:val="20"/>
          <w:lang w:val="en-US"/>
        </w:rPr>
        <w:t>.</w:t>
      </w:r>
    </w:p>
    <w:p w14:paraId="66938F56"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[27] K. Zheng, J. Van </w:t>
      </w:r>
      <w:proofErr w:type="spellStart"/>
      <w:r w:rsidRPr="003E529B">
        <w:rPr>
          <w:sz w:val="20"/>
          <w:szCs w:val="20"/>
          <w:lang w:val="en-US"/>
        </w:rPr>
        <w:t>Griensven</w:t>
      </w:r>
      <w:proofErr w:type="spellEnd"/>
      <w:r w:rsidRPr="003E529B">
        <w:rPr>
          <w:sz w:val="20"/>
          <w:szCs w:val="20"/>
          <w:lang w:val="en-US"/>
        </w:rPr>
        <w:t xml:space="preserve">, and R. Fraser, “A quantum machine learning approach to spatiotemporal emission modelling,” </w:t>
      </w:r>
      <w:r w:rsidRPr="003E529B">
        <w:rPr>
          <w:rStyle w:val="ad"/>
          <w:sz w:val="20"/>
          <w:szCs w:val="20"/>
          <w:lang w:val="en-US"/>
        </w:rPr>
        <w:t>Atmos.</w:t>
      </w:r>
      <w:r w:rsidRPr="003E529B">
        <w:rPr>
          <w:sz w:val="20"/>
          <w:szCs w:val="20"/>
          <w:lang w:val="en-US"/>
        </w:rPr>
        <w:t xml:space="preserve"> </w:t>
      </w:r>
      <w:r w:rsidRPr="003E529B">
        <w:rPr>
          <w:rStyle w:val="ac"/>
          <w:rFonts w:eastAsiaTheme="majorEastAsia"/>
          <w:sz w:val="20"/>
          <w:szCs w:val="20"/>
          <w:lang w:val="en-US"/>
        </w:rPr>
        <w:t>14</w:t>
      </w:r>
      <w:r w:rsidRPr="003E529B">
        <w:rPr>
          <w:sz w:val="20"/>
          <w:szCs w:val="20"/>
          <w:lang w:val="en-US"/>
        </w:rPr>
        <w:t xml:space="preserve">, 944 (2023); </w:t>
      </w:r>
      <w:hyperlink r:id="rId33" w:tgtFrame="_new" w:history="1">
        <w:r w:rsidRPr="003E529B">
          <w:rPr>
            <w:rStyle w:val="a9"/>
            <w:rFonts w:eastAsiaTheme="majorEastAsia"/>
            <w:sz w:val="20"/>
            <w:szCs w:val="20"/>
            <w:lang w:val="en-US"/>
          </w:rPr>
          <w:t>https://doi.org/10.3390/atmos14060944</w:t>
        </w:r>
      </w:hyperlink>
      <w:r w:rsidRPr="003E529B">
        <w:rPr>
          <w:sz w:val="20"/>
          <w:szCs w:val="20"/>
          <w:lang w:val="en-US"/>
        </w:rPr>
        <w:t>.</w:t>
      </w:r>
    </w:p>
    <w:p w14:paraId="45EEB5A0" w14:textId="77777777" w:rsidR="00B50A50" w:rsidRPr="003E529B" w:rsidRDefault="00B50A50" w:rsidP="00B50A50">
      <w:pPr>
        <w:pStyle w:val="ab"/>
        <w:spacing w:before="0" w:beforeAutospacing="0" w:after="0" w:afterAutospacing="0"/>
        <w:ind w:left="426" w:hanging="426"/>
        <w:jc w:val="both"/>
        <w:rPr>
          <w:sz w:val="20"/>
          <w:szCs w:val="20"/>
          <w:lang w:val="en-US"/>
        </w:rPr>
      </w:pPr>
      <w:r w:rsidRPr="003E529B">
        <w:rPr>
          <w:sz w:val="20"/>
          <w:szCs w:val="20"/>
          <w:lang w:val="en-US"/>
        </w:rPr>
        <w:t xml:space="preserve">[28] M. Adani, M. </w:t>
      </w:r>
      <w:proofErr w:type="spellStart"/>
      <w:r w:rsidRPr="003E529B">
        <w:rPr>
          <w:sz w:val="20"/>
          <w:szCs w:val="20"/>
          <w:lang w:val="en-US"/>
        </w:rPr>
        <w:t>D’Isidoro</w:t>
      </w:r>
      <w:proofErr w:type="spellEnd"/>
      <w:r w:rsidRPr="003E529B">
        <w:rPr>
          <w:sz w:val="20"/>
          <w:szCs w:val="20"/>
          <w:lang w:val="en-US"/>
        </w:rPr>
        <w:t xml:space="preserve">, M. Mircea, G. </w:t>
      </w:r>
      <w:proofErr w:type="spellStart"/>
      <w:r w:rsidRPr="003E529B">
        <w:rPr>
          <w:sz w:val="20"/>
          <w:szCs w:val="20"/>
          <w:lang w:val="en-US"/>
        </w:rPr>
        <w:t>Guarnieri</w:t>
      </w:r>
      <w:proofErr w:type="spellEnd"/>
      <w:r w:rsidRPr="003E529B">
        <w:rPr>
          <w:sz w:val="20"/>
          <w:szCs w:val="20"/>
          <w:lang w:val="en-US"/>
        </w:rPr>
        <w:t xml:space="preserve">, L. Vitali, S. </w:t>
      </w:r>
      <w:proofErr w:type="spellStart"/>
      <w:r w:rsidRPr="003E529B">
        <w:rPr>
          <w:sz w:val="20"/>
          <w:szCs w:val="20"/>
          <w:lang w:val="en-US"/>
        </w:rPr>
        <w:t>D’Elia</w:t>
      </w:r>
      <w:proofErr w:type="spellEnd"/>
      <w:r w:rsidRPr="003E529B">
        <w:rPr>
          <w:sz w:val="20"/>
          <w:szCs w:val="20"/>
          <w:lang w:val="en-US"/>
        </w:rPr>
        <w:t xml:space="preserve">, L. </w:t>
      </w:r>
      <w:proofErr w:type="spellStart"/>
      <w:r w:rsidRPr="003E529B">
        <w:rPr>
          <w:sz w:val="20"/>
          <w:szCs w:val="20"/>
          <w:lang w:val="en-US"/>
        </w:rPr>
        <w:t>Ciancarella</w:t>
      </w:r>
      <w:proofErr w:type="spellEnd"/>
      <w:r w:rsidRPr="003E529B">
        <w:rPr>
          <w:sz w:val="20"/>
          <w:szCs w:val="20"/>
          <w:lang w:val="en-US"/>
        </w:rPr>
        <w:t xml:space="preserve">, A. </w:t>
      </w:r>
      <w:proofErr w:type="spellStart"/>
      <w:r w:rsidRPr="003E529B">
        <w:rPr>
          <w:sz w:val="20"/>
          <w:szCs w:val="20"/>
          <w:lang w:val="en-US"/>
        </w:rPr>
        <w:t>Maurizi</w:t>
      </w:r>
      <w:proofErr w:type="spellEnd"/>
      <w:r w:rsidRPr="003E529B">
        <w:rPr>
          <w:sz w:val="20"/>
          <w:szCs w:val="20"/>
          <w:lang w:val="en-US"/>
        </w:rPr>
        <w:t xml:space="preserve">, G. </w:t>
      </w:r>
      <w:proofErr w:type="spellStart"/>
      <w:r w:rsidRPr="003E529B">
        <w:rPr>
          <w:sz w:val="20"/>
          <w:szCs w:val="20"/>
          <w:lang w:val="en-US"/>
        </w:rPr>
        <w:t>Quattieri</w:t>
      </w:r>
      <w:proofErr w:type="spellEnd"/>
      <w:r w:rsidRPr="003E529B">
        <w:rPr>
          <w:sz w:val="20"/>
          <w:szCs w:val="20"/>
          <w:lang w:val="en-US"/>
        </w:rPr>
        <w:t xml:space="preserve">, G. Briganti, A. Cappelletti, A. Piersanti, M. </w:t>
      </w:r>
      <w:proofErr w:type="spellStart"/>
      <w:r w:rsidRPr="003E529B">
        <w:rPr>
          <w:sz w:val="20"/>
          <w:szCs w:val="20"/>
          <w:lang w:val="en-US"/>
        </w:rPr>
        <w:t>Stracquadanio</w:t>
      </w:r>
      <w:proofErr w:type="spellEnd"/>
      <w:r w:rsidRPr="003E529B">
        <w:rPr>
          <w:sz w:val="20"/>
          <w:szCs w:val="20"/>
          <w:lang w:val="en-US"/>
        </w:rPr>
        <w:t xml:space="preserve">, F. </w:t>
      </w:r>
      <w:proofErr w:type="spellStart"/>
      <w:r w:rsidRPr="003E529B">
        <w:rPr>
          <w:sz w:val="20"/>
          <w:szCs w:val="20"/>
          <w:lang w:val="en-US"/>
        </w:rPr>
        <w:t>Righini</w:t>
      </w:r>
      <w:proofErr w:type="spellEnd"/>
      <w:r w:rsidRPr="003E529B">
        <w:rPr>
          <w:sz w:val="20"/>
          <w:szCs w:val="20"/>
          <w:lang w:val="en-US"/>
        </w:rPr>
        <w:t xml:space="preserve">, F. Russo, G. Cremona, and G. </w:t>
      </w:r>
      <w:proofErr w:type="spellStart"/>
      <w:r w:rsidRPr="003E529B">
        <w:rPr>
          <w:sz w:val="20"/>
          <w:szCs w:val="20"/>
          <w:lang w:val="en-US"/>
        </w:rPr>
        <w:t>Zanini</w:t>
      </w:r>
      <w:proofErr w:type="spellEnd"/>
      <w:r w:rsidRPr="003E529B">
        <w:rPr>
          <w:sz w:val="20"/>
          <w:szCs w:val="20"/>
          <w:lang w:val="en-US"/>
        </w:rPr>
        <w:t xml:space="preserve">, “Evaluation of air quality forecasting system FORAIR-IT over Europe and Italy at high resolution for year 2017,” </w:t>
      </w:r>
      <w:r w:rsidRPr="003E529B">
        <w:rPr>
          <w:rStyle w:val="ad"/>
          <w:sz w:val="20"/>
          <w:szCs w:val="20"/>
          <w:lang w:val="en-US"/>
        </w:rPr>
        <w:t xml:space="preserve">Atmos. </w:t>
      </w:r>
      <w:proofErr w:type="spellStart"/>
      <w:r w:rsidRPr="003E529B">
        <w:rPr>
          <w:rStyle w:val="ad"/>
          <w:sz w:val="20"/>
          <w:szCs w:val="20"/>
          <w:lang w:val="en-US"/>
        </w:rPr>
        <w:t>Pollut</w:t>
      </w:r>
      <w:proofErr w:type="spellEnd"/>
      <w:r w:rsidRPr="003E529B">
        <w:rPr>
          <w:rStyle w:val="ad"/>
          <w:sz w:val="20"/>
          <w:szCs w:val="20"/>
          <w:lang w:val="en-US"/>
        </w:rPr>
        <w:t>. Res.</w:t>
      </w:r>
      <w:r w:rsidRPr="003E529B">
        <w:rPr>
          <w:sz w:val="20"/>
          <w:szCs w:val="20"/>
          <w:lang w:val="en-US"/>
        </w:rPr>
        <w:t xml:space="preserve"> </w:t>
      </w:r>
      <w:r w:rsidRPr="003E529B">
        <w:rPr>
          <w:rStyle w:val="ac"/>
          <w:rFonts w:eastAsiaTheme="majorEastAsia"/>
          <w:sz w:val="20"/>
          <w:szCs w:val="20"/>
          <w:lang w:val="en-US"/>
        </w:rPr>
        <w:t>13</w:t>
      </w:r>
      <w:r w:rsidRPr="003E529B">
        <w:rPr>
          <w:sz w:val="20"/>
          <w:szCs w:val="20"/>
          <w:lang w:val="en-US"/>
        </w:rPr>
        <w:t xml:space="preserve">, 101456 (2022); </w:t>
      </w:r>
      <w:hyperlink r:id="rId34" w:tgtFrame="_new" w:history="1">
        <w:r w:rsidRPr="003E529B">
          <w:rPr>
            <w:rStyle w:val="a9"/>
            <w:rFonts w:eastAsiaTheme="majorEastAsia"/>
            <w:sz w:val="20"/>
            <w:szCs w:val="20"/>
            <w:lang w:val="en-US"/>
          </w:rPr>
          <w:t>https://doi.org/10.1016/j.apr.2022.101456</w:t>
        </w:r>
      </w:hyperlink>
      <w:r w:rsidRPr="003E529B">
        <w:rPr>
          <w:sz w:val="20"/>
          <w:szCs w:val="20"/>
          <w:lang w:val="en-US"/>
        </w:rPr>
        <w:t>.</w:t>
      </w:r>
    </w:p>
    <w:p w14:paraId="71BA9DBA" w14:textId="77777777" w:rsidR="00B50A50" w:rsidRPr="003E529B" w:rsidRDefault="00B50A50" w:rsidP="00B50A50">
      <w:pPr>
        <w:tabs>
          <w:tab w:val="left" w:pos="540"/>
          <w:tab w:val="left" w:pos="630"/>
        </w:tabs>
        <w:spacing w:before="100" w:beforeAutospacing="1" w:after="100" w:afterAutospacing="1"/>
        <w:jc w:val="both"/>
        <w:rPr>
          <w:sz w:val="20"/>
          <w:lang w:eastAsia="en-US"/>
        </w:rPr>
      </w:pPr>
    </w:p>
    <w:p w14:paraId="1F41EA46" w14:textId="77777777" w:rsidR="006E2C5C" w:rsidRPr="003E529B" w:rsidRDefault="006E2C5C" w:rsidP="005C5650">
      <w:pPr>
        <w:ind w:left="426" w:hanging="426"/>
        <w:jc w:val="both"/>
        <w:rPr>
          <w:sz w:val="20"/>
        </w:rPr>
      </w:pPr>
    </w:p>
    <w:sectPr w:rsidR="006E2C5C" w:rsidRPr="003E529B" w:rsidSect="0004570C">
      <w:pgSz w:w="12240" w:h="15840" w:code="1"/>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E34"/>
    <w:multiLevelType w:val="hybridMultilevel"/>
    <w:tmpl w:val="57B8B2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A609DF"/>
    <w:multiLevelType w:val="multilevel"/>
    <w:tmpl w:val="A5A2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87759"/>
    <w:multiLevelType w:val="multilevel"/>
    <w:tmpl w:val="A7CA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A546F"/>
    <w:multiLevelType w:val="multilevel"/>
    <w:tmpl w:val="D168093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11F58"/>
    <w:multiLevelType w:val="hybridMultilevel"/>
    <w:tmpl w:val="3C341EF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F1C2184"/>
    <w:multiLevelType w:val="multilevel"/>
    <w:tmpl w:val="F468F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670720"/>
    <w:multiLevelType w:val="hybridMultilevel"/>
    <w:tmpl w:val="35382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E52C7"/>
    <w:multiLevelType w:val="hybridMultilevel"/>
    <w:tmpl w:val="84206526"/>
    <w:lvl w:ilvl="0" w:tplc="6BFAE8B0">
      <w:start w:val="1"/>
      <w:numFmt w:val="bullet"/>
      <w:lvlText w:val=""/>
      <w:lvlJc w:val="left"/>
      <w:pPr>
        <w:ind w:left="720" w:hanging="360"/>
      </w:pPr>
      <w:rPr>
        <w:rFonts w:ascii="Symbol" w:hAnsi="Symbol" w:hint="default"/>
      </w:rPr>
    </w:lvl>
    <w:lvl w:ilvl="1" w:tplc="24205D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A66D1"/>
    <w:multiLevelType w:val="multilevel"/>
    <w:tmpl w:val="4EB255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BC2A7B"/>
    <w:multiLevelType w:val="multilevel"/>
    <w:tmpl w:val="B2DAF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C88670B"/>
    <w:multiLevelType w:val="multilevel"/>
    <w:tmpl w:val="DB3C059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46AE9"/>
    <w:multiLevelType w:val="hybridMultilevel"/>
    <w:tmpl w:val="8210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B84A15"/>
    <w:multiLevelType w:val="hybridMultilevel"/>
    <w:tmpl w:val="AF26B282"/>
    <w:lvl w:ilvl="0" w:tplc="24205DC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C7C04C6"/>
    <w:multiLevelType w:val="multilevel"/>
    <w:tmpl w:val="D168093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933862"/>
    <w:multiLevelType w:val="multilevel"/>
    <w:tmpl w:val="DB3C059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4652F2"/>
    <w:multiLevelType w:val="multilevel"/>
    <w:tmpl w:val="AD16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4A54E1"/>
    <w:multiLevelType w:val="multilevel"/>
    <w:tmpl w:val="FDAA1F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395B1C"/>
    <w:multiLevelType w:val="multilevel"/>
    <w:tmpl w:val="F4FAA458"/>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B978A0"/>
    <w:multiLevelType w:val="multilevel"/>
    <w:tmpl w:val="D09A30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7"/>
  </w:num>
  <w:num w:numId="4">
    <w:abstractNumId w:val="14"/>
  </w:num>
  <w:num w:numId="5">
    <w:abstractNumId w:val="8"/>
  </w:num>
  <w:num w:numId="6">
    <w:abstractNumId w:val="9"/>
  </w:num>
  <w:num w:numId="7">
    <w:abstractNumId w:val="7"/>
  </w:num>
  <w:num w:numId="8">
    <w:abstractNumId w:val="4"/>
  </w:num>
  <w:num w:numId="9">
    <w:abstractNumId w:val="0"/>
  </w:num>
  <w:num w:numId="10">
    <w:abstractNumId w:val="13"/>
  </w:num>
  <w:num w:numId="11">
    <w:abstractNumId w:val="1"/>
  </w:num>
  <w:num w:numId="12">
    <w:abstractNumId w:val="18"/>
  </w:num>
  <w:num w:numId="13">
    <w:abstractNumId w:val="19"/>
  </w:num>
  <w:num w:numId="14">
    <w:abstractNumId w:val="16"/>
  </w:num>
  <w:num w:numId="15">
    <w:abstractNumId w:val="12"/>
  </w:num>
  <w:num w:numId="16">
    <w:abstractNumId w:val="6"/>
  </w:num>
  <w:num w:numId="17">
    <w:abstractNumId w:val="3"/>
  </w:num>
  <w:num w:numId="18">
    <w:abstractNumId w:val="11"/>
  </w:num>
  <w:num w:numId="19">
    <w:abstractNumId w:val="15"/>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53"/>
    <w:rsid w:val="00014E91"/>
    <w:rsid w:val="00022635"/>
    <w:rsid w:val="000244BC"/>
    <w:rsid w:val="0004570C"/>
    <w:rsid w:val="00053EDE"/>
    <w:rsid w:val="00071D7A"/>
    <w:rsid w:val="00075F04"/>
    <w:rsid w:val="000847C0"/>
    <w:rsid w:val="00097978"/>
    <w:rsid w:val="000B3EDF"/>
    <w:rsid w:val="000B5898"/>
    <w:rsid w:val="000B5BF6"/>
    <w:rsid w:val="000C6EF9"/>
    <w:rsid w:val="000C7CEF"/>
    <w:rsid w:val="000D3913"/>
    <w:rsid w:val="00100FF6"/>
    <w:rsid w:val="00106F69"/>
    <w:rsid w:val="001141BB"/>
    <w:rsid w:val="0013092F"/>
    <w:rsid w:val="00132366"/>
    <w:rsid w:val="00142EFF"/>
    <w:rsid w:val="0014652A"/>
    <w:rsid w:val="00155015"/>
    <w:rsid w:val="001640DF"/>
    <w:rsid w:val="0016539A"/>
    <w:rsid w:val="001743B5"/>
    <w:rsid w:val="001B3CF3"/>
    <w:rsid w:val="001D6F9E"/>
    <w:rsid w:val="001E41D0"/>
    <w:rsid w:val="001E5A11"/>
    <w:rsid w:val="001E5DBE"/>
    <w:rsid w:val="002050A1"/>
    <w:rsid w:val="00216C55"/>
    <w:rsid w:val="00230C8A"/>
    <w:rsid w:val="00232FDC"/>
    <w:rsid w:val="00266B99"/>
    <w:rsid w:val="00267735"/>
    <w:rsid w:val="002A3F81"/>
    <w:rsid w:val="002A47AF"/>
    <w:rsid w:val="002E0227"/>
    <w:rsid w:val="002E2F3A"/>
    <w:rsid w:val="002E4084"/>
    <w:rsid w:val="003177EC"/>
    <w:rsid w:val="00323842"/>
    <w:rsid w:val="00332DCA"/>
    <w:rsid w:val="00333546"/>
    <w:rsid w:val="003424A1"/>
    <w:rsid w:val="003846E7"/>
    <w:rsid w:val="003A2A89"/>
    <w:rsid w:val="003B1AB4"/>
    <w:rsid w:val="003B4896"/>
    <w:rsid w:val="003B6846"/>
    <w:rsid w:val="003C640D"/>
    <w:rsid w:val="003C65E8"/>
    <w:rsid w:val="003E31AF"/>
    <w:rsid w:val="003E529B"/>
    <w:rsid w:val="003F0B0D"/>
    <w:rsid w:val="00400710"/>
    <w:rsid w:val="004146AB"/>
    <w:rsid w:val="0041755D"/>
    <w:rsid w:val="00432230"/>
    <w:rsid w:val="00442BD6"/>
    <w:rsid w:val="00443141"/>
    <w:rsid w:val="00460C00"/>
    <w:rsid w:val="0047121F"/>
    <w:rsid w:val="00481FD2"/>
    <w:rsid w:val="00486D55"/>
    <w:rsid w:val="004A110F"/>
    <w:rsid w:val="004B1CAA"/>
    <w:rsid w:val="004C4F9A"/>
    <w:rsid w:val="004C7F73"/>
    <w:rsid w:val="004D4B77"/>
    <w:rsid w:val="004F1E16"/>
    <w:rsid w:val="00512DE9"/>
    <w:rsid w:val="00516149"/>
    <w:rsid w:val="005215CA"/>
    <w:rsid w:val="00522FA2"/>
    <w:rsid w:val="00526B18"/>
    <w:rsid w:val="005328AF"/>
    <w:rsid w:val="00533A7E"/>
    <w:rsid w:val="005365C1"/>
    <w:rsid w:val="00557E0C"/>
    <w:rsid w:val="005606FC"/>
    <w:rsid w:val="00561BFF"/>
    <w:rsid w:val="005627DA"/>
    <w:rsid w:val="00565AA6"/>
    <w:rsid w:val="0058289C"/>
    <w:rsid w:val="00584C1F"/>
    <w:rsid w:val="005874CF"/>
    <w:rsid w:val="005C5650"/>
    <w:rsid w:val="005E0026"/>
    <w:rsid w:val="005F2109"/>
    <w:rsid w:val="005F5E12"/>
    <w:rsid w:val="005F70C1"/>
    <w:rsid w:val="006128A4"/>
    <w:rsid w:val="00617566"/>
    <w:rsid w:val="00642047"/>
    <w:rsid w:val="0064632C"/>
    <w:rsid w:val="00660A2C"/>
    <w:rsid w:val="00660D30"/>
    <w:rsid w:val="00663405"/>
    <w:rsid w:val="00675820"/>
    <w:rsid w:val="00686A8C"/>
    <w:rsid w:val="006A09CE"/>
    <w:rsid w:val="006E2C5C"/>
    <w:rsid w:val="006F6AC6"/>
    <w:rsid w:val="0070045E"/>
    <w:rsid w:val="0070460A"/>
    <w:rsid w:val="00713ECB"/>
    <w:rsid w:val="00717DFC"/>
    <w:rsid w:val="00725629"/>
    <w:rsid w:val="00733433"/>
    <w:rsid w:val="00741149"/>
    <w:rsid w:val="00767ABE"/>
    <w:rsid w:val="007722E5"/>
    <w:rsid w:val="007761AE"/>
    <w:rsid w:val="00786284"/>
    <w:rsid w:val="00796A01"/>
    <w:rsid w:val="007B3CB1"/>
    <w:rsid w:val="00804F97"/>
    <w:rsid w:val="00813C65"/>
    <w:rsid w:val="0082019A"/>
    <w:rsid w:val="00831530"/>
    <w:rsid w:val="00861571"/>
    <w:rsid w:val="00863607"/>
    <w:rsid w:val="00865396"/>
    <w:rsid w:val="00874A3E"/>
    <w:rsid w:val="00883A8E"/>
    <w:rsid w:val="00883EC0"/>
    <w:rsid w:val="008A0882"/>
    <w:rsid w:val="008A2E8C"/>
    <w:rsid w:val="008B5E00"/>
    <w:rsid w:val="008F50EB"/>
    <w:rsid w:val="00905174"/>
    <w:rsid w:val="0093781C"/>
    <w:rsid w:val="009510E3"/>
    <w:rsid w:val="009542F6"/>
    <w:rsid w:val="00954A9A"/>
    <w:rsid w:val="00961FEC"/>
    <w:rsid w:val="009673B7"/>
    <w:rsid w:val="009822CB"/>
    <w:rsid w:val="00994571"/>
    <w:rsid w:val="009A52EC"/>
    <w:rsid w:val="009B0626"/>
    <w:rsid w:val="009C37B5"/>
    <w:rsid w:val="009C611C"/>
    <w:rsid w:val="009D25E0"/>
    <w:rsid w:val="00A0505A"/>
    <w:rsid w:val="00A1019D"/>
    <w:rsid w:val="00A21EC8"/>
    <w:rsid w:val="00A308F2"/>
    <w:rsid w:val="00A52249"/>
    <w:rsid w:val="00A7035B"/>
    <w:rsid w:val="00A73074"/>
    <w:rsid w:val="00A86FE1"/>
    <w:rsid w:val="00A967FA"/>
    <w:rsid w:val="00AB01E9"/>
    <w:rsid w:val="00AB3B04"/>
    <w:rsid w:val="00AC4AB2"/>
    <w:rsid w:val="00AD597E"/>
    <w:rsid w:val="00AD6E3C"/>
    <w:rsid w:val="00AE6286"/>
    <w:rsid w:val="00AF158E"/>
    <w:rsid w:val="00B22758"/>
    <w:rsid w:val="00B27FCC"/>
    <w:rsid w:val="00B3405A"/>
    <w:rsid w:val="00B50A50"/>
    <w:rsid w:val="00B6334A"/>
    <w:rsid w:val="00B6372E"/>
    <w:rsid w:val="00B63D05"/>
    <w:rsid w:val="00B76E2E"/>
    <w:rsid w:val="00B8546A"/>
    <w:rsid w:val="00B90193"/>
    <w:rsid w:val="00BB3504"/>
    <w:rsid w:val="00BD21A6"/>
    <w:rsid w:val="00BE48FF"/>
    <w:rsid w:val="00BF2123"/>
    <w:rsid w:val="00BF2AE4"/>
    <w:rsid w:val="00BF434E"/>
    <w:rsid w:val="00BF5932"/>
    <w:rsid w:val="00BF7A7D"/>
    <w:rsid w:val="00C15FC2"/>
    <w:rsid w:val="00C4060D"/>
    <w:rsid w:val="00C520E4"/>
    <w:rsid w:val="00C764CD"/>
    <w:rsid w:val="00C77493"/>
    <w:rsid w:val="00C94A27"/>
    <w:rsid w:val="00C96CFD"/>
    <w:rsid w:val="00CB162A"/>
    <w:rsid w:val="00CC4B11"/>
    <w:rsid w:val="00CD0136"/>
    <w:rsid w:val="00CE5D26"/>
    <w:rsid w:val="00CF08FD"/>
    <w:rsid w:val="00D514E4"/>
    <w:rsid w:val="00D65221"/>
    <w:rsid w:val="00D6691B"/>
    <w:rsid w:val="00D66D7B"/>
    <w:rsid w:val="00D670FB"/>
    <w:rsid w:val="00D957EA"/>
    <w:rsid w:val="00DA027B"/>
    <w:rsid w:val="00DA0753"/>
    <w:rsid w:val="00DC1017"/>
    <w:rsid w:val="00DC17B9"/>
    <w:rsid w:val="00DF6669"/>
    <w:rsid w:val="00DF7908"/>
    <w:rsid w:val="00E076B0"/>
    <w:rsid w:val="00E1005F"/>
    <w:rsid w:val="00E12478"/>
    <w:rsid w:val="00E237A9"/>
    <w:rsid w:val="00E300FF"/>
    <w:rsid w:val="00E35557"/>
    <w:rsid w:val="00E50218"/>
    <w:rsid w:val="00E61B03"/>
    <w:rsid w:val="00E62ABB"/>
    <w:rsid w:val="00E6754D"/>
    <w:rsid w:val="00E80CD0"/>
    <w:rsid w:val="00E831B1"/>
    <w:rsid w:val="00EA22FB"/>
    <w:rsid w:val="00ED2FED"/>
    <w:rsid w:val="00ED3CCA"/>
    <w:rsid w:val="00ED51B4"/>
    <w:rsid w:val="00F16EC3"/>
    <w:rsid w:val="00F3394C"/>
    <w:rsid w:val="00F53757"/>
    <w:rsid w:val="00F56486"/>
    <w:rsid w:val="00F7449D"/>
    <w:rsid w:val="00FB75EC"/>
    <w:rsid w:val="00FD2624"/>
    <w:rsid w:val="00FE2CB3"/>
    <w:rsid w:val="00FE3A0C"/>
    <w:rsid w:val="00FF11DF"/>
    <w:rsid w:val="00FF2156"/>
    <w:rsid w:val="00FF3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230"/>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1"/>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af9">
    <w:name w:val="Placeholder Text"/>
    <w:basedOn w:val="a0"/>
    <w:uiPriority w:val="99"/>
    <w:semiHidden/>
    <w:rsid w:val="00A101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230"/>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1"/>
      </w:numPr>
      <w:ind w:left="426" w:hanging="426"/>
    </w:pPr>
  </w:style>
  <w:style w:type="paragraph" w:customStyle="1" w:styleId="FigureCaption">
    <w:name w:val="Figure Caption"/>
    <w:next w:val="Paragraph"/>
    <w:uiPriority w:val="99"/>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uiPriority w:val="99"/>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af9">
    <w:name w:val="Placeholder Text"/>
    <w:basedOn w:val="a0"/>
    <w:uiPriority w:val="99"/>
    <w:semiHidden/>
    <w:rsid w:val="00A101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329">
      <w:bodyDiv w:val="1"/>
      <w:marLeft w:val="0"/>
      <w:marRight w:val="0"/>
      <w:marTop w:val="0"/>
      <w:marBottom w:val="0"/>
      <w:divBdr>
        <w:top w:val="none" w:sz="0" w:space="0" w:color="auto"/>
        <w:left w:val="none" w:sz="0" w:space="0" w:color="auto"/>
        <w:bottom w:val="none" w:sz="0" w:space="0" w:color="auto"/>
        <w:right w:val="none" w:sz="0" w:space="0" w:color="auto"/>
      </w:divBdr>
      <w:divsChild>
        <w:div w:id="1015578159">
          <w:marLeft w:val="0"/>
          <w:marRight w:val="0"/>
          <w:marTop w:val="0"/>
          <w:marBottom w:val="0"/>
          <w:divBdr>
            <w:top w:val="none" w:sz="0" w:space="0" w:color="auto"/>
            <w:left w:val="none" w:sz="0" w:space="0" w:color="auto"/>
            <w:bottom w:val="none" w:sz="0" w:space="0" w:color="auto"/>
            <w:right w:val="none" w:sz="0" w:space="0" w:color="auto"/>
          </w:divBdr>
        </w:div>
      </w:divsChild>
    </w:div>
    <w:div w:id="114835402">
      <w:bodyDiv w:val="1"/>
      <w:marLeft w:val="0"/>
      <w:marRight w:val="0"/>
      <w:marTop w:val="0"/>
      <w:marBottom w:val="0"/>
      <w:divBdr>
        <w:top w:val="none" w:sz="0" w:space="0" w:color="auto"/>
        <w:left w:val="none" w:sz="0" w:space="0" w:color="auto"/>
        <w:bottom w:val="none" w:sz="0" w:space="0" w:color="auto"/>
        <w:right w:val="none" w:sz="0" w:space="0" w:color="auto"/>
      </w:divBdr>
      <w:divsChild>
        <w:div w:id="303892974">
          <w:marLeft w:val="0"/>
          <w:marRight w:val="0"/>
          <w:marTop w:val="0"/>
          <w:marBottom w:val="0"/>
          <w:divBdr>
            <w:top w:val="none" w:sz="0" w:space="0" w:color="auto"/>
            <w:left w:val="none" w:sz="0" w:space="0" w:color="auto"/>
            <w:bottom w:val="none" w:sz="0" w:space="0" w:color="auto"/>
            <w:right w:val="none" w:sz="0" w:space="0" w:color="auto"/>
          </w:divBdr>
        </w:div>
      </w:divsChild>
    </w:div>
    <w:div w:id="376972205">
      <w:bodyDiv w:val="1"/>
      <w:marLeft w:val="0"/>
      <w:marRight w:val="0"/>
      <w:marTop w:val="0"/>
      <w:marBottom w:val="0"/>
      <w:divBdr>
        <w:top w:val="none" w:sz="0" w:space="0" w:color="auto"/>
        <w:left w:val="none" w:sz="0" w:space="0" w:color="auto"/>
        <w:bottom w:val="none" w:sz="0" w:space="0" w:color="auto"/>
        <w:right w:val="none" w:sz="0" w:space="0" w:color="auto"/>
      </w:divBdr>
      <w:divsChild>
        <w:div w:id="1138113250">
          <w:marLeft w:val="0"/>
          <w:marRight w:val="0"/>
          <w:marTop w:val="0"/>
          <w:marBottom w:val="0"/>
          <w:divBdr>
            <w:top w:val="none" w:sz="0" w:space="0" w:color="auto"/>
            <w:left w:val="none" w:sz="0" w:space="0" w:color="auto"/>
            <w:bottom w:val="none" w:sz="0" w:space="0" w:color="auto"/>
            <w:right w:val="none" w:sz="0" w:space="0" w:color="auto"/>
          </w:divBdr>
        </w:div>
      </w:divsChild>
    </w:div>
    <w:div w:id="413286869">
      <w:bodyDiv w:val="1"/>
      <w:marLeft w:val="0"/>
      <w:marRight w:val="0"/>
      <w:marTop w:val="0"/>
      <w:marBottom w:val="0"/>
      <w:divBdr>
        <w:top w:val="none" w:sz="0" w:space="0" w:color="auto"/>
        <w:left w:val="none" w:sz="0" w:space="0" w:color="auto"/>
        <w:bottom w:val="none" w:sz="0" w:space="0" w:color="auto"/>
        <w:right w:val="none" w:sz="0" w:space="0" w:color="auto"/>
      </w:divBdr>
      <w:divsChild>
        <w:div w:id="1714309115">
          <w:marLeft w:val="0"/>
          <w:marRight w:val="0"/>
          <w:marTop w:val="0"/>
          <w:marBottom w:val="0"/>
          <w:divBdr>
            <w:top w:val="none" w:sz="0" w:space="0" w:color="auto"/>
            <w:left w:val="none" w:sz="0" w:space="0" w:color="auto"/>
            <w:bottom w:val="none" w:sz="0" w:space="0" w:color="auto"/>
            <w:right w:val="none" w:sz="0" w:space="0" w:color="auto"/>
          </w:divBdr>
        </w:div>
      </w:divsChild>
    </w:div>
    <w:div w:id="430321139">
      <w:bodyDiv w:val="1"/>
      <w:marLeft w:val="0"/>
      <w:marRight w:val="0"/>
      <w:marTop w:val="0"/>
      <w:marBottom w:val="0"/>
      <w:divBdr>
        <w:top w:val="none" w:sz="0" w:space="0" w:color="auto"/>
        <w:left w:val="none" w:sz="0" w:space="0" w:color="auto"/>
        <w:bottom w:val="none" w:sz="0" w:space="0" w:color="auto"/>
        <w:right w:val="none" w:sz="0" w:space="0" w:color="auto"/>
      </w:divBdr>
      <w:divsChild>
        <w:div w:id="111638157">
          <w:marLeft w:val="0"/>
          <w:marRight w:val="0"/>
          <w:marTop w:val="0"/>
          <w:marBottom w:val="0"/>
          <w:divBdr>
            <w:top w:val="none" w:sz="0" w:space="0" w:color="auto"/>
            <w:left w:val="none" w:sz="0" w:space="0" w:color="auto"/>
            <w:bottom w:val="none" w:sz="0" w:space="0" w:color="auto"/>
            <w:right w:val="none" w:sz="0" w:space="0" w:color="auto"/>
          </w:divBdr>
        </w:div>
      </w:divsChild>
    </w:div>
    <w:div w:id="445077052">
      <w:bodyDiv w:val="1"/>
      <w:marLeft w:val="0"/>
      <w:marRight w:val="0"/>
      <w:marTop w:val="0"/>
      <w:marBottom w:val="0"/>
      <w:divBdr>
        <w:top w:val="none" w:sz="0" w:space="0" w:color="auto"/>
        <w:left w:val="none" w:sz="0" w:space="0" w:color="auto"/>
        <w:bottom w:val="none" w:sz="0" w:space="0" w:color="auto"/>
        <w:right w:val="none" w:sz="0" w:space="0" w:color="auto"/>
      </w:divBdr>
      <w:divsChild>
        <w:div w:id="1988243383">
          <w:marLeft w:val="0"/>
          <w:marRight w:val="0"/>
          <w:marTop w:val="0"/>
          <w:marBottom w:val="0"/>
          <w:divBdr>
            <w:top w:val="none" w:sz="0" w:space="0" w:color="auto"/>
            <w:left w:val="none" w:sz="0" w:space="0" w:color="auto"/>
            <w:bottom w:val="none" w:sz="0" w:space="0" w:color="auto"/>
            <w:right w:val="none" w:sz="0" w:space="0" w:color="auto"/>
          </w:divBdr>
        </w:div>
      </w:divsChild>
    </w:div>
    <w:div w:id="521092429">
      <w:bodyDiv w:val="1"/>
      <w:marLeft w:val="0"/>
      <w:marRight w:val="0"/>
      <w:marTop w:val="0"/>
      <w:marBottom w:val="0"/>
      <w:divBdr>
        <w:top w:val="none" w:sz="0" w:space="0" w:color="auto"/>
        <w:left w:val="none" w:sz="0" w:space="0" w:color="auto"/>
        <w:bottom w:val="none" w:sz="0" w:space="0" w:color="auto"/>
        <w:right w:val="none" w:sz="0" w:space="0" w:color="auto"/>
      </w:divBdr>
      <w:divsChild>
        <w:div w:id="1366253739">
          <w:marLeft w:val="0"/>
          <w:marRight w:val="0"/>
          <w:marTop w:val="0"/>
          <w:marBottom w:val="0"/>
          <w:divBdr>
            <w:top w:val="none" w:sz="0" w:space="0" w:color="auto"/>
            <w:left w:val="none" w:sz="0" w:space="0" w:color="auto"/>
            <w:bottom w:val="none" w:sz="0" w:space="0" w:color="auto"/>
            <w:right w:val="none" w:sz="0" w:space="0" w:color="auto"/>
          </w:divBdr>
        </w:div>
      </w:divsChild>
    </w:div>
    <w:div w:id="738136404">
      <w:bodyDiv w:val="1"/>
      <w:marLeft w:val="0"/>
      <w:marRight w:val="0"/>
      <w:marTop w:val="0"/>
      <w:marBottom w:val="0"/>
      <w:divBdr>
        <w:top w:val="none" w:sz="0" w:space="0" w:color="auto"/>
        <w:left w:val="none" w:sz="0" w:space="0" w:color="auto"/>
        <w:bottom w:val="none" w:sz="0" w:space="0" w:color="auto"/>
        <w:right w:val="none" w:sz="0" w:space="0" w:color="auto"/>
      </w:divBdr>
      <w:divsChild>
        <w:div w:id="1328748774">
          <w:marLeft w:val="0"/>
          <w:marRight w:val="0"/>
          <w:marTop w:val="0"/>
          <w:marBottom w:val="0"/>
          <w:divBdr>
            <w:top w:val="none" w:sz="0" w:space="0" w:color="auto"/>
            <w:left w:val="none" w:sz="0" w:space="0" w:color="auto"/>
            <w:bottom w:val="none" w:sz="0" w:space="0" w:color="auto"/>
            <w:right w:val="none" w:sz="0" w:space="0" w:color="auto"/>
          </w:divBdr>
        </w:div>
      </w:divsChild>
    </w:div>
    <w:div w:id="743143175">
      <w:bodyDiv w:val="1"/>
      <w:marLeft w:val="0"/>
      <w:marRight w:val="0"/>
      <w:marTop w:val="0"/>
      <w:marBottom w:val="0"/>
      <w:divBdr>
        <w:top w:val="none" w:sz="0" w:space="0" w:color="auto"/>
        <w:left w:val="none" w:sz="0" w:space="0" w:color="auto"/>
        <w:bottom w:val="none" w:sz="0" w:space="0" w:color="auto"/>
        <w:right w:val="none" w:sz="0" w:space="0" w:color="auto"/>
      </w:divBdr>
      <w:divsChild>
        <w:div w:id="231157261">
          <w:marLeft w:val="0"/>
          <w:marRight w:val="0"/>
          <w:marTop w:val="0"/>
          <w:marBottom w:val="0"/>
          <w:divBdr>
            <w:top w:val="none" w:sz="0" w:space="0" w:color="auto"/>
            <w:left w:val="none" w:sz="0" w:space="0" w:color="auto"/>
            <w:bottom w:val="none" w:sz="0" w:space="0" w:color="auto"/>
            <w:right w:val="none" w:sz="0" w:space="0" w:color="auto"/>
          </w:divBdr>
        </w:div>
      </w:divsChild>
    </w:div>
    <w:div w:id="965235837">
      <w:bodyDiv w:val="1"/>
      <w:marLeft w:val="0"/>
      <w:marRight w:val="0"/>
      <w:marTop w:val="0"/>
      <w:marBottom w:val="0"/>
      <w:divBdr>
        <w:top w:val="none" w:sz="0" w:space="0" w:color="auto"/>
        <w:left w:val="none" w:sz="0" w:space="0" w:color="auto"/>
        <w:bottom w:val="none" w:sz="0" w:space="0" w:color="auto"/>
        <w:right w:val="none" w:sz="0" w:space="0" w:color="auto"/>
      </w:divBdr>
      <w:divsChild>
        <w:div w:id="943466397">
          <w:marLeft w:val="0"/>
          <w:marRight w:val="0"/>
          <w:marTop w:val="0"/>
          <w:marBottom w:val="0"/>
          <w:divBdr>
            <w:top w:val="none" w:sz="0" w:space="0" w:color="auto"/>
            <w:left w:val="none" w:sz="0" w:space="0" w:color="auto"/>
            <w:bottom w:val="none" w:sz="0" w:space="0" w:color="auto"/>
            <w:right w:val="none" w:sz="0" w:space="0" w:color="auto"/>
          </w:divBdr>
        </w:div>
      </w:divsChild>
    </w:div>
    <w:div w:id="965963545">
      <w:bodyDiv w:val="1"/>
      <w:marLeft w:val="0"/>
      <w:marRight w:val="0"/>
      <w:marTop w:val="0"/>
      <w:marBottom w:val="0"/>
      <w:divBdr>
        <w:top w:val="none" w:sz="0" w:space="0" w:color="auto"/>
        <w:left w:val="none" w:sz="0" w:space="0" w:color="auto"/>
        <w:bottom w:val="none" w:sz="0" w:space="0" w:color="auto"/>
        <w:right w:val="none" w:sz="0" w:space="0" w:color="auto"/>
      </w:divBdr>
      <w:divsChild>
        <w:div w:id="829294527">
          <w:marLeft w:val="0"/>
          <w:marRight w:val="0"/>
          <w:marTop w:val="0"/>
          <w:marBottom w:val="0"/>
          <w:divBdr>
            <w:top w:val="none" w:sz="0" w:space="0" w:color="auto"/>
            <w:left w:val="none" w:sz="0" w:space="0" w:color="auto"/>
            <w:bottom w:val="none" w:sz="0" w:space="0" w:color="auto"/>
            <w:right w:val="none" w:sz="0" w:space="0" w:color="auto"/>
          </w:divBdr>
        </w:div>
      </w:divsChild>
    </w:div>
    <w:div w:id="976646013">
      <w:bodyDiv w:val="1"/>
      <w:marLeft w:val="0"/>
      <w:marRight w:val="0"/>
      <w:marTop w:val="0"/>
      <w:marBottom w:val="0"/>
      <w:divBdr>
        <w:top w:val="none" w:sz="0" w:space="0" w:color="auto"/>
        <w:left w:val="none" w:sz="0" w:space="0" w:color="auto"/>
        <w:bottom w:val="none" w:sz="0" w:space="0" w:color="auto"/>
        <w:right w:val="none" w:sz="0" w:space="0" w:color="auto"/>
      </w:divBdr>
      <w:divsChild>
        <w:div w:id="1177499246">
          <w:marLeft w:val="0"/>
          <w:marRight w:val="0"/>
          <w:marTop w:val="0"/>
          <w:marBottom w:val="0"/>
          <w:divBdr>
            <w:top w:val="none" w:sz="0" w:space="0" w:color="auto"/>
            <w:left w:val="none" w:sz="0" w:space="0" w:color="auto"/>
            <w:bottom w:val="none" w:sz="0" w:space="0" w:color="auto"/>
            <w:right w:val="none" w:sz="0" w:space="0" w:color="auto"/>
          </w:divBdr>
        </w:div>
      </w:divsChild>
    </w:div>
    <w:div w:id="1015959055">
      <w:bodyDiv w:val="1"/>
      <w:marLeft w:val="0"/>
      <w:marRight w:val="0"/>
      <w:marTop w:val="0"/>
      <w:marBottom w:val="0"/>
      <w:divBdr>
        <w:top w:val="none" w:sz="0" w:space="0" w:color="auto"/>
        <w:left w:val="none" w:sz="0" w:space="0" w:color="auto"/>
        <w:bottom w:val="none" w:sz="0" w:space="0" w:color="auto"/>
        <w:right w:val="none" w:sz="0" w:space="0" w:color="auto"/>
      </w:divBdr>
    </w:div>
    <w:div w:id="1067193342">
      <w:bodyDiv w:val="1"/>
      <w:marLeft w:val="0"/>
      <w:marRight w:val="0"/>
      <w:marTop w:val="0"/>
      <w:marBottom w:val="0"/>
      <w:divBdr>
        <w:top w:val="none" w:sz="0" w:space="0" w:color="auto"/>
        <w:left w:val="none" w:sz="0" w:space="0" w:color="auto"/>
        <w:bottom w:val="none" w:sz="0" w:space="0" w:color="auto"/>
        <w:right w:val="none" w:sz="0" w:space="0" w:color="auto"/>
      </w:divBdr>
      <w:divsChild>
        <w:div w:id="103891037">
          <w:marLeft w:val="0"/>
          <w:marRight w:val="0"/>
          <w:marTop w:val="0"/>
          <w:marBottom w:val="0"/>
          <w:divBdr>
            <w:top w:val="none" w:sz="0" w:space="0" w:color="auto"/>
            <w:left w:val="none" w:sz="0" w:space="0" w:color="auto"/>
            <w:bottom w:val="none" w:sz="0" w:space="0" w:color="auto"/>
            <w:right w:val="none" w:sz="0" w:space="0" w:color="auto"/>
          </w:divBdr>
        </w:div>
      </w:divsChild>
    </w:div>
    <w:div w:id="1076703110">
      <w:bodyDiv w:val="1"/>
      <w:marLeft w:val="0"/>
      <w:marRight w:val="0"/>
      <w:marTop w:val="0"/>
      <w:marBottom w:val="0"/>
      <w:divBdr>
        <w:top w:val="none" w:sz="0" w:space="0" w:color="auto"/>
        <w:left w:val="none" w:sz="0" w:space="0" w:color="auto"/>
        <w:bottom w:val="none" w:sz="0" w:space="0" w:color="auto"/>
        <w:right w:val="none" w:sz="0" w:space="0" w:color="auto"/>
      </w:divBdr>
      <w:divsChild>
        <w:div w:id="976379405">
          <w:marLeft w:val="0"/>
          <w:marRight w:val="0"/>
          <w:marTop w:val="0"/>
          <w:marBottom w:val="0"/>
          <w:divBdr>
            <w:top w:val="none" w:sz="0" w:space="0" w:color="auto"/>
            <w:left w:val="none" w:sz="0" w:space="0" w:color="auto"/>
            <w:bottom w:val="none" w:sz="0" w:space="0" w:color="auto"/>
            <w:right w:val="none" w:sz="0" w:space="0" w:color="auto"/>
          </w:divBdr>
        </w:div>
      </w:divsChild>
    </w:div>
    <w:div w:id="1098522615">
      <w:bodyDiv w:val="1"/>
      <w:marLeft w:val="0"/>
      <w:marRight w:val="0"/>
      <w:marTop w:val="0"/>
      <w:marBottom w:val="0"/>
      <w:divBdr>
        <w:top w:val="none" w:sz="0" w:space="0" w:color="auto"/>
        <w:left w:val="none" w:sz="0" w:space="0" w:color="auto"/>
        <w:bottom w:val="none" w:sz="0" w:space="0" w:color="auto"/>
        <w:right w:val="none" w:sz="0" w:space="0" w:color="auto"/>
      </w:divBdr>
    </w:div>
    <w:div w:id="1115489819">
      <w:bodyDiv w:val="1"/>
      <w:marLeft w:val="0"/>
      <w:marRight w:val="0"/>
      <w:marTop w:val="0"/>
      <w:marBottom w:val="0"/>
      <w:divBdr>
        <w:top w:val="none" w:sz="0" w:space="0" w:color="auto"/>
        <w:left w:val="none" w:sz="0" w:space="0" w:color="auto"/>
        <w:bottom w:val="none" w:sz="0" w:space="0" w:color="auto"/>
        <w:right w:val="none" w:sz="0" w:space="0" w:color="auto"/>
      </w:divBdr>
      <w:divsChild>
        <w:div w:id="740444594">
          <w:marLeft w:val="0"/>
          <w:marRight w:val="0"/>
          <w:marTop w:val="0"/>
          <w:marBottom w:val="0"/>
          <w:divBdr>
            <w:top w:val="none" w:sz="0" w:space="0" w:color="auto"/>
            <w:left w:val="none" w:sz="0" w:space="0" w:color="auto"/>
            <w:bottom w:val="none" w:sz="0" w:space="0" w:color="auto"/>
            <w:right w:val="none" w:sz="0" w:space="0" w:color="auto"/>
          </w:divBdr>
        </w:div>
      </w:divsChild>
    </w:div>
    <w:div w:id="1229923729">
      <w:bodyDiv w:val="1"/>
      <w:marLeft w:val="0"/>
      <w:marRight w:val="0"/>
      <w:marTop w:val="0"/>
      <w:marBottom w:val="0"/>
      <w:divBdr>
        <w:top w:val="none" w:sz="0" w:space="0" w:color="auto"/>
        <w:left w:val="none" w:sz="0" w:space="0" w:color="auto"/>
        <w:bottom w:val="none" w:sz="0" w:space="0" w:color="auto"/>
        <w:right w:val="none" w:sz="0" w:space="0" w:color="auto"/>
      </w:divBdr>
      <w:divsChild>
        <w:div w:id="2079398502">
          <w:marLeft w:val="0"/>
          <w:marRight w:val="0"/>
          <w:marTop w:val="0"/>
          <w:marBottom w:val="0"/>
          <w:divBdr>
            <w:top w:val="none" w:sz="0" w:space="0" w:color="auto"/>
            <w:left w:val="none" w:sz="0" w:space="0" w:color="auto"/>
            <w:bottom w:val="none" w:sz="0" w:space="0" w:color="auto"/>
            <w:right w:val="none" w:sz="0" w:space="0" w:color="auto"/>
          </w:divBdr>
        </w:div>
      </w:divsChild>
    </w:div>
    <w:div w:id="1310212934">
      <w:bodyDiv w:val="1"/>
      <w:marLeft w:val="0"/>
      <w:marRight w:val="0"/>
      <w:marTop w:val="0"/>
      <w:marBottom w:val="0"/>
      <w:divBdr>
        <w:top w:val="none" w:sz="0" w:space="0" w:color="auto"/>
        <w:left w:val="none" w:sz="0" w:space="0" w:color="auto"/>
        <w:bottom w:val="none" w:sz="0" w:space="0" w:color="auto"/>
        <w:right w:val="none" w:sz="0" w:space="0" w:color="auto"/>
      </w:divBdr>
      <w:divsChild>
        <w:div w:id="856622049">
          <w:marLeft w:val="0"/>
          <w:marRight w:val="0"/>
          <w:marTop w:val="0"/>
          <w:marBottom w:val="0"/>
          <w:divBdr>
            <w:top w:val="none" w:sz="0" w:space="0" w:color="auto"/>
            <w:left w:val="none" w:sz="0" w:space="0" w:color="auto"/>
            <w:bottom w:val="none" w:sz="0" w:space="0" w:color="auto"/>
            <w:right w:val="none" w:sz="0" w:space="0" w:color="auto"/>
          </w:divBdr>
        </w:div>
      </w:divsChild>
    </w:div>
    <w:div w:id="1396004920">
      <w:bodyDiv w:val="1"/>
      <w:marLeft w:val="0"/>
      <w:marRight w:val="0"/>
      <w:marTop w:val="0"/>
      <w:marBottom w:val="0"/>
      <w:divBdr>
        <w:top w:val="none" w:sz="0" w:space="0" w:color="auto"/>
        <w:left w:val="none" w:sz="0" w:space="0" w:color="auto"/>
        <w:bottom w:val="none" w:sz="0" w:space="0" w:color="auto"/>
        <w:right w:val="none" w:sz="0" w:space="0" w:color="auto"/>
      </w:divBdr>
      <w:divsChild>
        <w:div w:id="1607927090">
          <w:marLeft w:val="0"/>
          <w:marRight w:val="0"/>
          <w:marTop w:val="0"/>
          <w:marBottom w:val="0"/>
          <w:divBdr>
            <w:top w:val="none" w:sz="0" w:space="0" w:color="auto"/>
            <w:left w:val="none" w:sz="0" w:space="0" w:color="auto"/>
            <w:bottom w:val="none" w:sz="0" w:space="0" w:color="auto"/>
            <w:right w:val="none" w:sz="0" w:space="0" w:color="auto"/>
          </w:divBdr>
        </w:div>
      </w:divsChild>
    </w:div>
    <w:div w:id="1397047736">
      <w:bodyDiv w:val="1"/>
      <w:marLeft w:val="0"/>
      <w:marRight w:val="0"/>
      <w:marTop w:val="0"/>
      <w:marBottom w:val="0"/>
      <w:divBdr>
        <w:top w:val="none" w:sz="0" w:space="0" w:color="auto"/>
        <w:left w:val="none" w:sz="0" w:space="0" w:color="auto"/>
        <w:bottom w:val="none" w:sz="0" w:space="0" w:color="auto"/>
        <w:right w:val="none" w:sz="0" w:space="0" w:color="auto"/>
      </w:divBdr>
      <w:divsChild>
        <w:div w:id="1166900682">
          <w:marLeft w:val="0"/>
          <w:marRight w:val="0"/>
          <w:marTop w:val="0"/>
          <w:marBottom w:val="0"/>
          <w:divBdr>
            <w:top w:val="none" w:sz="0" w:space="0" w:color="auto"/>
            <w:left w:val="none" w:sz="0" w:space="0" w:color="auto"/>
            <w:bottom w:val="none" w:sz="0" w:space="0" w:color="auto"/>
            <w:right w:val="none" w:sz="0" w:space="0" w:color="auto"/>
          </w:divBdr>
        </w:div>
      </w:divsChild>
    </w:div>
    <w:div w:id="1404063010">
      <w:bodyDiv w:val="1"/>
      <w:marLeft w:val="0"/>
      <w:marRight w:val="0"/>
      <w:marTop w:val="0"/>
      <w:marBottom w:val="0"/>
      <w:divBdr>
        <w:top w:val="none" w:sz="0" w:space="0" w:color="auto"/>
        <w:left w:val="none" w:sz="0" w:space="0" w:color="auto"/>
        <w:bottom w:val="none" w:sz="0" w:space="0" w:color="auto"/>
        <w:right w:val="none" w:sz="0" w:space="0" w:color="auto"/>
      </w:divBdr>
      <w:divsChild>
        <w:div w:id="1070083170">
          <w:marLeft w:val="0"/>
          <w:marRight w:val="0"/>
          <w:marTop w:val="0"/>
          <w:marBottom w:val="0"/>
          <w:divBdr>
            <w:top w:val="none" w:sz="0" w:space="0" w:color="auto"/>
            <w:left w:val="none" w:sz="0" w:space="0" w:color="auto"/>
            <w:bottom w:val="none" w:sz="0" w:space="0" w:color="auto"/>
            <w:right w:val="none" w:sz="0" w:space="0" w:color="auto"/>
          </w:divBdr>
        </w:div>
      </w:divsChild>
    </w:div>
    <w:div w:id="1416785265">
      <w:bodyDiv w:val="1"/>
      <w:marLeft w:val="0"/>
      <w:marRight w:val="0"/>
      <w:marTop w:val="0"/>
      <w:marBottom w:val="0"/>
      <w:divBdr>
        <w:top w:val="none" w:sz="0" w:space="0" w:color="auto"/>
        <w:left w:val="none" w:sz="0" w:space="0" w:color="auto"/>
        <w:bottom w:val="none" w:sz="0" w:space="0" w:color="auto"/>
        <w:right w:val="none" w:sz="0" w:space="0" w:color="auto"/>
      </w:divBdr>
      <w:divsChild>
        <w:div w:id="484589628">
          <w:marLeft w:val="0"/>
          <w:marRight w:val="0"/>
          <w:marTop w:val="0"/>
          <w:marBottom w:val="0"/>
          <w:divBdr>
            <w:top w:val="none" w:sz="0" w:space="0" w:color="auto"/>
            <w:left w:val="none" w:sz="0" w:space="0" w:color="auto"/>
            <w:bottom w:val="none" w:sz="0" w:space="0" w:color="auto"/>
            <w:right w:val="none" w:sz="0" w:space="0" w:color="auto"/>
          </w:divBdr>
        </w:div>
      </w:divsChild>
    </w:div>
    <w:div w:id="1458793286">
      <w:bodyDiv w:val="1"/>
      <w:marLeft w:val="0"/>
      <w:marRight w:val="0"/>
      <w:marTop w:val="0"/>
      <w:marBottom w:val="0"/>
      <w:divBdr>
        <w:top w:val="none" w:sz="0" w:space="0" w:color="auto"/>
        <w:left w:val="none" w:sz="0" w:space="0" w:color="auto"/>
        <w:bottom w:val="none" w:sz="0" w:space="0" w:color="auto"/>
        <w:right w:val="none" w:sz="0" w:space="0" w:color="auto"/>
      </w:divBdr>
      <w:divsChild>
        <w:div w:id="89740409">
          <w:marLeft w:val="0"/>
          <w:marRight w:val="0"/>
          <w:marTop w:val="0"/>
          <w:marBottom w:val="0"/>
          <w:divBdr>
            <w:top w:val="none" w:sz="0" w:space="0" w:color="auto"/>
            <w:left w:val="none" w:sz="0" w:space="0" w:color="auto"/>
            <w:bottom w:val="none" w:sz="0" w:space="0" w:color="auto"/>
            <w:right w:val="none" w:sz="0" w:space="0" w:color="auto"/>
          </w:divBdr>
        </w:div>
      </w:divsChild>
    </w:div>
    <w:div w:id="1635212024">
      <w:bodyDiv w:val="1"/>
      <w:marLeft w:val="0"/>
      <w:marRight w:val="0"/>
      <w:marTop w:val="0"/>
      <w:marBottom w:val="0"/>
      <w:divBdr>
        <w:top w:val="none" w:sz="0" w:space="0" w:color="auto"/>
        <w:left w:val="none" w:sz="0" w:space="0" w:color="auto"/>
        <w:bottom w:val="none" w:sz="0" w:space="0" w:color="auto"/>
        <w:right w:val="none" w:sz="0" w:space="0" w:color="auto"/>
      </w:divBdr>
      <w:divsChild>
        <w:div w:id="1354843040">
          <w:marLeft w:val="0"/>
          <w:marRight w:val="0"/>
          <w:marTop w:val="0"/>
          <w:marBottom w:val="0"/>
          <w:divBdr>
            <w:top w:val="none" w:sz="0" w:space="0" w:color="auto"/>
            <w:left w:val="none" w:sz="0" w:space="0" w:color="auto"/>
            <w:bottom w:val="none" w:sz="0" w:space="0" w:color="auto"/>
            <w:right w:val="none" w:sz="0" w:space="0" w:color="auto"/>
          </w:divBdr>
        </w:div>
      </w:divsChild>
    </w:div>
    <w:div w:id="1710883735">
      <w:bodyDiv w:val="1"/>
      <w:marLeft w:val="0"/>
      <w:marRight w:val="0"/>
      <w:marTop w:val="0"/>
      <w:marBottom w:val="0"/>
      <w:divBdr>
        <w:top w:val="none" w:sz="0" w:space="0" w:color="auto"/>
        <w:left w:val="none" w:sz="0" w:space="0" w:color="auto"/>
        <w:bottom w:val="none" w:sz="0" w:space="0" w:color="auto"/>
        <w:right w:val="none" w:sz="0" w:space="0" w:color="auto"/>
      </w:divBdr>
      <w:divsChild>
        <w:div w:id="112987003">
          <w:marLeft w:val="0"/>
          <w:marRight w:val="0"/>
          <w:marTop w:val="0"/>
          <w:marBottom w:val="0"/>
          <w:divBdr>
            <w:top w:val="none" w:sz="0" w:space="0" w:color="auto"/>
            <w:left w:val="none" w:sz="0" w:space="0" w:color="auto"/>
            <w:bottom w:val="none" w:sz="0" w:space="0" w:color="auto"/>
            <w:right w:val="none" w:sz="0" w:space="0" w:color="auto"/>
          </w:divBdr>
        </w:div>
      </w:divsChild>
    </w:div>
    <w:div w:id="1822691883">
      <w:bodyDiv w:val="1"/>
      <w:marLeft w:val="0"/>
      <w:marRight w:val="0"/>
      <w:marTop w:val="0"/>
      <w:marBottom w:val="0"/>
      <w:divBdr>
        <w:top w:val="none" w:sz="0" w:space="0" w:color="auto"/>
        <w:left w:val="none" w:sz="0" w:space="0" w:color="auto"/>
        <w:bottom w:val="none" w:sz="0" w:space="0" w:color="auto"/>
        <w:right w:val="none" w:sz="0" w:space="0" w:color="auto"/>
      </w:divBdr>
      <w:divsChild>
        <w:div w:id="478496802">
          <w:marLeft w:val="0"/>
          <w:marRight w:val="0"/>
          <w:marTop w:val="0"/>
          <w:marBottom w:val="0"/>
          <w:divBdr>
            <w:top w:val="none" w:sz="0" w:space="0" w:color="auto"/>
            <w:left w:val="none" w:sz="0" w:space="0" w:color="auto"/>
            <w:bottom w:val="none" w:sz="0" w:space="0" w:color="auto"/>
            <w:right w:val="none" w:sz="0" w:space="0" w:color="auto"/>
          </w:divBdr>
        </w:div>
      </w:divsChild>
    </w:div>
    <w:div w:id="1944534170">
      <w:bodyDiv w:val="1"/>
      <w:marLeft w:val="0"/>
      <w:marRight w:val="0"/>
      <w:marTop w:val="0"/>
      <w:marBottom w:val="0"/>
      <w:divBdr>
        <w:top w:val="none" w:sz="0" w:space="0" w:color="auto"/>
        <w:left w:val="none" w:sz="0" w:space="0" w:color="auto"/>
        <w:bottom w:val="none" w:sz="0" w:space="0" w:color="auto"/>
        <w:right w:val="none" w:sz="0" w:space="0" w:color="auto"/>
      </w:divBdr>
      <w:divsChild>
        <w:div w:id="1995833560">
          <w:marLeft w:val="0"/>
          <w:marRight w:val="0"/>
          <w:marTop w:val="0"/>
          <w:marBottom w:val="0"/>
          <w:divBdr>
            <w:top w:val="none" w:sz="0" w:space="0" w:color="auto"/>
            <w:left w:val="none" w:sz="0" w:space="0" w:color="auto"/>
            <w:bottom w:val="none" w:sz="0" w:space="0" w:color="auto"/>
            <w:right w:val="none" w:sz="0" w:space="0" w:color="auto"/>
          </w:divBdr>
        </w:div>
      </w:divsChild>
    </w:div>
    <w:div w:id="1989631325">
      <w:bodyDiv w:val="1"/>
      <w:marLeft w:val="0"/>
      <w:marRight w:val="0"/>
      <w:marTop w:val="0"/>
      <w:marBottom w:val="0"/>
      <w:divBdr>
        <w:top w:val="none" w:sz="0" w:space="0" w:color="auto"/>
        <w:left w:val="none" w:sz="0" w:space="0" w:color="auto"/>
        <w:bottom w:val="none" w:sz="0" w:space="0" w:color="auto"/>
        <w:right w:val="none" w:sz="0" w:space="0" w:color="auto"/>
      </w:divBdr>
      <w:divsChild>
        <w:div w:id="1547136154">
          <w:marLeft w:val="0"/>
          <w:marRight w:val="0"/>
          <w:marTop w:val="0"/>
          <w:marBottom w:val="0"/>
          <w:divBdr>
            <w:top w:val="none" w:sz="0" w:space="0" w:color="auto"/>
            <w:left w:val="none" w:sz="0" w:space="0" w:color="auto"/>
            <w:bottom w:val="none" w:sz="0" w:space="0" w:color="auto"/>
            <w:right w:val="none" w:sz="0" w:space="0" w:color="auto"/>
          </w:divBdr>
        </w:div>
      </w:divsChild>
    </w:div>
    <w:div w:id="2093115040">
      <w:bodyDiv w:val="1"/>
      <w:marLeft w:val="0"/>
      <w:marRight w:val="0"/>
      <w:marTop w:val="0"/>
      <w:marBottom w:val="0"/>
      <w:divBdr>
        <w:top w:val="none" w:sz="0" w:space="0" w:color="auto"/>
        <w:left w:val="none" w:sz="0" w:space="0" w:color="auto"/>
        <w:bottom w:val="none" w:sz="0" w:space="0" w:color="auto"/>
        <w:right w:val="none" w:sz="0" w:space="0" w:color="auto"/>
      </w:divBdr>
      <w:divsChild>
        <w:div w:id="1093169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acp-24-789-2024" TargetMode="External"/><Relationship Id="rId13" Type="http://schemas.openxmlformats.org/officeDocument/2006/relationships/hyperlink" Target="https://doi.org/10.3390/atmos14010048" TargetMode="External"/><Relationship Id="rId18" Type="http://schemas.openxmlformats.org/officeDocument/2006/relationships/hyperlink" Target="https://doi.org/10.1016/j.jcp.2024.113456" TargetMode="External"/><Relationship Id="rId26" Type="http://schemas.openxmlformats.org/officeDocument/2006/relationships/hyperlink" Target="https://doi.org/10.1103/PhysRevE.108.035102" TargetMode="External"/><Relationship Id="rId3" Type="http://schemas.openxmlformats.org/officeDocument/2006/relationships/styles" Target="styles.xml"/><Relationship Id="rId21" Type="http://schemas.openxmlformats.org/officeDocument/2006/relationships/hyperlink" Target="https://doi.org/10.3390/atmos11121369" TargetMode="External"/><Relationship Id="rId34" Type="http://schemas.openxmlformats.org/officeDocument/2006/relationships/hyperlink" Target="https://doi.org/10.1016/j.apr.2022.101456" TargetMode="External"/><Relationship Id="rId7" Type="http://schemas.openxmlformats.org/officeDocument/2006/relationships/hyperlink" Target="https://doi.org/10.1016/j.atmosenv.2017.06.042" TargetMode="External"/><Relationship Id="rId12" Type="http://schemas.openxmlformats.org/officeDocument/2006/relationships/hyperlink" Target="https://doi.org/10.1016/j.envsoft.2023.105769" TargetMode="External"/><Relationship Id="rId17" Type="http://schemas.openxmlformats.org/officeDocument/2006/relationships/hyperlink" Target="https://doi.org/10.1126/sciadv.abo7484" TargetMode="External"/><Relationship Id="rId25" Type="http://schemas.openxmlformats.org/officeDocument/2006/relationships/hyperlink" Target="https://doi.org/10.1016/j.atmosenv.2021.118656" TargetMode="External"/><Relationship Id="rId33" Type="http://schemas.openxmlformats.org/officeDocument/2006/relationships/hyperlink" Target="https://doi.org/10.3390/atmos14060944" TargetMode="External"/><Relationship Id="rId2" Type="http://schemas.openxmlformats.org/officeDocument/2006/relationships/numbering" Target="numbering.xml"/><Relationship Id="rId16" Type="http://schemas.openxmlformats.org/officeDocument/2006/relationships/hyperlink" Target="https://doi.org/10.3390/atmos14081287" TargetMode="External"/><Relationship Id="rId20" Type="http://schemas.openxmlformats.org/officeDocument/2006/relationships/hyperlink" Target="https://doi.org/10.3390/atmos15030315" TargetMode="External"/><Relationship Id="rId29" Type="http://schemas.openxmlformats.org/officeDocument/2006/relationships/hyperlink" Target="https://doi.org/10.1016/j.jenvman.2024.1219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3/PhysRevResearch.6.043321" TargetMode="External"/><Relationship Id="rId24" Type="http://schemas.openxmlformats.org/officeDocument/2006/relationships/hyperlink" Target="https://doi.org/10.1038/s41598-024-69663-2" TargetMode="External"/><Relationship Id="rId32" Type="http://schemas.openxmlformats.org/officeDocument/2006/relationships/hyperlink" Target="https://doi.org/10.3389/fphy.2024.1412664" TargetMode="External"/><Relationship Id="rId5" Type="http://schemas.openxmlformats.org/officeDocument/2006/relationships/settings" Target="settings.xml"/><Relationship Id="rId15" Type="http://schemas.openxmlformats.org/officeDocument/2006/relationships/hyperlink" Target="https://doi.org/10.3390/sci6030048" TargetMode="External"/><Relationship Id="rId23" Type="http://schemas.openxmlformats.org/officeDocument/2006/relationships/hyperlink" Target="https://doi.org/10.1016/j.jenvman.2024.122432" TargetMode="External"/><Relationship Id="rId28" Type="http://schemas.openxmlformats.org/officeDocument/2006/relationships/hyperlink" Target="https://doi.org/10.3390/atmos11020168" TargetMode="External"/><Relationship Id="rId36" Type="http://schemas.openxmlformats.org/officeDocument/2006/relationships/theme" Target="theme/theme1.xml"/><Relationship Id="rId10" Type="http://schemas.openxmlformats.org/officeDocument/2006/relationships/hyperlink" Target="https://doi.org/10.1002/jcc.27012" TargetMode="External"/><Relationship Id="rId19" Type="http://schemas.openxmlformats.org/officeDocument/2006/relationships/hyperlink" Target="https://doi.org/10.1016/j.envsoft.2022.105539" TargetMode="External"/><Relationship Id="rId31" Type="http://schemas.openxmlformats.org/officeDocument/2006/relationships/hyperlink" Target="https://doi.org/10.1016/j.jenvman.2024.122345" TargetMode="External"/><Relationship Id="rId4" Type="http://schemas.microsoft.com/office/2007/relationships/stylesWithEffects" Target="stylesWithEffects.xml"/><Relationship Id="rId9" Type="http://schemas.openxmlformats.org/officeDocument/2006/relationships/hyperlink" Target="https://doi.org/10.3390/atmos13101640" TargetMode="External"/><Relationship Id="rId14" Type="http://schemas.openxmlformats.org/officeDocument/2006/relationships/hyperlink" Target="https://doi.org/10.1016/j.atmosenv.2022.119567" TargetMode="External"/><Relationship Id="rId22" Type="http://schemas.openxmlformats.org/officeDocument/2006/relationships/hyperlink" Target="https://doi.org/10.5194/gmd-16-2477-2023" TargetMode="External"/><Relationship Id="rId27" Type="http://schemas.openxmlformats.org/officeDocument/2006/relationships/hyperlink" Target="https://doi.org/10.1016/j.compfluid.2023.106058" TargetMode="External"/><Relationship Id="rId30" Type="http://schemas.openxmlformats.org/officeDocument/2006/relationships/hyperlink" Target="https://doi.org/10.1021/acs.est.3c0820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5242</Words>
  <Characters>29883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18</cp:revision>
  <dcterms:created xsi:type="dcterms:W3CDTF">2025-09-19T13:06:00Z</dcterms:created>
  <dcterms:modified xsi:type="dcterms:W3CDTF">2025-11-17T11:08:00Z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