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20C64C71" w:rsidR="00AC792D" w:rsidRPr="00AC792D" w:rsidRDefault="00A56531" w:rsidP="00713371">
      <w:pPr>
        <w:tabs>
          <w:tab w:val="left" w:pos="0"/>
        </w:tabs>
        <w:spacing w:before="1200" w:after="0" w:line="240" w:lineRule="auto"/>
        <w:jc w:val="center"/>
        <w:rPr>
          <w:rFonts w:ascii="Times New Roman" w:hAnsi="Times New Roman"/>
          <w:b/>
          <w:sz w:val="36"/>
          <w:szCs w:val="36"/>
          <w:lang w:val="en-US"/>
        </w:rPr>
      </w:pPr>
      <w:r>
        <w:rPr>
          <w:rFonts w:ascii="Times New Roman" w:hAnsi="Times New Roman"/>
          <w:b/>
          <w:sz w:val="36"/>
          <w:szCs w:val="36"/>
          <w:lang w:val="en-US"/>
        </w:rPr>
        <w:t>Q</w:t>
      </w:r>
      <w:r w:rsidRPr="00A56531">
        <w:rPr>
          <w:rFonts w:ascii="Times New Roman" w:hAnsi="Times New Roman"/>
          <w:b/>
          <w:sz w:val="36"/>
          <w:szCs w:val="36"/>
          <w:lang w:val="uz-Cyrl-UZ"/>
        </w:rPr>
        <w:t xml:space="preserve">uantum Oscillation Effects in Semiconductor Structures under a Static Magnetic Field </w:t>
      </w:r>
    </w:p>
    <w:p w14:paraId="0C424F37" w14:textId="2445FC75" w:rsidR="001879EE" w:rsidRPr="00CE3FE1" w:rsidRDefault="003C2C6E" w:rsidP="00F32D85">
      <w:pPr>
        <w:tabs>
          <w:tab w:val="left" w:pos="0"/>
        </w:tabs>
        <w:spacing w:before="360" w:after="360" w:line="240" w:lineRule="auto"/>
        <w:jc w:val="center"/>
        <w:rPr>
          <w:rFonts w:ascii="Times New Roman" w:hAnsi="Times New Roman"/>
          <w:sz w:val="28"/>
          <w:szCs w:val="36"/>
          <w:vertAlign w:val="superscript"/>
          <w:lang w:val="en-US"/>
        </w:rPr>
      </w:pPr>
      <w:r>
        <w:rPr>
          <w:rFonts w:ascii="Times New Roman" w:hAnsi="Times New Roman"/>
          <w:sz w:val="28"/>
          <w:szCs w:val="36"/>
          <w:lang w:val="en-US"/>
        </w:rPr>
        <w:t>Ulugbek Erkaboev</w:t>
      </w:r>
      <w:r w:rsidR="00775F51">
        <w:rPr>
          <w:rFonts w:ascii="Times New Roman" w:hAnsi="Times New Roman"/>
          <w:sz w:val="28"/>
          <w:szCs w:val="36"/>
          <w:vertAlign w:val="superscript"/>
          <w:lang w:val="en-US"/>
        </w:rPr>
        <w:t>1</w:t>
      </w:r>
      <w:r>
        <w:rPr>
          <w:rFonts w:ascii="Times New Roman" w:hAnsi="Times New Roman"/>
          <w:sz w:val="28"/>
          <w:szCs w:val="36"/>
          <w:lang w:val="en-US"/>
        </w:rPr>
        <w:t xml:space="preserve">, </w:t>
      </w:r>
      <w:proofErr w:type="spellStart"/>
      <w:r>
        <w:rPr>
          <w:rFonts w:ascii="Times New Roman" w:hAnsi="Times New Roman"/>
          <w:sz w:val="28"/>
          <w:szCs w:val="36"/>
          <w:lang w:val="en-US"/>
        </w:rPr>
        <w:t>Rustamjon</w:t>
      </w:r>
      <w:proofErr w:type="spellEnd"/>
      <w:r>
        <w:rPr>
          <w:rFonts w:ascii="Times New Roman" w:hAnsi="Times New Roman"/>
          <w:sz w:val="28"/>
          <w:szCs w:val="36"/>
          <w:lang w:val="en-US"/>
        </w:rPr>
        <w:t xml:space="preserve"> Rakhimov</w:t>
      </w:r>
      <w:r w:rsidR="00775F51">
        <w:rPr>
          <w:rFonts w:ascii="Times New Roman" w:hAnsi="Times New Roman"/>
          <w:sz w:val="28"/>
          <w:szCs w:val="36"/>
          <w:vertAlign w:val="superscript"/>
          <w:lang w:val="en-US"/>
        </w:rPr>
        <w:t xml:space="preserve">1, </w:t>
      </w:r>
      <w:r>
        <w:rPr>
          <w:rFonts w:ascii="Times New Roman" w:hAnsi="Times New Roman"/>
          <w:sz w:val="28"/>
          <w:szCs w:val="36"/>
          <w:vertAlign w:val="superscript"/>
          <w:lang w:val="en-US"/>
        </w:rPr>
        <w:t>a)</w:t>
      </w:r>
      <w:r w:rsidR="00CE3FE1">
        <w:rPr>
          <w:rFonts w:ascii="Times New Roman" w:hAnsi="Times New Roman"/>
          <w:sz w:val="28"/>
          <w:szCs w:val="36"/>
          <w:lang w:val="en-US"/>
        </w:rPr>
        <w:t xml:space="preserve">, </w:t>
      </w:r>
      <w:proofErr w:type="spellStart"/>
      <w:r w:rsidR="00CE3FE1" w:rsidRPr="00CE3FE1">
        <w:rPr>
          <w:rFonts w:ascii="Times New Roman" w:hAnsi="Times New Roman"/>
          <w:sz w:val="28"/>
          <w:szCs w:val="36"/>
          <w:lang w:val="en-US"/>
        </w:rPr>
        <w:t>Gulora</w:t>
      </w:r>
      <w:proofErr w:type="spellEnd"/>
      <w:r w:rsidR="00CE3FE1" w:rsidRPr="00CE3FE1">
        <w:rPr>
          <w:rFonts w:ascii="Times New Roman" w:hAnsi="Times New Roman"/>
          <w:sz w:val="28"/>
          <w:szCs w:val="36"/>
          <w:lang w:val="en-US"/>
        </w:rPr>
        <w:t xml:space="preserve"> Yuldasheva</w:t>
      </w:r>
      <w:proofErr w:type="gramStart"/>
      <w:r w:rsidR="00CE3FE1">
        <w:rPr>
          <w:rFonts w:ascii="Times New Roman" w:hAnsi="Times New Roman"/>
          <w:sz w:val="28"/>
          <w:szCs w:val="36"/>
          <w:vertAlign w:val="superscript"/>
          <w:lang w:val="en-US"/>
        </w:rPr>
        <w:t>2</w:t>
      </w:r>
      <w:r w:rsidR="00CE3FE1">
        <w:rPr>
          <w:rFonts w:ascii="Times New Roman" w:hAnsi="Times New Roman"/>
          <w:sz w:val="28"/>
          <w:szCs w:val="36"/>
          <w:lang w:val="en-US"/>
        </w:rPr>
        <w:t xml:space="preserve">, </w:t>
      </w:r>
      <w:r w:rsidR="00AD0008">
        <w:rPr>
          <w:rFonts w:ascii="Times New Roman" w:hAnsi="Times New Roman"/>
          <w:sz w:val="28"/>
          <w:szCs w:val="36"/>
          <w:lang w:val="en-US"/>
        </w:rPr>
        <w:t xml:space="preserve">  </w:t>
      </w:r>
      <w:proofErr w:type="gramEnd"/>
      <w:r w:rsidR="00AD0008">
        <w:rPr>
          <w:rFonts w:ascii="Times New Roman" w:hAnsi="Times New Roman"/>
          <w:sz w:val="28"/>
          <w:szCs w:val="36"/>
          <w:lang w:val="en-US"/>
        </w:rPr>
        <w:t xml:space="preserve">               </w:t>
      </w:r>
      <w:proofErr w:type="spellStart"/>
      <w:r w:rsidR="00CE3FE1" w:rsidRPr="00CE3FE1">
        <w:rPr>
          <w:rFonts w:ascii="Times New Roman" w:hAnsi="Times New Roman"/>
          <w:sz w:val="28"/>
          <w:szCs w:val="36"/>
          <w:lang w:val="en-US"/>
        </w:rPr>
        <w:t>Dilfuza</w:t>
      </w:r>
      <w:proofErr w:type="spellEnd"/>
      <w:r w:rsidR="00CE3FE1" w:rsidRPr="00CE3FE1">
        <w:rPr>
          <w:rFonts w:ascii="Times New Roman" w:hAnsi="Times New Roman"/>
          <w:sz w:val="28"/>
          <w:szCs w:val="36"/>
          <w:lang w:val="en-US"/>
        </w:rPr>
        <w:t xml:space="preserve"> Buranova</w:t>
      </w:r>
      <w:r w:rsidR="00CE3FE1">
        <w:rPr>
          <w:rFonts w:ascii="Times New Roman" w:hAnsi="Times New Roman"/>
          <w:sz w:val="28"/>
          <w:szCs w:val="36"/>
          <w:vertAlign w:val="superscript"/>
          <w:lang w:val="en-US"/>
        </w:rPr>
        <w:t>3</w:t>
      </w:r>
      <w:r w:rsidR="00CE3FE1">
        <w:rPr>
          <w:rFonts w:ascii="Times New Roman" w:hAnsi="Times New Roman"/>
          <w:sz w:val="28"/>
          <w:szCs w:val="36"/>
          <w:lang w:val="en-US"/>
        </w:rPr>
        <w:t xml:space="preserve">, </w:t>
      </w:r>
      <w:proofErr w:type="spellStart"/>
      <w:r w:rsidR="00CE3FE1" w:rsidRPr="00CE3FE1">
        <w:rPr>
          <w:rFonts w:ascii="Times New Roman" w:hAnsi="Times New Roman"/>
          <w:sz w:val="28"/>
          <w:szCs w:val="36"/>
          <w:lang w:val="en-US"/>
        </w:rPr>
        <w:t>Yakhshilik</w:t>
      </w:r>
      <w:proofErr w:type="spellEnd"/>
      <w:r w:rsidR="00CE3FE1" w:rsidRPr="00CE3FE1">
        <w:rPr>
          <w:rFonts w:ascii="Times New Roman" w:hAnsi="Times New Roman"/>
          <w:sz w:val="28"/>
          <w:szCs w:val="36"/>
          <w:lang w:val="en-US"/>
        </w:rPr>
        <w:t xml:space="preserve"> Gulbaev</w:t>
      </w:r>
      <w:r w:rsidR="00CE3FE1">
        <w:rPr>
          <w:rFonts w:ascii="Times New Roman" w:hAnsi="Times New Roman"/>
          <w:sz w:val="28"/>
          <w:szCs w:val="36"/>
          <w:vertAlign w:val="superscript"/>
          <w:lang w:val="en-US"/>
        </w:rPr>
        <w:t>4</w:t>
      </w:r>
      <w:r w:rsidR="00CE3FE1">
        <w:rPr>
          <w:rFonts w:ascii="Times New Roman" w:hAnsi="Times New Roman"/>
          <w:sz w:val="28"/>
          <w:szCs w:val="36"/>
          <w:lang w:val="en-US"/>
        </w:rPr>
        <w:t xml:space="preserve">, </w:t>
      </w:r>
      <w:proofErr w:type="spellStart"/>
      <w:r w:rsidR="00CE3FE1" w:rsidRPr="00CE3FE1">
        <w:rPr>
          <w:rFonts w:ascii="Times New Roman" w:hAnsi="Times New Roman"/>
          <w:sz w:val="28"/>
          <w:szCs w:val="36"/>
          <w:lang w:val="en-US"/>
        </w:rPr>
        <w:t>Usmonali</w:t>
      </w:r>
      <w:proofErr w:type="spellEnd"/>
      <w:r w:rsidR="00CE3FE1" w:rsidRPr="00CE3FE1">
        <w:rPr>
          <w:rFonts w:ascii="Times New Roman" w:hAnsi="Times New Roman"/>
          <w:sz w:val="28"/>
          <w:szCs w:val="36"/>
          <w:lang w:val="en-US"/>
        </w:rPr>
        <w:t xml:space="preserve"> Isomaddinov</w:t>
      </w:r>
      <w:r w:rsidR="00CE3FE1">
        <w:rPr>
          <w:rFonts w:ascii="Times New Roman" w:hAnsi="Times New Roman"/>
          <w:sz w:val="28"/>
          <w:szCs w:val="36"/>
          <w:vertAlign w:val="superscript"/>
          <w:lang w:val="en-US"/>
        </w:rPr>
        <w:t>1</w:t>
      </w:r>
    </w:p>
    <w:p w14:paraId="66E5A906" w14:textId="2BF2E37B" w:rsidR="00D76AC1" w:rsidRDefault="00775F51"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1</w:t>
      </w:r>
      <w:r w:rsidR="00EE67D1" w:rsidRPr="00EE67D1">
        <w:rPr>
          <w:rFonts w:ascii="Times New Roman" w:hAnsi="Times New Roman"/>
          <w:i/>
          <w:sz w:val="20"/>
          <w:szCs w:val="20"/>
          <w:lang w:val="en-US"/>
        </w:rPr>
        <w:t>Namangan State Technical University</w:t>
      </w:r>
      <w:r w:rsidR="00D76AC1" w:rsidRPr="00D76AC1">
        <w:rPr>
          <w:rFonts w:ascii="Times New Roman" w:hAnsi="Times New Roman"/>
          <w:i/>
          <w:sz w:val="20"/>
          <w:szCs w:val="20"/>
          <w:lang w:val="en-US"/>
        </w:rPr>
        <w:t>, Namangan, Uzbekistan</w:t>
      </w:r>
    </w:p>
    <w:p w14:paraId="408D62E3" w14:textId="200DAA65" w:rsidR="00CE3FE1" w:rsidRDefault="00CE3FE1"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2</w:t>
      </w:r>
      <w:r w:rsidRPr="00CE3FE1">
        <w:rPr>
          <w:rFonts w:ascii="Times New Roman" w:hAnsi="Times New Roman"/>
          <w:i/>
          <w:sz w:val="20"/>
          <w:szCs w:val="20"/>
          <w:lang w:val="en-US"/>
        </w:rPr>
        <w:t xml:space="preserve">Urgench State University, </w:t>
      </w:r>
      <w:proofErr w:type="spellStart"/>
      <w:r w:rsidRPr="00CE3FE1">
        <w:rPr>
          <w:rFonts w:ascii="Times New Roman" w:hAnsi="Times New Roman"/>
          <w:i/>
          <w:sz w:val="20"/>
          <w:szCs w:val="20"/>
          <w:lang w:val="en-US"/>
        </w:rPr>
        <w:t>Urgench</w:t>
      </w:r>
      <w:proofErr w:type="spellEnd"/>
      <w:r w:rsidRPr="00CE3FE1">
        <w:rPr>
          <w:rFonts w:ascii="Times New Roman" w:hAnsi="Times New Roman"/>
          <w:i/>
          <w:sz w:val="20"/>
          <w:szCs w:val="20"/>
          <w:lang w:val="en-US"/>
        </w:rPr>
        <w:t>, Uzbekistan</w:t>
      </w:r>
    </w:p>
    <w:p w14:paraId="1BE5773D" w14:textId="474EADD2" w:rsidR="00CE3FE1" w:rsidRDefault="00CE3FE1"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3</w:t>
      </w:r>
      <w:r w:rsidRPr="00CE3FE1">
        <w:rPr>
          <w:rFonts w:ascii="Times New Roman" w:hAnsi="Times New Roman"/>
          <w:i/>
          <w:sz w:val="20"/>
          <w:szCs w:val="20"/>
          <w:lang w:val="en-US"/>
        </w:rPr>
        <w:t>Fergana State Technical University, Fergana, Uzbekistan</w:t>
      </w:r>
    </w:p>
    <w:p w14:paraId="5304A4A9" w14:textId="306F35EB" w:rsidR="00CE3FE1" w:rsidRPr="00D76AC1" w:rsidRDefault="00CE3FE1" w:rsidP="00D76AC1">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4</w:t>
      </w:r>
      <w:r w:rsidRPr="00CE3FE1">
        <w:rPr>
          <w:rFonts w:ascii="Times New Roman" w:hAnsi="Times New Roman"/>
          <w:i/>
          <w:sz w:val="20"/>
          <w:szCs w:val="20"/>
          <w:lang w:val="en-US"/>
        </w:rPr>
        <w:t xml:space="preserve">Jizzakh Polytechnic Institute, </w:t>
      </w:r>
      <w:proofErr w:type="spellStart"/>
      <w:r w:rsidRPr="00CE3FE1">
        <w:rPr>
          <w:rFonts w:ascii="Times New Roman" w:hAnsi="Times New Roman"/>
          <w:i/>
          <w:sz w:val="20"/>
          <w:szCs w:val="20"/>
          <w:lang w:val="en-US"/>
        </w:rPr>
        <w:t>Jizzakh</w:t>
      </w:r>
      <w:proofErr w:type="spellEnd"/>
      <w:r w:rsidRPr="00CE3FE1">
        <w:rPr>
          <w:rFonts w:ascii="Times New Roman" w:hAnsi="Times New Roman"/>
          <w:i/>
          <w:sz w:val="20"/>
          <w:szCs w:val="20"/>
          <w:lang w:val="en-US"/>
        </w:rPr>
        <w:t>, Uzbekistan</w:t>
      </w:r>
    </w:p>
    <w:p w14:paraId="6D9F4911" w14:textId="77777777" w:rsidR="00AC792D" w:rsidRPr="00D76AC1" w:rsidRDefault="00AC792D" w:rsidP="002916CE">
      <w:pPr>
        <w:tabs>
          <w:tab w:val="left" w:pos="0"/>
        </w:tabs>
        <w:spacing w:after="0" w:line="240" w:lineRule="auto"/>
        <w:jc w:val="center"/>
        <w:rPr>
          <w:rFonts w:ascii="Times New Roman" w:hAnsi="Times New Roman"/>
          <w:sz w:val="20"/>
          <w:szCs w:val="20"/>
          <w:lang w:val="en-US"/>
        </w:rPr>
      </w:pPr>
    </w:p>
    <w:p w14:paraId="12C2F642" w14:textId="3574500A" w:rsidR="00D76AC1" w:rsidRPr="00D76AC1" w:rsidRDefault="00D76AC1" w:rsidP="002916CE">
      <w:pPr>
        <w:tabs>
          <w:tab w:val="left" w:pos="0"/>
        </w:tabs>
        <w:spacing w:after="0" w:line="240" w:lineRule="auto"/>
        <w:jc w:val="center"/>
        <w:rPr>
          <w:rFonts w:ascii="Times New Roman" w:hAnsi="Times New Roman"/>
          <w:i/>
          <w:sz w:val="20"/>
          <w:szCs w:val="20"/>
          <w:lang w:val="en-US"/>
        </w:rPr>
      </w:pPr>
      <w:proofErr w:type="gramStart"/>
      <w:r w:rsidRPr="00D76AC1">
        <w:rPr>
          <w:rFonts w:ascii="Times New Roman" w:hAnsi="Times New Roman"/>
          <w:i/>
          <w:sz w:val="20"/>
          <w:szCs w:val="20"/>
          <w:vertAlign w:val="superscript"/>
          <w:lang w:val="en-US"/>
        </w:rPr>
        <w:t>a)</w:t>
      </w:r>
      <w:r w:rsidRPr="00D76AC1">
        <w:rPr>
          <w:rFonts w:ascii="Times New Roman" w:hAnsi="Times New Roman"/>
          <w:i/>
          <w:sz w:val="20"/>
          <w:szCs w:val="20"/>
          <w:lang w:val="en-US"/>
        </w:rPr>
        <w:t>Corresponding</w:t>
      </w:r>
      <w:proofErr w:type="gramEnd"/>
      <w:r w:rsidRPr="00D76AC1">
        <w:rPr>
          <w:rFonts w:ascii="Times New Roman" w:hAnsi="Times New Roman"/>
          <w:i/>
          <w:sz w:val="20"/>
          <w:szCs w:val="20"/>
          <w:lang w:val="en-US"/>
        </w:rPr>
        <w:t xml:space="preserve"> author:</w:t>
      </w:r>
      <w:r w:rsidRPr="00D76AC1">
        <w:rPr>
          <w:rFonts w:ascii="Times New Roman" w:hAnsi="Times New Roman"/>
          <w:i/>
          <w:spacing w:val="2"/>
          <w:sz w:val="20"/>
          <w:szCs w:val="20"/>
          <w:shd w:val="clear" w:color="auto" w:fill="FFFFFF"/>
          <w:lang w:val="en-US"/>
        </w:rPr>
        <w:t xml:space="preserve"> </w:t>
      </w:r>
      <w:proofErr w:type="spellStart"/>
      <w:r w:rsidR="003C2C6E">
        <w:rPr>
          <w:rFonts w:ascii="Times New Roman" w:hAnsi="Times New Roman"/>
          <w:i/>
          <w:spacing w:val="2"/>
          <w:sz w:val="20"/>
          <w:szCs w:val="20"/>
          <w:shd w:val="clear" w:color="auto" w:fill="FFFFFF"/>
          <w:lang w:val="en-US"/>
        </w:rPr>
        <w:t>rgrakhimov</w:t>
      </w:r>
      <w:proofErr w:type="spellEnd"/>
      <w:r w:rsidR="003C2C6E" w:rsidRPr="00D76AC1">
        <w:rPr>
          <w:rFonts w:ascii="Times New Roman" w:hAnsi="Times New Roman"/>
          <w:i/>
          <w:spacing w:val="2"/>
          <w:sz w:val="20"/>
          <w:szCs w:val="20"/>
          <w:shd w:val="clear" w:color="auto" w:fill="FFFFFF"/>
          <w:lang w:val="en-US"/>
        </w:rPr>
        <w:t xml:space="preserve"> </w:t>
      </w:r>
      <w:r w:rsidRPr="00D76AC1">
        <w:rPr>
          <w:rFonts w:ascii="Times New Roman" w:hAnsi="Times New Roman"/>
          <w:i/>
          <w:spacing w:val="2"/>
          <w:sz w:val="20"/>
          <w:szCs w:val="20"/>
          <w:shd w:val="clear" w:color="auto" w:fill="FFFFFF"/>
          <w:lang w:val="en-US"/>
        </w:rPr>
        <w:t>@gmail.com</w:t>
      </w:r>
    </w:p>
    <w:p w14:paraId="0023DCB1" w14:textId="493025C4" w:rsidR="0022234A" w:rsidRDefault="006A7488" w:rsidP="0022234A">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2933B7" w:rsidRPr="00916FF2">
        <w:rPr>
          <w:rFonts w:ascii="Times New Roman" w:hAnsi="Times New Roman"/>
          <w:bCs/>
          <w:sz w:val="18"/>
          <w:szCs w:val="18"/>
          <w:lang w:val="en-US"/>
        </w:rPr>
        <w:t>In this paper</w:t>
      </w:r>
      <w:r w:rsidR="007D1992" w:rsidRPr="0029360A">
        <w:rPr>
          <w:rFonts w:ascii="Times New Roman" w:hAnsi="Times New Roman"/>
          <w:bCs/>
          <w:sz w:val="18"/>
          <w:szCs w:val="18"/>
          <w:lang w:val="en-US"/>
        </w:rPr>
        <w:t xml:space="preserve">, </w:t>
      </w:r>
      <w:r w:rsidR="00D6412F" w:rsidRPr="00D6412F">
        <w:rPr>
          <w:rFonts w:ascii="Times New Roman" w:hAnsi="Times New Roman"/>
          <w:bCs/>
          <w:sz w:val="18"/>
          <w:szCs w:val="18"/>
          <w:lang w:val="en-US"/>
        </w:rPr>
        <w:t>the problems related to studying the dependence of quantum oscillation effects in bulk and low-dimensional semiconductors on external factors under dynamic and static magnetic fields, as well as recommendations for addressing these issues, are presented. Based on the theoretical and experimental analysis of the available data, the formulation of the research objectives has been developed.</w:t>
      </w:r>
      <w:r w:rsidR="007D1992">
        <w:rPr>
          <w:rFonts w:ascii="Times New Roman" w:hAnsi="Times New Roman"/>
          <w:bCs/>
          <w:sz w:val="18"/>
          <w:szCs w:val="18"/>
          <w:lang w:val="en-US"/>
        </w:rPr>
        <w:t xml:space="preserve"> </w:t>
      </w:r>
      <w:r w:rsidR="007D1992" w:rsidRPr="0029360A">
        <w:rPr>
          <w:rFonts w:ascii="Times New Roman" w:hAnsi="Times New Roman"/>
          <w:bCs/>
          <w:sz w:val="18"/>
          <w:szCs w:val="18"/>
          <w:lang w:val="en-US"/>
        </w:rPr>
        <w:t xml:space="preserve">In bulk and quantum-structured semiconductors, charged particles exhibit various dynamic processes under the influence of external factors. In particular, the quantization of oscillations in the density of energetic states and quantum magnetic effects under a static magnetic field are considered one of the fundamental and applied research directions in semiconductor physics. While the motion of charged particles splits into discrete Landau levels under a static magnetic field, the application of a weak alternating (dynamic) magnetic field gives rise to resonance properties in the electron system. As a result, the cyclotron frequency of the dynamic magnetic field interacts with the cyclotron frequency of the charged particle, leading to the manifestation of </w:t>
      </w:r>
      <w:proofErr w:type="spellStart"/>
      <w:r w:rsidR="007D1992" w:rsidRPr="0029360A">
        <w:rPr>
          <w:rFonts w:ascii="Times New Roman" w:hAnsi="Times New Roman"/>
          <w:bCs/>
          <w:sz w:val="18"/>
          <w:szCs w:val="18"/>
          <w:lang w:val="en-US"/>
        </w:rPr>
        <w:t>magnetoplasmon</w:t>
      </w:r>
      <w:proofErr w:type="spellEnd"/>
      <w:r w:rsidR="007D1992" w:rsidRPr="0029360A">
        <w:rPr>
          <w:rFonts w:ascii="Times New Roman" w:hAnsi="Times New Roman"/>
          <w:bCs/>
          <w:sz w:val="18"/>
          <w:szCs w:val="18"/>
          <w:lang w:val="en-US"/>
        </w:rPr>
        <w:t xml:space="preserve"> oscillations. The literature review indicates that, in order to fully study the dependence of quantum magnetic effects in quantum-sized semiconductor structures on dynamic magnetic fields, it is necessary to analyze their phase portraits.</w:t>
      </w:r>
    </w:p>
    <w:p w14:paraId="01A1F27D" w14:textId="45B26958" w:rsidR="00171968" w:rsidRPr="00916FF2" w:rsidRDefault="00E3345A" w:rsidP="00300F2E">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r w:rsidR="00C41D97">
        <w:rPr>
          <w:rFonts w:ascii="Times New Roman" w:hAnsi="Times New Roman"/>
          <w:bCs/>
          <w:sz w:val="18"/>
          <w:szCs w:val="18"/>
          <w:lang w:val="en-US"/>
        </w:rPr>
        <w:t xml:space="preserve">semiconductor, </w:t>
      </w:r>
      <w:r w:rsidR="00C41D97" w:rsidRPr="00F6463C">
        <w:rPr>
          <w:rFonts w:ascii="Times New Roman" w:hAnsi="Times New Roman"/>
          <w:bCs/>
          <w:sz w:val="18"/>
          <w:szCs w:val="18"/>
          <w:lang w:val="en-US"/>
        </w:rPr>
        <w:t>quantum well</w:t>
      </w:r>
      <w:r w:rsidR="00C41D97">
        <w:rPr>
          <w:rFonts w:ascii="Times New Roman" w:hAnsi="Times New Roman"/>
          <w:bCs/>
          <w:sz w:val="18"/>
          <w:szCs w:val="18"/>
          <w:lang w:val="en-US"/>
        </w:rPr>
        <w:t>, magnetic field, temperature, forbidden zone, energy</w:t>
      </w:r>
      <w:r w:rsidR="00775F51">
        <w:rPr>
          <w:rFonts w:ascii="Times New Roman" w:hAnsi="Times New Roman"/>
          <w:bCs/>
          <w:sz w:val="18"/>
          <w:szCs w:val="18"/>
          <w:lang w:val="en-US"/>
        </w:rPr>
        <w:t>.</w:t>
      </w:r>
    </w:p>
    <w:p w14:paraId="3CE05AFC" w14:textId="77777777" w:rsidR="00EA362A" w:rsidRPr="001245E0" w:rsidRDefault="00EA362A" w:rsidP="002916CE">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787085A9" w14:textId="77777777" w:rsidR="00AD0BFD" w:rsidRPr="00AD0BFD" w:rsidRDefault="00AD0BFD" w:rsidP="00AD0BFD">
      <w:pPr>
        <w:tabs>
          <w:tab w:val="left" w:pos="0"/>
        </w:tabs>
        <w:spacing w:after="0" w:line="240" w:lineRule="auto"/>
        <w:ind w:firstLine="284"/>
        <w:jc w:val="both"/>
        <w:rPr>
          <w:rFonts w:ascii="Times New Roman" w:hAnsi="Times New Roman"/>
          <w:sz w:val="20"/>
          <w:szCs w:val="20"/>
          <w:lang w:val="uz-Cyrl-UZ"/>
        </w:rPr>
      </w:pPr>
      <w:r w:rsidRPr="00AD0BFD">
        <w:rPr>
          <w:rFonts w:ascii="Times New Roman" w:hAnsi="Times New Roman"/>
          <w:sz w:val="20"/>
          <w:szCs w:val="20"/>
          <w:lang w:val="uz-Cyrl-UZ"/>
        </w:rPr>
        <w:t>In recent years, leading scientists around the world have shown a growing interest in studying the dependence of quantum oscillation effects in nanostructured semiconductors on external factors. Under the influence of a static magnetic field, the quantization of charge carrier motion and the emergence of discrete energy levels give rise to oscillatory processes in the electrical and transport properties of semiconductor structures. These phenomena make it possible to determine the Fermi level, the effective masses of charge carriers, and their relaxation times. Such quantum oscillation effects serve as a fundamental basis for promising research directions, including the development of new types of nanoelectronic devices, quantum sensors, and spintronic laser diodes.</w:t>
      </w:r>
    </w:p>
    <w:p w14:paraId="029B5969" w14:textId="3E654D00" w:rsidR="00AD0BFD" w:rsidRPr="00AD0BFD" w:rsidRDefault="00AD0BFD" w:rsidP="00AD0BFD">
      <w:pPr>
        <w:tabs>
          <w:tab w:val="left" w:pos="0"/>
        </w:tabs>
        <w:spacing w:after="0" w:line="240" w:lineRule="auto"/>
        <w:ind w:firstLine="284"/>
        <w:jc w:val="both"/>
        <w:rPr>
          <w:rFonts w:ascii="Times New Roman" w:hAnsi="Times New Roman"/>
          <w:sz w:val="20"/>
          <w:szCs w:val="20"/>
          <w:lang w:val="uz-Cyrl-UZ"/>
        </w:rPr>
      </w:pPr>
      <w:r w:rsidRPr="00AD0BFD">
        <w:rPr>
          <w:rFonts w:ascii="Times New Roman" w:hAnsi="Times New Roman"/>
          <w:sz w:val="20"/>
          <w:szCs w:val="20"/>
          <w:lang w:val="uz-Cyrl-UZ"/>
        </w:rPr>
        <w:t>In particular, studies reported in [</w:t>
      </w:r>
      <w:r w:rsidR="00FE6447">
        <w:rPr>
          <w:rFonts w:ascii="Times New Roman" w:hAnsi="Times New Roman"/>
          <w:sz w:val="20"/>
          <w:szCs w:val="20"/>
          <w:lang w:val="en-US"/>
        </w:rPr>
        <w:t>1-8</w:t>
      </w:r>
      <w:r w:rsidRPr="00AD0BFD">
        <w:rPr>
          <w:rFonts w:ascii="Times New Roman" w:hAnsi="Times New Roman"/>
          <w:sz w:val="20"/>
          <w:szCs w:val="20"/>
          <w:lang w:val="uz-Cyrl-UZ"/>
        </w:rPr>
        <w:t xml:space="preserve">] investigate the dynamics of a Pt (8 nm)/Py (5 nm) bilayer spin-Hall nano-oscillator using micromagnetic simulations, where the current is injected through a triangular gold contact (d ≈ 100–200 nm). The magnetization field is applied either in the plane (along the y-direction) or with an out-of-plane component (in the </w:t>
      </w:r>
      <w:r>
        <w:rPr>
          <w:rFonts w:ascii="Times New Roman" w:hAnsi="Times New Roman"/>
          <w:sz w:val="20"/>
          <w:szCs w:val="20"/>
          <w:lang w:val="en-US"/>
        </w:rPr>
        <w:t>YZ</w:t>
      </w:r>
      <w:r w:rsidRPr="00AD0BFD">
        <w:rPr>
          <w:rFonts w:ascii="Times New Roman" w:hAnsi="Times New Roman"/>
          <w:sz w:val="20"/>
          <w:szCs w:val="20"/>
          <w:lang w:val="uz-Cyrl-UZ"/>
        </w:rPr>
        <w:t xml:space="preserve">-plane at an angle of ~15° to the </w:t>
      </w:r>
      <w:r>
        <w:rPr>
          <w:rFonts w:ascii="Times New Roman" w:hAnsi="Times New Roman"/>
          <w:sz w:val="20"/>
          <w:szCs w:val="20"/>
          <w:lang w:val="en-US"/>
        </w:rPr>
        <w:t>Z</w:t>
      </w:r>
      <w:r w:rsidRPr="00AD0BFD">
        <w:rPr>
          <w:rFonts w:ascii="Times New Roman" w:hAnsi="Times New Roman"/>
          <w:sz w:val="20"/>
          <w:szCs w:val="20"/>
          <w:lang w:val="uz-Cyrl-UZ"/>
        </w:rPr>
        <w:t>-axis). The Landau–Lifshitz–Gilbert equation is solved numerically by accounting for spin–orbit torques (SOT). It is shown that, in this geometry, the spin-Hall torque proportional to the current in the Pt layer is dominant, whereas spin-transfer torque (STT) in the ferromagnet and the Rashba torque are comparatively small.</w:t>
      </w:r>
    </w:p>
    <w:p w14:paraId="152AF872" w14:textId="77777777" w:rsidR="00AD0008" w:rsidRDefault="00AD0008" w:rsidP="002916CE">
      <w:pPr>
        <w:spacing w:before="240" w:after="240" w:line="240" w:lineRule="auto"/>
        <w:jc w:val="center"/>
        <w:rPr>
          <w:rFonts w:ascii="Times New Roman" w:hAnsi="Times New Roman"/>
          <w:b/>
          <w:sz w:val="24"/>
          <w:szCs w:val="20"/>
          <w:lang w:val="uz-Cyrl-UZ"/>
        </w:rPr>
      </w:pPr>
    </w:p>
    <w:p w14:paraId="42E6C115" w14:textId="77777777" w:rsidR="00AD0008" w:rsidRDefault="00AD0008" w:rsidP="002916CE">
      <w:pPr>
        <w:spacing w:before="240" w:after="240" w:line="240" w:lineRule="auto"/>
        <w:jc w:val="center"/>
        <w:rPr>
          <w:rFonts w:ascii="Times New Roman" w:hAnsi="Times New Roman"/>
          <w:b/>
          <w:sz w:val="24"/>
          <w:szCs w:val="20"/>
          <w:lang w:val="uz-Cyrl-UZ"/>
        </w:rPr>
      </w:pPr>
    </w:p>
    <w:p w14:paraId="1129E1ED" w14:textId="2C89F0C7" w:rsidR="00EA362A" w:rsidRPr="0038042A" w:rsidRDefault="00EA362A" w:rsidP="002916CE">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lastRenderedPageBreak/>
        <w:t>METHOD</w:t>
      </w:r>
      <w:r w:rsidR="0038042A">
        <w:rPr>
          <w:rFonts w:ascii="Times New Roman" w:hAnsi="Times New Roman"/>
          <w:b/>
          <w:sz w:val="24"/>
          <w:szCs w:val="20"/>
          <w:lang w:val="en-US"/>
        </w:rPr>
        <w:t>S</w:t>
      </w:r>
    </w:p>
    <w:p w14:paraId="4095EC3D" w14:textId="72DDE2E8" w:rsidR="00EF3F05" w:rsidRPr="00EF3F05" w:rsidRDefault="00EF3F05" w:rsidP="00EF3F05">
      <w:pPr>
        <w:tabs>
          <w:tab w:val="left" w:pos="0"/>
        </w:tabs>
        <w:spacing w:after="0" w:line="240" w:lineRule="auto"/>
        <w:ind w:firstLine="284"/>
        <w:jc w:val="both"/>
        <w:rPr>
          <w:rFonts w:ascii="Times New Roman" w:hAnsi="Times New Roman"/>
          <w:sz w:val="20"/>
          <w:szCs w:val="20"/>
          <w:lang w:val="uz-Cyrl-UZ"/>
        </w:rPr>
      </w:pPr>
      <w:r w:rsidRPr="00EF3F05">
        <w:rPr>
          <w:rFonts w:ascii="Times New Roman" w:hAnsi="Times New Roman"/>
          <w:sz w:val="20"/>
          <w:szCs w:val="20"/>
          <w:lang w:val="uz-Cyrl-UZ"/>
        </w:rPr>
        <w:t>The spatial distribution of the current density in the bilayer is obtained using the finite-element method; approximately 90% of the current flows through the Pt layer, which determines the excitation (pumping) efficiency. For the in-plane magnetic field, the dependence of the auto-oscillation frequency on the current and the localization of the excited mode are reproduced in quantitative agreement with the experiment: a strongly localized stationary spin-wave mode of approximately 10 GHz (for instance, 9.98 GHz at H ≈ 100 mT, d = 100 nm, I = 14 mA) is observed within the current-injection region. At room temperature, the calculated minimum linewidth is ~142 MHz (I ≈ 16.3 mA).</w:t>
      </w:r>
    </w:p>
    <w:p w14:paraId="43879498" w14:textId="3AE6ED6A" w:rsidR="00EF3F05" w:rsidRDefault="00EF3F05" w:rsidP="00EF3F05">
      <w:pPr>
        <w:tabs>
          <w:tab w:val="left" w:pos="0"/>
        </w:tabs>
        <w:spacing w:after="0" w:line="240" w:lineRule="auto"/>
        <w:ind w:firstLine="284"/>
        <w:jc w:val="both"/>
        <w:rPr>
          <w:rFonts w:ascii="Times New Roman" w:hAnsi="Times New Roman"/>
          <w:sz w:val="20"/>
          <w:szCs w:val="20"/>
          <w:lang w:val="uz-Cyrl-UZ"/>
        </w:rPr>
      </w:pPr>
      <w:r w:rsidRPr="00EF3F05">
        <w:rPr>
          <w:rFonts w:ascii="Times New Roman" w:hAnsi="Times New Roman"/>
          <w:sz w:val="20"/>
          <w:szCs w:val="20"/>
          <w:lang w:val="uz-Cyrl-UZ"/>
        </w:rPr>
        <w:t xml:space="preserve">The critical currents for switching on/off depend on the separation between the contacts: for d = 200 nm, the current profile is broader, increasing the effective damping and resulting in higher thresholds. In the out-of-plane configuration (H </w:t>
      </w:r>
      <w:r w:rsidRPr="00EF3F05">
        <w:rPr>
          <w:rFonts w:ascii="Cambria Math" w:hAnsi="Cambria Math" w:cs="Cambria Math"/>
          <w:sz w:val="20"/>
          <w:szCs w:val="20"/>
          <w:lang w:val="uz-Cyrl-UZ"/>
        </w:rPr>
        <w:t>≳</w:t>
      </w:r>
      <w:r w:rsidRPr="00EF3F05">
        <w:rPr>
          <w:rFonts w:ascii="Times New Roman" w:hAnsi="Times New Roman"/>
          <w:sz w:val="20"/>
          <w:szCs w:val="20"/>
          <w:lang w:val="uz-Cyrl-UZ"/>
        </w:rPr>
        <w:t xml:space="preserve"> 0.7–0.8 T), a transition to a propagating regime is predicted, characterized by a pronounced front asymmetry due to current nonuniformity and the Oersted field, with a typical wavelength on the order of several hundred nanometers (~325 nm). In this regime, an upward (blue) shift in frequency (~120 MHz/mA) and a significantly narrower spectral linewidth compared to the localized mode are observed, as a larger magnetic volume participates in the process.</w:t>
      </w:r>
    </w:p>
    <w:p w14:paraId="0CB84784" w14:textId="66E01763"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 xml:space="preserve">In Fig.1, two current values are compared: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14 mA (square markers with a dashed line) and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16.5 mA (circular markers with a solid line). The horizontal axis represents </w:t>
      </w:r>
      <w:r w:rsidRPr="00EF3F05">
        <w:rPr>
          <w:rFonts w:ascii="Times New Roman" w:hAnsi="Times New Roman"/>
          <w:i/>
          <w:iCs/>
          <w:sz w:val="20"/>
          <w:szCs w:val="20"/>
          <w:lang w:val="en-US" w:eastAsia="ru-RU"/>
        </w:rPr>
        <w:t>H</w:t>
      </w:r>
      <w:r w:rsidRPr="00EF3F05">
        <w:rPr>
          <w:rFonts w:ascii="Times New Roman" w:hAnsi="Times New Roman"/>
          <w:sz w:val="20"/>
          <w:szCs w:val="20"/>
          <w:lang w:val="en-US" w:eastAsia="ru-RU"/>
        </w:rPr>
        <w:t xml:space="preserve"> (</w:t>
      </w:r>
      <w:proofErr w:type="spellStart"/>
      <w:r w:rsidRPr="00EF3F05">
        <w:rPr>
          <w:rFonts w:ascii="Times New Roman" w:hAnsi="Times New Roman"/>
          <w:sz w:val="20"/>
          <w:szCs w:val="20"/>
          <w:lang w:val="en-US" w:eastAsia="ru-RU"/>
        </w:rPr>
        <w:t>mT</w:t>
      </w:r>
      <w:proofErr w:type="spellEnd"/>
      <w:r w:rsidRPr="00EF3F05">
        <w:rPr>
          <w:rFonts w:ascii="Times New Roman" w:hAnsi="Times New Roman"/>
          <w:sz w:val="20"/>
          <w:szCs w:val="20"/>
          <w:lang w:val="en-US" w:eastAsia="ru-RU"/>
        </w:rPr>
        <w:t xml:space="preserve">), while the vertical axis represents f (GHz). The graph shows that, overall, f(H) increases almost linearly as H increases; however, at a fixed value of H, increasing the current leads to a decrease in frequency. When the current is increased from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14 mA to </w:t>
      </w:r>
      <w:r>
        <w:rPr>
          <w:rFonts w:ascii="Times New Roman" w:hAnsi="Times New Roman"/>
          <w:sz w:val="20"/>
          <w:szCs w:val="20"/>
          <w:lang w:val="en-US" w:eastAsia="ru-RU"/>
        </w:rPr>
        <w:t xml:space="preserve">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16.5 mA, the entire curve shifts downward, exhibiting a “red shift.” This behavior corresponds to the expected nonlinear regime for self-oscillations with an in-plane precession axis.</w:t>
      </w:r>
    </w:p>
    <w:p w14:paraId="149C5771" w14:textId="77777777"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 xml:space="preserve">For example, at </w:t>
      </w:r>
      <w:r w:rsidRPr="00EF3F05">
        <w:rPr>
          <w:rFonts w:ascii="Times New Roman" w:hAnsi="Times New Roman"/>
          <w:i/>
          <w:iCs/>
          <w:sz w:val="20"/>
          <w:szCs w:val="20"/>
          <w:lang w:val="en-US" w:eastAsia="ru-RU"/>
        </w:rPr>
        <w:t>H</w:t>
      </w:r>
      <w:r w:rsidRPr="00EF3F05">
        <w:rPr>
          <w:rFonts w:ascii="Times New Roman" w:hAnsi="Times New Roman"/>
          <w:sz w:val="20"/>
          <w:szCs w:val="20"/>
          <w:lang w:val="en-US" w:eastAsia="ru-RU"/>
        </w:rPr>
        <w:t xml:space="preserve"> ≈ 100 </w:t>
      </w:r>
      <w:proofErr w:type="spellStart"/>
      <w:r w:rsidRPr="00EF3F05">
        <w:rPr>
          <w:rFonts w:ascii="Times New Roman" w:hAnsi="Times New Roman"/>
          <w:sz w:val="20"/>
          <w:szCs w:val="20"/>
          <w:lang w:val="en-US" w:eastAsia="ru-RU"/>
        </w:rPr>
        <w:t>mT</w:t>
      </w:r>
      <w:proofErr w:type="spellEnd"/>
      <w:r w:rsidRPr="00EF3F05">
        <w:rPr>
          <w:rFonts w:ascii="Times New Roman" w:hAnsi="Times New Roman"/>
          <w:sz w:val="20"/>
          <w:szCs w:val="20"/>
          <w:lang w:val="en-US" w:eastAsia="ru-RU"/>
        </w:rPr>
        <w:t xml:space="preserve">, the frequency for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14 mA is </w:t>
      </w:r>
      <w:r w:rsidRPr="00EF3F05">
        <w:rPr>
          <w:rFonts w:ascii="Times New Roman" w:hAnsi="Times New Roman"/>
          <w:i/>
          <w:iCs/>
          <w:sz w:val="20"/>
          <w:szCs w:val="20"/>
          <w:lang w:val="en-US" w:eastAsia="ru-RU"/>
        </w:rPr>
        <w:t>f</w:t>
      </w:r>
      <w:r w:rsidRPr="00EF3F05">
        <w:rPr>
          <w:rFonts w:ascii="Times New Roman" w:hAnsi="Times New Roman"/>
          <w:sz w:val="20"/>
          <w:szCs w:val="20"/>
          <w:lang w:val="en-US" w:eastAsia="ru-RU"/>
        </w:rPr>
        <w:t xml:space="preserve"> ≈ 9.98 GHz, whereas at higher current the frequency becomes lower in the vicinity of the same magnetic field. Physically, such a shift is associated with enhanced effective damping and nonlinearity caused by the strengthening of the spin-Hall torque in the Pt layer: at higher I, the effective stiffness of the localized mode decreases, resulting in a lower oscillation frequency.</w:t>
      </w:r>
    </w:p>
    <w:p w14:paraId="56D511FA" w14:textId="52F679B0" w:rsid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The absence of jumps in the curves indicates the dominance of a single localized mode (P1) and the stability of the regime. At the same time, the frequency tunability by current is qualitatively consistent with trends in STT nanocomposite oscillators.</w:t>
      </w:r>
    </w:p>
    <w:p w14:paraId="54A743FB" w14:textId="77777777" w:rsidR="00775F51" w:rsidRDefault="00775F51" w:rsidP="00EF3F05">
      <w:pPr>
        <w:spacing w:after="0" w:line="240" w:lineRule="auto"/>
        <w:ind w:firstLine="284"/>
        <w:jc w:val="both"/>
        <w:rPr>
          <w:rFonts w:ascii="Times New Roman" w:hAnsi="Times New Roman"/>
          <w:sz w:val="20"/>
          <w:szCs w:val="20"/>
          <w:lang w:val="en-US" w:eastAsia="ru-RU"/>
        </w:rPr>
      </w:pPr>
    </w:p>
    <w:p w14:paraId="359BD7C4" w14:textId="68B51351" w:rsidR="00EF3F05" w:rsidRDefault="00EF3F05" w:rsidP="00775F51">
      <w:pPr>
        <w:spacing w:after="0" w:line="240" w:lineRule="auto"/>
        <w:jc w:val="center"/>
        <w:rPr>
          <w:rFonts w:ascii="Times New Roman" w:hAnsi="Times New Roman"/>
          <w:sz w:val="20"/>
          <w:szCs w:val="20"/>
          <w:lang w:val="en-US" w:eastAsia="ru-RU"/>
        </w:rPr>
      </w:pPr>
      <w:r w:rsidRPr="00842F86">
        <w:rPr>
          <w:noProof/>
          <w:lang w:eastAsia="ru-RU"/>
        </w:rPr>
        <w:drawing>
          <wp:inline distT="0" distB="0" distL="0" distR="0" wp14:anchorId="49EC92F2" wp14:editId="0581DD74">
            <wp:extent cx="2988259" cy="1964690"/>
            <wp:effectExtent l="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5993" cy="1976350"/>
                    </a:xfrm>
                    <a:prstGeom prst="rect">
                      <a:avLst/>
                    </a:prstGeom>
                    <a:noFill/>
                    <a:ln>
                      <a:noFill/>
                    </a:ln>
                  </pic:spPr>
                </pic:pic>
              </a:graphicData>
            </a:graphic>
          </wp:inline>
        </w:drawing>
      </w:r>
    </w:p>
    <w:p w14:paraId="05B2EA43" w14:textId="192C45F3" w:rsidR="00EF3F05" w:rsidRDefault="00EF3F05" w:rsidP="00EF3F05">
      <w:pPr>
        <w:spacing w:after="0" w:line="240" w:lineRule="auto"/>
        <w:ind w:firstLine="284"/>
        <w:jc w:val="center"/>
        <w:rPr>
          <w:rFonts w:ascii="Times New Roman" w:hAnsi="Times New Roman"/>
          <w:sz w:val="20"/>
          <w:szCs w:val="20"/>
          <w:lang w:val="en-US" w:eastAsia="ru-RU"/>
        </w:rPr>
      </w:pPr>
    </w:p>
    <w:p w14:paraId="52843EDD" w14:textId="12D4C3BE" w:rsidR="00EF3F05" w:rsidRPr="00775F51" w:rsidRDefault="00EF3F05" w:rsidP="00775F51">
      <w:pPr>
        <w:spacing w:before="120" w:after="120" w:line="240" w:lineRule="auto"/>
        <w:jc w:val="center"/>
        <w:rPr>
          <w:rFonts w:ascii="Times New Roman" w:hAnsi="Times New Roman"/>
          <w:sz w:val="18"/>
          <w:szCs w:val="18"/>
          <w:lang w:val="en-US" w:eastAsia="ru-RU"/>
        </w:rPr>
      </w:pPr>
      <w:r w:rsidRPr="00775F51">
        <w:rPr>
          <w:rFonts w:ascii="Times New Roman" w:hAnsi="Times New Roman"/>
          <w:b/>
          <w:bCs/>
          <w:sz w:val="18"/>
          <w:szCs w:val="18"/>
          <w:lang w:val="en-US" w:eastAsia="ru-RU"/>
        </w:rPr>
        <w:t>FIGURE</w:t>
      </w:r>
      <w:r w:rsidRPr="00775F51">
        <w:rPr>
          <w:rFonts w:ascii="Times New Roman" w:hAnsi="Times New Roman"/>
          <w:sz w:val="18"/>
          <w:szCs w:val="18"/>
          <w:lang w:val="en-US" w:eastAsia="ru-RU"/>
        </w:rPr>
        <w:t xml:space="preserve"> </w:t>
      </w:r>
      <w:r w:rsidRPr="00AD0008">
        <w:rPr>
          <w:rFonts w:ascii="Times New Roman" w:hAnsi="Times New Roman"/>
          <w:b/>
          <w:bCs/>
          <w:sz w:val="18"/>
          <w:szCs w:val="18"/>
          <w:lang w:val="en-US" w:eastAsia="ru-RU"/>
        </w:rPr>
        <w:t>1.</w:t>
      </w:r>
      <w:r w:rsidRPr="00775F51">
        <w:rPr>
          <w:rFonts w:ascii="Times New Roman" w:hAnsi="Times New Roman"/>
          <w:sz w:val="18"/>
          <w:szCs w:val="18"/>
          <w:lang w:val="en-US" w:eastAsia="ru-RU"/>
        </w:rPr>
        <w:t xml:space="preserve"> Dependence of the auto-oscillation frequency f on the external magnetic field H in a Pt/</w:t>
      </w:r>
      <w:proofErr w:type="spellStart"/>
      <w:r w:rsidRPr="00775F51">
        <w:rPr>
          <w:rFonts w:ascii="Times New Roman" w:hAnsi="Times New Roman"/>
          <w:sz w:val="18"/>
          <w:szCs w:val="18"/>
          <w:lang w:val="en-US" w:eastAsia="ru-RU"/>
        </w:rPr>
        <w:t>Py</w:t>
      </w:r>
      <w:proofErr w:type="spellEnd"/>
      <w:r w:rsidRPr="00775F51">
        <w:rPr>
          <w:rFonts w:ascii="Times New Roman" w:hAnsi="Times New Roman"/>
          <w:sz w:val="18"/>
          <w:szCs w:val="18"/>
          <w:lang w:val="en-US" w:eastAsia="ru-RU"/>
        </w:rPr>
        <w:t xml:space="preserve"> (</w:t>
      </w:r>
      <w:proofErr w:type="spellStart"/>
      <w:r w:rsidRPr="00775F51">
        <w:rPr>
          <w:rFonts w:ascii="Times New Roman" w:hAnsi="Times New Roman"/>
          <w:sz w:val="18"/>
          <w:szCs w:val="18"/>
          <w:lang w:val="en-US" w:eastAsia="ru-RU"/>
        </w:rPr>
        <w:t>Pt|Py</w:t>
      </w:r>
      <w:proofErr w:type="spellEnd"/>
      <w:r w:rsidRPr="00775F51">
        <w:rPr>
          <w:rFonts w:ascii="Times New Roman" w:hAnsi="Times New Roman"/>
          <w:sz w:val="18"/>
          <w:szCs w:val="18"/>
          <w:lang w:val="en-US" w:eastAsia="ru-RU"/>
        </w:rPr>
        <w:t>) spin-Hall nano-oscillator with a contact separation of d = 100 nm [</w:t>
      </w:r>
      <w:r w:rsidR="00FE6447" w:rsidRPr="00775F51">
        <w:rPr>
          <w:rFonts w:ascii="Times New Roman" w:hAnsi="Times New Roman"/>
          <w:sz w:val="18"/>
          <w:szCs w:val="18"/>
          <w:lang w:val="en-US" w:eastAsia="ru-RU"/>
        </w:rPr>
        <w:t>1</w:t>
      </w:r>
      <w:r w:rsidRPr="00775F51">
        <w:rPr>
          <w:rFonts w:ascii="Times New Roman" w:hAnsi="Times New Roman"/>
          <w:sz w:val="18"/>
          <w:szCs w:val="18"/>
          <w:lang w:val="en-US" w:eastAsia="ru-RU"/>
        </w:rPr>
        <w:t>].</w:t>
      </w:r>
    </w:p>
    <w:p w14:paraId="0B4DCEC6" w14:textId="430227C5" w:rsidR="00EF3F05" w:rsidRDefault="00EF3F05" w:rsidP="00EF3F05">
      <w:pPr>
        <w:spacing w:after="0" w:line="240" w:lineRule="auto"/>
        <w:ind w:firstLine="284"/>
        <w:jc w:val="center"/>
        <w:rPr>
          <w:rFonts w:ascii="Times New Roman" w:hAnsi="Times New Roman"/>
          <w:sz w:val="20"/>
          <w:szCs w:val="20"/>
          <w:lang w:val="en-US" w:eastAsia="ru-RU"/>
        </w:rPr>
      </w:pPr>
    </w:p>
    <w:p w14:paraId="45178850" w14:textId="5C4A0C5E"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Additionally, in the studies [</w:t>
      </w:r>
      <w:r w:rsidR="00FE6447">
        <w:rPr>
          <w:rFonts w:ascii="Times New Roman" w:hAnsi="Times New Roman"/>
          <w:sz w:val="20"/>
          <w:szCs w:val="20"/>
          <w:lang w:val="en-US" w:eastAsia="ru-RU"/>
        </w:rPr>
        <w:t>9-1</w:t>
      </w:r>
      <w:r w:rsidR="00A46BFF">
        <w:rPr>
          <w:rFonts w:ascii="Times New Roman" w:hAnsi="Times New Roman"/>
          <w:sz w:val="20"/>
          <w:szCs w:val="20"/>
          <w:lang w:val="en-US" w:eastAsia="ru-RU"/>
        </w:rPr>
        <w:t>5</w:t>
      </w:r>
      <w:r w:rsidRPr="00EF3F05">
        <w:rPr>
          <w:rFonts w:ascii="Times New Roman" w:hAnsi="Times New Roman"/>
          <w:sz w:val="20"/>
          <w:szCs w:val="20"/>
          <w:lang w:val="en-US" w:eastAsia="ru-RU"/>
        </w:rPr>
        <w:t xml:space="preserve">], the spin-torque nano-oscillator (STNO) model was investigated. It was shown that, for a </w:t>
      </w:r>
      <w:proofErr w:type="spellStart"/>
      <w:r w:rsidRPr="00EF3F05">
        <w:rPr>
          <w:rFonts w:ascii="Times New Roman" w:hAnsi="Times New Roman"/>
          <w:sz w:val="20"/>
          <w:szCs w:val="20"/>
          <w:lang w:val="en-US" w:eastAsia="ru-RU"/>
        </w:rPr>
        <w:t>trilayer</w:t>
      </w:r>
      <w:proofErr w:type="spellEnd"/>
      <w:r w:rsidRPr="00EF3F05">
        <w:rPr>
          <w:rFonts w:ascii="Times New Roman" w:hAnsi="Times New Roman"/>
          <w:sz w:val="20"/>
          <w:szCs w:val="20"/>
          <w:lang w:val="en-US" w:eastAsia="ru-RU"/>
        </w:rPr>
        <w:t xml:space="preserve"> ferromagnetic structure (free layer of the </w:t>
      </w:r>
      <w:proofErr w:type="spellStart"/>
      <w:r w:rsidRPr="00EF3F05">
        <w:rPr>
          <w:rFonts w:ascii="Times New Roman" w:hAnsi="Times New Roman"/>
          <w:i/>
          <w:iCs/>
          <w:sz w:val="20"/>
          <w:szCs w:val="20"/>
          <w:lang w:val="en-US" w:eastAsia="ru-RU"/>
        </w:rPr>
        <w:t>Co|RuFe|Co</w:t>
      </w:r>
      <w:proofErr w:type="spellEnd"/>
      <w:r w:rsidRPr="00EF3F05">
        <w:rPr>
          <w:rFonts w:ascii="Times New Roman" w:hAnsi="Times New Roman"/>
          <w:sz w:val="20"/>
          <w:szCs w:val="20"/>
          <w:lang w:val="en-US" w:eastAsia="ru-RU"/>
        </w:rPr>
        <w:t xml:space="preserve"> type plus a pinned layer), the bilinear interlayer exchange interaction (J) alone is sufficient to induce ultra-high-frequency auto-oscillations in the tens-to-hundreds of gigahertz range. The calculations were performed based on the Landau–</w:t>
      </w:r>
      <w:proofErr w:type="spellStart"/>
      <w:r w:rsidRPr="00EF3F05">
        <w:rPr>
          <w:rFonts w:ascii="Times New Roman" w:hAnsi="Times New Roman"/>
          <w:sz w:val="20"/>
          <w:szCs w:val="20"/>
          <w:lang w:val="en-US" w:eastAsia="ru-RU"/>
        </w:rPr>
        <w:t>Lifshitz</w:t>
      </w:r>
      <w:proofErr w:type="spellEnd"/>
      <w:r w:rsidRPr="00EF3F05">
        <w:rPr>
          <w:rFonts w:ascii="Times New Roman" w:hAnsi="Times New Roman"/>
          <w:sz w:val="20"/>
          <w:szCs w:val="20"/>
          <w:lang w:val="en-US" w:eastAsia="ru-RU"/>
        </w:rPr>
        <w:t>–Gilbert–</w:t>
      </w:r>
      <w:proofErr w:type="spellStart"/>
      <w:r w:rsidRPr="00EF3F05">
        <w:rPr>
          <w:rFonts w:ascii="Times New Roman" w:hAnsi="Times New Roman"/>
          <w:sz w:val="20"/>
          <w:szCs w:val="20"/>
          <w:lang w:val="en-US" w:eastAsia="ru-RU"/>
        </w:rPr>
        <w:t>Slonczewski</w:t>
      </w:r>
      <w:proofErr w:type="spellEnd"/>
      <w:r w:rsidRPr="00EF3F05">
        <w:rPr>
          <w:rFonts w:ascii="Times New Roman" w:hAnsi="Times New Roman"/>
          <w:sz w:val="20"/>
          <w:szCs w:val="20"/>
          <w:lang w:val="en-US" w:eastAsia="ru-RU"/>
        </w:rPr>
        <w:t xml:space="preserve"> (LLGS) equation, with the effective field including contributions from anisotropy, demagnetization, and exchange interaction associated with J.</w:t>
      </w:r>
    </w:p>
    <w:p w14:paraId="32D53DB4" w14:textId="7564B0A3"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The authors determined the current window [</w:t>
      </w:r>
      <w:proofErr w:type="spellStart"/>
      <w:r w:rsidRPr="00EF3F05">
        <w:rPr>
          <w:rFonts w:ascii="Times New Roman" w:hAnsi="Times New Roman"/>
          <w:i/>
          <w:iCs/>
          <w:sz w:val="20"/>
          <w:szCs w:val="20"/>
          <w:lang w:val="en-US" w:eastAsia="ru-RU"/>
        </w:rPr>
        <w:t>I</w:t>
      </w:r>
      <w:r w:rsidRPr="00EF3F05">
        <w:rPr>
          <w:rFonts w:ascii="Times New Roman" w:hAnsi="Times New Roman"/>
          <w:i/>
          <w:iCs/>
          <w:sz w:val="20"/>
          <w:szCs w:val="20"/>
          <w:vertAlign w:val="subscript"/>
          <w:lang w:val="en-US" w:eastAsia="ru-RU"/>
        </w:rPr>
        <w:t>min</w:t>
      </w:r>
      <w:proofErr w:type="spellEnd"/>
      <w:r w:rsidRPr="00EF3F05">
        <w:rPr>
          <w:rFonts w:ascii="Times New Roman" w:hAnsi="Times New Roman"/>
          <w:i/>
          <w:iCs/>
          <w:sz w:val="20"/>
          <w:szCs w:val="20"/>
          <w:lang w:val="en-US" w:eastAsia="ru-RU"/>
        </w:rPr>
        <w:t>, I</w:t>
      </w:r>
      <w:r w:rsidRPr="00EF3F05">
        <w:rPr>
          <w:rFonts w:ascii="Times New Roman" w:hAnsi="Times New Roman"/>
          <w:i/>
          <w:iCs/>
          <w:sz w:val="20"/>
          <w:szCs w:val="20"/>
          <w:vertAlign w:val="subscript"/>
          <w:lang w:val="en-US" w:eastAsia="ru-RU"/>
        </w:rPr>
        <w:t>max</w:t>
      </w:r>
      <w:r w:rsidRPr="00EF3F05">
        <w:rPr>
          <w:rFonts w:ascii="Times New Roman" w:hAnsi="Times New Roman"/>
          <w:sz w:val="20"/>
          <w:szCs w:val="20"/>
          <w:lang w:val="en-US" w:eastAsia="ru-RU"/>
        </w:rPr>
        <w:t xml:space="preserve">] for which a stable limit cycle exists using both analytical and numerical methods. For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&gt; 0, a closed-form expression was obtained for </w:t>
      </w:r>
      <w:proofErr w:type="spellStart"/>
      <w:r w:rsidRPr="00EF3F05">
        <w:rPr>
          <w:rFonts w:ascii="Times New Roman" w:hAnsi="Times New Roman"/>
          <w:i/>
          <w:iCs/>
          <w:sz w:val="20"/>
          <w:szCs w:val="20"/>
          <w:lang w:val="en-US" w:eastAsia="ru-RU"/>
        </w:rPr>
        <w:t>I</w:t>
      </w:r>
      <w:r w:rsidRPr="00EF3F05">
        <w:rPr>
          <w:rFonts w:ascii="Times New Roman" w:hAnsi="Times New Roman"/>
          <w:i/>
          <w:iCs/>
          <w:sz w:val="20"/>
          <w:szCs w:val="20"/>
          <w:vertAlign w:val="subscript"/>
          <w:lang w:val="en-US" w:eastAsia="ru-RU"/>
        </w:rPr>
        <w:t>min</w:t>
      </w:r>
      <w:proofErr w:type="spellEnd"/>
      <w:r w:rsidRPr="00EF3F05">
        <w:rPr>
          <w:rFonts w:ascii="Times New Roman" w:hAnsi="Times New Roman"/>
          <w:sz w:val="20"/>
          <w:szCs w:val="20"/>
          <w:lang w:val="en-US" w:eastAsia="ru-RU"/>
        </w:rPr>
        <w:t xml:space="preserve">, and analogous boundary conditions were established for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&lt; 0. As the current increases, the precession trajectory transitions between in-plane and out-of-plane regimes; near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&lt; 0, </w:t>
      </w:r>
      <w:proofErr w:type="spellStart"/>
      <w:r w:rsidRPr="00EF3F05">
        <w:rPr>
          <w:rFonts w:ascii="Times New Roman" w:hAnsi="Times New Roman"/>
          <w:sz w:val="20"/>
          <w:szCs w:val="20"/>
          <w:lang w:val="en-US" w:eastAsia="ru-RU"/>
        </w:rPr>
        <w:t>multistability</w:t>
      </w:r>
      <w:proofErr w:type="spellEnd"/>
      <w:r w:rsidRPr="00EF3F05">
        <w:rPr>
          <w:rFonts w:ascii="Times New Roman" w:hAnsi="Times New Roman"/>
          <w:sz w:val="20"/>
          <w:szCs w:val="20"/>
          <w:lang w:val="en-US" w:eastAsia="ru-RU"/>
        </w:rPr>
        <w:t xml:space="preserve"> is observed around </w:t>
      </w:r>
      <w:r w:rsidRPr="00EF3F05">
        <w:rPr>
          <w:rFonts w:ascii="Times New Roman" w:hAnsi="Times New Roman"/>
          <w:i/>
          <w:iCs/>
          <w:sz w:val="20"/>
          <w:szCs w:val="20"/>
          <w:lang w:val="en-US" w:eastAsia="ru-RU"/>
        </w:rPr>
        <w:t>I</w:t>
      </w:r>
      <w:r w:rsidRPr="00EF3F05">
        <w:rPr>
          <w:rFonts w:ascii="Times New Roman" w:hAnsi="Times New Roman"/>
          <w:i/>
          <w:iCs/>
          <w:sz w:val="20"/>
          <w:szCs w:val="20"/>
          <w:vertAlign w:val="subscript"/>
          <w:lang w:val="en-US" w:eastAsia="ru-RU"/>
        </w:rPr>
        <w:t>max</w:t>
      </w:r>
      <w:r w:rsidRPr="00EF3F05">
        <w:rPr>
          <w:rFonts w:ascii="Times New Roman" w:hAnsi="Times New Roman"/>
          <w:sz w:val="20"/>
          <w:szCs w:val="20"/>
          <w:lang w:val="en-US" w:eastAsia="ru-RU"/>
        </w:rPr>
        <w:t xml:space="preserve">. The critical value of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w:t>
      </w:r>
      <w:proofErr w:type="spellStart"/>
      <w:r w:rsidRPr="00EF3F05">
        <w:rPr>
          <w:rFonts w:ascii="Times New Roman" w:hAnsi="Times New Roman"/>
          <w:i/>
          <w:iCs/>
          <w:sz w:val="20"/>
          <w:szCs w:val="20"/>
          <w:lang w:val="en-US" w:eastAsia="ru-RU"/>
        </w:rPr>
        <w:t>J</w:t>
      </w:r>
      <w:r w:rsidRPr="00EF3F05">
        <w:rPr>
          <w:rFonts w:ascii="Times New Roman" w:hAnsi="Times New Roman"/>
          <w:i/>
          <w:iCs/>
          <w:sz w:val="20"/>
          <w:szCs w:val="20"/>
          <w:vertAlign w:val="subscript"/>
          <w:lang w:val="en-US" w:eastAsia="ru-RU"/>
        </w:rPr>
        <w:t>c</w:t>
      </w:r>
      <w:proofErr w:type="spellEnd"/>
      <w:r w:rsidRPr="00EF3F05">
        <w:rPr>
          <w:rFonts w:ascii="Times New Roman" w:hAnsi="Times New Roman"/>
          <w:sz w:val="20"/>
          <w:szCs w:val="20"/>
          <w:lang w:val="en-US" w:eastAsia="ru-RU"/>
        </w:rPr>
        <w:t xml:space="preserve">) was determined, typically on the order of a few </w:t>
      </w:r>
      <w:proofErr w:type="spellStart"/>
      <w:r w:rsidRPr="00EF3F05">
        <w:rPr>
          <w:rFonts w:ascii="Times New Roman" w:hAnsi="Times New Roman"/>
          <w:i/>
          <w:iCs/>
          <w:sz w:val="20"/>
          <w:szCs w:val="20"/>
          <w:lang w:val="en-US" w:eastAsia="ru-RU"/>
        </w:rPr>
        <w:t>mJ</w:t>
      </w:r>
      <w:proofErr w:type="spellEnd"/>
      <w:r w:rsidRPr="00EF3F05">
        <w:rPr>
          <w:rFonts w:ascii="Times New Roman" w:hAnsi="Times New Roman"/>
          <w:i/>
          <w:iCs/>
          <w:sz w:val="20"/>
          <w:szCs w:val="20"/>
          <w:lang w:val="en-US" w:eastAsia="ru-RU"/>
        </w:rPr>
        <w:t>/m²</w:t>
      </w:r>
      <w:r w:rsidRPr="00EF3F05">
        <w:rPr>
          <w:rFonts w:ascii="Times New Roman" w:hAnsi="Times New Roman"/>
          <w:sz w:val="20"/>
          <w:szCs w:val="20"/>
          <w:lang w:val="en-US" w:eastAsia="ru-RU"/>
        </w:rPr>
        <w:t xml:space="preserve">; above </w:t>
      </w:r>
      <w:proofErr w:type="spellStart"/>
      <w:r w:rsidRPr="00EF3F05">
        <w:rPr>
          <w:rFonts w:ascii="Times New Roman" w:hAnsi="Times New Roman"/>
          <w:i/>
          <w:iCs/>
          <w:sz w:val="20"/>
          <w:szCs w:val="20"/>
          <w:lang w:val="en-US" w:eastAsia="ru-RU"/>
        </w:rPr>
        <w:t>J</w:t>
      </w:r>
      <w:r w:rsidRPr="00EF3F05">
        <w:rPr>
          <w:rFonts w:ascii="Times New Roman" w:hAnsi="Times New Roman"/>
          <w:sz w:val="20"/>
          <w:szCs w:val="20"/>
          <w:vertAlign w:val="subscript"/>
          <w:lang w:val="en-US" w:eastAsia="ru-RU"/>
        </w:rPr>
        <w:t>c</w:t>
      </w:r>
      <w:proofErr w:type="spellEnd"/>
      <w:r w:rsidRPr="00EF3F05">
        <w:rPr>
          <w:rFonts w:ascii="Times New Roman" w:hAnsi="Times New Roman"/>
          <w:sz w:val="20"/>
          <w:szCs w:val="20"/>
          <w:lang w:val="en-US" w:eastAsia="ru-RU"/>
        </w:rPr>
        <w:t>, precession becomes more in-plane, and the threshold current decreases. Although the calculations were performed in the cold limit (</w:t>
      </w:r>
      <w:r w:rsidRPr="00EF3F05">
        <w:rPr>
          <w:rFonts w:ascii="Times New Roman" w:hAnsi="Times New Roman"/>
          <w:i/>
          <w:iCs/>
          <w:sz w:val="20"/>
          <w:szCs w:val="20"/>
          <w:lang w:val="en-US" w:eastAsia="ru-RU"/>
        </w:rPr>
        <w:t>T</w:t>
      </w:r>
      <w:r w:rsidRPr="00EF3F05">
        <w:rPr>
          <w:rFonts w:ascii="Times New Roman" w:hAnsi="Times New Roman"/>
          <w:sz w:val="20"/>
          <w:szCs w:val="20"/>
          <w:lang w:val="en-US" w:eastAsia="ru-RU"/>
        </w:rPr>
        <w:t xml:space="preserve"> = 0 K), it was noted that perpendicular anisotropy in the free layer enhances thermal stability.</w:t>
      </w:r>
    </w:p>
    <w:p w14:paraId="39ACF7A9" w14:textId="57324B95"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 xml:space="preserve">While previous studies of STNO/STO were typically limited to the GHz frequency range, this work demonstrates that, solely due to the bilinear exchange J, frequencies exceeding 300 GHz are achievable, with the frequency range varying from ~30 GHz up to hundreds of GHz depending on the sign and magnitude of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w:t>
      </w:r>
    </w:p>
    <w:p w14:paraId="3BA5DCFF" w14:textId="10E65D53" w:rsidR="00EF3F05" w:rsidRP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Fig</w:t>
      </w:r>
      <w:r w:rsidR="00B03E8F" w:rsidRPr="00B03E8F">
        <w:rPr>
          <w:rFonts w:ascii="Times New Roman" w:hAnsi="Times New Roman"/>
          <w:sz w:val="20"/>
          <w:szCs w:val="20"/>
          <w:lang w:val="en-US" w:eastAsia="ru-RU"/>
        </w:rPr>
        <w:t>.</w:t>
      </w:r>
      <w:r w:rsidRPr="00EF3F05">
        <w:rPr>
          <w:rFonts w:ascii="Times New Roman" w:hAnsi="Times New Roman"/>
          <w:sz w:val="20"/>
          <w:szCs w:val="20"/>
          <w:lang w:val="en-US" w:eastAsia="ru-RU"/>
        </w:rPr>
        <w:t xml:space="preserve"> </w:t>
      </w:r>
      <w:r w:rsidR="00B03E8F" w:rsidRPr="00B03E8F">
        <w:rPr>
          <w:rFonts w:ascii="Times New Roman" w:hAnsi="Times New Roman"/>
          <w:sz w:val="20"/>
          <w:szCs w:val="20"/>
          <w:lang w:val="en-US" w:eastAsia="ru-RU"/>
        </w:rPr>
        <w:t>2</w:t>
      </w:r>
      <w:r w:rsidR="00B03E8F">
        <w:rPr>
          <w:rFonts w:ascii="Times New Roman" w:hAnsi="Times New Roman"/>
          <w:b/>
          <w:bCs/>
          <w:sz w:val="20"/>
          <w:szCs w:val="20"/>
          <w:lang w:val="en-US" w:eastAsia="ru-RU"/>
        </w:rPr>
        <w:t xml:space="preserve"> </w:t>
      </w:r>
      <w:r w:rsidRPr="00EF3F05">
        <w:rPr>
          <w:rFonts w:ascii="Times New Roman" w:hAnsi="Times New Roman"/>
          <w:sz w:val="20"/>
          <w:szCs w:val="20"/>
          <w:lang w:val="en-US" w:eastAsia="ru-RU"/>
        </w:rPr>
        <w:t>illustrates four regimes of STNO dynamics. In panel (</w:t>
      </w:r>
      <w:r w:rsidRPr="00EF3F05">
        <w:rPr>
          <w:rFonts w:ascii="Times New Roman" w:hAnsi="Times New Roman"/>
          <w:i/>
          <w:iCs/>
          <w:sz w:val="20"/>
          <w:szCs w:val="20"/>
          <w:lang w:val="en-US" w:eastAsia="ru-RU"/>
        </w:rPr>
        <w:t>a</w:t>
      </w:r>
      <w:r w:rsidRPr="00EF3F05">
        <w:rPr>
          <w:rFonts w:ascii="Times New Roman" w:hAnsi="Times New Roman"/>
          <w:sz w:val="20"/>
          <w:szCs w:val="20"/>
          <w:lang w:val="en-US" w:eastAsia="ru-RU"/>
        </w:rPr>
        <w:t>), for small bilinear exchange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 0.4 </w:t>
      </w:r>
      <w:proofErr w:type="spellStart"/>
      <w:r w:rsidRPr="00EF3F05">
        <w:rPr>
          <w:rFonts w:ascii="Times New Roman" w:hAnsi="Times New Roman"/>
          <w:sz w:val="20"/>
          <w:szCs w:val="20"/>
          <w:lang w:val="en-US" w:eastAsia="ru-RU"/>
        </w:rPr>
        <w:t>mJ</w:t>
      </w:r>
      <w:proofErr w:type="spellEnd"/>
      <w:r w:rsidRPr="00EF3F05">
        <w:rPr>
          <w:rFonts w:ascii="Times New Roman" w:hAnsi="Times New Roman"/>
          <w:sz w:val="20"/>
          <w:szCs w:val="20"/>
          <w:lang w:val="en-US" w:eastAsia="ru-RU"/>
        </w:rPr>
        <w:t xml:space="preserve">/m²), the phase trajectories of the magnetization vector m over the interval </w:t>
      </w:r>
      <w:r w:rsidRPr="00EF3F05">
        <w:rPr>
          <w:rFonts w:ascii="Times New Roman" w:hAnsi="Times New Roman"/>
          <w:i/>
          <w:iCs/>
          <w:sz w:val="20"/>
          <w:szCs w:val="20"/>
          <w:lang w:val="en-US" w:eastAsia="ru-RU"/>
        </w:rPr>
        <w:t>t</w:t>
      </w:r>
      <w:r w:rsidRPr="00EF3F05">
        <w:rPr>
          <w:rFonts w:ascii="Times New Roman" w:hAnsi="Times New Roman"/>
          <w:sz w:val="20"/>
          <w:szCs w:val="20"/>
          <w:lang w:val="en-US" w:eastAsia="ru-RU"/>
        </w:rPr>
        <w:t xml:space="preserve"> = 299–300 ns are shown: the closed orbits gradually change for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-0.5, -1, -1.5, -2.5, -3.25 mA; at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-4 mA, the trajectory collapses to a single black point, indicating the loss of auto-oscillation and the system reaching a stationary equilibrium state (</w:t>
      </w:r>
      <w:r w:rsidRPr="00EF3F05">
        <w:rPr>
          <w:rFonts w:ascii="Times New Roman" w:hAnsi="Times New Roman"/>
          <w:i/>
          <w:iCs/>
          <w:sz w:val="20"/>
          <w:szCs w:val="20"/>
          <w:lang w:val="en-US" w:eastAsia="ru-RU"/>
        </w:rPr>
        <w:t>S</w:t>
      </w:r>
      <w:r w:rsidRPr="00EF3F05">
        <w:rPr>
          <w:rFonts w:ascii="Times New Roman" w:hAnsi="Times New Roman"/>
          <w:i/>
          <w:iCs/>
          <w:sz w:val="20"/>
          <w:szCs w:val="20"/>
          <w:vertAlign w:val="subscript"/>
          <w:lang w:val="en-US" w:eastAsia="ru-RU"/>
        </w:rPr>
        <w:t>2</w:t>
      </w:r>
      <w:r w:rsidRPr="00EF3F05">
        <w:rPr>
          <w:rFonts w:ascii="Times New Roman" w:hAnsi="Times New Roman"/>
          <w:sz w:val="20"/>
          <w:szCs w:val="20"/>
          <w:lang w:val="en-US" w:eastAsia="ru-RU"/>
        </w:rPr>
        <w:t>). In panel (</w:t>
      </w:r>
      <w:r w:rsidRPr="00EF3F05">
        <w:rPr>
          <w:rFonts w:ascii="Times New Roman" w:hAnsi="Times New Roman"/>
          <w:i/>
          <w:iCs/>
          <w:sz w:val="20"/>
          <w:szCs w:val="20"/>
          <w:lang w:val="en-US" w:eastAsia="ru-RU"/>
        </w:rPr>
        <w:t>b</w:t>
      </w:r>
      <w:r w:rsidRPr="00EF3F05">
        <w:rPr>
          <w:rFonts w:ascii="Times New Roman" w:hAnsi="Times New Roman"/>
          <w:sz w:val="20"/>
          <w:szCs w:val="20"/>
          <w:lang w:val="en-US" w:eastAsia="ru-RU"/>
        </w:rPr>
        <w:t>), the case of strong exchange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 7 </w:t>
      </w:r>
      <w:proofErr w:type="spellStart"/>
      <w:r w:rsidRPr="00EF3F05">
        <w:rPr>
          <w:rFonts w:ascii="Times New Roman" w:hAnsi="Times New Roman"/>
          <w:sz w:val="20"/>
          <w:szCs w:val="20"/>
          <w:lang w:val="en-US" w:eastAsia="ru-RU"/>
        </w:rPr>
        <w:t>mJ</w:t>
      </w:r>
      <w:proofErr w:type="spellEnd"/>
      <w:r w:rsidRPr="00EF3F05">
        <w:rPr>
          <w:rFonts w:ascii="Times New Roman" w:hAnsi="Times New Roman"/>
          <w:sz w:val="20"/>
          <w:szCs w:val="20"/>
          <w:lang w:val="en-US" w:eastAsia="ru-RU"/>
        </w:rPr>
        <w:t xml:space="preserve">/m²) is shown: for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-2, -2.1, -2.2, -2.3, -2.35 mA, the trajectory shapes and sizes differ in a manner characteristic of the system’s increased stiffness due to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at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-3 mA, the trajectory again collapses to a black point, marking the transition from oscillation to the stationary state (</w:t>
      </w:r>
      <w:r w:rsidRPr="00EF3F05">
        <w:rPr>
          <w:rFonts w:ascii="Times New Roman" w:hAnsi="Times New Roman"/>
          <w:i/>
          <w:iCs/>
          <w:sz w:val="20"/>
          <w:szCs w:val="20"/>
          <w:lang w:val="en-US" w:eastAsia="ru-RU"/>
        </w:rPr>
        <w:t>|I| &gt; I</w:t>
      </w:r>
      <w:r w:rsidRPr="00EF3F05">
        <w:rPr>
          <w:rFonts w:ascii="Times New Roman" w:hAnsi="Times New Roman"/>
          <w:i/>
          <w:iCs/>
          <w:sz w:val="20"/>
          <w:szCs w:val="20"/>
          <w:vertAlign w:val="subscript"/>
          <w:lang w:val="en-US" w:eastAsia="ru-RU"/>
        </w:rPr>
        <w:t>max</w:t>
      </w:r>
      <w:r w:rsidRPr="00EF3F05">
        <w:rPr>
          <w:rFonts w:ascii="Times New Roman" w:hAnsi="Times New Roman"/>
          <w:sz w:val="20"/>
          <w:szCs w:val="20"/>
          <w:lang w:val="en-US" w:eastAsia="ru-RU"/>
        </w:rPr>
        <w:t xml:space="preserve">). This transition can be expressed analytically via the equilibrium angle: </w:t>
      </w:r>
      <m:oMath>
        <m:r>
          <m:rPr>
            <m:sty m:val="p"/>
          </m:rPr>
          <w:rPr>
            <w:rFonts w:ascii="Cambria Math" w:hAnsi="Cambria Math"/>
            <w:sz w:val="20"/>
            <w:lang w:val="en-US"/>
          </w:rPr>
          <m:t>sin</m:t>
        </m:r>
        <m:sSup>
          <m:sSupPr>
            <m:ctrlPr>
              <w:rPr>
                <w:rFonts w:ascii="Cambria Math" w:hAnsi="Cambria Math"/>
                <w:sz w:val="20"/>
              </w:rPr>
            </m:ctrlPr>
          </m:sSupPr>
          <m:e>
            <m:r>
              <w:rPr>
                <w:rFonts w:ascii="Cambria Math" w:hAnsi="Cambria Math"/>
                <w:sz w:val="20"/>
              </w:rPr>
              <m:t>θ</m:t>
            </m:r>
          </m:e>
          <m:sup>
            <m:r>
              <m:rPr>
                <m:sty m:val="p"/>
              </m:rPr>
              <w:rPr>
                <w:rFonts w:ascii="Cambria Math" w:hAnsi="Cambria Math"/>
                <w:sz w:val="20"/>
                <w:lang w:val="en-US"/>
              </w:rPr>
              <m:t>*</m:t>
            </m:r>
          </m:sup>
        </m:sSup>
        <m:r>
          <m:rPr>
            <m:sty m:val="p"/>
          </m:rPr>
          <w:rPr>
            <w:rFonts w:ascii="Cambria Math" w:hAnsi="Cambria Math"/>
            <w:sz w:val="20"/>
            <w:lang w:val="en-US"/>
          </w:rPr>
          <m:t>=</m:t>
        </m:r>
        <m:r>
          <w:rPr>
            <w:rFonts w:ascii="Cambria Math" w:hAnsi="Cambria Math"/>
            <w:sz w:val="20"/>
          </w:rPr>
          <m:t>J</m:t>
        </m:r>
        <m:r>
          <m:rPr>
            <m:sty m:val="p"/>
          </m:rPr>
          <w:rPr>
            <w:rFonts w:ascii="Cambria Math" w:hAnsi="Cambria Math"/>
            <w:sz w:val="20"/>
            <w:lang w:val="en-US"/>
          </w:rPr>
          <m:t>/</m:t>
        </m:r>
        <m:d>
          <m:dPr>
            <m:ctrlPr>
              <w:rPr>
                <w:rFonts w:ascii="Cambria Math" w:hAnsi="Cambria Math"/>
                <w:sz w:val="20"/>
              </w:rPr>
            </m:ctrlPr>
          </m:dPr>
          <m:e>
            <m:r>
              <w:rPr>
                <w:rFonts w:ascii="Cambria Math" w:hAnsi="Cambria Math"/>
                <w:sz w:val="20"/>
              </w:rPr>
              <m:t>d</m:t>
            </m:r>
            <m:sSub>
              <m:sSubPr>
                <m:ctrlPr>
                  <w:rPr>
                    <w:rFonts w:ascii="Cambria Math" w:hAnsi="Cambria Math"/>
                    <w:sz w:val="20"/>
                  </w:rPr>
                </m:ctrlPr>
              </m:sSubPr>
              <m:e>
                <m:r>
                  <w:rPr>
                    <w:rFonts w:ascii="Cambria Math" w:hAnsi="Cambria Math"/>
                    <w:sz w:val="20"/>
                  </w:rPr>
                  <m:t>M</m:t>
                </m:r>
              </m:e>
              <m:sub>
                <m:r>
                  <w:rPr>
                    <w:rFonts w:ascii="Cambria Math" w:hAnsi="Cambria Math"/>
                    <w:sz w:val="20"/>
                  </w:rPr>
                  <m:t>s</m:t>
                </m:r>
              </m:sub>
            </m:sSub>
            <m:r>
              <m:rPr>
                <m:sty m:val="p"/>
              </m:rPr>
              <w:rPr>
                <w:rFonts w:ascii="Cambria Math" w:hAnsi="Cambria Math"/>
                <w:sz w:val="20"/>
                <w:lang w:val="en-US"/>
              </w:rPr>
              <m:t>(</m:t>
            </m:r>
            <m:r>
              <w:rPr>
                <w:rFonts w:ascii="Cambria Math" w:hAnsi="Cambria Math"/>
                <w:sz w:val="20"/>
                <w:lang w:val="en-US"/>
              </w:rPr>
              <m:t>4</m:t>
            </m:r>
            <m:r>
              <w:rPr>
                <w:rFonts w:ascii="Cambria Math" w:hAnsi="Cambria Math"/>
                <w:sz w:val="20"/>
              </w:rPr>
              <m:t>π</m:t>
            </m:r>
            <m:sSub>
              <m:sSubPr>
                <m:ctrlPr>
                  <w:rPr>
                    <w:rFonts w:ascii="Cambria Math" w:hAnsi="Cambria Math"/>
                    <w:sz w:val="20"/>
                  </w:rPr>
                </m:ctrlPr>
              </m:sSubPr>
              <m:e>
                <m:r>
                  <w:rPr>
                    <w:rFonts w:ascii="Cambria Math" w:hAnsi="Cambria Math"/>
                    <w:sz w:val="20"/>
                  </w:rPr>
                  <m:t>M</m:t>
                </m:r>
              </m:e>
              <m:sub>
                <m:r>
                  <w:rPr>
                    <w:rFonts w:ascii="Cambria Math" w:hAnsi="Cambria Math"/>
                    <w:sz w:val="20"/>
                  </w:rPr>
                  <m:t>s</m:t>
                </m:r>
              </m:sub>
            </m:sSub>
            <m:r>
              <m:rPr>
                <m:sty m:val="p"/>
              </m:rPr>
              <w:rPr>
                <w:rFonts w:ascii="Cambria Math" w:hAnsi="Cambria Math"/>
                <w:sz w:val="20"/>
                <w:lang w:val="en-US"/>
              </w:rPr>
              <m:t>-</m:t>
            </m:r>
            <m:sSub>
              <m:sSubPr>
                <m:ctrlPr>
                  <w:rPr>
                    <w:rFonts w:ascii="Cambria Math" w:hAnsi="Cambria Math"/>
                    <w:sz w:val="20"/>
                  </w:rPr>
                </m:ctrlPr>
              </m:sSubPr>
              <m:e>
                <m:r>
                  <w:rPr>
                    <w:rFonts w:ascii="Cambria Math" w:hAnsi="Cambria Math"/>
                    <w:sz w:val="20"/>
                  </w:rPr>
                  <m:t>H</m:t>
                </m:r>
              </m:e>
              <m:sub>
                <m:r>
                  <w:rPr>
                    <w:rFonts w:ascii="Cambria Math" w:hAnsi="Cambria Math"/>
                    <w:sz w:val="20"/>
                  </w:rPr>
                  <m:t>k</m:t>
                </m:r>
              </m:sub>
            </m:sSub>
            <m:r>
              <m:rPr>
                <m:sty m:val="p"/>
              </m:rPr>
              <w:rPr>
                <w:rFonts w:ascii="Cambria Math" w:hAnsi="Cambria Math"/>
                <w:sz w:val="20"/>
                <w:lang w:val="en-US"/>
              </w:rPr>
              <m:t>)</m:t>
            </m:r>
          </m:e>
        </m:d>
      </m:oMath>
      <w:r w:rsidRPr="00EF3F05">
        <w:rPr>
          <w:rFonts w:ascii="Times New Roman" w:hAnsi="Times New Roman"/>
          <w:sz w:val="20"/>
          <w:szCs w:val="20"/>
          <w:lang w:val="en-US" w:eastAsia="ru-RU"/>
        </w:rPr>
        <w:t>, i.e., an incre</w:t>
      </w:r>
      <w:proofErr w:type="spellStart"/>
      <w:r w:rsidRPr="00EF3F05">
        <w:rPr>
          <w:rFonts w:ascii="Times New Roman" w:hAnsi="Times New Roman"/>
          <w:sz w:val="20"/>
          <w:szCs w:val="20"/>
          <w:lang w:val="en-US" w:eastAsia="ru-RU"/>
        </w:rPr>
        <w:t>ase</w:t>
      </w:r>
      <w:proofErr w:type="spellEnd"/>
      <w:r w:rsidRPr="00EF3F05">
        <w:rPr>
          <w:rFonts w:ascii="Times New Roman" w:hAnsi="Times New Roman"/>
          <w:sz w:val="20"/>
          <w:szCs w:val="20"/>
          <w:lang w:val="en-US" w:eastAsia="ru-RU"/>
        </w:rPr>
        <w:t xml:space="preserve"> in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leads to a larger deflection of m.</w:t>
      </w:r>
    </w:p>
    <w:p w14:paraId="651BEADE" w14:textId="3CC9A4ED" w:rsidR="00EF3F05" w:rsidRDefault="00EF3F05" w:rsidP="00EF3F05">
      <w:pPr>
        <w:spacing w:after="0" w:line="240" w:lineRule="auto"/>
        <w:ind w:firstLine="284"/>
        <w:jc w:val="both"/>
        <w:rPr>
          <w:rFonts w:ascii="Times New Roman" w:hAnsi="Times New Roman"/>
          <w:sz w:val="20"/>
          <w:szCs w:val="20"/>
          <w:lang w:val="en-US" w:eastAsia="ru-RU"/>
        </w:rPr>
      </w:pPr>
      <w:r w:rsidRPr="00EF3F05">
        <w:rPr>
          <w:rFonts w:ascii="Times New Roman" w:hAnsi="Times New Roman"/>
          <w:sz w:val="20"/>
          <w:szCs w:val="20"/>
          <w:lang w:val="en-US" w:eastAsia="ru-RU"/>
        </w:rPr>
        <w:t xml:space="preserve">Panels (c) and (d) show the time evolution of </w:t>
      </w:r>
      <w:proofErr w:type="spellStart"/>
      <w:r w:rsidRPr="00EF3F05">
        <w:rPr>
          <w:rFonts w:ascii="Times New Roman" w:hAnsi="Times New Roman"/>
          <w:sz w:val="20"/>
          <w:szCs w:val="20"/>
          <w:lang w:val="en-US" w:eastAsia="ru-RU"/>
        </w:rPr>
        <w:t>m_x</w:t>
      </w:r>
      <w:proofErr w:type="spellEnd"/>
      <w:r w:rsidRPr="00EF3F05">
        <w:rPr>
          <w:rFonts w:ascii="Times New Roman" w:hAnsi="Times New Roman"/>
          <w:sz w:val="20"/>
          <w:szCs w:val="20"/>
          <w:lang w:val="en-US" w:eastAsia="ru-RU"/>
        </w:rPr>
        <w:t xml:space="preserve">(t): for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 0.4 </w:t>
      </w:r>
      <w:proofErr w:type="spellStart"/>
      <w:r w:rsidRPr="00EF3F05">
        <w:rPr>
          <w:rFonts w:ascii="Times New Roman" w:hAnsi="Times New Roman"/>
          <w:sz w:val="20"/>
          <w:szCs w:val="20"/>
          <w:lang w:val="en-US" w:eastAsia="ru-RU"/>
        </w:rPr>
        <w:t>mJ</w:t>
      </w:r>
      <w:proofErr w:type="spellEnd"/>
      <w:r w:rsidRPr="00EF3F05">
        <w:rPr>
          <w:rFonts w:ascii="Times New Roman" w:hAnsi="Times New Roman"/>
          <w:sz w:val="20"/>
          <w:szCs w:val="20"/>
          <w:lang w:val="en-US" w:eastAsia="ru-RU"/>
        </w:rPr>
        <w:t xml:space="preserve">/m² and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-1.5 mA (panel </w:t>
      </w:r>
      <w:r w:rsidRPr="00EF3F05">
        <w:rPr>
          <w:rFonts w:ascii="Times New Roman" w:hAnsi="Times New Roman"/>
          <w:i/>
          <w:iCs/>
          <w:sz w:val="20"/>
          <w:szCs w:val="20"/>
          <w:lang w:val="en-US" w:eastAsia="ru-RU"/>
        </w:rPr>
        <w:t>c</w:t>
      </w:r>
      <w:r w:rsidRPr="00EF3F05">
        <w:rPr>
          <w:rFonts w:ascii="Times New Roman" w:hAnsi="Times New Roman"/>
          <w:sz w:val="20"/>
          <w:szCs w:val="20"/>
          <w:lang w:val="en-US" w:eastAsia="ru-RU"/>
        </w:rPr>
        <w:t xml:space="preserve">), a stable quasi-harmonic limit cycle with nearly constant amplitude is observed; for </w:t>
      </w:r>
      <w:r w:rsidRPr="00EF3F05">
        <w:rPr>
          <w:rFonts w:ascii="Times New Roman" w:hAnsi="Times New Roman"/>
          <w:i/>
          <w:iCs/>
          <w:sz w:val="20"/>
          <w:szCs w:val="20"/>
          <w:lang w:val="en-US" w:eastAsia="ru-RU"/>
        </w:rPr>
        <w:t>J</w:t>
      </w:r>
      <w:r w:rsidRPr="00EF3F05">
        <w:rPr>
          <w:rFonts w:ascii="Times New Roman" w:hAnsi="Times New Roman"/>
          <w:sz w:val="20"/>
          <w:szCs w:val="20"/>
          <w:lang w:val="en-US" w:eastAsia="ru-RU"/>
        </w:rPr>
        <w:t xml:space="preserve"> = 7 </w:t>
      </w:r>
      <w:proofErr w:type="spellStart"/>
      <w:r w:rsidRPr="00EF3F05">
        <w:rPr>
          <w:rFonts w:ascii="Times New Roman" w:hAnsi="Times New Roman"/>
          <w:sz w:val="20"/>
          <w:szCs w:val="20"/>
          <w:lang w:val="en-US" w:eastAsia="ru-RU"/>
        </w:rPr>
        <w:t>mJ</w:t>
      </w:r>
      <w:proofErr w:type="spellEnd"/>
      <w:r w:rsidRPr="00EF3F05">
        <w:rPr>
          <w:rFonts w:ascii="Times New Roman" w:hAnsi="Times New Roman"/>
          <w:sz w:val="20"/>
          <w:szCs w:val="20"/>
          <w:lang w:val="en-US" w:eastAsia="ru-RU"/>
        </w:rPr>
        <w:t xml:space="preserve">/m² and </w:t>
      </w:r>
      <w:r w:rsidRPr="00EF3F05">
        <w:rPr>
          <w:rFonts w:ascii="Times New Roman" w:hAnsi="Times New Roman"/>
          <w:i/>
          <w:iCs/>
          <w:sz w:val="20"/>
          <w:szCs w:val="20"/>
          <w:lang w:val="en-US" w:eastAsia="ru-RU"/>
        </w:rPr>
        <w:t>I</w:t>
      </w:r>
      <w:r w:rsidRPr="00EF3F05">
        <w:rPr>
          <w:rFonts w:ascii="Times New Roman" w:hAnsi="Times New Roman"/>
          <w:sz w:val="20"/>
          <w:szCs w:val="20"/>
          <w:lang w:val="en-US" w:eastAsia="ru-RU"/>
        </w:rPr>
        <w:t xml:space="preserve"> = -2.3 mA (panel </w:t>
      </w:r>
      <w:r w:rsidRPr="00EF3F05">
        <w:rPr>
          <w:rFonts w:ascii="Times New Roman" w:hAnsi="Times New Roman"/>
          <w:i/>
          <w:iCs/>
          <w:sz w:val="20"/>
          <w:szCs w:val="20"/>
          <w:lang w:val="en-US" w:eastAsia="ru-RU"/>
        </w:rPr>
        <w:t>d</w:t>
      </w:r>
      <w:r w:rsidRPr="00EF3F05">
        <w:rPr>
          <w:rFonts w:ascii="Times New Roman" w:hAnsi="Times New Roman"/>
          <w:sz w:val="20"/>
          <w:szCs w:val="20"/>
          <w:lang w:val="en-US" w:eastAsia="ru-RU"/>
        </w:rPr>
        <w:t>), the mean value shift and amplitude variations are consistent with the enhanced exchange interaction.</w:t>
      </w:r>
    </w:p>
    <w:p w14:paraId="1EC8E128" w14:textId="77777777" w:rsidR="001E5242" w:rsidRDefault="001E5242" w:rsidP="00EF3F05">
      <w:pPr>
        <w:spacing w:after="0" w:line="240" w:lineRule="auto"/>
        <w:ind w:firstLine="284"/>
        <w:jc w:val="both"/>
        <w:rPr>
          <w:rFonts w:ascii="Times New Roman" w:hAnsi="Times New Roman"/>
          <w:sz w:val="20"/>
          <w:szCs w:val="20"/>
          <w:lang w:val="en-US" w:eastAsia="ru-RU"/>
        </w:rPr>
      </w:pPr>
    </w:p>
    <w:p w14:paraId="7567A128" w14:textId="6B401A9D" w:rsidR="00B03E8F" w:rsidRDefault="001E5242" w:rsidP="001E5242">
      <w:pPr>
        <w:spacing w:after="0" w:line="240" w:lineRule="auto"/>
        <w:jc w:val="both"/>
        <w:rPr>
          <w:rFonts w:ascii="Times New Roman" w:hAnsi="Times New Roman"/>
          <w:sz w:val="20"/>
          <w:szCs w:val="20"/>
          <w:lang w:val="en-US" w:eastAsia="ru-RU"/>
        </w:rPr>
      </w:pPr>
      <w:r>
        <w:rPr>
          <w:noProof/>
          <w:lang w:eastAsia="ru-RU"/>
        </w:rPr>
        <w:drawing>
          <wp:inline distT="0" distB="0" distL="0" distR="0" wp14:anchorId="0B8228A0" wp14:editId="72DE7F9D">
            <wp:extent cx="2823092" cy="217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3092" cy="2174400"/>
                    </a:xfrm>
                    <a:prstGeom prst="rect">
                      <a:avLst/>
                    </a:prstGeom>
                  </pic:spPr>
                </pic:pic>
              </a:graphicData>
            </a:graphic>
          </wp:inline>
        </w:drawing>
      </w:r>
      <w:r>
        <w:rPr>
          <w:noProof/>
          <w:lang w:eastAsia="ru-RU"/>
        </w:rPr>
        <w:drawing>
          <wp:inline distT="0" distB="0" distL="0" distR="0" wp14:anchorId="3C8001C5" wp14:editId="70E1318E">
            <wp:extent cx="2814280" cy="21600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4280" cy="2160000"/>
                    </a:xfrm>
                    <a:prstGeom prst="rect">
                      <a:avLst/>
                    </a:prstGeom>
                    <a:noFill/>
                    <a:ln>
                      <a:noFill/>
                    </a:ln>
                  </pic:spPr>
                </pic:pic>
              </a:graphicData>
            </a:graphic>
          </wp:inline>
        </w:drawing>
      </w:r>
    </w:p>
    <w:p w14:paraId="76552DC4" w14:textId="77777777" w:rsidR="001E5242" w:rsidRDefault="001E5242" w:rsidP="001E5242">
      <w:pPr>
        <w:spacing w:after="0" w:line="240" w:lineRule="auto"/>
        <w:jc w:val="center"/>
        <w:rPr>
          <w:rFonts w:ascii="Times New Roman" w:hAnsi="Times New Roman"/>
          <w:sz w:val="20"/>
          <w:szCs w:val="20"/>
          <w:lang w:val="en-US" w:eastAsia="ru-RU"/>
        </w:rPr>
      </w:pPr>
    </w:p>
    <w:p w14:paraId="321ADFD8" w14:textId="0A370B0D" w:rsidR="001E5242" w:rsidRDefault="001E5242" w:rsidP="001E5242">
      <w:pPr>
        <w:spacing w:after="0" w:line="240" w:lineRule="auto"/>
        <w:jc w:val="center"/>
        <w:rPr>
          <w:rFonts w:ascii="Times New Roman" w:hAnsi="Times New Roman"/>
          <w:sz w:val="20"/>
          <w:szCs w:val="20"/>
          <w:lang w:val="en-US" w:eastAsia="ru-RU"/>
        </w:rPr>
      </w:pPr>
      <w:r w:rsidRPr="002C44AA">
        <w:rPr>
          <w:noProof/>
          <w:lang w:eastAsia="ru-RU"/>
        </w:rPr>
        <w:drawing>
          <wp:inline distT="0" distB="0" distL="0" distR="0" wp14:anchorId="3CA3D920" wp14:editId="1D9773E2">
            <wp:extent cx="5069433" cy="18724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099" r="1851" b="2855"/>
                    <a:stretch/>
                  </pic:blipFill>
                  <pic:spPr bwMode="auto">
                    <a:xfrm>
                      <a:off x="0" y="0"/>
                      <a:ext cx="5091257" cy="1880493"/>
                    </a:xfrm>
                    <a:prstGeom prst="rect">
                      <a:avLst/>
                    </a:prstGeom>
                    <a:ln>
                      <a:noFill/>
                    </a:ln>
                    <a:extLst>
                      <a:ext uri="{53640926-AAD7-44D8-BBD7-CCE9431645EC}">
                        <a14:shadowObscured xmlns:a14="http://schemas.microsoft.com/office/drawing/2010/main"/>
                      </a:ext>
                    </a:extLst>
                  </pic:spPr>
                </pic:pic>
              </a:graphicData>
            </a:graphic>
          </wp:inline>
        </w:drawing>
      </w:r>
    </w:p>
    <w:p w14:paraId="6730288F" w14:textId="137BA3A9" w:rsidR="001E5242" w:rsidRPr="00775F51" w:rsidRDefault="001E5242" w:rsidP="00775F51">
      <w:pPr>
        <w:spacing w:before="120" w:after="120" w:line="240" w:lineRule="auto"/>
        <w:jc w:val="center"/>
        <w:rPr>
          <w:rFonts w:ascii="Times New Roman" w:hAnsi="Times New Roman"/>
          <w:sz w:val="18"/>
          <w:szCs w:val="18"/>
          <w:lang w:val="en-US" w:eastAsia="ru-RU"/>
        </w:rPr>
      </w:pPr>
      <w:r w:rsidRPr="00775F51">
        <w:rPr>
          <w:rStyle w:val="ad"/>
          <w:rFonts w:ascii="Times New Roman" w:hAnsi="Times New Roman"/>
          <w:sz w:val="18"/>
          <w:szCs w:val="18"/>
          <w:lang w:val="en-US"/>
        </w:rPr>
        <w:t>FIGURE 2.</w:t>
      </w:r>
      <w:r w:rsidRPr="00775F51">
        <w:rPr>
          <w:rFonts w:ascii="Times New Roman" w:hAnsi="Times New Roman"/>
          <w:sz w:val="18"/>
          <w:szCs w:val="18"/>
          <w:lang w:val="en-US"/>
        </w:rPr>
        <w:t xml:space="preserve"> </w:t>
      </w:r>
      <w:r w:rsidRPr="00775F51">
        <w:rPr>
          <w:rFonts w:ascii="Times New Roman" w:hAnsi="Times New Roman"/>
          <w:b/>
          <w:bCs/>
          <w:i/>
          <w:iCs/>
          <w:sz w:val="18"/>
          <w:szCs w:val="18"/>
          <w:lang w:val="en-US"/>
        </w:rPr>
        <w:t>(a)</w:t>
      </w:r>
      <w:r w:rsidRPr="00775F51">
        <w:rPr>
          <w:rFonts w:ascii="Times New Roman" w:hAnsi="Times New Roman"/>
          <w:sz w:val="18"/>
          <w:szCs w:val="18"/>
          <w:lang w:val="en-US"/>
        </w:rPr>
        <w:t xml:space="preserve"> Trajectories of the </w:t>
      </w:r>
      <w:r w:rsidRPr="00775F51">
        <w:rPr>
          <w:rFonts w:ascii="Times New Roman" w:hAnsi="Times New Roman"/>
          <w:sz w:val="18"/>
          <w:szCs w:val="18"/>
          <w:lang w:val="en-US" w:eastAsia="ru-RU"/>
        </w:rPr>
        <w:t>magnetization</w:t>
      </w:r>
      <w:r w:rsidRPr="00775F51">
        <w:rPr>
          <w:rFonts w:ascii="Times New Roman" w:hAnsi="Times New Roman"/>
          <w:sz w:val="18"/>
          <w:szCs w:val="18"/>
          <w:lang w:val="en-US"/>
        </w:rPr>
        <w:t xml:space="preserve"> vector </w:t>
      </w:r>
      <w:r w:rsidRPr="00775F51">
        <w:rPr>
          <w:rStyle w:val="ad"/>
          <w:rFonts w:ascii="Times New Roman" w:hAnsi="Times New Roman"/>
          <w:i/>
          <w:iCs/>
          <w:sz w:val="18"/>
          <w:szCs w:val="18"/>
          <w:lang w:val="en-US"/>
        </w:rPr>
        <w:t>m</w:t>
      </w:r>
      <w:r w:rsidRPr="00775F51">
        <w:rPr>
          <w:rFonts w:ascii="Times New Roman" w:hAnsi="Times New Roman"/>
          <w:sz w:val="18"/>
          <w:szCs w:val="18"/>
          <w:lang w:val="en-US"/>
        </w:rPr>
        <w:t xml:space="preserve"> over the interval t = 299–300 ns for I = −0.5 mA (red), −1 mA (blue), −1.5 mA (brown), −2.5 mA (black), −3.25 mA (magenta), and −4 mA (black point); J = 0.4 </w:t>
      </w:r>
      <w:proofErr w:type="spellStart"/>
      <w:r w:rsidRPr="00775F51">
        <w:rPr>
          <w:rFonts w:ascii="Times New Roman" w:hAnsi="Times New Roman"/>
          <w:sz w:val="18"/>
          <w:szCs w:val="18"/>
          <w:lang w:val="en-US"/>
        </w:rPr>
        <w:t>mJ</w:t>
      </w:r>
      <w:proofErr w:type="spellEnd"/>
      <w:r w:rsidRPr="00775F51">
        <w:rPr>
          <w:rFonts w:ascii="Times New Roman" w:hAnsi="Times New Roman"/>
          <w:sz w:val="18"/>
          <w:szCs w:val="18"/>
          <w:lang w:val="en-US"/>
        </w:rPr>
        <w:t xml:space="preserve">/m². </w:t>
      </w:r>
      <w:r w:rsidRPr="00775F51">
        <w:rPr>
          <w:rFonts w:ascii="Times New Roman" w:hAnsi="Times New Roman"/>
          <w:b/>
          <w:bCs/>
          <w:i/>
          <w:iCs/>
          <w:sz w:val="18"/>
          <w:szCs w:val="18"/>
          <w:lang w:val="en-US"/>
        </w:rPr>
        <w:t>(b)</w:t>
      </w:r>
      <w:r w:rsidRPr="00775F51">
        <w:rPr>
          <w:rFonts w:ascii="Times New Roman" w:hAnsi="Times New Roman"/>
          <w:sz w:val="18"/>
          <w:szCs w:val="18"/>
          <w:lang w:val="en-US"/>
        </w:rPr>
        <w:t xml:space="preserve"> Trajectories of </w:t>
      </w:r>
      <w:r w:rsidRPr="00775F51">
        <w:rPr>
          <w:rStyle w:val="ad"/>
          <w:rFonts w:ascii="Times New Roman" w:hAnsi="Times New Roman"/>
          <w:sz w:val="18"/>
          <w:szCs w:val="18"/>
          <w:lang w:val="en-US"/>
        </w:rPr>
        <w:t>m</w:t>
      </w:r>
      <w:r w:rsidRPr="00775F51">
        <w:rPr>
          <w:rFonts w:ascii="Times New Roman" w:hAnsi="Times New Roman"/>
          <w:sz w:val="18"/>
          <w:szCs w:val="18"/>
          <w:lang w:val="en-US"/>
        </w:rPr>
        <w:t xml:space="preserve"> over the interval t = 299–300 ns for I</w:t>
      </w:r>
      <w:r w:rsidRPr="00775F51">
        <w:rPr>
          <w:rFonts w:ascii="Times New Roman" w:hAnsi="Times New Roman"/>
          <w:i/>
          <w:iCs/>
          <w:sz w:val="18"/>
          <w:szCs w:val="18"/>
          <w:lang w:val="en-US"/>
        </w:rPr>
        <w:t xml:space="preserve"> </w:t>
      </w:r>
      <w:r w:rsidRPr="00775F51">
        <w:rPr>
          <w:rFonts w:ascii="Times New Roman" w:hAnsi="Times New Roman"/>
          <w:sz w:val="18"/>
          <w:szCs w:val="18"/>
          <w:lang w:val="en-US"/>
        </w:rPr>
        <w:t xml:space="preserve">= −2 mA (red), −2.1 mA (blue), −2.2 mA (black), −2.3 mA (magenta), −2.35 mA (dark orange), and −3 mA (black point); J = 7 </w:t>
      </w:r>
      <w:proofErr w:type="spellStart"/>
      <w:r w:rsidRPr="00775F51">
        <w:rPr>
          <w:rFonts w:ascii="Times New Roman" w:hAnsi="Times New Roman"/>
          <w:sz w:val="18"/>
          <w:szCs w:val="18"/>
          <w:lang w:val="en-US"/>
        </w:rPr>
        <w:t>mJ</w:t>
      </w:r>
      <w:proofErr w:type="spellEnd"/>
      <w:r w:rsidRPr="00775F51">
        <w:rPr>
          <w:rFonts w:ascii="Times New Roman" w:hAnsi="Times New Roman"/>
          <w:sz w:val="18"/>
          <w:szCs w:val="18"/>
          <w:lang w:val="en-US"/>
        </w:rPr>
        <w:t xml:space="preserve">/m². </w:t>
      </w:r>
      <w:r w:rsidRPr="00775F51">
        <w:rPr>
          <w:rFonts w:ascii="Times New Roman" w:hAnsi="Times New Roman"/>
          <w:b/>
          <w:bCs/>
          <w:i/>
          <w:iCs/>
          <w:sz w:val="18"/>
          <w:szCs w:val="18"/>
          <w:lang w:val="en-US"/>
        </w:rPr>
        <w:t>(c)</w:t>
      </w:r>
      <w:r w:rsidRPr="00775F51">
        <w:rPr>
          <w:rFonts w:ascii="Times New Roman" w:hAnsi="Times New Roman"/>
          <w:sz w:val="18"/>
          <w:szCs w:val="18"/>
          <w:lang w:val="en-US"/>
        </w:rPr>
        <w:t xml:space="preserve"> Time evolution of mₓ for J = 0.4 </w:t>
      </w:r>
      <w:proofErr w:type="spellStart"/>
      <w:r w:rsidRPr="00775F51">
        <w:rPr>
          <w:rFonts w:ascii="Times New Roman" w:hAnsi="Times New Roman"/>
          <w:sz w:val="18"/>
          <w:szCs w:val="18"/>
          <w:lang w:val="en-US"/>
        </w:rPr>
        <w:t>mJ</w:t>
      </w:r>
      <w:proofErr w:type="spellEnd"/>
      <w:r w:rsidRPr="00775F51">
        <w:rPr>
          <w:rFonts w:ascii="Times New Roman" w:hAnsi="Times New Roman"/>
          <w:sz w:val="18"/>
          <w:szCs w:val="18"/>
          <w:lang w:val="en-US"/>
        </w:rPr>
        <w:t xml:space="preserve">/m² and I = −1.5 mA. (d) Time evolution of mₓ for </w:t>
      </w:r>
      <w:r w:rsidRPr="00775F51">
        <w:rPr>
          <w:rFonts w:ascii="Times New Roman" w:hAnsi="Times New Roman"/>
          <w:i/>
          <w:iCs/>
          <w:sz w:val="18"/>
          <w:szCs w:val="18"/>
          <w:lang w:val="en-US"/>
        </w:rPr>
        <w:t>J</w:t>
      </w:r>
      <w:r w:rsidRPr="00775F51">
        <w:rPr>
          <w:rFonts w:ascii="Times New Roman" w:hAnsi="Times New Roman"/>
          <w:sz w:val="18"/>
          <w:szCs w:val="18"/>
          <w:lang w:val="en-US"/>
        </w:rPr>
        <w:t xml:space="preserve"> = 7 </w:t>
      </w:r>
      <w:proofErr w:type="spellStart"/>
      <w:r w:rsidRPr="00775F51">
        <w:rPr>
          <w:rFonts w:ascii="Times New Roman" w:hAnsi="Times New Roman"/>
          <w:sz w:val="18"/>
          <w:szCs w:val="18"/>
          <w:lang w:val="en-US"/>
        </w:rPr>
        <w:t>mJ</w:t>
      </w:r>
      <w:proofErr w:type="spellEnd"/>
      <w:r w:rsidRPr="00775F51">
        <w:rPr>
          <w:rFonts w:ascii="Times New Roman" w:hAnsi="Times New Roman"/>
          <w:sz w:val="18"/>
          <w:szCs w:val="18"/>
          <w:lang w:val="en-US"/>
        </w:rPr>
        <w:t>/m² and I = −2.3 mA [</w:t>
      </w:r>
      <w:r w:rsidR="00FE6447" w:rsidRPr="00775F51">
        <w:rPr>
          <w:rFonts w:ascii="Times New Roman" w:hAnsi="Times New Roman"/>
          <w:sz w:val="18"/>
          <w:szCs w:val="18"/>
          <w:lang w:val="en-US"/>
        </w:rPr>
        <w:t>9</w:t>
      </w:r>
      <w:r w:rsidRPr="00775F51">
        <w:rPr>
          <w:rFonts w:ascii="Times New Roman" w:hAnsi="Times New Roman"/>
          <w:sz w:val="18"/>
          <w:szCs w:val="18"/>
          <w:lang w:val="en-US"/>
        </w:rPr>
        <w:t>].</w:t>
      </w:r>
    </w:p>
    <w:p w14:paraId="0ABB6EF4" w14:textId="2A30A41C" w:rsidR="00FB2423" w:rsidRP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 xml:space="preserve">In our </w:t>
      </w:r>
      <w:r>
        <w:rPr>
          <w:rFonts w:ascii="Times New Roman" w:hAnsi="Times New Roman"/>
          <w:sz w:val="20"/>
          <w:szCs w:val="20"/>
          <w:lang w:val="en-US" w:eastAsia="ru-RU"/>
        </w:rPr>
        <w:t>work</w:t>
      </w:r>
      <w:r w:rsidRPr="00FB2423">
        <w:rPr>
          <w:rFonts w:ascii="Times New Roman" w:hAnsi="Times New Roman"/>
          <w:sz w:val="20"/>
          <w:szCs w:val="20"/>
          <w:lang w:val="en-US" w:eastAsia="ru-RU"/>
        </w:rPr>
        <w:t xml:space="preserve">, the phase portraits (appearance/disappearance of closed cycles, trajectory thickness, and symmetry) fully correspond to the regime transitions in </w:t>
      </w:r>
      <w:r w:rsidRPr="00FB2423">
        <w:rPr>
          <w:rFonts w:ascii="Times New Roman" w:hAnsi="Times New Roman"/>
          <w:i/>
          <w:iCs/>
          <w:sz w:val="20"/>
          <w:szCs w:val="20"/>
          <w:lang w:val="en-US" w:eastAsia="ru-RU"/>
        </w:rPr>
        <w:t>LLGS</w:t>
      </w:r>
      <w:r w:rsidRPr="00FB2423">
        <w:rPr>
          <w:rFonts w:ascii="Times New Roman" w:hAnsi="Times New Roman"/>
          <w:sz w:val="20"/>
          <w:szCs w:val="20"/>
          <w:lang w:val="en-US" w:eastAsia="ru-RU"/>
        </w:rPr>
        <w:t xml:space="preserve"> dynamics: the current </w:t>
      </w:r>
      <w:r w:rsidRPr="00FB2423">
        <w:rPr>
          <w:rFonts w:ascii="Times New Roman" w:hAnsi="Times New Roman"/>
          <w:i/>
          <w:iCs/>
          <w:sz w:val="20"/>
          <w:szCs w:val="20"/>
          <w:lang w:val="en-US" w:eastAsia="ru-RU"/>
        </w:rPr>
        <w:t>I</w:t>
      </w:r>
      <w:r w:rsidRPr="00FB2423">
        <w:rPr>
          <w:rFonts w:ascii="Times New Roman" w:hAnsi="Times New Roman"/>
          <w:sz w:val="20"/>
          <w:szCs w:val="20"/>
          <w:lang w:val="en-US" w:eastAsia="ru-RU"/>
        </w:rPr>
        <w:t xml:space="preserve"> and interlayer exchange </w:t>
      </w:r>
      <w:r w:rsidRPr="00FB2423">
        <w:rPr>
          <w:rFonts w:ascii="Times New Roman" w:hAnsi="Times New Roman"/>
          <w:i/>
          <w:iCs/>
          <w:sz w:val="20"/>
          <w:szCs w:val="20"/>
          <w:lang w:val="en-US" w:eastAsia="ru-RU"/>
        </w:rPr>
        <w:t>J</w:t>
      </w:r>
      <w:r w:rsidRPr="00FB2423">
        <w:rPr>
          <w:rFonts w:ascii="Times New Roman" w:hAnsi="Times New Roman"/>
          <w:sz w:val="20"/>
          <w:szCs w:val="20"/>
          <w:lang w:val="en-US" w:eastAsia="ru-RU"/>
        </w:rPr>
        <w:t xml:space="preserve"> can be regarded as “control parameters.” This provides a clear visualization of the phase transition between a closed cycle and a stationary point.</w:t>
      </w:r>
    </w:p>
    <w:p w14:paraId="539C2F67" w14:textId="03AEC210" w:rsidR="00FB2423" w:rsidRP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 xml:space="preserve">In the </w:t>
      </w:r>
      <w:r>
        <w:rPr>
          <w:rFonts w:ascii="Times New Roman" w:hAnsi="Times New Roman"/>
          <w:sz w:val="20"/>
          <w:szCs w:val="20"/>
          <w:lang w:val="en-US" w:eastAsia="ru-RU"/>
        </w:rPr>
        <w:t>works</w:t>
      </w:r>
      <w:r w:rsidRPr="00FB2423">
        <w:rPr>
          <w:rFonts w:ascii="Times New Roman" w:hAnsi="Times New Roman"/>
          <w:sz w:val="20"/>
          <w:szCs w:val="20"/>
          <w:lang w:val="en-US" w:eastAsia="ru-RU"/>
        </w:rPr>
        <w:t xml:space="preserve"> [</w:t>
      </w:r>
      <w:r w:rsidR="00FE6447">
        <w:rPr>
          <w:rFonts w:ascii="Times New Roman" w:hAnsi="Times New Roman"/>
          <w:sz w:val="20"/>
          <w:szCs w:val="20"/>
          <w:lang w:val="en-US" w:eastAsia="ru-RU"/>
        </w:rPr>
        <w:t>1</w:t>
      </w:r>
      <w:r w:rsidR="00A46BFF">
        <w:rPr>
          <w:rFonts w:ascii="Times New Roman" w:hAnsi="Times New Roman"/>
          <w:sz w:val="20"/>
          <w:szCs w:val="20"/>
          <w:lang w:val="en-US" w:eastAsia="ru-RU"/>
        </w:rPr>
        <w:t>6</w:t>
      </w:r>
      <w:r w:rsidR="00FE6447">
        <w:rPr>
          <w:rFonts w:ascii="Times New Roman" w:hAnsi="Times New Roman"/>
          <w:sz w:val="20"/>
          <w:szCs w:val="20"/>
          <w:lang w:val="en-US" w:eastAsia="ru-RU"/>
        </w:rPr>
        <w:t>-</w:t>
      </w:r>
      <w:r w:rsidR="00A46BFF">
        <w:rPr>
          <w:rFonts w:ascii="Times New Roman" w:hAnsi="Times New Roman"/>
          <w:sz w:val="20"/>
          <w:szCs w:val="20"/>
          <w:lang w:val="en-US" w:eastAsia="ru-RU"/>
        </w:rPr>
        <w:t>24</w:t>
      </w:r>
      <w:r w:rsidRPr="00FB2423">
        <w:rPr>
          <w:rFonts w:ascii="Times New Roman" w:hAnsi="Times New Roman"/>
          <w:sz w:val="20"/>
          <w:szCs w:val="20"/>
          <w:lang w:val="en-US" w:eastAsia="ru-RU"/>
        </w:rPr>
        <w:t xml:space="preserve">], measurements on nanostructures made of high-temperature superconductors were reported, aimed at determining the origin of conductivity in these materials. Until now, the rings fabricated from these compounds typically had sizes on the order of hundreds of nanometers. In the present work, the authors report measurement results on rings made of </w:t>
      </w:r>
      <w:r w:rsidRPr="00FB2423">
        <w:rPr>
          <w:rFonts w:ascii="Times New Roman" w:hAnsi="Times New Roman"/>
          <w:i/>
          <w:iCs/>
          <w:sz w:val="20"/>
          <w:szCs w:val="20"/>
          <w:lang w:val="en-US" w:eastAsia="ru-RU"/>
        </w:rPr>
        <w:t>La</w:t>
      </w:r>
      <w:proofErr w:type="gramStart"/>
      <w:r w:rsidRPr="00FB2423">
        <w:rPr>
          <w:rFonts w:ascii="Times New Roman" w:hAnsi="Times New Roman"/>
          <w:i/>
          <w:iCs/>
          <w:sz w:val="20"/>
          <w:szCs w:val="20"/>
          <w:lang w:val="en-US" w:eastAsia="ru-RU"/>
        </w:rPr>
        <w:t>₁.₈</w:t>
      </w:r>
      <w:proofErr w:type="gramEnd"/>
      <w:r w:rsidRPr="00FB2423">
        <w:rPr>
          <w:rFonts w:ascii="Times New Roman" w:hAnsi="Times New Roman"/>
          <w:i/>
          <w:iCs/>
          <w:sz w:val="20"/>
          <w:szCs w:val="20"/>
          <w:lang w:val="en-US" w:eastAsia="ru-RU"/>
        </w:rPr>
        <w:t>₄Sr₀.₁₆</w:t>
      </w:r>
      <w:proofErr w:type="spellStart"/>
      <w:r w:rsidRPr="00FB2423">
        <w:rPr>
          <w:rFonts w:ascii="Times New Roman" w:hAnsi="Times New Roman"/>
          <w:i/>
          <w:iCs/>
          <w:sz w:val="20"/>
          <w:szCs w:val="20"/>
          <w:lang w:val="en-US" w:eastAsia="ru-RU"/>
        </w:rPr>
        <w:t>CuO</w:t>
      </w:r>
      <w:proofErr w:type="spellEnd"/>
      <w:r w:rsidRPr="00FB2423">
        <w:rPr>
          <w:rFonts w:ascii="Times New Roman" w:hAnsi="Times New Roman"/>
          <w:i/>
          <w:iCs/>
          <w:sz w:val="20"/>
          <w:szCs w:val="20"/>
          <w:lang w:val="en-US" w:eastAsia="ru-RU"/>
        </w:rPr>
        <w:t>₄</w:t>
      </w:r>
      <w:r w:rsidRPr="00FB2423">
        <w:rPr>
          <w:rFonts w:ascii="Times New Roman" w:hAnsi="Times New Roman"/>
          <w:sz w:val="20"/>
          <w:szCs w:val="20"/>
          <w:lang w:val="en-US" w:eastAsia="ru-RU"/>
        </w:rPr>
        <w:t xml:space="preserve"> </w:t>
      </w:r>
      <w:r>
        <w:rPr>
          <w:rFonts w:ascii="Times New Roman" w:hAnsi="Times New Roman"/>
          <w:sz w:val="20"/>
          <w:szCs w:val="20"/>
          <w:lang w:val="en-US" w:eastAsia="ru-RU"/>
        </w:rPr>
        <w:t xml:space="preserve">- </w:t>
      </w:r>
      <w:r w:rsidRPr="00FB2423">
        <w:rPr>
          <w:rFonts w:ascii="Times New Roman" w:hAnsi="Times New Roman"/>
          <w:sz w:val="20"/>
          <w:szCs w:val="20"/>
          <w:lang w:val="en-US" w:eastAsia="ru-RU"/>
        </w:rPr>
        <w:t>a high-temperature superconductor that exhibits zero electrical resistance below ~38 K, with ring sizes reduced to tens of nanometers.</w:t>
      </w:r>
    </w:p>
    <w:p w14:paraId="29D35511" w14:textId="1A3AC121" w:rsidR="00FB2423" w:rsidRP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 xml:space="preserve">The authors observed the variation of resistance in the rings as a function of magnetic flux. These oscillations exhibit a period of </w:t>
      </w:r>
      <w:r w:rsidRPr="00FB2423">
        <w:rPr>
          <w:rFonts w:ascii="Times New Roman" w:hAnsi="Times New Roman"/>
          <w:i/>
          <w:iCs/>
          <w:sz w:val="20"/>
          <w:szCs w:val="20"/>
          <w:lang w:val="en-US" w:eastAsia="ru-RU"/>
        </w:rPr>
        <w:t>h/2eh/2e</w:t>
      </w:r>
      <w:r w:rsidRPr="00FB2423">
        <w:rPr>
          <w:rFonts w:ascii="Times New Roman" w:hAnsi="Times New Roman"/>
          <w:sz w:val="20"/>
          <w:szCs w:val="20"/>
          <w:lang w:val="en-US" w:eastAsia="ru-RU"/>
        </w:rPr>
        <w:t>, and their amplitudes are significantly higher than those expected for resistance oscillations due to the Little–Parks effect. Furthermore, unlike Little–Parks oscillations, which arise from the periodic modulation of the superconducting transition temperature, the oscillations observed in the study are attributed to the periodic variation of the interaction between thermally activated moving vortices and the induced oscillatory persistent currents in the rings.</w:t>
      </w:r>
    </w:p>
    <w:p w14:paraId="2B732E11" w14:textId="2208FA61" w:rsidR="00FB2423" w:rsidRP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 xml:space="preserve">Nevertheless, despite the enhanced amplitude of these oscillations, the authors note that, until recently, the previously predicted </w:t>
      </w:r>
      <w:r w:rsidRPr="00FB2423">
        <w:rPr>
          <w:rFonts w:ascii="Times New Roman" w:hAnsi="Times New Roman"/>
          <w:i/>
          <w:iCs/>
          <w:sz w:val="20"/>
          <w:szCs w:val="20"/>
          <w:lang w:val="en-US" w:eastAsia="ru-RU"/>
        </w:rPr>
        <w:t>h/eh/e</w:t>
      </w:r>
      <w:r w:rsidRPr="00FB2423">
        <w:rPr>
          <w:rFonts w:ascii="Times New Roman" w:hAnsi="Times New Roman"/>
          <w:sz w:val="20"/>
          <w:szCs w:val="20"/>
          <w:lang w:val="en-US" w:eastAsia="ru-RU"/>
        </w:rPr>
        <w:t xml:space="preserve"> -periodic oscillations for nanostructures made of d-wave symmetric superconductors, or the expected </w:t>
      </w:r>
      <w:r w:rsidRPr="00FB2423">
        <w:rPr>
          <w:rFonts w:ascii="Times New Roman" w:hAnsi="Times New Roman"/>
          <w:i/>
          <w:iCs/>
          <w:sz w:val="20"/>
          <w:szCs w:val="20"/>
          <w:lang w:val="en-US" w:eastAsia="ru-RU"/>
        </w:rPr>
        <w:t>h/4eh/4e</w:t>
      </w:r>
      <w:r w:rsidRPr="00FB2423">
        <w:rPr>
          <w:rFonts w:ascii="Times New Roman" w:hAnsi="Times New Roman"/>
          <w:sz w:val="20"/>
          <w:szCs w:val="20"/>
          <w:lang w:val="en-US" w:eastAsia="ru-RU"/>
        </w:rPr>
        <w:t xml:space="preserve"> -periodic oscillations for strip-shaped superconductors, have not been observed.</w:t>
      </w:r>
    </w:p>
    <w:p w14:paraId="7CBB0130" w14:textId="4AA14397" w:rsidR="00FB2423" w:rsidRP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Fig</w:t>
      </w:r>
      <w:r w:rsidR="009F7679">
        <w:rPr>
          <w:rFonts w:ascii="Times New Roman" w:hAnsi="Times New Roman"/>
          <w:sz w:val="20"/>
          <w:szCs w:val="20"/>
          <w:lang w:val="en-US" w:eastAsia="ru-RU"/>
        </w:rPr>
        <w:t>.</w:t>
      </w:r>
      <w:r w:rsidRPr="00FB2423">
        <w:rPr>
          <w:rFonts w:ascii="Times New Roman" w:hAnsi="Times New Roman"/>
          <w:sz w:val="20"/>
          <w:szCs w:val="20"/>
          <w:lang w:val="en-US" w:eastAsia="ru-RU"/>
        </w:rPr>
        <w:t xml:space="preserve">1 illustrates the resistance of the </w:t>
      </w:r>
      <w:r w:rsidRPr="00FB2423">
        <w:rPr>
          <w:rFonts w:ascii="Times New Roman" w:hAnsi="Times New Roman"/>
          <w:i/>
          <w:iCs/>
          <w:sz w:val="20"/>
          <w:szCs w:val="20"/>
          <w:lang w:val="en-US" w:eastAsia="ru-RU"/>
        </w:rPr>
        <w:t>La</w:t>
      </w:r>
      <w:proofErr w:type="gramStart"/>
      <w:r w:rsidRPr="00FB2423">
        <w:rPr>
          <w:rFonts w:ascii="Times New Roman" w:hAnsi="Times New Roman"/>
          <w:i/>
          <w:iCs/>
          <w:sz w:val="20"/>
          <w:szCs w:val="20"/>
          <w:lang w:val="en-US" w:eastAsia="ru-RU"/>
        </w:rPr>
        <w:t>₁.₈</w:t>
      </w:r>
      <w:proofErr w:type="gramEnd"/>
      <w:r w:rsidRPr="00FB2423">
        <w:rPr>
          <w:rFonts w:ascii="Times New Roman" w:hAnsi="Times New Roman"/>
          <w:i/>
          <w:iCs/>
          <w:sz w:val="20"/>
          <w:szCs w:val="20"/>
          <w:lang w:val="en-US" w:eastAsia="ru-RU"/>
        </w:rPr>
        <w:t>₄Sr₀.₁₆</w:t>
      </w:r>
      <w:proofErr w:type="spellStart"/>
      <w:r w:rsidRPr="00FB2423">
        <w:rPr>
          <w:rFonts w:ascii="Times New Roman" w:hAnsi="Times New Roman"/>
          <w:i/>
          <w:iCs/>
          <w:sz w:val="20"/>
          <w:szCs w:val="20"/>
          <w:lang w:val="en-US" w:eastAsia="ru-RU"/>
        </w:rPr>
        <w:t>CuO</w:t>
      </w:r>
      <w:proofErr w:type="spellEnd"/>
      <w:r w:rsidRPr="00FB2423">
        <w:rPr>
          <w:rFonts w:ascii="Times New Roman" w:hAnsi="Times New Roman"/>
          <w:i/>
          <w:iCs/>
          <w:sz w:val="20"/>
          <w:szCs w:val="20"/>
          <w:lang w:val="en-US" w:eastAsia="ru-RU"/>
        </w:rPr>
        <w:t>₄</w:t>
      </w:r>
      <w:r w:rsidRPr="00FB2423">
        <w:rPr>
          <w:rFonts w:ascii="Times New Roman" w:hAnsi="Times New Roman"/>
          <w:sz w:val="20"/>
          <w:szCs w:val="20"/>
          <w:lang w:val="en-US" w:eastAsia="ru-RU"/>
        </w:rPr>
        <w:t xml:space="preserve"> network as a function of the external magnetic field at a temperature of 28.4 K. The oscillations are superimposed on a parabolic background. The amplitude </w:t>
      </w:r>
      <w:r w:rsidRPr="00FB2423">
        <w:rPr>
          <w:rFonts w:ascii="Times New Roman" w:hAnsi="Times New Roman"/>
          <w:sz w:val="20"/>
          <w:szCs w:val="20"/>
          <w:lang w:eastAsia="ru-RU"/>
        </w:rPr>
        <w:t>Δ</w:t>
      </w:r>
      <w:r w:rsidRPr="00FB2423">
        <w:rPr>
          <w:rFonts w:ascii="Times New Roman" w:hAnsi="Times New Roman"/>
          <w:sz w:val="20"/>
          <w:szCs w:val="20"/>
          <w:lang w:val="en-US" w:eastAsia="ru-RU"/>
        </w:rPr>
        <w:t xml:space="preserve">R is clearly visible at low magnetic fields. The inset shows the temperature dependence of </w:t>
      </w:r>
      <w:r w:rsidRPr="00FB2423">
        <w:rPr>
          <w:rFonts w:ascii="Times New Roman" w:hAnsi="Times New Roman"/>
          <w:sz w:val="20"/>
          <w:szCs w:val="20"/>
          <w:lang w:eastAsia="ru-RU"/>
        </w:rPr>
        <w:t>Δ</w:t>
      </w:r>
      <w:r w:rsidRPr="00FB2423">
        <w:rPr>
          <w:rFonts w:ascii="Times New Roman" w:hAnsi="Times New Roman"/>
          <w:sz w:val="20"/>
          <w:szCs w:val="20"/>
          <w:lang w:val="en-US" w:eastAsia="ru-RU"/>
        </w:rPr>
        <w:t>R: the solid line represents the measured data, while the dashed line indicates the upper limit of the expected resistance oscillation amplitude based on the Little–Parks effect (note that the scale along this axis is magnified by a factor of 10).</w:t>
      </w:r>
    </w:p>
    <w:p w14:paraId="2D29856D" w14:textId="56457234" w:rsidR="00FB2423" w:rsidRDefault="00FB2423" w:rsidP="00FB2423">
      <w:pPr>
        <w:spacing w:after="0" w:line="240" w:lineRule="auto"/>
        <w:ind w:firstLine="284"/>
        <w:jc w:val="both"/>
        <w:rPr>
          <w:rFonts w:ascii="Times New Roman" w:hAnsi="Times New Roman"/>
          <w:sz w:val="20"/>
          <w:szCs w:val="20"/>
          <w:lang w:val="en-US" w:eastAsia="ru-RU"/>
        </w:rPr>
      </w:pPr>
      <w:r w:rsidRPr="00FB2423">
        <w:rPr>
          <w:rFonts w:ascii="Times New Roman" w:hAnsi="Times New Roman"/>
          <w:sz w:val="20"/>
          <w:szCs w:val="20"/>
          <w:lang w:val="en-US" w:eastAsia="ru-RU"/>
        </w:rPr>
        <w:t>Fig.</w:t>
      </w:r>
      <w:r w:rsidR="009F7679">
        <w:rPr>
          <w:rFonts w:ascii="Times New Roman" w:hAnsi="Times New Roman"/>
          <w:sz w:val="20"/>
          <w:szCs w:val="20"/>
          <w:lang w:val="en-US" w:eastAsia="ru-RU"/>
        </w:rPr>
        <w:t>3</w:t>
      </w:r>
      <w:r w:rsidRPr="00FB2423">
        <w:rPr>
          <w:rFonts w:ascii="Times New Roman" w:hAnsi="Times New Roman"/>
          <w:sz w:val="20"/>
          <w:szCs w:val="20"/>
          <w:lang w:val="en-US" w:eastAsia="ru-RU"/>
        </w:rPr>
        <w:t xml:space="preserve"> shows the magnetoresistance of a network with dimensions of 150/500 nm. The measurements were performed at T = 28.4 K under a magnetic field oriented perpendicular to the film surface (i.e., along the a–b crystallographic plane). The measured magnetoresistance exhibits large oscillations superimposed on a parabolic background. The period of these oscillations, </w:t>
      </w:r>
      <w:r w:rsidRPr="00FB2423">
        <w:rPr>
          <w:rFonts w:ascii="Times New Roman" w:hAnsi="Times New Roman"/>
          <w:i/>
          <w:iCs/>
          <w:sz w:val="20"/>
          <w:szCs w:val="20"/>
          <w:lang w:val="en-US" w:eastAsia="ru-RU"/>
        </w:rPr>
        <w:t>H</w:t>
      </w:r>
      <w:r w:rsidR="009F7679" w:rsidRPr="009F7679">
        <w:rPr>
          <w:rFonts w:ascii="Times New Roman" w:hAnsi="Times New Roman"/>
          <w:i/>
          <w:iCs/>
          <w:sz w:val="20"/>
          <w:szCs w:val="20"/>
          <w:vertAlign w:val="subscript"/>
          <w:lang w:val="en-US" w:eastAsia="ru-RU"/>
        </w:rPr>
        <w:t>0</w:t>
      </w:r>
      <w:r w:rsidRPr="00FB2423">
        <w:rPr>
          <w:rFonts w:ascii="Times New Roman" w:hAnsi="Times New Roman"/>
          <w:sz w:val="20"/>
          <w:szCs w:val="20"/>
          <w:lang w:val="en-US" w:eastAsia="ru-RU"/>
        </w:rPr>
        <w:t xml:space="preserve"> ≈ 950 </w:t>
      </w:r>
      <w:proofErr w:type="spellStart"/>
      <w:r w:rsidRPr="00FB2423">
        <w:rPr>
          <w:rFonts w:ascii="Times New Roman" w:hAnsi="Times New Roman"/>
          <w:sz w:val="20"/>
          <w:szCs w:val="20"/>
          <w:lang w:val="en-US" w:eastAsia="ru-RU"/>
        </w:rPr>
        <w:t>Oe</w:t>
      </w:r>
      <w:proofErr w:type="spellEnd"/>
      <w:r w:rsidRPr="00FB2423">
        <w:rPr>
          <w:rFonts w:ascii="Times New Roman" w:hAnsi="Times New Roman"/>
          <w:sz w:val="20"/>
          <w:szCs w:val="20"/>
          <w:lang w:val="en-US" w:eastAsia="ru-RU"/>
        </w:rPr>
        <w:t xml:space="preserve">, corresponds to a magnetic flux quantum </w:t>
      </w:r>
      <w:r w:rsidRPr="00FB2423">
        <w:rPr>
          <w:rFonts w:ascii="Times New Roman" w:hAnsi="Times New Roman"/>
          <w:i/>
          <w:iCs/>
          <w:sz w:val="20"/>
          <w:szCs w:val="20"/>
          <w:lang w:eastAsia="ru-RU"/>
        </w:rPr>
        <w:t>Φ</w:t>
      </w:r>
      <w:r w:rsidRPr="00FB2423">
        <w:rPr>
          <w:rFonts w:ascii="Times New Roman" w:hAnsi="Times New Roman"/>
          <w:i/>
          <w:iCs/>
          <w:sz w:val="20"/>
          <w:szCs w:val="20"/>
          <w:lang w:val="en-US" w:eastAsia="ru-RU"/>
        </w:rPr>
        <w:t>₀=h/2e=AH₀</w:t>
      </w:r>
      <w:r w:rsidRPr="00FB2423">
        <w:rPr>
          <w:rFonts w:ascii="Times New Roman" w:hAnsi="Times New Roman"/>
          <w:sz w:val="20"/>
          <w:szCs w:val="20"/>
          <w:lang w:val="en-US" w:eastAsia="ru-RU"/>
        </w:rPr>
        <w:t xml:space="preserve">, where h is Planck’s constant, e is the electron charge, and A is the area of the small ring. Additional oscillations with a period of ~80 </w:t>
      </w:r>
      <w:proofErr w:type="spellStart"/>
      <w:r w:rsidRPr="00FB2423">
        <w:rPr>
          <w:rFonts w:ascii="Times New Roman" w:hAnsi="Times New Roman"/>
          <w:sz w:val="20"/>
          <w:szCs w:val="20"/>
          <w:lang w:val="en-US" w:eastAsia="ru-RU"/>
        </w:rPr>
        <w:t>Oe</w:t>
      </w:r>
      <w:proofErr w:type="spellEnd"/>
      <w:r w:rsidRPr="00FB2423">
        <w:rPr>
          <w:rFonts w:ascii="Times New Roman" w:hAnsi="Times New Roman"/>
          <w:sz w:val="20"/>
          <w:szCs w:val="20"/>
          <w:lang w:val="en-US" w:eastAsia="ru-RU"/>
        </w:rPr>
        <w:t xml:space="preserve"> were also observed.</w:t>
      </w:r>
    </w:p>
    <w:p w14:paraId="413B0B35" w14:textId="77777777" w:rsidR="00775F51" w:rsidRPr="00FB2423" w:rsidRDefault="00775F51" w:rsidP="00FB2423">
      <w:pPr>
        <w:spacing w:after="0" w:line="240" w:lineRule="auto"/>
        <w:ind w:firstLine="284"/>
        <w:jc w:val="both"/>
        <w:rPr>
          <w:rFonts w:ascii="Times New Roman" w:hAnsi="Times New Roman"/>
          <w:sz w:val="20"/>
          <w:szCs w:val="20"/>
          <w:lang w:val="en-US" w:eastAsia="ru-RU"/>
        </w:rPr>
      </w:pPr>
    </w:p>
    <w:p w14:paraId="7BDB28AE" w14:textId="77777777" w:rsidR="00CA76B8" w:rsidRDefault="00CA76B8" w:rsidP="00CA76B8">
      <w:pPr>
        <w:spacing w:after="0" w:line="240" w:lineRule="auto"/>
        <w:jc w:val="center"/>
        <w:rPr>
          <w:rFonts w:ascii="Times New Roman" w:hAnsi="Times New Roman"/>
          <w:sz w:val="20"/>
          <w:szCs w:val="20"/>
          <w:lang w:val="uz-Cyrl-UZ"/>
        </w:rPr>
      </w:pPr>
      <w:r w:rsidRPr="001E0AF9">
        <w:rPr>
          <w:noProof/>
          <w:lang w:eastAsia="ru-RU"/>
        </w:rPr>
        <w:drawing>
          <wp:inline distT="0" distB="0" distL="0" distR="0" wp14:anchorId="0DA4556B" wp14:editId="53F4FB7E">
            <wp:extent cx="3256487" cy="2669202"/>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b="3131"/>
                    <a:stretch/>
                  </pic:blipFill>
                  <pic:spPr bwMode="auto">
                    <a:xfrm>
                      <a:off x="0" y="0"/>
                      <a:ext cx="3275636" cy="2684898"/>
                    </a:xfrm>
                    <a:prstGeom prst="rect">
                      <a:avLst/>
                    </a:prstGeom>
                    <a:ln>
                      <a:noFill/>
                    </a:ln>
                    <a:extLst>
                      <a:ext uri="{53640926-AAD7-44D8-BBD7-CCE9431645EC}">
                        <a14:shadowObscured xmlns:a14="http://schemas.microsoft.com/office/drawing/2010/main"/>
                      </a:ext>
                    </a:extLst>
                  </pic:spPr>
                </pic:pic>
              </a:graphicData>
            </a:graphic>
          </wp:inline>
        </w:drawing>
      </w:r>
    </w:p>
    <w:p w14:paraId="5A9E9C9B" w14:textId="184D5D2A" w:rsidR="00E40453" w:rsidRPr="00775F51" w:rsidRDefault="00CA76B8" w:rsidP="00775F51">
      <w:pPr>
        <w:spacing w:before="120" w:after="120" w:line="240" w:lineRule="auto"/>
        <w:jc w:val="center"/>
        <w:rPr>
          <w:rFonts w:ascii="Times New Roman" w:hAnsi="Times New Roman"/>
          <w:sz w:val="18"/>
          <w:szCs w:val="18"/>
          <w:lang w:val="uz-Cyrl-UZ"/>
        </w:rPr>
      </w:pPr>
      <w:r w:rsidRPr="00775F51">
        <w:rPr>
          <w:rFonts w:ascii="Times New Roman" w:hAnsi="Times New Roman"/>
          <w:b/>
          <w:bCs/>
          <w:sz w:val="18"/>
          <w:szCs w:val="18"/>
          <w:lang w:val="uz-Cyrl-UZ"/>
        </w:rPr>
        <w:t>FIGURE</w:t>
      </w:r>
      <w:r w:rsidRPr="00775F51">
        <w:rPr>
          <w:rFonts w:ascii="Times New Roman" w:hAnsi="Times New Roman"/>
          <w:sz w:val="18"/>
          <w:szCs w:val="18"/>
          <w:lang w:val="uz-Cyrl-UZ"/>
        </w:rPr>
        <w:t xml:space="preserve"> </w:t>
      </w:r>
      <w:r w:rsidRPr="00AD0008">
        <w:rPr>
          <w:rFonts w:ascii="Times New Roman" w:hAnsi="Times New Roman"/>
          <w:b/>
          <w:bCs/>
          <w:sz w:val="18"/>
          <w:szCs w:val="18"/>
          <w:lang w:val="en-US"/>
        </w:rPr>
        <w:t>3</w:t>
      </w:r>
      <w:r w:rsidRPr="00AD0008">
        <w:rPr>
          <w:rFonts w:ascii="Times New Roman" w:hAnsi="Times New Roman"/>
          <w:b/>
          <w:bCs/>
          <w:sz w:val="18"/>
          <w:szCs w:val="18"/>
          <w:lang w:val="uz-Cyrl-UZ"/>
        </w:rPr>
        <w:t>.</w:t>
      </w:r>
      <w:r w:rsidRPr="00775F51">
        <w:rPr>
          <w:rFonts w:ascii="Times New Roman" w:hAnsi="Times New Roman"/>
          <w:sz w:val="18"/>
          <w:szCs w:val="18"/>
          <w:lang w:val="uz-Cyrl-UZ"/>
        </w:rPr>
        <w:t xml:space="preserve"> </w:t>
      </w:r>
      <w:r w:rsidRPr="00775F51">
        <w:rPr>
          <w:rFonts w:ascii="Times New Roman" w:hAnsi="Times New Roman"/>
          <w:sz w:val="18"/>
          <w:szCs w:val="18"/>
          <w:lang w:val="en-US" w:eastAsia="ru-RU"/>
        </w:rPr>
        <w:t>Magnetoresistance</w:t>
      </w:r>
      <w:r w:rsidRPr="00775F51">
        <w:rPr>
          <w:rFonts w:ascii="Times New Roman" w:hAnsi="Times New Roman"/>
          <w:sz w:val="18"/>
          <w:szCs w:val="18"/>
          <w:lang w:val="uz-Cyrl-UZ"/>
        </w:rPr>
        <w:t xml:space="preserve"> oscillations [</w:t>
      </w:r>
      <w:r w:rsidR="00A46BFF" w:rsidRPr="00775F51">
        <w:rPr>
          <w:rFonts w:ascii="Times New Roman" w:hAnsi="Times New Roman"/>
          <w:sz w:val="18"/>
          <w:szCs w:val="18"/>
          <w:lang w:val="en-US"/>
        </w:rPr>
        <w:t>16</w:t>
      </w:r>
      <w:r w:rsidRPr="00775F51">
        <w:rPr>
          <w:rFonts w:ascii="Times New Roman" w:hAnsi="Times New Roman"/>
          <w:sz w:val="18"/>
          <w:szCs w:val="18"/>
          <w:lang w:val="uz-Cyrl-UZ"/>
        </w:rPr>
        <w:t>].</w:t>
      </w:r>
    </w:p>
    <w:p w14:paraId="100BABE1" w14:textId="0EB4F098" w:rsidR="00B22CCF" w:rsidRPr="00B22CCF" w:rsidRDefault="00B22CCF" w:rsidP="00B22CCF">
      <w:pPr>
        <w:spacing w:after="0" w:line="240" w:lineRule="auto"/>
        <w:ind w:firstLine="284"/>
        <w:jc w:val="both"/>
        <w:rPr>
          <w:rFonts w:ascii="Times New Roman" w:hAnsi="Times New Roman"/>
          <w:sz w:val="20"/>
          <w:szCs w:val="20"/>
          <w:lang w:val="en-US" w:eastAsia="ru-RU"/>
        </w:rPr>
      </w:pPr>
      <w:r w:rsidRPr="00B22CCF">
        <w:rPr>
          <w:rFonts w:ascii="Times New Roman" w:hAnsi="Times New Roman"/>
          <w:sz w:val="20"/>
          <w:szCs w:val="20"/>
          <w:lang w:val="en-US" w:eastAsia="ru-RU"/>
        </w:rPr>
        <w:t xml:space="preserve">In the </w:t>
      </w:r>
      <w:r>
        <w:rPr>
          <w:rFonts w:ascii="Times New Roman" w:hAnsi="Times New Roman"/>
          <w:sz w:val="20"/>
          <w:szCs w:val="20"/>
          <w:lang w:val="en-US" w:eastAsia="ru-RU"/>
        </w:rPr>
        <w:t>works</w:t>
      </w:r>
      <w:r w:rsidRPr="00B22CCF">
        <w:rPr>
          <w:rFonts w:ascii="Times New Roman" w:hAnsi="Times New Roman"/>
          <w:sz w:val="20"/>
          <w:szCs w:val="20"/>
          <w:lang w:val="en-US" w:eastAsia="ru-RU"/>
        </w:rPr>
        <w:t xml:space="preserve"> [</w:t>
      </w:r>
      <w:r w:rsidR="00A46BFF">
        <w:rPr>
          <w:rFonts w:ascii="Times New Roman" w:hAnsi="Times New Roman"/>
          <w:sz w:val="20"/>
          <w:szCs w:val="20"/>
          <w:lang w:val="en-US" w:eastAsia="ru-RU"/>
        </w:rPr>
        <w:t>25</w:t>
      </w:r>
      <w:r w:rsidR="00FE6447">
        <w:rPr>
          <w:rFonts w:ascii="Times New Roman" w:hAnsi="Times New Roman"/>
          <w:sz w:val="20"/>
          <w:szCs w:val="20"/>
          <w:lang w:val="en-US" w:eastAsia="ru-RU"/>
        </w:rPr>
        <w:t>-</w:t>
      </w:r>
      <w:r w:rsidR="00A46BFF">
        <w:rPr>
          <w:rFonts w:ascii="Times New Roman" w:hAnsi="Times New Roman"/>
          <w:sz w:val="20"/>
          <w:szCs w:val="20"/>
          <w:lang w:val="en-US" w:eastAsia="ru-RU"/>
        </w:rPr>
        <w:t>3</w:t>
      </w:r>
      <w:r w:rsidR="00327324">
        <w:rPr>
          <w:rFonts w:ascii="Times New Roman" w:hAnsi="Times New Roman"/>
          <w:sz w:val="20"/>
          <w:szCs w:val="20"/>
          <w:lang w:val="en-US" w:eastAsia="ru-RU"/>
        </w:rPr>
        <w:t>1</w:t>
      </w:r>
      <w:r w:rsidRPr="00B22CCF">
        <w:rPr>
          <w:rFonts w:ascii="Times New Roman" w:hAnsi="Times New Roman"/>
          <w:sz w:val="20"/>
          <w:szCs w:val="20"/>
          <w:lang w:val="en-US" w:eastAsia="ru-RU"/>
        </w:rPr>
        <w:t>], the role of field-like torque and the orientation of the external magnetic field in achieving complete synchronization in arrays of serially coupled spin-torque nano-oscillators (STNOs) was investigated. The authors modeled these systems using the Landau–</w:t>
      </w:r>
      <w:proofErr w:type="spellStart"/>
      <w:r w:rsidRPr="00B22CCF">
        <w:rPr>
          <w:rFonts w:ascii="Times New Roman" w:hAnsi="Times New Roman"/>
          <w:sz w:val="20"/>
          <w:szCs w:val="20"/>
          <w:lang w:val="en-US" w:eastAsia="ru-RU"/>
        </w:rPr>
        <w:t>Lifshitz</w:t>
      </w:r>
      <w:proofErr w:type="spellEnd"/>
      <w:r w:rsidRPr="00B22CCF">
        <w:rPr>
          <w:rFonts w:ascii="Times New Roman" w:hAnsi="Times New Roman"/>
          <w:sz w:val="20"/>
          <w:szCs w:val="20"/>
          <w:lang w:val="en-US" w:eastAsia="ru-RU"/>
        </w:rPr>
        <w:t>–Gilbert–</w:t>
      </w:r>
      <w:proofErr w:type="spellStart"/>
      <w:r w:rsidRPr="00B22CCF">
        <w:rPr>
          <w:rFonts w:ascii="Times New Roman" w:hAnsi="Times New Roman"/>
          <w:sz w:val="20"/>
          <w:szCs w:val="20"/>
          <w:lang w:val="en-US" w:eastAsia="ru-RU"/>
        </w:rPr>
        <w:t>Slonczewski</w:t>
      </w:r>
      <w:proofErr w:type="spellEnd"/>
      <w:r w:rsidRPr="00B22CCF">
        <w:rPr>
          <w:rFonts w:ascii="Times New Roman" w:hAnsi="Times New Roman"/>
          <w:sz w:val="20"/>
          <w:szCs w:val="20"/>
          <w:lang w:val="en-US" w:eastAsia="ru-RU"/>
        </w:rPr>
        <w:t xml:space="preserve"> equation and analyzed mathematically and numerically the synchronization behavior for arrays containing 2, 10, and 100 STNOs.</w:t>
      </w:r>
    </w:p>
    <w:p w14:paraId="2ACD9FB8" w14:textId="77777777" w:rsidR="00B22CCF" w:rsidRPr="00B22CCF" w:rsidRDefault="00B22CCF" w:rsidP="00B22CCF">
      <w:pPr>
        <w:spacing w:after="0" w:line="240" w:lineRule="auto"/>
        <w:ind w:firstLine="284"/>
        <w:jc w:val="both"/>
        <w:rPr>
          <w:rFonts w:ascii="Times New Roman" w:hAnsi="Times New Roman"/>
          <w:sz w:val="20"/>
          <w:szCs w:val="20"/>
          <w:lang w:val="en-US" w:eastAsia="ru-RU"/>
        </w:rPr>
      </w:pPr>
      <w:r w:rsidRPr="00B22CCF">
        <w:rPr>
          <w:rFonts w:ascii="Times New Roman" w:hAnsi="Times New Roman"/>
          <w:sz w:val="20"/>
          <w:szCs w:val="20"/>
          <w:lang w:val="en-US" w:eastAsia="ru-RU"/>
        </w:rPr>
        <w:t xml:space="preserve">The results indicate that for small </w:t>
      </w:r>
      <w:r w:rsidRPr="00B22CCF">
        <w:rPr>
          <w:rFonts w:ascii="Times New Roman" w:hAnsi="Times New Roman"/>
          <w:i/>
          <w:iCs/>
          <w:sz w:val="20"/>
          <w:szCs w:val="20"/>
          <w:lang w:val="en-US" w:eastAsia="ru-RU"/>
        </w:rPr>
        <w:t>N</w:t>
      </w:r>
      <w:r w:rsidRPr="00B22CCF">
        <w:rPr>
          <w:rFonts w:ascii="Times New Roman" w:hAnsi="Times New Roman"/>
          <w:sz w:val="20"/>
          <w:szCs w:val="20"/>
          <w:lang w:val="en-US" w:eastAsia="ru-RU"/>
        </w:rPr>
        <w:t xml:space="preserve">, a field-like torque is sufficient, whereas for larger </w:t>
      </w:r>
      <w:r w:rsidRPr="00B22CCF">
        <w:rPr>
          <w:rFonts w:ascii="Times New Roman" w:hAnsi="Times New Roman"/>
          <w:i/>
          <w:iCs/>
          <w:sz w:val="20"/>
          <w:szCs w:val="20"/>
          <w:lang w:val="en-US" w:eastAsia="ru-RU"/>
        </w:rPr>
        <w:t>N</w:t>
      </w:r>
      <w:r w:rsidRPr="00B22CCF">
        <w:rPr>
          <w:rFonts w:ascii="Times New Roman" w:hAnsi="Times New Roman"/>
          <w:sz w:val="20"/>
          <w:szCs w:val="20"/>
          <w:lang w:val="en-US" w:eastAsia="ru-RU"/>
        </w:rPr>
        <w:t xml:space="preserve">, fine-tuning of the external magnetic field orientation is necessary. The degree of synchronization was quantified using the </w:t>
      </w:r>
      <w:proofErr w:type="spellStart"/>
      <w:r w:rsidRPr="00B22CCF">
        <w:rPr>
          <w:rFonts w:ascii="Times New Roman" w:hAnsi="Times New Roman"/>
          <w:sz w:val="20"/>
          <w:szCs w:val="20"/>
          <w:lang w:val="en-US" w:eastAsia="ru-RU"/>
        </w:rPr>
        <w:t>Kuramoto</w:t>
      </w:r>
      <w:proofErr w:type="spellEnd"/>
      <w:r w:rsidRPr="00B22CCF">
        <w:rPr>
          <w:rFonts w:ascii="Times New Roman" w:hAnsi="Times New Roman"/>
          <w:sz w:val="20"/>
          <w:szCs w:val="20"/>
          <w:lang w:val="en-US" w:eastAsia="ru-RU"/>
        </w:rPr>
        <w:t xml:space="preserve"> order parameter, and the stability of the synchronized state was confirmed via the transverse Lyapunov exponent. In the synchronized regime, both the signal frequency and amplitude increase, which is of practical importance for high-power </w:t>
      </w:r>
      <w:proofErr w:type="spellStart"/>
      <w:r w:rsidRPr="00B22CCF">
        <w:rPr>
          <w:rFonts w:ascii="Times New Roman" w:hAnsi="Times New Roman"/>
          <w:sz w:val="20"/>
          <w:szCs w:val="20"/>
          <w:lang w:val="en-US" w:eastAsia="ru-RU"/>
        </w:rPr>
        <w:t>nanosensors</w:t>
      </w:r>
      <w:proofErr w:type="spellEnd"/>
      <w:r w:rsidRPr="00B22CCF">
        <w:rPr>
          <w:rFonts w:ascii="Times New Roman" w:hAnsi="Times New Roman"/>
          <w:sz w:val="20"/>
          <w:szCs w:val="20"/>
          <w:lang w:val="en-US" w:eastAsia="ru-RU"/>
        </w:rPr>
        <w:t xml:space="preserve"> and microwave generators based on STNOs.</w:t>
      </w:r>
    </w:p>
    <w:p w14:paraId="2D752C8A" w14:textId="4ABA717D" w:rsidR="00B22CCF" w:rsidRDefault="00B22CCF" w:rsidP="00B22CCF">
      <w:pPr>
        <w:spacing w:after="0" w:line="240" w:lineRule="auto"/>
        <w:ind w:firstLine="284"/>
        <w:jc w:val="both"/>
        <w:rPr>
          <w:rFonts w:ascii="Times New Roman" w:hAnsi="Times New Roman"/>
          <w:sz w:val="20"/>
          <w:szCs w:val="20"/>
          <w:lang w:val="en-US" w:eastAsia="ru-RU"/>
        </w:rPr>
      </w:pPr>
      <w:r w:rsidRPr="00B22CCF">
        <w:rPr>
          <w:rFonts w:ascii="Times New Roman" w:hAnsi="Times New Roman"/>
          <w:sz w:val="20"/>
          <w:szCs w:val="20"/>
          <w:lang w:val="en-US" w:eastAsia="ru-RU"/>
        </w:rPr>
        <w:t>In Fig</w:t>
      </w:r>
      <w:r>
        <w:rPr>
          <w:rFonts w:ascii="Times New Roman" w:hAnsi="Times New Roman"/>
          <w:sz w:val="20"/>
          <w:szCs w:val="20"/>
          <w:lang w:val="en-US" w:eastAsia="ru-RU"/>
        </w:rPr>
        <w:t>.4</w:t>
      </w:r>
      <w:r w:rsidRPr="00B22CCF">
        <w:rPr>
          <w:rFonts w:ascii="Times New Roman" w:hAnsi="Times New Roman"/>
          <w:sz w:val="20"/>
          <w:szCs w:val="20"/>
          <w:lang w:val="en-US" w:eastAsia="ru-RU"/>
        </w:rPr>
        <w:t>, panels (</w:t>
      </w:r>
      <w:r w:rsidRPr="00B22CCF">
        <w:rPr>
          <w:rFonts w:ascii="Times New Roman" w:hAnsi="Times New Roman"/>
          <w:i/>
          <w:iCs/>
          <w:sz w:val="20"/>
          <w:szCs w:val="20"/>
          <w:lang w:val="en-US" w:eastAsia="ru-RU"/>
        </w:rPr>
        <w:t>a</w:t>
      </w:r>
      <w:r w:rsidRPr="00B22CCF">
        <w:rPr>
          <w:rFonts w:ascii="Times New Roman" w:hAnsi="Times New Roman"/>
          <w:sz w:val="20"/>
          <w:szCs w:val="20"/>
          <w:lang w:val="en-US" w:eastAsia="ru-RU"/>
        </w:rPr>
        <w:t>) and (</w:t>
      </w:r>
      <w:r w:rsidRPr="00B22CCF">
        <w:rPr>
          <w:rFonts w:ascii="Times New Roman" w:hAnsi="Times New Roman"/>
          <w:i/>
          <w:iCs/>
          <w:sz w:val="20"/>
          <w:szCs w:val="20"/>
          <w:lang w:val="en-US" w:eastAsia="ru-RU"/>
        </w:rPr>
        <w:t>b</w:t>
      </w:r>
      <w:r w:rsidRPr="00B22CCF">
        <w:rPr>
          <w:rFonts w:ascii="Times New Roman" w:hAnsi="Times New Roman"/>
          <w:sz w:val="20"/>
          <w:szCs w:val="20"/>
          <w:lang w:val="en-US" w:eastAsia="ru-RU"/>
        </w:rPr>
        <w:t>) show the time evolution of the</w:t>
      </w:r>
      <w:r>
        <w:rPr>
          <w:rFonts w:ascii="Times New Roman" w:hAnsi="Times New Roman"/>
          <w:sz w:val="20"/>
          <w:szCs w:val="20"/>
          <w:lang w:val="en-US" w:eastAsia="ru-RU"/>
        </w:rPr>
        <w:t xml:space="preserve"> </w:t>
      </w:r>
      <w:r w:rsidRPr="00B22CCF">
        <w:rPr>
          <w:rFonts w:ascii="Times New Roman" w:hAnsi="Times New Roman"/>
          <w:i/>
          <w:iCs/>
          <w:sz w:val="20"/>
          <w:szCs w:val="20"/>
          <w:lang w:val="en-US" w:eastAsia="ru-RU"/>
        </w:rPr>
        <w:t>m</w:t>
      </w:r>
      <w:r w:rsidRPr="00B22CCF">
        <w:rPr>
          <w:rFonts w:ascii="Times New Roman" w:hAnsi="Times New Roman"/>
          <w:i/>
          <w:iCs/>
          <w:sz w:val="20"/>
          <w:szCs w:val="20"/>
          <w:vertAlign w:val="subscript"/>
          <w:lang w:val="en-US" w:eastAsia="ru-RU"/>
        </w:rPr>
        <w:t>x1</w:t>
      </w:r>
      <w:r w:rsidRPr="00B22CCF">
        <w:rPr>
          <w:rFonts w:ascii="Times New Roman" w:hAnsi="Times New Roman"/>
          <w:sz w:val="20"/>
          <w:szCs w:val="20"/>
          <w:lang w:val="en-US" w:eastAsia="ru-RU"/>
        </w:rPr>
        <w:t xml:space="preserve"> </w:t>
      </w:r>
      <w:r>
        <w:rPr>
          <w:rFonts w:ascii="Times New Roman" w:hAnsi="Times New Roman"/>
          <w:sz w:val="20"/>
          <w:szCs w:val="20"/>
          <w:lang w:val="en-US"/>
        </w:rPr>
        <w:t>and</w:t>
      </w:r>
      <w:r w:rsidRPr="00B22CCF">
        <w:rPr>
          <w:rFonts w:ascii="Times New Roman" w:hAnsi="Times New Roman"/>
          <w:sz w:val="20"/>
          <w:szCs w:val="20"/>
          <w:lang w:val="en-US"/>
        </w:rPr>
        <w:t xml:space="preserve"> </w:t>
      </w:r>
      <w:r w:rsidRPr="00B22CCF">
        <w:rPr>
          <w:rFonts w:ascii="Times New Roman" w:hAnsi="Times New Roman"/>
          <w:i/>
          <w:iCs/>
          <w:sz w:val="20"/>
          <w:szCs w:val="20"/>
          <w:lang w:val="en-US" w:eastAsia="ru-RU"/>
        </w:rPr>
        <w:t>m</w:t>
      </w:r>
      <w:r w:rsidRPr="00B22CCF">
        <w:rPr>
          <w:rFonts w:ascii="Times New Roman" w:hAnsi="Times New Roman"/>
          <w:i/>
          <w:iCs/>
          <w:sz w:val="20"/>
          <w:szCs w:val="20"/>
          <w:vertAlign w:val="subscript"/>
          <w:lang w:val="en-US" w:eastAsia="ru-RU"/>
        </w:rPr>
        <w:t>x2</w:t>
      </w:r>
      <w:r>
        <w:rPr>
          <w:rFonts w:ascii="Times New Roman" w:hAnsi="Times New Roman"/>
          <w:sz w:val="20"/>
          <w:szCs w:val="20"/>
          <w:lang w:val="en-US" w:eastAsia="ru-RU"/>
        </w:rPr>
        <w:t xml:space="preserve"> </w:t>
      </w:r>
      <w:r w:rsidRPr="00B22CCF">
        <w:rPr>
          <w:rFonts w:ascii="Times New Roman" w:hAnsi="Times New Roman"/>
          <w:sz w:val="20"/>
          <w:szCs w:val="20"/>
          <w:lang w:val="en-US" w:eastAsia="ru-RU"/>
        </w:rPr>
        <w:t xml:space="preserve">components for </w:t>
      </w:r>
      <w:r w:rsidRPr="00B22CCF">
        <w:rPr>
          <w:rFonts w:ascii="Times New Roman" w:hAnsi="Times New Roman"/>
          <w:i/>
          <w:iCs/>
          <w:sz w:val="20"/>
          <w:szCs w:val="20"/>
          <w:lang w:eastAsia="ru-RU"/>
        </w:rPr>
        <w:t>β</w:t>
      </w:r>
      <w:r w:rsidRPr="00B22CCF">
        <w:rPr>
          <w:rFonts w:ascii="Times New Roman" w:hAnsi="Times New Roman"/>
          <w:sz w:val="20"/>
          <w:szCs w:val="20"/>
          <w:lang w:val="en-US" w:eastAsia="ru-RU"/>
        </w:rPr>
        <w:t xml:space="preserve"> = 0 and </w:t>
      </w:r>
      <w:r w:rsidRPr="00B22CCF">
        <w:rPr>
          <w:rFonts w:ascii="Times New Roman" w:hAnsi="Times New Roman"/>
          <w:i/>
          <w:iCs/>
          <w:sz w:val="20"/>
          <w:szCs w:val="20"/>
          <w:lang w:eastAsia="ru-RU"/>
        </w:rPr>
        <w:t>β</w:t>
      </w:r>
      <w:r w:rsidRPr="00B22CCF">
        <w:rPr>
          <w:rFonts w:ascii="Times New Roman" w:hAnsi="Times New Roman"/>
          <w:sz w:val="20"/>
          <w:szCs w:val="20"/>
          <w:lang w:val="en-US" w:eastAsia="ru-RU"/>
        </w:rPr>
        <w:t xml:space="preserve"> = 0.2. In panel (</w:t>
      </w:r>
      <w:r w:rsidRPr="00B22CCF">
        <w:rPr>
          <w:rFonts w:ascii="Times New Roman" w:hAnsi="Times New Roman"/>
          <w:i/>
          <w:iCs/>
          <w:sz w:val="20"/>
          <w:szCs w:val="20"/>
          <w:lang w:val="en-US" w:eastAsia="ru-RU"/>
        </w:rPr>
        <w:t>a</w:t>
      </w:r>
      <w:r w:rsidRPr="00B22CCF">
        <w:rPr>
          <w:rFonts w:ascii="Times New Roman" w:hAnsi="Times New Roman"/>
          <w:sz w:val="20"/>
          <w:szCs w:val="20"/>
          <w:lang w:val="en-US" w:eastAsia="ru-RU"/>
        </w:rPr>
        <w:t>), the two signals exhibit a phase difference, i.e., they are not synchronized. In panel (</w:t>
      </w:r>
      <w:r w:rsidRPr="00B22CCF">
        <w:rPr>
          <w:rFonts w:ascii="Times New Roman" w:hAnsi="Times New Roman"/>
          <w:i/>
          <w:iCs/>
          <w:sz w:val="20"/>
          <w:szCs w:val="20"/>
          <w:lang w:val="en-US" w:eastAsia="ru-RU"/>
        </w:rPr>
        <w:t>b</w:t>
      </w:r>
      <w:r w:rsidRPr="00B22CCF">
        <w:rPr>
          <w:rFonts w:ascii="Times New Roman" w:hAnsi="Times New Roman"/>
          <w:sz w:val="20"/>
          <w:szCs w:val="20"/>
          <w:lang w:val="en-US" w:eastAsia="ru-RU"/>
        </w:rPr>
        <w:t>), the signals overlap completely, indicating full synchronization. Panels (</w:t>
      </w:r>
      <w:r w:rsidRPr="00B22CCF">
        <w:rPr>
          <w:rFonts w:ascii="Times New Roman" w:hAnsi="Times New Roman"/>
          <w:i/>
          <w:iCs/>
          <w:sz w:val="20"/>
          <w:szCs w:val="20"/>
          <w:lang w:val="en-US" w:eastAsia="ru-RU"/>
        </w:rPr>
        <w:t>c</w:t>
      </w:r>
      <w:r w:rsidRPr="00B22CCF">
        <w:rPr>
          <w:rFonts w:ascii="Times New Roman" w:hAnsi="Times New Roman"/>
          <w:sz w:val="20"/>
          <w:szCs w:val="20"/>
          <w:lang w:val="en-US" w:eastAsia="ru-RU"/>
        </w:rPr>
        <w:t>)–(</w:t>
      </w:r>
      <w:r w:rsidRPr="00B22CCF">
        <w:rPr>
          <w:rFonts w:ascii="Times New Roman" w:hAnsi="Times New Roman"/>
          <w:i/>
          <w:iCs/>
          <w:sz w:val="20"/>
          <w:szCs w:val="20"/>
          <w:lang w:val="en-US" w:eastAsia="ru-RU"/>
        </w:rPr>
        <w:t>f</w:t>
      </w:r>
      <w:r w:rsidRPr="00B22CCF">
        <w:rPr>
          <w:rFonts w:ascii="Times New Roman" w:hAnsi="Times New Roman"/>
          <w:sz w:val="20"/>
          <w:szCs w:val="20"/>
          <w:lang w:val="en-US" w:eastAsia="ru-RU"/>
        </w:rPr>
        <w:t>) depict the phase portraits (</w:t>
      </w:r>
      <w:r w:rsidRPr="00B22CCF">
        <w:rPr>
          <w:rFonts w:ascii="Times New Roman" w:hAnsi="Times New Roman"/>
          <w:i/>
          <w:iCs/>
          <w:sz w:val="20"/>
          <w:szCs w:val="20"/>
          <w:lang w:val="en-US" w:eastAsia="ru-RU"/>
        </w:rPr>
        <w:t>m</w:t>
      </w:r>
      <w:r w:rsidRPr="00B22CCF">
        <w:rPr>
          <w:rFonts w:ascii="Times New Roman" w:hAnsi="Times New Roman"/>
          <w:i/>
          <w:iCs/>
          <w:sz w:val="20"/>
          <w:szCs w:val="20"/>
          <w:vertAlign w:val="subscript"/>
          <w:lang w:val="en-US" w:eastAsia="ru-RU"/>
        </w:rPr>
        <w:t>x1</w:t>
      </w:r>
      <w:r w:rsidRPr="00B22CCF">
        <w:rPr>
          <w:rFonts w:ascii="Times New Roman" w:hAnsi="Times New Roman"/>
          <w:sz w:val="20"/>
          <w:szCs w:val="20"/>
          <w:lang w:val="en-US" w:eastAsia="ru-RU"/>
        </w:rPr>
        <w:t xml:space="preserve">, </w:t>
      </w:r>
      <w:r w:rsidRPr="00B22CCF">
        <w:rPr>
          <w:rFonts w:ascii="Times New Roman" w:hAnsi="Times New Roman"/>
          <w:i/>
          <w:iCs/>
          <w:sz w:val="20"/>
          <w:szCs w:val="20"/>
          <w:lang w:val="en-US" w:eastAsia="ru-RU"/>
        </w:rPr>
        <w:t>m</w:t>
      </w:r>
      <w:r w:rsidRPr="00B22CCF">
        <w:rPr>
          <w:rFonts w:ascii="Times New Roman" w:hAnsi="Times New Roman"/>
          <w:i/>
          <w:iCs/>
          <w:sz w:val="20"/>
          <w:szCs w:val="20"/>
          <w:vertAlign w:val="subscript"/>
          <w:lang w:val="en-US" w:eastAsia="ru-RU"/>
        </w:rPr>
        <w:t>x2</w:t>
      </w:r>
      <w:r w:rsidRPr="00B22CCF">
        <w:rPr>
          <w:rFonts w:ascii="Times New Roman" w:hAnsi="Times New Roman"/>
          <w:sz w:val="20"/>
          <w:szCs w:val="20"/>
          <w:lang w:val="en-US" w:eastAsia="ru-RU"/>
        </w:rPr>
        <w:t xml:space="preserve">) for different </w:t>
      </w:r>
      <w:r w:rsidRPr="00B22CCF">
        <w:rPr>
          <w:rFonts w:ascii="Times New Roman" w:hAnsi="Times New Roman"/>
          <w:sz w:val="20"/>
          <w:szCs w:val="20"/>
          <w:lang w:eastAsia="ru-RU"/>
        </w:rPr>
        <w:t>β</w:t>
      </w:r>
      <w:r w:rsidRPr="00B22CCF">
        <w:rPr>
          <w:rFonts w:ascii="Times New Roman" w:hAnsi="Times New Roman"/>
          <w:sz w:val="20"/>
          <w:szCs w:val="20"/>
          <w:lang w:val="en-US" w:eastAsia="ru-RU"/>
        </w:rPr>
        <w:t xml:space="preserve"> values (0, 0.05, 0.1, 0.2). For </w:t>
      </w:r>
      <w:r w:rsidRPr="00B22CCF">
        <w:rPr>
          <w:rFonts w:ascii="Times New Roman" w:hAnsi="Times New Roman"/>
          <w:i/>
          <w:iCs/>
          <w:sz w:val="20"/>
          <w:szCs w:val="20"/>
          <w:lang w:eastAsia="ru-RU"/>
        </w:rPr>
        <w:t>β</w:t>
      </w:r>
      <w:r w:rsidRPr="00B22CCF">
        <w:rPr>
          <w:rFonts w:ascii="Times New Roman" w:hAnsi="Times New Roman"/>
          <w:sz w:val="20"/>
          <w:szCs w:val="20"/>
          <w:lang w:val="en-US" w:eastAsia="ru-RU"/>
        </w:rPr>
        <w:t xml:space="preserve"> = 0, a large disparity exists between the two signals. As </w:t>
      </w:r>
      <w:r w:rsidRPr="00B22CCF">
        <w:rPr>
          <w:rFonts w:ascii="Times New Roman" w:hAnsi="Times New Roman"/>
          <w:i/>
          <w:iCs/>
          <w:sz w:val="20"/>
          <w:szCs w:val="20"/>
          <w:lang w:eastAsia="ru-RU"/>
        </w:rPr>
        <w:t>β</w:t>
      </w:r>
      <w:r w:rsidRPr="00B22CCF">
        <w:rPr>
          <w:rFonts w:ascii="Times New Roman" w:hAnsi="Times New Roman"/>
          <w:sz w:val="20"/>
          <w:szCs w:val="20"/>
          <w:lang w:val="en-US" w:eastAsia="ru-RU"/>
        </w:rPr>
        <w:t xml:space="preserve"> increases, the trajectories converge, and at </w:t>
      </w:r>
      <w:r w:rsidRPr="00B22CCF">
        <w:rPr>
          <w:rFonts w:ascii="Times New Roman" w:hAnsi="Times New Roman"/>
          <w:i/>
          <w:iCs/>
          <w:sz w:val="20"/>
          <w:szCs w:val="20"/>
          <w:lang w:eastAsia="ru-RU"/>
        </w:rPr>
        <w:t>β</w:t>
      </w:r>
      <w:r w:rsidRPr="00B22CCF">
        <w:rPr>
          <w:rFonts w:ascii="Times New Roman" w:hAnsi="Times New Roman"/>
          <w:sz w:val="20"/>
          <w:szCs w:val="20"/>
          <w:lang w:val="en-US" w:eastAsia="ru-RU"/>
        </w:rPr>
        <w:t xml:space="preserve"> = 0.2, they align along a single straight line — a 45° diagonal — indicating complete synchronization of the STNO pair. Consequently, this figure clearly demonstrates how synchronization can be achieved through the field-like torque.</w:t>
      </w:r>
    </w:p>
    <w:p w14:paraId="6DA09941" w14:textId="1BD7771E" w:rsidR="00343EA7" w:rsidRDefault="00343EA7" w:rsidP="00301A54">
      <w:pPr>
        <w:spacing w:after="0" w:line="240" w:lineRule="auto"/>
        <w:jc w:val="center"/>
        <w:rPr>
          <w:rFonts w:ascii="Times New Roman" w:hAnsi="Times New Roman"/>
          <w:sz w:val="20"/>
          <w:szCs w:val="20"/>
          <w:lang w:val="en-US" w:eastAsia="ru-RU"/>
        </w:rPr>
      </w:pPr>
      <w:r w:rsidRPr="00221635">
        <w:rPr>
          <w:noProof/>
          <w:lang w:eastAsia="ru-RU"/>
        </w:rPr>
        <w:drawing>
          <wp:inline distT="0" distB="0" distL="0" distR="0" wp14:anchorId="1D7B8E66" wp14:editId="333B2643">
            <wp:extent cx="3582678" cy="31165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6158" cy="3137005"/>
                    </a:xfrm>
                    <a:prstGeom prst="rect">
                      <a:avLst/>
                    </a:prstGeom>
                  </pic:spPr>
                </pic:pic>
              </a:graphicData>
            </a:graphic>
          </wp:inline>
        </w:drawing>
      </w:r>
    </w:p>
    <w:p w14:paraId="3401789D" w14:textId="1129D3B0" w:rsidR="00343EA7" w:rsidRPr="00775F51" w:rsidRDefault="00343EA7" w:rsidP="00775F51">
      <w:pPr>
        <w:spacing w:before="120" w:after="120" w:line="240" w:lineRule="auto"/>
        <w:jc w:val="center"/>
        <w:rPr>
          <w:rFonts w:ascii="Times New Roman" w:hAnsi="Times New Roman"/>
          <w:sz w:val="18"/>
          <w:szCs w:val="18"/>
          <w:lang w:val="en-US"/>
        </w:rPr>
      </w:pPr>
      <w:r w:rsidRPr="00775F51">
        <w:rPr>
          <w:rStyle w:val="ad"/>
          <w:rFonts w:ascii="Times New Roman" w:hAnsi="Times New Roman"/>
          <w:sz w:val="18"/>
          <w:szCs w:val="18"/>
          <w:lang w:val="en-US"/>
        </w:rPr>
        <w:t xml:space="preserve">FIGURE </w:t>
      </w:r>
      <w:r w:rsidRPr="00AD0008">
        <w:rPr>
          <w:rStyle w:val="ad"/>
          <w:rFonts w:ascii="Times New Roman" w:hAnsi="Times New Roman"/>
          <w:sz w:val="18"/>
          <w:szCs w:val="18"/>
          <w:lang w:val="en-US"/>
        </w:rPr>
        <w:t>4.</w:t>
      </w:r>
      <w:r w:rsidRPr="00775F51">
        <w:rPr>
          <w:rFonts w:ascii="Times New Roman" w:hAnsi="Times New Roman"/>
          <w:sz w:val="18"/>
          <w:szCs w:val="18"/>
          <w:lang w:val="en-US"/>
        </w:rPr>
        <w:t xml:space="preserve"> Influence of the field-like </w:t>
      </w:r>
      <w:r w:rsidRPr="00775F51">
        <w:rPr>
          <w:rFonts w:ascii="Times New Roman" w:hAnsi="Times New Roman"/>
          <w:sz w:val="18"/>
          <w:szCs w:val="18"/>
          <w:lang w:val="en-US" w:eastAsia="ru-RU"/>
        </w:rPr>
        <w:t>torque</w:t>
      </w:r>
      <w:r w:rsidRPr="00775F51">
        <w:rPr>
          <w:rFonts w:ascii="Times New Roman" w:hAnsi="Times New Roman"/>
          <w:sz w:val="18"/>
          <w:szCs w:val="18"/>
          <w:lang w:val="en-US"/>
        </w:rPr>
        <w:t xml:space="preserve"> (</w:t>
      </w:r>
      <w:r w:rsidRPr="00775F51">
        <w:rPr>
          <w:rFonts w:ascii="Times New Roman" w:hAnsi="Times New Roman"/>
          <w:i/>
          <w:iCs/>
          <w:sz w:val="18"/>
          <w:szCs w:val="18"/>
        </w:rPr>
        <w:t>β</w:t>
      </w:r>
      <w:r w:rsidRPr="00775F51">
        <w:rPr>
          <w:rFonts w:ascii="Times New Roman" w:hAnsi="Times New Roman"/>
          <w:sz w:val="18"/>
          <w:szCs w:val="18"/>
          <w:lang w:val="en-US"/>
        </w:rPr>
        <w:t xml:space="preserve">) on the synchronization of two </w:t>
      </w:r>
      <w:r w:rsidR="00775F51">
        <w:rPr>
          <w:rFonts w:ascii="Times New Roman" w:hAnsi="Times New Roman"/>
          <w:sz w:val="18"/>
          <w:szCs w:val="18"/>
          <w:lang w:val="en-US"/>
        </w:rPr>
        <w:br/>
      </w:r>
      <w:r w:rsidRPr="00775F51">
        <w:rPr>
          <w:rFonts w:ascii="Times New Roman" w:hAnsi="Times New Roman"/>
          <w:sz w:val="18"/>
          <w:szCs w:val="18"/>
          <w:lang w:val="en-US"/>
        </w:rPr>
        <w:t>spin-torque nano-oscillators (STNOs) [</w:t>
      </w:r>
      <w:r w:rsidR="00A46BFF" w:rsidRPr="00775F51">
        <w:rPr>
          <w:rFonts w:ascii="Times New Roman" w:hAnsi="Times New Roman"/>
          <w:sz w:val="18"/>
          <w:szCs w:val="18"/>
          <w:lang w:val="en-US"/>
        </w:rPr>
        <w:t>25</w:t>
      </w:r>
      <w:r w:rsidRPr="00775F51">
        <w:rPr>
          <w:rFonts w:ascii="Times New Roman" w:hAnsi="Times New Roman"/>
          <w:sz w:val="18"/>
          <w:szCs w:val="18"/>
          <w:lang w:val="en-US"/>
        </w:rPr>
        <w:t>].</w:t>
      </w:r>
    </w:p>
    <w:p w14:paraId="1D55D75A" w14:textId="2B156108" w:rsidR="00C560A4" w:rsidRDefault="00C560A4" w:rsidP="00C560A4">
      <w:pPr>
        <w:spacing w:after="0" w:line="240" w:lineRule="auto"/>
        <w:ind w:firstLine="284"/>
        <w:jc w:val="both"/>
        <w:rPr>
          <w:rFonts w:ascii="Times New Roman" w:hAnsi="Times New Roman"/>
          <w:sz w:val="20"/>
          <w:szCs w:val="20"/>
          <w:lang w:val="en-US" w:eastAsia="ru-RU"/>
        </w:rPr>
      </w:pPr>
      <w:r w:rsidRPr="00C560A4">
        <w:rPr>
          <w:rFonts w:ascii="Times New Roman" w:hAnsi="Times New Roman"/>
          <w:sz w:val="20"/>
          <w:szCs w:val="20"/>
          <w:lang w:val="en-US" w:eastAsia="ru-RU"/>
        </w:rPr>
        <w:t xml:space="preserve">Fig.5(a) shows the dependence of the frequency of synchronized oscillations on the current </w:t>
      </w:r>
      <w:r w:rsidRPr="00C560A4">
        <w:rPr>
          <w:rFonts w:ascii="Times New Roman" w:hAnsi="Times New Roman"/>
          <w:i/>
          <w:iCs/>
          <w:sz w:val="20"/>
          <w:szCs w:val="20"/>
          <w:lang w:val="en-US" w:eastAsia="ru-RU"/>
        </w:rPr>
        <w:t>I</w:t>
      </w:r>
      <w:r w:rsidRPr="00C560A4">
        <w:rPr>
          <w:rFonts w:ascii="Times New Roman" w:hAnsi="Times New Roman"/>
          <w:i/>
          <w:iCs/>
          <w:sz w:val="20"/>
          <w:szCs w:val="20"/>
          <w:vertAlign w:val="subscript"/>
          <w:lang w:val="en-US" w:eastAsia="ru-RU"/>
        </w:rPr>
        <w:t>0</w:t>
      </w:r>
      <w:r w:rsidRPr="00C560A4">
        <w:rPr>
          <w:rFonts w:ascii="Times New Roman" w:hAnsi="Times New Roman"/>
          <w:sz w:val="20"/>
          <w:szCs w:val="20"/>
          <w:lang w:val="en-US" w:eastAsia="ru-RU"/>
        </w:rPr>
        <w:t xml:space="preserve"> in a system composed of 100 spin-torque nano-oscillators (STNOs). The graph presents three different values of the field-like torque, </w:t>
      </w:r>
      <w:r w:rsidRPr="00C560A4">
        <w:rPr>
          <w:rFonts w:ascii="Times New Roman" w:hAnsi="Times New Roman"/>
          <w:i/>
          <w:iCs/>
          <w:sz w:val="20"/>
          <w:szCs w:val="20"/>
          <w:lang w:eastAsia="ru-RU"/>
        </w:rPr>
        <w:t>β</w:t>
      </w:r>
      <w:r w:rsidRPr="00C560A4">
        <w:rPr>
          <w:rFonts w:ascii="Times New Roman" w:hAnsi="Times New Roman"/>
          <w:sz w:val="20"/>
          <w:szCs w:val="20"/>
          <w:lang w:val="en-US" w:eastAsia="ru-RU"/>
        </w:rPr>
        <w:t xml:space="preserve"> = 0.2, 0.3, and 0.6. The frequency increases both with increasing </w:t>
      </w:r>
      <w:r w:rsidRPr="00C560A4">
        <w:rPr>
          <w:rFonts w:ascii="Times New Roman" w:hAnsi="Times New Roman"/>
          <w:i/>
          <w:iCs/>
          <w:sz w:val="20"/>
          <w:szCs w:val="20"/>
          <w:lang w:val="en-US" w:eastAsia="ru-RU"/>
        </w:rPr>
        <w:t>I</w:t>
      </w:r>
      <w:r w:rsidRPr="00C560A4">
        <w:rPr>
          <w:rFonts w:ascii="Times New Roman" w:hAnsi="Times New Roman"/>
          <w:i/>
          <w:iCs/>
          <w:sz w:val="20"/>
          <w:szCs w:val="20"/>
          <w:vertAlign w:val="subscript"/>
          <w:lang w:val="en-US" w:eastAsia="ru-RU"/>
        </w:rPr>
        <w:t>0</w:t>
      </w:r>
      <w:r w:rsidRPr="00C560A4">
        <w:rPr>
          <w:rFonts w:ascii="Times New Roman" w:hAnsi="Times New Roman"/>
          <w:sz w:val="20"/>
          <w:szCs w:val="20"/>
          <w:lang w:val="en-US" w:eastAsia="ru-RU"/>
        </w:rPr>
        <w:t xml:space="preserve"> and with increasing </w:t>
      </w:r>
      <w:r w:rsidRPr="00C560A4">
        <w:rPr>
          <w:rFonts w:ascii="Times New Roman" w:hAnsi="Times New Roman"/>
          <w:i/>
          <w:iCs/>
          <w:sz w:val="20"/>
          <w:szCs w:val="20"/>
          <w:lang w:eastAsia="ru-RU"/>
        </w:rPr>
        <w:t>β</w:t>
      </w:r>
      <w:r w:rsidRPr="00C560A4">
        <w:rPr>
          <w:rFonts w:ascii="Times New Roman" w:hAnsi="Times New Roman"/>
          <w:sz w:val="20"/>
          <w:szCs w:val="20"/>
          <w:lang w:val="en-US" w:eastAsia="ru-RU"/>
        </w:rPr>
        <w:t>. These results indicate that the frequency in STNO-based devices can be controlled over a wide range.</w:t>
      </w:r>
      <w:r>
        <w:rPr>
          <w:rFonts w:ascii="Times New Roman" w:hAnsi="Times New Roman"/>
          <w:sz w:val="20"/>
          <w:szCs w:val="20"/>
          <w:lang w:val="en-US" w:eastAsia="ru-RU"/>
        </w:rPr>
        <w:t xml:space="preserve"> </w:t>
      </w:r>
      <w:r w:rsidRPr="00C560A4">
        <w:rPr>
          <w:rFonts w:ascii="Times New Roman" w:hAnsi="Times New Roman"/>
          <w:sz w:val="20"/>
          <w:szCs w:val="20"/>
          <w:lang w:val="en-US" w:eastAsia="ru-RU"/>
        </w:rPr>
        <w:t>Fig.5(b</w:t>
      </w:r>
      <w:r w:rsidRPr="00C560A4">
        <w:rPr>
          <w:rFonts w:ascii="Times New Roman" w:hAnsi="Times New Roman"/>
          <w:b/>
          <w:bCs/>
          <w:sz w:val="20"/>
          <w:szCs w:val="20"/>
          <w:lang w:val="en-US" w:eastAsia="ru-RU"/>
        </w:rPr>
        <w:t>)</w:t>
      </w:r>
      <w:r w:rsidRPr="00C560A4">
        <w:rPr>
          <w:rFonts w:ascii="Times New Roman" w:hAnsi="Times New Roman"/>
          <w:sz w:val="20"/>
          <w:szCs w:val="20"/>
          <w:lang w:val="en-US" w:eastAsia="ru-RU"/>
        </w:rPr>
        <w:t xml:space="preserve"> illustrates the phase portrait between the </w:t>
      </w:r>
      <w:r w:rsidRPr="00C560A4">
        <w:rPr>
          <w:rFonts w:ascii="Times New Roman" w:hAnsi="Times New Roman"/>
          <w:i/>
          <w:iCs/>
          <w:sz w:val="20"/>
          <w:szCs w:val="20"/>
          <w:lang w:val="en-US" w:eastAsia="ru-RU"/>
        </w:rPr>
        <w:t>m</w:t>
      </w:r>
      <w:r w:rsidRPr="00C560A4">
        <w:rPr>
          <w:rFonts w:ascii="Times New Roman" w:hAnsi="Times New Roman"/>
          <w:i/>
          <w:iCs/>
          <w:sz w:val="20"/>
          <w:szCs w:val="20"/>
          <w:vertAlign w:val="subscript"/>
          <w:lang w:val="en-US" w:eastAsia="ru-RU"/>
        </w:rPr>
        <w:t>x</w:t>
      </w:r>
      <w:r w:rsidRPr="00C560A4">
        <w:rPr>
          <w:rFonts w:ascii="Times New Roman" w:hAnsi="Times New Roman"/>
          <w:sz w:val="20"/>
          <w:szCs w:val="20"/>
          <w:lang w:val="en-US" w:eastAsia="ru-RU"/>
        </w:rPr>
        <w:t xml:space="preserve"> and </w:t>
      </w:r>
      <w:r w:rsidRPr="00C560A4">
        <w:rPr>
          <w:rFonts w:ascii="Times New Roman" w:hAnsi="Times New Roman"/>
          <w:i/>
          <w:iCs/>
          <w:sz w:val="20"/>
          <w:szCs w:val="20"/>
          <w:lang w:val="en-US" w:eastAsia="ru-RU"/>
        </w:rPr>
        <w:t>m</w:t>
      </w:r>
      <w:r w:rsidRPr="00C560A4">
        <w:rPr>
          <w:rFonts w:ascii="Times New Roman" w:hAnsi="Times New Roman"/>
          <w:i/>
          <w:iCs/>
          <w:sz w:val="20"/>
          <w:szCs w:val="20"/>
          <w:vertAlign w:val="subscript"/>
          <w:lang w:val="en-US" w:eastAsia="ru-RU"/>
        </w:rPr>
        <w:t>y</w:t>
      </w:r>
      <w:r w:rsidRPr="00C560A4">
        <w:rPr>
          <w:rFonts w:ascii="Times New Roman" w:hAnsi="Times New Roman"/>
          <w:sz w:val="20"/>
          <w:szCs w:val="20"/>
          <w:lang w:val="en-US" w:eastAsia="ru-RU"/>
        </w:rPr>
        <w:t xml:space="preserve"> components. Here, (</w:t>
      </w:r>
      <w:proofErr w:type="spellStart"/>
      <w:r w:rsidRPr="00C560A4">
        <w:rPr>
          <w:rFonts w:ascii="Times New Roman" w:hAnsi="Times New Roman"/>
          <w:i/>
          <w:iCs/>
          <w:sz w:val="20"/>
          <w:szCs w:val="20"/>
          <w:lang w:val="en-US" w:eastAsia="ru-RU"/>
        </w:rPr>
        <w:t>i</w:t>
      </w:r>
      <w:proofErr w:type="spellEnd"/>
      <w:r w:rsidRPr="00C560A4">
        <w:rPr>
          <w:rFonts w:ascii="Times New Roman" w:hAnsi="Times New Roman"/>
          <w:sz w:val="20"/>
          <w:szCs w:val="20"/>
          <w:lang w:val="en-US" w:eastAsia="ru-RU"/>
        </w:rPr>
        <w:t xml:space="preserve">) the black curve corresponds to clustered motion (i.e., partially synchronized but not fully) for </w:t>
      </w:r>
      <w:r w:rsidRPr="00C560A4">
        <w:rPr>
          <w:rFonts w:ascii="Times New Roman" w:hAnsi="Times New Roman"/>
          <w:i/>
          <w:iCs/>
          <w:sz w:val="20"/>
          <w:szCs w:val="20"/>
          <w:lang w:eastAsia="ru-RU"/>
        </w:rPr>
        <w:t>β</w:t>
      </w:r>
      <w:r w:rsidRPr="00C560A4">
        <w:rPr>
          <w:rFonts w:ascii="Times New Roman" w:hAnsi="Times New Roman"/>
          <w:sz w:val="20"/>
          <w:szCs w:val="20"/>
          <w:lang w:val="en-US" w:eastAsia="ru-RU"/>
        </w:rPr>
        <w:t xml:space="preserve"> = 0 and </w:t>
      </w:r>
      <w:r w:rsidRPr="00C560A4">
        <w:rPr>
          <w:rFonts w:ascii="Times New Roman" w:hAnsi="Times New Roman"/>
          <w:i/>
          <w:iCs/>
          <w:sz w:val="20"/>
          <w:szCs w:val="20"/>
          <w:lang w:eastAsia="ru-RU"/>
        </w:rPr>
        <w:t>θ</w:t>
      </w:r>
      <w:r w:rsidRPr="00C560A4">
        <w:rPr>
          <w:rFonts w:ascii="Times New Roman" w:hAnsi="Times New Roman"/>
          <w:i/>
          <w:iCs/>
          <w:sz w:val="20"/>
          <w:szCs w:val="20"/>
          <w:vertAlign w:val="subscript"/>
          <w:lang w:val="en-US" w:eastAsia="ru-RU"/>
        </w:rPr>
        <w:t>h</w:t>
      </w:r>
      <w:r w:rsidRPr="00C560A4">
        <w:rPr>
          <w:rFonts w:ascii="Times New Roman" w:hAnsi="Times New Roman"/>
          <w:sz w:val="20"/>
          <w:szCs w:val="20"/>
          <w:lang w:val="en-US" w:eastAsia="ru-RU"/>
        </w:rPr>
        <w:t xml:space="preserve"> = 0°, while (</w:t>
      </w:r>
      <w:r w:rsidRPr="00C560A4">
        <w:rPr>
          <w:rFonts w:ascii="Times New Roman" w:hAnsi="Times New Roman"/>
          <w:i/>
          <w:iCs/>
          <w:sz w:val="20"/>
          <w:szCs w:val="20"/>
          <w:lang w:val="en-US" w:eastAsia="ru-RU"/>
        </w:rPr>
        <w:t>ii</w:t>
      </w:r>
      <w:r w:rsidRPr="00C560A4">
        <w:rPr>
          <w:rFonts w:ascii="Times New Roman" w:hAnsi="Times New Roman"/>
          <w:sz w:val="20"/>
          <w:szCs w:val="20"/>
          <w:lang w:val="en-US" w:eastAsia="ru-RU"/>
        </w:rPr>
        <w:t xml:space="preserve">) the blue curve represents fully synchronized motion for </w:t>
      </w:r>
      <w:r w:rsidRPr="00C560A4">
        <w:rPr>
          <w:rFonts w:ascii="Times New Roman" w:hAnsi="Times New Roman"/>
          <w:sz w:val="20"/>
          <w:szCs w:val="20"/>
          <w:lang w:eastAsia="ru-RU"/>
        </w:rPr>
        <w:t>β</w:t>
      </w:r>
      <w:r w:rsidRPr="00C560A4">
        <w:rPr>
          <w:rFonts w:ascii="Times New Roman" w:hAnsi="Times New Roman"/>
          <w:sz w:val="20"/>
          <w:szCs w:val="20"/>
          <w:lang w:val="en-US" w:eastAsia="ru-RU"/>
        </w:rPr>
        <w:t xml:space="preserve"> = 0.2 and </w:t>
      </w:r>
      <w:r w:rsidRPr="00C560A4">
        <w:rPr>
          <w:rFonts w:ascii="Times New Roman" w:hAnsi="Times New Roman"/>
          <w:sz w:val="20"/>
          <w:szCs w:val="20"/>
          <w:lang w:eastAsia="ru-RU"/>
        </w:rPr>
        <w:t>θ</w:t>
      </w:r>
      <w:r w:rsidRPr="00C560A4">
        <w:rPr>
          <w:rFonts w:ascii="Times New Roman" w:hAnsi="Times New Roman"/>
          <w:sz w:val="20"/>
          <w:szCs w:val="20"/>
          <w:lang w:val="en-US" w:eastAsia="ru-RU"/>
        </w:rPr>
        <w:t>_h = 6°. The large-amplitude circular shape in the blue curve indicates that all oscillators are moving along the same trajectory. These figures thus confirm that perfect synchronization can be achieved by adjusting the field-like torque and the angle of the external magnetic field.</w:t>
      </w:r>
    </w:p>
    <w:p w14:paraId="6E382FAB" w14:textId="7C89A310" w:rsidR="0083729C" w:rsidRPr="00C560A4" w:rsidRDefault="0083729C" w:rsidP="0083729C">
      <w:pPr>
        <w:spacing w:after="0" w:line="240" w:lineRule="auto"/>
        <w:ind w:firstLine="284"/>
        <w:jc w:val="center"/>
        <w:rPr>
          <w:rFonts w:ascii="Times New Roman" w:hAnsi="Times New Roman"/>
          <w:sz w:val="20"/>
          <w:szCs w:val="20"/>
          <w:lang w:val="en-US" w:eastAsia="ru-RU"/>
        </w:rPr>
      </w:pPr>
      <w:r w:rsidRPr="00456376">
        <w:rPr>
          <w:noProof/>
          <w:lang w:eastAsia="ru-RU"/>
        </w:rPr>
        <w:drawing>
          <wp:inline distT="0" distB="0" distL="0" distR="0" wp14:anchorId="4741850A" wp14:editId="0DBBC59E">
            <wp:extent cx="2628238" cy="3169920"/>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8726" t="3296" r="890"/>
                    <a:stretch/>
                  </pic:blipFill>
                  <pic:spPr bwMode="auto">
                    <a:xfrm>
                      <a:off x="0" y="0"/>
                      <a:ext cx="2657664" cy="3205410"/>
                    </a:xfrm>
                    <a:prstGeom prst="rect">
                      <a:avLst/>
                    </a:prstGeom>
                    <a:ln>
                      <a:noFill/>
                    </a:ln>
                    <a:extLst>
                      <a:ext uri="{53640926-AAD7-44D8-BBD7-CCE9431645EC}">
                        <a14:shadowObscured xmlns:a14="http://schemas.microsoft.com/office/drawing/2010/main"/>
                      </a:ext>
                    </a:extLst>
                  </pic:spPr>
                </pic:pic>
              </a:graphicData>
            </a:graphic>
          </wp:inline>
        </w:drawing>
      </w:r>
    </w:p>
    <w:p w14:paraId="4FBD7DE7" w14:textId="6DFFE413" w:rsidR="0083729C" w:rsidRPr="00775F51" w:rsidRDefault="0083729C" w:rsidP="00775F51">
      <w:pPr>
        <w:spacing w:before="120" w:after="120" w:line="240" w:lineRule="auto"/>
        <w:jc w:val="center"/>
        <w:rPr>
          <w:rFonts w:ascii="Times New Roman" w:hAnsi="Times New Roman"/>
          <w:sz w:val="18"/>
          <w:szCs w:val="18"/>
          <w:lang w:val="en-US"/>
        </w:rPr>
      </w:pPr>
      <w:r w:rsidRPr="00775F51">
        <w:rPr>
          <w:rStyle w:val="ad"/>
          <w:rFonts w:ascii="Times New Roman" w:hAnsi="Times New Roman"/>
          <w:sz w:val="18"/>
          <w:szCs w:val="18"/>
          <w:lang w:val="en-US"/>
        </w:rPr>
        <w:t>FIGURE 5.</w:t>
      </w:r>
      <w:r w:rsidRPr="00775F51">
        <w:rPr>
          <w:rFonts w:ascii="Times New Roman" w:hAnsi="Times New Roman"/>
          <w:sz w:val="18"/>
          <w:szCs w:val="18"/>
          <w:lang w:val="en-US"/>
        </w:rPr>
        <w:t xml:space="preserve"> Frequency of synchronized oscillations and the phase portrait between components in a system of 100 spin-torque nano-oscillators (STNOs) [</w:t>
      </w:r>
      <w:r w:rsidR="00A46BFF" w:rsidRPr="00775F51">
        <w:rPr>
          <w:rFonts w:ascii="Times New Roman" w:hAnsi="Times New Roman"/>
          <w:sz w:val="18"/>
          <w:szCs w:val="18"/>
          <w:lang w:val="en-US"/>
        </w:rPr>
        <w:t>25</w:t>
      </w:r>
      <w:r w:rsidRPr="00775F51">
        <w:rPr>
          <w:rFonts w:ascii="Times New Roman" w:hAnsi="Times New Roman"/>
          <w:sz w:val="18"/>
          <w:szCs w:val="18"/>
          <w:lang w:val="en-US"/>
        </w:rPr>
        <w:t>].</w:t>
      </w:r>
    </w:p>
    <w:p w14:paraId="5844F546" w14:textId="77777777" w:rsidR="00EA362A" w:rsidRPr="0038042A" w:rsidRDefault="00EA362A" w:rsidP="002916CE">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197892C9" w14:textId="4A99BB2B" w:rsidR="00277F78" w:rsidRPr="00277F78" w:rsidRDefault="00277F78" w:rsidP="003C2C6E">
      <w:pPr>
        <w:spacing w:after="0" w:line="240" w:lineRule="auto"/>
        <w:ind w:firstLine="284"/>
        <w:jc w:val="both"/>
        <w:rPr>
          <w:rFonts w:ascii="Times New Roman" w:hAnsi="Times New Roman"/>
          <w:sz w:val="20"/>
          <w:szCs w:val="20"/>
          <w:lang w:val="en-US"/>
        </w:rPr>
      </w:pPr>
      <w:r w:rsidRPr="00277F78">
        <w:rPr>
          <w:rFonts w:ascii="Times New Roman" w:hAnsi="Times New Roman"/>
          <w:sz w:val="20"/>
          <w:szCs w:val="20"/>
          <w:lang w:val="en-US"/>
        </w:rPr>
        <w:t xml:space="preserve">In bulk and quantum-structured semiconductors, charge carriers exhibit various dynamic processes under the influence of external factors. In particular, the quantization of density-of-states oscillations and quantum magnetic effects under a static magnetic field represent one of the fundamental and applied directions in semiconductor physics. While the motion of charge carriers under a static magnetic field separates into discrete Landau levels, in a dynamic (time-varying) weak magnetic field, the electron system exhibits resonance properties. As a result, the cyclotron frequency of the dynamic magnetic field interacts with the cyclotron frequency of the charge carriers, giving rise to </w:t>
      </w:r>
      <w:proofErr w:type="spellStart"/>
      <w:r w:rsidRPr="00277F78">
        <w:rPr>
          <w:rFonts w:ascii="Times New Roman" w:hAnsi="Times New Roman"/>
          <w:sz w:val="20"/>
          <w:szCs w:val="20"/>
          <w:lang w:val="en-US"/>
        </w:rPr>
        <w:t>magnetoplasmon</w:t>
      </w:r>
      <w:proofErr w:type="spellEnd"/>
      <w:r w:rsidRPr="00277F78">
        <w:rPr>
          <w:rFonts w:ascii="Times New Roman" w:hAnsi="Times New Roman"/>
          <w:sz w:val="20"/>
          <w:szCs w:val="20"/>
          <w:lang w:val="en-US"/>
        </w:rPr>
        <w:t xml:space="preserve"> oscillations. These considerations indicate that, to fully study the quantum magnetic effects in quantum-sized semiconductor structures under dynamic magnetic fields, it is essential to analyze their phase portraits.</w:t>
      </w:r>
    </w:p>
    <w:p w14:paraId="6EF958C6" w14:textId="77777777" w:rsidR="00EA362A" w:rsidRPr="002916CE" w:rsidRDefault="00EA362A" w:rsidP="002916CE">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2B809657" w14:textId="320C73E9" w:rsidR="008B65C5" w:rsidRPr="00AD0008" w:rsidRDefault="008B65C5" w:rsidP="00C33253">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Giordano, M. </w:t>
      </w:r>
      <w:proofErr w:type="spellStart"/>
      <w:r w:rsidRPr="00AD0008">
        <w:rPr>
          <w:rFonts w:ascii="Times New Roman" w:hAnsi="Times New Roman"/>
          <w:color w:val="000000" w:themeColor="text1"/>
          <w:sz w:val="20"/>
          <w:szCs w:val="20"/>
          <w:lang w:val="en-US"/>
        </w:rPr>
        <w:t>Carpentieri</w:t>
      </w:r>
      <w:proofErr w:type="spellEnd"/>
      <w:r w:rsidRPr="00AD0008">
        <w:rPr>
          <w:rFonts w:ascii="Times New Roman" w:hAnsi="Times New Roman"/>
          <w:color w:val="000000" w:themeColor="text1"/>
          <w:sz w:val="20"/>
          <w:szCs w:val="20"/>
          <w:lang w:val="en-US"/>
        </w:rPr>
        <w:t xml:space="preserve">, A. </w:t>
      </w:r>
      <w:proofErr w:type="spellStart"/>
      <w:r w:rsidRPr="00AD0008">
        <w:rPr>
          <w:rFonts w:ascii="Times New Roman" w:hAnsi="Times New Roman"/>
          <w:color w:val="000000" w:themeColor="text1"/>
          <w:sz w:val="20"/>
          <w:szCs w:val="20"/>
          <w:lang w:val="en-US"/>
        </w:rPr>
        <w:t>Laudani</w:t>
      </w:r>
      <w:proofErr w:type="spellEnd"/>
      <w:r w:rsidRPr="00AD0008">
        <w:rPr>
          <w:rFonts w:ascii="Times New Roman" w:hAnsi="Times New Roman"/>
          <w:color w:val="000000" w:themeColor="text1"/>
          <w:sz w:val="20"/>
          <w:szCs w:val="20"/>
          <w:lang w:val="en-US"/>
        </w:rPr>
        <w:t xml:space="preserve">, G. </w:t>
      </w:r>
      <w:proofErr w:type="spellStart"/>
      <w:r w:rsidRPr="00AD0008">
        <w:rPr>
          <w:rFonts w:ascii="Times New Roman" w:hAnsi="Times New Roman"/>
          <w:color w:val="000000" w:themeColor="text1"/>
          <w:sz w:val="20"/>
          <w:szCs w:val="20"/>
          <w:lang w:val="en-US"/>
        </w:rPr>
        <w:t>Gubbiotti</w:t>
      </w:r>
      <w:proofErr w:type="spellEnd"/>
      <w:r w:rsidRPr="00AD0008">
        <w:rPr>
          <w:rFonts w:ascii="Times New Roman" w:hAnsi="Times New Roman"/>
          <w:color w:val="000000" w:themeColor="text1"/>
          <w:sz w:val="20"/>
          <w:szCs w:val="20"/>
          <w:lang w:val="en-US"/>
        </w:rPr>
        <w:t xml:space="preserve">, B. </w:t>
      </w:r>
      <w:proofErr w:type="spellStart"/>
      <w:r w:rsidRPr="00AD0008">
        <w:rPr>
          <w:rFonts w:ascii="Times New Roman" w:hAnsi="Times New Roman"/>
          <w:color w:val="000000" w:themeColor="text1"/>
          <w:sz w:val="20"/>
          <w:szCs w:val="20"/>
          <w:lang w:val="en-US"/>
        </w:rPr>
        <w:t>Azzerboni</w:t>
      </w:r>
      <w:proofErr w:type="spellEnd"/>
      <w:r w:rsidRPr="00AD0008">
        <w:rPr>
          <w:rFonts w:ascii="Times New Roman" w:hAnsi="Times New Roman"/>
          <w:color w:val="000000" w:themeColor="text1"/>
          <w:sz w:val="20"/>
          <w:szCs w:val="20"/>
          <w:lang w:val="en-US"/>
        </w:rPr>
        <w:t xml:space="preserve">, G. Finocchio. (2014). Spin-Hall Nano-oscillator: a micromagnetic study, </w:t>
      </w:r>
      <w:r w:rsidRPr="00AD0008">
        <w:rPr>
          <w:rFonts w:ascii="Times New Roman" w:hAnsi="Times New Roman"/>
          <w:i/>
          <w:iCs/>
          <w:color w:val="000000" w:themeColor="text1"/>
          <w:sz w:val="20"/>
          <w:szCs w:val="20"/>
          <w:lang w:val="en-US"/>
        </w:rPr>
        <w:t xml:space="preserve">Applied Physics Letters, 105(4), </w:t>
      </w:r>
      <w:r w:rsidRPr="00AD0008">
        <w:rPr>
          <w:rFonts w:ascii="Times New Roman" w:hAnsi="Times New Roman"/>
          <w:color w:val="000000" w:themeColor="text1"/>
          <w:sz w:val="20"/>
          <w:szCs w:val="20"/>
          <w:lang w:val="en-US"/>
        </w:rPr>
        <w:t xml:space="preserve">042412. </w:t>
      </w:r>
      <w:hyperlink r:id="rId21" w:history="1">
        <w:r w:rsidRPr="00AD0008">
          <w:rPr>
            <w:rStyle w:val="ab"/>
            <w:rFonts w:ascii="Times New Roman" w:hAnsi="Times New Roman"/>
            <w:color w:val="000000" w:themeColor="text1"/>
            <w:sz w:val="20"/>
            <w:szCs w:val="20"/>
            <w:u w:val="none"/>
            <w:lang w:val="en-US"/>
          </w:rPr>
          <w:t>https://doi.org/10.1063/1.4892168</w:t>
        </w:r>
      </w:hyperlink>
    </w:p>
    <w:p w14:paraId="7F144591" w14:textId="425BEC9A" w:rsidR="008B65C5" w:rsidRPr="00AD0008" w:rsidRDefault="008B65C5" w:rsidP="00EA510F">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Haazen</w:t>
      </w:r>
      <w:proofErr w:type="spellEnd"/>
      <w:r w:rsidRPr="00AD0008">
        <w:rPr>
          <w:rFonts w:ascii="Times New Roman" w:hAnsi="Times New Roman"/>
          <w:color w:val="000000" w:themeColor="text1"/>
          <w:sz w:val="20"/>
          <w:szCs w:val="20"/>
          <w:lang w:val="en-US"/>
        </w:rPr>
        <w:t xml:space="preserve">, P.P.J., </w:t>
      </w:r>
      <w:proofErr w:type="spellStart"/>
      <w:r w:rsidRPr="00AD0008">
        <w:rPr>
          <w:rFonts w:ascii="Times New Roman" w:hAnsi="Times New Roman"/>
          <w:color w:val="000000" w:themeColor="text1"/>
          <w:sz w:val="20"/>
          <w:szCs w:val="20"/>
          <w:lang w:val="en-US"/>
        </w:rPr>
        <w:t>Murè</w:t>
      </w:r>
      <w:proofErr w:type="spellEnd"/>
      <w:r w:rsidRPr="00AD0008">
        <w:rPr>
          <w:rFonts w:ascii="Times New Roman" w:hAnsi="Times New Roman"/>
          <w:color w:val="000000" w:themeColor="text1"/>
          <w:sz w:val="20"/>
          <w:szCs w:val="20"/>
          <w:lang w:val="en-US"/>
        </w:rPr>
        <w:t xml:space="preserve">, E., Franken, J.H., </w:t>
      </w:r>
      <w:proofErr w:type="spellStart"/>
      <w:r w:rsidRPr="00AD0008">
        <w:rPr>
          <w:rFonts w:ascii="Times New Roman" w:hAnsi="Times New Roman"/>
          <w:color w:val="000000" w:themeColor="text1"/>
          <w:sz w:val="20"/>
          <w:szCs w:val="20"/>
          <w:lang w:val="en-US"/>
        </w:rPr>
        <w:t>Lavrijsen</w:t>
      </w:r>
      <w:proofErr w:type="spellEnd"/>
      <w:r w:rsidRPr="00AD0008">
        <w:rPr>
          <w:rFonts w:ascii="Times New Roman" w:hAnsi="Times New Roman"/>
          <w:color w:val="000000" w:themeColor="text1"/>
          <w:sz w:val="20"/>
          <w:szCs w:val="20"/>
          <w:lang w:val="en-US"/>
        </w:rPr>
        <w:t xml:space="preserve">, R., </w:t>
      </w:r>
      <w:proofErr w:type="spellStart"/>
      <w:r w:rsidRPr="00AD0008">
        <w:rPr>
          <w:rFonts w:ascii="Times New Roman" w:hAnsi="Times New Roman"/>
          <w:color w:val="000000" w:themeColor="text1"/>
          <w:sz w:val="20"/>
          <w:szCs w:val="20"/>
          <w:lang w:val="en-US"/>
        </w:rPr>
        <w:t>Swagten</w:t>
      </w:r>
      <w:proofErr w:type="spellEnd"/>
      <w:r w:rsidRPr="00AD0008">
        <w:rPr>
          <w:rFonts w:ascii="Times New Roman" w:hAnsi="Times New Roman"/>
          <w:color w:val="000000" w:themeColor="text1"/>
          <w:sz w:val="20"/>
          <w:szCs w:val="20"/>
          <w:lang w:val="en-US"/>
        </w:rPr>
        <w:t xml:space="preserve">, H.J.M., Koopmans, B. (2013). Domain wall depinning governed by the spin Hall effect. </w:t>
      </w:r>
      <w:r w:rsidRPr="00AD0008">
        <w:rPr>
          <w:rFonts w:ascii="Times New Roman" w:hAnsi="Times New Roman"/>
          <w:i/>
          <w:iCs/>
          <w:color w:val="000000" w:themeColor="text1"/>
          <w:sz w:val="20"/>
          <w:szCs w:val="20"/>
          <w:lang w:val="en-US"/>
        </w:rPr>
        <w:t>Nature Materials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12(4)</w:t>
      </w:r>
      <w:r w:rsidRPr="00AD0008">
        <w:rPr>
          <w:rFonts w:ascii="Times New Roman" w:hAnsi="Times New Roman"/>
          <w:color w:val="000000" w:themeColor="text1"/>
          <w:sz w:val="20"/>
          <w:szCs w:val="20"/>
          <w:lang w:val="en-US"/>
        </w:rPr>
        <w:t xml:space="preserve">, 299-303. </w:t>
      </w:r>
      <w:hyperlink r:id="rId22" w:history="1">
        <w:r w:rsidRPr="00AD0008">
          <w:rPr>
            <w:rStyle w:val="ab"/>
            <w:rFonts w:ascii="Times New Roman" w:hAnsi="Times New Roman"/>
            <w:color w:val="000000" w:themeColor="text1"/>
            <w:sz w:val="20"/>
            <w:szCs w:val="20"/>
            <w:u w:val="none"/>
            <w:lang w:val="en-US"/>
          </w:rPr>
          <w:t>https://doi.org/10.1038/nmat3553</w:t>
        </w:r>
      </w:hyperlink>
    </w:p>
    <w:p w14:paraId="47BDD432"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Ryu, K.-S., Thomas, L., Yang, S.-H., Parkin, S. (2013). Chiral spin torque at magnetic domain walls. </w:t>
      </w:r>
      <w:r w:rsidRPr="00AD0008">
        <w:rPr>
          <w:rFonts w:ascii="Times New Roman" w:hAnsi="Times New Roman"/>
          <w:i/>
          <w:iCs/>
          <w:color w:val="000000" w:themeColor="text1"/>
          <w:sz w:val="20"/>
          <w:szCs w:val="20"/>
          <w:lang w:val="en-US"/>
        </w:rPr>
        <w:t>Nature Nanotechnology</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8</w:t>
      </w:r>
      <w:r w:rsidRPr="00AD0008">
        <w:rPr>
          <w:rFonts w:ascii="Times New Roman" w:hAnsi="Times New Roman"/>
          <w:color w:val="000000" w:themeColor="text1"/>
          <w:sz w:val="20"/>
          <w:szCs w:val="20"/>
          <w:lang w:val="en-US"/>
        </w:rPr>
        <w:t xml:space="preserve">, 527–533. </w:t>
      </w:r>
      <w:hyperlink r:id="rId23" w:history="1">
        <w:r w:rsidRPr="00AD0008">
          <w:rPr>
            <w:rStyle w:val="ab"/>
            <w:rFonts w:ascii="Times New Roman" w:hAnsi="Times New Roman"/>
            <w:color w:val="000000" w:themeColor="text1"/>
            <w:sz w:val="20"/>
            <w:szCs w:val="20"/>
            <w:u w:val="none"/>
            <w:lang w:val="en-US"/>
          </w:rPr>
          <w:t>https://doi.org/10.1038/nnano.2013.102</w:t>
        </w:r>
      </w:hyperlink>
    </w:p>
    <w:p w14:paraId="58825A34"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Erkaboev</w:t>
      </w:r>
      <w:proofErr w:type="spellEnd"/>
      <w:r w:rsidRPr="00AD0008">
        <w:rPr>
          <w:rFonts w:ascii="Times New Roman" w:hAnsi="Times New Roman"/>
          <w:color w:val="000000" w:themeColor="text1"/>
          <w:sz w:val="20"/>
          <w:szCs w:val="20"/>
          <w:lang w:val="en-US"/>
        </w:rPr>
        <w:t xml:space="preserve">, U.I.,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xml:space="preserve">, R.G. (2023). Determination of the dependence of the oscillation of transverse electrical conductivity and magnetoresistance on temperature in heterostructures based on quantum wells. </w:t>
      </w:r>
      <w:r w:rsidRPr="00AD0008">
        <w:rPr>
          <w:rFonts w:ascii="Times New Roman" w:hAnsi="Times New Roman"/>
          <w:i/>
          <w:iCs/>
          <w:color w:val="000000" w:themeColor="text1"/>
          <w:sz w:val="20"/>
          <w:szCs w:val="20"/>
          <w:lang w:val="en-US"/>
        </w:rPr>
        <w:t xml:space="preserve">East European Journal of Physics, 2023(3), </w:t>
      </w:r>
      <w:r w:rsidRPr="00AD0008">
        <w:rPr>
          <w:rFonts w:ascii="Times New Roman" w:hAnsi="Times New Roman"/>
          <w:color w:val="000000" w:themeColor="text1"/>
          <w:sz w:val="20"/>
          <w:szCs w:val="20"/>
          <w:lang w:val="en-US"/>
        </w:rPr>
        <w:t xml:space="preserve">133-145. </w:t>
      </w:r>
      <w:hyperlink r:id="rId24" w:history="1">
        <w:r w:rsidRPr="00AD0008">
          <w:rPr>
            <w:rStyle w:val="ab"/>
            <w:rFonts w:ascii="Times New Roman" w:hAnsi="Times New Roman"/>
            <w:color w:val="000000" w:themeColor="text1"/>
            <w:sz w:val="20"/>
            <w:szCs w:val="20"/>
            <w:u w:val="none"/>
            <w:lang w:val="en-US"/>
          </w:rPr>
          <w:t>https://doi.org/10.26565/2312-4334-2023-3-10</w:t>
        </w:r>
      </w:hyperlink>
    </w:p>
    <w:p w14:paraId="1BCB6724"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Bhowmik, D., You, L., Salahuddin, S. (2013). Spin Hall effect clocking of nanomagnetic logic without a magnetic field. </w:t>
      </w:r>
      <w:r w:rsidRPr="00AD0008">
        <w:rPr>
          <w:rFonts w:ascii="Times New Roman" w:hAnsi="Times New Roman"/>
          <w:i/>
          <w:iCs/>
          <w:color w:val="000000" w:themeColor="text1"/>
          <w:sz w:val="20"/>
          <w:szCs w:val="20"/>
          <w:lang w:val="en-US"/>
        </w:rPr>
        <w:t>Nature Nanotechnology</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9</w:t>
      </w:r>
      <w:r w:rsidRPr="00AD0008">
        <w:rPr>
          <w:rFonts w:ascii="Times New Roman" w:hAnsi="Times New Roman"/>
          <w:color w:val="000000" w:themeColor="text1"/>
          <w:sz w:val="20"/>
          <w:szCs w:val="20"/>
          <w:lang w:val="en-US"/>
        </w:rPr>
        <w:t xml:space="preserve">, 59-63. </w:t>
      </w:r>
      <w:hyperlink r:id="rId25" w:history="1">
        <w:r w:rsidRPr="00AD0008">
          <w:rPr>
            <w:rStyle w:val="ab"/>
            <w:rFonts w:ascii="Times New Roman" w:hAnsi="Times New Roman"/>
            <w:color w:val="000000" w:themeColor="text1"/>
            <w:sz w:val="20"/>
            <w:szCs w:val="20"/>
            <w:u w:val="none"/>
            <w:lang w:val="en-US"/>
          </w:rPr>
          <w:t>https://doi.org/10.1038/nnano.2013.241</w:t>
        </w:r>
      </w:hyperlink>
    </w:p>
    <w:p w14:paraId="7A454AC0" w14:textId="465F7839" w:rsidR="008B65C5" w:rsidRPr="00AD0008" w:rsidRDefault="008B65C5" w:rsidP="008C0AB7">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Demidov, V.E., </w:t>
      </w:r>
      <w:proofErr w:type="spellStart"/>
      <w:r w:rsidRPr="00AD0008">
        <w:rPr>
          <w:rFonts w:ascii="Times New Roman" w:hAnsi="Times New Roman"/>
          <w:color w:val="000000" w:themeColor="text1"/>
          <w:sz w:val="20"/>
          <w:szCs w:val="20"/>
          <w:lang w:val="en-US"/>
        </w:rPr>
        <w:t>Urazhdin</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Ulrichs</w:t>
      </w:r>
      <w:proofErr w:type="spellEnd"/>
      <w:r w:rsidRPr="00AD0008">
        <w:rPr>
          <w:rFonts w:ascii="Times New Roman" w:hAnsi="Times New Roman"/>
          <w:color w:val="000000" w:themeColor="text1"/>
          <w:sz w:val="20"/>
          <w:szCs w:val="20"/>
          <w:lang w:val="en-US"/>
        </w:rPr>
        <w:t xml:space="preserve">, H., </w:t>
      </w:r>
      <w:proofErr w:type="spellStart"/>
      <w:r w:rsidRPr="00AD0008">
        <w:rPr>
          <w:rFonts w:ascii="Times New Roman" w:hAnsi="Times New Roman"/>
          <w:color w:val="000000" w:themeColor="text1"/>
          <w:sz w:val="20"/>
          <w:szCs w:val="20"/>
          <w:lang w:val="en-US"/>
        </w:rPr>
        <w:t>Tiberkevich</w:t>
      </w:r>
      <w:proofErr w:type="spellEnd"/>
      <w:r w:rsidRPr="00AD0008">
        <w:rPr>
          <w:rFonts w:ascii="Times New Roman" w:hAnsi="Times New Roman"/>
          <w:color w:val="000000" w:themeColor="text1"/>
          <w:sz w:val="20"/>
          <w:szCs w:val="20"/>
          <w:lang w:val="en-US"/>
        </w:rPr>
        <w:t xml:space="preserve">, V., </w:t>
      </w:r>
      <w:proofErr w:type="spellStart"/>
      <w:r w:rsidRPr="00AD0008">
        <w:rPr>
          <w:rFonts w:ascii="Times New Roman" w:hAnsi="Times New Roman"/>
          <w:color w:val="000000" w:themeColor="text1"/>
          <w:sz w:val="20"/>
          <w:szCs w:val="20"/>
          <w:lang w:val="en-US"/>
        </w:rPr>
        <w:t>Slavin</w:t>
      </w:r>
      <w:proofErr w:type="spellEnd"/>
      <w:r w:rsidRPr="00AD0008">
        <w:rPr>
          <w:rFonts w:ascii="Times New Roman" w:hAnsi="Times New Roman"/>
          <w:color w:val="000000" w:themeColor="text1"/>
          <w:sz w:val="20"/>
          <w:szCs w:val="20"/>
          <w:lang w:val="en-US"/>
        </w:rPr>
        <w:t xml:space="preserve">, A., </w:t>
      </w:r>
      <w:proofErr w:type="spellStart"/>
      <w:r w:rsidRPr="00AD0008">
        <w:rPr>
          <w:rFonts w:ascii="Times New Roman" w:hAnsi="Times New Roman"/>
          <w:color w:val="000000" w:themeColor="text1"/>
          <w:sz w:val="20"/>
          <w:szCs w:val="20"/>
          <w:lang w:val="en-US"/>
        </w:rPr>
        <w:t>Baither</w:t>
      </w:r>
      <w:proofErr w:type="spellEnd"/>
      <w:r w:rsidRPr="00AD0008">
        <w:rPr>
          <w:rFonts w:ascii="Times New Roman" w:hAnsi="Times New Roman"/>
          <w:color w:val="000000" w:themeColor="text1"/>
          <w:sz w:val="20"/>
          <w:szCs w:val="20"/>
          <w:lang w:val="en-US"/>
        </w:rPr>
        <w:t xml:space="preserve">, D., Schmitz, G., </w:t>
      </w:r>
      <w:proofErr w:type="spellStart"/>
      <w:r w:rsidRPr="00AD0008">
        <w:rPr>
          <w:rFonts w:ascii="Times New Roman" w:hAnsi="Times New Roman"/>
          <w:color w:val="000000" w:themeColor="text1"/>
          <w:sz w:val="20"/>
          <w:szCs w:val="20"/>
          <w:lang w:val="en-US"/>
        </w:rPr>
        <w:t>Demokritov</w:t>
      </w:r>
      <w:proofErr w:type="spellEnd"/>
      <w:r w:rsidRPr="00AD0008">
        <w:rPr>
          <w:rFonts w:ascii="Times New Roman" w:hAnsi="Times New Roman"/>
          <w:color w:val="000000" w:themeColor="text1"/>
          <w:sz w:val="20"/>
          <w:szCs w:val="20"/>
          <w:lang w:val="en-US"/>
        </w:rPr>
        <w:t xml:space="preserve">, S.O. (2012). Magnetic nano-oscillator driven by pure spin current. </w:t>
      </w:r>
      <w:r w:rsidRPr="00AD0008">
        <w:rPr>
          <w:rFonts w:ascii="Times New Roman" w:hAnsi="Times New Roman"/>
          <w:i/>
          <w:iCs/>
          <w:color w:val="000000" w:themeColor="text1"/>
          <w:sz w:val="20"/>
          <w:szCs w:val="20"/>
          <w:lang w:val="en-US"/>
        </w:rPr>
        <w:t>Nature Materials,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11(12)</w:t>
      </w:r>
      <w:r w:rsidRPr="00AD0008">
        <w:rPr>
          <w:rFonts w:ascii="Times New Roman" w:hAnsi="Times New Roman"/>
          <w:color w:val="000000" w:themeColor="text1"/>
          <w:sz w:val="20"/>
          <w:szCs w:val="20"/>
          <w:lang w:val="en-US"/>
        </w:rPr>
        <w:t xml:space="preserve">, 1028-1031. </w:t>
      </w:r>
      <w:hyperlink r:id="rId26" w:history="1">
        <w:r w:rsidRPr="00AD0008">
          <w:rPr>
            <w:rStyle w:val="ab"/>
            <w:rFonts w:ascii="Times New Roman" w:hAnsi="Times New Roman"/>
            <w:color w:val="000000" w:themeColor="text1"/>
            <w:sz w:val="20"/>
            <w:szCs w:val="20"/>
            <w:u w:val="none"/>
            <w:lang w:val="en-US"/>
          </w:rPr>
          <w:t>https://doi.org/10.1038/nmat3459</w:t>
        </w:r>
      </w:hyperlink>
    </w:p>
    <w:p w14:paraId="4F51A1A8"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Fan, X., Wu, J., Chen, Y., Jerry, M.J., Zhang, H., Xiao, J.Q. (2013). Observation of the nonlocal spin-orbital effective field. </w:t>
      </w:r>
      <w:r w:rsidRPr="00AD0008">
        <w:rPr>
          <w:rFonts w:ascii="Times New Roman" w:hAnsi="Times New Roman"/>
          <w:i/>
          <w:iCs/>
          <w:color w:val="000000" w:themeColor="text1"/>
          <w:sz w:val="20"/>
          <w:szCs w:val="20"/>
          <w:lang w:val="en-US"/>
        </w:rPr>
        <w:t>Nature Communications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4</w:t>
      </w:r>
      <w:r w:rsidRPr="00AD0008">
        <w:rPr>
          <w:rFonts w:ascii="Times New Roman" w:hAnsi="Times New Roman"/>
          <w:color w:val="000000" w:themeColor="text1"/>
          <w:sz w:val="20"/>
          <w:szCs w:val="20"/>
          <w:lang w:val="en-US"/>
        </w:rPr>
        <w:t xml:space="preserve">, 1799. </w:t>
      </w:r>
      <w:hyperlink r:id="rId27" w:history="1">
        <w:r w:rsidRPr="00AD0008">
          <w:rPr>
            <w:rStyle w:val="ab"/>
            <w:rFonts w:ascii="Times New Roman" w:hAnsi="Times New Roman"/>
            <w:color w:val="000000" w:themeColor="text1"/>
            <w:sz w:val="20"/>
            <w:szCs w:val="20"/>
            <w:u w:val="none"/>
            <w:lang w:val="en-US"/>
          </w:rPr>
          <w:t>https://doi.org/10.1038/ncomms2709</w:t>
        </w:r>
      </w:hyperlink>
    </w:p>
    <w:p w14:paraId="09B39841" w14:textId="77777777" w:rsidR="008B65C5" w:rsidRPr="00AD0008" w:rsidRDefault="008B65C5" w:rsidP="00775F51">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Gulyamov</w:t>
      </w:r>
      <w:proofErr w:type="spellEnd"/>
      <w:r w:rsidRPr="00AD0008">
        <w:rPr>
          <w:rFonts w:ascii="Times New Roman" w:hAnsi="Times New Roman"/>
          <w:color w:val="000000" w:themeColor="text1"/>
          <w:sz w:val="20"/>
          <w:szCs w:val="20"/>
          <w:lang w:val="en-US"/>
        </w:rPr>
        <w:t xml:space="preserve">, G., </w:t>
      </w:r>
      <w:proofErr w:type="spellStart"/>
      <w:r w:rsidRPr="00AD0008">
        <w:rPr>
          <w:rFonts w:ascii="Times New Roman" w:hAnsi="Times New Roman"/>
          <w:color w:val="000000" w:themeColor="text1"/>
          <w:sz w:val="20"/>
          <w:szCs w:val="20"/>
          <w:lang w:val="en-US"/>
        </w:rPr>
        <w:t>Erkaboev</w:t>
      </w:r>
      <w:proofErr w:type="spellEnd"/>
      <w:r w:rsidRPr="00AD0008">
        <w:rPr>
          <w:rFonts w:ascii="Times New Roman" w:hAnsi="Times New Roman"/>
          <w:color w:val="000000" w:themeColor="text1"/>
          <w:sz w:val="20"/>
          <w:szCs w:val="20"/>
          <w:lang w:val="en-US"/>
        </w:rPr>
        <w:t xml:space="preserve">, U.I.,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xml:space="preserve">, R.G., </w:t>
      </w:r>
      <w:proofErr w:type="spellStart"/>
      <w:r w:rsidRPr="00AD0008">
        <w:rPr>
          <w:rFonts w:ascii="Times New Roman" w:hAnsi="Times New Roman"/>
          <w:color w:val="000000" w:themeColor="text1"/>
          <w:sz w:val="20"/>
          <w:szCs w:val="20"/>
          <w:lang w:val="en-US"/>
        </w:rPr>
        <w:t>Mirzaev</w:t>
      </w:r>
      <w:proofErr w:type="spellEnd"/>
      <w:r w:rsidRPr="00AD0008">
        <w:rPr>
          <w:rFonts w:ascii="Times New Roman" w:hAnsi="Times New Roman"/>
          <w:color w:val="000000" w:themeColor="text1"/>
          <w:sz w:val="20"/>
          <w:szCs w:val="20"/>
          <w:lang w:val="en-US"/>
        </w:rPr>
        <w:t xml:space="preserve">, J.I., </w:t>
      </w:r>
      <w:proofErr w:type="spellStart"/>
      <w:r w:rsidRPr="00AD0008">
        <w:rPr>
          <w:rFonts w:ascii="Times New Roman" w:hAnsi="Times New Roman"/>
          <w:color w:val="000000" w:themeColor="text1"/>
          <w:sz w:val="20"/>
          <w:szCs w:val="20"/>
          <w:lang w:val="en-US"/>
        </w:rPr>
        <w:t>Sayidov</w:t>
      </w:r>
      <w:proofErr w:type="spellEnd"/>
      <w:r w:rsidRPr="00AD0008">
        <w:rPr>
          <w:rFonts w:ascii="Times New Roman" w:hAnsi="Times New Roman"/>
          <w:color w:val="000000" w:themeColor="text1"/>
          <w:sz w:val="20"/>
          <w:szCs w:val="20"/>
          <w:lang w:val="en-US"/>
        </w:rPr>
        <w:t xml:space="preserve"> N.A. (2023). Determination of the dependence of the two-dimensional combined density of states on external factors in quantum-dimensional heterostructures. </w:t>
      </w:r>
      <w:r w:rsidRPr="00AD0008">
        <w:rPr>
          <w:rFonts w:ascii="Times New Roman" w:hAnsi="Times New Roman"/>
          <w:i/>
          <w:iCs/>
          <w:color w:val="000000" w:themeColor="text1"/>
          <w:sz w:val="20"/>
          <w:szCs w:val="20"/>
          <w:lang w:val="en-US"/>
        </w:rPr>
        <w:t>Modern Physics Letters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37(10)</w:t>
      </w:r>
      <w:r w:rsidRPr="00AD0008">
        <w:rPr>
          <w:rFonts w:ascii="Times New Roman" w:hAnsi="Times New Roman"/>
          <w:color w:val="000000" w:themeColor="text1"/>
          <w:sz w:val="20"/>
          <w:szCs w:val="20"/>
          <w:lang w:val="en-US"/>
        </w:rPr>
        <w:t xml:space="preserve">, 2350015. </w:t>
      </w:r>
      <w:hyperlink r:id="rId28" w:history="1">
        <w:r w:rsidRPr="00AD0008">
          <w:rPr>
            <w:rStyle w:val="ab"/>
            <w:rFonts w:ascii="Times New Roman" w:hAnsi="Times New Roman"/>
            <w:color w:val="000000" w:themeColor="text1"/>
            <w:sz w:val="20"/>
            <w:szCs w:val="20"/>
            <w:u w:val="none"/>
            <w:lang w:val="en-US"/>
          </w:rPr>
          <w:t>https://doi.org/10.1142/S021798492350015X</w:t>
        </w:r>
      </w:hyperlink>
    </w:p>
    <w:p w14:paraId="49E4B082" w14:textId="03399E8B" w:rsidR="008B65C5" w:rsidRPr="00AD0008" w:rsidRDefault="008B65C5" w:rsidP="00920D78">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Arun, R., Gopal, R., Chandrasekar, V.K., Lakshmanan, M. (2023). High-frequency oscillations in a spin-torque nano-oscillator due to bilinear coupling. </w:t>
      </w:r>
      <w:r w:rsidRPr="00AD0008">
        <w:rPr>
          <w:rFonts w:ascii="Times New Roman" w:hAnsi="Times New Roman"/>
          <w:i/>
          <w:iCs/>
          <w:color w:val="000000" w:themeColor="text1"/>
          <w:sz w:val="20"/>
          <w:szCs w:val="20"/>
          <w:lang w:val="en-US"/>
        </w:rPr>
        <w:t>Physical Review B, 107</w:t>
      </w:r>
      <w:r w:rsidRPr="00AD0008">
        <w:rPr>
          <w:rFonts w:ascii="Times New Roman" w:hAnsi="Times New Roman"/>
          <w:color w:val="000000" w:themeColor="text1"/>
          <w:sz w:val="20"/>
          <w:szCs w:val="20"/>
          <w:lang w:val="en-US"/>
        </w:rPr>
        <w:t xml:space="preserve">, 224434. </w:t>
      </w:r>
      <w:hyperlink r:id="rId29" w:history="1">
        <w:r w:rsidRPr="00AD0008">
          <w:rPr>
            <w:rStyle w:val="ab"/>
            <w:rFonts w:ascii="Times New Roman" w:hAnsi="Times New Roman"/>
            <w:color w:val="000000" w:themeColor="text1"/>
            <w:sz w:val="20"/>
            <w:szCs w:val="20"/>
            <w:u w:val="none"/>
            <w:lang w:val="en-US"/>
          </w:rPr>
          <w:t>https://doi.org/10.1103/PhysRevB.107.224434</w:t>
        </w:r>
      </w:hyperlink>
    </w:p>
    <w:p w14:paraId="65543C39" w14:textId="283788B6" w:rsidR="008B65C5" w:rsidRPr="00AD0008" w:rsidRDefault="008B65C5" w:rsidP="00FC58A7">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Erkaboev</w:t>
      </w:r>
      <w:proofErr w:type="spellEnd"/>
      <w:r w:rsidRPr="00AD0008">
        <w:rPr>
          <w:rFonts w:ascii="Times New Roman" w:hAnsi="Times New Roman"/>
          <w:color w:val="000000" w:themeColor="text1"/>
          <w:sz w:val="20"/>
          <w:szCs w:val="20"/>
          <w:lang w:val="en-US"/>
        </w:rPr>
        <w:t xml:space="preserve">, U.I.,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xml:space="preserve">, R.G., </w:t>
      </w:r>
      <w:proofErr w:type="spellStart"/>
      <w:r w:rsidRPr="00AD0008">
        <w:rPr>
          <w:rFonts w:ascii="Times New Roman" w:hAnsi="Times New Roman"/>
          <w:color w:val="000000" w:themeColor="text1"/>
          <w:sz w:val="20"/>
          <w:szCs w:val="20"/>
          <w:lang w:val="en-US"/>
        </w:rPr>
        <w:t>Sayidov</w:t>
      </w:r>
      <w:proofErr w:type="spellEnd"/>
      <w:r w:rsidRPr="00AD0008">
        <w:rPr>
          <w:rFonts w:ascii="Times New Roman" w:hAnsi="Times New Roman"/>
          <w:color w:val="000000" w:themeColor="text1"/>
          <w:sz w:val="20"/>
          <w:szCs w:val="20"/>
          <w:lang w:val="en-US"/>
        </w:rPr>
        <w:t xml:space="preserve">, N.A. &amp; </w:t>
      </w:r>
      <w:proofErr w:type="spellStart"/>
      <w:r w:rsidRPr="00AD0008">
        <w:rPr>
          <w:rFonts w:ascii="Times New Roman" w:hAnsi="Times New Roman"/>
          <w:color w:val="000000" w:themeColor="text1"/>
          <w:sz w:val="20"/>
          <w:szCs w:val="20"/>
          <w:lang w:val="en-US"/>
        </w:rPr>
        <w:t>Mirzaev</w:t>
      </w:r>
      <w:proofErr w:type="spellEnd"/>
      <w:r w:rsidRPr="00AD0008">
        <w:rPr>
          <w:rFonts w:ascii="Times New Roman" w:hAnsi="Times New Roman"/>
          <w:color w:val="000000" w:themeColor="text1"/>
          <w:sz w:val="20"/>
          <w:szCs w:val="20"/>
          <w:lang w:val="en-US"/>
        </w:rPr>
        <w:t xml:space="preserve">, J. I. (2022). Modeling the temperature dependence of the density oscillation of energy states in two-dimensional electronic gases under the impact of a longitudinal and transversal quantum magnetic fields. </w:t>
      </w:r>
      <w:r w:rsidRPr="00AD0008">
        <w:rPr>
          <w:rFonts w:ascii="Times New Roman" w:hAnsi="Times New Roman"/>
          <w:i/>
          <w:iCs/>
          <w:color w:val="000000" w:themeColor="text1"/>
          <w:sz w:val="20"/>
          <w:szCs w:val="20"/>
          <w:lang w:val="en-US"/>
        </w:rPr>
        <w:t>Indian Journal of Physics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97</w:t>
      </w:r>
      <w:r w:rsidRPr="00AD0008">
        <w:rPr>
          <w:rFonts w:ascii="Times New Roman" w:hAnsi="Times New Roman"/>
          <w:color w:val="000000" w:themeColor="text1"/>
          <w:sz w:val="20"/>
          <w:szCs w:val="20"/>
          <w:lang w:val="en-US"/>
        </w:rPr>
        <w:t xml:space="preserve">, 1061-1070. </w:t>
      </w:r>
      <w:hyperlink r:id="rId30" w:history="1">
        <w:r w:rsidRPr="00AD0008">
          <w:rPr>
            <w:rStyle w:val="ab"/>
            <w:rFonts w:ascii="Times New Roman" w:hAnsi="Times New Roman"/>
            <w:color w:val="000000" w:themeColor="text1"/>
            <w:sz w:val="20"/>
            <w:szCs w:val="20"/>
            <w:u w:val="none"/>
            <w:lang w:val="en-US"/>
          </w:rPr>
          <w:t>https://doi.org/10.1007/s12648-022-02435-8</w:t>
        </w:r>
      </w:hyperlink>
    </w:p>
    <w:p w14:paraId="6B973E1B"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Deng, K., Li, X., </w:t>
      </w:r>
      <w:proofErr w:type="spellStart"/>
      <w:r w:rsidRPr="00AD0008">
        <w:rPr>
          <w:rFonts w:ascii="Times New Roman" w:hAnsi="Times New Roman"/>
          <w:color w:val="000000" w:themeColor="text1"/>
          <w:sz w:val="20"/>
          <w:szCs w:val="20"/>
          <w:lang w:val="en-US"/>
        </w:rPr>
        <w:t>Flebus</w:t>
      </w:r>
      <w:proofErr w:type="spellEnd"/>
      <w:r w:rsidRPr="00AD0008">
        <w:rPr>
          <w:rFonts w:ascii="Times New Roman" w:hAnsi="Times New Roman"/>
          <w:color w:val="000000" w:themeColor="text1"/>
          <w:sz w:val="20"/>
          <w:szCs w:val="20"/>
          <w:lang w:val="en-US"/>
        </w:rPr>
        <w:t xml:space="preserve">, B. (2023). Exceptional points as signatures of dynamical magnetic phase transitions.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107</w:t>
      </w:r>
      <w:r w:rsidRPr="00AD0008">
        <w:rPr>
          <w:rFonts w:ascii="Times New Roman" w:hAnsi="Times New Roman"/>
          <w:color w:val="000000" w:themeColor="text1"/>
          <w:sz w:val="20"/>
          <w:szCs w:val="20"/>
          <w:lang w:val="en-US"/>
        </w:rPr>
        <w:t xml:space="preserve">, L100402.  </w:t>
      </w:r>
      <w:hyperlink r:id="rId31" w:history="1">
        <w:r w:rsidRPr="00AD0008">
          <w:rPr>
            <w:rStyle w:val="ab"/>
            <w:rFonts w:ascii="Times New Roman" w:hAnsi="Times New Roman"/>
            <w:color w:val="000000" w:themeColor="text1"/>
            <w:sz w:val="20"/>
            <w:szCs w:val="20"/>
            <w:u w:val="none"/>
            <w:lang w:val="en-US"/>
          </w:rPr>
          <w:t>https://doi.org/10.1103/PhysRevB.107.L100402</w:t>
        </w:r>
      </w:hyperlink>
    </w:p>
    <w:p w14:paraId="5A9DE514" w14:textId="42B5C0D3" w:rsidR="008B65C5" w:rsidRPr="00AD0008" w:rsidRDefault="008B65C5" w:rsidP="00862DBD">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Yamaguchi, T., </w:t>
      </w:r>
      <w:proofErr w:type="spellStart"/>
      <w:r w:rsidRPr="00AD0008">
        <w:rPr>
          <w:rFonts w:ascii="Times New Roman" w:hAnsi="Times New Roman"/>
          <w:color w:val="000000" w:themeColor="text1"/>
          <w:sz w:val="20"/>
          <w:szCs w:val="20"/>
          <w:lang w:val="en-US"/>
        </w:rPr>
        <w:t>Tsunegi</w:t>
      </w:r>
      <w:proofErr w:type="spellEnd"/>
      <w:r w:rsidRPr="00AD0008">
        <w:rPr>
          <w:rFonts w:ascii="Times New Roman" w:hAnsi="Times New Roman"/>
          <w:color w:val="000000" w:themeColor="text1"/>
          <w:sz w:val="20"/>
          <w:szCs w:val="20"/>
          <w:lang w:val="en-US"/>
        </w:rPr>
        <w:t xml:space="preserve">, S., Nakajima, K., Taniguchi, T. (2023). Computational capability for physical reservoir computing using a spin-torque oscillator with two free layers.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107</w:t>
      </w:r>
      <w:r w:rsidRPr="00AD0008">
        <w:rPr>
          <w:rFonts w:ascii="Times New Roman" w:hAnsi="Times New Roman"/>
          <w:color w:val="000000" w:themeColor="text1"/>
          <w:sz w:val="20"/>
          <w:szCs w:val="20"/>
          <w:lang w:val="en-US"/>
        </w:rPr>
        <w:t xml:space="preserve">, 054406. </w:t>
      </w:r>
      <w:hyperlink r:id="rId32" w:history="1">
        <w:r w:rsidRPr="00AD0008">
          <w:rPr>
            <w:rStyle w:val="ab"/>
            <w:rFonts w:ascii="Times New Roman" w:hAnsi="Times New Roman"/>
            <w:color w:val="000000" w:themeColor="text1"/>
            <w:sz w:val="20"/>
            <w:szCs w:val="20"/>
            <w:u w:val="none"/>
            <w:lang w:val="en-US"/>
          </w:rPr>
          <w:t>https://doi.org/10.1103/PhysRevB.107.054406</w:t>
        </w:r>
      </w:hyperlink>
    </w:p>
    <w:p w14:paraId="766A22E7" w14:textId="1132A48F" w:rsidR="008B65C5" w:rsidRPr="00AD0008" w:rsidRDefault="00775F51" w:rsidP="00775F51">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Beknazarova</w:t>
      </w:r>
      <w:proofErr w:type="spellEnd"/>
      <w:r w:rsidRPr="00AD0008">
        <w:rPr>
          <w:rFonts w:ascii="Times New Roman" w:hAnsi="Times New Roman"/>
          <w:color w:val="000000" w:themeColor="text1"/>
          <w:sz w:val="20"/>
          <w:szCs w:val="20"/>
          <w:lang w:val="en-US"/>
        </w:rPr>
        <w:t xml:space="preserve">, S., Abdullayev, S., </w:t>
      </w:r>
      <w:proofErr w:type="spellStart"/>
      <w:r w:rsidRPr="00AD0008">
        <w:rPr>
          <w:rFonts w:ascii="Times New Roman" w:hAnsi="Times New Roman"/>
          <w:color w:val="000000" w:themeColor="text1"/>
          <w:sz w:val="20"/>
          <w:szCs w:val="20"/>
          <w:lang w:val="en-US"/>
        </w:rPr>
        <w:t>Abdullayeva</w:t>
      </w:r>
      <w:proofErr w:type="spellEnd"/>
      <w:r w:rsidRPr="00AD0008">
        <w:rPr>
          <w:rFonts w:ascii="Times New Roman" w:hAnsi="Times New Roman"/>
          <w:color w:val="000000" w:themeColor="text1"/>
          <w:sz w:val="20"/>
          <w:szCs w:val="20"/>
          <w:lang w:val="en-US"/>
        </w:rPr>
        <w:t xml:space="preserve">, O., &amp; Abdullayev, Z. (2024). Machine learning method for predicting human movements. AIP Conference Proceedings, 3244, 030036. </w:t>
      </w:r>
      <w:hyperlink r:id="rId33" w:history="1">
        <w:r w:rsidRPr="00AD0008">
          <w:rPr>
            <w:rStyle w:val="ab"/>
            <w:rFonts w:ascii="Times New Roman" w:hAnsi="Times New Roman"/>
            <w:color w:val="000000" w:themeColor="text1"/>
            <w:sz w:val="20"/>
            <w:szCs w:val="20"/>
            <w:u w:val="none"/>
            <w:lang w:val="en-US"/>
          </w:rPr>
          <w:t>https://doi.org/10.1063/5.0242100</w:t>
        </w:r>
      </w:hyperlink>
      <w:r w:rsidRPr="00AD0008">
        <w:rPr>
          <w:rFonts w:ascii="Times New Roman" w:hAnsi="Times New Roman"/>
          <w:color w:val="000000" w:themeColor="text1"/>
          <w:sz w:val="20"/>
          <w:szCs w:val="20"/>
          <w:lang w:val="en-US"/>
        </w:rPr>
        <w:t xml:space="preserve"> </w:t>
      </w:r>
    </w:p>
    <w:p w14:paraId="60C9F4AC"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Liu, C., </w:t>
      </w:r>
      <w:proofErr w:type="spellStart"/>
      <w:r w:rsidRPr="00AD0008">
        <w:rPr>
          <w:rFonts w:ascii="Times New Roman" w:hAnsi="Times New Roman"/>
          <w:color w:val="000000" w:themeColor="text1"/>
          <w:sz w:val="20"/>
          <w:szCs w:val="20"/>
          <w:lang w:val="en-US"/>
        </w:rPr>
        <w:t>Kurokawa</w:t>
      </w:r>
      <w:proofErr w:type="spellEnd"/>
      <w:r w:rsidRPr="00AD0008">
        <w:rPr>
          <w:rFonts w:ascii="Times New Roman" w:hAnsi="Times New Roman"/>
          <w:color w:val="000000" w:themeColor="text1"/>
          <w:sz w:val="20"/>
          <w:szCs w:val="20"/>
          <w:lang w:val="en-US"/>
        </w:rPr>
        <w:t xml:space="preserve">, Y., Hashimoto, N., Tanaka, T., Yuasa, H. (2023). High-frequency spin torque oscillation in orthogonal magnetization disks with strong biquadratic magnetic coupling. </w:t>
      </w:r>
      <w:r w:rsidRPr="00AD0008">
        <w:rPr>
          <w:rFonts w:ascii="Times New Roman" w:hAnsi="Times New Roman"/>
          <w:i/>
          <w:iCs/>
          <w:color w:val="000000" w:themeColor="text1"/>
          <w:sz w:val="20"/>
          <w:szCs w:val="20"/>
          <w:lang w:val="en-US"/>
        </w:rPr>
        <w:t>Scientific Reports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13</w:t>
      </w:r>
      <w:r w:rsidRPr="00AD0008">
        <w:rPr>
          <w:rFonts w:ascii="Times New Roman" w:hAnsi="Times New Roman"/>
          <w:color w:val="000000" w:themeColor="text1"/>
          <w:sz w:val="20"/>
          <w:szCs w:val="20"/>
          <w:lang w:val="en-US"/>
        </w:rPr>
        <w:t xml:space="preserve">, 3631. </w:t>
      </w:r>
      <w:hyperlink r:id="rId34" w:history="1">
        <w:r w:rsidRPr="00AD0008">
          <w:rPr>
            <w:rStyle w:val="ab"/>
            <w:rFonts w:ascii="Times New Roman" w:hAnsi="Times New Roman"/>
            <w:color w:val="000000" w:themeColor="text1"/>
            <w:sz w:val="20"/>
            <w:szCs w:val="20"/>
            <w:u w:val="none"/>
            <w:lang w:val="en-US"/>
          </w:rPr>
          <w:t>https://doi.org/10.1038/s41598-023-30838-y</w:t>
        </w:r>
      </w:hyperlink>
    </w:p>
    <w:p w14:paraId="3EBC54F5" w14:textId="2BF5F904" w:rsidR="008B65C5" w:rsidRPr="00AD0008" w:rsidRDefault="00775F51" w:rsidP="00775F51">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Mirsaidov</w:t>
      </w:r>
      <w:proofErr w:type="spellEnd"/>
      <w:r w:rsidRPr="00AD0008">
        <w:rPr>
          <w:rFonts w:ascii="Times New Roman" w:hAnsi="Times New Roman"/>
          <w:color w:val="000000" w:themeColor="text1"/>
          <w:sz w:val="20"/>
          <w:szCs w:val="20"/>
          <w:lang w:val="en-US"/>
        </w:rPr>
        <w:t xml:space="preserve">, M., </w:t>
      </w:r>
      <w:proofErr w:type="spellStart"/>
      <w:r w:rsidRPr="00AD0008">
        <w:rPr>
          <w:rFonts w:ascii="Times New Roman" w:hAnsi="Times New Roman"/>
          <w:color w:val="000000" w:themeColor="text1"/>
          <w:sz w:val="20"/>
          <w:szCs w:val="20"/>
          <w:lang w:val="en-US"/>
        </w:rPr>
        <w:t>Matkarimov</w:t>
      </w:r>
      <w:proofErr w:type="spellEnd"/>
      <w:r w:rsidRPr="00AD0008">
        <w:rPr>
          <w:rFonts w:ascii="Times New Roman" w:hAnsi="Times New Roman"/>
          <w:color w:val="000000" w:themeColor="text1"/>
          <w:sz w:val="20"/>
          <w:szCs w:val="20"/>
          <w:lang w:val="en-US"/>
        </w:rPr>
        <w:t xml:space="preserve">, P., &amp; </w:t>
      </w:r>
      <w:proofErr w:type="spellStart"/>
      <w:r w:rsidRPr="00AD0008">
        <w:rPr>
          <w:rFonts w:ascii="Times New Roman" w:hAnsi="Times New Roman"/>
          <w:color w:val="000000" w:themeColor="text1"/>
          <w:sz w:val="20"/>
          <w:szCs w:val="20"/>
          <w:lang w:val="en-US"/>
        </w:rPr>
        <w:t>Juraev</w:t>
      </w:r>
      <w:proofErr w:type="spellEnd"/>
      <w:r w:rsidRPr="00AD0008">
        <w:rPr>
          <w:rFonts w:ascii="Times New Roman" w:hAnsi="Times New Roman"/>
          <w:color w:val="000000" w:themeColor="text1"/>
          <w:sz w:val="20"/>
          <w:szCs w:val="20"/>
          <w:lang w:val="en-US"/>
        </w:rPr>
        <w:t xml:space="preserve">, D. (2025). Assessment of stress-strain state of earth dams considering the spatial operation of structures. AIP Conference Proceedings, 3282, 050020. </w:t>
      </w:r>
      <w:hyperlink r:id="rId35" w:history="1">
        <w:r w:rsidRPr="00AD0008">
          <w:rPr>
            <w:rStyle w:val="ab"/>
            <w:rFonts w:ascii="Times New Roman" w:hAnsi="Times New Roman"/>
            <w:color w:val="000000" w:themeColor="text1"/>
            <w:sz w:val="20"/>
            <w:szCs w:val="20"/>
            <w:u w:val="none"/>
            <w:lang w:val="en-US"/>
          </w:rPr>
          <w:t>https://doi.org/10.1063/5.0265149</w:t>
        </w:r>
      </w:hyperlink>
      <w:r w:rsidRPr="00AD0008">
        <w:rPr>
          <w:rFonts w:ascii="Times New Roman" w:hAnsi="Times New Roman"/>
          <w:color w:val="000000" w:themeColor="text1"/>
          <w:sz w:val="20"/>
          <w:szCs w:val="20"/>
          <w:lang w:val="en-US"/>
        </w:rPr>
        <w:t xml:space="preserve"> </w:t>
      </w:r>
    </w:p>
    <w:p w14:paraId="50144CC5" w14:textId="321ADBC6"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Sochnikov</w:t>
      </w:r>
      <w:proofErr w:type="spellEnd"/>
      <w:r w:rsidRPr="00AD0008">
        <w:rPr>
          <w:rFonts w:ascii="Times New Roman" w:hAnsi="Times New Roman"/>
          <w:color w:val="000000" w:themeColor="text1"/>
          <w:sz w:val="20"/>
          <w:szCs w:val="20"/>
          <w:lang w:val="en-US"/>
        </w:rPr>
        <w:t xml:space="preserve">, I., </w:t>
      </w:r>
      <w:proofErr w:type="spellStart"/>
      <w:r w:rsidRPr="00AD0008">
        <w:rPr>
          <w:rFonts w:ascii="Times New Roman" w:hAnsi="Times New Roman"/>
          <w:color w:val="000000" w:themeColor="text1"/>
          <w:sz w:val="20"/>
          <w:szCs w:val="20"/>
          <w:lang w:val="en-US"/>
        </w:rPr>
        <w:t>Shaulov</w:t>
      </w:r>
      <w:proofErr w:type="spellEnd"/>
      <w:r w:rsidRPr="00AD0008">
        <w:rPr>
          <w:rFonts w:ascii="Times New Roman" w:hAnsi="Times New Roman"/>
          <w:color w:val="000000" w:themeColor="text1"/>
          <w:sz w:val="20"/>
          <w:szCs w:val="20"/>
          <w:lang w:val="en-US"/>
        </w:rPr>
        <w:t xml:space="preserve">, A., Yeshurun, Y., </w:t>
      </w:r>
      <w:proofErr w:type="spellStart"/>
      <w:r w:rsidRPr="00AD0008">
        <w:rPr>
          <w:rFonts w:ascii="Times New Roman" w:hAnsi="Times New Roman"/>
          <w:color w:val="000000" w:themeColor="text1"/>
          <w:sz w:val="20"/>
          <w:szCs w:val="20"/>
          <w:lang w:val="en-US"/>
        </w:rPr>
        <w:t>Logvenov</w:t>
      </w:r>
      <w:proofErr w:type="spellEnd"/>
      <w:r w:rsidRPr="00AD0008">
        <w:rPr>
          <w:rFonts w:ascii="Times New Roman" w:hAnsi="Times New Roman"/>
          <w:color w:val="000000" w:themeColor="text1"/>
          <w:sz w:val="20"/>
          <w:szCs w:val="20"/>
          <w:lang w:val="en-US"/>
        </w:rPr>
        <w:t xml:space="preserve"> G., </w:t>
      </w:r>
      <w:proofErr w:type="spellStart"/>
      <w:r w:rsidRPr="00AD0008">
        <w:rPr>
          <w:rFonts w:ascii="Times New Roman" w:hAnsi="Times New Roman"/>
          <w:color w:val="000000" w:themeColor="text1"/>
          <w:sz w:val="20"/>
          <w:szCs w:val="20"/>
          <w:lang w:val="en-US"/>
        </w:rPr>
        <w:t>Bozˇovic</w:t>
      </w:r>
      <w:proofErr w:type="spellEnd"/>
      <w:r w:rsidRPr="00AD0008">
        <w:rPr>
          <w:rFonts w:ascii="Times New Roman" w:hAnsi="Times New Roman"/>
          <w:color w:val="000000" w:themeColor="text1"/>
          <w:sz w:val="20"/>
          <w:szCs w:val="20"/>
          <w:lang w:val="en-US"/>
        </w:rPr>
        <w:t xml:space="preserve">’, I. (2010). Large oscillations of the magnetoresistance in nanopatterned </w:t>
      </w:r>
      <w:proofErr w:type="spellStart"/>
      <w:r w:rsidRPr="00AD0008">
        <w:rPr>
          <w:rFonts w:ascii="Times New Roman" w:hAnsi="Times New Roman"/>
          <w:color w:val="000000" w:themeColor="text1"/>
          <w:sz w:val="20"/>
          <w:szCs w:val="20"/>
          <w:lang w:val="en-US"/>
        </w:rPr>
        <w:t>hightemperature</w:t>
      </w:r>
      <w:proofErr w:type="spellEnd"/>
      <w:r w:rsidRPr="00AD0008">
        <w:rPr>
          <w:rFonts w:ascii="Times New Roman" w:hAnsi="Times New Roman"/>
          <w:color w:val="000000" w:themeColor="text1"/>
          <w:sz w:val="20"/>
          <w:szCs w:val="20"/>
          <w:lang w:val="en-US"/>
        </w:rPr>
        <w:t xml:space="preserve"> superconducting films. </w:t>
      </w:r>
      <w:r w:rsidRPr="00AD0008">
        <w:rPr>
          <w:rFonts w:ascii="Times New Roman" w:hAnsi="Times New Roman"/>
          <w:i/>
          <w:iCs/>
          <w:color w:val="000000" w:themeColor="text1"/>
          <w:sz w:val="20"/>
          <w:szCs w:val="20"/>
          <w:lang w:val="en-US"/>
        </w:rPr>
        <w:t>Nature Nanotechnology</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5</w:t>
      </w:r>
      <w:r w:rsidRPr="00AD0008">
        <w:rPr>
          <w:rFonts w:ascii="Times New Roman" w:hAnsi="Times New Roman"/>
          <w:color w:val="000000" w:themeColor="text1"/>
          <w:sz w:val="20"/>
          <w:szCs w:val="20"/>
          <w:lang w:val="en-US"/>
        </w:rPr>
        <w:t xml:space="preserve">, 516-519. </w:t>
      </w:r>
      <w:hyperlink r:id="rId36" w:history="1">
        <w:r w:rsidRPr="00AD0008">
          <w:rPr>
            <w:rStyle w:val="ab"/>
            <w:rFonts w:ascii="Times New Roman" w:hAnsi="Times New Roman"/>
            <w:color w:val="000000" w:themeColor="text1"/>
            <w:sz w:val="20"/>
            <w:szCs w:val="20"/>
            <w:u w:val="none"/>
            <w:lang w:val="en-US"/>
          </w:rPr>
          <w:t>https://doi.org/10.1038/nnano.2010.111</w:t>
        </w:r>
      </w:hyperlink>
    </w:p>
    <w:p w14:paraId="35D1F63C" w14:textId="6D71B4A5" w:rsidR="008B65C5" w:rsidRPr="00AD0008" w:rsidRDefault="00327324"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Ismanova</w:t>
      </w:r>
      <w:proofErr w:type="spellEnd"/>
      <w:r w:rsidRPr="00AD0008">
        <w:rPr>
          <w:rFonts w:ascii="Times New Roman" w:hAnsi="Times New Roman"/>
          <w:color w:val="000000" w:themeColor="text1"/>
          <w:sz w:val="20"/>
          <w:szCs w:val="20"/>
          <w:lang w:val="en-US"/>
        </w:rPr>
        <w:t xml:space="preserve">, K., </w:t>
      </w:r>
      <w:proofErr w:type="spellStart"/>
      <w:r w:rsidRPr="00AD0008">
        <w:rPr>
          <w:rFonts w:ascii="Times New Roman" w:hAnsi="Times New Roman"/>
          <w:color w:val="000000" w:themeColor="text1"/>
          <w:sz w:val="20"/>
          <w:szCs w:val="20"/>
          <w:lang w:val="en-US"/>
        </w:rPr>
        <w:t>Isomaddinov</w:t>
      </w:r>
      <w:proofErr w:type="spellEnd"/>
      <w:r w:rsidRPr="00AD0008">
        <w:rPr>
          <w:rFonts w:ascii="Times New Roman" w:hAnsi="Times New Roman"/>
          <w:color w:val="000000" w:themeColor="text1"/>
          <w:sz w:val="20"/>
          <w:szCs w:val="20"/>
          <w:lang w:val="en-US"/>
        </w:rPr>
        <w:t xml:space="preserve">, U., &amp; </w:t>
      </w:r>
      <w:proofErr w:type="spellStart"/>
      <w:r w:rsidRPr="00AD0008">
        <w:rPr>
          <w:rFonts w:ascii="Times New Roman" w:hAnsi="Times New Roman"/>
          <w:color w:val="000000" w:themeColor="text1"/>
          <w:sz w:val="20"/>
          <w:szCs w:val="20"/>
          <w:lang w:val="en-US"/>
        </w:rPr>
        <w:t>Dedakhanov</w:t>
      </w:r>
      <w:proofErr w:type="spellEnd"/>
      <w:r w:rsidRPr="00AD0008">
        <w:rPr>
          <w:rFonts w:ascii="Times New Roman" w:hAnsi="Times New Roman"/>
          <w:color w:val="000000" w:themeColor="text1"/>
          <w:sz w:val="20"/>
          <w:szCs w:val="20"/>
          <w:lang w:val="en-US"/>
        </w:rPr>
        <w:t xml:space="preserve">, A. (2023). Decision-making models for in-situ leaching process control. AIP Conference Proceedings, 2789, 020006. </w:t>
      </w:r>
      <w:hyperlink r:id="rId37" w:history="1">
        <w:r w:rsidRPr="00AD0008">
          <w:rPr>
            <w:rStyle w:val="ab"/>
            <w:rFonts w:ascii="Times New Roman" w:hAnsi="Times New Roman"/>
            <w:color w:val="000000" w:themeColor="text1"/>
            <w:sz w:val="20"/>
            <w:szCs w:val="20"/>
            <w:u w:val="none"/>
            <w:lang w:val="en-US"/>
          </w:rPr>
          <w:t>https://doi.org/10.1063/5.0145404</w:t>
        </w:r>
      </w:hyperlink>
      <w:r w:rsidRPr="00AD0008">
        <w:rPr>
          <w:rFonts w:ascii="Times New Roman" w:hAnsi="Times New Roman"/>
          <w:color w:val="000000" w:themeColor="text1"/>
          <w:sz w:val="20"/>
          <w:szCs w:val="20"/>
          <w:lang w:val="en-US"/>
        </w:rPr>
        <w:t xml:space="preserve"> </w:t>
      </w:r>
    </w:p>
    <w:p w14:paraId="52E03F60" w14:textId="18BD7934" w:rsidR="008B65C5" w:rsidRPr="00AD0008" w:rsidRDefault="008B65C5" w:rsidP="00AB0882">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Erkaboev</w:t>
      </w:r>
      <w:proofErr w:type="spellEnd"/>
      <w:r w:rsidRPr="00AD0008">
        <w:rPr>
          <w:rFonts w:ascii="Times New Roman" w:hAnsi="Times New Roman"/>
          <w:color w:val="000000" w:themeColor="text1"/>
          <w:sz w:val="20"/>
          <w:szCs w:val="20"/>
          <w:lang w:val="en-US"/>
        </w:rPr>
        <w:t xml:space="preserve">, U.I., </w:t>
      </w:r>
      <w:proofErr w:type="spellStart"/>
      <w:r w:rsidRPr="00AD0008">
        <w:rPr>
          <w:rFonts w:ascii="Times New Roman" w:hAnsi="Times New Roman"/>
          <w:color w:val="000000" w:themeColor="text1"/>
          <w:sz w:val="20"/>
          <w:szCs w:val="20"/>
          <w:lang w:val="en-US"/>
        </w:rPr>
        <w:t>Sayidov</w:t>
      </w:r>
      <w:proofErr w:type="spellEnd"/>
      <w:r w:rsidRPr="00AD0008">
        <w:rPr>
          <w:rFonts w:ascii="Times New Roman" w:hAnsi="Times New Roman"/>
          <w:color w:val="000000" w:themeColor="text1"/>
          <w:sz w:val="20"/>
          <w:szCs w:val="20"/>
          <w:lang w:val="en-US"/>
        </w:rPr>
        <w:t xml:space="preserve">, N.A., </w:t>
      </w:r>
      <w:proofErr w:type="spellStart"/>
      <w:r w:rsidRPr="00AD0008">
        <w:rPr>
          <w:rFonts w:ascii="Times New Roman" w:hAnsi="Times New Roman"/>
          <w:color w:val="000000" w:themeColor="text1"/>
          <w:sz w:val="20"/>
          <w:szCs w:val="20"/>
          <w:lang w:val="en-US"/>
        </w:rPr>
        <w:t>Negmatov</w:t>
      </w:r>
      <w:proofErr w:type="spellEnd"/>
      <w:r w:rsidRPr="00AD0008">
        <w:rPr>
          <w:rFonts w:ascii="Times New Roman" w:hAnsi="Times New Roman"/>
          <w:color w:val="000000" w:themeColor="text1"/>
          <w:sz w:val="20"/>
          <w:szCs w:val="20"/>
          <w:lang w:val="en-US"/>
        </w:rPr>
        <w:t xml:space="preserve">, U.M., </w:t>
      </w:r>
      <w:proofErr w:type="spellStart"/>
      <w:r w:rsidRPr="00AD0008">
        <w:rPr>
          <w:rFonts w:ascii="Times New Roman" w:hAnsi="Times New Roman"/>
          <w:color w:val="000000" w:themeColor="text1"/>
          <w:sz w:val="20"/>
          <w:szCs w:val="20"/>
          <w:lang w:val="en-US"/>
        </w:rPr>
        <w:t>Mirzaev</w:t>
      </w:r>
      <w:proofErr w:type="spellEnd"/>
      <w:r w:rsidRPr="00AD0008">
        <w:rPr>
          <w:rFonts w:ascii="Times New Roman" w:hAnsi="Times New Roman"/>
          <w:color w:val="000000" w:themeColor="text1"/>
          <w:sz w:val="20"/>
          <w:szCs w:val="20"/>
          <w:lang w:val="en-US"/>
        </w:rPr>
        <w:t xml:space="preserve"> J.I.,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R.G. (2023). Influence temperature and strong magnetic field on oscillations of density of energy states in heterostructures with quantum wells HgCdTe/</w:t>
      </w:r>
      <w:proofErr w:type="spellStart"/>
      <w:r w:rsidRPr="00AD0008">
        <w:rPr>
          <w:rFonts w:ascii="Times New Roman" w:hAnsi="Times New Roman"/>
          <w:color w:val="000000" w:themeColor="text1"/>
          <w:sz w:val="20"/>
          <w:szCs w:val="20"/>
          <w:lang w:val="en-US"/>
        </w:rPr>
        <w:t>CdHgTe</w:t>
      </w:r>
      <w:proofErr w:type="spellEnd"/>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E3S Web of Conferences, 401</w:t>
      </w:r>
      <w:r w:rsidRPr="00AD0008">
        <w:rPr>
          <w:rFonts w:ascii="Times New Roman" w:hAnsi="Times New Roman"/>
          <w:color w:val="000000" w:themeColor="text1"/>
          <w:sz w:val="20"/>
          <w:szCs w:val="20"/>
          <w:lang w:val="en-US"/>
        </w:rPr>
        <w:t xml:space="preserve">, 01090. </w:t>
      </w:r>
      <w:hyperlink r:id="rId38" w:history="1">
        <w:r w:rsidRPr="00AD0008">
          <w:rPr>
            <w:rStyle w:val="ab"/>
            <w:rFonts w:ascii="Times New Roman" w:hAnsi="Times New Roman"/>
            <w:color w:val="000000" w:themeColor="text1"/>
            <w:sz w:val="20"/>
            <w:szCs w:val="20"/>
            <w:u w:val="none"/>
            <w:lang w:val="en-US"/>
          </w:rPr>
          <w:t>https://doi.org/10.1051/e3sconf/202340101090</w:t>
        </w:r>
      </w:hyperlink>
    </w:p>
    <w:p w14:paraId="7FEC2F12" w14:textId="5E0A8B0B" w:rsidR="008B65C5" w:rsidRPr="00AD0008" w:rsidRDefault="008B65C5" w:rsidP="003B67D7">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Juricic</w:t>
      </w:r>
      <w:proofErr w:type="spellEnd"/>
      <w:r w:rsidRPr="00AD0008">
        <w:rPr>
          <w:rFonts w:ascii="Times New Roman" w:hAnsi="Times New Roman"/>
          <w:color w:val="000000" w:themeColor="text1"/>
          <w:sz w:val="20"/>
          <w:szCs w:val="20"/>
          <w:lang w:val="en-US"/>
        </w:rPr>
        <w:t xml:space="preserve">, V., </w:t>
      </w:r>
      <w:proofErr w:type="spellStart"/>
      <w:r w:rsidRPr="00AD0008">
        <w:rPr>
          <w:rFonts w:ascii="Times New Roman" w:hAnsi="Times New Roman"/>
          <w:color w:val="000000" w:themeColor="text1"/>
          <w:sz w:val="20"/>
          <w:szCs w:val="20"/>
          <w:lang w:val="en-US"/>
        </w:rPr>
        <w:t>Herbut</w:t>
      </w:r>
      <w:proofErr w:type="spellEnd"/>
      <w:r w:rsidRPr="00AD0008">
        <w:rPr>
          <w:rFonts w:ascii="Times New Roman" w:hAnsi="Times New Roman"/>
          <w:color w:val="000000" w:themeColor="text1"/>
          <w:sz w:val="20"/>
          <w:szCs w:val="20"/>
          <w:lang w:val="en-US"/>
        </w:rPr>
        <w:t xml:space="preserve">, I. F. &amp; </w:t>
      </w:r>
      <w:proofErr w:type="spellStart"/>
      <w:r w:rsidRPr="00AD0008">
        <w:rPr>
          <w:rFonts w:ascii="Times New Roman" w:hAnsi="Times New Roman"/>
          <w:color w:val="000000" w:themeColor="text1"/>
          <w:sz w:val="20"/>
          <w:szCs w:val="20"/>
          <w:lang w:val="en-US"/>
        </w:rPr>
        <w:t>Tesanovic</w:t>
      </w:r>
      <w:proofErr w:type="spellEnd"/>
      <w:r w:rsidRPr="00AD0008">
        <w:rPr>
          <w:rFonts w:ascii="Times New Roman" w:hAnsi="Times New Roman"/>
          <w:color w:val="000000" w:themeColor="text1"/>
          <w:sz w:val="20"/>
          <w:szCs w:val="20"/>
          <w:lang w:val="en-US"/>
        </w:rPr>
        <w:t xml:space="preserve">, Z. (2008). Restoration of the magnetic </w:t>
      </w:r>
      <w:proofErr w:type="spellStart"/>
      <w:r w:rsidRPr="00AD0008">
        <w:rPr>
          <w:rFonts w:ascii="Times New Roman" w:hAnsi="Times New Roman"/>
          <w:color w:val="000000" w:themeColor="text1"/>
          <w:sz w:val="20"/>
          <w:szCs w:val="20"/>
          <w:lang w:val="en-US"/>
        </w:rPr>
        <w:t>hc</w:t>
      </w:r>
      <w:proofErr w:type="spellEnd"/>
      <w:r w:rsidRPr="00AD0008">
        <w:rPr>
          <w:rFonts w:ascii="Times New Roman" w:hAnsi="Times New Roman"/>
          <w:color w:val="000000" w:themeColor="text1"/>
          <w:sz w:val="20"/>
          <w:szCs w:val="20"/>
          <w:lang w:val="en-US"/>
        </w:rPr>
        <w:t xml:space="preserve">/e-periodicity in unconventional superconductors. </w:t>
      </w:r>
      <w:r w:rsidRPr="00AD0008">
        <w:rPr>
          <w:rFonts w:ascii="Times New Roman" w:hAnsi="Times New Roman"/>
          <w:i/>
          <w:iCs/>
          <w:color w:val="000000" w:themeColor="text1"/>
          <w:sz w:val="20"/>
          <w:szCs w:val="20"/>
          <w:lang w:val="en-US"/>
        </w:rPr>
        <w:t>Physical Review Letters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100</w:t>
      </w:r>
      <w:r w:rsidRPr="00AD0008">
        <w:rPr>
          <w:rFonts w:ascii="Times New Roman" w:hAnsi="Times New Roman"/>
          <w:color w:val="000000" w:themeColor="text1"/>
          <w:sz w:val="20"/>
          <w:szCs w:val="20"/>
          <w:lang w:val="en-US"/>
        </w:rPr>
        <w:t xml:space="preserve">, 187006. </w:t>
      </w:r>
      <w:hyperlink r:id="rId39" w:history="1">
        <w:r w:rsidRPr="00AD0008">
          <w:rPr>
            <w:rStyle w:val="ab"/>
            <w:rFonts w:ascii="Times New Roman" w:hAnsi="Times New Roman"/>
            <w:color w:val="000000" w:themeColor="text1"/>
            <w:sz w:val="20"/>
            <w:szCs w:val="20"/>
            <w:u w:val="none"/>
            <w:lang w:val="en-US"/>
          </w:rPr>
          <w:t>https://doi.org/10.1103/PhysRevLett.100.187006</w:t>
        </w:r>
      </w:hyperlink>
    </w:p>
    <w:p w14:paraId="22D6C6A5" w14:textId="35C3D0E8" w:rsidR="008B65C5" w:rsidRPr="00AD0008" w:rsidRDefault="008B65C5" w:rsidP="000709BE">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Vakaryuk</w:t>
      </w:r>
      <w:proofErr w:type="spellEnd"/>
      <w:r w:rsidRPr="00AD0008">
        <w:rPr>
          <w:rFonts w:ascii="Times New Roman" w:hAnsi="Times New Roman"/>
          <w:color w:val="000000" w:themeColor="text1"/>
          <w:sz w:val="20"/>
          <w:szCs w:val="20"/>
          <w:lang w:val="en-US"/>
        </w:rPr>
        <w:t xml:space="preserve">, V. (2008). Universal mechanism for breaking the </w:t>
      </w:r>
      <w:proofErr w:type="spellStart"/>
      <w:r w:rsidRPr="00AD0008">
        <w:rPr>
          <w:rFonts w:ascii="Times New Roman" w:hAnsi="Times New Roman"/>
          <w:color w:val="000000" w:themeColor="text1"/>
          <w:sz w:val="20"/>
          <w:szCs w:val="20"/>
          <w:lang w:val="en-US"/>
        </w:rPr>
        <w:t>hc</w:t>
      </w:r>
      <w:proofErr w:type="spellEnd"/>
      <w:r w:rsidRPr="00AD0008">
        <w:rPr>
          <w:rFonts w:ascii="Times New Roman" w:hAnsi="Times New Roman"/>
          <w:color w:val="000000" w:themeColor="text1"/>
          <w:sz w:val="20"/>
          <w:szCs w:val="20"/>
          <w:lang w:val="en-US"/>
        </w:rPr>
        <w:t xml:space="preserve">/2e periodicity of </w:t>
      </w:r>
      <w:proofErr w:type="spellStart"/>
      <w:r w:rsidRPr="00AD0008">
        <w:rPr>
          <w:rFonts w:ascii="Times New Roman" w:hAnsi="Times New Roman"/>
          <w:color w:val="000000" w:themeColor="text1"/>
          <w:sz w:val="20"/>
          <w:szCs w:val="20"/>
          <w:lang w:val="en-US"/>
        </w:rPr>
        <w:t>fluxinduced</w:t>
      </w:r>
      <w:proofErr w:type="spellEnd"/>
      <w:r w:rsidRPr="00AD0008">
        <w:rPr>
          <w:rFonts w:ascii="Times New Roman" w:hAnsi="Times New Roman"/>
          <w:color w:val="000000" w:themeColor="text1"/>
          <w:sz w:val="20"/>
          <w:szCs w:val="20"/>
          <w:lang w:val="en-US"/>
        </w:rPr>
        <w:t xml:space="preserve"> oscillations in small superconducting rings. </w:t>
      </w:r>
      <w:r w:rsidRPr="00AD0008">
        <w:rPr>
          <w:rFonts w:ascii="Times New Roman" w:hAnsi="Times New Roman"/>
          <w:i/>
          <w:iCs/>
          <w:color w:val="000000" w:themeColor="text1"/>
          <w:sz w:val="20"/>
          <w:szCs w:val="20"/>
          <w:lang w:val="en-US"/>
        </w:rPr>
        <w:t>Physical Review Letters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101</w:t>
      </w:r>
      <w:r w:rsidRPr="00AD0008">
        <w:rPr>
          <w:rFonts w:ascii="Times New Roman" w:hAnsi="Times New Roman"/>
          <w:color w:val="000000" w:themeColor="text1"/>
          <w:sz w:val="20"/>
          <w:szCs w:val="20"/>
          <w:lang w:val="en-US"/>
        </w:rPr>
        <w:t xml:space="preserve">, 167002. </w:t>
      </w:r>
      <w:hyperlink r:id="rId40" w:history="1">
        <w:r w:rsidRPr="00AD0008">
          <w:rPr>
            <w:rStyle w:val="ab"/>
            <w:rFonts w:ascii="Times New Roman" w:hAnsi="Times New Roman"/>
            <w:color w:val="000000" w:themeColor="text1"/>
            <w:sz w:val="20"/>
            <w:szCs w:val="20"/>
            <w:u w:val="none"/>
            <w:lang w:val="en-US"/>
          </w:rPr>
          <w:t>https://doi.org/10.1103/PhysRevLett.101.167002</w:t>
        </w:r>
      </w:hyperlink>
    </w:p>
    <w:p w14:paraId="248F5A38" w14:textId="5CA090C6" w:rsidR="008B65C5" w:rsidRPr="00AD0008" w:rsidRDefault="00775F51"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Beknazarova</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Joldasov</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Abdullayeva</w:t>
      </w:r>
      <w:proofErr w:type="spellEnd"/>
      <w:r w:rsidRPr="00AD0008">
        <w:rPr>
          <w:rFonts w:ascii="Times New Roman" w:hAnsi="Times New Roman"/>
          <w:color w:val="000000" w:themeColor="text1"/>
          <w:sz w:val="20"/>
          <w:szCs w:val="20"/>
          <w:lang w:val="en-US"/>
        </w:rPr>
        <w:t xml:space="preserve">, O., &amp; </w:t>
      </w:r>
      <w:proofErr w:type="spellStart"/>
      <w:r w:rsidRPr="00AD0008">
        <w:rPr>
          <w:rFonts w:ascii="Times New Roman" w:hAnsi="Times New Roman"/>
          <w:color w:val="000000" w:themeColor="text1"/>
          <w:sz w:val="20"/>
          <w:szCs w:val="20"/>
          <w:lang w:val="en-US"/>
        </w:rPr>
        <w:t>Mamasoatov</w:t>
      </w:r>
      <w:proofErr w:type="spellEnd"/>
      <w:r w:rsidRPr="00AD0008">
        <w:rPr>
          <w:rFonts w:ascii="Times New Roman" w:hAnsi="Times New Roman"/>
          <w:color w:val="000000" w:themeColor="text1"/>
          <w:sz w:val="20"/>
          <w:szCs w:val="20"/>
          <w:lang w:val="en-US"/>
        </w:rPr>
        <w:t xml:space="preserve">, D. (2023). Control mechanism of eliminate noise and improve visual perception of the image. AIP Conference Proceedings. </w:t>
      </w:r>
      <w:hyperlink r:id="rId41" w:history="1">
        <w:r w:rsidRPr="00AD0008">
          <w:rPr>
            <w:rStyle w:val="ab"/>
            <w:rFonts w:ascii="Times New Roman" w:hAnsi="Times New Roman"/>
            <w:color w:val="000000" w:themeColor="text1"/>
            <w:sz w:val="20"/>
            <w:szCs w:val="20"/>
            <w:u w:val="none"/>
            <w:lang w:val="en-US"/>
          </w:rPr>
          <w:t>https://doi.org/10.1063/5.0145732</w:t>
        </w:r>
      </w:hyperlink>
      <w:r w:rsidRPr="00AD0008">
        <w:rPr>
          <w:rFonts w:ascii="Times New Roman" w:hAnsi="Times New Roman"/>
          <w:color w:val="000000" w:themeColor="text1"/>
          <w:sz w:val="20"/>
          <w:szCs w:val="20"/>
          <w:lang w:val="en-US"/>
        </w:rPr>
        <w:t xml:space="preserve"> </w:t>
      </w:r>
    </w:p>
    <w:p w14:paraId="2A84EB9D" w14:textId="02FD94B8" w:rsidR="008B65C5" w:rsidRPr="00AD0008" w:rsidRDefault="008B65C5" w:rsidP="002703A5">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Wei, T.-C., Goldbart, P.M. (2008). Emergence of h/e-period oscillations in the critical temperature of small superconducting rings threaded by magnetic flux.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77</w:t>
      </w:r>
      <w:r w:rsidRPr="00AD0008">
        <w:rPr>
          <w:rFonts w:ascii="Times New Roman" w:hAnsi="Times New Roman"/>
          <w:color w:val="000000" w:themeColor="text1"/>
          <w:sz w:val="20"/>
          <w:szCs w:val="20"/>
          <w:lang w:val="en-US"/>
        </w:rPr>
        <w:t xml:space="preserve">, 224512. </w:t>
      </w:r>
      <w:hyperlink r:id="rId42" w:history="1">
        <w:r w:rsidRPr="00AD0008">
          <w:rPr>
            <w:rStyle w:val="ab"/>
            <w:rFonts w:ascii="Times New Roman" w:hAnsi="Times New Roman"/>
            <w:color w:val="000000" w:themeColor="text1"/>
            <w:sz w:val="20"/>
            <w:szCs w:val="20"/>
            <w:u w:val="none"/>
            <w:lang w:val="en-US"/>
          </w:rPr>
          <w:t>https://doi.org/10.1103/PhysRevB.77.224512</w:t>
        </w:r>
      </w:hyperlink>
    </w:p>
    <w:p w14:paraId="484FB4A2"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Zhu, J.-X. &amp; Quan, H.T. (2010). Magnetic flux periodicity in a hollow d-wave superconducting cylinder.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81</w:t>
      </w:r>
      <w:r w:rsidRPr="00AD0008">
        <w:rPr>
          <w:rFonts w:ascii="Times New Roman" w:hAnsi="Times New Roman"/>
          <w:color w:val="000000" w:themeColor="text1"/>
          <w:sz w:val="20"/>
          <w:szCs w:val="20"/>
          <w:lang w:val="en-US"/>
        </w:rPr>
        <w:t xml:space="preserve">, 054521. </w:t>
      </w:r>
      <w:hyperlink r:id="rId43" w:history="1">
        <w:r w:rsidRPr="00AD0008">
          <w:rPr>
            <w:rStyle w:val="ab"/>
            <w:rFonts w:ascii="Times New Roman" w:hAnsi="Times New Roman"/>
            <w:color w:val="000000" w:themeColor="text1"/>
            <w:sz w:val="20"/>
            <w:szCs w:val="20"/>
            <w:u w:val="none"/>
            <w:lang w:val="en-US"/>
          </w:rPr>
          <w:t>https://doi.org/10.1103/PhysRevB.81.054521</w:t>
        </w:r>
      </w:hyperlink>
    </w:p>
    <w:p w14:paraId="34D19972" w14:textId="77777777" w:rsidR="008B65C5" w:rsidRPr="00AD0008" w:rsidRDefault="008B65C5" w:rsidP="00775F51">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Erkaboev</w:t>
      </w:r>
      <w:proofErr w:type="spellEnd"/>
      <w:r w:rsidRPr="00AD0008">
        <w:rPr>
          <w:rFonts w:ascii="Times New Roman" w:hAnsi="Times New Roman"/>
          <w:color w:val="000000" w:themeColor="text1"/>
          <w:sz w:val="20"/>
          <w:szCs w:val="20"/>
          <w:lang w:val="en-US"/>
        </w:rPr>
        <w:t xml:space="preserve"> U.,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xml:space="preserve">, R., </w:t>
      </w:r>
      <w:proofErr w:type="spellStart"/>
      <w:r w:rsidRPr="00AD0008">
        <w:rPr>
          <w:rFonts w:ascii="Times New Roman" w:hAnsi="Times New Roman"/>
          <w:color w:val="000000" w:themeColor="text1"/>
          <w:sz w:val="20"/>
          <w:szCs w:val="20"/>
          <w:lang w:val="en-US"/>
        </w:rPr>
        <w:t>Mirzaev</w:t>
      </w:r>
      <w:proofErr w:type="spellEnd"/>
      <w:r w:rsidRPr="00AD0008">
        <w:rPr>
          <w:rFonts w:ascii="Times New Roman" w:hAnsi="Times New Roman"/>
          <w:color w:val="000000" w:themeColor="text1"/>
          <w:sz w:val="20"/>
          <w:szCs w:val="20"/>
          <w:lang w:val="en-US"/>
        </w:rPr>
        <w:t xml:space="preserve">, J., </w:t>
      </w:r>
      <w:proofErr w:type="spellStart"/>
      <w:r w:rsidRPr="00AD0008">
        <w:rPr>
          <w:rFonts w:ascii="Times New Roman" w:hAnsi="Times New Roman"/>
          <w:color w:val="000000" w:themeColor="text1"/>
          <w:sz w:val="20"/>
          <w:szCs w:val="20"/>
          <w:lang w:val="en-US"/>
        </w:rPr>
        <w:t>Sayidov</w:t>
      </w:r>
      <w:proofErr w:type="spellEnd"/>
      <w:r w:rsidRPr="00AD0008">
        <w:rPr>
          <w:rFonts w:ascii="Times New Roman" w:hAnsi="Times New Roman"/>
          <w:color w:val="000000" w:themeColor="text1"/>
          <w:sz w:val="20"/>
          <w:szCs w:val="20"/>
          <w:lang w:val="en-US"/>
        </w:rPr>
        <w:t xml:space="preserve">, N., </w:t>
      </w:r>
      <w:proofErr w:type="spellStart"/>
      <w:r w:rsidRPr="00AD0008">
        <w:rPr>
          <w:rFonts w:ascii="Times New Roman" w:hAnsi="Times New Roman"/>
          <w:color w:val="000000" w:themeColor="text1"/>
          <w:sz w:val="20"/>
          <w:szCs w:val="20"/>
          <w:lang w:val="en-US"/>
        </w:rPr>
        <w:t>Negmatov</w:t>
      </w:r>
      <w:proofErr w:type="spellEnd"/>
      <w:r w:rsidRPr="00AD0008">
        <w:rPr>
          <w:rFonts w:ascii="Times New Roman" w:hAnsi="Times New Roman"/>
          <w:color w:val="000000" w:themeColor="text1"/>
          <w:sz w:val="20"/>
          <w:szCs w:val="20"/>
          <w:lang w:val="en-US"/>
        </w:rPr>
        <w:t xml:space="preserve"> U., </w:t>
      </w:r>
      <w:proofErr w:type="spellStart"/>
      <w:r w:rsidRPr="00AD0008">
        <w:rPr>
          <w:rFonts w:ascii="Times New Roman" w:hAnsi="Times New Roman"/>
          <w:color w:val="000000" w:themeColor="text1"/>
          <w:sz w:val="20"/>
          <w:szCs w:val="20"/>
          <w:lang w:val="en-US"/>
        </w:rPr>
        <w:t>Abduxalimov</w:t>
      </w:r>
      <w:proofErr w:type="spellEnd"/>
      <w:r w:rsidRPr="00AD0008">
        <w:rPr>
          <w:rFonts w:ascii="Times New Roman" w:hAnsi="Times New Roman"/>
          <w:color w:val="000000" w:themeColor="text1"/>
          <w:sz w:val="20"/>
          <w:szCs w:val="20"/>
          <w:lang w:val="en-US"/>
        </w:rPr>
        <w:t xml:space="preserve"> M. (2023). Calculation of oscillations in the density of energy states in </w:t>
      </w:r>
      <w:proofErr w:type="spellStart"/>
      <w:r w:rsidRPr="00AD0008">
        <w:rPr>
          <w:rFonts w:ascii="Times New Roman" w:hAnsi="Times New Roman"/>
          <w:color w:val="000000" w:themeColor="text1"/>
          <w:sz w:val="20"/>
          <w:szCs w:val="20"/>
          <w:lang w:val="en-US"/>
        </w:rPr>
        <w:t>heterostructural</w:t>
      </w:r>
      <w:proofErr w:type="spellEnd"/>
      <w:r w:rsidRPr="00AD0008">
        <w:rPr>
          <w:rFonts w:ascii="Times New Roman" w:hAnsi="Times New Roman"/>
          <w:color w:val="000000" w:themeColor="text1"/>
          <w:sz w:val="20"/>
          <w:szCs w:val="20"/>
          <w:lang w:val="en-US"/>
        </w:rPr>
        <w:t xml:space="preserve"> materials with quantum wells. </w:t>
      </w:r>
      <w:r w:rsidRPr="00AD0008">
        <w:rPr>
          <w:rFonts w:ascii="Times New Roman" w:hAnsi="Times New Roman"/>
          <w:i/>
          <w:iCs/>
          <w:color w:val="000000" w:themeColor="text1"/>
          <w:sz w:val="20"/>
          <w:szCs w:val="20"/>
          <w:lang w:val="en-US"/>
        </w:rPr>
        <w:t>AIP Conference Proceedings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2789(1),</w:t>
      </w:r>
      <w:r w:rsidRPr="00AD0008">
        <w:rPr>
          <w:rFonts w:ascii="Times New Roman" w:hAnsi="Times New Roman"/>
          <w:color w:val="000000" w:themeColor="text1"/>
          <w:sz w:val="20"/>
          <w:szCs w:val="20"/>
          <w:lang w:val="en-US"/>
        </w:rPr>
        <w:t xml:space="preserve"> 040055. </w:t>
      </w:r>
      <w:hyperlink r:id="rId44" w:history="1">
        <w:r w:rsidRPr="00AD0008">
          <w:rPr>
            <w:rStyle w:val="ab"/>
            <w:rFonts w:ascii="Times New Roman" w:hAnsi="Times New Roman"/>
            <w:color w:val="000000" w:themeColor="text1"/>
            <w:sz w:val="20"/>
            <w:szCs w:val="20"/>
            <w:u w:val="none"/>
            <w:lang w:val="en-US"/>
          </w:rPr>
          <w:t>https://doi.org/10.1063/5.0145554</w:t>
        </w:r>
      </w:hyperlink>
    </w:p>
    <w:p w14:paraId="67F88826" w14:textId="0CAA4754" w:rsidR="008B65C5" w:rsidRPr="00AD0008" w:rsidRDefault="008B65C5" w:rsidP="001564A3">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Arun, R., Gopal, R., Chandrasekar, V.K., Lakshmanan, M. (2024). Exploration of field-like torque and field-angle tunability in coupled spin-torque nano oscillators for synchronization. </w:t>
      </w:r>
      <w:r w:rsidRPr="00AD0008">
        <w:rPr>
          <w:rFonts w:ascii="Times New Roman" w:hAnsi="Times New Roman"/>
          <w:i/>
          <w:iCs/>
          <w:color w:val="000000" w:themeColor="text1"/>
          <w:sz w:val="20"/>
          <w:szCs w:val="20"/>
          <w:lang w:val="en-US"/>
        </w:rPr>
        <w:t>Chaos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34(1)</w:t>
      </w:r>
      <w:r w:rsidRPr="00AD0008">
        <w:rPr>
          <w:rFonts w:ascii="Times New Roman" w:hAnsi="Times New Roman"/>
          <w:color w:val="000000" w:themeColor="text1"/>
          <w:sz w:val="20"/>
          <w:szCs w:val="20"/>
          <w:lang w:val="en-US"/>
        </w:rPr>
        <w:t>, 013114.</w:t>
      </w:r>
      <w:r w:rsidRPr="00AD0008">
        <w:rPr>
          <w:color w:val="000000" w:themeColor="text1"/>
          <w:sz w:val="20"/>
          <w:szCs w:val="20"/>
        </w:rPr>
        <w:t xml:space="preserve"> </w:t>
      </w:r>
      <w:hyperlink r:id="rId45" w:history="1">
        <w:r w:rsidRPr="00AD0008">
          <w:rPr>
            <w:rStyle w:val="ab"/>
            <w:rFonts w:ascii="Times New Roman" w:hAnsi="Times New Roman"/>
            <w:color w:val="000000" w:themeColor="text1"/>
            <w:sz w:val="20"/>
            <w:szCs w:val="20"/>
            <w:u w:val="none"/>
            <w:lang w:val="en-US"/>
          </w:rPr>
          <w:t>https://doi.org/10.1063/5.0173943</w:t>
        </w:r>
      </w:hyperlink>
    </w:p>
    <w:p w14:paraId="448BFC8F"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Kendzioczyk</w:t>
      </w:r>
      <w:proofErr w:type="spellEnd"/>
      <w:r w:rsidRPr="00AD0008">
        <w:rPr>
          <w:rFonts w:ascii="Times New Roman" w:hAnsi="Times New Roman"/>
          <w:color w:val="000000" w:themeColor="text1"/>
          <w:sz w:val="20"/>
          <w:szCs w:val="20"/>
          <w:lang w:val="en-US"/>
        </w:rPr>
        <w:t xml:space="preserve">, T., </w:t>
      </w:r>
      <w:proofErr w:type="spellStart"/>
      <w:r w:rsidRPr="00AD0008">
        <w:rPr>
          <w:rFonts w:ascii="Times New Roman" w:hAnsi="Times New Roman"/>
          <w:color w:val="000000" w:themeColor="text1"/>
          <w:sz w:val="20"/>
          <w:szCs w:val="20"/>
          <w:lang w:val="en-US"/>
        </w:rPr>
        <w:t>Demokritov</w:t>
      </w:r>
      <w:proofErr w:type="spellEnd"/>
      <w:r w:rsidRPr="00AD0008">
        <w:rPr>
          <w:rFonts w:ascii="Times New Roman" w:hAnsi="Times New Roman"/>
          <w:color w:val="000000" w:themeColor="text1"/>
          <w:sz w:val="20"/>
          <w:szCs w:val="20"/>
          <w:lang w:val="en-US"/>
        </w:rPr>
        <w:t xml:space="preserve">, S.O., </w:t>
      </w:r>
      <w:proofErr w:type="spellStart"/>
      <w:r w:rsidRPr="00AD0008">
        <w:rPr>
          <w:rFonts w:ascii="Times New Roman" w:hAnsi="Times New Roman"/>
          <w:color w:val="000000" w:themeColor="text1"/>
          <w:sz w:val="20"/>
          <w:szCs w:val="20"/>
          <w:lang w:val="en-US"/>
        </w:rPr>
        <w:t>Kunn</w:t>
      </w:r>
      <w:proofErr w:type="spellEnd"/>
      <w:r w:rsidRPr="00AD0008">
        <w:rPr>
          <w:rFonts w:ascii="Times New Roman" w:hAnsi="Times New Roman"/>
          <w:color w:val="000000" w:themeColor="text1"/>
          <w:sz w:val="20"/>
          <w:szCs w:val="20"/>
          <w:lang w:val="en-US"/>
        </w:rPr>
        <w:t xml:space="preserve">, T. (2014). Spin-wave-mediated mutual synchronization of spin-torque nano-oscillators: A micromagnetic study of </w:t>
      </w:r>
      <w:proofErr w:type="spellStart"/>
      <w:r w:rsidRPr="00AD0008">
        <w:rPr>
          <w:rFonts w:ascii="Times New Roman" w:hAnsi="Times New Roman"/>
          <w:color w:val="000000" w:themeColor="text1"/>
          <w:sz w:val="20"/>
          <w:szCs w:val="20"/>
          <w:lang w:val="en-US"/>
        </w:rPr>
        <w:t>multistable</w:t>
      </w:r>
      <w:proofErr w:type="spellEnd"/>
      <w:r w:rsidRPr="00AD0008">
        <w:rPr>
          <w:rFonts w:ascii="Times New Roman" w:hAnsi="Times New Roman"/>
          <w:color w:val="000000" w:themeColor="text1"/>
          <w:sz w:val="20"/>
          <w:szCs w:val="20"/>
          <w:lang w:val="en-US"/>
        </w:rPr>
        <w:t xml:space="preserve"> phase locking.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90</w:t>
      </w:r>
      <w:r w:rsidRPr="00AD0008">
        <w:rPr>
          <w:rFonts w:ascii="Times New Roman" w:hAnsi="Times New Roman"/>
          <w:color w:val="000000" w:themeColor="text1"/>
          <w:sz w:val="20"/>
          <w:szCs w:val="20"/>
          <w:lang w:val="en-US"/>
        </w:rPr>
        <w:t xml:space="preserve">, 054414. </w:t>
      </w:r>
      <w:hyperlink r:id="rId46" w:history="1">
        <w:r w:rsidRPr="00AD0008">
          <w:rPr>
            <w:rStyle w:val="ab"/>
            <w:rFonts w:ascii="Times New Roman" w:hAnsi="Times New Roman"/>
            <w:color w:val="000000" w:themeColor="text1"/>
            <w:sz w:val="20"/>
            <w:szCs w:val="20"/>
            <w:u w:val="none"/>
            <w:lang w:val="en-US"/>
          </w:rPr>
          <w:t>https://doi.org/10.1103/PhysRevB.90.054414</w:t>
        </w:r>
      </w:hyperlink>
    </w:p>
    <w:p w14:paraId="4964E339" w14:textId="35CDA00A" w:rsidR="008B65C5" w:rsidRPr="00AD0008" w:rsidRDefault="008B65C5" w:rsidP="005E23F6">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Sharibaev</w:t>
      </w:r>
      <w:proofErr w:type="spellEnd"/>
      <w:r w:rsidRPr="00AD0008">
        <w:rPr>
          <w:rFonts w:ascii="Times New Roman" w:hAnsi="Times New Roman"/>
          <w:color w:val="000000" w:themeColor="text1"/>
          <w:sz w:val="20"/>
          <w:szCs w:val="20"/>
          <w:lang w:val="en-US"/>
        </w:rPr>
        <w:t xml:space="preserve">, N., </w:t>
      </w:r>
      <w:proofErr w:type="spellStart"/>
      <w:r w:rsidRPr="00AD0008">
        <w:rPr>
          <w:rFonts w:ascii="Times New Roman" w:hAnsi="Times New Roman"/>
          <w:color w:val="000000" w:themeColor="text1"/>
          <w:sz w:val="20"/>
          <w:szCs w:val="20"/>
          <w:lang w:val="en-US"/>
        </w:rPr>
        <w:t>Jabborov</w:t>
      </w:r>
      <w:proofErr w:type="spellEnd"/>
      <w:r w:rsidRPr="00AD0008">
        <w:rPr>
          <w:rFonts w:ascii="Times New Roman" w:hAnsi="Times New Roman"/>
          <w:color w:val="000000" w:themeColor="text1"/>
          <w:sz w:val="20"/>
          <w:szCs w:val="20"/>
          <w:lang w:val="en-US"/>
        </w:rPr>
        <w:t xml:space="preserve">, A., </w:t>
      </w:r>
      <w:proofErr w:type="spellStart"/>
      <w:r w:rsidRPr="00AD0008">
        <w:rPr>
          <w:rFonts w:ascii="Times New Roman" w:hAnsi="Times New Roman"/>
          <w:color w:val="000000" w:themeColor="text1"/>
          <w:sz w:val="20"/>
          <w:szCs w:val="20"/>
          <w:lang w:val="en-US"/>
        </w:rPr>
        <w:t>Rakhimov</w:t>
      </w:r>
      <w:proofErr w:type="spellEnd"/>
      <w:r w:rsidRPr="00AD0008">
        <w:rPr>
          <w:rFonts w:ascii="Times New Roman" w:hAnsi="Times New Roman"/>
          <w:color w:val="000000" w:themeColor="text1"/>
          <w:sz w:val="20"/>
          <w:szCs w:val="20"/>
          <w:lang w:val="en-US"/>
        </w:rPr>
        <w:t xml:space="preserve">, R., </w:t>
      </w:r>
      <w:proofErr w:type="spellStart"/>
      <w:r w:rsidRPr="00AD0008">
        <w:rPr>
          <w:rFonts w:ascii="Times New Roman" w:hAnsi="Times New Roman"/>
          <w:color w:val="000000" w:themeColor="text1"/>
          <w:sz w:val="20"/>
          <w:szCs w:val="20"/>
          <w:lang w:val="en-US"/>
        </w:rPr>
        <w:t>Korabayev</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Sapayev</w:t>
      </w:r>
      <w:proofErr w:type="spellEnd"/>
      <w:r w:rsidRPr="00AD0008">
        <w:rPr>
          <w:rFonts w:ascii="Times New Roman" w:hAnsi="Times New Roman"/>
          <w:color w:val="000000" w:themeColor="text1"/>
          <w:sz w:val="20"/>
          <w:szCs w:val="20"/>
          <w:lang w:val="en-US"/>
        </w:rPr>
        <w:t xml:space="preserve">, R. (2024). A new method for digital processing cardio signals using the wavelet function. </w:t>
      </w:r>
      <w:r w:rsidRPr="00AD0008">
        <w:rPr>
          <w:rFonts w:ascii="Times New Roman" w:hAnsi="Times New Roman"/>
          <w:i/>
          <w:iCs/>
          <w:color w:val="000000" w:themeColor="text1"/>
          <w:sz w:val="20"/>
          <w:szCs w:val="20"/>
          <w:lang w:val="en-US"/>
        </w:rPr>
        <w:t>BIO Web of Conferences</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130</w:t>
      </w:r>
      <w:r w:rsidRPr="00AD0008">
        <w:rPr>
          <w:rFonts w:ascii="Times New Roman" w:hAnsi="Times New Roman"/>
          <w:color w:val="000000" w:themeColor="text1"/>
          <w:sz w:val="20"/>
          <w:szCs w:val="20"/>
          <w:lang w:val="en-US"/>
        </w:rPr>
        <w:t xml:space="preserve">, 04008. </w:t>
      </w:r>
      <w:hyperlink r:id="rId47" w:history="1">
        <w:r w:rsidRPr="00AD0008">
          <w:rPr>
            <w:rStyle w:val="ab"/>
            <w:rFonts w:ascii="Times New Roman" w:hAnsi="Times New Roman"/>
            <w:color w:val="000000" w:themeColor="text1"/>
            <w:sz w:val="20"/>
            <w:szCs w:val="20"/>
            <w:u w:val="none"/>
            <w:lang w:val="en-US"/>
          </w:rPr>
          <w:t>https://doi.org/10.1051/bioconf/202413004008</w:t>
        </w:r>
      </w:hyperlink>
    </w:p>
    <w:p w14:paraId="3E6DE36A" w14:textId="77777777" w:rsidR="008B65C5" w:rsidRPr="00AD0008" w:rsidRDefault="008B65C5"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r w:rsidRPr="00AD0008">
        <w:rPr>
          <w:rFonts w:ascii="Times New Roman" w:hAnsi="Times New Roman"/>
          <w:color w:val="000000" w:themeColor="text1"/>
          <w:sz w:val="20"/>
          <w:szCs w:val="20"/>
          <w:lang w:val="en-US"/>
        </w:rPr>
        <w:t xml:space="preserve">Turtle, J., </w:t>
      </w:r>
      <w:proofErr w:type="spellStart"/>
      <w:r w:rsidRPr="00AD0008">
        <w:rPr>
          <w:rFonts w:ascii="Times New Roman" w:hAnsi="Times New Roman"/>
          <w:color w:val="000000" w:themeColor="text1"/>
          <w:sz w:val="20"/>
          <w:szCs w:val="20"/>
          <w:lang w:val="en-US"/>
        </w:rPr>
        <w:t>Buono</w:t>
      </w:r>
      <w:proofErr w:type="spellEnd"/>
      <w:r w:rsidRPr="00AD0008">
        <w:rPr>
          <w:rFonts w:ascii="Times New Roman" w:hAnsi="Times New Roman"/>
          <w:color w:val="000000" w:themeColor="text1"/>
          <w:sz w:val="20"/>
          <w:szCs w:val="20"/>
          <w:lang w:val="en-US"/>
        </w:rPr>
        <w:t xml:space="preserve">, P.-L., Palacios, A., </w:t>
      </w:r>
      <w:proofErr w:type="spellStart"/>
      <w:r w:rsidRPr="00AD0008">
        <w:rPr>
          <w:rFonts w:ascii="Times New Roman" w:hAnsi="Times New Roman"/>
          <w:color w:val="000000" w:themeColor="text1"/>
          <w:sz w:val="20"/>
          <w:szCs w:val="20"/>
          <w:lang w:val="en-US"/>
        </w:rPr>
        <w:t>Dabrowski</w:t>
      </w:r>
      <w:proofErr w:type="spellEnd"/>
      <w:r w:rsidRPr="00AD0008">
        <w:rPr>
          <w:rFonts w:ascii="Times New Roman" w:hAnsi="Times New Roman"/>
          <w:color w:val="000000" w:themeColor="text1"/>
          <w:sz w:val="20"/>
          <w:szCs w:val="20"/>
          <w:lang w:val="en-US"/>
        </w:rPr>
        <w:t xml:space="preserve">, C., In, V., </w:t>
      </w:r>
      <w:proofErr w:type="spellStart"/>
      <w:r w:rsidRPr="00AD0008">
        <w:rPr>
          <w:rFonts w:ascii="Times New Roman" w:hAnsi="Times New Roman"/>
          <w:color w:val="000000" w:themeColor="text1"/>
          <w:sz w:val="20"/>
          <w:szCs w:val="20"/>
          <w:lang w:val="en-US"/>
        </w:rPr>
        <w:t>Longhini</w:t>
      </w:r>
      <w:proofErr w:type="spellEnd"/>
      <w:r w:rsidRPr="00AD0008">
        <w:rPr>
          <w:rFonts w:ascii="Times New Roman" w:hAnsi="Times New Roman"/>
          <w:color w:val="000000" w:themeColor="text1"/>
          <w:sz w:val="20"/>
          <w:szCs w:val="20"/>
          <w:lang w:val="en-US"/>
        </w:rPr>
        <w:t xml:space="preserve">, P. (2017). Synchronization of spin torque nano-oscillators. </w:t>
      </w:r>
      <w:r w:rsidRPr="00AD0008">
        <w:rPr>
          <w:rFonts w:ascii="Times New Roman" w:hAnsi="Times New Roman"/>
          <w:i/>
          <w:iCs/>
          <w:color w:val="000000" w:themeColor="text1"/>
          <w:sz w:val="20"/>
          <w:szCs w:val="20"/>
          <w:lang w:val="en-US"/>
        </w:rPr>
        <w:t>Physical Review B,</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95</w:t>
      </w:r>
      <w:r w:rsidRPr="00AD0008">
        <w:rPr>
          <w:rFonts w:ascii="Times New Roman" w:hAnsi="Times New Roman"/>
          <w:color w:val="000000" w:themeColor="text1"/>
          <w:sz w:val="20"/>
          <w:szCs w:val="20"/>
          <w:lang w:val="en-US"/>
        </w:rPr>
        <w:t xml:space="preserve">, 144412. </w:t>
      </w:r>
      <w:hyperlink r:id="rId48" w:history="1">
        <w:r w:rsidRPr="00AD0008">
          <w:rPr>
            <w:rStyle w:val="ab"/>
            <w:rFonts w:ascii="Times New Roman" w:hAnsi="Times New Roman"/>
            <w:color w:val="000000" w:themeColor="text1"/>
            <w:sz w:val="20"/>
            <w:szCs w:val="20"/>
            <w:u w:val="none"/>
            <w:lang w:val="en-US"/>
          </w:rPr>
          <w:t>https://doi.org/10.1103/PhysRevB.95.144412</w:t>
        </w:r>
      </w:hyperlink>
    </w:p>
    <w:p w14:paraId="18BA2DF4" w14:textId="61401A27" w:rsidR="008B65C5" w:rsidRPr="00AD0008" w:rsidRDefault="008B65C5" w:rsidP="00775F51">
      <w:pPr>
        <w:pStyle w:val="a7"/>
        <w:numPr>
          <w:ilvl w:val="0"/>
          <w:numId w:val="9"/>
        </w:numPr>
        <w:spacing w:after="0" w:line="240" w:lineRule="auto"/>
        <w:ind w:left="426" w:hanging="426"/>
        <w:jc w:val="both"/>
        <w:rPr>
          <w:rStyle w:val="ab"/>
          <w:rFonts w:ascii="Times New Roman" w:hAnsi="Times New Roman"/>
          <w:color w:val="000000" w:themeColor="text1"/>
          <w:sz w:val="20"/>
          <w:szCs w:val="20"/>
          <w:u w:val="none"/>
          <w:lang w:val="en-US"/>
        </w:rPr>
      </w:pPr>
      <w:proofErr w:type="spellStart"/>
      <w:r w:rsidRPr="00AD0008">
        <w:rPr>
          <w:rFonts w:ascii="Times New Roman" w:hAnsi="Times New Roman"/>
          <w:color w:val="000000" w:themeColor="text1"/>
          <w:sz w:val="20"/>
          <w:szCs w:val="20"/>
          <w:lang w:val="en-US"/>
        </w:rPr>
        <w:t>Grollier</w:t>
      </w:r>
      <w:proofErr w:type="spellEnd"/>
      <w:r w:rsidRPr="00AD0008">
        <w:rPr>
          <w:rFonts w:ascii="Times New Roman" w:hAnsi="Times New Roman"/>
          <w:color w:val="000000" w:themeColor="text1"/>
          <w:sz w:val="20"/>
          <w:szCs w:val="20"/>
          <w:lang w:val="en-US"/>
        </w:rPr>
        <w:t xml:space="preserve">, J., </w:t>
      </w:r>
      <w:proofErr w:type="spellStart"/>
      <w:r w:rsidRPr="00AD0008">
        <w:rPr>
          <w:rFonts w:ascii="Times New Roman" w:hAnsi="Times New Roman"/>
          <w:color w:val="000000" w:themeColor="text1"/>
          <w:sz w:val="20"/>
          <w:szCs w:val="20"/>
          <w:lang w:val="en-US"/>
        </w:rPr>
        <w:t>Querlioz</w:t>
      </w:r>
      <w:proofErr w:type="spellEnd"/>
      <w:r w:rsidRPr="00AD0008">
        <w:rPr>
          <w:rFonts w:ascii="Times New Roman" w:hAnsi="Times New Roman"/>
          <w:color w:val="000000" w:themeColor="text1"/>
          <w:sz w:val="20"/>
          <w:szCs w:val="20"/>
          <w:lang w:val="en-US"/>
        </w:rPr>
        <w:t xml:space="preserve">, D., Stiles, M.D. (2016). Spintronic Nanodevices for Bioinspired Computing. </w:t>
      </w:r>
      <w:r w:rsidRPr="00AD0008">
        <w:rPr>
          <w:rFonts w:ascii="Times New Roman" w:hAnsi="Times New Roman"/>
          <w:i/>
          <w:iCs/>
          <w:color w:val="000000" w:themeColor="text1"/>
          <w:sz w:val="20"/>
          <w:szCs w:val="20"/>
          <w:lang w:val="en-US"/>
        </w:rPr>
        <w:t>Proceedings of the IEEE</w:t>
      </w:r>
      <w:r w:rsidRPr="00AD0008">
        <w:rPr>
          <w:rFonts w:ascii="Times New Roman" w:hAnsi="Times New Roman"/>
          <w:color w:val="000000" w:themeColor="text1"/>
          <w:sz w:val="20"/>
          <w:szCs w:val="20"/>
          <w:lang w:val="en-US"/>
        </w:rPr>
        <w:t xml:space="preserve">, </w:t>
      </w:r>
      <w:r w:rsidRPr="00AD0008">
        <w:rPr>
          <w:rFonts w:ascii="Times New Roman" w:hAnsi="Times New Roman"/>
          <w:i/>
          <w:iCs/>
          <w:color w:val="000000" w:themeColor="text1"/>
          <w:sz w:val="20"/>
          <w:szCs w:val="20"/>
          <w:lang w:val="en-US"/>
        </w:rPr>
        <w:t>104(10)</w:t>
      </w:r>
      <w:r w:rsidRPr="00AD0008">
        <w:rPr>
          <w:rFonts w:ascii="Times New Roman" w:hAnsi="Times New Roman"/>
          <w:color w:val="000000" w:themeColor="text1"/>
          <w:sz w:val="20"/>
          <w:szCs w:val="20"/>
          <w:lang w:val="en-US"/>
        </w:rPr>
        <w:t xml:space="preserve">, 2024-2039. </w:t>
      </w:r>
      <w:hyperlink r:id="rId49" w:history="1">
        <w:r w:rsidRPr="00AD0008">
          <w:rPr>
            <w:rStyle w:val="ab"/>
            <w:rFonts w:ascii="Times New Roman" w:hAnsi="Times New Roman"/>
            <w:color w:val="000000" w:themeColor="text1"/>
            <w:sz w:val="20"/>
            <w:szCs w:val="20"/>
            <w:u w:val="none"/>
            <w:lang w:val="en-US"/>
          </w:rPr>
          <w:t>https://doi.org/10.1109/JPROC.2016.2597152</w:t>
        </w:r>
      </w:hyperlink>
    </w:p>
    <w:p w14:paraId="73384772" w14:textId="71F3E34E" w:rsidR="00327324" w:rsidRPr="00AD0008" w:rsidRDefault="00327324"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Korabayev</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Ergashov</w:t>
      </w:r>
      <w:proofErr w:type="spellEnd"/>
      <w:r w:rsidRPr="00AD0008">
        <w:rPr>
          <w:rFonts w:ascii="Times New Roman" w:hAnsi="Times New Roman"/>
          <w:color w:val="000000" w:themeColor="text1"/>
          <w:sz w:val="20"/>
          <w:szCs w:val="20"/>
          <w:lang w:val="en-US"/>
        </w:rPr>
        <w:t xml:space="preserve">, M., </w:t>
      </w:r>
      <w:proofErr w:type="spellStart"/>
      <w:r w:rsidRPr="00AD0008">
        <w:rPr>
          <w:rFonts w:ascii="Times New Roman" w:hAnsi="Times New Roman"/>
          <w:color w:val="000000" w:themeColor="text1"/>
          <w:sz w:val="20"/>
          <w:szCs w:val="20"/>
          <w:lang w:val="en-US"/>
        </w:rPr>
        <w:t>Akhmedov</w:t>
      </w:r>
      <w:proofErr w:type="spellEnd"/>
      <w:r w:rsidRPr="00AD0008">
        <w:rPr>
          <w:rFonts w:ascii="Times New Roman" w:hAnsi="Times New Roman"/>
          <w:color w:val="000000" w:themeColor="text1"/>
          <w:sz w:val="20"/>
          <w:szCs w:val="20"/>
          <w:lang w:val="en-US"/>
        </w:rPr>
        <w:t xml:space="preserve">, K. I., </w:t>
      </w:r>
      <w:proofErr w:type="spellStart"/>
      <w:r w:rsidRPr="00AD0008">
        <w:rPr>
          <w:rFonts w:ascii="Times New Roman" w:hAnsi="Times New Roman"/>
          <w:color w:val="000000" w:themeColor="text1"/>
          <w:sz w:val="20"/>
          <w:szCs w:val="20"/>
          <w:lang w:val="en-US"/>
        </w:rPr>
        <w:t>Matismailov</w:t>
      </w:r>
      <w:proofErr w:type="spellEnd"/>
      <w:r w:rsidRPr="00AD0008">
        <w:rPr>
          <w:rFonts w:ascii="Times New Roman" w:hAnsi="Times New Roman"/>
          <w:color w:val="000000" w:themeColor="text1"/>
          <w:sz w:val="20"/>
          <w:szCs w:val="20"/>
          <w:lang w:val="en-US"/>
        </w:rPr>
        <w:t xml:space="preserve">, S., </w:t>
      </w:r>
      <w:proofErr w:type="spellStart"/>
      <w:r w:rsidRPr="00AD0008">
        <w:rPr>
          <w:rFonts w:ascii="Times New Roman" w:hAnsi="Times New Roman"/>
          <w:color w:val="000000" w:themeColor="text1"/>
          <w:sz w:val="20"/>
          <w:szCs w:val="20"/>
          <w:lang w:val="en-US"/>
        </w:rPr>
        <w:t>Axmedov</w:t>
      </w:r>
      <w:proofErr w:type="spellEnd"/>
      <w:r w:rsidRPr="00AD0008">
        <w:rPr>
          <w:rFonts w:ascii="Times New Roman" w:hAnsi="Times New Roman"/>
          <w:color w:val="000000" w:themeColor="text1"/>
          <w:sz w:val="20"/>
          <w:szCs w:val="20"/>
          <w:lang w:val="en-US"/>
        </w:rPr>
        <w:t xml:space="preserve">, M., </w:t>
      </w:r>
      <w:proofErr w:type="spellStart"/>
      <w:r w:rsidRPr="00AD0008">
        <w:rPr>
          <w:rFonts w:ascii="Times New Roman" w:hAnsi="Times New Roman"/>
          <w:color w:val="000000" w:themeColor="text1"/>
          <w:sz w:val="20"/>
          <w:szCs w:val="20"/>
          <w:lang w:val="en-US"/>
        </w:rPr>
        <w:t>Latipova</w:t>
      </w:r>
      <w:proofErr w:type="spellEnd"/>
      <w:r w:rsidRPr="00AD0008">
        <w:rPr>
          <w:rFonts w:ascii="Times New Roman" w:hAnsi="Times New Roman"/>
          <w:color w:val="000000" w:themeColor="text1"/>
          <w:sz w:val="20"/>
          <w:szCs w:val="20"/>
          <w:lang w:val="en-US"/>
        </w:rPr>
        <w:t xml:space="preserve">, M., &amp; </w:t>
      </w:r>
      <w:proofErr w:type="spellStart"/>
      <w:r w:rsidRPr="00AD0008">
        <w:rPr>
          <w:rFonts w:ascii="Times New Roman" w:hAnsi="Times New Roman"/>
          <w:color w:val="000000" w:themeColor="text1"/>
          <w:sz w:val="20"/>
          <w:szCs w:val="20"/>
          <w:lang w:val="en-US"/>
        </w:rPr>
        <w:t>Isomaddinov</w:t>
      </w:r>
      <w:proofErr w:type="spellEnd"/>
      <w:r w:rsidRPr="00AD0008">
        <w:rPr>
          <w:rFonts w:ascii="Times New Roman" w:hAnsi="Times New Roman"/>
          <w:color w:val="000000" w:themeColor="text1"/>
          <w:sz w:val="20"/>
          <w:szCs w:val="20"/>
          <w:lang w:val="en-US"/>
        </w:rPr>
        <w:t xml:space="preserve">, U. (2025). Theoretical analysis of the effect of saw teeth on fibers during fiber discretization. AIP Conference Proceedings, 3304, 030085. </w:t>
      </w:r>
      <w:hyperlink r:id="rId50" w:history="1">
        <w:r w:rsidRPr="00AD0008">
          <w:rPr>
            <w:rStyle w:val="ab"/>
            <w:rFonts w:ascii="Times New Roman" w:hAnsi="Times New Roman"/>
            <w:color w:val="000000" w:themeColor="text1"/>
            <w:sz w:val="20"/>
            <w:szCs w:val="20"/>
            <w:u w:val="none"/>
            <w:lang w:val="en-US"/>
          </w:rPr>
          <w:t>https://doi.org/10.1063/5.0269092</w:t>
        </w:r>
      </w:hyperlink>
      <w:r w:rsidRPr="00AD0008">
        <w:rPr>
          <w:rFonts w:ascii="Times New Roman" w:hAnsi="Times New Roman"/>
          <w:color w:val="000000" w:themeColor="text1"/>
          <w:sz w:val="20"/>
          <w:szCs w:val="20"/>
          <w:lang w:val="en-US"/>
        </w:rPr>
        <w:t xml:space="preserve"> </w:t>
      </w:r>
    </w:p>
    <w:p w14:paraId="4EC7FA2C" w14:textId="4EAA2E4E" w:rsidR="00982F09" w:rsidRPr="00AD0008" w:rsidRDefault="00775F51" w:rsidP="00775F51">
      <w:pPr>
        <w:pStyle w:val="a7"/>
        <w:numPr>
          <w:ilvl w:val="0"/>
          <w:numId w:val="9"/>
        </w:numPr>
        <w:spacing w:after="0" w:line="240" w:lineRule="auto"/>
        <w:ind w:left="426" w:hanging="426"/>
        <w:jc w:val="both"/>
        <w:rPr>
          <w:rFonts w:ascii="Times New Roman" w:hAnsi="Times New Roman"/>
          <w:color w:val="000000" w:themeColor="text1"/>
          <w:sz w:val="20"/>
          <w:szCs w:val="20"/>
          <w:lang w:val="en-US"/>
        </w:rPr>
      </w:pPr>
      <w:proofErr w:type="spellStart"/>
      <w:r w:rsidRPr="00AD0008">
        <w:rPr>
          <w:rFonts w:ascii="Times New Roman" w:hAnsi="Times New Roman"/>
          <w:color w:val="000000" w:themeColor="text1"/>
          <w:sz w:val="20"/>
          <w:szCs w:val="20"/>
          <w:lang w:val="en-US"/>
        </w:rPr>
        <w:t>Mirzabayev</w:t>
      </w:r>
      <w:proofErr w:type="spellEnd"/>
      <w:r w:rsidRPr="00AD0008">
        <w:rPr>
          <w:rFonts w:ascii="Times New Roman" w:hAnsi="Times New Roman"/>
          <w:color w:val="000000" w:themeColor="text1"/>
          <w:sz w:val="20"/>
          <w:szCs w:val="20"/>
          <w:lang w:val="en-US"/>
        </w:rPr>
        <w:t xml:space="preserve">, B., et al. (2025). Controlling tensile strength in yarn using an ultrasonic water vaporizer. AIP Conference Proceedings, 3304, 030047. </w:t>
      </w:r>
      <w:hyperlink r:id="rId51" w:history="1">
        <w:r w:rsidRPr="00AD0008">
          <w:rPr>
            <w:rStyle w:val="ab"/>
            <w:rFonts w:ascii="Times New Roman" w:hAnsi="Times New Roman"/>
            <w:color w:val="000000" w:themeColor="text1"/>
            <w:sz w:val="20"/>
            <w:szCs w:val="20"/>
            <w:u w:val="none"/>
            <w:lang w:val="en-US"/>
          </w:rPr>
          <w:t>https://doi.org/10.1063/5.0269506</w:t>
        </w:r>
      </w:hyperlink>
      <w:r w:rsidRPr="00AD0008">
        <w:rPr>
          <w:rFonts w:ascii="Times New Roman" w:hAnsi="Times New Roman"/>
          <w:color w:val="000000" w:themeColor="text1"/>
          <w:sz w:val="20"/>
          <w:szCs w:val="20"/>
          <w:lang w:val="en-US"/>
        </w:rPr>
        <w:t xml:space="preserve"> </w:t>
      </w:r>
    </w:p>
    <w:sectPr w:rsidR="00982F09" w:rsidRPr="00AD0008" w:rsidSect="009812E2">
      <w:pgSz w:w="11906" w:h="16838"/>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85BAB"/>
    <w:multiLevelType w:val="hybridMultilevel"/>
    <w:tmpl w:val="94F022A4"/>
    <w:lvl w:ilvl="0" w:tplc="EB2EF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B5933E0"/>
    <w:multiLevelType w:val="hybridMultilevel"/>
    <w:tmpl w:val="B7C0E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6"/>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0D7D"/>
    <w:rsid w:val="000047BF"/>
    <w:rsid w:val="0002646A"/>
    <w:rsid w:val="00044CF9"/>
    <w:rsid w:val="000455CD"/>
    <w:rsid w:val="00055E4A"/>
    <w:rsid w:val="00096B50"/>
    <w:rsid w:val="00097BF2"/>
    <w:rsid w:val="000B4547"/>
    <w:rsid w:val="000C00E4"/>
    <w:rsid w:val="00103403"/>
    <w:rsid w:val="001245E0"/>
    <w:rsid w:val="001374BE"/>
    <w:rsid w:val="00150536"/>
    <w:rsid w:val="00151AA2"/>
    <w:rsid w:val="001674D6"/>
    <w:rsid w:val="001708A8"/>
    <w:rsid w:val="00171968"/>
    <w:rsid w:val="00173975"/>
    <w:rsid w:val="001879EE"/>
    <w:rsid w:val="00197FB1"/>
    <w:rsid w:val="001A2C8D"/>
    <w:rsid w:val="001E5242"/>
    <w:rsid w:val="00200BB5"/>
    <w:rsid w:val="00212946"/>
    <w:rsid w:val="0022234A"/>
    <w:rsid w:val="002434C5"/>
    <w:rsid w:val="00252A1D"/>
    <w:rsid w:val="00277F78"/>
    <w:rsid w:val="002916CE"/>
    <w:rsid w:val="002933B7"/>
    <w:rsid w:val="002B6005"/>
    <w:rsid w:val="002C1A30"/>
    <w:rsid w:val="002D1367"/>
    <w:rsid w:val="002F705C"/>
    <w:rsid w:val="0030016C"/>
    <w:rsid w:val="00300F2E"/>
    <w:rsid w:val="00301A54"/>
    <w:rsid w:val="00327324"/>
    <w:rsid w:val="00343EA7"/>
    <w:rsid w:val="00354D6E"/>
    <w:rsid w:val="00364291"/>
    <w:rsid w:val="0036755B"/>
    <w:rsid w:val="0038042A"/>
    <w:rsid w:val="00386B42"/>
    <w:rsid w:val="003C185E"/>
    <w:rsid w:val="003C2C6E"/>
    <w:rsid w:val="003C49DE"/>
    <w:rsid w:val="003E7E36"/>
    <w:rsid w:val="0043175A"/>
    <w:rsid w:val="00441710"/>
    <w:rsid w:val="00457513"/>
    <w:rsid w:val="004644BF"/>
    <w:rsid w:val="0047363B"/>
    <w:rsid w:val="004B626A"/>
    <w:rsid w:val="004C42F9"/>
    <w:rsid w:val="00516D1B"/>
    <w:rsid w:val="005223D8"/>
    <w:rsid w:val="0053597B"/>
    <w:rsid w:val="00544337"/>
    <w:rsid w:val="00554020"/>
    <w:rsid w:val="00556C2F"/>
    <w:rsid w:val="005D4918"/>
    <w:rsid w:val="005F42D5"/>
    <w:rsid w:val="006659DB"/>
    <w:rsid w:val="006A7488"/>
    <w:rsid w:val="006C5269"/>
    <w:rsid w:val="006D7719"/>
    <w:rsid w:val="006E5406"/>
    <w:rsid w:val="006F0ACA"/>
    <w:rsid w:val="006F1980"/>
    <w:rsid w:val="006F4546"/>
    <w:rsid w:val="00703D1B"/>
    <w:rsid w:val="00710290"/>
    <w:rsid w:val="00713371"/>
    <w:rsid w:val="007413D5"/>
    <w:rsid w:val="00775533"/>
    <w:rsid w:val="00775F51"/>
    <w:rsid w:val="007A05DA"/>
    <w:rsid w:val="007B49A9"/>
    <w:rsid w:val="007D1992"/>
    <w:rsid w:val="007E705F"/>
    <w:rsid w:val="00823116"/>
    <w:rsid w:val="00831128"/>
    <w:rsid w:val="0083729C"/>
    <w:rsid w:val="008427E7"/>
    <w:rsid w:val="008555F9"/>
    <w:rsid w:val="008B65C5"/>
    <w:rsid w:val="008C74A2"/>
    <w:rsid w:val="008E214E"/>
    <w:rsid w:val="008F6660"/>
    <w:rsid w:val="00901848"/>
    <w:rsid w:val="009046CA"/>
    <w:rsid w:val="00912396"/>
    <w:rsid w:val="0091420E"/>
    <w:rsid w:val="00915B6F"/>
    <w:rsid w:val="00916FF2"/>
    <w:rsid w:val="00940241"/>
    <w:rsid w:val="00946C3F"/>
    <w:rsid w:val="009812E2"/>
    <w:rsid w:val="00982F09"/>
    <w:rsid w:val="00986248"/>
    <w:rsid w:val="00990241"/>
    <w:rsid w:val="00993722"/>
    <w:rsid w:val="009B309C"/>
    <w:rsid w:val="009C7829"/>
    <w:rsid w:val="009D60BF"/>
    <w:rsid w:val="009F04D3"/>
    <w:rsid w:val="009F7679"/>
    <w:rsid w:val="00A066F5"/>
    <w:rsid w:val="00A14EF7"/>
    <w:rsid w:val="00A233A1"/>
    <w:rsid w:val="00A461FD"/>
    <w:rsid w:val="00A46BFF"/>
    <w:rsid w:val="00A56531"/>
    <w:rsid w:val="00A57D11"/>
    <w:rsid w:val="00A65FCB"/>
    <w:rsid w:val="00A71BC9"/>
    <w:rsid w:val="00A81869"/>
    <w:rsid w:val="00A828DD"/>
    <w:rsid w:val="00AB2EB3"/>
    <w:rsid w:val="00AC792D"/>
    <w:rsid w:val="00AD0008"/>
    <w:rsid w:val="00AD0BFD"/>
    <w:rsid w:val="00AE65CC"/>
    <w:rsid w:val="00AF4948"/>
    <w:rsid w:val="00B039CF"/>
    <w:rsid w:val="00B03E8F"/>
    <w:rsid w:val="00B10731"/>
    <w:rsid w:val="00B16128"/>
    <w:rsid w:val="00B22CCF"/>
    <w:rsid w:val="00B359BC"/>
    <w:rsid w:val="00B45842"/>
    <w:rsid w:val="00B74206"/>
    <w:rsid w:val="00B755E8"/>
    <w:rsid w:val="00B97DFA"/>
    <w:rsid w:val="00BC0893"/>
    <w:rsid w:val="00BC3757"/>
    <w:rsid w:val="00BF2765"/>
    <w:rsid w:val="00BF68F9"/>
    <w:rsid w:val="00C01683"/>
    <w:rsid w:val="00C41D97"/>
    <w:rsid w:val="00C46008"/>
    <w:rsid w:val="00C560A4"/>
    <w:rsid w:val="00C841FA"/>
    <w:rsid w:val="00CA76B8"/>
    <w:rsid w:val="00CC6434"/>
    <w:rsid w:val="00CE3FE1"/>
    <w:rsid w:val="00CE79BB"/>
    <w:rsid w:val="00D1587F"/>
    <w:rsid w:val="00D17FD1"/>
    <w:rsid w:val="00D3675A"/>
    <w:rsid w:val="00D56882"/>
    <w:rsid w:val="00D6412F"/>
    <w:rsid w:val="00D67CBB"/>
    <w:rsid w:val="00D76AC1"/>
    <w:rsid w:val="00D81473"/>
    <w:rsid w:val="00DA08C6"/>
    <w:rsid w:val="00DA2AD1"/>
    <w:rsid w:val="00DA44F2"/>
    <w:rsid w:val="00DD5961"/>
    <w:rsid w:val="00DF338B"/>
    <w:rsid w:val="00E04294"/>
    <w:rsid w:val="00E3345A"/>
    <w:rsid w:val="00E40453"/>
    <w:rsid w:val="00E577B7"/>
    <w:rsid w:val="00E8485C"/>
    <w:rsid w:val="00EA362A"/>
    <w:rsid w:val="00EE67D1"/>
    <w:rsid w:val="00EF3F05"/>
    <w:rsid w:val="00F32D85"/>
    <w:rsid w:val="00F56716"/>
    <w:rsid w:val="00F6463C"/>
    <w:rsid w:val="00F72611"/>
    <w:rsid w:val="00FB2423"/>
    <w:rsid w:val="00FD1C8F"/>
    <w:rsid w:val="00FE6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1E34AC27-B68B-414E-B0AB-CAC98AA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9">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a">
    <w:name w:val="Emphasis"/>
    <w:basedOn w:val="a0"/>
    <w:uiPriority w:val="20"/>
    <w:qFormat/>
    <w:rsid w:val="00EE67D1"/>
    <w:rPr>
      <w:i/>
      <w:iCs/>
    </w:rPr>
  </w:style>
  <w:style w:type="character" w:styleId="ab">
    <w:name w:val="Hyperlink"/>
    <w:basedOn w:val="a0"/>
    <w:uiPriority w:val="99"/>
    <w:unhideWhenUsed/>
    <w:rsid w:val="00A828DD"/>
    <w:rPr>
      <w:color w:val="0000FF" w:themeColor="hyperlink"/>
      <w:u w:val="single"/>
    </w:rPr>
  </w:style>
  <w:style w:type="character" w:styleId="ac">
    <w:name w:val="Unresolved Mention"/>
    <w:basedOn w:val="a0"/>
    <w:uiPriority w:val="99"/>
    <w:semiHidden/>
    <w:unhideWhenUsed/>
    <w:rsid w:val="00354D6E"/>
    <w:rPr>
      <w:color w:val="605E5C"/>
      <w:shd w:val="clear" w:color="auto" w:fill="E1DFDD"/>
    </w:rPr>
  </w:style>
  <w:style w:type="character" w:styleId="ad">
    <w:name w:val="Strong"/>
    <w:basedOn w:val="a0"/>
    <w:uiPriority w:val="22"/>
    <w:qFormat/>
    <w:rsid w:val="00EF3F05"/>
    <w:rPr>
      <w:b/>
      <w:bCs/>
    </w:rPr>
  </w:style>
  <w:style w:type="character" w:customStyle="1" w:styleId="a8">
    <w:name w:val="Абзац списка Знак"/>
    <w:link w:val="a7"/>
    <w:uiPriority w:val="34"/>
    <w:locked/>
    <w:rsid w:val="008B65C5"/>
    <w:rPr>
      <w:rFonts w:eastAsia="Times New Roman"/>
      <w:sz w:val="22"/>
      <w:szCs w:val="22"/>
      <w:lang w:eastAsia="en-US"/>
    </w:rPr>
  </w:style>
  <w:style w:type="character" w:styleId="ae">
    <w:name w:val="FollowedHyperlink"/>
    <w:basedOn w:val="a0"/>
    <w:uiPriority w:val="99"/>
    <w:semiHidden/>
    <w:unhideWhenUsed/>
    <w:rsid w:val="008B6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38995793">
      <w:bodyDiv w:val="1"/>
      <w:marLeft w:val="0"/>
      <w:marRight w:val="0"/>
      <w:marTop w:val="0"/>
      <w:marBottom w:val="0"/>
      <w:divBdr>
        <w:top w:val="none" w:sz="0" w:space="0" w:color="auto"/>
        <w:left w:val="none" w:sz="0" w:space="0" w:color="auto"/>
        <w:bottom w:val="none" w:sz="0" w:space="0" w:color="auto"/>
        <w:right w:val="none" w:sz="0" w:space="0" w:color="auto"/>
      </w:divBdr>
    </w:div>
    <w:div w:id="713505309">
      <w:bodyDiv w:val="1"/>
      <w:marLeft w:val="0"/>
      <w:marRight w:val="0"/>
      <w:marTop w:val="0"/>
      <w:marBottom w:val="0"/>
      <w:divBdr>
        <w:top w:val="none" w:sz="0" w:space="0" w:color="auto"/>
        <w:left w:val="none" w:sz="0" w:space="0" w:color="auto"/>
        <w:bottom w:val="none" w:sz="0" w:space="0" w:color="auto"/>
        <w:right w:val="none" w:sz="0" w:space="0" w:color="auto"/>
      </w:divBdr>
    </w:div>
    <w:div w:id="1039938085">
      <w:bodyDiv w:val="1"/>
      <w:marLeft w:val="0"/>
      <w:marRight w:val="0"/>
      <w:marTop w:val="0"/>
      <w:marBottom w:val="0"/>
      <w:divBdr>
        <w:top w:val="none" w:sz="0" w:space="0" w:color="auto"/>
        <w:left w:val="none" w:sz="0" w:space="0" w:color="auto"/>
        <w:bottom w:val="none" w:sz="0" w:space="0" w:color="auto"/>
        <w:right w:val="none" w:sz="0" w:space="0" w:color="auto"/>
      </w:divBdr>
    </w:div>
    <w:div w:id="1435829222">
      <w:bodyDiv w:val="1"/>
      <w:marLeft w:val="0"/>
      <w:marRight w:val="0"/>
      <w:marTop w:val="0"/>
      <w:marBottom w:val="0"/>
      <w:divBdr>
        <w:top w:val="none" w:sz="0" w:space="0" w:color="auto"/>
        <w:left w:val="none" w:sz="0" w:space="0" w:color="auto"/>
        <w:bottom w:val="none" w:sz="0" w:space="0" w:color="auto"/>
        <w:right w:val="none" w:sz="0" w:space="0" w:color="auto"/>
      </w:divBdr>
    </w:div>
    <w:div w:id="1707832431">
      <w:bodyDiv w:val="1"/>
      <w:marLeft w:val="0"/>
      <w:marRight w:val="0"/>
      <w:marTop w:val="0"/>
      <w:marBottom w:val="0"/>
      <w:divBdr>
        <w:top w:val="none" w:sz="0" w:space="0" w:color="auto"/>
        <w:left w:val="none" w:sz="0" w:space="0" w:color="auto"/>
        <w:bottom w:val="none" w:sz="0" w:space="0" w:color="auto"/>
        <w:right w:val="none" w:sz="0" w:space="0" w:color="auto"/>
      </w:divBdr>
      <w:divsChild>
        <w:div w:id="807209414">
          <w:marLeft w:val="0"/>
          <w:marRight w:val="0"/>
          <w:marTop w:val="0"/>
          <w:marBottom w:val="0"/>
          <w:divBdr>
            <w:top w:val="none" w:sz="0" w:space="0" w:color="auto"/>
            <w:left w:val="none" w:sz="0" w:space="0" w:color="auto"/>
            <w:bottom w:val="none" w:sz="0" w:space="0" w:color="auto"/>
            <w:right w:val="none" w:sz="0" w:space="0" w:color="auto"/>
          </w:divBdr>
          <w:divsChild>
            <w:div w:id="656419891">
              <w:marLeft w:val="0"/>
              <w:marRight w:val="0"/>
              <w:marTop w:val="0"/>
              <w:marBottom w:val="0"/>
              <w:divBdr>
                <w:top w:val="none" w:sz="0" w:space="0" w:color="auto"/>
                <w:left w:val="none" w:sz="0" w:space="0" w:color="auto"/>
                <w:bottom w:val="none" w:sz="0" w:space="0" w:color="auto"/>
                <w:right w:val="none" w:sz="0" w:space="0" w:color="auto"/>
              </w:divBdr>
              <w:divsChild>
                <w:div w:id="1330981245">
                  <w:marLeft w:val="0"/>
                  <w:marRight w:val="0"/>
                  <w:marTop w:val="0"/>
                  <w:marBottom w:val="0"/>
                  <w:divBdr>
                    <w:top w:val="none" w:sz="0" w:space="0" w:color="auto"/>
                    <w:left w:val="none" w:sz="0" w:space="0" w:color="auto"/>
                    <w:bottom w:val="none" w:sz="0" w:space="0" w:color="auto"/>
                    <w:right w:val="none" w:sz="0" w:space="0" w:color="auto"/>
                  </w:divBdr>
                  <w:divsChild>
                    <w:div w:id="886768204">
                      <w:marLeft w:val="0"/>
                      <w:marRight w:val="0"/>
                      <w:marTop w:val="0"/>
                      <w:marBottom w:val="0"/>
                      <w:divBdr>
                        <w:top w:val="none" w:sz="0" w:space="0" w:color="auto"/>
                        <w:left w:val="none" w:sz="0" w:space="0" w:color="auto"/>
                        <w:bottom w:val="none" w:sz="0" w:space="0" w:color="auto"/>
                        <w:right w:val="none" w:sz="0" w:space="0" w:color="auto"/>
                      </w:divBdr>
                    </w:div>
                    <w:div w:id="20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495">
          <w:marLeft w:val="0"/>
          <w:marRight w:val="0"/>
          <w:marTop w:val="0"/>
          <w:marBottom w:val="0"/>
          <w:divBdr>
            <w:top w:val="none" w:sz="0" w:space="0" w:color="auto"/>
            <w:left w:val="none" w:sz="0" w:space="0" w:color="auto"/>
            <w:bottom w:val="none" w:sz="0" w:space="0" w:color="auto"/>
            <w:right w:val="none" w:sz="0" w:space="0" w:color="auto"/>
          </w:divBdr>
          <w:divsChild>
            <w:div w:id="369109619">
              <w:marLeft w:val="0"/>
              <w:marRight w:val="0"/>
              <w:marTop w:val="0"/>
              <w:marBottom w:val="0"/>
              <w:divBdr>
                <w:top w:val="none" w:sz="0" w:space="0" w:color="auto"/>
                <w:left w:val="none" w:sz="0" w:space="0" w:color="auto"/>
                <w:bottom w:val="none" w:sz="0" w:space="0" w:color="auto"/>
                <w:right w:val="none" w:sz="0" w:space="0" w:color="auto"/>
              </w:divBdr>
              <w:divsChild>
                <w:div w:id="2074042816">
                  <w:marLeft w:val="0"/>
                  <w:marRight w:val="0"/>
                  <w:marTop w:val="0"/>
                  <w:marBottom w:val="0"/>
                  <w:divBdr>
                    <w:top w:val="none" w:sz="0" w:space="0" w:color="auto"/>
                    <w:left w:val="none" w:sz="0" w:space="0" w:color="auto"/>
                    <w:bottom w:val="none" w:sz="0" w:space="0" w:color="auto"/>
                    <w:right w:val="none" w:sz="0" w:space="0" w:color="auto"/>
                  </w:divBdr>
                  <w:divsChild>
                    <w:div w:id="1764033429">
                      <w:marLeft w:val="0"/>
                      <w:marRight w:val="0"/>
                      <w:marTop w:val="0"/>
                      <w:marBottom w:val="0"/>
                      <w:divBdr>
                        <w:top w:val="none" w:sz="0" w:space="0" w:color="auto"/>
                        <w:left w:val="none" w:sz="0" w:space="0" w:color="auto"/>
                        <w:bottom w:val="none" w:sz="0" w:space="0" w:color="auto"/>
                        <w:right w:val="none" w:sz="0" w:space="0" w:color="auto"/>
                      </w:divBdr>
                      <w:divsChild>
                        <w:div w:id="642081101">
                          <w:marLeft w:val="0"/>
                          <w:marRight w:val="0"/>
                          <w:marTop w:val="0"/>
                          <w:marBottom w:val="0"/>
                          <w:divBdr>
                            <w:top w:val="none" w:sz="0" w:space="0" w:color="auto"/>
                            <w:left w:val="none" w:sz="0" w:space="0" w:color="auto"/>
                            <w:bottom w:val="none" w:sz="0" w:space="0" w:color="auto"/>
                            <w:right w:val="none" w:sz="0" w:space="0" w:color="auto"/>
                          </w:divBdr>
                          <w:divsChild>
                            <w:div w:id="1607691202">
                              <w:marLeft w:val="0"/>
                              <w:marRight w:val="0"/>
                              <w:marTop w:val="0"/>
                              <w:marBottom w:val="0"/>
                              <w:divBdr>
                                <w:top w:val="none" w:sz="0" w:space="0" w:color="auto"/>
                                <w:left w:val="none" w:sz="0" w:space="0" w:color="auto"/>
                                <w:bottom w:val="none" w:sz="0" w:space="0" w:color="auto"/>
                                <w:right w:val="none" w:sz="0" w:space="0" w:color="auto"/>
                              </w:divBdr>
                              <w:divsChild>
                                <w:div w:id="994452084">
                                  <w:marLeft w:val="0"/>
                                  <w:marRight w:val="0"/>
                                  <w:marTop w:val="0"/>
                                  <w:marBottom w:val="0"/>
                                  <w:divBdr>
                                    <w:top w:val="none" w:sz="0" w:space="0" w:color="auto"/>
                                    <w:left w:val="none" w:sz="0" w:space="0" w:color="auto"/>
                                    <w:bottom w:val="none" w:sz="0" w:space="0" w:color="auto"/>
                                    <w:right w:val="none" w:sz="0" w:space="0" w:color="auto"/>
                                  </w:divBdr>
                                  <w:divsChild>
                                    <w:div w:id="1583445569">
                                      <w:marLeft w:val="0"/>
                                      <w:marRight w:val="0"/>
                                      <w:marTop w:val="0"/>
                                      <w:marBottom w:val="0"/>
                                      <w:divBdr>
                                        <w:top w:val="none" w:sz="0" w:space="0" w:color="auto"/>
                                        <w:left w:val="none" w:sz="0" w:space="0" w:color="auto"/>
                                        <w:bottom w:val="none" w:sz="0" w:space="0" w:color="auto"/>
                                        <w:right w:val="none" w:sz="0" w:space="0" w:color="auto"/>
                                      </w:divBdr>
                                      <w:divsChild>
                                        <w:div w:id="395976789">
                                          <w:marLeft w:val="0"/>
                                          <w:marRight w:val="0"/>
                                          <w:marTop w:val="0"/>
                                          <w:marBottom w:val="0"/>
                                          <w:divBdr>
                                            <w:top w:val="none" w:sz="0" w:space="0" w:color="auto"/>
                                            <w:left w:val="none" w:sz="0" w:space="0" w:color="auto"/>
                                            <w:bottom w:val="none" w:sz="0" w:space="0" w:color="auto"/>
                                            <w:right w:val="none" w:sz="0" w:space="0" w:color="auto"/>
                                          </w:divBdr>
                                          <w:divsChild>
                                            <w:div w:id="18278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2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07/relationships/hdphoto" Target="media/hdphoto1.wdp"/><Relationship Id="rId26" Type="http://schemas.openxmlformats.org/officeDocument/2006/relationships/hyperlink" Target="https://doi.org/10.1038/nmat3459" TargetMode="External"/><Relationship Id="rId39" Type="http://schemas.openxmlformats.org/officeDocument/2006/relationships/hyperlink" Target="https://doi.org/10.1103/PhysRevLett.100.187006" TargetMode="External"/><Relationship Id="rId21" Type="http://schemas.openxmlformats.org/officeDocument/2006/relationships/hyperlink" Target="https://doi.org/10.1063/1.4892168" TargetMode="External"/><Relationship Id="rId34" Type="http://schemas.openxmlformats.org/officeDocument/2006/relationships/hyperlink" Target="https://doi.org/10.1038/s41598-023-30838-y" TargetMode="External"/><Relationship Id="rId42" Type="http://schemas.openxmlformats.org/officeDocument/2006/relationships/hyperlink" Target="https://doi.org/10.1103/PhysRevB.77.224512" TargetMode="External"/><Relationship Id="rId47" Type="http://schemas.openxmlformats.org/officeDocument/2006/relationships/hyperlink" Target="https://doi.org/10.1051/bioconf/202413004008" TargetMode="External"/><Relationship Id="rId50" Type="http://schemas.openxmlformats.org/officeDocument/2006/relationships/hyperlink" Target="https://doi.org/10.1063/5.0269092"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1103/PhysRevB.107.224434" TargetMode="External"/><Relationship Id="rId11" Type="http://schemas.openxmlformats.org/officeDocument/2006/relationships/settings" Target="settings.xml"/><Relationship Id="rId24" Type="http://schemas.openxmlformats.org/officeDocument/2006/relationships/hyperlink" Target="https://doi.org/10.26565/2312-4334-2023-3-10" TargetMode="External"/><Relationship Id="rId32" Type="http://schemas.openxmlformats.org/officeDocument/2006/relationships/hyperlink" Target="https://doi.org/10.1103/PhysRevB.107.054406" TargetMode="External"/><Relationship Id="rId37" Type="http://schemas.openxmlformats.org/officeDocument/2006/relationships/hyperlink" Target="https://doi.org/10.1063/5.0145404" TargetMode="External"/><Relationship Id="rId40" Type="http://schemas.openxmlformats.org/officeDocument/2006/relationships/hyperlink" Target="https://doi.org/10.1103/PhysRevLett.101.167002" TargetMode="External"/><Relationship Id="rId45" Type="http://schemas.openxmlformats.org/officeDocument/2006/relationships/hyperlink" Target="https://doi.org/10.1063/5.0173943"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tyles" Target="styles.xml"/><Relationship Id="rId19" Type="http://schemas.openxmlformats.org/officeDocument/2006/relationships/image" Target="media/image6.png"/><Relationship Id="rId31" Type="http://schemas.openxmlformats.org/officeDocument/2006/relationships/hyperlink" Target="https://doi.org/10.1103/PhysRevB.107.L100402" TargetMode="External"/><Relationship Id="rId44" Type="http://schemas.openxmlformats.org/officeDocument/2006/relationships/hyperlink" Target="https://doi.org/10.1063/5.0145554"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png"/><Relationship Id="rId22" Type="http://schemas.openxmlformats.org/officeDocument/2006/relationships/hyperlink" Target="https://doi.org/10.1038/nmat3553" TargetMode="External"/><Relationship Id="rId27" Type="http://schemas.openxmlformats.org/officeDocument/2006/relationships/hyperlink" Target="https://doi.org/10.1038/ncomms2709" TargetMode="External"/><Relationship Id="rId30" Type="http://schemas.openxmlformats.org/officeDocument/2006/relationships/hyperlink" Target="https://doi.org/10.1007/s12648-022-02435-8" TargetMode="External"/><Relationship Id="rId35" Type="http://schemas.openxmlformats.org/officeDocument/2006/relationships/hyperlink" Target="https://doi.org/10.1063/5.0265149" TargetMode="External"/><Relationship Id="rId43" Type="http://schemas.openxmlformats.org/officeDocument/2006/relationships/hyperlink" Target="https://doi.org/10.1103/PhysRevB.81.054521" TargetMode="External"/><Relationship Id="rId48" Type="http://schemas.openxmlformats.org/officeDocument/2006/relationships/hyperlink" Target="https://doi.org/10.1103/PhysRevB.95.144412" TargetMode="External"/><Relationship Id="rId8" Type="http://schemas.openxmlformats.org/officeDocument/2006/relationships/customXml" Target="../customXml/item8.xml"/><Relationship Id="rId51" Type="http://schemas.openxmlformats.org/officeDocument/2006/relationships/hyperlink" Target="https://doi.org/10.1063/5.0269506"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5.png"/><Relationship Id="rId25" Type="http://schemas.openxmlformats.org/officeDocument/2006/relationships/hyperlink" Target="https://doi.org/10.1038/nnano.2013.241" TargetMode="External"/><Relationship Id="rId33" Type="http://schemas.openxmlformats.org/officeDocument/2006/relationships/hyperlink" Target="https://doi.org/10.1063/5.0242100" TargetMode="External"/><Relationship Id="rId38" Type="http://schemas.openxmlformats.org/officeDocument/2006/relationships/hyperlink" Target="https://doi.org/10.1051/e3sconf/202340101090" TargetMode="External"/><Relationship Id="rId46" Type="http://schemas.openxmlformats.org/officeDocument/2006/relationships/hyperlink" Target="https://doi.org/10.1103/PhysRevB.90.054414" TargetMode="External"/><Relationship Id="rId20" Type="http://schemas.openxmlformats.org/officeDocument/2006/relationships/image" Target="media/image7.png"/><Relationship Id="rId41" Type="http://schemas.openxmlformats.org/officeDocument/2006/relationships/hyperlink" Target="https://doi.org/10.1063/5.014573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doi.org/10.1038/nnano.2013.102" TargetMode="External"/><Relationship Id="rId28" Type="http://schemas.openxmlformats.org/officeDocument/2006/relationships/hyperlink" Target="https://doi.org/10.1142/S021798492350015X" TargetMode="External"/><Relationship Id="rId36" Type="http://schemas.openxmlformats.org/officeDocument/2006/relationships/hyperlink" Target="https://doi.org/10.1038/nnano.2010.111" TargetMode="External"/><Relationship Id="rId49" Type="http://schemas.openxmlformats.org/officeDocument/2006/relationships/hyperlink" Target="https://doi.org/10.1109/JPROC.2016.2597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Props1.xml><?xml version="1.0" encoding="utf-8"?>
<ds:datastoreItem xmlns:ds="http://schemas.openxmlformats.org/officeDocument/2006/customXml" ds:itemID="{615CE788-3733-4DB4-A7BC-0C77C8163A1A}">
  <ds:schemaRefs>
    <ds:schemaRef ds:uri="http://www.w3.org/2003/InkML"/>
  </ds:schemaRefs>
</ds:datastoreItem>
</file>

<file path=customXml/itemProps2.xml><?xml version="1.0" encoding="utf-8"?>
<ds:datastoreItem xmlns:ds="http://schemas.openxmlformats.org/officeDocument/2006/customXml" ds:itemID="{92CCF74D-8D1F-4FCD-A2FC-BB6BD3683756}">
  <ds:schemaRefs>
    <ds:schemaRef ds:uri="http://www.w3.org/2003/InkML"/>
  </ds:schemaRefs>
</ds:datastoreItem>
</file>

<file path=customXml/itemProps3.xml><?xml version="1.0" encoding="utf-8"?>
<ds:datastoreItem xmlns:ds="http://schemas.openxmlformats.org/officeDocument/2006/customXml" ds:itemID="{6018409E-21CF-4529-99E3-840295CF523F}">
  <ds:schemaRefs>
    <ds:schemaRef ds:uri="http://www.w3.org/2003/InkML"/>
  </ds:schemaRefs>
</ds:datastoreItem>
</file>

<file path=customXml/itemProps4.xml><?xml version="1.0" encoding="utf-8"?>
<ds:datastoreItem xmlns:ds="http://schemas.openxmlformats.org/officeDocument/2006/customXml" ds:itemID="{91D177E1-550D-4E26-8073-EFD45C8BFE68}">
  <ds:schemaRefs>
    <ds:schemaRef ds:uri="http://www.w3.org/2003/InkML"/>
  </ds:schemaRefs>
</ds:datastoreItem>
</file>

<file path=customXml/itemProps5.xml><?xml version="1.0" encoding="utf-8"?>
<ds:datastoreItem xmlns:ds="http://schemas.openxmlformats.org/officeDocument/2006/customXml" ds:itemID="{D4479319-2041-4C88-8A79-51FE2E68A505}">
  <ds:schemaRefs>
    <ds:schemaRef ds:uri="http://www.w3.org/2003/InkML"/>
  </ds:schemaRefs>
</ds:datastoreItem>
</file>

<file path=customXml/itemProps6.xml><?xml version="1.0" encoding="utf-8"?>
<ds:datastoreItem xmlns:ds="http://schemas.openxmlformats.org/officeDocument/2006/customXml" ds:itemID="{C5E979F7-5E2A-4889-9FF2-51D72B0FF2DF}">
  <ds:schemaRefs>
    <ds:schemaRef ds:uri="http://www.w3.org/2003/InkML"/>
  </ds:schemaRefs>
</ds:datastoreItem>
</file>

<file path=customXml/itemProps7.xml><?xml version="1.0" encoding="utf-8"?>
<ds:datastoreItem xmlns:ds="http://schemas.openxmlformats.org/officeDocument/2006/customXml" ds:itemID="{8FDD09A5-EE87-4343-ACCC-3E58CA3F5B4B}">
  <ds:schemaRefs>
    <ds:schemaRef ds:uri="http://schemas.openxmlformats.org/officeDocument/2006/bibliography"/>
  </ds:schemaRefs>
</ds:datastoreItem>
</file>

<file path=customXml/itemProps8.xml><?xml version="1.0" encoding="utf-8"?>
<ds:datastoreItem xmlns:ds="http://schemas.openxmlformats.org/officeDocument/2006/customXml" ds:itemID="{B046B7A6-AF19-4C15-8A0D-D3B3B39B458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3856</Words>
  <Characters>21980</Characters>
  <Application>Microsoft Office Word</Application>
  <DocSecurity>0</DocSecurity>
  <PresentationFormat/>
  <Lines>183</Lines>
  <Paragraphs>51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2025-12-30T04:43:00Z</dcterms:created>
  <dcterms:modified xsi:type="dcterms:W3CDTF">2025-12-30T04:43:00Z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