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98CF" w14:textId="41149CD9" w:rsidR="00BC6BE6" w:rsidRPr="00095E4A" w:rsidRDefault="004D44FD" w:rsidP="00F13B31">
      <w:pPr>
        <w:pStyle w:val="af9"/>
        <w:spacing w:before="1200" w:beforeAutospacing="0" w:after="0" w:afterAutospacing="0"/>
        <w:jc w:val="center"/>
        <w:rPr>
          <w:b/>
          <w:bCs/>
          <w:sz w:val="36"/>
          <w:szCs w:val="28"/>
          <w:lang w:val="en-US" w:eastAsia="en-US"/>
        </w:rPr>
      </w:pPr>
      <w:r w:rsidRPr="00095E4A">
        <w:rPr>
          <w:b/>
          <w:bCs/>
          <w:sz w:val="36"/>
          <w:szCs w:val="28"/>
          <w:lang w:val="en-US" w:eastAsia="en-US"/>
        </w:rPr>
        <w:t>Computational Modeling of Photoconductivity in Hydrogenated Amorphous Silicon for Sustainable Photovoltaic Applications</w:t>
      </w:r>
    </w:p>
    <w:p w14:paraId="6721FC41" w14:textId="244E470B" w:rsidR="00E72F21" w:rsidRPr="00E72F21" w:rsidRDefault="00095E4A" w:rsidP="00FB5384">
      <w:pPr>
        <w:pStyle w:val="af9"/>
        <w:spacing w:before="360" w:beforeAutospacing="0" w:after="360" w:afterAutospacing="0"/>
        <w:jc w:val="center"/>
        <w:rPr>
          <w:sz w:val="28"/>
          <w:szCs w:val="28"/>
          <w:lang w:val="en-US" w:eastAsia="en-US"/>
        </w:rPr>
      </w:pPr>
      <w:r>
        <w:rPr>
          <w:sz w:val="28"/>
          <w:szCs w:val="28"/>
          <w:lang w:val="en-US" w:eastAsia="en-US"/>
        </w:rPr>
        <w:t xml:space="preserve">Abduvokhid </w:t>
      </w:r>
      <w:r w:rsidR="00624E98" w:rsidRPr="00E72F21">
        <w:rPr>
          <w:sz w:val="28"/>
          <w:szCs w:val="28"/>
          <w:lang w:val="en-US" w:eastAsia="en-US"/>
        </w:rPr>
        <w:t>Abdukadirov</w:t>
      </w:r>
      <w:r w:rsidR="00FB5384" w:rsidRPr="00FB5384">
        <w:rPr>
          <w:sz w:val="28"/>
          <w:szCs w:val="28"/>
          <w:vertAlign w:val="superscript"/>
          <w:lang w:val="en-US" w:eastAsia="en-US"/>
        </w:rPr>
        <w:t xml:space="preserve">1, </w:t>
      </w:r>
      <w:r w:rsidR="00E72F21" w:rsidRPr="00E72F21">
        <w:rPr>
          <w:sz w:val="28"/>
          <w:szCs w:val="28"/>
          <w:vertAlign w:val="superscript"/>
          <w:lang w:val="en-US" w:eastAsia="en-US"/>
        </w:rPr>
        <w:t>a</w:t>
      </w:r>
      <w:r>
        <w:rPr>
          <w:sz w:val="28"/>
          <w:szCs w:val="28"/>
          <w:vertAlign w:val="superscript"/>
          <w:lang w:val="en-US" w:eastAsia="en-US"/>
        </w:rPr>
        <w:t>)</w:t>
      </w:r>
      <w:r w:rsidR="00E72F21" w:rsidRPr="00E72F21">
        <w:rPr>
          <w:sz w:val="28"/>
          <w:szCs w:val="28"/>
          <w:lang w:val="en-US" w:eastAsia="en-US"/>
        </w:rPr>
        <w:t xml:space="preserve">, </w:t>
      </w:r>
      <w:r>
        <w:rPr>
          <w:sz w:val="28"/>
          <w:szCs w:val="28"/>
          <w:lang w:val="en-US" w:eastAsia="en-US"/>
        </w:rPr>
        <w:t xml:space="preserve">Bakhtiyor </w:t>
      </w:r>
      <w:r w:rsidR="00E72F21" w:rsidRPr="00E72F21">
        <w:rPr>
          <w:sz w:val="28"/>
          <w:szCs w:val="28"/>
          <w:lang w:val="en-US" w:eastAsia="en-US"/>
        </w:rPr>
        <w:t>Abdukadirov</w:t>
      </w:r>
      <w:r w:rsidR="00FB5384" w:rsidRPr="00FB5384">
        <w:rPr>
          <w:sz w:val="28"/>
          <w:szCs w:val="28"/>
          <w:vertAlign w:val="superscript"/>
          <w:lang w:val="en-US" w:eastAsia="en-US"/>
        </w:rPr>
        <w:t>2</w:t>
      </w:r>
    </w:p>
    <w:p w14:paraId="08761625" w14:textId="24E3C7FC" w:rsidR="002C6D9B" w:rsidRPr="00FB5384" w:rsidRDefault="00FB5384" w:rsidP="00FB5384">
      <w:pPr>
        <w:pStyle w:val="af9"/>
        <w:spacing w:before="0" w:beforeAutospacing="0" w:after="0" w:afterAutospacing="0"/>
        <w:jc w:val="center"/>
        <w:rPr>
          <w:i/>
          <w:sz w:val="20"/>
          <w:szCs w:val="20"/>
          <w:lang w:val="en-US" w:eastAsia="en-US"/>
        </w:rPr>
      </w:pPr>
      <w:r w:rsidRPr="00FB5384">
        <w:rPr>
          <w:i/>
          <w:sz w:val="20"/>
          <w:szCs w:val="20"/>
          <w:vertAlign w:val="superscript"/>
          <w:lang w:val="en-US" w:eastAsia="en-US"/>
        </w:rPr>
        <w:t>1</w:t>
      </w:r>
      <w:r w:rsidRPr="00FB5384">
        <w:rPr>
          <w:i/>
          <w:sz w:val="20"/>
          <w:szCs w:val="20"/>
          <w:lang w:val="en-US" w:eastAsia="en-US"/>
        </w:rPr>
        <w:t>Fergana State Technological</w:t>
      </w:r>
      <w:r w:rsidR="009A510B" w:rsidRPr="00FB5384">
        <w:rPr>
          <w:i/>
          <w:sz w:val="20"/>
          <w:szCs w:val="20"/>
          <w:lang w:val="en-US" w:eastAsia="en-US"/>
        </w:rPr>
        <w:t xml:space="preserve"> University</w:t>
      </w:r>
      <w:r w:rsidR="00BC6BE6" w:rsidRPr="00FB5384">
        <w:rPr>
          <w:i/>
          <w:sz w:val="20"/>
          <w:szCs w:val="20"/>
          <w:lang w:val="en-US" w:eastAsia="en-US"/>
        </w:rPr>
        <w:t xml:space="preserve">, </w:t>
      </w:r>
      <w:r w:rsidR="009A510B" w:rsidRPr="00FB5384">
        <w:rPr>
          <w:i/>
          <w:sz w:val="20"/>
          <w:szCs w:val="20"/>
          <w:lang w:val="en-US" w:eastAsia="en-US"/>
        </w:rPr>
        <w:t>Fergana</w:t>
      </w:r>
      <w:r w:rsidR="00BC6BE6" w:rsidRPr="00FB5384">
        <w:rPr>
          <w:i/>
          <w:sz w:val="20"/>
          <w:szCs w:val="20"/>
          <w:lang w:val="en-US" w:eastAsia="en-US"/>
        </w:rPr>
        <w:t xml:space="preserve">, </w:t>
      </w:r>
      <w:r w:rsidR="009A510B" w:rsidRPr="00FB5384">
        <w:rPr>
          <w:i/>
          <w:sz w:val="20"/>
          <w:szCs w:val="20"/>
          <w:lang w:val="en-US" w:eastAsia="en-US"/>
        </w:rPr>
        <w:t>Uzbekistan</w:t>
      </w:r>
    </w:p>
    <w:p w14:paraId="719BE08B" w14:textId="62B833D7" w:rsidR="00FB5384" w:rsidRPr="00FB5384" w:rsidRDefault="00FB5384" w:rsidP="00FB5384">
      <w:pPr>
        <w:pStyle w:val="af9"/>
        <w:spacing w:before="0" w:beforeAutospacing="0" w:after="0" w:afterAutospacing="0"/>
        <w:jc w:val="center"/>
        <w:rPr>
          <w:i/>
          <w:sz w:val="20"/>
          <w:szCs w:val="20"/>
          <w:lang w:val="en-US" w:eastAsia="en-US"/>
        </w:rPr>
      </w:pPr>
      <w:r w:rsidRPr="00FB5384">
        <w:rPr>
          <w:i/>
          <w:sz w:val="20"/>
          <w:szCs w:val="20"/>
          <w:vertAlign w:val="superscript"/>
          <w:lang w:val="en-US" w:eastAsia="en-US"/>
        </w:rPr>
        <w:t>2</w:t>
      </w:r>
      <w:r w:rsidRPr="00FB5384">
        <w:rPr>
          <w:i/>
          <w:sz w:val="20"/>
          <w:szCs w:val="20"/>
          <w:lang w:val="en-US" w:eastAsia="en-US"/>
        </w:rPr>
        <w:t>Fergana State University, Fergana, Uzbekistan</w:t>
      </w:r>
    </w:p>
    <w:p w14:paraId="45F30BE0" w14:textId="77777777" w:rsidR="00FB5384" w:rsidRPr="00FB5384" w:rsidRDefault="00FB5384" w:rsidP="00FB5384">
      <w:pPr>
        <w:pStyle w:val="af9"/>
        <w:spacing w:before="0" w:beforeAutospacing="0" w:after="0" w:afterAutospacing="0"/>
        <w:jc w:val="center"/>
        <w:rPr>
          <w:i/>
          <w:sz w:val="20"/>
          <w:szCs w:val="20"/>
          <w:lang w:val="en-US" w:eastAsia="en-US"/>
        </w:rPr>
      </w:pPr>
    </w:p>
    <w:p w14:paraId="31FA9161" w14:textId="3B234DA5" w:rsidR="004D44FD" w:rsidRPr="00FB5384" w:rsidRDefault="00095E4A" w:rsidP="00FB5384">
      <w:pPr>
        <w:pStyle w:val="af9"/>
        <w:spacing w:before="0" w:beforeAutospacing="0" w:after="0" w:afterAutospacing="0"/>
        <w:jc w:val="center"/>
        <w:rPr>
          <w:i/>
          <w:sz w:val="20"/>
          <w:szCs w:val="20"/>
          <w:lang w:val="en-US" w:eastAsia="en-US"/>
        </w:rPr>
      </w:pPr>
      <w:r w:rsidRPr="00FB5384">
        <w:rPr>
          <w:i/>
          <w:sz w:val="20"/>
          <w:szCs w:val="20"/>
          <w:vertAlign w:val="superscript"/>
          <w:lang w:val="en-US" w:eastAsia="en-US"/>
        </w:rPr>
        <w:t>a)</w:t>
      </w:r>
      <w:r w:rsidRPr="00FB5384">
        <w:rPr>
          <w:i/>
          <w:sz w:val="20"/>
          <w:szCs w:val="20"/>
          <w:lang w:val="en-US" w:eastAsia="en-US"/>
        </w:rPr>
        <w:t>Corresponding author</w:t>
      </w:r>
      <w:r w:rsidR="004D44FD" w:rsidRPr="00FB5384">
        <w:rPr>
          <w:i/>
          <w:sz w:val="20"/>
          <w:szCs w:val="20"/>
          <w:lang w:val="en-US" w:eastAsia="en-US"/>
        </w:rPr>
        <w:t xml:space="preserve">: </w:t>
      </w:r>
      <w:hyperlink r:id="rId8" w:history="1">
        <w:r w:rsidR="004D44FD" w:rsidRPr="00FB5384">
          <w:rPr>
            <w:i/>
            <w:sz w:val="20"/>
            <w:szCs w:val="20"/>
            <w:lang w:val="en-US" w:eastAsia="en-US"/>
          </w:rPr>
          <w:t>а-vahytjon@umail.uz</w:t>
        </w:r>
      </w:hyperlink>
    </w:p>
    <w:p w14:paraId="5129BDF5" w14:textId="071621DC" w:rsidR="00993E9F" w:rsidRPr="00FB5384" w:rsidRDefault="00FB5384" w:rsidP="00FB5384">
      <w:pPr>
        <w:pStyle w:val="SPIEabstracttitle"/>
        <w:spacing w:before="360" w:after="360"/>
        <w:ind w:left="289" w:right="289"/>
        <w:jc w:val="both"/>
        <w:rPr>
          <w:b w:val="0"/>
          <w:sz w:val="18"/>
          <w:szCs w:val="18"/>
        </w:rPr>
      </w:pPr>
      <w:r w:rsidRPr="00FB5384">
        <w:rPr>
          <w:caps w:val="0"/>
          <w:sz w:val="18"/>
          <w:szCs w:val="18"/>
        </w:rPr>
        <w:t>Abstract</w:t>
      </w:r>
      <w:r w:rsidRPr="00FB5384">
        <w:rPr>
          <w:sz w:val="18"/>
          <w:szCs w:val="18"/>
        </w:rPr>
        <w:t xml:space="preserve">. </w:t>
      </w:r>
      <w:r w:rsidRPr="00FB5384">
        <w:rPr>
          <w:b w:val="0"/>
          <w:caps w:val="0"/>
          <w:sz w:val="18"/>
          <w:szCs w:val="18"/>
        </w:rPr>
        <w:t>This research aims to develop and numerically analyze a theoretical model describing photoconductivity in undoped hydrogenated amorphous silicon (a-si:h) under dual optical excitation. The main objective of the study is to establish quantitative relationships between the infrared (ir) illumination intensity and the</w:t>
      </w:r>
      <w:r w:rsidR="005E7DAA">
        <w:rPr>
          <w:b w:val="0"/>
          <w:caps w:val="0"/>
          <w:sz w:val="18"/>
          <w:szCs w:val="18"/>
        </w:rPr>
        <w:t xml:space="preserve"> </w:t>
      </w:r>
      <w:r w:rsidRPr="00FB5384">
        <w:rPr>
          <w:b w:val="0"/>
          <w:caps w:val="0"/>
          <w:sz w:val="18"/>
          <w:szCs w:val="18"/>
        </w:rPr>
        <w:t>steady-state carrier concentration, providing insight into charge transport mechanisms  in disordered semiconductors. The research object is an amorphous silicon thin film, containing 5-8% hydrogen, which can be taken as a model of low cost thin film photovoltaic devices. In the simulation, equations for the generation, tunnelling relaxation, and localization-delocalization recombination of mobile carriers are solved numerically, and the results are used to calculate the population of localised states and the photoconductivity frequency dependence versus ir excitation intensity. The results show that the photoconductivity grows sublinearly with the ir illumination and that the delocalized carriers dominate at low temperatures (t &lt; 50 k).</w:t>
      </w:r>
      <w:r w:rsidRPr="00FB5384">
        <w:rPr>
          <w:b w:val="0"/>
          <w:sz w:val="18"/>
          <w:szCs w:val="18"/>
        </w:rPr>
        <w:t xml:space="preserve"> </w:t>
      </w:r>
      <w:r w:rsidRPr="00FB5384">
        <w:rPr>
          <w:b w:val="0"/>
          <w:caps w:val="0"/>
          <w:sz w:val="18"/>
          <w:szCs w:val="18"/>
        </w:rPr>
        <w:t>As a result, both photoluminescence and photoconductivity spectra can be calculated simultaneously, yielding a unified picture of carrier dynamics in amorphous semiconductors that corroborates previously reported experimental findings and expands the understanding of defect-related transport in a-si:h materials.</w:t>
      </w:r>
      <w:r w:rsidRPr="00FB5384">
        <w:rPr>
          <w:b w:val="0"/>
          <w:sz w:val="18"/>
          <w:szCs w:val="18"/>
        </w:rPr>
        <w:t xml:space="preserve"> </w:t>
      </w:r>
      <w:r w:rsidRPr="00FB5384">
        <w:rPr>
          <w:b w:val="0"/>
          <w:caps w:val="0"/>
          <w:sz w:val="18"/>
          <w:szCs w:val="18"/>
        </w:rPr>
        <w:t>The results also suggest that hydrogenated amorphous silicon can be used as a stable and viable material for photovoltaics with the proposed model suitable for optimising devices, predicting long-term degradation behaviour, and for developing future thin-film photovoltaic devices.</w:t>
      </w:r>
    </w:p>
    <w:p w14:paraId="36F61981" w14:textId="77777777" w:rsidR="00993E9F" w:rsidRPr="00FB5384" w:rsidRDefault="00993E9F" w:rsidP="00FB5384">
      <w:pPr>
        <w:pStyle w:val="af9"/>
        <w:spacing w:before="360" w:beforeAutospacing="0" w:after="360" w:afterAutospacing="0"/>
        <w:ind w:left="289" w:right="289"/>
        <w:jc w:val="both"/>
        <w:rPr>
          <w:sz w:val="18"/>
          <w:szCs w:val="18"/>
          <w:lang w:val="en-US" w:eastAsia="en-US"/>
        </w:rPr>
      </w:pPr>
      <w:r w:rsidRPr="00FB5384">
        <w:rPr>
          <w:b/>
          <w:bCs/>
          <w:sz w:val="18"/>
          <w:szCs w:val="18"/>
          <w:lang w:val="en-US" w:eastAsia="en-US"/>
        </w:rPr>
        <w:t xml:space="preserve">Keywords: </w:t>
      </w:r>
      <w:r w:rsidRPr="00FB5384">
        <w:rPr>
          <w:sz w:val="18"/>
          <w:szCs w:val="18"/>
          <w:lang w:val="en-US" w:eastAsia="en-US"/>
        </w:rPr>
        <w:t>Amorphous silicon photovoltaics, Photoconductivity modelling, Dual beam illumination, Carrier kinetics, Numerical modelling, Sustainable energy materials, Thin film solar cells.</w:t>
      </w:r>
    </w:p>
    <w:p w14:paraId="65A94E72" w14:textId="0C416499" w:rsidR="00993E9F" w:rsidRPr="00FB5384" w:rsidRDefault="00FB5384" w:rsidP="00FB5384">
      <w:pPr>
        <w:pStyle w:val="af9"/>
        <w:spacing w:before="240" w:beforeAutospacing="0" w:after="240" w:afterAutospacing="0"/>
        <w:jc w:val="center"/>
        <w:rPr>
          <w:rStyle w:val="af1"/>
          <w:szCs w:val="28"/>
          <w:lang w:val="en-US" w:eastAsia="en-US"/>
        </w:rPr>
      </w:pPr>
      <w:r w:rsidRPr="00FB5384">
        <w:rPr>
          <w:rStyle w:val="af1"/>
          <w:szCs w:val="28"/>
          <w:lang w:val="en-US" w:eastAsia="en-US"/>
        </w:rPr>
        <w:t>INTRODUCTION</w:t>
      </w:r>
    </w:p>
    <w:p w14:paraId="0BBC4CF8" w14:textId="77777777" w:rsidR="00993E9F" w:rsidRPr="00FB5384" w:rsidRDefault="00993E9F" w:rsidP="00FB5384">
      <w:pPr>
        <w:pStyle w:val="af9"/>
        <w:spacing w:before="0" w:beforeAutospacing="0" w:after="0" w:afterAutospacing="0"/>
        <w:ind w:firstLine="284"/>
        <w:jc w:val="both"/>
        <w:rPr>
          <w:rStyle w:val="af1"/>
          <w:b w:val="0"/>
          <w:bCs w:val="0"/>
          <w:sz w:val="20"/>
          <w:szCs w:val="20"/>
          <w:lang w:val="en-US" w:eastAsia="en-US"/>
        </w:rPr>
      </w:pPr>
      <w:r w:rsidRPr="00FB5384">
        <w:rPr>
          <w:rStyle w:val="af1"/>
          <w:b w:val="0"/>
          <w:bCs w:val="0"/>
          <w:sz w:val="20"/>
          <w:szCs w:val="20"/>
          <w:lang w:val="en-US" w:eastAsia="en-US"/>
        </w:rPr>
        <w:t>As the global identity of the energy sector pivots toward sustainable energy sources, photovoltaics (solar panels) are one of the most promising and fastest-growing routes for renewable energy. A successful photovoltaic future is dependent on material development that is low-cost and low-environmental impact at high efficiency. Thin-film semiconductors, such as hydrogenated amorphous silicon (a- Si:H), are well suited for large area coating, low temperature processing and flexible substrates [1, 2]. Although c-Si cells dominate the PV market today, thin-films will inevitably play an important role in future generations of solar cells and tandem devices, where flexible, lightweight or inexpensive substrates are required [3, 4].</w:t>
      </w:r>
    </w:p>
    <w:p w14:paraId="49A9A8A7" w14:textId="1EFD605D" w:rsidR="00993E9F" w:rsidRPr="00FB5384" w:rsidRDefault="00993E9F" w:rsidP="00FB5384">
      <w:pPr>
        <w:pStyle w:val="af9"/>
        <w:spacing w:before="0" w:beforeAutospacing="0" w:after="0" w:afterAutospacing="0"/>
        <w:ind w:firstLine="284"/>
        <w:jc w:val="both"/>
        <w:rPr>
          <w:rStyle w:val="af1"/>
          <w:b w:val="0"/>
          <w:bCs w:val="0"/>
          <w:sz w:val="20"/>
          <w:szCs w:val="20"/>
          <w:lang w:val="en-US" w:eastAsia="en-US"/>
        </w:rPr>
      </w:pPr>
      <w:r w:rsidRPr="00FB5384">
        <w:rPr>
          <w:rStyle w:val="af1"/>
          <w:b w:val="0"/>
          <w:bCs w:val="0"/>
          <w:sz w:val="20"/>
          <w:szCs w:val="20"/>
          <w:lang w:val="en-US" w:eastAsia="en-US"/>
        </w:rPr>
        <w:t xml:space="preserve">Hydrogenated amorphous silicon is an unique material in which the disordered state and the presence of hydrogen atoms combine to reduce the defect density and increase the photoconductivity via hydrogen passivation of dangling bonds. The bandgap of 1.6 to 1.8 eV suits well for sunlight </w:t>
      </w:r>
      <w:r w:rsidR="008415BB">
        <w:rPr>
          <w:rStyle w:val="af1"/>
          <w:b w:val="0"/>
          <w:bCs w:val="0"/>
          <w:sz w:val="20"/>
          <w:szCs w:val="20"/>
          <w:lang w:val="en-US" w:eastAsia="en-US"/>
        </w:rPr>
        <w:t>[5-</w:t>
      </w:r>
      <w:r w:rsidRPr="00FB5384">
        <w:rPr>
          <w:rStyle w:val="af1"/>
          <w:b w:val="0"/>
          <w:bCs w:val="0"/>
          <w:sz w:val="20"/>
          <w:szCs w:val="20"/>
          <w:lang w:val="en-US" w:eastAsia="en-US"/>
        </w:rPr>
        <w:t xml:space="preserve">6]. Due to the absence of long-range order, there exist localised states in the mobility gap. These states are important for charge generation, recombination, and transport in these materials. How these states interact with photocarriers is responsible for a number of the observed properties of amorphous silicon, such as the Staebler-Wronski effect, light-induced </w:t>
      </w:r>
      <w:r w:rsidRPr="00FB5384">
        <w:rPr>
          <w:rStyle w:val="af1"/>
          <w:b w:val="0"/>
          <w:bCs w:val="0"/>
          <w:sz w:val="20"/>
          <w:szCs w:val="20"/>
          <w:lang w:val="en-US" w:eastAsia="en-US"/>
        </w:rPr>
        <w:lastRenderedPageBreak/>
        <w:t>metastability, and shortened carrier lifetimes, and understanding the effect of these localised states on photocarrier dynamics is critical to the improvement of the performance and stability of a-Si:H devices.</w:t>
      </w:r>
    </w:p>
    <w:p w14:paraId="428D2B5B" w14:textId="77777777" w:rsidR="00993E9F" w:rsidRPr="00FB5384" w:rsidRDefault="00993E9F" w:rsidP="00FB5384">
      <w:pPr>
        <w:pStyle w:val="af9"/>
        <w:spacing w:before="0" w:beforeAutospacing="0" w:after="0" w:afterAutospacing="0"/>
        <w:ind w:firstLine="284"/>
        <w:jc w:val="both"/>
        <w:rPr>
          <w:rStyle w:val="af1"/>
          <w:b w:val="0"/>
          <w:bCs w:val="0"/>
          <w:sz w:val="20"/>
          <w:szCs w:val="20"/>
          <w:lang w:val="en-US" w:eastAsia="en-US"/>
        </w:rPr>
      </w:pPr>
      <w:r w:rsidRPr="00FB5384">
        <w:rPr>
          <w:rStyle w:val="af1"/>
          <w:b w:val="0"/>
          <w:bCs w:val="0"/>
          <w:sz w:val="20"/>
          <w:szCs w:val="20"/>
          <w:lang w:val="en-US" w:eastAsia="en-US"/>
        </w:rPr>
        <w:t>The advent of new computational and experimental methods has vastly improved our understanding of defect physics in a-Si. New high-level atomistic simulation methods, such as machine-learning-based interatomic potentials, allow for the study of realistic a-Si:H structures with millions of atoms to quantitatively probe the formation and distribution of localised electronic states [10, 11, 12]. Interband generation, trap-assisted capture and emission, band-to-band tunnelling transitions and recombination are also increasingly being described using advanced kinetic and numerical models to analyse steady-state and time-resolved transient photoconductivity data [7, 13], as well as to help optimise deposition conditions, hydrogenation, and device designs.</w:t>
      </w:r>
    </w:p>
    <w:p w14:paraId="4FC9ABE3" w14:textId="6F79B49A" w:rsidR="00993E9F" w:rsidRPr="00FB5384" w:rsidRDefault="00993E9F" w:rsidP="00FB5384">
      <w:pPr>
        <w:pStyle w:val="af9"/>
        <w:spacing w:before="0" w:beforeAutospacing="0" w:after="0" w:afterAutospacing="0"/>
        <w:ind w:firstLine="284"/>
        <w:jc w:val="both"/>
        <w:rPr>
          <w:rStyle w:val="af1"/>
          <w:b w:val="0"/>
          <w:bCs w:val="0"/>
          <w:sz w:val="20"/>
          <w:szCs w:val="20"/>
          <w:lang w:val="en-US" w:eastAsia="en-US"/>
        </w:rPr>
      </w:pPr>
      <w:r w:rsidRPr="00FB5384">
        <w:rPr>
          <w:rStyle w:val="af1"/>
          <w:b w:val="0"/>
          <w:bCs w:val="0"/>
          <w:sz w:val="20"/>
          <w:szCs w:val="20"/>
          <w:lang w:val="en-US" w:eastAsia="en-US"/>
        </w:rPr>
        <w:t>Dual-beam optical excitation (visible (interband) and infrared (IR) radiation) has also proven to be an especially useful experimental tool for the studies of charge transport in amorphous semiconductors, via the generation of electron-hole pairs by visible-light and the photo-excitation from localised states into extende</w:t>
      </w:r>
      <w:r w:rsidR="006629CF">
        <w:rPr>
          <w:rStyle w:val="af1"/>
          <w:b w:val="0"/>
          <w:bCs w:val="0"/>
          <w:sz w:val="20"/>
          <w:szCs w:val="20"/>
          <w:lang w:val="en-US" w:eastAsia="en-US"/>
        </w:rPr>
        <w:t>d bands by infrared photons [14-</w:t>
      </w:r>
      <w:r w:rsidRPr="00FB5384">
        <w:rPr>
          <w:rStyle w:val="af1"/>
          <w:b w:val="0"/>
          <w:bCs w:val="0"/>
          <w:sz w:val="20"/>
          <w:szCs w:val="20"/>
          <w:lang w:val="en-US" w:eastAsia="en-US"/>
        </w:rPr>
        <w:t>16]. The inclusion of IR-induced excitation within models also provides a direct connection between the microscopic defect states and the responses that can be measured at the macroscopic level, such as photoconductivity and photoluminescence spectra.</w:t>
      </w:r>
    </w:p>
    <w:p w14:paraId="4442CA41" w14:textId="0C67A8A9" w:rsidR="00993E9F" w:rsidRPr="00FB5384" w:rsidRDefault="00993E9F" w:rsidP="00FB5384">
      <w:pPr>
        <w:pStyle w:val="af9"/>
        <w:spacing w:before="0" w:beforeAutospacing="0" w:after="0" w:afterAutospacing="0"/>
        <w:ind w:firstLine="284"/>
        <w:jc w:val="both"/>
        <w:rPr>
          <w:rStyle w:val="af1"/>
          <w:b w:val="0"/>
          <w:bCs w:val="0"/>
          <w:sz w:val="20"/>
          <w:szCs w:val="20"/>
          <w:lang w:val="en-US" w:eastAsia="en-US"/>
        </w:rPr>
      </w:pPr>
      <w:r w:rsidRPr="00FB5384">
        <w:rPr>
          <w:rStyle w:val="af1"/>
          <w:b w:val="0"/>
          <w:bCs w:val="0"/>
          <w:sz w:val="20"/>
          <w:szCs w:val="20"/>
          <w:lang w:val="en-US" w:eastAsia="en-US"/>
        </w:rPr>
        <w:t xml:space="preserve">Hydrogen can passivate deep traps but also creates metastable defects that induce light-induced degradation. It has been shown that controlling the amount of hydrogen incorporated during deposition in a PECVD reactor improves the stability and decreases the density </w:t>
      </w:r>
      <w:r w:rsidR="006629CF">
        <w:rPr>
          <w:rStyle w:val="af1"/>
          <w:b w:val="0"/>
          <w:bCs w:val="0"/>
          <w:sz w:val="20"/>
          <w:szCs w:val="20"/>
          <w:lang w:val="en-US" w:eastAsia="en-US"/>
        </w:rPr>
        <w:t>of recombination centers [11</w:t>
      </w:r>
      <w:r w:rsidRPr="00FB5384">
        <w:rPr>
          <w:rStyle w:val="af1"/>
          <w:b w:val="0"/>
          <w:bCs w:val="0"/>
          <w:sz w:val="20"/>
          <w:szCs w:val="20"/>
          <w:lang w:val="en-US" w:eastAsia="en-US"/>
        </w:rPr>
        <w:t>]. Such improvements are vital for both reliability, and to meet modern PV manufacturing sustainability objectives due to the reduction in both represented energy and assoc</w:t>
      </w:r>
      <w:r w:rsidR="006629CF">
        <w:rPr>
          <w:rStyle w:val="af1"/>
          <w:b w:val="0"/>
          <w:bCs w:val="0"/>
          <w:sz w:val="20"/>
          <w:szCs w:val="20"/>
          <w:lang w:val="en-US" w:eastAsia="en-US"/>
        </w:rPr>
        <w:t>iated environmental impacts</w:t>
      </w:r>
      <w:r w:rsidRPr="00FB5384">
        <w:rPr>
          <w:rStyle w:val="af1"/>
          <w:b w:val="0"/>
          <w:bCs w:val="0"/>
          <w:sz w:val="20"/>
          <w:szCs w:val="20"/>
          <w:lang w:val="en-US" w:eastAsia="en-US"/>
        </w:rPr>
        <w:t>.</w:t>
      </w:r>
    </w:p>
    <w:p w14:paraId="7A5E4070" w14:textId="4E871F16" w:rsidR="00D2562D" w:rsidRPr="00FB5384" w:rsidRDefault="00E22B6D" w:rsidP="00FB5384">
      <w:pPr>
        <w:pStyle w:val="af9"/>
        <w:spacing w:before="0" w:beforeAutospacing="0" w:after="0" w:afterAutospacing="0"/>
        <w:ind w:firstLine="284"/>
        <w:jc w:val="both"/>
        <w:rPr>
          <w:sz w:val="20"/>
          <w:szCs w:val="20"/>
          <w:lang w:val="en-US"/>
        </w:rPr>
      </w:pPr>
      <w:r w:rsidRPr="00FB5384">
        <w:rPr>
          <w:rStyle w:val="af1"/>
          <w:b w:val="0"/>
          <w:bCs w:val="0"/>
          <w:sz w:val="20"/>
          <w:szCs w:val="20"/>
          <w:lang w:val="en-US" w:eastAsia="en-US"/>
        </w:rPr>
        <w:t xml:space="preserve">This </w:t>
      </w:r>
      <w:r w:rsidR="00FB5384">
        <w:rPr>
          <w:rStyle w:val="af1"/>
          <w:b w:val="0"/>
          <w:bCs w:val="0"/>
          <w:sz w:val="20"/>
          <w:szCs w:val="20"/>
          <w:lang w:val="en-US" w:eastAsia="en-US"/>
        </w:rPr>
        <w:t>article</w:t>
      </w:r>
      <w:r w:rsidRPr="00FB5384">
        <w:rPr>
          <w:rStyle w:val="af1"/>
          <w:b w:val="0"/>
          <w:bCs w:val="0"/>
          <w:sz w:val="20"/>
          <w:szCs w:val="20"/>
          <w:lang w:val="en-US" w:eastAsia="en-US"/>
        </w:rPr>
        <w:t xml:space="preserve"> seeks to develop and numerically investigate a model for the steady-state photoconductivity of undoped (intrinsic) hydrogenated amorphous silicon (a Si:H) excited by dual-beam (visible + IR) illumination. </w:t>
      </w:r>
      <w:r w:rsidR="00D2562D" w:rsidRPr="00FB5384">
        <w:rPr>
          <w:sz w:val="20"/>
          <w:szCs w:val="20"/>
          <w:lang w:val="en-US"/>
        </w:rPr>
        <w:t>The model describes carrier generation, tunneling relaxation, and recombination within localized states while accounting for IR-induced photo-excitation into extended bands. By combining physically realistic density-of-states parameters with kinetic balance equations, this work provides a predictive framework for understanding and optimizing the photoelectronic behavior of a-Si:H thin films.</w:t>
      </w:r>
    </w:p>
    <w:p w14:paraId="4B35B5E3" w14:textId="77777777" w:rsidR="00D2562D" w:rsidRPr="00FB5384" w:rsidRDefault="00D2562D" w:rsidP="00FB5384">
      <w:pPr>
        <w:pStyle w:val="af9"/>
        <w:numPr>
          <w:ilvl w:val="0"/>
          <w:numId w:val="8"/>
        </w:numPr>
        <w:spacing w:before="0" w:beforeAutospacing="0" w:after="0" w:afterAutospacing="0"/>
        <w:ind w:left="0" w:firstLine="284"/>
        <w:jc w:val="both"/>
        <w:rPr>
          <w:sz w:val="20"/>
          <w:szCs w:val="20"/>
          <w:lang w:val="en-US"/>
        </w:rPr>
      </w:pPr>
      <w:r w:rsidRPr="00FB5384">
        <w:rPr>
          <w:sz w:val="20"/>
          <w:szCs w:val="20"/>
          <w:lang w:val="en-US"/>
        </w:rPr>
        <w:t>Formulate the system of balance equations for carrier generation, tunneling, and recombination including IR-induced transitions.</w:t>
      </w:r>
    </w:p>
    <w:p w14:paraId="668F9988" w14:textId="77777777" w:rsidR="00D2562D" w:rsidRPr="00FB5384" w:rsidRDefault="00D2562D" w:rsidP="00FB5384">
      <w:pPr>
        <w:pStyle w:val="af9"/>
        <w:numPr>
          <w:ilvl w:val="0"/>
          <w:numId w:val="8"/>
        </w:numPr>
        <w:spacing w:before="0" w:beforeAutospacing="0" w:after="0" w:afterAutospacing="0"/>
        <w:ind w:left="0" w:firstLine="284"/>
        <w:jc w:val="both"/>
        <w:rPr>
          <w:sz w:val="20"/>
          <w:szCs w:val="20"/>
          <w:lang w:val="en-US"/>
        </w:rPr>
      </w:pPr>
      <w:r w:rsidRPr="00FB5384">
        <w:rPr>
          <w:sz w:val="20"/>
          <w:szCs w:val="20"/>
          <w:lang w:val="en-US"/>
        </w:rPr>
        <w:t>Implement a numerical simulation of steady-state carrier populations and photoconductivity as a function of IR intensity.</w:t>
      </w:r>
    </w:p>
    <w:p w14:paraId="2E01EEF8" w14:textId="77777777" w:rsidR="00D2562D" w:rsidRPr="00FB5384" w:rsidRDefault="00D2562D" w:rsidP="00FB5384">
      <w:pPr>
        <w:pStyle w:val="af9"/>
        <w:numPr>
          <w:ilvl w:val="0"/>
          <w:numId w:val="8"/>
        </w:numPr>
        <w:spacing w:before="0" w:beforeAutospacing="0" w:after="0" w:afterAutospacing="0"/>
        <w:ind w:left="0" w:firstLine="284"/>
        <w:jc w:val="both"/>
        <w:rPr>
          <w:sz w:val="20"/>
          <w:szCs w:val="20"/>
          <w:lang w:val="en-US"/>
        </w:rPr>
      </w:pPr>
      <w:r w:rsidRPr="00FB5384">
        <w:rPr>
          <w:sz w:val="20"/>
          <w:szCs w:val="20"/>
          <w:lang w:val="en-US"/>
        </w:rPr>
        <w:t>Compare calculated results with experimental data and previously published numerical studies.</w:t>
      </w:r>
    </w:p>
    <w:p w14:paraId="1B395D8A" w14:textId="77777777" w:rsidR="00D2562D" w:rsidRPr="00FB5384" w:rsidRDefault="00D2562D" w:rsidP="00FB5384">
      <w:pPr>
        <w:pStyle w:val="af9"/>
        <w:numPr>
          <w:ilvl w:val="0"/>
          <w:numId w:val="8"/>
        </w:numPr>
        <w:spacing w:before="0" w:beforeAutospacing="0" w:after="0" w:afterAutospacing="0"/>
        <w:ind w:left="0" w:firstLine="284"/>
        <w:jc w:val="both"/>
        <w:rPr>
          <w:sz w:val="20"/>
          <w:szCs w:val="20"/>
          <w:lang w:val="en-US"/>
        </w:rPr>
      </w:pPr>
      <w:r w:rsidRPr="00FB5384">
        <w:rPr>
          <w:sz w:val="20"/>
          <w:szCs w:val="20"/>
          <w:lang w:val="en-US"/>
        </w:rPr>
        <w:t>Identify implications of the model for optimizing hydrogenation, minimizing defect density, and enhancing the efficiency and sustainability of a-Si:H-based photovoltaic devices.</w:t>
      </w:r>
    </w:p>
    <w:p w14:paraId="7E452090" w14:textId="2DE91FD9" w:rsidR="00624E98" w:rsidRPr="00FB5384" w:rsidRDefault="00624E98" w:rsidP="00FB5384">
      <w:pPr>
        <w:pStyle w:val="1"/>
      </w:pPr>
      <w:r w:rsidRPr="00FB5384">
        <w:t>Theoretical model</w:t>
      </w:r>
    </w:p>
    <w:p w14:paraId="3E15EEDB" w14:textId="30C06E4D" w:rsidR="000E716F" w:rsidRPr="00FB5384" w:rsidRDefault="00624E98" w:rsidP="00FB5384">
      <w:pPr>
        <w:pStyle w:val="SPIEtablecaption"/>
        <w:spacing w:after="0"/>
        <w:ind w:left="0" w:right="0" w:firstLine="284"/>
        <w:jc w:val="both"/>
        <w:rPr>
          <w:sz w:val="20"/>
        </w:rPr>
      </w:pPr>
      <w:r w:rsidRPr="00FB5384">
        <w:rPr>
          <w:sz w:val="20"/>
        </w:rPr>
        <w:t xml:space="preserve">In the present work, the photoconductivity of an undoped amorphous semiconductor is theoretically investigated in a two-beam technique at low temperature, when tunneling jumps of photocarriers upward in energy can be neglected. In constructing the theory, the results of work [4] are used, in which the distribution function </w:t>
      </w:r>
      <w:r w:rsidR="00AB7BC0" w:rsidRPr="00FB5384">
        <w:rPr>
          <w:position w:val="-12"/>
          <w:sz w:val="20"/>
        </w:rPr>
        <w:object w:dxaOrig="1219" w:dyaOrig="360" w14:anchorId="45B68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pt;height:13.2pt" o:ole="">
            <v:imagedata r:id="rId9" o:title=""/>
          </v:shape>
          <o:OLEObject Type="Embed" ProgID="Equation.DSMT4" ShapeID="_x0000_i1025" DrawAspect="Content" ObjectID="_1829132577" r:id="rId10"/>
        </w:object>
      </w:r>
      <w:r w:rsidRPr="00FB5384">
        <w:rPr>
          <w:sz w:val="20"/>
        </w:rPr>
        <w:t xml:space="preserve"> of localized photo</w:t>
      </w:r>
      <w:r w:rsidR="00FB5384">
        <w:rPr>
          <w:sz w:val="20"/>
        </w:rPr>
        <w:t>-</w:t>
      </w:r>
      <w:r w:rsidRPr="00FB5384">
        <w:rPr>
          <w:sz w:val="20"/>
        </w:rPr>
        <w:t xml:space="preserve">carriers generated during stationary interband optical excitation of an amorphous semiconductor was calculated. The notation of [4] is retained here: l is the type of carriers (electrons or holes), </w:t>
      </w:r>
      <w:r w:rsidR="00AB7BC0" w:rsidRPr="00FB5384">
        <w:rPr>
          <w:position w:val="-6"/>
          <w:sz w:val="20"/>
        </w:rPr>
        <w:object w:dxaOrig="260" w:dyaOrig="260" w14:anchorId="3F43B773">
          <v:shape id="_x0000_i1026" type="#_x0000_t75" style="width:11.55pt;height:11.55pt" o:ole="">
            <v:imagedata r:id="rId11" o:title=""/>
          </v:shape>
          <o:OLEObject Type="Embed" ProgID="Equation.DSMT4" ShapeID="_x0000_i1026" DrawAspect="Content" ObjectID="_1829132578" r:id="rId12"/>
        </w:object>
      </w:r>
      <w:r w:rsidRPr="00FB5384">
        <w:rPr>
          <w:sz w:val="20"/>
        </w:rPr>
        <w:t xml:space="preserve">is the binding energy measured from the corresponding mobility limit, </w:t>
      </w:r>
      <w:r w:rsidRPr="00FB5384">
        <w:rPr>
          <w:i/>
          <w:iCs/>
          <w:sz w:val="20"/>
        </w:rPr>
        <w:t>R</w:t>
      </w:r>
      <w:r w:rsidRPr="00FB5384">
        <w:rPr>
          <w:sz w:val="20"/>
        </w:rPr>
        <w:t xml:space="preserve"> and </w:t>
      </w:r>
      <w:r w:rsidRPr="00FB5384">
        <w:rPr>
          <w:i/>
          <w:iCs/>
          <w:sz w:val="20"/>
        </w:rPr>
        <w:t>r</w:t>
      </w:r>
      <w:r w:rsidRPr="00FB5384">
        <w:rPr>
          <w:sz w:val="20"/>
        </w:rPr>
        <w:t xml:space="preserve"> are the distances from a given localization center, respectively, to the nearest localized carrier of a different type and to the nearest unfilled localized state with a higher binding energy </w:t>
      </w:r>
      <w:r w:rsidR="00AB7BC0" w:rsidRPr="00FB5384">
        <w:rPr>
          <w:position w:val="-6"/>
          <w:sz w:val="20"/>
        </w:rPr>
        <w:object w:dxaOrig="260" w:dyaOrig="260" w14:anchorId="05141584">
          <v:shape id="_x0000_i1027" type="#_x0000_t75" style="width:11.55pt;height:11.55pt" o:ole="">
            <v:imagedata r:id="rId11" o:title=""/>
          </v:shape>
          <o:OLEObject Type="Embed" ProgID="Equation.DSMT4" ShapeID="_x0000_i1027" DrawAspect="Content" ObjectID="_1829132579" r:id="rId13"/>
        </w:object>
      </w:r>
      <w:r w:rsidRPr="00FB5384">
        <w:rPr>
          <w:sz w:val="20"/>
        </w:rPr>
        <w:t xml:space="preserve">. We will calculate the change in the distribution function of photocarriers, photoluminescence and photoconductivity arising as a result of exposure to IR radiation (also stationary). The absorption of this radiation causes photoexcitation of localized photocarriers into delocalized states, followed by their rapid recapture into one of the localized states and energy relaxation in these states, completed by radiative recombination with a carrier of another type or another emission into the zone of delocalized states. It is assumed that the energy of the IR quantum </w:t>
      </w:r>
      <w:r w:rsidRPr="00FB5384">
        <w:rPr>
          <w:i/>
          <w:iCs/>
          <w:sz w:val="20"/>
        </w:rPr>
        <w:t>hω</w:t>
      </w:r>
      <w:r w:rsidRPr="00FB5384">
        <w:rPr>
          <w:sz w:val="20"/>
        </w:rPr>
        <w:t xml:space="preserve">’ exceeds the binding energy for the overwhelming majority of localized photocarriers, and the dependence of the photoexcitation time </w:t>
      </w:r>
      <w:r w:rsidR="0035731A" w:rsidRPr="00FB5384">
        <w:rPr>
          <w:position w:val="-6"/>
          <w:sz w:val="20"/>
        </w:rPr>
        <w:object w:dxaOrig="1120" w:dyaOrig="260" w14:anchorId="6E8A110A">
          <v:shape id="_x0000_i1028" type="#_x0000_t75" style="width:56.6pt;height:11.55pt" o:ole="">
            <v:imagedata r:id="rId14" o:title=""/>
          </v:shape>
          <o:OLEObject Type="Embed" ProgID="Equation.DSMT4" ShapeID="_x0000_i1028" DrawAspect="Content" ObjectID="_1829132580" r:id="rId15"/>
        </w:object>
      </w:r>
      <w:r w:rsidRPr="00FB5384">
        <w:rPr>
          <w:sz w:val="20"/>
        </w:rPr>
        <w:t xml:space="preserve"> on the carrier binding energy (</w:t>
      </w:r>
      <w:r w:rsidRPr="00FB5384">
        <w:rPr>
          <w:i/>
          <w:iCs/>
          <w:sz w:val="20"/>
        </w:rPr>
        <w:t>I</w:t>
      </w:r>
      <w:r w:rsidRPr="00FB5384">
        <w:rPr>
          <w:sz w:val="20"/>
        </w:rPr>
        <w:t xml:space="preserve">’ is the IR illumination intensity) is neglected. In this case, it is possible to introduce a common reaction radius </w:t>
      </w:r>
      <w:r w:rsidRPr="00FB5384">
        <w:rPr>
          <w:i/>
          <w:iCs/>
          <w:sz w:val="20"/>
        </w:rPr>
        <w:t>RN</w:t>
      </w:r>
      <w:r w:rsidRPr="00FB5384">
        <w:rPr>
          <w:sz w:val="20"/>
        </w:rPr>
        <w:t xml:space="preserve"> for carriers, determined from the condition</w:t>
      </w:r>
    </w:p>
    <w:p w14:paraId="0B9244D3" w14:textId="7FB8FE2A" w:rsidR="0035731A" w:rsidRPr="00FB5384" w:rsidRDefault="00A5077D" w:rsidP="00FB5384">
      <w:pPr>
        <w:pStyle w:val="SPIEtablecaption"/>
        <w:spacing w:after="0"/>
        <w:ind w:left="0" w:right="0"/>
        <w:jc w:val="right"/>
        <w:rPr>
          <w:sz w:val="20"/>
          <w:szCs w:val="28"/>
        </w:rPr>
      </w:pPr>
      <w:r w:rsidRPr="00FB5384">
        <w:rPr>
          <w:position w:val="-30"/>
          <w:sz w:val="20"/>
          <w:szCs w:val="28"/>
        </w:rPr>
        <w:object w:dxaOrig="4200" w:dyaOrig="700" w14:anchorId="67B737F9">
          <v:shape id="_x0000_i1029" type="#_x0000_t75" style="width:210.4pt;height:35.2pt" o:ole="">
            <v:imagedata r:id="rId16" o:title=""/>
          </v:shape>
          <o:OLEObject Type="Embed" ProgID="Equation.DSMT4" ShapeID="_x0000_i1029" DrawAspect="Content" ObjectID="_1829132581" r:id="rId17"/>
        </w:object>
      </w:r>
      <w:r w:rsidRPr="00FB5384">
        <w:rPr>
          <w:sz w:val="20"/>
          <w:szCs w:val="28"/>
        </w:rPr>
        <w:tab/>
      </w:r>
      <w:r w:rsidRPr="00FB5384">
        <w:rPr>
          <w:sz w:val="20"/>
          <w:szCs w:val="28"/>
        </w:rPr>
        <w:tab/>
      </w:r>
      <w:r w:rsidRPr="00FB5384">
        <w:rPr>
          <w:sz w:val="20"/>
          <w:szCs w:val="28"/>
        </w:rPr>
        <w:tab/>
      </w:r>
      <w:r w:rsidRPr="00FB5384">
        <w:rPr>
          <w:sz w:val="20"/>
          <w:szCs w:val="28"/>
        </w:rPr>
        <w:tab/>
        <w:t>(1)</w:t>
      </w:r>
    </w:p>
    <w:p w14:paraId="57A02883" w14:textId="77777777" w:rsidR="002E4723" w:rsidRPr="00FB5384" w:rsidRDefault="002E4723" w:rsidP="00FB5384">
      <w:pPr>
        <w:ind w:firstLine="284"/>
        <w:jc w:val="both"/>
        <w:rPr>
          <w:szCs w:val="28"/>
        </w:rPr>
      </w:pPr>
      <w:r w:rsidRPr="00FB5384">
        <w:rPr>
          <w:szCs w:val="28"/>
        </w:rPr>
        <w:t xml:space="preserve">where </w:t>
      </w:r>
      <w:r w:rsidRPr="00FB5384">
        <w:rPr>
          <w:i/>
          <w:iCs/>
          <w:szCs w:val="28"/>
        </w:rPr>
        <w:t>T</w:t>
      </w:r>
      <w:r w:rsidRPr="00FB5384">
        <w:rPr>
          <w:szCs w:val="28"/>
          <w:vertAlign w:val="subscript"/>
        </w:rPr>
        <w:t>l</w:t>
      </w:r>
      <w:r w:rsidRPr="00FB5384">
        <w:rPr>
          <w:szCs w:val="28"/>
        </w:rPr>
        <w:t xml:space="preserve"> is the time of arrival of a particle of radius </w:t>
      </w:r>
      <w:r w:rsidRPr="00FB5384">
        <w:rPr>
          <w:i/>
          <w:iCs/>
          <w:szCs w:val="28"/>
        </w:rPr>
        <w:t>R</w:t>
      </w:r>
      <w:r w:rsidRPr="00FB5384">
        <w:rPr>
          <w:szCs w:val="28"/>
          <w:vertAlign w:val="subscript"/>
        </w:rPr>
        <w:t>N</w:t>
      </w:r>
      <w:r w:rsidRPr="00FB5384">
        <w:rPr>
          <w:szCs w:val="28"/>
        </w:rPr>
        <w:t xml:space="preserve"> in a sphere, recombining with a particle of type l located in the center of the sphere. In what follows, for the sake of simplicity of presentation, the zone and kinetic parameters for electrons and holes will be considered identical. In this case, Te = Th = T, T’e = T’h = T’ and</w:t>
      </w:r>
    </w:p>
    <w:p w14:paraId="363F15CA" w14:textId="1A9D8B5C" w:rsidR="002E4723" w:rsidRPr="00FB5384" w:rsidRDefault="00D0531B" w:rsidP="00FB5384">
      <w:pPr>
        <w:jc w:val="right"/>
        <w:rPr>
          <w:szCs w:val="20"/>
        </w:rPr>
      </w:pPr>
      <w:r w:rsidRPr="00FB5384">
        <w:rPr>
          <w:position w:val="-28"/>
          <w:szCs w:val="20"/>
        </w:rPr>
        <w:object w:dxaOrig="1740" w:dyaOrig="639" w14:anchorId="05B14764">
          <v:shape id="_x0000_i1030" type="#_x0000_t75" style="width:86.85pt;height:31.9pt" o:ole="">
            <v:imagedata r:id="rId18" o:title=""/>
          </v:shape>
          <o:OLEObject Type="Embed" ProgID="Equation.DSMT4" ShapeID="_x0000_i1030" DrawAspect="Content" ObjectID="_1829132582" r:id="rId19"/>
        </w:object>
      </w:r>
      <w:r w:rsidR="002E4723" w:rsidRPr="00FB5384">
        <w:rPr>
          <w:szCs w:val="20"/>
        </w:rPr>
        <w:tab/>
      </w:r>
      <w:r w:rsidR="002E4723" w:rsidRPr="00FB5384">
        <w:rPr>
          <w:szCs w:val="20"/>
        </w:rPr>
        <w:tab/>
      </w:r>
      <w:r w:rsidR="002E4723" w:rsidRPr="00FB5384">
        <w:rPr>
          <w:szCs w:val="20"/>
        </w:rPr>
        <w:tab/>
      </w:r>
      <w:r w:rsidR="002E4723" w:rsidRPr="00FB5384">
        <w:rPr>
          <w:szCs w:val="20"/>
        </w:rPr>
        <w:tab/>
      </w:r>
      <w:r w:rsidR="002E4723" w:rsidRPr="00FB5384">
        <w:rPr>
          <w:szCs w:val="20"/>
        </w:rPr>
        <w:tab/>
        <w:t>(2)</w:t>
      </w:r>
    </w:p>
    <w:p w14:paraId="2D33A4F3" w14:textId="3895019B" w:rsidR="002E4723" w:rsidRPr="00FB5384" w:rsidRDefault="002E4723" w:rsidP="00FB5384">
      <w:pPr>
        <w:ind w:firstLine="284"/>
        <w:jc w:val="both"/>
        <w:rPr>
          <w:szCs w:val="20"/>
        </w:rPr>
      </w:pPr>
      <w:r w:rsidRPr="00FB5384">
        <w:rPr>
          <w:szCs w:val="20"/>
        </w:rPr>
        <w:t xml:space="preserve">In this case, the balance equation </w:t>
      </w:r>
      <w:r w:rsidR="00FB5384" w:rsidRPr="00FB5384">
        <w:rPr>
          <w:position w:val="-22"/>
          <w:szCs w:val="20"/>
        </w:rPr>
        <w:object w:dxaOrig="900" w:dyaOrig="580" w14:anchorId="7D0C7628">
          <v:shape id="_x0000_i1031" type="#_x0000_t75" style="width:36.25pt;height:22.55pt" o:ole="">
            <v:imagedata r:id="rId20" o:title=""/>
          </v:shape>
          <o:OLEObject Type="Embed" ProgID="Equation.DSMT4" ShapeID="_x0000_i1031" DrawAspect="Content" ObjectID="_1829132583" r:id="rId21"/>
        </w:object>
      </w:r>
      <w:r w:rsidRPr="00FB5384">
        <w:rPr>
          <w:szCs w:val="20"/>
        </w:rPr>
        <w:t xml:space="preserve"> for the concentration of long-lived carriers can be represented as</w:t>
      </w:r>
    </w:p>
    <w:p w14:paraId="314BCB74" w14:textId="7DA76A14" w:rsidR="002E4723" w:rsidRPr="00FB5384" w:rsidRDefault="00D0531B" w:rsidP="00FB5384">
      <w:pPr>
        <w:jc w:val="right"/>
        <w:rPr>
          <w:szCs w:val="20"/>
        </w:rPr>
      </w:pPr>
      <w:r w:rsidRPr="00FB5384">
        <w:rPr>
          <w:position w:val="-30"/>
          <w:szCs w:val="20"/>
        </w:rPr>
        <w:object w:dxaOrig="1960" w:dyaOrig="700" w14:anchorId="621DCA86">
          <v:shape id="_x0000_i1032" type="#_x0000_t75" style="width:97.8pt;height:36.25pt" o:ole="">
            <v:imagedata r:id="rId22" o:title=""/>
          </v:shape>
          <o:OLEObject Type="Embed" ProgID="Equation.DSMT4" ShapeID="_x0000_i1032" DrawAspect="Content" ObjectID="_1829132584" r:id="rId23"/>
        </w:object>
      </w:r>
      <w:r w:rsidR="00FB5384">
        <w:rPr>
          <w:szCs w:val="20"/>
        </w:rPr>
        <w:t xml:space="preserve"> </w:t>
      </w:r>
      <w:r w:rsidR="00FB5384">
        <w:rPr>
          <w:szCs w:val="20"/>
        </w:rPr>
        <w:tab/>
      </w:r>
      <w:r w:rsidR="002E4723" w:rsidRPr="00FB5384">
        <w:rPr>
          <w:szCs w:val="20"/>
        </w:rPr>
        <w:tab/>
      </w:r>
      <w:r w:rsidR="002E4723" w:rsidRPr="00FB5384">
        <w:rPr>
          <w:szCs w:val="20"/>
        </w:rPr>
        <w:tab/>
      </w:r>
      <w:r w:rsidR="002E4723" w:rsidRPr="00FB5384">
        <w:rPr>
          <w:szCs w:val="20"/>
        </w:rPr>
        <w:tab/>
      </w:r>
      <w:r w:rsidR="002E4723" w:rsidRPr="00FB5384">
        <w:rPr>
          <w:szCs w:val="20"/>
        </w:rPr>
        <w:tab/>
        <w:t>(3)</w:t>
      </w:r>
    </w:p>
    <w:p w14:paraId="43C8FE6D" w14:textId="77777777" w:rsidR="002E4723" w:rsidRPr="00FB5384" w:rsidRDefault="002E4723" w:rsidP="00FB5384">
      <w:pPr>
        <w:ind w:firstLine="284"/>
        <w:jc w:val="both"/>
        <w:rPr>
          <w:szCs w:val="20"/>
        </w:rPr>
      </w:pPr>
      <w:r w:rsidRPr="00FB5384">
        <w:rPr>
          <w:szCs w:val="20"/>
        </w:rPr>
        <w:t xml:space="preserve">where G is the rate of interband generation of photocarriers. The differential rate of generation </w:t>
      </w:r>
      <w:r w:rsidRPr="00FB5384">
        <w:rPr>
          <w:i/>
          <w:iCs/>
          <w:szCs w:val="20"/>
        </w:rPr>
        <w:t>G</w:t>
      </w:r>
      <w:r w:rsidRPr="00FB5384">
        <w:rPr>
          <w:szCs w:val="20"/>
        </w:rPr>
        <w:t>(ɛ) into localized states with binding energy ɛ is determined by the expression</w:t>
      </w:r>
    </w:p>
    <w:p w14:paraId="10D57AE9" w14:textId="50EE4588" w:rsidR="002E4723" w:rsidRPr="00FB5384" w:rsidRDefault="00E80D6C" w:rsidP="00FB5384">
      <w:pPr>
        <w:jc w:val="right"/>
        <w:rPr>
          <w:szCs w:val="20"/>
        </w:rPr>
      </w:pPr>
      <w:r w:rsidRPr="00FB5384">
        <w:rPr>
          <w:position w:val="-22"/>
          <w:szCs w:val="20"/>
        </w:rPr>
        <w:object w:dxaOrig="859" w:dyaOrig="580" w14:anchorId="2BEF6965">
          <v:shape id="_x0000_i1033" type="#_x0000_t75" style="width:42.85pt;height:29.15pt" o:ole="">
            <v:imagedata r:id="rId24" o:title=""/>
          </v:shape>
          <o:OLEObject Type="Embed" ProgID="Equation.DSMT4" ShapeID="_x0000_i1033" DrawAspect="Content" ObjectID="_1829132585" r:id="rId25"/>
        </w:object>
      </w:r>
      <w:r w:rsidRPr="00FB5384">
        <w:rPr>
          <w:position w:val="-28"/>
          <w:szCs w:val="20"/>
        </w:rPr>
        <w:object w:dxaOrig="4320" w:dyaOrig="700" w14:anchorId="1AAB250E">
          <v:shape id="_x0000_i1034" type="#_x0000_t75" style="width:3in;height:35.2pt" o:ole="">
            <v:imagedata r:id="rId26" o:title=""/>
          </v:shape>
          <o:OLEObject Type="Embed" ProgID="Equation.DSMT4" ShapeID="_x0000_i1034" DrawAspect="Content" ObjectID="_1829132586" r:id="rId27"/>
        </w:object>
      </w:r>
      <w:r w:rsidR="002E4723" w:rsidRPr="00FB5384">
        <w:rPr>
          <w:szCs w:val="20"/>
        </w:rPr>
        <w:tab/>
      </w:r>
      <w:r w:rsidR="002E4723" w:rsidRPr="00FB5384">
        <w:rPr>
          <w:szCs w:val="20"/>
        </w:rPr>
        <w:tab/>
        <w:t>(4)</w:t>
      </w:r>
    </w:p>
    <w:p w14:paraId="68D8F1EB" w14:textId="77777777" w:rsidR="002E4723" w:rsidRPr="00FB5384" w:rsidRDefault="002E4723" w:rsidP="00FB5384">
      <w:pPr>
        <w:ind w:firstLine="284"/>
        <w:jc w:val="both"/>
        <w:rPr>
          <w:szCs w:val="20"/>
        </w:rPr>
      </w:pPr>
      <w:r w:rsidRPr="00FB5384">
        <w:rPr>
          <w:szCs w:val="20"/>
        </w:rPr>
        <w:t xml:space="preserve">which differs from that given in [4] by replacing G with the sum </w:t>
      </w:r>
      <w:r w:rsidRPr="00FB5384">
        <w:rPr>
          <w:i/>
          <w:iCs/>
          <w:szCs w:val="20"/>
        </w:rPr>
        <w:t>G</w:t>
      </w:r>
      <w:r w:rsidRPr="00FB5384">
        <w:rPr>
          <w:szCs w:val="20"/>
        </w:rPr>
        <w:t xml:space="preserve"> + Δ</w:t>
      </w:r>
      <w:r w:rsidRPr="00FB5384">
        <w:rPr>
          <w:i/>
          <w:iCs/>
          <w:szCs w:val="20"/>
        </w:rPr>
        <w:t>G</w:t>
      </w:r>
      <w:r w:rsidRPr="00FB5384">
        <w:rPr>
          <w:szCs w:val="20"/>
        </w:rPr>
        <w:t>. Here Δ</w:t>
      </w:r>
      <w:r w:rsidRPr="00FB5384">
        <w:rPr>
          <w:i/>
          <w:iCs/>
          <w:szCs w:val="20"/>
        </w:rPr>
        <w:t>G</w:t>
      </w:r>
      <w:r w:rsidRPr="00FB5384">
        <w:rPr>
          <w:szCs w:val="20"/>
        </w:rPr>
        <w:t xml:space="preserve"> is the rate of IR excitation of carriers from localized states to delocalized ones: </w:t>
      </w:r>
    </w:p>
    <w:p w14:paraId="65C5A3D4" w14:textId="7F2C481D" w:rsidR="002E4723" w:rsidRPr="00FB5384" w:rsidRDefault="00E80D6C" w:rsidP="00FB5384">
      <w:pPr>
        <w:jc w:val="right"/>
        <w:rPr>
          <w:szCs w:val="20"/>
        </w:rPr>
      </w:pPr>
      <w:r w:rsidRPr="00FB5384">
        <w:rPr>
          <w:position w:val="-22"/>
          <w:szCs w:val="20"/>
        </w:rPr>
        <w:object w:dxaOrig="840" w:dyaOrig="580" w14:anchorId="32B94A00">
          <v:shape id="_x0000_i1035" type="#_x0000_t75" style="width:42.3pt;height:29.15pt" o:ole="">
            <v:imagedata r:id="rId28" o:title=""/>
          </v:shape>
          <o:OLEObject Type="Embed" ProgID="Equation.DSMT4" ShapeID="_x0000_i1035" DrawAspect="Content" ObjectID="_1829132587" r:id="rId29"/>
        </w:object>
      </w:r>
      <w:r w:rsidR="00FB5384">
        <w:rPr>
          <w:szCs w:val="20"/>
        </w:rPr>
        <w:tab/>
      </w:r>
      <w:r w:rsidR="00FB5384">
        <w:rPr>
          <w:szCs w:val="20"/>
        </w:rPr>
        <w:tab/>
      </w:r>
      <w:r w:rsidR="002E4723" w:rsidRPr="00FB5384">
        <w:rPr>
          <w:szCs w:val="20"/>
        </w:rPr>
        <w:tab/>
      </w:r>
      <w:r w:rsidR="002E4723" w:rsidRPr="00FB5384">
        <w:rPr>
          <w:szCs w:val="20"/>
        </w:rPr>
        <w:tab/>
      </w:r>
      <w:r w:rsidR="002E4723" w:rsidRPr="00FB5384">
        <w:rPr>
          <w:szCs w:val="20"/>
        </w:rPr>
        <w:tab/>
        <w:t xml:space="preserve"> (5)</w:t>
      </w:r>
    </w:p>
    <w:p w14:paraId="6A2AE596" w14:textId="77777777" w:rsidR="002E4723" w:rsidRPr="00FB5384" w:rsidRDefault="002E4723" w:rsidP="00FB5384">
      <w:pPr>
        <w:ind w:firstLine="284"/>
        <w:jc w:val="both"/>
        <w:rPr>
          <w:szCs w:val="20"/>
        </w:rPr>
      </w:pPr>
      <w:r w:rsidRPr="00FB5384">
        <w:rPr>
          <w:szCs w:val="20"/>
        </w:rPr>
        <w:t xml:space="preserve">g(ɛ) is the energy density of states, </w:t>
      </w:r>
      <w:r w:rsidRPr="00FB5384">
        <w:rPr>
          <w:i/>
          <w:iCs/>
          <w:szCs w:val="20"/>
        </w:rPr>
        <w:t>p</w:t>
      </w:r>
      <w:r w:rsidRPr="00FB5384">
        <w:rPr>
          <w:szCs w:val="20"/>
        </w:rPr>
        <w:t xml:space="preserve">(ɛ) is the concentration of unoccupied states with a binding energy greater than </w:t>
      </w:r>
      <w:r w:rsidRPr="00FB5384">
        <w:rPr>
          <w:i/>
          <w:iCs/>
          <w:szCs w:val="20"/>
        </w:rPr>
        <w:t>ɛ</w:t>
      </w:r>
      <w:r w:rsidRPr="00FB5384">
        <w:rPr>
          <w:szCs w:val="20"/>
        </w:rPr>
        <w:t>, ω</w:t>
      </w:r>
      <w:r w:rsidRPr="00FB5384">
        <w:rPr>
          <w:szCs w:val="20"/>
          <w:vertAlign w:val="subscript"/>
        </w:rPr>
        <w:t>o</w:t>
      </w:r>
      <w:r w:rsidRPr="00FB5384">
        <w:rPr>
          <w:szCs w:val="20"/>
        </w:rPr>
        <w:t>(</w:t>
      </w:r>
      <w:r w:rsidRPr="00FB5384">
        <w:rPr>
          <w:i/>
          <w:iCs/>
          <w:szCs w:val="20"/>
        </w:rPr>
        <w:t>ɛ</w:t>
      </w:r>
      <w:r w:rsidRPr="00FB5384">
        <w:rPr>
          <w:szCs w:val="20"/>
        </w:rPr>
        <w:t xml:space="preserve">) is the probability of a particle in state ɛ making a tunnel jump downwards in energy. The distribution function </w:t>
      </w:r>
      <w:r w:rsidRPr="00FB5384">
        <w:rPr>
          <w:i/>
          <w:iCs/>
          <w:szCs w:val="20"/>
        </w:rPr>
        <w:t>f</w:t>
      </w:r>
      <w:r w:rsidRPr="00FB5384">
        <w:rPr>
          <w:szCs w:val="20"/>
        </w:rPr>
        <w:t xml:space="preserve"> is related to Г(ɛ)=G(ɛ)/[g(ɛ) – n(ɛ)] by the relation</w:t>
      </w:r>
    </w:p>
    <w:p w14:paraId="0AB6A913" w14:textId="064CF49B" w:rsidR="002E4723" w:rsidRPr="00FB5384" w:rsidRDefault="00E127E7" w:rsidP="00FB5384">
      <w:pPr>
        <w:jc w:val="right"/>
        <w:rPr>
          <w:szCs w:val="20"/>
        </w:rPr>
      </w:pPr>
      <w:r w:rsidRPr="00FB5384">
        <w:rPr>
          <w:position w:val="-22"/>
          <w:szCs w:val="20"/>
        </w:rPr>
        <w:object w:dxaOrig="1240" w:dyaOrig="580" w14:anchorId="0958B985">
          <v:shape id="_x0000_i1036" type="#_x0000_t75" style="width:62.6pt;height:29.15pt" o:ole="">
            <v:imagedata r:id="rId30" o:title=""/>
          </v:shape>
          <o:OLEObject Type="Embed" ProgID="Equation.DSMT4" ShapeID="_x0000_i1036" DrawAspect="Content" ObjectID="_1829132588" r:id="rId31"/>
        </w:object>
      </w:r>
      <m:oMath>
        <m:r>
          <m:rPr>
            <m:sty m:val="p"/>
          </m:rPr>
          <w:rPr>
            <w:rFonts w:ascii="Cambria Math" w:hAnsi="Cambria Math"/>
            <w:szCs w:val="20"/>
            <w:lang w:eastAsia="ru-RU"/>
          </w:rPr>
          <m:t>f</m:t>
        </m:r>
        <m:d>
          <m:dPr>
            <m:ctrlPr>
              <w:rPr>
                <w:rFonts w:ascii="Cambria Math" w:hAnsi="Cambria Math"/>
                <w:szCs w:val="20"/>
                <w:lang w:eastAsia="ru-RU"/>
              </w:rPr>
            </m:ctrlPr>
          </m:dPr>
          <m:e>
            <m:r>
              <m:rPr>
                <m:sty m:val="p"/>
              </m:rPr>
              <w:rPr>
                <w:rFonts w:ascii="Cambria Math" w:hAnsi="Cambria Math"/>
                <w:szCs w:val="20"/>
                <w:lang w:eastAsia="ru-RU"/>
              </w:rPr>
              <m:t>ε,R</m:t>
            </m:r>
            <m:r>
              <w:rPr>
                <w:rFonts w:ascii="Cambria Math" w:hAnsi="Cambria Math"/>
                <w:szCs w:val="20"/>
                <w:lang w:eastAsia="ru-RU"/>
              </w:rPr>
              <m:t>,</m:t>
            </m:r>
            <m:r>
              <m:rPr>
                <m:sty m:val="p"/>
              </m:rPr>
              <w:rPr>
                <w:rFonts w:ascii="Cambria Math" w:hAnsi="Cambria Math"/>
                <w:szCs w:val="20"/>
                <w:lang w:eastAsia="ru-RU"/>
              </w:rPr>
              <m:t>r</m:t>
            </m:r>
          </m:e>
        </m:d>
        <m:r>
          <w:rPr>
            <w:rFonts w:ascii="Cambria Math" w:hAnsi="Cambria Math"/>
            <w:szCs w:val="20"/>
            <w:lang w:eastAsia="ru-RU"/>
          </w:rPr>
          <m:t xml:space="preserve">= </m:t>
        </m:r>
        <m:f>
          <m:fPr>
            <m:ctrlPr>
              <w:rPr>
                <w:rFonts w:ascii="Cambria Math" w:hAnsi="Cambria Math"/>
                <w:szCs w:val="20"/>
                <w:lang w:eastAsia="ru-RU"/>
              </w:rPr>
            </m:ctrlPr>
          </m:fPr>
          <m:num>
            <m:r>
              <m:rPr>
                <m:sty m:val="p"/>
              </m:rPr>
              <w:rPr>
                <w:rFonts w:ascii="Cambria Math" w:hAnsi="Cambria Math"/>
                <w:szCs w:val="20"/>
                <w:lang w:eastAsia="ru-RU"/>
              </w:rPr>
              <m:t>Г</m:t>
            </m:r>
            <m:d>
              <m:dPr>
                <m:ctrlPr>
                  <w:rPr>
                    <w:rFonts w:ascii="Cambria Math" w:hAnsi="Cambria Math"/>
                    <w:szCs w:val="20"/>
                    <w:lang w:eastAsia="ru-RU"/>
                  </w:rPr>
                </m:ctrlPr>
              </m:dPr>
              <m:e>
                <m:r>
                  <m:rPr>
                    <m:sty m:val="p"/>
                  </m:rPr>
                  <w:rPr>
                    <w:rFonts w:ascii="Cambria Math" w:hAnsi="Cambria Math"/>
                    <w:szCs w:val="20"/>
                    <w:lang w:eastAsia="ru-RU"/>
                  </w:rPr>
                  <m:t>ε</m:t>
                </m:r>
              </m:e>
            </m:d>
            <m:r>
              <m:rPr>
                <m:sty m:val="p"/>
              </m:rPr>
              <w:rPr>
                <w:rFonts w:ascii="Cambria Math" w:hAnsi="Cambria Math"/>
                <w:szCs w:val="20"/>
                <w:lang w:eastAsia="ru-RU"/>
              </w:rPr>
              <m:t>∙τ(R,r)</m:t>
            </m:r>
          </m:num>
          <m:den>
            <m:r>
              <m:rPr>
                <m:sty m:val="p"/>
              </m:rPr>
              <w:rPr>
                <w:rFonts w:ascii="Cambria Math" w:hAnsi="Cambria Math"/>
                <w:szCs w:val="20"/>
                <w:lang w:eastAsia="ru-RU"/>
              </w:rPr>
              <m:t>1 + Г</m:t>
            </m:r>
            <m:d>
              <m:dPr>
                <m:ctrlPr>
                  <w:rPr>
                    <w:rFonts w:ascii="Cambria Math" w:hAnsi="Cambria Math"/>
                    <w:szCs w:val="20"/>
                    <w:lang w:eastAsia="ru-RU"/>
                  </w:rPr>
                </m:ctrlPr>
              </m:dPr>
              <m:e>
                <m:r>
                  <m:rPr>
                    <m:sty m:val="p"/>
                  </m:rPr>
                  <w:rPr>
                    <w:rFonts w:ascii="Cambria Math" w:hAnsi="Cambria Math"/>
                    <w:szCs w:val="20"/>
                    <w:lang w:eastAsia="ru-RU"/>
                  </w:rPr>
                  <m:t>ε</m:t>
                </m:r>
              </m:e>
            </m:d>
            <m:r>
              <m:rPr>
                <m:sty m:val="p"/>
              </m:rPr>
              <w:rPr>
                <w:rFonts w:ascii="Cambria Math" w:hAnsi="Cambria Math"/>
                <w:szCs w:val="20"/>
                <w:lang w:eastAsia="ru-RU"/>
              </w:rPr>
              <m:t>∙τ(R,r)</m:t>
            </m:r>
          </m:den>
        </m:f>
      </m:oMath>
      <w:r w:rsidR="00FB5384">
        <w:rPr>
          <w:rFonts w:eastAsiaTheme="minorEastAsia"/>
          <w:szCs w:val="20"/>
          <w:lang w:eastAsia="ru-RU"/>
        </w:rPr>
        <w:tab/>
      </w:r>
      <w:r w:rsidR="00FB5384">
        <w:rPr>
          <w:rFonts w:eastAsiaTheme="minorEastAsia"/>
          <w:szCs w:val="20"/>
          <w:lang w:eastAsia="ru-RU"/>
        </w:rPr>
        <w:tab/>
      </w:r>
      <w:r w:rsidRPr="00FB5384">
        <w:rPr>
          <w:rFonts w:eastAsiaTheme="minorEastAsia"/>
          <w:szCs w:val="20"/>
          <w:lang w:eastAsia="ru-RU"/>
        </w:rPr>
        <w:tab/>
      </w:r>
      <w:r w:rsidRPr="00FB5384">
        <w:rPr>
          <w:rFonts w:eastAsiaTheme="minorEastAsia"/>
          <w:szCs w:val="20"/>
          <w:lang w:eastAsia="ru-RU"/>
        </w:rPr>
        <w:tab/>
      </w:r>
      <w:r w:rsidR="002E4723" w:rsidRPr="00FB5384">
        <w:rPr>
          <w:rFonts w:eastAsiaTheme="minorEastAsia"/>
          <w:szCs w:val="20"/>
          <w:lang w:eastAsia="ru-RU"/>
        </w:rPr>
        <w:t>(6)</w:t>
      </w:r>
    </w:p>
    <w:p w14:paraId="1C8101DD" w14:textId="77777777" w:rsidR="002E4723" w:rsidRPr="00FB5384" w:rsidRDefault="002E4723" w:rsidP="00FB5384">
      <w:pPr>
        <w:ind w:firstLine="284"/>
        <w:jc w:val="both"/>
        <w:rPr>
          <w:szCs w:val="20"/>
        </w:rPr>
      </w:pPr>
      <w:r w:rsidRPr="00FB5384">
        <w:rPr>
          <w:szCs w:val="20"/>
        </w:rPr>
        <w:t xml:space="preserve">where </w:t>
      </w:r>
      <w:r w:rsidRPr="00FB5384">
        <w:rPr>
          <w:i/>
          <w:iCs/>
          <w:szCs w:val="20"/>
        </w:rPr>
        <w:t>τ</w:t>
      </w:r>
      <w:r w:rsidRPr="00FB5384">
        <w:rPr>
          <w:szCs w:val="20"/>
        </w:rPr>
        <w:t>(</w:t>
      </w:r>
      <w:r w:rsidRPr="00FB5384">
        <w:rPr>
          <w:i/>
          <w:iCs/>
          <w:szCs w:val="20"/>
        </w:rPr>
        <w:t>R</w:t>
      </w:r>
      <w:r w:rsidRPr="00FB5384">
        <w:rPr>
          <w:szCs w:val="20"/>
        </w:rPr>
        <w:t xml:space="preserve">, </w:t>
      </w:r>
      <w:r w:rsidRPr="00FB5384">
        <w:rPr>
          <w:i/>
          <w:iCs/>
          <w:szCs w:val="20"/>
        </w:rPr>
        <w:t>r</w:t>
      </w:r>
      <w:r w:rsidRPr="00FB5384">
        <w:rPr>
          <w:szCs w:val="20"/>
        </w:rPr>
        <w:t>) is the lifetime of a particle in the state (</w:t>
      </w:r>
      <w:r w:rsidRPr="00FB5384">
        <w:rPr>
          <w:i/>
          <w:iCs/>
          <w:szCs w:val="20"/>
        </w:rPr>
        <w:t>R</w:t>
      </w:r>
      <w:r w:rsidRPr="00FB5384">
        <w:rPr>
          <w:szCs w:val="20"/>
        </w:rPr>
        <w:t xml:space="preserve">, </w:t>
      </w:r>
      <w:r w:rsidRPr="00FB5384">
        <w:rPr>
          <w:i/>
          <w:iCs/>
          <w:szCs w:val="20"/>
        </w:rPr>
        <w:t>r</w:t>
      </w:r>
      <w:r w:rsidRPr="00FB5384">
        <w:rPr>
          <w:szCs w:val="20"/>
        </w:rPr>
        <w:t xml:space="preserve">), </w:t>
      </w:r>
    </w:p>
    <w:p w14:paraId="1C314B76" w14:textId="64B59500" w:rsidR="002E4723" w:rsidRPr="00FB5384" w:rsidRDefault="00630B88" w:rsidP="00FB5384">
      <w:pPr>
        <w:jc w:val="right"/>
        <w:rPr>
          <w:i/>
          <w:szCs w:val="20"/>
        </w:rPr>
      </w:pPr>
      <m:oMath>
        <m:f>
          <m:fPr>
            <m:ctrlPr>
              <w:rPr>
                <w:rFonts w:ascii="Cambria Math" w:hAnsi="Cambria Math"/>
                <w:szCs w:val="20"/>
                <w:lang w:eastAsia="ru-RU"/>
              </w:rPr>
            </m:ctrlPr>
          </m:fPr>
          <m:num>
            <m:r>
              <m:rPr>
                <m:sty m:val="p"/>
              </m:rPr>
              <w:rPr>
                <w:rFonts w:ascii="Cambria Math" w:hAnsi="Cambria Math"/>
                <w:szCs w:val="20"/>
                <w:lang w:eastAsia="ru-RU"/>
              </w:rPr>
              <m:t>1</m:t>
            </m:r>
          </m:num>
          <m:den>
            <m:r>
              <m:rPr>
                <m:sty m:val="p"/>
              </m:rPr>
              <w:rPr>
                <w:rFonts w:ascii="Cambria Math" w:hAnsi="Cambria Math"/>
                <w:szCs w:val="20"/>
                <w:lang w:eastAsia="ru-RU"/>
              </w:rPr>
              <m:t>τ(R,r)</m:t>
            </m:r>
          </m:den>
        </m:f>
        <m:r>
          <m:rPr>
            <m:sty m:val="p"/>
          </m:rPr>
          <w:rPr>
            <w:rFonts w:ascii="Cambria Math" w:hAnsi="Cambria Math"/>
            <w:szCs w:val="20"/>
            <w:lang w:eastAsia="ru-RU"/>
          </w:rPr>
          <m:t xml:space="preserve"> = </m:t>
        </m:r>
        <m:f>
          <m:fPr>
            <m:ctrlPr>
              <w:rPr>
                <w:rFonts w:ascii="Cambria Math" w:hAnsi="Cambria Math"/>
                <w:szCs w:val="20"/>
                <w:lang w:eastAsia="ru-RU"/>
              </w:rPr>
            </m:ctrlPr>
          </m:fPr>
          <m:num>
            <m:r>
              <w:rPr>
                <w:rFonts w:ascii="Cambria Math" w:hAnsi="Cambria Math"/>
                <w:szCs w:val="20"/>
                <w:lang w:eastAsia="ru-RU"/>
              </w:rPr>
              <m:t>1</m:t>
            </m:r>
          </m:num>
          <m:den>
            <m:r>
              <w:rPr>
                <w:rFonts w:ascii="Cambria Math" w:hAnsi="Cambria Math"/>
                <w:szCs w:val="20"/>
                <w:lang w:eastAsia="ru-RU"/>
              </w:rPr>
              <m:t>t(r)</m:t>
            </m:r>
          </m:den>
        </m:f>
        <m:r>
          <w:rPr>
            <w:rFonts w:ascii="Cambria Math" w:hAnsi="Cambria Math"/>
            <w:szCs w:val="20"/>
            <w:lang w:eastAsia="ru-RU"/>
          </w:rPr>
          <m:t xml:space="preserve"> + </m:t>
        </m:r>
        <m:f>
          <m:fPr>
            <m:ctrlPr>
              <w:rPr>
                <w:rFonts w:ascii="Cambria Math" w:hAnsi="Cambria Math"/>
                <w:szCs w:val="20"/>
                <w:lang w:eastAsia="ru-RU"/>
              </w:rPr>
            </m:ctrlPr>
          </m:fPr>
          <m:num>
            <m:r>
              <m:rPr>
                <m:sty m:val="p"/>
              </m:rPr>
              <w:rPr>
                <w:rFonts w:ascii="Cambria Math" w:hAnsi="Cambria Math"/>
                <w:szCs w:val="20"/>
                <w:lang w:eastAsia="ru-RU"/>
              </w:rPr>
              <m:t>1</m:t>
            </m:r>
          </m:num>
          <m:den>
            <m:r>
              <m:rPr>
                <m:sty m:val="p"/>
              </m:rPr>
              <w:rPr>
                <w:rFonts w:ascii="Cambria Math" w:hAnsi="Cambria Math"/>
                <w:szCs w:val="20"/>
                <w:lang w:eastAsia="ru-RU"/>
              </w:rPr>
              <m:t>τ(R)</m:t>
            </m:r>
          </m:den>
        </m:f>
        <m:r>
          <w:rPr>
            <w:rFonts w:ascii="Cambria Math" w:hAnsi="Cambria Math"/>
            <w:szCs w:val="20"/>
            <w:lang w:eastAsia="ru-RU"/>
          </w:rPr>
          <m:t xml:space="preserve"> + Θ</m:t>
        </m:r>
        <m:d>
          <m:dPr>
            <m:ctrlPr>
              <w:rPr>
                <w:rFonts w:ascii="Cambria Math" w:hAnsi="Cambria Math"/>
                <w:i/>
                <w:szCs w:val="20"/>
                <w:lang w:eastAsia="ru-RU"/>
              </w:rPr>
            </m:ctrlPr>
          </m:dPr>
          <m:e>
            <m:r>
              <w:rPr>
                <w:rFonts w:ascii="Cambria Math" w:hAnsi="Cambria Math"/>
                <w:szCs w:val="20"/>
                <w:lang w:eastAsia="ru-RU"/>
              </w:rPr>
              <m:t>R-</m:t>
            </m:r>
            <m:sSub>
              <m:sSubPr>
                <m:ctrlPr>
                  <w:rPr>
                    <w:rFonts w:ascii="Cambria Math" w:hAnsi="Cambria Math"/>
                    <w:i/>
                    <w:szCs w:val="20"/>
                    <w:lang w:eastAsia="ru-RU"/>
                  </w:rPr>
                </m:ctrlPr>
              </m:sSubPr>
              <m:e>
                <m:r>
                  <w:rPr>
                    <w:rFonts w:ascii="Cambria Math" w:hAnsi="Cambria Math"/>
                    <w:szCs w:val="20"/>
                    <w:lang w:eastAsia="ru-RU"/>
                  </w:rPr>
                  <m:t>R</m:t>
                </m:r>
              </m:e>
              <m:sub>
                <m:r>
                  <w:rPr>
                    <w:rFonts w:ascii="Cambria Math" w:hAnsi="Cambria Math"/>
                    <w:szCs w:val="20"/>
                    <w:lang w:eastAsia="ru-RU"/>
                  </w:rPr>
                  <m:t>N</m:t>
                </m:r>
              </m:sub>
            </m:sSub>
          </m:e>
        </m:d>
        <m:f>
          <m:fPr>
            <m:ctrlPr>
              <w:rPr>
                <w:rFonts w:ascii="Cambria Math" w:hAnsi="Cambria Math"/>
                <w:i/>
                <w:szCs w:val="20"/>
                <w:lang w:eastAsia="ru-RU"/>
              </w:rPr>
            </m:ctrlPr>
          </m:fPr>
          <m:num>
            <m:r>
              <w:rPr>
                <w:rFonts w:ascii="Cambria Math" w:hAnsi="Cambria Math"/>
                <w:szCs w:val="20"/>
                <w:lang w:eastAsia="ru-RU"/>
              </w:rPr>
              <m:t>1</m:t>
            </m:r>
          </m:num>
          <m:den>
            <m:r>
              <w:rPr>
                <w:rFonts w:ascii="Cambria Math" w:hAnsi="Cambria Math"/>
                <w:szCs w:val="20"/>
                <w:lang w:eastAsia="ru-RU"/>
              </w:rPr>
              <m:t>T</m:t>
            </m:r>
          </m:den>
        </m:f>
        <m:r>
          <w:rPr>
            <w:rFonts w:ascii="Cambria Math" w:hAnsi="Cambria Math"/>
            <w:szCs w:val="20"/>
            <w:lang w:eastAsia="ru-RU"/>
          </w:rPr>
          <m:t xml:space="preserve">+ </m:t>
        </m:r>
        <m:f>
          <m:fPr>
            <m:ctrlPr>
              <w:rPr>
                <w:rFonts w:ascii="Cambria Math" w:hAnsi="Cambria Math"/>
                <w:i/>
                <w:szCs w:val="20"/>
                <w:lang w:eastAsia="ru-RU"/>
              </w:rPr>
            </m:ctrlPr>
          </m:fPr>
          <m:num>
            <m:r>
              <w:rPr>
                <w:rFonts w:ascii="Cambria Math" w:hAnsi="Cambria Math"/>
                <w:szCs w:val="20"/>
                <w:lang w:eastAsia="ru-RU"/>
              </w:rPr>
              <m:t>1</m:t>
            </m:r>
          </m:num>
          <m:den>
            <m:sSup>
              <m:sSupPr>
                <m:ctrlPr>
                  <w:rPr>
                    <w:rFonts w:ascii="Cambria Math" w:hAnsi="Cambria Math"/>
                    <w:i/>
                    <w:szCs w:val="20"/>
                    <w:lang w:eastAsia="ru-RU"/>
                  </w:rPr>
                </m:ctrlPr>
              </m:sSupPr>
              <m:e>
                <m:r>
                  <w:rPr>
                    <w:rFonts w:ascii="Cambria Math" w:hAnsi="Cambria Math"/>
                    <w:szCs w:val="20"/>
                    <w:lang w:eastAsia="ru-RU"/>
                  </w:rPr>
                  <m:t>T</m:t>
                </m:r>
              </m:e>
              <m:sup>
                <m:r>
                  <w:rPr>
                    <w:rFonts w:ascii="Cambria Math" w:hAnsi="Cambria Math"/>
                    <w:szCs w:val="20"/>
                    <w:lang w:eastAsia="ru-RU"/>
                  </w:rPr>
                  <m:t>'</m:t>
                </m:r>
              </m:sup>
            </m:sSup>
          </m:den>
        </m:f>
      </m:oMath>
      <w:r w:rsidR="002E4723" w:rsidRPr="00FB5384">
        <w:rPr>
          <w:rFonts w:eastAsiaTheme="minorEastAsia"/>
          <w:szCs w:val="20"/>
          <w:lang w:eastAsia="ru-RU"/>
        </w:rPr>
        <w:t xml:space="preserve"> </w:t>
      </w:r>
      <w:r w:rsidR="00FB5384">
        <w:rPr>
          <w:rFonts w:eastAsiaTheme="minorEastAsia"/>
          <w:szCs w:val="20"/>
          <w:lang w:eastAsia="ru-RU"/>
        </w:rPr>
        <w:tab/>
      </w:r>
      <w:r w:rsidR="00E127E7" w:rsidRPr="00FB5384">
        <w:rPr>
          <w:rFonts w:eastAsiaTheme="minorEastAsia"/>
          <w:szCs w:val="20"/>
          <w:lang w:eastAsia="ru-RU"/>
        </w:rPr>
        <w:tab/>
      </w:r>
      <w:r w:rsidR="00E127E7" w:rsidRPr="00FB5384">
        <w:rPr>
          <w:rFonts w:eastAsiaTheme="minorEastAsia"/>
          <w:szCs w:val="20"/>
          <w:lang w:eastAsia="ru-RU"/>
        </w:rPr>
        <w:tab/>
      </w:r>
      <w:r w:rsidR="00E127E7" w:rsidRPr="00FB5384">
        <w:rPr>
          <w:rFonts w:eastAsiaTheme="minorEastAsia"/>
          <w:szCs w:val="20"/>
          <w:lang w:eastAsia="ru-RU"/>
        </w:rPr>
        <w:tab/>
      </w:r>
      <w:r w:rsidR="002E4723" w:rsidRPr="00FB5384">
        <w:rPr>
          <w:rFonts w:eastAsiaTheme="minorEastAsia"/>
          <w:szCs w:val="20"/>
          <w:lang w:eastAsia="ru-RU"/>
        </w:rPr>
        <w:t>(7)</w:t>
      </w:r>
    </w:p>
    <w:p w14:paraId="2A28AEFB" w14:textId="77777777" w:rsidR="002E4723" w:rsidRPr="00FB5384" w:rsidRDefault="002E4723" w:rsidP="00FB5384">
      <w:pPr>
        <w:ind w:firstLine="284"/>
        <w:jc w:val="both"/>
        <w:rPr>
          <w:szCs w:val="20"/>
        </w:rPr>
      </w:pPr>
      <w:r w:rsidRPr="00FB5384">
        <w:rPr>
          <w:i/>
          <w:iCs/>
          <w:szCs w:val="20"/>
        </w:rPr>
        <w:t>t</w:t>
      </w:r>
      <w:r w:rsidRPr="00FB5384">
        <w:rPr>
          <w:szCs w:val="20"/>
        </w:rPr>
        <w:t>(r) is the tunnel relaxation time, τ(</w:t>
      </w:r>
      <w:r w:rsidRPr="00FB5384">
        <w:rPr>
          <w:i/>
          <w:iCs/>
          <w:szCs w:val="20"/>
        </w:rPr>
        <w:t>R</w:t>
      </w:r>
      <w:r w:rsidRPr="00FB5384">
        <w:rPr>
          <w:szCs w:val="20"/>
        </w:rPr>
        <w:t>) is the recombination time of the electron-hole pair. The reaction radius is given by another balance equation, which for a symmetric system of electrons and holes is reduced to the equality of the total rates of generation of short-lived and long-lived recombining particles,</w:t>
      </w:r>
    </w:p>
    <w:p w14:paraId="75CDA71A" w14:textId="21BD3CA9" w:rsidR="002E4723" w:rsidRPr="00FB5384" w:rsidRDefault="00630B88" w:rsidP="00FB5384">
      <w:pPr>
        <w:ind w:firstLine="284"/>
        <w:jc w:val="right"/>
        <w:rPr>
          <w:szCs w:val="20"/>
        </w:rPr>
      </w:pPr>
      <m:oMath>
        <m:nary>
          <m:naryPr>
            <m:limLoc m:val="subSup"/>
            <m:ctrlPr>
              <w:rPr>
                <w:rFonts w:ascii="Cambria Math" w:hAnsi="Cambria Math"/>
                <w:szCs w:val="20"/>
                <w:lang w:eastAsia="ru-RU"/>
              </w:rPr>
            </m:ctrlPr>
          </m:naryPr>
          <m:sub>
            <m:r>
              <m:rPr>
                <m:sty m:val="p"/>
              </m:rPr>
              <w:rPr>
                <w:rFonts w:ascii="Cambria Math" w:hAnsi="Cambria Math"/>
                <w:szCs w:val="20"/>
                <w:lang w:eastAsia="ru-RU"/>
              </w:rPr>
              <m:t>0</m:t>
            </m:r>
          </m:sub>
          <m:sup>
            <m:r>
              <m:rPr>
                <m:sty m:val="p"/>
              </m:rPr>
              <w:rPr>
                <w:rFonts w:ascii="Cambria Math" w:hAnsi="Cambria Math"/>
                <w:szCs w:val="20"/>
                <w:lang w:eastAsia="ru-RU"/>
              </w:rPr>
              <m:t>∞</m:t>
            </m:r>
          </m:sup>
          <m:e>
            <m:sSub>
              <m:sSubPr>
                <m:ctrlPr>
                  <w:rPr>
                    <w:rFonts w:ascii="Cambria Math" w:hAnsi="Cambria Math"/>
                    <w:szCs w:val="20"/>
                    <w:lang w:eastAsia="ru-RU"/>
                  </w:rPr>
                </m:ctrlPr>
              </m:sSubPr>
              <m:e>
                <m:r>
                  <w:rPr>
                    <w:rFonts w:ascii="Cambria Math" w:hAnsi="Cambria Math"/>
                    <w:szCs w:val="20"/>
                    <w:lang w:eastAsia="ru-RU"/>
                  </w:rPr>
                  <m:t xml:space="preserve"> ω</m:t>
                </m:r>
              </m:e>
              <m:sub>
                <m:r>
                  <m:rPr>
                    <m:sty m:val="p"/>
                  </m:rPr>
                  <w:rPr>
                    <w:rFonts w:ascii="Cambria Math" w:hAnsi="Cambria Math"/>
                    <w:szCs w:val="20"/>
                    <w:lang w:eastAsia="ru-RU"/>
                  </w:rPr>
                  <m:t>-</m:t>
                </m:r>
                <m:r>
                  <w:rPr>
                    <w:rFonts w:ascii="Cambria Math" w:hAnsi="Cambria Math"/>
                    <w:szCs w:val="20"/>
                    <w:lang w:eastAsia="ru-RU"/>
                  </w:rPr>
                  <m:t>1</m:t>
                </m:r>
              </m:sub>
            </m:sSub>
            <m:r>
              <m:rPr>
                <m:sty m:val="p"/>
              </m:rPr>
              <w:rPr>
                <w:rFonts w:ascii="Cambria Math" w:hAnsi="Cambria Math"/>
                <w:szCs w:val="20"/>
                <w:lang w:eastAsia="ru-RU"/>
              </w:rPr>
              <m:t>(ε)∙G</m:t>
            </m:r>
            <m:d>
              <m:dPr>
                <m:ctrlPr>
                  <w:rPr>
                    <w:rFonts w:ascii="Cambria Math" w:hAnsi="Cambria Math"/>
                    <w:szCs w:val="20"/>
                    <w:lang w:eastAsia="ru-RU"/>
                  </w:rPr>
                </m:ctrlPr>
              </m:dPr>
              <m:e>
                <m:r>
                  <m:rPr>
                    <m:sty m:val="p"/>
                  </m:rPr>
                  <w:rPr>
                    <w:rFonts w:ascii="Cambria Math" w:hAnsi="Cambria Math"/>
                    <w:szCs w:val="20"/>
                    <w:lang w:eastAsia="ru-RU"/>
                  </w:rPr>
                  <m:t>ε</m:t>
                </m:r>
              </m:e>
            </m:d>
            <m:r>
              <m:rPr>
                <m:sty m:val="p"/>
              </m:rPr>
              <w:rPr>
                <w:rFonts w:ascii="Cambria Math" w:hAnsi="Cambria Math"/>
                <w:szCs w:val="20"/>
                <w:lang w:eastAsia="ru-RU"/>
              </w:rPr>
              <m:t xml:space="preserve">dε= </m:t>
            </m:r>
            <m:f>
              <m:fPr>
                <m:ctrlPr>
                  <w:rPr>
                    <w:rFonts w:ascii="Cambria Math" w:hAnsi="Cambria Math"/>
                    <w:szCs w:val="20"/>
                    <w:lang w:eastAsia="ru-RU"/>
                  </w:rPr>
                </m:ctrlPr>
              </m:fPr>
              <m:num>
                <m:sSup>
                  <m:sSupPr>
                    <m:ctrlPr>
                      <w:rPr>
                        <w:rFonts w:ascii="Cambria Math" w:hAnsi="Cambria Math"/>
                        <w:i/>
                        <w:szCs w:val="20"/>
                        <w:lang w:eastAsia="ru-RU"/>
                      </w:rPr>
                    </m:ctrlPr>
                  </m:sSupPr>
                  <m:e>
                    <m:r>
                      <w:rPr>
                        <w:rFonts w:ascii="Cambria Math" w:hAnsi="Cambria Math"/>
                        <w:szCs w:val="20"/>
                        <w:lang w:eastAsia="ru-RU"/>
                      </w:rPr>
                      <m:t>T</m:t>
                    </m:r>
                  </m:e>
                  <m:sup>
                    <m:r>
                      <w:rPr>
                        <w:rFonts w:ascii="Cambria Math" w:hAnsi="Cambria Math"/>
                        <w:szCs w:val="20"/>
                        <w:lang w:eastAsia="ru-RU"/>
                      </w:rPr>
                      <m:t>'</m:t>
                    </m:r>
                  </m:sup>
                </m:sSup>
              </m:num>
              <m:den>
                <m:r>
                  <w:rPr>
                    <w:rFonts w:ascii="Cambria Math" w:hAnsi="Cambria Math"/>
                    <w:szCs w:val="20"/>
                    <w:lang w:eastAsia="ru-RU"/>
                  </w:rPr>
                  <m:t xml:space="preserve">T +  </m:t>
                </m:r>
                <m:sSup>
                  <m:sSupPr>
                    <m:ctrlPr>
                      <w:rPr>
                        <w:rFonts w:ascii="Cambria Math" w:hAnsi="Cambria Math"/>
                        <w:i/>
                        <w:szCs w:val="20"/>
                        <w:lang w:eastAsia="ru-RU"/>
                      </w:rPr>
                    </m:ctrlPr>
                  </m:sSupPr>
                  <m:e>
                    <m:r>
                      <w:rPr>
                        <w:rFonts w:ascii="Cambria Math" w:hAnsi="Cambria Math"/>
                        <w:szCs w:val="20"/>
                        <w:lang w:eastAsia="ru-RU"/>
                      </w:rPr>
                      <m:t>T</m:t>
                    </m:r>
                  </m:e>
                  <m:sup>
                    <m:r>
                      <w:rPr>
                        <w:rFonts w:ascii="Cambria Math" w:hAnsi="Cambria Math"/>
                        <w:szCs w:val="20"/>
                        <w:lang w:eastAsia="ru-RU"/>
                      </w:rPr>
                      <m:t>'</m:t>
                    </m:r>
                  </m:sup>
                </m:sSup>
              </m:den>
            </m:f>
          </m:e>
        </m:nary>
        <m:nary>
          <m:naryPr>
            <m:limLoc m:val="subSup"/>
            <m:ctrlPr>
              <w:rPr>
                <w:rFonts w:ascii="Cambria Math" w:hAnsi="Cambria Math"/>
                <w:szCs w:val="20"/>
                <w:lang w:eastAsia="ru-RU"/>
              </w:rPr>
            </m:ctrlPr>
          </m:naryPr>
          <m:sub>
            <m:r>
              <m:rPr>
                <m:sty m:val="p"/>
              </m:rPr>
              <w:rPr>
                <w:rFonts w:ascii="Cambria Math" w:hAnsi="Cambria Math"/>
                <w:szCs w:val="20"/>
                <w:lang w:eastAsia="ru-RU"/>
              </w:rPr>
              <m:t>0</m:t>
            </m:r>
          </m:sub>
          <m:sup>
            <m:r>
              <m:rPr>
                <m:sty m:val="p"/>
              </m:rPr>
              <w:rPr>
                <w:rFonts w:ascii="Cambria Math" w:hAnsi="Cambria Math"/>
                <w:szCs w:val="20"/>
                <w:lang w:eastAsia="ru-RU"/>
              </w:rPr>
              <m:t>∞</m:t>
            </m:r>
          </m:sup>
          <m:e>
            <m:sSub>
              <m:sSubPr>
                <m:ctrlPr>
                  <w:rPr>
                    <w:rFonts w:ascii="Cambria Math" w:hAnsi="Cambria Math"/>
                    <w:szCs w:val="20"/>
                    <w:lang w:eastAsia="ru-RU"/>
                  </w:rPr>
                </m:ctrlPr>
              </m:sSubPr>
              <m:e>
                <m:r>
                  <w:rPr>
                    <w:rFonts w:ascii="Cambria Math" w:hAnsi="Cambria Math"/>
                    <w:szCs w:val="20"/>
                    <w:lang w:eastAsia="ru-RU"/>
                  </w:rPr>
                  <m:t xml:space="preserve"> ω</m:t>
                </m:r>
              </m:e>
              <m:sub>
                <m:r>
                  <w:rPr>
                    <w:rFonts w:ascii="Cambria Math" w:hAnsi="Cambria Math"/>
                    <w:szCs w:val="20"/>
                    <w:lang w:eastAsia="ru-RU"/>
                  </w:rPr>
                  <m:t>1</m:t>
                </m:r>
              </m:sub>
            </m:sSub>
            <m:r>
              <m:rPr>
                <m:sty m:val="p"/>
              </m:rPr>
              <w:rPr>
                <w:rFonts w:ascii="Cambria Math" w:hAnsi="Cambria Math"/>
                <w:szCs w:val="20"/>
                <w:lang w:eastAsia="ru-RU"/>
              </w:rPr>
              <m:t>(ε)∙G</m:t>
            </m:r>
            <m:d>
              <m:dPr>
                <m:ctrlPr>
                  <w:rPr>
                    <w:rFonts w:ascii="Cambria Math" w:hAnsi="Cambria Math"/>
                    <w:szCs w:val="20"/>
                    <w:lang w:eastAsia="ru-RU"/>
                  </w:rPr>
                </m:ctrlPr>
              </m:dPr>
              <m:e>
                <m:r>
                  <m:rPr>
                    <m:sty m:val="p"/>
                  </m:rPr>
                  <w:rPr>
                    <w:rFonts w:ascii="Cambria Math" w:hAnsi="Cambria Math"/>
                    <w:szCs w:val="20"/>
                    <w:lang w:eastAsia="ru-RU"/>
                  </w:rPr>
                  <m:t>ε</m:t>
                </m:r>
              </m:e>
            </m:d>
            <m:r>
              <m:rPr>
                <m:sty m:val="p"/>
              </m:rPr>
              <w:rPr>
                <w:rFonts w:ascii="Cambria Math" w:hAnsi="Cambria Math"/>
                <w:szCs w:val="20"/>
                <w:lang w:eastAsia="ru-RU"/>
              </w:rPr>
              <m:t xml:space="preserve">dε= </m:t>
            </m:r>
            <m:f>
              <m:fPr>
                <m:ctrlPr>
                  <w:rPr>
                    <w:rFonts w:ascii="Cambria Math" w:hAnsi="Cambria Math"/>
                    <w:szCs w:val="20"/>
                    <w:lang w:eastAsia="ru-RU"/>
                  </w:rPr>
                </m:ctrlPr>
              </m:fPr>
              <m:num>
                <m:r>
                  <w:rPr>
                    <w:rFonts w:ascii="Cambria Math" w:hAnsi="Cambria Math"/>
                    <w:szCs w:val="20"/>
                    <w:lang w:eastAsia="ru-RU"/>
                  </w:rPr>
                  <m:t>G</m:t>
                </m:r>
              </m:num>
              <m:den>
                <m:r>
                  <w:rPr>
                    <w:rFonts w:ascii="Cambria Math" w:hAnsi="Cambria Math"/>
                    <w:szCs w:val="20"/>
                    <w:lang w:eastAsia="ru-RU"/>
                  </w:rPr>
                  <m:t>2</m:t>
                </m:r>
              </m:den>
            </m:f>
          </m:e>
        </m:nary>
      </m:oMath>
      <w:r w:rsidR="002E4723" w:rsidRPr="00FB5384">
        <w:rPr>
          <w:rFonts w:eastAsiaTheme="minorEastAsia"/>
          <w:szCs w:val="20"/>
          <w:lang w:eastAsia="ru-RU"/>
        </w:rPr>
        <w:t xml:space="preserve"> </w:t>
      </w:r>
      <w:r w:rsidR="00FB5384">
        <w:rPr>
          <w:rFonts w:eastAsiaTheme="minorEastAsia"/>
          <w:szCs w:val="20"/>
          <w:lang w:eastAsia="ru-RU"/>
        </w:rPr>
        <w:tab/>
      </w:r>
      <w:r w:rsidR="00FB5384">
        <w:rPr>
          <w:rFonts w:eastAsiaTheme="minorEastAsia"/>
          <w:szCs w:val="20"/>
          <w:lang w:eastAsia="ru-RU"/>
        </w:rPr>
        <w:tab/>
      </w:r>
      <w:r w:rsidR="002E4723" w:rsidRPr="00FB5384">
        <w:rPr>
          <w:rFonts w:eastAsiaTheme="minorEastAsia"/>
          <w:szCs w:val="20"/>
          <w:lang w:eastAsia="ru-RU"/>
        </w:rPr>
        <w:tab/>
        <w:t>(8)</w:t>
      </w:r>
    </w:p>
    <w:p w14:paraId="6D907B11" w14:textId="5FDA3E28" w:rsidR="002E4723" w:rsidRPr="00FB5384" w:rsidRDefault="002E4723" w:rsidP="00FB5384">
      <w:pPr>
        <w:ind w:firstLine="284"/>
        <w:jc w:val="both"/>
        <w:rPr>
          <w:szCs w:val="20"/>
        </w:rPr>
      </w:pPr>
      <w:r w:rsidRPr="00FB5384">
        <w:rPr>
          <w:szCs w:val="20"/>
        </w:rPr>
        <w:t>where ω</w:t>
      </w:r>
      <w:r w:rsidRPr="00FB5384">
        <w:rPr>
          <w:szCs w:val="20"/>
          <w:vertAlign w:val="subscript"/>
        </w:rPr>
        <w:t>-1</w:t>
      </w:r>
      <w:r w:rsidRPr="00FB5384">
        <w:rPr>
          <w:szCs w:val="20"/>
        </w:rPr>
        <w:t>(ɛ) and ω</w:t>
      </w:r>
      <w:r w:rsidRPr="00FB5384">
        <w:rPr>
          <w:szCs w:val="20"/>
          <w:vertAlign w:val="subscript"/>
        </w:rPr>
        <w:t>1</w:t>
      </w:r>
      <w:r w:rsidRPr="00FB5384">
        <w:rPr>
          <w:szCs w:val="20"/>
        </w:rPr>
        <w:t>(ɛ) are the probabilities of a particle in state ɛ to recombine with a particle produced at a previous or subsequent time. The relations linking the probabilities ω</w:t>
      </w:r>
      <w:r w:rsidRPr="00FB5384">
        <w:rPr>
          <w:szCs w:val="20"/>
          <w:vertAlign w:val="subscript"/>
        </w:rPr>
        <w:t>s</w:t>
      </w:r>
      <w:r w:rsidRPr="00FB5384">
        <w:rPr>
          <w:szCs w:val="20"/>
        </w:rPr>
        <w:t>(ɛ) (s=±1;0) with the distribution function of localized carriers by energy are given in [4].</w:t>
      </w:r>
    </w:p>
    <w:p w14:paraId="2E593384" w14:textId="5ECB2900" w:rsidR="002E4723" w:rsidRPr="00340927" w:rsidRDefault="002E4723" w:rsidP="00FB5384">
      <w:pPr>
        <w:pStyle w:val="1"/>
      </w:pPr>
      <w:r w:rsidRPr="00340927">
        <w:t>RESULTS OF NUMERICAL CALCULATIONS</w:t>
      </w:r>
    </w:p>
    <w:p w14:paraId="253A683E" w14:textId="6DC34611" w:rsidR="002E4723" w:rsidRDefault="002E4723" w:rsidP="00FB5384">
      <w:pPr>
        <w:ind w:firstLine="284"/>
        <w:jc w:val="both"/>
        <w:rPr>
          <w:szCs w:val="28"/>
        </w:rPr>
      </w:pPr>
      <w:r w:rsidRPr="00FB5384">
        <w:rPr>
          <w:szCs w:val="28"/>
        </w:rPr>
        <w:t xml:space="preserve">The change in the concentration of photocarriers as a result of using an additional infrared light source, also stationary, was considered in [5]. The relative change in the stationary concentration of localized photocarriers, the population of energy states g(ɛ)/n(ɛ), and its change depending on the intensity of IR radiation were calculated numerically. The photoluminescence and photoconductivity spectra in the two-beam stationary illumination method provide extensive information on the physical properties of the substance under consideration. In this paper, the frequency spectrum of photoconductivity was calculated numerically depending on the intensity of IR radiation. </w:t>
      </w:r>
    </w:p>
    <w:p w14:paraId="16F0B0F5" w14:textId="77777777" w:rsidR="008415BB" w:rsidRPr="008415BB" w:rsidRDefault="008415BB" w:rsidP="008415BB">
      <w:pPr>
        <w:pStyle w:val="SPIEfigurecaption"/>
        <w:spacing w:after="0"/>
        <w:ind w:left="0" w:right="0" w:firstLine="284"/>
        <w:jc w:val="both"/>
        <w:rPr>
          <w:sz w:val="20"/>
        </w:rPr>
      </w:pPr>
      <w:r w:rsidRPr="008415BB">
        <w:rPr>
          <w:sz w:val="20"/>
          <w:lang w:val="uz-Cyrl-UZ"/>
        </w:rPr>
        <w:t>For convenience, the abscissa axis shows not I’, but the ratio τ(R</w:t>
      </w:r>
      <w:r w:rsidRPr="008415BB">
        <w:rPr>
          <w:sz w:val="20"/>
          <w:vertAlign w:val="subscript"/>
          <w:lang w:val="uz-Cyrl-UZ"/>
        </w:rPr>
        <w:t>N</w:t>
      </w:r>
      <w:r w:rsidRPr="008415BB">
        <w:rPr>
          <w:sz w:val="20"/>
          <w:lang w:val="uz-Cyrl-UZ"/>
        </w:rPr>
        <w:t>)/T’ ~ I’. The concentration of steady-state excited carriers is N = : 5</w:t>
      </w:r>
      <w:r w:rsidRPr="008415BB">
        <w:rPr>
          <w:rFonts w:ascii="Cambria Math" w:hAnsi="Cambria Math"/>
          <w:sz w:val="20"/>
          <w:lang w:val="uz-Cyrl-UZ"/>
        </w:rPr>
        <w:t>⋅</w:t>
      </w:r>
      <w:r w:rsidRPr="008415BB">
        <w:rPr>
          <w:sz w:val="20"/>
          <w:lang w:val="uz-Cyrl-UZ"/>
        </w:rPr>
        <w:t>10</w:t>
      </w:r>
      <w:r w:rsidRPr="008415BB">
        <w:rPr>
          <w:sz w:val="20"/>
          <w:vertAlign w:val="superscript"/>
          <w:lang w:val="uz-Cyrl-UZ"/>
        </w:rPr>
        <w:t>16</w:t>
      </w:r>
      <w:r w:rsidRPr="008415BB">
        <w:rPr>
          <w:sz w:val="20"/>
          <w:lang w:val="uz-Cyrl-UZ"/>
        </w:rPr>
        <w:t xml:space="preserve"> cm</w:t>
      </w:r>
      <w:r w:rsidRPr="008415BB">
        <w:rPr>
          <w:sz w:val="20"/>
          <w:vertAlign w:val="superscript"/>
          <w:lang w:val="uz-Cyrl-UZ"/>
        </w:rPr>
        <w:t>-3</w:t>
      </w:r>
      <w:r w:rsidRPr="008415BB">
        <w:rPr>
          <w:sz w:val="20"/>
          <w:lang w:val="uz-Cyrl-UZ"/>
        </w:rPr>
        <w:t>; 1</w:t>
      </w:r>
      <w:r w:rsidRPr="008415BB">
        <w:rPr>
          <w:rFonts w:ascii="Cambria Math" w:hAnsi="Cambria Math"/>
          <w:sz w:val="20"/>
          <w:lang w:val="uz-Cyrl-UZ"/>
        </w:rPr>
        <w:t>⋅</w:t>
      </w:r>
      <w:r w:rsidRPr="008415BB">
        <w:rPr>
          <w:sz w:val="20"/>
          <w:lang w:val="uz-Cyrl-UZ"/>
        </w:rPr>
        <w:t>10</w:t>
      </w:r>
      <w:r w:rsidRPr="008415BB">
        <w:rPr>
          <w:sz w:val="20"/>
          <w:vertAlign w:val="superscript"/>
          <w:lang w:val="uz-Cyrl-UZ"/>
        </w:rPr>
        <w:t>17</w:t>
      </w:r>
      <w:r w:rsidRPr="008415BB">
        <w:rPr>
          <w:sz w:val="20"/>
          <w:lang w:val="uz-Cyrl-UZ"/>
        </w:rPr>
        <w:t xml:space="preserve"> cm</w:t>
      </w:r>
      <w:r w:rsidRPr="008415BB">
        <w:rPr>
          <w:sz w:val="20"/>
          <w:vertAlign w:val="superscript"/>
          <w:lang w:val="uz-Cyrl-UZ"/>
        </w:rPr>
        <w:t>-3</w:t>
      </w:r>
      <w:r w:rsidRPr="008415BB">
        <w:rPr>
          <w:sz w:val="20"/>
          <w:lang w:val="uz-Cyrl-UZ"/>
        </w:rPr>
        <w:t>; 2</w:t>
      </w:r>
      <w:r w:rsidRPr="008415BB">
        <w:rPr>
          <w:rFonts w:ascii="Cambria Math" w:hAnsi="Cambria Math"/>
          <w:sz w:val="20"/>
          <w:lang w:val="uz-Cyrl-UZ"/>
        </w:rPr>
        <w:t>⋅</w:t>
      </w:r>
      <w:r w:rsidRPr="008415BB">
        <w:rPr>
          <w:sz w:val="20"/>
          <w:lang w:val="uz-Cyrl-UZ"/>
        </w:rPr>
        <w:t>10</w:t>
      </w:r>
      <w:r w:rsidRPr="008415BB">
        <w:rPr>
          <w:sz w:val="20"/>
          <w:vertAlign w:val="superscript"/>
          <w:lang w:val="uz-Cyrl-UZ"/>
        </w:rPr>
        <w:t>17</w:t>
      </w:r>
      <w:r w:rsidRPr="008415BB">
        <w:rPr>
          <w:sz w:val="20"/>
          <w:lang w:val="uz-Cyrl-UZ"/>
        </w:rPr>
        <w:t xml:space="preserve"> cm</w:t>
      </w:r>
      <w:r w:rsidRPr="008415BB">
        <w:rPr>
          <w:sz w:val="20"/>
          <w:vertAlign w:val="superscript"/>
          <w:lang w:val="uz-Cyrl-UZ"/>
        </w:rPr>
        <w:t>-3</w:t>
      </w:r>
      <w:r w:rsidRPr="008415BB">
        <w:rPr>
          <w:sz w:val="20"/>
          <w:lang w:val="uz-Cyrl-UZ"/>
        </w:rPr>
        <w:t>; curves 1, 2 and 3, respectively</w:t>
      </w:r>
      <w:r w:rsidRPr="008415BB">
        <w:rPr>
          <w:sz w:val="20"/>
        </w:rPr>
        <w:t>.</w:t>
      </w:r>
    </w:p>
    <w:p w14:paraId="2AC15516" w14:textId="77777777" w:rsidR="008415BB" w:rsidRPr="008415BB" w:rsidRDefault="008415BB" w:rsidP="008415BB">
      <w:pPr>
        <w:ind w:firstLine="284"/>
        <w:jc w:val="both"/>
        <w:rPr>
          <w:szCs w:val="20"/>
          <w:lang w:val="uz-Cyrl-UZ"/>
        </w:rPr>
      </w:pPr>
      <w:r w:rsidRPr="008415BB">
        <w:rPr>
          <w:szCs w:val="20"/>
          <w:lang w:val="uz-Cyrl-UZ"/>
        </w:rPr>
        <w:t>Fig</w:t>
      </w:r>
      <w:r w:rsidRPr="008415BB">
        <w:rPr>
          <w:szCs w:val="20"/>
        </w:rPr>
        <w:t>ure</w:t>
      </w:r>
      <w:r w:rsidRPr="008415BB">
        <w:rPr>
          <w:szCs w:val="20"/>
          <w:lang w:val="uz-Cyrl-UZ"/>
        </w:rPr>
        <w:t xml:space="preserve"> 1 shows the dependence of the relative change in the steady-state concentration </w:t>
      </w:r>
      <w:r w:rsidRPr="008415BB">
        <w:rPr>
          <w:position w:val="-22"/>
          <w:szCs w:val="20"/>
          <w:lang w:val="uz-Cyrl-UZ"/>
        </w:rPr>
        <w:object w:dxaOrig="900" w:dyaOrig="620" w14:anchorId="4E4DBA4B">
          <v:shape id="_x0000_i1037" type="#_x0000_t75" style="width:34.65pt;height:24.2pt" o:ole="">
            <v:imagedata r:id="rId32" o:title=""/>
          </v:shape>
          <o:OLEObject Type="Embed" ProgID="Equation.DSMT4" ShapeID="_x0000_i1037" DrawAspect="Content" ObjectID="_1829132589" r:id="rId33"/>
        </w:object>
      </w:r>
      <w:r w:rsidRPr="008415BB">
        <w:rPr>
          <w:szCs w:val="20"/>
          <w:lang w:val="uz-Cyrl-UZ"/>
        </w:rPr>
        <w:t xml:space="preserve"> on the intensity of the IR illumination I’. For convenience, the abscissa axis shows not I’, but the ratio τ(</w:t>
      </w:r>
      <w:r w:rsidRPr="008415BB">
        <w:rPr>
          <w:i/>
          <w:iCs/>
          <w:szCs w:val="20"/>
          <w:lang w:val="uz-Cyrl-UZ"/>
        </w:rPr>
        <w:t>R</w:t>
      </w:r>
      <w:r w:rsidRPr="008415BB">
        <w:rPr>
          <w:szCs w:val="20"/>
          <w:vertAlign w:val="subscript"/>
          <w:lang w:val="uz-Cyrl-UZ"/>
        </w:rPr>
        <w:t>N</w:t>
      </w:r>
      <w:r w:rsidRPr="008415BB">
        <w:rPr>
          <w:szCs w:val="20"/>
          <w:lang w:val="uz-Cyrl-UZ"/>
        </w:rPr>
        <w:t>)</w:t>
      </w:r>
      <w:r w:rsidRPr="008415BB">
        <w:rPr>
          <w:szCs w:val="20"/>
        </w:rPr>
        <w:t xml:space="preserve"> </w:t>
      </w:r>
      <w:r w:rsidRPr="008415BB">
        <w:rPr>
          <w:szCs w:val="20"/>
          <w:lang w:val="uz-Cyrl-UZ"/>
        </w:rPr>
        <w:t xml:space="preserve">/ T’ ~ I’. Here N’ is the concentration taken for normalization and </w:t>
      </w:r>
      <w:r w:rsidRPr="008415BB">
        <w:rPr>
          <w:i/>
          <w:iCs/>
          <w:szCs w:val="20"/>
          <w:lang w:val="uz-Cyrl-UZ"/>
        </w:rPr>
        <w:t>R</w:t>
      </w:r>
      <w:r w:rsidRPr="008415BB">
        <w:rPr>
          <w:szCs w:val="20"/>
          <w:vertAlign w:val="subscript"/>
          <w:lang w:val="uz-Cyrl-UZ"/>
        </w:rPr>
        <w:t>N</w:t>
      </w:r>
      <w:r w:rsidRPr="008415BB">
        <w:rPr>
          <w:szCs w:val="20"/>
          <w:lang w:val="uz-Cyrl-UZ"/>
        </w:rPr>
        <w:t xml:space="preserve"> is the reaction radius for interband generation </w:t>
      </w:r>
      <w:r w:rsidRPr="008415BB">
        <w:rPr>
          <w:i/>
          <w:iCs/>
          <w:szCs w:val="20"/>
          <w:lang w:val="uz-Cyrl-UZ"/>
        </w:rPr>
        <w:t>G</w:t>
      </w:r>
      <w:r w:rsidRPr="008415BB">
        <w:rPr>
          <w:szCs w:val="20"/>
          <w:lang w:val="uz-Cyrl-UZ"/>
        </w:rPr>
        <w:t xml:space="preserve"> in the absence of IR illumination. For sufficiently small values of I’, at which τ(R</w:t>
      </w:r>
      <w:r w:rsidRPr="008415BB">
        <w:rPr>
          <w:szCs w:val="20"/>
          <w:vertAlign w:val="subscript"/>
          <w:lang w:val="uz-Cyrl-UZ"/>
        </w:rPr>
        <w:t>N</w:t>
      </w:r>
      <w:r w:rsidRPr="008415BB">
        <w:rPr>
          <w:szCs w:val="20"/>
          <w:lang w:val="uz-Cyrl-UZ"/>
        </w:rPr>
        <w:t xml:space="preserve">)/T’ &lt;&lt; 1 , the difference N’– N increases linearly with increasing I’: </w:t>
      </w:r>
    </w:p>
    <w:p w14:paraId="55E9FBAA" w14:textId="77777777" w:rsidR="008415BB" w:rsidRPr="008415BB" w:rsidRDefault="00630B88" w:rsidP="008415BB">
      <w:pPr>
        <w:jc w:val="right"/>
        <w:rPr>
          <w:rFonts w:eastAsiaTheme="minorEastAsia"/>
          <w:szCs w:val="20"/>
          <w:lang w:eastAsia="ru-RU"/>
        </w:rPr>
      </w:pPr>
      <m:oMath>
        <m:f>
          <m:fPr>
            <m:ctrlPr>
              <w:rPr>
                <w:rFonts w:ascii="Cambria Math" w:hAnsi="Cambria Math"/>
                <w:i/>
                <w:szCs w:val="20"/>
              </w:rPr>
            </m:ctrlPr>
          </m:fPr>
          <m:num>
            <m:sSup>
              <m:sSupPr>
                <m:ctrlPr>
                  <w:rPr>
                    <w:rFonts w:ascii="Cambria Math" w:hAnsi="Cambria Math"/>
                    <w:i/>
                    <w:szCs w:val="20"/>
                  </w:rPr>
                </m:ctrlPr>
              </m:sSupPr>
              <m:e>
                <m:r>
                  <w:rPr>
                    <w:rFonts w:ascii="Cambria Math" w:hAnsi="Cambria Math"/>
                    <w:szCs w:val="20"/>
                  </w:rPr>
                  <m:t>N</m:t>
                </m:r>
              </m:e>
              <m:sup>
                <m:r>
                  <w:rPr>
                    <w:rFonts w:ascii="Cambria Math" w:hAnsi="Cambria Math"/>
                    <w:szCs w:val="20"/>
                  </w:rPr>
                  <m:t>'</m:t>
                </m:r>
              </m:sup>
            </m:sSup>
            <m:r>
              <w:rPr>
                <w:rFonts w:ascii="Cambria Math" w:hAnsi="Cambria Math"/>
                <w:szCs w:val="20"/>
              </w:rPr>
              <m:t xml:space="preserve"> - N</m:t>
            </m:r>
          </m:num>
          <m:den>
            <m:sSup>
              <m:sSupPr>
                <m:ctrlPr>
                  <w:rPr>
                    <w:rFonts w:ascii="Cambria Math" w:hAnsi="Cambria Math"/>
                    <w:i/>
                    <w:szCs w:val="20"/>
                  </w:rPr>
                </m:ctrlPr>
              </m:sSupPr>
              <m:e>
                <m:r>
                  <w:rPr>
                    <w:rFonts w:ascii="Cambria Math" w:hAnsi="Cambria Math"/>
                    <w:szCs w:val="20"/>
                  </w:rPr>
                  <m:t>N</m:t>
                </m:r>
              </m:e>
              <m:sup>
                <m:r>
                  <w:rPr>
                    <w:rFonts w:ascii="Cambria Math" w:hAnsi="Cambria Math"/>
                    <w:szCs w:val="20"/>
                  </w:rPr>
                  <m:t>'</m:t>
                </m:r>
              </m:sup>
            </m:sSup>
          </m:den>
        </m:f>
        <m:r>
          <m:rPr>
            <m:sty m:val="p"/>
          </m:rPr>
          <w:rPr>
            <w:rFonts w:ascii="Cambria Math" w:hAnsi="Cambria Math"/>
            <w:szCs w:val="20"/>
            <w:lang w:eastAsia="ru-RU"/>
          </w:rPr>
          <m:t xml:space="preserve"> = æ∙</m:t>
        </m:r>
        <m:f>
          <m:fPr>
            <m:ctrlPr>
              <w:rPr>
                <w:rFonts w:ascii="Cambria Math" w:hAnsi="Cambria Math"/>
                <w:szCs w:val="20"/>
                <w:lang w:eastAsia="ru-RU"/>
              </w:rPr>
            </m:ctrlPr>
          </m:fPr>
          <m:num>
            <m:r>
              <w:rPr>
                <w:rFonts w:ascii="Cambria Math" w:hAnsi="Cambria Math"/>
                <w:szCs w:val="20"/>
                <w:lang w:eastAsia="ru-RU"/>
              </w:rPr>
              <m:t>τ(</m:t>
            </m:r>
            <m:sSub>
              <m:sSubPr>
                <m:ctrlPr>
                  <w:rPr>
                    <w:rFonts w:ascii="Cambria Math" w:hAnsi="Cambria Math"/>
                    <w:i/>
                    <w:szCs w:val="20"/>
                    <w:lang w:eastAsia="ru-RU"/>
                  </w:rPr>
                </m:ctrlPr>
              </m:sSubPr>
              <m:e>
                <m:r>
                  <w:rPr>
                    <w:rFonts w:ascii="Cambria Math" w:hAnsi="Cambria Math"/>
                    <w:szCs w:val="20"/>
                    <w:lang w:eastAsia="ru-RU"/>
                  </w:rPr>
                  <m:t>R</m:t>
                </m:r>
              </m:e>
              <m:sub>
                <m:r>
                  <w:rPr>
                    <w:rFonts w:ascii="Cambria Math" w:hAnsi="Cambria Math"/>
                    <w:szCs w:val="20"/>
                    <w:lang w:eastAsia="ru-RU"/>
                  </w:rPr>
                  <m:t>N</m:t>
                </m:r>
              </m:sub>
            </m:sSub>
            <m:r>
              <w:rPr>
                <w:rFonts w:ascii="Cambria Math" w:hAnsi="Cambria Math"/>
                <w:szCs w:val="20"/>
                <w:lang w:eastAsia="ru-RU"/>
              </w:rPr>
              <m:t>)</m:t>
            </m:r>
          </m:num>
          <m:den>
            <m:r>
              <w:rPr>
                <w:rFonts w:ascii="Cambria Math" w:hAnsi="Cambria Math"/>
                <w:szCs w:val="20"/>
                <w:lang w:eastAsia="ru-RU"/>
              </w:rPr>
              <m:t>T'</m:t>
            </m:r>
          </m:den>
        </m:f>
      </m:oMath>
      <w:r w:rsidR="008415BB" w:rsidRPr="008415BB">
        <w:rPr>
          <w:rFonts w:eastAsiaTheme="minorEastAsia"/>
          <w:szCs w:val="20"/>
          <w:lang w:eastAsia="ru-RU"/>
        </w:rPr>
        <w:t xml:space="preserve"> </w:t>
      </w:r>
      <w:r w:rsidR="008415BB">
        <w:rPr>
          <w:rFonts w:eastAsiaTheme="minorEastAsia"/>
          <w:szCs w:val="20"/>
          <w:lang w:eastAsia="ru-RU"/>
        </w:rPr>
        <w:tab/>
      </w:r>
      <w:r w:rsidR="008415BB">
        <w:rPr>
          <w:rFonts w:eastAsiaTheme="minorEastAsia"/>
          <w:szCs w:val="20"/>
          <w:lang w:eastAsia="ru-RU"/>
        </w:rPr>
        <w:tab/>
      </w:r>
      <w:r w:rsidR="008415BB">
        <w:rPr>
          <w:rFonts w:eastAsiaTheme="minorEastAsia"/>
          <w:szCs w:val="20"/>
          <w:lang w:eastAsia="ru-RU"/>
        </w:rPr>
        <w:tab/>
      </w:r>
      <w:r w:rsidR="008415BB">
        <w:rPr>
          <w:rFonts w:eastAsiaTheme="minorEastAsia"/>
          <w:szCs w:val="20"/>
          <w:lang w:eastAsia="ru-RU"/>
        </w:rPr>
        <w:tab/>
      </w:r>
      <w:r w:rsidR="008415BB">
        <w:rPr>
          <w:rFonts w:eastAsiaTheme="minorEastAsia"/>
          <w:szCs w:val="20"/>
          <w:lang w:eastAsia="ru-RU"/>
        </w:rPr>
        <w:tab/>
      </w:r>
      <w:r w:rsidR="008415BB" w:rsidRPr="008415BB">
        <w:rPr>
          <w:rFonts w:eastAsiaTheme="minorEastAsia"/>
          <w:szCs w:val="20"/>
          <w:lang w:eastAsia="ru-RU"/>
        </w:rPr>
        <w:t>(9)</w:t>
      </w:r>
    </w:p>
    <w:p w14:paraId="55DE5AC9" w14:textId="77777777" w:rsidR="008415BB" w:rsidRPr="00FB5384" w:rsidRDefault="008415BB" w:rsidP="00FB5384">
      <w:pPr>
        <w:ind w:firstLine="284"/>
        <w:jc w:val="both"/>
        <w:rPr>
          <w:szCs w:val="28"/>
        </w:rPr>
      </w:pPr>
    </w:p>
    <w:p w14:paraId="716BE25A" w14:textId="59BBD5F7" w:rsidR="008415BB" w:rsidRDefault="002E4723" w:rsidP="008415BB">
      <w:pPr>
        <w:pStyle w:val="SPIEfigure"/>
        <w:spacing w:before="0" w:after="0"/>
        <w:rPr>
          <w:b/>
          <w:sz w:val="18"/>
          <w:szCs w:val="18"/>
        </w:rPr>
      </w:pPr>
      <w:r w:rsidRPr="00340927">
        <w:rPr>
          <w:noProof/>
          <w:sz w:val="28"/>
          <w:szCs w:val="28"/>
          <w:lang w:val="ru-RU" w:eastAsia="ru-RU"/>
        </w:rPr>
        <w:drawing>
          <wp:inline distT="0" distB="0" distL="0" distR="0" wp14:anchorId="734E569F" wp14:editId="5C7672EF">
            <wp:extent cx="4818813" cy="2910840"/>
            <wp:effectExtent l="0" t="0" r="1270" b="3810"/>
            <wp:docPr id="1800247758" name="Рисунок 1800247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BEBA8EAE-BF5A-486C-A8C5-ECC9F3942E4B}">
                          <a14:imgProps xmlns:a14="http://schemas.microsoft.com/office/drawing/2010/main">
                            <a14:imgLayer r:embed="rId3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827443" cy="2916053"/>
                    </a:xfrm>
                    <a:prstGeom prst="rect">
                      <a:avLst/>
                    </a:prstGeom>
                    <a:noFill/>
                    <a:ln>
                      <a:noFill/>
                    </a:ln>
                  </pic:spPr>
                </pic:pic>
              </a:graphicData>
            </a:graphic>
          </wp:inline>
        </w:drawing>
      </w:r>
    </w:p>
    <w:p w14:paraId="160C5AE5" w14:textId="77777777" w:rsidR="005E7DAA" w:rsidRPr="005E7DAA" w:rsidRDefault="005E7DAA" w:rsidP="005E7DAA">
      <w:pPr>
        <w:pStyle w:val="SPIEfigurecaption"/>
      </w:pPr>
    </w:p>
    <w:p w14:paraId="0D946ECF" w14:textId="2AF6BD28" w:rsidR="008415BB" w:rsidRPr="008415BB" w:rsidRDefault="008415BB" w:rsidP="008415BB">
      <w:pPr>
        <w:pStyle w:val="SPIEfigure"/>
        <w:spacing w:before="0" w:after="0"/>
        <w:rPr>
          <w:sz w:val="18"/>
          <w:szCs w:val="18"/>
        </w:rPr>
      </w:pPr>
      <w:r w:rsidRPr="008415BB">
        <w:rPr>
          <w:b/>
          <w:sz w:val="18"/>
          <w:szCs w:val="18"/>
        </w:rPr>
        <w:t xml:space="preserve">FIGURE </w:t>
      </w:r>
      <w:r w:rsidR="005C16EC" w:rsidRPr="008415BB">
        <w:rPr>
          <w:b/>
          <w:sz w:val="18"/>
          <w:szCs w:val="18"/>
        </w:rPr>
        <w:fldChar w:fldCharType="begin"/>
      </w:r>
      <w:r w:rsidR="005C16EC" w:rsidRPr="008415BB">
        <w:rPr>
          <w:b/>
          <w:sz w:val="18"/>
          <w:szCs w:val="18"/>
        </w:rPr>
        <w:instrText xml:space="preserve"> SEQ figure \* MERGEFORMAT </w:instrText>
      </w:r>
      <w:r w:rsidR="005C16EC" w:rsidRPr="008415BB">
        <w:rPr>
          <w:b/>
          <w:sz w:val="18"/>
          <w:szCs w:val="18"/>
        </w:rPr>
        <w:fldChar w:fldCharType="separate"/>
      </w:r>
      <w:r w:rsidR="00774FDE">
        <w:rPr>
          <w:b/>
          <w:noProof/>
          <w:sz w:val="18"/>
          <w:szCs w:val="18"/>
        </w:rPr>
        <w:t>1</w:t>
      </w:r>
      <w:r w:rsidR="005C16EC" w:rsidRPr="008415BB">
        <w:rPr>
          <w:b/>
          <w:noProof/>
          <w:sz w:val="18"/>
          <w:szCs w:val="18"/>
        </w:rPr>
        <w:fldChar w:fldCharType="end"/>
      </w:r>
      <w:r w:rsidR="002E4723" w:rsidRPr="008415BB">
        <w:rPr>
          <w:b/>
          <w:sz w:val="18"/>
          <w:szCs w:val="18"/>
        </w:rPr>
        <w:t>.</w:t>
      </w:r>
      <w:r w:rsidR="002E4723" w:rsidRPr="008415BB">
        <w:rPr>
          <w:sz w:val="18"/>
          <w:szCs w:val="18"/>
        </w:rPr>
        <w:t xml:space="preserve"> </w:t>
      </w:r>
      <w:r w:rsidR="002E4723" w:rsidRPr="008415BB">
        <w:rPr>
          <w:sz w:val="18"/>
          <w:szCs w:val="18"/>
          <w:lang w:val="uz-Cyrl-UZ"/>
        </w:rPr>
        <w:t>The dependence of the relative change in the steady-state concentration (N’ - N) / N’ on the IR illumination intensity I’ is shown.</w:t>
      </w:r>
    </w:p>
    <w:p w14:paraId="49FEBEAA" w14:textId="77777777" w:rsidR="008415BB" w:rsidRPr="008415BB" w:rsidRDefault="008415BB" w:rsidP="008415BB">
      <w:pPr>
        <w:pStyle w:val="SPIEfigurecaption"/>
        <w:spacing w:after="0"/>
        <w:ind w:left="0" w:right="0" w:firstLine="284"/>
        <w:jc w:val="both"/>
        <w:rPr>
          <w:sz w:val="20"/>
        </w:rPr>
      </w:pPr>
    </w:p>
    <w:p w14:paraId="588E12D5" w14:textId="77777777" w:rsidR="0076654A" w:rsidRPr="008415BB" w:rsidRDefault="0076654A" w:rsidP="008415BB">
      <w:pPr>
        <w:ind w:firstLine="284"/>
        <w:jc w:val="both"/>
        <w:rPr>
          <w:szCs w:val="20"/>
        </w:rPr>
      </w:pPr>
      <w:r w:rsidRPr="008415BB">
        <w:rPr>
          <w:szCs w:val="20"/>
        </w:rPr>
        <w:t>where the coefficient æ at G = 2.4</w:t>
      </w:r>
      <w:r w:rsidRPr="008415BB">
        <w:rPr>
          <w:rFonts w:ascii="Cambria Math" w:hAnsi="Cambria Math"/>
          <w:szCs w:val="20"/>
          <w:lang w:val="uz-Cyrl-UZ"/>
        </w:rPr>
        <w:t>⋅</w:t>
      </w:r>
      <w:r w:rsidRPr="008415BB">
        <w:rPr>
          <w:szCs w:val="20"/>
        </w:rPr>
        <w:t>10</w:t>
      </w:r>
      <w:r w:rsidRPr="008415BB">
        <w:rPr>
          <w:szCs w:val="20"/>
          <w:vertAlign w:val="superscript"/>
        </w:rPr>
        <w:t>19</w:t>
      </w:r>
      <w:r w:rsidRPr="008415BB">
        <w:rPr>
          <w:szCs w:val="20"/>
        </w:rPr>
        <w:t>sm</w:t>
      </w:r>
      <w:r w:rsidRPr="008415BB">
        <w:rPr>
          <w:szCs w:val="20"/>
          <w:vertAlign w:val="superscript"/>
        </w:rPr>
        <w:t>-3</w:t>
      </w:r>
      <w:r w:rsidRPr="008415BB">
        <w:rPr>
          <w:szCs w:val="20"/>
        </w:rPr>
        <w:t xml:space="preserve"> s</w:t>
      </w:r>
      <w:r w:rsidRPr="008415BB">
        <w:rPr>
          <w:szCs w:val="20"/>
          <w:vertAlign w:val="superscript"/>
        </w:rPr>
        <w:t>-1</w:t>
      </w:r>
      <w:r w:rsidRPr="008415BB">
        <w:rPr>
          <w:szCs w:val="20"/>
        </w:rPr>
        <w:t xml:space="preserve"> [N</w:t>
      </w:r>
      <w:r w:rsidRPr="008415BB">
        <w:rPr>
          <w:szCs w:val="20"/>
          <w:vertAlign w:val="subscript"/>
        </w:rPr>
        <w:t>0</w:t>
      </w:r>
      <w:r w:rsidRPr="008415BB">
        <w:rPr>
          <w:szCs w:val="20"/>
        </w:rPr>
        <w:t xml:space="preserve"> = 10</w:t>
      </w:r>
      <w:r w:rsidRPr="008415BB">
        <w:rPr>
          <w:szCs w:val="20"/>
          <w:vertAlign w:val="superscript"/>
        </w:rPr>
        <w:t>17</w:t>
      </w:r>
      <w:r w:rsidRPr="008415BB">
        <w:rPr>
          <w:szCs w:val="20"/>
        </w:rPr>
        <w:t>sm</w:t>
      </w:r>
      <w:r w:rsidRPr="008415BB">
        <w:rPr>
          <w:szCs w:val="20"/>
          <w:vertAlign w:val="superscript"/>
        </w:rPr>
        <w:t>-3</w:t>
      </w:r>
      <w:r w:rsidRPr="008415BB">
        <w:rPr>
          <w:szCs w:val="20"/>
        </w:rPr>
        <w:t>, τ(</w:t>
      </w:r>
      <w:r w:rsidRPr="008415BB">
        <w:rPr>
          <w:i/>
          <w:iCs/>
          <w:szCs w:val="20"/>
        </w:rPr>
        <w:t>R</w:t>
      </w:r>
      <w:r w:rsidRPr="008415BB">
        <w:rPr>
          <w:szCs w:val="20"/>
          <w:vertAlign w:val="subscript"/>
        </w:rPr>
        <w:t>N</w:t>
      </w:r>
      <w:r w:rsidRPr="008415BB">
        <w:rPr>
          <w:szCs w:val="20"/>
        </w:rPr>
        <w:t>) = 4.2</w:t>
      </w:r>
      <w:r w:rsidRPr="008415BB">
        <w:rPr>
          <w:rFonts w:ascii="Cambria Math" w:hAnsi="Cambria Math"/>
          <w:szCs w:val="20"/>
          <w:lang w:val="uz-Cyrl-UZ"/>
        </w:rPr>
        <w:t>⋅</w:t>
      </w:r>
      <w:r w:rsidRPr="008415BB">
        <w:rPr>
          <w:szCs w:val="20"/>
        </w:rPr>
        <w:t>10</w:t>
      </w:r>
      <w:r w:rsidRPr="008415BB">
        <w:rPr>
          <w:szCs w:val="20"/>
          <w:vertAlign w:val="superscript"/>
        </w:rPr>
        <w:t>-3</w:t>
      </w:r>
      <w:r w:rsidRPr="008415BB">
        <w:rPr>
          <w:szCs w:val="20"/>
        </w:rPr>
        <w:t xml:space="preserve">s] is equal to 0.3. To estimate the time </w:t>
      </w:r>
      <w:r w:rsidRPr="008415BB">
        <w:rPr>
          <w:i/>
          <w:iCs/>
          <w:szCs w:val="20"/>
        </w:rPr>
        <w:t>T</w:t>
      </w:r>
      <w:r w:rsidRPr="008415BB">
        <w:rPr>
          <w:szCs w:val="20"/>
        </w:rPr>
        <w:t xml:space="preserve">’, one can use the expression for the time of photoexcitation of an electron from an impurity level, characterized by the binding energy </w:t>
      </w:r>
      <w:r w:rsidRPr="008415BB">
        <w:rPr>
          <w:i/>
          <w:iCs/>
          <w:szCs w:val="20"/>
        </w:rPr>
        <w:t>E</w:t>
      </w:r>
      <w:r w:rsidRPr="008415BB">
        <w:rPr>
          <w:szCs w:val="20"/>
          <w:vertAlign w:val="subscript"/>
        </w:rPr>
        <w:t>i</w:t>
      </w:r>
      <w:r w:rsidRPr="008415BB">
        <w:rPr>
          <w:szCs w:val="20"/>
        </w:rPr>
        <w:t xml:space="preserve">, and the localization radius ɑ to the conduction band of a crystalline semiconductor, characterized by the effective mass </w:t>
      </w:r>
      <w:r w:rsidRPr="008415BB">
        <w:rPr>
          <w:i/>
          <w:iCs/>
          <w:szCs w:val="20"/>
        </w:rPr>
        <w:t>m</w:t>
      </w:r>
      <w:r w:rsidRPr="008415BB">
        <w:rPr>
          <w:szCs w:val="20"/>
        </w:rPr>
        <w:t>*:</w:t>
      </w:r>
    </w:p>
    <w:p w14:paraId="5D755AFB" w14:textId="59C20D4E" w:rsidR="0076654A" w:rsidRPr="008415BB" w:rsidRDefault="00630B88" w:rsidP="008415BB">
      <w:pPr>
        <w:ind w:firstLine="284"/>
        <w:jc w:val="right"/>
        <w:rPr>
          <w:szCs w:val="20"/>
        </w:rPr>
      </w:pPr>
      <m:oMath>
        <m:f>
          <m:fPr>
            <m:ctrlPr>
              <w:rPr>
                <w:rFonts w:ascii="Cambria Math" w:hAnsi="Cambria Math"/>
                <w:i/>
                <w:szCs w:val="20"/>
                <w:lang w:eastAsia="ru-RU"/>
              </w:rPr>
            </m:ctrlPr>
          </m:fPr>
          <m:num>
            <m:r>
              <w:rPr>
                <w:rFonts w:ascii="Cambria Math" w:hAnsi="Cambria Math"/>
                <w:szCs w:val="20"/>
                <w:lang w:eastAsia="ru-RU"/>
              </w:rPr>
              <m:t>1</m:t>
            </m:r>
          </m:num>
          <m:den>
            <m:sSup>
              <m:sSupPr>
                <m:ctrlPr>
                  <w:rPr>
                    <w:rFonts w:ascii="Cambria Math" w:hAnsi="Cambria Math"/>
                    <w:i/>
                    <w:szCs w:val="20"/>
                    <w:lang w:eastAsia="ru-RU"/>
                  </w:rPr>
                </m:ctrlPr>
              </m:sSupPr>
              <m:e>
                <m:r>
                  <w:rPr>
                    <w:rFonts w:ascii="Cambria Math" w:hAnsi="Cambria Math"/>
                    <w:szCs w:val="20"/>
                    <w:lang w:eastAsia="ru-RU"/>
                  </w:rPr>
                  <m:t>T</m:t>
                </m:r>
              </m:e>
              <m:sup>
                <m:r>
                  <w:rPr>
                    <w:rFonts w:ascii="Cambria Math" w:hAnsi="Cambria Math"/>
                    <w:szCs w:val="20"/>
                    <w:lang w:eastAsia="ru-RU"/>
                  </w:rPr>
                  <m:t>'</m:t>
                </m:r>
              </m:sup>
            </m:sSup>
          </m:den>
        </m:f>
        <m:r>
          <m:rPr>
            <m:sty m:val="p"/>
          </m:rPr>
          <w:rPr>
            <w:rFonts w:ascii="Cambria Math" w:hAnsi="Cambria Math"/>
            <w:szCs w:val="20"/>
            <w:lang w:eastAsia="ru-RU"/>
          </w:rPr>
          <m:t xml:space="preserve"> = </m:t>
        </m:r>
        <m:f>
          <m:fPr>
            <m:ctrlPr>
              <w:rPr>
                <w:rFonts w:ascii="Cambria Math" w:hAnsi="Cambria Math"/>
                <w:szCs w:val="20"/>
                <w:lang w:eastAsia="ru-RU"/>
              </w:rPr>
            </m:ctrlPr>
          </m:fPr>
          <m:num>
            <m:r>
              <w:rPr>
                <w:rFonts w:ascii="Cambria Math" w:hAnsi="Cambria Math"/>
                <w:szCs w:val="20"/>
                <w:lang w:eastAsia="ru-RU"/>
              </w:rPr>
              <m:t>128</m:t>
            </m:r>
          </m:num>
          <m:den>
            <m:r>
              <w:rPr>
                <w:rFonts w:ascii="Cambria Math" w:hAnsi="Cambria Math"/>
                <w:szCs w:val="20"/>
                <w:lang w:eastAsia="ru-RU"/>
              </w:rPr>
              <m:t>3</m:t>
            </m:r>
          </m:den>
        </m:f>
        <m:r>
          <w:rPr>
            <w:rFonts w:ascii="Cambria Math" w:hAnsi="Cambria Math"/>
            <w:szCs w:val="20"/>
            <w:lang w:eastAsia="ru-RU"/>
          </w:rPr>
          <m:t>π</m:t>
        </m:r>
        <m:f>
          <m:fPr>
            <m:ctrlPr>
              <w:rPr>
                <w:rFonts w:ascii="Cambria Math" w:hAnsi="Cambria Math"/>
                <w:szCs w:val="20"/>
                <w:lang w:eastAsia="ru-RU"/>
              </w:rPr>
            </m:ctrlPr>
          </m:fPr>
          <m:num>
            <m:sSup>
              <m:sSupPr>
                <m:ctrlPr>
                  <w:rPr>
                    <w:rFonts w:ascii="Cambria Math" w:hAnsi="Cambria Math"/>
                    <w:i/>
                    <w:szCs w:val="20"/>
                    <w:lang w:eastAsia="ru-RU"/>
                  </w:rPr>
                </m:ctrlPr>
              </m:sSupPr>
              <m:e>
                <m:r>
                  <w:rPr>
                    <w:rFonts w:ascii="Cambria Math" w:hAnsi="Cambria Math"/>
                    <w:szCs w:val="20"/>
                    <w:lang w:eastAsia="ru-RU"/>
                  </w:rPr>
                  <m:t>e</m:t>
                </m:r>
              </m:e>
              <m:sup>
                <m:r>
                  <w:rPr>
                    <w:rFonts w:ascii="Cambria Math" w:hAnsi="Cambria Math"/>
                    <w:szCs w:val="20"/>
                    <w:lang w:eastAsia="ru-RU"/>
                  </w:rPr>
                  <m:t>2</m:t>
                </m:r>
              </m:sup>
            </m:sSup>
          </m:num>
          <m:den>
            <m:sSub>
              <m:sSubPr>
                <m:ctrlPr>
                  <w:rPr>
                    <w:rFonts w:ascii="Cambria Math" w:hAnsi="Cambria Math"/>
                    <w:i/>
                    <w:szCs w:val="20"/>
                    <w:lang w:eastAsia="ru-RU"/>
                  </w:rPr>
                </m:ctrlPr>
              </m:sSubPr>
              <m:e>
                <m:sSup>
                  <m:sSupPr>
                    <m:ctrlPr>
                      <w:rPr>
                        <w:rFonts w:ascii="Cambria Math" w:hAnsi="Cambria Math"/>
                        <w:i/>
                        <w:szCs w:val="20"/>
                        <w:lang w:eastAsia="ru-RU"/>
                      </w:rPr>
                    </m:ctrlPr>
                  </m:sSupPr>
                  <m:e>
                    <m:r>
                      <w:rPr>
                        <w:rFonts w:ascii="Cambria Math" w:hAnsi="Cambria Math"/>
                        <w:szCs w:val="20"/>
                        <w:lang w:eastAsia="ru-RU"/>
                      </w:rPr>
                      <m:t>m</m:t>
                    </m:r>
                  </m:e>
                  <m:sup>
                    <m:r>
                      <w:rPr>
                        <w:rFonts w:ascii="Cambria Math" w:hAnsi="Cambria Math"/>
                        <w:szCs w:val="20"/>
                        <w:lang w:eastAsia="ru-RU"/>
                      </w:rPr>
                      <m:t>*</m:t>
                    </m:r>
                  </m:sup>
                </m:sSup>
                <m:r>
                  <w:rPr>
                    <w:rFonts w:ascii="Cambria Math" w:hAnsi="Cambria Math"/>
                    <w:szCs w:val="20"/>
                    <w:lang w:eastAsia="ru-RU"/>
                  </w:rPr>
                  <m:t>cn</m:t>
                </m:r>
              </m:e>
              <m:sub>
                <m:sSup>
                  <m:sSupPr>
                    <m:ctrlPr>
                      <w:rPr>
                        <w:rFonts w:ascii="Cambria Math" w:hAnsi="Cambria Math"/>
                        <w:i/>
                        <w:szCs w:val="20"/>
                        <w:lang w:eastAsia="ru-RU"/>
                      </w:rPr>
                    </m:ctrlPr>
                  </m:sSupPr>
                  <m:e>
                    <m:r>
                      <w:rPr>
                        <w:rFonts w:ascii="Cambria Math" w:hAnsi="Cambria Math"/>
                        <w:szCs w:val="20"/>
                        <w:lang w:eastAsia="ru-RU"/>
                      </w:rPr>
                      <m:t>ω</m:t>
                    </m:r>
                  </m:e>
                  <m:sup>
                    <m:r>
                      <w:rPr>
                        <w:rFonts w:ascii="Cambria Math" w:hAnsi="Cambria Math"/>
                        <w:szCs w:val="20"/>
                        <w:lang w:eastAsia="ru-RU"/>
                      </w:rPr>
                      <m:t>'</m:t>
                    </m:r>
                  </m:sup>
                </m:sSup>
              </m:sub>
            </m:sSub>
            <m:sSup>
              <m:sSupPr>
                <m:ctrlPr>
                  <w:rPr>
                    <w:rFonts w:ascii="Cambria Math" w:hAnsi="Cambria Math"/>
                    <w:i/>
                    <w:szCs w:val="20"/>
                    <w:lang w:eastAsia="ru-RU"/>
                  </w:rPr>
                </m:ctrlPr>
              </m:sSupPr>
              <m:e>
                <m:r>
                  <w:rPr>
                    <w:rFonts w:ascii="Cambria Math" w:hAnsi="Cambria Math"/>
                    <w:szCs w:val="20"/>
                    <w:lang w:eastAsia="ru-RU"/>
                  </w:rPr>
                  <m:t>ω</m:t>
                </m:r>
              </m:e>
              <m:sup>
                <m:r>
                  <w:rPr>
                    <w:rFonts w:ascii="Cambria Math" w:hAnsi="Cambria Math"/>
                    <w:szCs w:val="20"/>
                    <w:lang w:eastAsia="ru-RU"/>
                  </w:rPr>
                  <m:t>'</m:t>
                </m:r>
              </m:sup>
            </m:sSup>
          </m:den>
        </m:f>
        <m:r>
          <w:rPr>
            <w:rFonts w:ascii="Cambria Math" w:hAnsi="Cambria Math"/>
            <w:szCs w:val="20"/>
            <w:lang w:eastAsia="ru-RU"/>
          </w:rPr>
          <m:t xml:space="preserve"> </m:t>
        </m:r>
        <m:f>
          <m:fPr>
            <m:ctrlPr>
              <w:rPr>
                <w:rFonts w:ascii="Cambria Math" w:hAnsi="Cambria Math"/>
                <w:i/>
                <w:szCs w:val="20"/>
                <w:lang w:eastAsia="ru-RU"/>
              </w:rPr>
            </m:ctrlPr>
          </m:fPr>
          <m:num>
            <m:sSup>
              <m:sSupPr>
                <m:ctrlPr>
                  <w:rPr>
                    <w:rFonts w:ascii="Cambria Math" w:hAnsi="Cambria Math"/>
                    <w:i/>
                    <w:szCs w:val="20"/>
                    <w:lang w:eastAsia="ru-RU"/>
                  </w:rPr>
                </m:ctrlPr>
              </m:sSupPr>
              <m:e>
                <m:r>
                  <w:rPr>
                    <w:rFonts w:ascii="Cambria Math" w:hAnsi="Cambria Math"/>
                    <w:szCs w:val="20"/>
                    <w:lang w:eastAsia="ru-RU"/>
                  </w:rPr>
                  <m:t>I</m:t>
                </m:r>
              </m:e>
              <m:sup>
                <m:r>
                  <w:rPr>
                    <w:rFonts w:ascii="Cambria Math" w:hAnsi="Cambria Math"/>
                    <w:szCs w:val="20"/>
                    <w:lang w:eastAsia="ru-RU"/>
                  </w:rPr>
                  <m:t>'</m:t>
                </m:r>
              </m:sup>
            </m:sSup>
          </m:num>
          <m:den>
            <m:r>
              <w:rPr>
                <w:rFonts w:ascii="Cambria Math" w:hAnsi="Cambria Math"/>
                <w:szCs w:val="20"/>
                <w:lang w:eastAsia="ru-RU"/>
              </w:rPr>
              <m:t>h</m:t>
            </m:r>
            <m:sSup>
              <m:sSupPr>
                <m:ctrlPr>
                  <w:rPr>
                    <w:rFonts w:ascii="Cambria Math" w:hAnsi="Cambria Math"/>
                    <w:i/>
                    <w:szCs w:val="20"/>
                    <w:lang w:eastAsia="ru-RU"/>
                  </w:rPr>
                </m:ctrlPr>
              </m:sSupPr>
              <m:e>
                <m:r>
                  <w:rPr>
                    <w:rFonts w:ascii="Cambria Math" w:hAnsi="Cambria Math"/>
                    <w:szCs w:val="20"/>
                    <w:lang w:eastAsia="ru-RU"/>
                  </w:rPr>
                  <m:t>ω</m:t>
                </m:r>
              </m:e>
              <m:sup>
                <m:r>
                  <w:rPr>
                    <w:rFonts w:ascii="Cambria Math" w:hAnsi="Cambria Math"/>
                    <w:szCs w:val="20"/>
                    <w:lang w:eastAsia="ru-RU"/>
                  </w:rPr>
                  <m:t>'</m:t>
                </m:r>
              </m:sup>
            </m:sSup>
          </m:den>
        </m:f>
        <m:f>
          <m:fPr>
            <m:ctrlPr>
              <w:rPr>
                <w:rFonts w:ascii="Cambria Math" w:hAnsi="Cambria Math"/>
                <w:i/>
                <w:szCs w:val="20"/>
                <w:lang w:eastAsia="ru-RU"/>
              </w:rPr>
            </m:ctrlPr>
          </m:fPr>
          <m:num>
            <m:sSup>
              <m:sSupPr>
                <m:ctrlPr>
                  <w:rPr>
                    <w:rFonts w:ascii="Cambria Math" w:hAnsi="Cambria Math"/>
                    <w:i/>
                    <w:szCs w:val="20"/>
                    <w:lang w:eastAsia="ru-RU"/>
                  </w:rPr>
                </m:ctrlPr>
              </m:sSupPr>
              <m:e>
                <m:r>
                  <w:rPr>
                    <w:rFonts w:ascii="Cambria Math" w:hAnsi="Cambria Math"/>
                    <w:szCs w:val="20"/>
                    <w:lang w:eastAsia="ru-RU"/>
                  </w:rPr>
                  <m:t>λ</m:t>
                </m:r>
              </m:e>
              <m:sup>
                <m:r>
                  <w:rPr>
                    <w:rFonts w:ascii="Cambria Math" w:hAnsi="Cambria Math"/>
                    <w:szCs w:val="20"/>
                    <w:lang w:eastAsia="ru-RU"/>
                  </w:rPr>
                  <m:t>3</m:t>
                </m:r>
              </m:sup>
            </m:sSup>
          </m:num>
          <m:den>
            <m:sSup>
              <m:sSupPr>
                <m:ctrlPr>
                  <w:rPr>
                    <w:rFonts w:ascii="Cambria Math" w:hAnsi="Cambria Math"/>
                    <w:i/>
                    <w:szCs w:val="20"/>
                    <w:lang w:eastAsia="ru-RU"/>
                  </w:rPr>
                </m:ctrlPr>
              </m:sSupPr>
              <m:e>
                <m:d>
                  <m:dPr>
                    <m:ctrlPr>
                      <w:rPr>
                        <w:rFonts w:ascii="Cambria Math" w:hAnsi="Cambria Math"/>
                        <w:i/>
                        <w:szCs w:val="20"/>
                        <w:lang w:eastAsia="ru-RU"/>
                      </w:rPr>
                    </m:ctrlPr>
                  </m:dPr>
                  <m:e>
                    <m:r>
                      <w:rPr>
                        <w:rFonts w:ascii="Cambria Math" w:hAnsi="Cambria Math"/>
                        <w:szCs w:val="20"/>
                        <w:lang w:eastAsia="ru-RU"/>
                      </w:rPr>
                      <m:t xml:space="preserve">1+ </m:t>
                    </m:r>
                    <m:sSup>
                      <m:sSupPr>
                        <m:ctrlPr>
                          <w:rPr>
                            <w:rFonts w:ascii="Cambria Math" w:hAnsi="Cambria Math"/>
                            <w:i/>
                            <w:szCs w:val="20"/>
                            <w:lang w:eastAsia="ru-RU"/>
                          </w:rPr>
                        </m:ctrlPr>
                      </m:sSupPr>
                      <m:e>
                        <m:r>
                          <w:rPr>
                            <w:rFonts w:ascii="Cambria Math" w:hAnsi="Cambria Math"/>
                            <w:szCs w:val="20"/>
                            <w:lang w:eastAsia="ru-RU"/>
                          </w:rPr>
                          <m:t>λ</m:t>
                        </m:r>
                      </m:e>
                      <m:sup>
                        <m:r>
                          <w:rPr>
                            <w:rFonts w:ascii="Cambria Math" w:hAnsi="Cambria Math"/>
                            <w:szCs w:val="20"/>
                            <w:lang w:eastAsia="ru-RU"/>
                          </w:rPr>
                          <m:t>3</m:t>
                        </m:r>
                      </m:sup>
                    </m:sSup>
                  </m:e>
                </m:d>
              </m:e>
              <m:sup>
                <m:r>
                  <w:rPr>
                    <w:rFonts w:ascii="Cambria Math" w:hAnsi="Cambria Math"/>
                    <w:szCs w:val="20"/>
                    <w:lang w:eastAsia="ru-RU"/>
                  </w:rPr>
                  <m:t>4</m:t>
                </m:r>
              </m:sup>
            </m:sSup>
          </m:den>
        </m:f>
      </m:oMath>
      <w:r w:rsidR="008415BB">
        <w:rPr>
          <w:rFonts w:eastAsiaTheme="minorEastAsia"/>
          <w:szCs w:val="20"/>
          <w:lang w:eastAsia="ru-RU"/>
        </w:rPr>
        <w:tab/>
      </w:r>
      <w:r w:rsidR="008415BB">
        <w:rPr>
          <w:rFonts w:eastAsiaTheme="minorEastAsia"/>
          <w:szCs w:val="20"/>
          <w:lang w:eastAsia="ru-RU"/>
        </w:rPr>
        <w:tab/>
      </w:r>
      <w:r w:rsidR="0076654A" w:rsidRPr="008415BB">
        <w:rPr>
          <w:rFonts w:eastAsiaTheme="minorEastAsia"/>
          <w:szCs w:val="20"/>
          <w:lang w:eastAsia="ru-RU"/>
        </w:rPr>
        <w:tab/>
      </w:r>
      <w:r w:rsidR="0076654A" w:rsidRPr="008415BB">
        <w:rPr>
          <w:rFonts w:eastAsiaTheme="minorEastAsia"/>
          <w:szCs w:val="20"/>
          <w:lang w:eastAsia="ru-RU"/>
        </w:rPr>
        <w:tab/>
      </w:r>
      <w:r w:rsidR="0076654A" w:rsidRPr="008415BB">
        <w:rPr>
          <w:rFonts w:eastAsiaTheme="minorEastAsia"/>
          <w:szCs w:val="20"/>
          <w:lang w:eastAsia="ru-RU"/>
        </w:rPr>
        <w:tab/>
        <w:t>(10)</w:t>
      </w:r>
    </w:p>
    <w:p w14:paraId="7A3034B5" w14:textId="3DB1DA7B" w:rsidR="0076654A" w:rsidRPr="008415BB" w:rsidRDefault="0076654A" w:rsidP="008415BB">
      <w:pPr>
        <w:ind w:firstLine="284"/>
        <w:jc w:val="both"/>
        <w:rPr>
          <w:szCs w:val="20"/>
          <w:lang w:val="uz-Cyrl-UZ"/>
        </w:rPr>
      </w:pPr>
      <w:r w:rsidRPr="008415BB">
        <w:rPr>
          <w:szCs w:val="20"/>
          <w:lang w:val="uz-Cyrl-UZ"/>
        </w:rPr>
        <w:t>where λ = [( hω – E</w:t>
      </w:r>
      <w:r w:rsidRPr="008415BB">
        <w:rPr>
          <w:szCs w:val="20"/>
          <w:vertAlign w:val="subscript"/>
          <w:lang w:val="uz-Cyrl-UZ"/>
        </w:rPr>
        <w:t>i</w:t>
      </w:r>
      <w:r w:rsidRPr="008415BB">
        <w:rPr>
          <w:szCs w:val="20"/>
          <w:lang w:val="uz-Cyrl-UZ"/>
        </w:rPr>
        <w:t xml:space="preserve"> ) / E’]</w:t>
      </w:r>
      <w:r w:rsidRPr="008415BB">
        <w:rPr>
          <w:szCs w:val="20"/>
          <w:vertAlign w:val="superscript"/>
          <w:lang w:val="uz-Cyrl-UZ"/>
        </w:rPr>
        <w:t>1/2</w:t>
      </w:r>
      <w:r w:rsidRPr="008415BB">
        <w:rPr>
          <w:szCs w:val="20"/>
          <w:lang w:val="uz-Cyrl-UZ"/>
        </w:rPr>
        <w:t xml:space="preserve"> , E’ = h</w:t>
      </w:r>
      <w:r w:rsidRPr="008415BB">
        <w:rPr>
          <w:szCs w:val="20"/>
          <w:vertAlign w:val="superscript"/>
          <w:lang w:val="uz-Cyrl-UZ"/>
        </w:rPr>
        <w:t>2</w:t>
      </w:r>
      <w:r w:rsidRPr="008415BB">
        <w:rPr>
          <w:szCs w:val="20"/>
          <w:lang w:val="uz-Cyrl-UZ"/>
        </w:rPr>
        <w:t xml:space="preserve"> / (2m*ɑ</w:t>
      </w:r>
      <w:r w:rsidRPr="008415BB">
        <w:rPr>
          <w:szCs w:val="20"/>
          <w:vertAlign w:val="superscript"/>
          <w:lang w:val="uz-Cyrl-UZ"/>
        </w:rPr>
        <w:t>2</w:t>
      </w:r>
      <w:r w:rsidRPr="008415BB">
        <w:rPr>
          <w:szCs w:val="20"/>
          <w:lang w:val="uz-Cyrl-UZ"/>
        </w:rPr>
        <w:t xml:space="preserve">) , </w:t>
      </w:r>
      <w:r w:rsidRPr="008415BB">
        <w:rPr>
          <w:i/>
          <w:iCs/>
          <w:szCs w:val="20"/>
          <w:lang w:val="uz-Cyrl-UZ"/>
        </w:rPr>
        <w:t>c</w:t>
      </w:r>
      <w:r w:rsidRPr="008415BB">
        <w:rPr>
          <w:szCs w:val="20"/>
          <w:lang w:val="uz-Cyrl-UZ"/>
        </w:rPr>
        <w:t xml:space="preserve"> is the speed of light, n</w:t>
      </w:r>
      <w:r w:rsidRPr="008415BB">
        <w:rPr>
          <w:szCs w:val="20"/>
          <w:vertAlign w:val="subscript"/>
          <w:lang w:val="uz-Cyrl-UZ"/>
        </w:rPr>
        <w:t>ω’</w:t>
      </w:r>
      <w:r w:rsidRPr="008415BB">
        <w:rPr>
          <w:szCs w:val="20"/>
          <w:lang w:val="uz-Cyrl-UZ"/>
        </w:rPr>
        <w:t xml:space="preserve"> is the refractive index at frequency ω’. At hω’ = 0.3 eV , nω’ = 3, m* = m</w:t>
      </w:r>
      <w:r w:rsidRPr="008415BB">
        <w:rPr>
          <w:szCs w:val="20"/>
          <w:vertAlign w:val="subscript"/>
          <w:lang w:val="uz-Cyrl-UZ"/>
        </w:rPr>
        <w:t>0</w:t>
      </w:r>
      <w:r w:rsidRPr="008415BB">
        <w:rPr>
          <w:szCs w:val="20"/>
          <w:lang w:val="uz-Cyrl-UZ"/>
        </w:rPr>
        <w:t xml:space="preserve"> (mass of a free electron), ( hω’- E</w:t>
      </w:r>
      <w:r w:rsidRPr="008415BB">
        <w:rPr>
          <w:szCs w:val="20"/>
          <w:vertAlign w:val="subscript"/>
          <w:lang w:val="uz-Cyrl-UZ"/>
        </w:rPr>
        <w:t>i</w:t>
      </w:r>
      <w:r w:rsidRPr="008415BB">
        <w:rPr>
          <w:szCs w:val="20"/>
          <w:lang w:val="uz-Cyrl-UZ"/>
        </w:rPr>
        <w:t xml:space="preserve"> ) / E’= 6 we obtain T’ = 10</w:t>
      </w:r>
      <w:r w:rsidRPr="008415BB">
        <w:rPr>
          <w:szCs w:val="20"/>
          <w:vertAlign w:val="superscript"/>
          <w:lang w:val="uz-Cyrl-UZ"/>
        </w:rPr>
        <w:t>-2</w:t>
      </w:r>
      <w:r w:rsidRPr="008415BB">
        <w:rPr>
          <w:szCs w:val="20"/>
          <w:lang w:val="uz-Cyrl-UZ"/>
        </w:rPr>
        <w:t xml:space="preserve"> I’</w:t>
      </w:r>
      <w:r w:rsidRPr="008415BB">
        <w:rPr>
          <w:szCs w:val="20"/>
          <w:vertAlign w:val="superscript"/>
          <w:lang w:val="uz-Cyrl-UZ"/>
        </w:rPr>
        <w:t>-1</w:t>
      </w:r>
      <w:r w:rsidRPr="008415BB">
        <w:rPr>
          <w:szCs w:val="20"/>
          <w:lang w:val="uz-Cyrl-UZ"/>
        </w:rPr>
        <w:t>s ( I’ in Vt/sm</w:t>
      </w:r>
      <w:r w:rsidRPr="008415BB">
        <w:rPr>
          <w:szCs w:val="20"/>
          <w:vertAlign w:val="superscript"/>
          <w:lang w:val="uz-Cyrl-UZ"/>
        </w:rPr>
        <w:t>2</w:t>
      </w:r>
      <w:r w:rsidRPr="008415BB">
        <w:rPr>
          <w:szCs w:val="20"/>
          <w:lang w:val="uz-Cyrl-UZ"/>
        </w:rPr>
        <w:t>).</w:t>
      </w:r>
    </w:p>
    <w:p w14:paraId="266308AE" w14:textId="7C4BD4CD" w:rsidR="0076654A" w:rsidRPr="008415BB" w:rsidRDefault="0076654A" w:rsidP="008415BB">
      <w:pPr>
        <w:ind w:firstLine="284"/>
        <w:jc w:val="both"/>
        <w:rPr>
          <w:szCs w:val="20"/>
        </w:rPr>
      </w:pPr>
      <w:r w:rsidRPr="008415BB">
        <w:rPr>
          <w:szCs w:val="20"/>
        </w:rPr>
        <w:t xml:space="preserve">The photoconductivity current is contributed by delocalized carriers </w:t>
      </w:r>
      <w:r w:rsidRPr="008415BB">
        <w:rPr>
          <w:i/>
          <w:iCs/>
          <w:szCs w:val="20"/>
        </w:rPr>
        <w:t>j</w:t>
      </w:r>
      <w:r w:rsidRPr="008415BB">
        <w:rPr>
          <w:szCs w:val="20"/>
          <w:vertAlign w:val="subscript"/>
        </w:rPr>
        <w:t>1</w:t>
      </w:r>
      <w:r w:rsidRPr="008415BB">
        <w:rPr>
          <w:szCs w:val="20"/>
        </w:rPr>
        <w:t xml:space="preserve"> = eGτµE (τ is the lifetime, µ is the mobility) and localized carriers </w:t>
      </w:r>
      <w:r w:rsidRPr="008415BB">
        <w:rPr>
          <w:i/>
          <w:iCs/>
          <w:szCs w:val="20"/>
        </w:rPr>
        <w:t>j</w:t>
      </w:r>
      <w:r w:rsidRPr="008415BB">
        <w:rPr>
          <w:szCs w:val="20"/>
          <w:vertAlign w:val="subscript"/>
        </w:rPr>
        <w:t>2</w:t>
      </w:r>
      <w:r w:rsidRPr="008415BB">
        <w:rPr>
          <w:szCs w:val="20"/>
        </w:rPr>
        <w:t xml:space="preserve"> performing tunnel jumps down in energy in the electric field </w:t>
      </w:r>
      <w:r w:rsidRPr="008415BB">
        <w:rPr>
          <w:i/>
          <w:iCs/>
          <w:szCs w:val="20"/>
        </w:rPr>
        <w:t>E</w:t>
      </w:r>
      <w:r w:rsidRPr="008415BB">
        <w:rPr>
          <w:szCs w:val="20"/>
        </w:rPr>
        <w:t xml:space="preserve">. Experimentally, the contributions </w:t>
      </w:r>
      <w:r w:rsidRPr="008415BB">
        <w:rPr>
          <w:i/>
          <w:iCs/>
          <w:szCs w:val="20"/>
        </w:rPr>
        <w:t>j</w:t>
      </w:r>
      <w:r w:rsidRPr="008415BB">
        <w:rPr>
          <w:szCs w:val="20"/>
          <w:vertAlign w:val="subscript"/>
        </w:rPr>
        <w:t>1</w:t>
      </w:r>
      <w:r w:rsidRPr="008415BB">
        <w:rPr>
          <w:szCs w:val="20"/>
        </w:rPr>
        <w:t xml:space="preserve"> and </w:t>
      </w:r>
      <w:r w:rsidRPr="008415BB">
        <w:rPr>
          <w:i/>
          <w:iCs/>
          <w:szCs w:val="20"/>
        </w:rPr>
        <w:t>j</w:t>
      </w:r>
      <w:r w:rsidRPr="008415BB">
        <w:rPr>
          <w:szCs w:val="20"/>
          <w:vertAlign w:val="subscript"/>
        </w:rPr>
        <w:t>2</w:t>
      </w:r>
      <w:r w:rsidRPr="008415BB">
        <w:rPr>
          <w:szCs w:val="20"/>
        </w:rPr>
        <w:t xml:space="preserve"> can be separated by measuring the kinetics of the photocurrent after turning off the photoexcitation </w:t>
      </w:r>
      <w:r w:rsidRPr="008415BB">
        <w:rPr>
          <w:i/>
          <w:iCs/>
          <w:szCs w:val="20"/>
        </w:rPr>
        <w:t>G</w:t>
      </w:r>
      <w:r w:rsidRPr="008415BB">
        <w:rPr>
          <w:szCs w:val="20"/>
        </w:rPr>
        <w:t xml:space="preserve">: if the current </w:t>
      </w:r>
      <w:r w:rsidRPr="008415BB">
        <w:rPr>
          <w:i/>
          <w:iCs/>
          <w:szCs w:val="20"/>
        </w:rPr>
        <w:t>j</w:t>
      </w:r>
      <w:r w:rsidRPr="008415BB">
        <w:rPr>
          <w:szCs w:val="20"/>
          <w:vertAlign w:val="subscript"/>
        </w:rPr>
        <w:t>1</w:t>
      </w:r>
      <w:r w:rsidRPr="008415BB">
        <w:rPr>
          <w:szCs w:val="20"/>
        </w:rPr>
        <w:t xml:space="preserve"> decreases in a microscopic time &lt;10</w:t>
      </w:r>
      <w:r w:rsidRPr="008415BB">
        <w:rPr>
          <w:szCs w:val="20"/>
          <w:vertAlign w:val="superscript"/>
        </w:rPr>
        <w:t>-12</w:t>
      </w:r>
      <w:r w:rsidRPr="008415BB">
        <w:rPr>
          <w:szCs w:val="20"/>
        </w:rPr>
        <w:t xml:space="preserve"> s, then the decay time of the current </w:t>
      </w:r>
      <w:r w:rsidRPr="008415BB">
        <w:rPr>
          <w:i/>
          <w:iCs/>
          <w:szCs w:val="20"/>
        </w:rPr>
        <w:t>j</w:t>
      </w:r>
      <w:r w:rsidRPr="008415BB">
        <w:rPr>
          <w:szCs w:val="20"/>
          <w:vertAlign w:val="subscript"/>
        </w:rPr>
        <w:t>2</w:t>
      </w:r>
      <w:r w:rsidRPr="008415BB">
        <w:rPr>
          <w:szCs w:val="20"/>
        </w:rPr>
        <w:t xml:space="preserve"> is comparable with the time τ(</w:t>
      </w:r>
      <w:r w:rsidRPr="008415BB">
        <w:rPr>
          <w:i/>
          <w:iCs/>
          <w:szCs w:val="20"/>
        </w:rPr>
        <w:t>R</w:t>
      </w:r>
      <w:r w:rsidRPr="008415BB">
        <w:rPr>
          <w:szCs w:val="20"/>
          <w:vertAlign w:val="subscript"/>
        </w:rPr>
        <w:t>N</w:t>
      </w:r>
      <w:r w:rsidRPr="008415BB">
        <w:rPr>
          <w:szCs w:val="20"/>
        </w:rPr>
        <w:t xml:space="preserve">). With IR illumination, the current </w:t>
      </w:r>
      <w:r w:rsidRPr="008415BB">
        <w:rPr>
          <w:i/>
          <w:iCs/>
          <w:szCs w:val="20"/>
        </w:rPr>
        <w:t>j</w:t>
      </w:r>
      <w:r w:rsidRPr="008415BB">
        <w:rPr>
          <w:szCs w:val="20"/>
          <w:vertAlign w:val="subscript"/>
        </w:rPr>
        <w:t>1</w:t>
      </w:r>
      <w:r w:rsidRPr="008415BB">
        <w:rPr>
          <w:szCs w:val="20"/>
        </w:rPr>
        <w:t xml:space="preserve"> increases by a factor of (G+ΔG)/G. The initial relative change in this current Δ</w:t>
      </w:r>
      <w:r w:rsidRPr="008415BB">
        <w:rPr>
          <w:i/>
          <w:iCs/>
          <w:szCs w:val="20"/>
        </w:rPr>
        <w:t>j</w:t>
      </w:r>
      <w:r w:rsidRPr="008415BB">
        <w:rPr>
          <w:szCs w:val="20"/>
          <w:vertAlign w:val="subscript"/>
        </w:rPr>
        <w:t>1</w:t>
      </w:r>
      <w:r w:rsidRPr="008415BB">
        <w:rPr>
          <w:szCs w:val="20"/>
        </w:rPr>
        <w:t>/j</w:t>
      </w:r>
      <w:r w:rsidRPr="008415BB">
        <w:rPr>
          <w:szCs w:val="20"/>
          <w:vertAlign w:val="superscript"/>
        </w:rPr>
        <w:t>0</w:t>
      </w:r>
      <w:r w:rsidRPr="008415BB">
        <w:rPr>
          <w:szCs w:val="20"/>
          <w:vertAlign w:val="subscript"/>
        </w:rPr>
        <w:t>1</w:t>
      </w:r>
      <w:r w:rsidRPr="008415BB">
        <w:rPr>
          <w:szCs w:val="20"/>
        </w:rPr>
        <w:t xml:space="preserve"> = N</w:t>
      </w:r>
      <w:r w:rsidRPr="008415BB">
        <w:rPr>
          <w:szCs w:val="20"/>
          <w:vertAlign w:val="subscript"/>
        </w:rPr>
        <w:t>0</w:t>
      </w:r>
      <w:r w:rsidRPr="008415BB">
        <w:rPr>
          <w:szCs w:val="20"/>
        </w:rPr>
        <w:t xml:space="preserve"> / (TG) over a time of the order of – τ(</w:t>
      </w:r>
      <w:r w:rsidRPr="008415BB">
        <w:rPr>
          <w:i/>
          <w:iCs/>
          <w:szCs w:val="20"/>
        </w:rPr>
        <w:t>R</w:t>
      </w:r>
      <w:r w:rsidRPr="008415BB">
        <w:rPr>
          <w:szCs w:val="20"/>
          <w:vertAlign w:val="subscript"/>
        </w:rPr>
        <w:t>N</w:t>
      </w:r>
      <w:r w:rsidRPr="008415BB">
        <w:rPr>
          <w:szCs w:val="20"/>
        </w:rPr>
        <w:t>) after turning on the illumination goes to a steady-state value</w:t>
      </w:r>
    </w:p>
    <w:p w14:paraId="4050B7AE" w14:textId="61196460" w:rsidR="0076654A" w:rsidRPr="008415BB" w:rsidRDefault="00630B88" w:rsidP="008415BB">
      <w:pPr>
        <w:jc w:val="right"/>
        <w:rPr>
          <w:rFonts w:eastAsiaTheme="minorEastAsia"/>
          <w:szCs w:val="20"/>
          <w:lang w:eastAsia="ru-RU"/>
        </w:rPr>
      </w:pPr>
      <m:oMath>
        <m:f>
          <m:fPr>
            <m:ctrlPr>
              <w:rPr>
                <w:rFonts w:ascii="Cambria Math" w:hAnsi="Cambria Math"/>
                <w:i/>
                <w:szCs w:val="20"/>
                <w:lang w:eastAsia="ru-RU"/>
              </w:rPr>
            </m:ctrlPr>
          </m:fPr>
          <m:num>
            <m:r>
              <w:rPr>
                <w:rFonts w:ascii="Cambria Math" w:hAnsi="Cambria Math"/>
                <w:szCs w:val="20"/>
                <w:lang w:eastAsia="ru-RU"/>
              </w:rPr>
              <m:t>Δ</m:t>
            </m:r>
            <m:sSub>
              <m:sSubPr>
                <m:ctrlPr>
                  <w:rPr>
                    <w:rFonts w:ascii="Cambria Math" w:hAnsi="Cambria Math"/>
                    <w:i/>
                    <w:szCs w:val="20"/>
                    <w:lang w:eastAsia="ru-RU"/>
                  </w:rPr>
                </m:ctrlPr>
              </m:sSubPr>
              <m:e>
                <m:r>
                  <w:rPr>
                    <w:rFonts w:ascii="Cambria Math" w:hAnsi="Cambria Math"/>
                    <w:szCs w:val="20"/>
                    <w:lang w:eastAsia="ru-RU"/>
                  </w:rPr>
                  <m:t>j</m:t>
                </m:r>
              </m:e>
              <m:sub>
                <m:r>
                  <w:rPr>
                    <w:rFonts w:ascii="Cambria Math" w:hAnsi="Cambria Math"/>
                    <w:szCs w:val="20"/>
                    <w:lang w:eastAsia="ru-RU"/>
                  </w:rPr>
                  <m:t>1</m:t>
                </m:r>
              </m:sub>
            </m:sSub>
          </m:num>
          <m:den>
            <m:sSubSup>
              <m:sSubSupPr>
                <m:ctrlPr>
                  <w:rPr>
                    <w:rFonts w:ascii="Cambria Math" w:hAnsi="Cambria Math"/>
                    <w:i/>
                    <w:szCs w:val="20"/>
                    <w:lang w:eastAsia="ru-RU"/>
                  </w:rPr>
                </m:ctrlPr>
              </m:sSubSupPr>
              <m:e>
                <m:r>
                  <w:rPr>
                    <w:rFonts w:ascii="Cambria Math" w:hAnsi="Cambria Math"/>
                    <w:szCs w:val="20"/>
                    <w:lang w:eastAsia="ru-RU"/>
                  </w:rPr>
                  <m:t>j</m:t>
                </m:r>
              </m:e>
              <m:sub>
                <m:r>
                  <w:rPr>
                    <w:rFonts w:ascii="Cambria Math" w:hAnsi="Cambria Math"/>
                    <w:szCs w:val="20"/>
                    <w:lang w:eastAsia="ru-RU"/>
                  </w:rPr>
                  <m:t>1</m:t>
                </m:r>
              </m:sub>
              <m:sup>
                <m:r>
                  <w:rPr>
                    <w:rFonts w:ascii="Cambria Math" w:hAnsi="Cambria Math"/>
                    <w:szCs w:val="20"/>
                    <w:lang w:eastAsia="ru-RU"/>
                  </w:rPr>
                  <m:t>0</m:t>
                </m:r>
              </m:sup>
            </m:sSubSup>
          </m:den>
        </m:f>
        <m:r>
          <m:rPr>
            <m:sty m:val="p"/>
          </m:rPr>
          <w:rPr>
            <w:rFonts w:ascii="Cambria Math" w:hAnsi="Cambria Math"/>
            <w:szCs w:val="20"/>
            <w:lang w:eastAsia="ru-RU"/>
          </w:rPr>
          <m:t xml:space="preserve"> = </m:t>
        </m:r>
        <m:f>
          <m:fPr>
            <m:ctrlPr>
              <w:rPr>
                <w:rFonts w:ascii="Cambria Math" w:hAnsi="Cambria Math"/>
                <w:szCs w:val="20"/>
                <w:lang w:eastAsia="ru-RU"/>
              </w:rPr>
            </m:ctrlPr>
          </m:fPr>
          <m:num>
            <m:r>
              <w:rPr>
                <w:rFonts w:ascii="Cambria Math" w:hAnsi="Cambria Math"/>
                <w:szCs w:val="20"/>
                <w:lang w:eastAsia="ru-RU"/>
              </w:rPr>
              <m:t>N</m:t>
            </m:r>
          </m:num>
          <m:den>
            <m:r>
              <w:rPr>
                <w:rFonts w:ascii="Cambria Math" w:hAnsi="Cambria Math"/>
                <w:szCs w:val="20"/>
                <w:lang w:eastAsia="ru-RU"/>
              </w:rPr>
              <m:t>G</m:t>
            </m:r>
            <m:sSup>
              <m:sSupPr>
                <m:ctrlPr>
                  <w:rPr>
                    <w:rFonts w:ascii="Cambria Math" w:hAnsi="Cambria Math"/>
                    <w:i/>
                    <w:szCs w:val="20"/>
                    <w:lang w:eastAsia="ru-RU"/>
                  </w:rPr>
                </m:ctrlPr>
              </m:sSupPr>
              <m:e>
                <m:r>
                  <w:rPr>
                    <w:rFonts w:ascii="Cambria Math" w:hAnsi="Cambria Math"/>
                    <w:szCs w:val="20"/>
                    <w:lang w:eastAsia="ru-RU"/>
                  </w:rPr>
                  <m:t>T</m:t>
                </m:r>
              </m:e>
              <m:sup>
                <m:r>
                  <w:rPr>
                    <w:rFonts w:ascii="Cambria Math" w:hAnsi="Cambria Math"/>
                    <w:szCs w:val="20"/>
                    <w:lang w:eastAsia="ru-RU"/>
                  </w:rPr>
                  <m:t>'</m:t>
                </m:r>
              </m:sup>
            </m:sSup>
          </m:den>
        </m:f>
        <m:r>
          <w:rPr>
            <w:rFonts w:ascii="Cambria Math" w:hAnsi="Cambria Math"/>
            <w:szCs w:val="20"/>
            <w:lang w:eastAsia="ru-RU"/>
          </w:rPr>
          <m:t xml:space="preserve">= </m:t>
        </m:r>
        <m:f>
          <m:fPr>
            <m:ctrlPr>
              <w:rPr>
                <w:rFonts w:ascii="Cambria Math" w:hAnsi="Cambria Math"/>
                <w:szCs w:val="20"/>
                <w:lang w:eastAsia="ru-RU"/>
              </w:rPr>
            </m:ctrlPr>
          </m:fPr>
          <m:num>
            <m:r>
              <w:rPr>
                <w:rFonts w:ascii="Cambria Math" w:hAnsi="Cambria Math"/>
                <w:szCs w:val="20"/>
                <w:lang w:eastAsia="ru-RU"/>
              </w:rPr>
              <m:t>τ(</m:t>
            </m:r>
            <m:sSubSup>
              <m:sSubSupPr>
                <m:ctrlPr>
                  <w:rPr>
                    <w:rFonts w:ascii="Cambria Math" w:hAnsi="Cambria Math"/>
                    <w:i/>
                    <w:szCs w:val="20"/>
                    <w:lang w:eastAsia="ru-RU"/>
                  </w:rPr>
                </m:ctrlPr>
              </m:sSubSupPr>
              <m:e>
                <m:r>
                  <w:rPr>
                    <w:rFonts w:ascii="Cambria Math" w:hAnsi="Cambria Math"/>
                    <w:szCs w:val="20"/>
                    <w:lang w:eastAsia="ru-RU"/>
                  </w:rPr>
                  <m:t>R</m:t>
                </m:r>
              </m:e>
              <m:sub>
                <m:r>
                  <w:rPr>
                    <w:rFonts w:ascii="Cambria Math" w:hAnsi="Cambria Math"/>
                    <w:szCs w:val="20"/>
                    <w:lang w:eastAsia="ru-RU"/>
                  </w:rPr>
                  <m:t>N</m:t>
                </m:r>
              </m:sub>
              <m:sup>
                <m:r>
                  <w:rPr>
                    <w:rFonts w:ascii="Cambria Math" w:hAnsi="Cambria Math"/>
                    <w:szCs w:val="20"/>
                    <w:lang w:eastAsia="ru-RU"/>
                  </w:rPr>
                  <m:t>0</m:t>
                </m:r>
              </m:sup>
            </m:sSubSup>
            <m:r>
              <w:rPr>
                <w:rFonts w:ascii="Cambria Math" w:hAnsi="Cambria Math"/>
                <w:szCs w:val="20"/>
                <w:lang w:eastAsia="ru-RU"/>
              </w:rPr>
              <m:t>)</m:t>
            </m:r>
          </m:num>
          <m:den>
            <m:sSup>
              <m:sSupPr>
                <m:ctrlPr>
                  <w:rPr>
                    <w:rFonts w:ascii="Cambria Math" w:hAnsi="Cambria Math"/>
                    <w:i/>
                    <w:szCs w:val="20"/>
                    <w:lang w:eastAsia="ru-RU"/>
                  </w:rPr>
                </m:ctrlPr>
              </m:sSupPr>
              <m:e>
                <m:r>
                  <w:rPr>
                    <w:rFonts w:ascii="Cambria Math" w:hAnsi="Cambria Math"/>
                    <w:szCs w:val="20"/>
                    <w:lang w:eastAsia="ru-RU"/>
                  </w:rPr>
                  <m:t>T</m:t>
                </m:r>
              </m:e>
              <m:sup>
                <m:r>
                  <w:rPr>
                    <w:rFonts w:ascii="Cambria Math" w:hAnsi="Cambria Math"/>
                    <w:szCs w:val="20"/>
                    <w:lang w:eastAsia="ru-RU"/>
                  </w:rPr>
                  <m:t>'</m:t>
                </m:r>
              </m:sup>
            </m:sSup>
          </m:den>
        </m:f>
        <m:r>
          <w:rPr>
            <w:rFonts w:ascii="Cambria Math" w:hAnsi="Cambria Math"/>
            <w:szCs w:val="20"/>
            <w:lang w:eastAsia="ru-RU"/>
          </w:rPr>
          <m:t xml:space="preserve"> </m:t>
        </m:r>
        <m:d>
          <m:dPr>
            <m:ctrlPr>
              <w:rPr>
                <w:rFonts w:ascii="Cambria Math" w:hAnsi="Cambria Math"/>
                <w:i/>
                <w:szCs w:val="20"/>
                <w:lang w:eastAsia="ru-RU"/>
              </w:rPr>
            </m:ctrlPr>
          </m:dPr>
          <m:e>
            <m:r>
              <w:rPr>
                <w:rFonts w:ascii="Cambria Math" w:hAnsi="Cambria Math"/>
                <w:szCs w:val="20"/>
                <w:lang w:eastAsia="ru-RU"/>
              </w:rPr>
              <m:t>1- æ</m:t>
            </m:r>
            <m:f>
              <m:fPr>
                <m:ctrlPr>
                  <w:rPr>
                    <w:rFonts w:ascii="Cambria Math" w:hAnsi="Cambria Math"/>
                    <w:i/>
                    <w:szCs w:val="20"/>
                    <w:lang w:eastAsia="ru-RU"/>
                  </w:rPr>
                </m:ctrlPr>
              </m:fPr>
              <m:num>
                <m:r>
                  <w:rPr>
                    <w:rFonts w:ascii="Cambria Math" w:hAnsi="Cambria Math"/>
                    <w:szCs w:val="20"/>
                    <w:lang w:eastAsia="ru-RU"/>
                  </w:rPr>
                  <m:t>τ(</m:t>
                </m:r>
                <m:sSubSup>
                  <m:sSubSupPr>
                    <m:ctrlPr>
                      <w:rPr>
                        <w:rFonts w:ascii="Cambria Math" w:hAnsi="Cambria Math"/>
                        <w:i/>
                        <w:szCs w:val="20"/>
                        <w:lang w:eastAsia="ru-RU"/>
                      </w:rPr>
                    </m:ctrlPr>
                  </m:sSubSupPr>
                  <m:e>
                    <m:r>
                      <w:rPr>
                        <w:rFonts w:ascii="Cambria Math" w:hAnsi="Cambria Math"/>
                        <w:szCs w:val="20"/>
                        <w:lang w:eastAsia="ru-RU"/>
                      </w:rPr>
                      <m:t>R</m:t>
                    </m:r>
                  </m:e>
                  <m:sub>
                    <m:r>
                      <w:rPr>
                        <w:rFonts w:ascii="Cambria Math" w:hAnsi="Cambria Math"/>
                        <w:szCs w:val="20"/>
                        <w:lang w:eastAsia="ru-RU"/>
                      </w:rPr>
                      <m:t>N</m:t>
                    </m:r>
                  </m:sub>
                  <m:sup>
                    <m:r>
                      <w:rPr>
                        <w:rFonts w:ascii="Cambria Math" w:hAnsi="Cambria Math"/>
                        <w:szCs w:val="20"/>
                        <w:lang w:eastAsia="ru-RU"/>
                      </w:rPr>
                      <m:t>0</m:t>
                    </m:r>
                  </m:sup>
                </m:sSubSup>
                <m:r>
                  <w:rPr>
                    <w:rFonts w:ascii="Cambria Math" w:hAnsi="Cambria Math"/>
                    <w:szCs w:val="20"/>
                    <w:lang w:eastAsia="ru-RU"/>
                  </w:rPr>
                  <m:t>)</m:t>
                </m:r>
              </m:num>
              <m:den>
                <m:sSup>
                  <m:sSupPr>
                    <m:ctrlPr>
                      <w:rPr>
                        <w:rFonts w:ascii="Cambria Math" w:hAnsi="Cambria Math"/>
                        <w:i/>
                        <w:szCs w:val="20"/>
                        <w:lang w:eastAsia="ru-RU"/>
                      </w:rPr>
                    </m:ctrlPr>
                  </m:sSupPr>
                  <m:e>
                    <m:r>
                      <w:rPr>
                        <w:rFonts w:ascii="Cambria Math" w:hAnsi="Cambria Math"/>
                        <w:szCs w:val="20"/>
                        <w:lang w:eastAsia="ru-RU"/>
                      </w:rPr>
                      <m:t>T</m:t>
                    </m:r>
                  </m:e>
                  <m:sup>
                    <m:r>
                      <w:rPr>
                        <w:rFonts w:ascii="Cambria Math" w:hAnsi="Cambria Math"/>
                        <w:szCs w:val="20"/>
                        <w:lang w:eastAsia="ru-RU"/>
                      </w:rPr>
                      <m:t>'</m:t>
                    </m:r>
                  </m:sup>
                </m:sSup>
              </m:den>
            </m:f>
          </m:e>
        </m:d>
      </m:oMath>
      <w:r w:rsidR="008415BB">
        <w:rPr>
          <w:rFonts w:eastAsiaTheme="minorEastAsia"/>
          <w:szCs w:val="20"/>
          <w:lang w:eastAsia="ru-RU"/>
        </w:rPr>
        <w:tab/>
      </w:r>
      <w:r w:rsidR="008415BB">
        <w:rPr>
          <w:rFonts w:eastAsiaTheme="minorEastAsia"/>
          <w:szCs w:val="20"/>
          <w:lang w:eastAsia="ru-RU"/>
        </w:rPr>
        <w:tab/>
      </w:r>
      <w:r w:rsidR="0076654A" w:rsidRPr="008415BB">
        <w:rPr>
          <w:rFonts w:eastAsiaTheme="minorEastAsia"/>
          <w:szCs w:val="20"/>
          <w:lang w:eastAsia="ru-RU"/>
        </w:rPr>
        <w:tab/>
      </w:r>
      <w:r w:rsidR="0076654A" w:rsidRPr="008415BB">
        <w:rPr>
          <w:rFonts w:eastAsiaTheme="minorEastAsia"/>
          <w:szCs w:val="20"/>
          <w:lang w:eastAsia="ru-RU"/>
        </w:rPr>
        <w:tab/>
      </w:r>
      <w:r w:rsidR="0076654A" w:rsidRPr="008415BB">
        <w:rPr>
          <w:rFonts w:eastAsiaTheme="minorEastAsia"/>
          <w:szCs w:val="20"/>
          <w:lang w:eastAsia="ru-RU"/>
        </w:rPr>
        <w:tab/>
        <w:t>(11)</w:t>
      </w:r>
    </w:p>
    <w:p w14:paraId="73A35816" w14:textId="77777777" w:rsidR="0076654A" w:rsidRPr="008415BB" w:rsidRDefault="0076654A" w:rsidP="008415BB">
      <w:pPr>
        <w:ind w:firstLine="284"/>
        <w:jc w:val="both"/>
        <w:rPr>
          <w:szCs w:val="20"/>
          <w:lang w:val="uz-Cyrl-UZ"/>
        </w:rPr>
      </w:pPr>
      <w:r w:rsidRPr="008415BB">
        <w:rPr>
          <w:szCs w:val="20"/>
          <w:lang w:val="uz-Cyrl-UZ"/>
        </w:rPr>
        <w:t xml:space="preserve">sublinearly dependent on the intensity I’. The calculation of the current </w:t>
      </w:r>
      <w:r w:rsidRPr="008415BB">
        <w:rPr>
          <w:i/>
          <w:iCs/>
          <w:szCs w:val="20"/>
          <w:lang w:val="uz-Cyrl-UZ"/>
        </w:rPr>
        <w:t>j</w:t>
      </w:r>
      <w:r w:rsidRPr="008415BB">
        <w:rPr>
          <w:szCs w:val="20"/>
          <w:vertAlign w:val="subscript"/>
          <w:lang w:val="uz-Cyrl-UZ"/>
        </w:rPr>
        <w:t>2</w:t>
      </w:r>
      <w:r w:rsidRPr="008415BB">
        <w:rPr>
          <w:szCs w:val="20"/>
          <w:lang w:val="uz-Cyrl-UZ"/>
        </w:rPr>
        <w:t>, carried out according to formula in [4], gives at τ(</w:t>
      </w:r>
      <w:r w:rsidRPr="008415BB">
        <w:rPr>
          <w:i/>
          <w:iCs/>
          <w:szCs w:val="20"/>
          <w:lang w:val="uz-Cyrl-UZ"/>
        </w:rPr>
        <w:t>R</w:t>
      </w:r>
      <w:r w:rsidRPr="008415BB">
        <w:rPr>
          <w:szCs w:val="20"/>
          <w:vertAlign w:val="subscript"/>
          <w:lang w:val="uz-Cyrl-UZ"/>
        </w:rPr>
        <w:t>N</w:t>
      </w:r>
      <w:r w:rsidRPr="008415BB">
        <w:rPr>
          <w:szCs w:val="20"/>
          <w:lang w:val="uz-Cyrl-UZ"/>
        </w:rPr>
        <w:t>)/T’&lt;&lt;1</w:t>
      </w:r>
    </w:p>
    <w:p w14:paraId="5C7747F1" w14:textId="5EE90EAC" w:rsidR="0076654A" w:rsidRPr="008415BB" w:rsidRDefault="00630B88" w:rsidP="008415BB">
      <w:pPr>
        <w:jc w:val="right"/>
        <w:rPr>
          <w:szCs w:val="20"/>
        </w:rPr>
      </w:pPr>
      <m:oMath>
        <m:f>
          <m:fPr>
            <m:ctrlPr>
              <w:rPr>
                <w:rFonts w:ascii="Cambria Math" w:hAnsi="Cambria Math"/>
                <w:i/>
                <w:szCs w:val="20"/>
                <w:lang w:eastAsia="ru-RU"/>
              </w:rPr>
            </m:ctrlPr>
          </m:fPr>
          <m:num>
            <m:r>
              <w:rPr>
                <w:rFonts w:ascii="Cambria Math" w:hAnsi="Cambria Math"/>
                <w:szCs w:val="20"/>
                <w:lang w:eastAsia="ru-RU"/>
              </w:rPr>
              <m:t>Δ</m:t>
            </m:r>
            <m:sSub>
              <m:sSubPr>
                <m:ctrlPr>
                  <w:rPr>
                    <w:rFonts w:ascii="Cambria Math" w:hAnsi="Cambria Math"/>
                    <w:i/>
                    <w:szCs w:val="20"/>
                    <w:lang w:eastAsia="ru-RU"/>
                  </w:rPr>
                </m:ctrlPr>
              </m:sSubPr>
              <m:e>
                <m:r>
                  <w:rPr>
                    <w:rFonts w:ascii="Cambria Math" w:hAnsi="Cambria Math"/>
                    <w:szCs w:val="20"/>
                    <w:lang w:eastAsia="ru-RU"/>
                  </w:rPr>
                  <m:t>j</m:t>
                </m:r>
              </m:e>
              <m:sub>
                <m:r>
                  <w:rPr>
                    <w:rFonts w:ascii="Cambria Math" w:hAnsi="Cambria Math"/>
                    <w:szCs w:val="20"/>
                    <w:lang w:eastAsia="ru-RU"/>
                  </w:rPr>
                  <m:t>2</m:t>
                </m:r>
              </m:sub>
            </m:sSub>
          </m:num>
          <m:den>
            <m:sSubSup>
              <m:sSubSupPr>
                <m:ctrlPr>
                  <w:rPr>
                    <w:rFonts w:ascii="Cambria Math" w:hAnsi="Cambria Math"/>
                    <w:i/>
                    <w:szCs w:val="20"/>
                    <w:lang w:eastAsia="ru-RU"/>
                  </w:rPr>
                </m:ctrlPr>
              </m:sSubSupPr>
              <m:e>
                <m:r>
                  <w:rPr>
                    <w:rFonts w:ascii="Cambria Math" w:hAnsi="Cambria Math"/>
                    <w:szCs w:val="20"/>
                    <w:lang w:eastAsia="ru-RU"/>
                  </w:rPr>
                  <m:t>j</m:t>
                </m:r>
              </m:e>
              <m:sub>
                <m:r>
                  <w:rPr>
                    <w:rFonts w:ascii="Cambria Math" w:hAnsi="Cambria Math"/>
                    <w:szCs w:val="20"/>
                    <w:lang w:eastAsia="ru-RU"/>
                  </w:rPr>
                  <m:t>2</m:t>
                </m:r>
              </m:sub>
              <m:sup>
                <m:r>
                  <w:rPr>
                    <w:rFonts w:ascii="Cambria Math" w:hAnsi="Cambria Math"/>
                    <w:szCs w:val="20"/>
                    <w:lang w:eastAsia="ru-RU"/>
                  </w:rPr>
                  <m:t>0</m:t>
                </m:r>
              </m:sup>
            </m:sSubSup>
          </m:den>
        </m:f>
        <m:r>
          <m:rPr>
            <m:sty m:val="p"/>
          </m:rPr>
          <w:rPr>
            <w:rFonts w:ascii="Cambria Math" w:hAnsi="Cambria Math"/>
            <w:szCs w:val="20"/>
            <w:lang w:eastAsia="ru-RU"/>
          </w:rPr>
          <m:t xml:space="preserve"> = </m:t>
        </m:r>
        <m:r>
          <w:rPr>
            <w:rFonts w:ascii="Cambria Math" w:hAnsi="Cambria Math"/>
            <w:szCs w:val="20"/>
            <w:lang w:eastAsia="ru-RU"/>
          </w:rPr>
          <m:t xml:space="preserve"> æ</m:t>
        </m:r>
        <m:f>
          <m:fPr>
            <m:ctrlPr>
              <w:rPr>
                <w:rFonts w:ascii="Cambria Math" w:hAnsi="Cambria Math"/>
                <w:i/>
                <w:szCs w:val="20"/>
                <w:lang w:eastAsia="ru-RU"/>
              </w:rPr>
            </m:ctrlPr>
          </m:fPr>
          <m:num>
            <m:r>
              <w:rPr>
                <w:rFonts w:ascii="Cambria Math" w:hAnsi="Cambria Math"/>
                <w:szCs w:val="20"/>
                <w:lang w:eastAsia="ru-RU"/>
              </w:rPr>
              <m:t>τ(</m:t>
            </m:r>
            <m:sSubSup>
              <m:sSubSupPr>
                <m:ctrlPr>
                  <w:rPr>
                    <w:rFonts w:ascii="Cambria Math" w:hAnsi="Cambria Math"/>
                    <w:i/>
                    <w:szCs w:val="20"/>
                    <w:lang w:eastAsia="ru-RU"/>
                  </w:rPr>
                </m:ctrlPr>
              </m:sSubSupPr>
              <m:e>
                <m:r>
                  <w:rPr>
                    <w:rFonts w:ascii="Cambria Math" w:hAnsi="Cambria Math"/>
                    <w:szCs w:val="20"/>
                    <w:lang w:eastAsia="ru-RU"/>
                  </w:rPr>
                  <m:t>R</m:t>
                </m:r>
              </m:e>
              <m:sub>
                <m:r>
                  <w:rPr>
                    <w:rFonts w:ascii="Cambria Math" w:hAnsi="Cambria Math"/>
                    <w:szCs w:val="20"/>
                    <w:lang w:eastAsia="ru-RU"/>
                  </w:rPr>
                  <m:t>N</m:t>
                </m:r>
              </m:sub>
              <m:sup>
                <m:r>
                  <w:rPr>
                    <w:rFonts w:ascii="Cambria Math" w:hAnsi="Cambria Math"/>
                    <w:szCs w:val="20"/>
                    <w:lang w:eastAsia="ru-RU"/>
                  </w:rPr>
                  <m:t>0</m:t>
                </m:r>
              </m:sup>
            </m:sSubSup>
            <m:r>
              <w:rPr>
                <w:rFonts w:ascii="Cambria Math" w:hAnsi="Cambria Math"/>
                <w:szCs w:val="20"/>
                <w:lang w:eastAsia="ru-RU"/>
              </w:rPr>
              <m:t>)</m:t>
            </m:r>
          </m:num>
          <m:den>
            <m:sSup>
              <m:sSupPr>
                <m:ctrlPr>
                  <w:rPr>
                    <w:rFonts w:ascii="Cambria Math" w:hAnsi="Cambria Math"/>
                    <w:i/>
                    <w:szCs w:val="20"/>
                    <w:lang w:eastAsia="ru-RU"/>
                  </w:rPr>
                </m:ctrlPr>
              </m:sSupPr>
              <m:e>
                <m:r>
                  <w:rPr>
                    <w:rFonts w:ascii="Cambria Math" w:hAnsi="Cambria Math"/>
                    <w:szCs w:val="20"/>
                    <w:lang w:eastAsia="ru-RU"/>
                  </w:rPr>
                  <m:t>T</m:t>
                </m:r>
              </m:e>
              <m:sup>
                <m:r>
                  <w:rPr>
                    <w:rFonts w:ascii="Cambria Math" w:hAnsi="Cambria Math"/>
                    <w:szCs w:val="20"/>
                    <w:lang w:eastAsia="ru-RU"/>
                  </w:rPr>
                  <m:t>'</m:t>
                </m:r>
              </m:sup>
            </m:sSup>
          </m:den>
        </m:f>
      </m:oMath>
      <w:r w:rsidR="008415BB">
        <w:rPr>
          <w:rFonts w:eastAsiaTheme="minorEastAsia"/>
          <w:szCs w:val="20"/>
          <w:lang w:eastAsia="ru-RU"/>
        </w:rPr>
        <w:tab/>
      </w:r>
      <w:r w:rsidR="008415BB">
        <w:rPr>
          <w:rFonts w:eastAsiaTheme="minorEastAsia"/>
          <w:szCs w:val="20"/>
          <w:lang w:eastAsia="ru-RU"/>
        </w:rPr>
        <w:tab/>
      </w:r>
      <w:r w:rsidR="008415BB">
        <w:rPr>
          <w:rFonts w:eastAsiaTheme="minorEastAsia"/>
          <w:szCs w:val="20"/>
          <w:lang w:eastAsia="ru-RU"/>
        </w:rPr>
        <w:tab/>
      </w:r>
      <w:r w:rsidR="008415BB">
        <w:rPr>
          <w:rFonts w:eastAsiaTheme="minorEastAsia"/>
          <w:szCs w:val="20"/>
          <w:lang w:eastAsia="ru-RU"/>
        </w:rPr>
        <w:tab/>
      </w:r>
      <w:r w:rsidR="008415BB">
        <w:rPr>
          <w:rFonts w:eastAsiaTheme="minorEastAsia"/>
          <w:szCs w:val="20"/>
          <w:lang w:eastAsia="ru-RU"/>
        </w:rPr>
        <w:tab/>
      </w:r>
      <w:r w:rsidR="008415BB">
        <w:rPr>
          <w:rFonts w:eastAsiaTheme="minorEastAsia"/>
          <w:szCs w:val="20"/>
          <w:lang w:eastAsia="ru-RU"/>
        </w:rPr>
        <w:tab/>
      </w:r>
      <w:r w:rsidR="0076654A" w:rsidRPr="008415BB">
        <w:rPr>
          <w:rFonts w:eastAsiaTheme="minorEastAsia"/>
          <w:szCs w:val="20"/>
          <w:lang w:eastAsia="ru-RU"/>
        </w:rPr>
        <w:t xml:space="preserve">(12) </w:t>
      </w:r>
    </w:p>
    <w:p w14:paraId="62FCEDAD" w14:textId="670FBD71" w:rsidR="002E4723" w:rsidRPr="008415BB" w:rsidRDefault="0076654A" w:rsidP="008415BB">
      <w:pPr>
        <w:ind w:firstLine="284"/>
        <w:jc w:val="both"/>
        <w:rPr>
          <w:szCs w:val="20"/>
        </w:rPr>
      </w:pPr>
      <w:r w:rsidRPr="008415BB">
        <w:rPr>
          <w:szCs w:val="20"/>
        </w:rPr>
        <w:t xml:space="preserve">where æ ~1 at </w:t>
      </w:r>
      <w:r w:rsidRPr="008415BB">
        <w:rPr>
          <w:i/>
          <w:iCs/>
          <w:szCs w:val="20"/>
        </w:rPr>
        <w:t>G</w:t>
      </w:r>
      <w:r w:rsidRPr="008415BB">
        <w:rPr>
          <w:szCs w:val="20"/>
        </w:rPr>
        <w:t xml:space="preserve"> = 2.4·10</w:t>
      </w:r>
      <w:r w:rsidRPr="008415BB">
        <w:rPr>
          <w:szCs w:val="20"/>
          <w:vertAlign w:val="superscript"/>
        </w:rPr>
        <w:t>19</w:t>
      </w:r>
      <w:r w:rsidRPr="008415BB">
        <w:rPr>
          <w:szCs w:val="20"/>
        </w:rPr>
        <w:t>sm</w:t>
      </w:r>
      <w:r w:rsidRPr="008415BB">
        <w:rPr>
          <w:szCs w:val="20"/>
          <w:vertAlign w:val="superscript"/>
        </w:rPr>
        <w:t>-3</w:t>
      </w:r>
      <w:r w:rsidRPr="008415BB">
        <w:rPr>
          <w:szCs w:val="20"/>
        </w:rPr>
        <w:t>s</w:t>
      </w:r>
      <w:r w:rsidRPr="008415BB">
        <w:rPr>
          <w:szCs w:val="20"/>
          <w:vertAlign w:val="superscript"/>
        </w:rPr>
        <w:t>-1</w:t>
      </w:r>
      <w:r w:rsidRPr="008415BB">
        <w:rPr>
          <w:szCs w:val="20"/>
        </w:rPr>
        <w:t>.</w:t>
      </w:r>
    </w:p>
    <w:p w14:paraId="7C9E690C" w14:textId="6C923EFC" w:rsidR="00DD0758" w:rsidRPr="00340927" w:rsidRDefault="00866EFF" w:rsidP="00FB5384">
      <w:pPr>
        <w:pStyle w:val="1"/>
      </w:pPr>
      <w:r w:rsidRPr="00340927">
        <w:t>CONCLUSION</w:t>
      </w:r>
    </w:p>
    <w:p w14:paraId="7690FF95" w14:textId="6B60CD82" w:rsidR="00E22B6D" w:rsidRPr="008415BB" w:rsidRDefault="00E22B6D" w:rsidP="008415BB">
      <w:pPr>
        <w:ind w:firstLine="284"/>
        <w:jc w:val="both"/>
        <w:rPr>
          <w:szCs w:val="20"/>
          <w:lang w:val="uz-Cyrl-UZ"/>
        </w:rPr>
      </w:pPr>
      <w:r w:rsidRPr="008415BB">
        <w:rPr>
          <w:szCs w:val="20"/>
          <w:lang w:val="uz-Cyrl-UZ"/>
        </w:rPr>
        <w:t>The other mechanism is carrier generation and carrier relaxation involving tunnelling, photo-excitation by infrared radiation and recombination. A quantitative approach based on a system of balance equations, including these processes, leads to a consistent microscopic picture of the mechanism of photoconductivity in disordered semiconductors. The simulation predicts two regimes for the variation of the photoconductivity with the IR intensity: a linear regime dominated by trap depopulation effects, and a sublinear saturation regime dominated by trap filling and recombination. The model also provides excellent agreement with the results of earlier and recent experiments, validating the reaction-radius and tunnelling-relaxation model for localised carrier dynamics. The energy redistribution of trap states under the IR illumination provides the mechanism of the observed enhancement in carrier mobility and decrease in activation energy, subsequently resulting in an increase in conductivity at low temperatures. The photoconductivity response is mainly affected by the concentration of hydrogen and defect density.</w:t>
      </w:r>
    </w:p>
    <w:p w14:paraId="59EE91B8" w14:textId="508DCF91" w:rsidR="00E22B6D" w:rsidRPr="008415BB" w:rsidRDefault="00E22B6D" w:rsidP="008415BB">
      <w:pPr>
        <w:ind w:firstLine="284"/>
        <w:jc w:val="both"/>
        <w:rPr>
          <w:szCs w:val="20"/>
        </w:rPr>
      </w:pPr>
      <w:r w:rsidRPr="008415BB">
        <w:rPr>
          <w:szCs w:val="20"/>
          <w:lang w:val="uz-Cyrl-UZ"/>
        </w:rPr>
        <w:t>The optimised hydrogenation allows to avoid the introduction of deep-level defects and to improve the steady state conductivity. A large amount of hydrogenation leads to the formation of metastable complexes which in the long run can become detrimental, in agreement with the experimental evidence regarding the role played by PECVD and post-deposition treatments. From the sustainability viewpoint, the underlying computational model presents a high potential for optimising a high-performance photovoltaic device based on a-Si:H technology. The observed photoconductivity under bi-wavelength illumination is also useful to improve solar energy conversion in thin film devices. The model can connect light soaking, defect dynamics and hydrogen incorporation with changes in conductivity, enabling the rational design of green and durable solar cell materials. Future work will focus on experimentally verifying the predicted IR assisted transport phenomena, combining the model with multi-scale simulations of structural and thermal degradation, and acting as a foundation for sustainable manufacturing technologies. These efforts will bring amorphous silicon to the next generation of solar technology and our broader efforts in resilient, low-carbon energy systems of the future.</w:t>
      </w:r>
    </w:p>
    <w:p w14:paraId="362D7D7D" w14:textId="6D651549" w:rsidR="00BC6BE6" w:rsidRPr="008415BB" w:rsidRDefault="00BC6BE6" w:rsidP="008415BB">
      <w:pPr>
        <w:spacing w:before="240" w:after="240"/>
        <w:jc w:val="center"/>
        <w:rPr>
          <w:b/>
          <w:bCs/>
          <w:sz w:val="24"/>
          <w:szCs w:val="28"/>
          <w:lang w:val="uz-Cyrl-UZ"/>
        </w:rPr>
      </w:pPr>
      <w:r w:rsidRPr="008415BB">
        <w:rPr>
          <w:b/>
          <w:bCs/>
          <w:sz w:val="24"/>
          <w:szCs w:val="28"/>
          <w:lang w:val="uz-Cyrl-UZ"/>
        </w:rPr>
        <w:t>R</w:t>
      </w:r>
      <w:r w:rsidR="00EC1627" w:rsidRPr="008415BB">
        <w:rPr>
          <w:b/>
          <w:bCs/>
          <w:sz w:val="24"/>
          <w:szCs w:val="28"/>
        </w:rPr>
        <w:t>EFERENCES</w:t>
      </w:r>
    </w:p>
    <w:p w14:paraId="3AA63BD2" w14:textId="77777777" w:rsidR="00F13B31" w:rsidRPr="005E7DAA" w:rsidRDefault="00F13B31" w:rsidP="006629CF">
      <w:pPr>
        <w:pStyle w:val="ds-markdown-paragraph"/>
        <w:numPr>
          <w:ilvl w:val="0"/>
          <w:numId w:val="11"/>
        </w:numPr>
        <w:shd w:val="clear" w:color="auto" w:fill="FFFFFF"/>
        <w:spacing w:before="0" w:beforeAutospacing="0" w:after="0" w:afterAutospacing="0"/>
        <w:ind w:left="426" w:hanging="426"/>
        <w:jc w:val="both"/>
        <w:rPr>
          <w:color w:val="000000" w:themeColor="text1"/>
          <w:sz w:val="20"/>
          <w:szCs w:val="20"/>
        </w:rPr>
      </w:pPr>
      <w:r w:rsidRPr="005E7DAA">
        <w:rPr>
          <w:color w:val="000000" w:themeColor="text1"/>
          <w:sz w:val="20"/>
          <w:szCs w:val="20"/>
          <w:lang w:val="en-US"/>
        </w:rPr>
        <w:t>Abdukadyrov, A. G. (1990). Influence of IR illumination on the conductivity of photocarriers in an undoped amorphous semiconductor. </w:t>
      </w:r>
      <w:r w:rsidRPr="005E7DAA">
        <w:rPr>
          <w:color w:val="000000" w:themeColor="text1"/>
          <w:sz w:val="20"/>
          <w:szCs w:val="20"/>
        </w:rPr>
        <w:t>*Soviet Physics - Semiconductors, 24*(5), 844–847.</w:t>
      </w:r>
    </w:p>
    <w:p w14:paraId="1651C028" w14:textId="77777777" w:rsidR="00F13B31" w:rsidRPr="005E7DAA" w:rsidRDefault="00F13B31" w:rsidP="006629CF">
      <w:pPr>
        <w:pStyle w:val="ds-markdown-paragraph"/>
        <w:numPr>
          <w:ilvl w:val="0"/>
          <w:numId w:val="11"/>
        </w:numPr>
        <w:shd w:val="clear" w:color="auto" w:fill="FFFFFF"/>
        <w:spacing w:before="0" w:beforeAutospacing="0" w:after="0" w:afterAutospacing="0"/>
        <w:ind w:left="426" w:hanging="426"/>
        <w:jc w:val="both"/>
        <w:rPr>
          <w:color w:val="000000" w:themeColor="text1"/>
          <w:sz w:val="20"/>
          <w:szCs w:val="20"/>
          <w:lang w:val="en-US"/>
        </w:rPr>
      </w:pPr>
      <w:r w:rsidRPr="005E7DAA">
        <w:rPr>
          <w:color w:val="000000" w:themeColor="text1"/>
          <w:sz w:val="20"/>
          <w:szCs w:val="20"/>
          <w:lang w:val="en-US"/>
        </w:rPr>
        <w:t>Abdukadyrov, A. G., Baranovsky, S. D., &amp; Ivchenko, E. L. (1990). Low-temperature photoluminescence and photoconductivity in undoped amorphous semiconductors. *Soviet Physics - Semiconductors, 24*(1), 136–143.</w:t>
      </w:r>
    </w:p>
    <w:p w14:paraId="59458257" w14:textId="675C71C5" w:rsidR="00F13B31" w:rsidRPr="005E7DAA" w:rsidRDefault="006629CF" w:rsidP="006629CF">
      <w:pPr>
        <w:pStyle w:val="ds-markdown-paragraph"/>
        <w:numPr>
          <w:ilvl w:val="0"/>
          <w:numId w:val="11"/>
        </w:numPr>
        <w:shd w:val="clear" w:color="auto" w:fill="FFFFFF"/>
        <w:spacing w:before="0" w:beforeAutospacing="0" w:after="0" w:afterAutospacing="0"/>
        <w:ind w:left="426" w:hanging="426"/>
        <w:jc w:val="both"/>
        <w:rPr>
          <w:color w:val="000000" w:themeColor="text1"/>
          <w:sz w:val="20"/>
          <w:szCs w:val="20"/>
          <w:lang w:val="en-US"/>
        </w:rPr>
      </w:pPr>
      <w:r w:rsidRPr="005E7DAA">
        <w:rPr>
          <w:color w:val="000000" w:themeColor="text1"/>
          <w:sz w:val="20"/>
          <w:szCs w:val="20"/>
          <w:lang w:val="en-US"/>
        </w:rPr>
        <w:t xml:space="preserve">Biegelsen, D. K. (1982b). Defects in amorphous silicon. MRS Proceedings, 14. </w:t>
      </w:r>
      <w:hyperlink r:id="rId36" w:history="1">
        <w:r w:rsidRPr="005E7DAA">
          <w:rPr>
            <w:rStyle w:val="a5"/>
            <w:color w:val="000000" w:themeColor="text1"/>
            <w:sz w:val="20"/>
            <w:szCs w:val="20"/>
            <w:u w:val="none"/>
            <w:lang w:val="en-US"/>
          </w:rPr>
          <w:t>https://doi.org/10.1557/proc-14-75</w:t>
        </w:r>
      </w:hyperlink>
    </w:p>
    <w:p w14:paraId="33FAB69C" w14:textId="41DE7035" w:rsidR="00F13B31" w:rsidRPr="005E7DAA" w:rsidRDefault="006629CF" w:rsidP="006629CF">
      <w:pPr>
        <w:pStyle w:val="ds-markdown-paragraph"/>
        <w:numPr>
          <w:ilvl w:val="0"/>
          <w:numId w:val="11"/>
        </w:numPr>
        <w:shd w:val="clear" w:color="auto" w:fill="FFFFFF"/>
        <w:spacing w:before="0" w:beforeAutospacing="0" w:after="0" w:afterAutospacing="0"/>
        <w:ind w:left="426" w:hanging="426"/>
        <w:jc w:val="both"/>
        <w:rPr>
          <w:color w:val="000000" w:themeColor="text1"/>
          <w:sz w:val="20"/>
          <w:szCs w:val="20"/>
        </w:rPr>
      </w:pPr>
      <w:r w:rsidRPr="005E7DAA">
        <w:rPr>
          <w:color w:val="000000" w:themeColor="text1"/>
          <w:sz w:val="20"/>
          <w:szCs w:val="20"/>
          <w:lang w:val="en-US"/>
        </w:rPr>
        <w:t xml:space="preserve">Davis, J. A., Boscardin, M., Crivellari, M., Fanò, L., Large, M., Menichelli, M., Morozzi, A., Moscatelli, F., Movileanu-Ionica, M., Passeri, D., Petasecca, M., Piccini, M., Rossi, A., Scorzoni, A., Thompson, B., Verzellesi, G., &amp; Wyrsch, N. (2020b). Modeling a thick hydrogenated amorphous silicon substrate for ionizing radiation detectors. Frontiers in Physics, 8. </w:t>
      </w:r>
      <w:hyperlink r:id="rId37" w:history="1">
        <w:r w:rsidRPr="005E7DAA">
          <w:rPr>
            <w:rStyle w:val="a5"/>
            <w:color w:val="000000" w:themeColor="text1"/>
            <w:sz w:val="20"/>
            <w:szCs w:val="20"/>
            <w:u w:val="none"/>
            <w:lang w:val="en-US"/>
          </w:rPr>
          <w:t>https://doi.org/10.3389/fphy.2020.00158</w:t>
        </w:r>
      </w:hyperlink>
    </w:p>
    <w:p w14:paraId="343C51D8" w14:textId="3725607D" w:rsidR="00F13B31" w:rsidRPr="005E7DAA" w:rsidRDefault="006629CF" w:rsidP="006629CF">
      <w:pPr>
        <w:pStyle w:val="ds-markdown-paragraph"/>
        <w:numPr>
          <w:ilvl w:val="0"/>
          <w:numId w:val="11"/>
        </w:numPr>
        <w:shd w:val="clear" w:color="auto" w:fill="FFFFFF"/>
        <w:spacing w:before="0" w:beforeAutospacing="0" w:after="0" w:afterAutospacing="0"/>
        <w:ind w:left="426" w:hanging="426"/>
        <w:jc w:val="both"/>
        <w:rPr>
          <w:color w:val="000000" w:themeColor="text1"/>
          <w:sz w:val="20"/>
          <w:szCs w:val="20"/>
          <w:lang w:val="en-US"/>
        </w:rPr>
      </w:pPr>
      <w:r w:rsidRPr="005E7DAA">
        <w:rPr>
          <w:color w:val="000000" w:themeColor="text1"/>
          <w:sz w:val="20"/>
          <w:szCs w:val="20"/>
          <w:lang w:val="en-US"/>
        </w:rPr>
        <w:t xml:space="preserve">Deringer, V. L., Bernstein, N., Bartók, A. P., Cliffe, M. J., Kerber, R. N., Marbella, L. E., Grey, C. P., Elliott, S. R., &amp; Csányi, G. (2018). Realistic Atomistic Structure of Amorphous Silicon from Machine-Learning-Driven Molecular Dynamics. The Journal of Physical Chemistry Letters, 9(11), 2879–2885. </w:t>
      </w:r>
      <w:hyperlink r:id="rId38" w:history="1">
        <w:r w:rsidRPr="005E7DAA">
          <w:rPr>
            <w:rStyle w:val="a5"/>
            <w:color w:val="000000" w:themeColor="text1"/>
            <w:sz w:val="20"/>
            <w:szCs w:val="20"/>
            <w:u w:val="none"/>
            <w:lang w:val="en-US"/>
          </w:rPr>
          <w:t>https://doi.org/10.1021/acs.jpclett.8b00902</w:t>
        </w:r>
      </w:hyperlink>
    </w:p>
    <w:p w14:paraId="091C96C6" w14:textId="77777777" w:rsidR="00F13B31" w:rsidRPr="005E7DAA" w:rsidRDefault="00F13B31" w:rsidP="006629CF">
      <w:pPr>
        <w:pStyle w:val="ds-markdown-paragraph"/>
        <w:numPr>
          <w:ilvl w:val="0"/>
          <w:numId w:val="11"/>
        </w:numPr>
        <w:shd w:val="clear" w:color="auto" w:fill="FFFFFF"/>
        <w:spacing w:before="0" w:beforeAutospacing="0" w:after="0" w:afterAutospacing="0"/>
        <w:ind w:left="426" w:hanging="426"/>
        <w:jc w:val="both"/>
        <w:rPr>
          <w:color w:val="000000" w:themeColor="text1"/>
          <w:sz w:val="20"/>
          <w:szCs w:val="20"/>
        </w:rPr>
      </w:pPr>
      <w:r w:rsidRPr="005E7DAA">
        <w:rPr>
          <w:color w:val="000000" w:themeColor="text1"/>
          <w:sz w:val="20"/>
          <w:szCs w:val="20"/>
          <w:lang w:val="en-US"/>
        </w:rPr>
        <w:t>Heck, S., Stradins, P., &amp; Fritzsche, H. (1995). Transient infrared stimulated photoconductivity in a-Si:H at low temperatures. </w:t>
      </w:r>
      <w:r w:rsidRPr="005E7DAA">
        <w:rPr>
          <w:rStyle w:val="afa"/>
          <w:color w:val="000000" w:themeColor="text1"/>
          <w:sz w:val="20"/>
          <w:szCs w:val="20"/>
        </w:rPr>
        <w:t>Materials Research Society Symposium Proceedings, 377</w:t>
      </w:r>
      <w:r w:rsidRPr="005E7DAA">
        <w:rPr>
          <w:color w:val="000000" w:themeColor="text1"/>
          <w:sz w:val="20"/>
          <w:szCs w:val="20"/>
        </w:rPr>
        <w:t>, 305–310. </w:t>
      </w:r>
      <w:hyperlink r:id="rId39" w:tgtFrame="_blank" w:history="1">
        <w:r w:rsidRPr="005E7DAA">
          <w:rPr>
            <w:rStyle w:val="a5"/>
            <w:color w:val="000000" w:themeColor="text1"/>
            <w:sz w:val="20"/>
            <w:szCs w:val="20"/>
            <w:u w:val="none"/>
          </w:rPr>
          <w:t>https://doi.org/10.1557/PROC-377-305</w:t>
        </w:r>
      </w:hyperlink>
    </w:p>
    <w:p w14:paraId="28D0F276" w14:textId="77777777" w:rsidR="00F13B31" w:rsidRPr="005E7DAA" w:rsidRDefault="00F13B31" w:rsidP="006629CF">
      <w:pPr>
        <w:pStyle w:val="ds-markdown-paragraph"/>
        <w:numPr>
          <w:ilvl w:val="0"/>
          <w:numId w:val="11"/>
        </w:numPr>
        <w:shd w:val="clear" w:color="auto" w:fill="FFFFFF"/>
        <w:spacing w:before="0" w:beforeAutospacing="0" w:after="0" w:afterAutospacing="0"/>
        <w:ind w:left="426" w:hanging="426"/>
        <w:jc w:val="both"/>
        <w:rPr>
          <w:color w:val="000000" w:themeColor="text1"/>
          <w:sz w:val="20"/>
          <w:szCs w:val="20"/>
        </w:rPr>
      </w:pPr>
      <w:r w:rsidRPr="005E7DAA">
        <w:rPr>
          <w:color w:val="000000" w:themeColor="text1"/>
          <w:sz w:val="20"/>
          <w:szCs w:val="20"/>
          <w:lang w:val="en-US"/>
        </w:rPr>
        <w:t>Jeong, Y. J., Choi, J., Kim, H., &amp; Park, S. (2025). Tailoring hydrogenation to enhance defect suppression and charge transport in hydrogenated amorphous silicon for flexible photodetectors. </w:t>
      </w:r>
      <w:r w:rsidRPr="005E7DAA">
        <w:rPr>
          <w:rStyle w:val="afa"/>
          <w:color w:val="000000" w:themeColor="text1"/>
          <w:sz w:val="20"/>
          <w:szCs w:val="20"/>
        </w:rPr>
        <w:t>Advanced Science</w:t>
      </w:r>
      <w:r w:rsidRPr="005E7DAA">
        <w:rPr>
          <w:color w:val="000000" w:themeColor="text1"/>
          <w:sz w:val="20"/>
          <w:szCs w:val="20"/>
        </w:rPr>
        <w:t>, e2504199. </w:t>
      </w:r>
      <w:hyperlink r:id="rId40" w:tgtFrame="_blank" w:history="1">
        <w:r w:rsidRPr="005E7DAA">
          <w:rPr>
            <w:rStyle w:val="a5"/>
            <w:color w:val="000000" w:themeColor="text1"/>
            <w:sz w:val="20"/>
            <w:szCs w:val="20"/>
            <w:u w:val="none"/>
          </w:rPr>
          <w:t>https://doi.org/10.1002/advs.202504199</w:t>
        </w:r>
      </w:hyperlink>
    </w:p>
    <w:p w14:paraId="72F26C1C" w14:textId="77777777" w:rsidR="00F13B31" w:rsidRPr="005E7DAA" w:rsidRDefault="00F13B31" w:rsidP="006629CF">
      <w:pPr>
        <w:pStyle w:val="ds-markdown-paragraph"/>
        <w:numPr>
          <w:ilvl w:val="0"/>
          <w:numId w:val="11"/>
        </w:numPr>
        <w:shd w:val="clear" w:color="auto" w:fill="FFFFFF"/>
        <w:spacing w:before="0" w:beforeAutospacing="0" w:after="0" w:afterAutospacing="0"/>
        <w:ind w:left="426" w:hanging="426"/>
        <w:jc w:val="both"/>
        <w:rPr>
          <w:color w:val="000000" w:themeColor="text1"/>
          <w:sz w:val="20"/>
          <w:szCs w:val="20"/>
          <w:lang w:val="en-US"/>
        </w:rPr>
      </w:pPr>
      <w:r w:rsidRPr="005E7DAA">
        <w:rPr>
          <w:color w:val="000000" w:themeColor="text1"/>
          <w:sz w:val="20"/>
          <w:szCs w:val="20"/>
          <w:lang w:val="en-US"/>
        </w:rPr>
        <w:t>Kurova, I. A., Ormont, N. N., Omelyanovsky, E. M., &amp; Fuksina, S. A. (1985). Photoluminescence and photoconductivity of amorphous silicon. </w:t>
      </w:r>
      <w:r w:rsidRPr="005E7DAA">
        <w:rPr>
          <w:rStyle w:val="afa"/>
          <w:color w:val="000000" w:themeColor="text1"/>
          <w:sz w:val="20"/>
          <w:szCs w:val="20"/>
          <w:lang w:val="en-US"/>
        </w:rPr>
        <w:t>Fizika i Tekhnika Poluprovodnikov, 19</w:t>
      </w:r>
      <w:r w:rsidRPr="005E7DAA">
        <w:rPr>
          <w:color w:val="000000" w:themeColor="text1"/>
          <w:sz w:val="20"/>
          <w:szCs w:val="20"/>
          <w:lang w:val="en-US"/>
        </w:rPr>
        <w:t>(1), 44–47.</w:t>
      </w:r>
    </w:p>
    <w:p w14:paraId="592A66CE" w14:textId="77777777" w:rsidR="00F13B31" w:rsidRPr="005E7DAA" w:rsidRDefault="00F13B31" w:rsidP="006629CF">
      <w:pPr>
        <w:pStyle w:val="ds-markdown-paragraph"/>
        <w:numPr>
          <w:ilvl w:val="0"/>
          <w:numId w:val="11"/>
        </w:numPr>
        <w:shd w:val="clear" w:color="auto" w:fill="FFFFFF"/>
        <w:spacing w:before="0" w:beforeAutospacing="0" w:after="0" w:afterAutospacing="0"/>
        <w:ind w:left="426" w:hanging="426"/>
        <w:jc w:val="both"/>
        <w:rPr>
          <w:color w:val="000000" w:themeColor="text1"/>
          <w:sz w:val="20"/>
          <w:szCs w:val="20"/>
        </w:rPr>
      </w:pPr>
      <w:r w:rsidRPr="005E7DAA">
        <w:rPr>
          <w:color w:val="000000" w:themeColor="text1"/>
          <w:sz w:val="20"/>
          <w:szCs w:val="20"/>
          <w:lang w:val="en-US"/>
        </w:rPr>
        <w:t>Li, C., Wang, Y., &amp; Zhang, Y. (2022). Pressure-induced photoconductivity enhancement and infrared photoresponse tuning in silicon. </w:t>
      </w:r>
      <w:r w:rsidRPr="005E7DAA">
        <w:rPr>
          <w:rStyle w:val="afa"/>
          <w:color w:val="000000" w:themeColor="text1"/>
          <w:sz w:val="20"/>
          <w:szCs w:val="20"/>
        </w:rPr>
        <w:t>Applied Physics Letters, 121</w:t>
      </w:r>
      <w:r w:rsidRPr="005E7DAA">
        <w:rPr>
          <w:color w:val="000000" w:themeColor="text1"/>
          <w:sz w:val="20"/>
          <w:szCs w:val="20"/>
        </w:rPr>
        <w:t>(4), 042102. </w:t>
      </w:r>
      <w:hyperlink r:id="rId41" w:tgtFrame="_blank" w:history="1">
        <w:r w:rsidRPr="005E7DAA">
          <w:rPr>
            <w:rStyle w:val="a5"/>
            <w:color w:val="000000" w:themeColor="text1"/>
            <w:sz w:val="20"/>
            <w:szCs w:val="20"/>
            <w:u w:val="none"/>
          </w:rPr>
          <w:t>https://doi.org/10.1063/5.0101374</w:t>
        </w:r>
      </w:hyperlink>
    </w:p>
    <w:p w14:paraId="4AB6D7C2" w14:textId="77777777" w:rsidR="00F13B31" w:rsidRPr="005E7DAA" w:rsidRDefault="00F13B31" w:rsidP="006629CF">
      <w:pPr>
        <w:pStyle w:val="ds-markdown-paragraph"/>
        <w:numPr>
          <w:ilvl w:val="0"/>
          <w:numId w:val="11"/>
        </w:numPr>
        <w:shd w:val="clear" w:color="auto" w:fill="FFFFFF"/>
        <w:spacing w:before="0" w:beforeAutospacing="0" w:after="0" w:afterAutospacing="0"/>
        <w:ind w:left="426" w:hanging="426"/>
        <w:jc w:val="both"/>
        <w:rPr>
          <w:color w:val="000000" w:themeColor="text1"/>
          <w:sz w:val="20"/>
          <w:szCs w:val="20"/>
        </w:rPr>
      </w:pPr>
      <w:r w:rsidRPr="005E7DAA">
        <w:rPr>
          <w:color w:val="000000" w:themeColor="text1"/>
          <w:sz w:val="20"/>
          <w:szCs w:val="20"/>
          <w:lang w:val="en-US"/>
        </w:rPr>
        <w:t>Liu, W., Shi, J., Zhang, L., Han, A., Huang, S., Li, X., Liu, Z., &amp; Yang, Y. (2022). Light-induced activation of boron doping in hydrogenated amorphous silicon for over 25% efficiency silicon solar cells. </w:t>
      </w:r>
      <w:r w:rsidRPr="005E7DAA">
        <w:rPr>
          <w:rStyle w:val="afa"/>
          <w:color w:val="000000" w:themeColor="text1"/>
          <w:sz w:val="20"/>
          <w:szCs w:val="20"/>
        </w:rPr>
        <w:t>Nature Energy, 7</w:t>
      </w:r>
      <w:r w:rsidRPr="005E7DAA">
        <w:rPr>
          <w:color w:val="000000" w:themeColor="text1"/>
          <w:sz w:val="20"/>
          <w:szCs w:val="20"/>
        </w:rPr>
        <w:t>(5), 427–437. </w:t>
      </w:r>
      <w:hyperlink r:id="rId42" w:tgtFrame="_blank" w:history="1">
        <w:r w:rsidRPr="005E7DAA">
          <w:rPr>
            <w:rStyle w:val="a5"/>
            <w:color w:val="000000" w:themeColor="text1"/>
            <w:sz w:val="20"/>
            <w:szCs w:val="20"/>
            <w:u w:val="none"/>
          </w:rPr>
          <w:t>https://doi.org/10.1038/s41560-022-01018-5</w:t>
        </w:r>
      </w:hyperlink>
    </w:p>
    <w:p w14:paraId="63800F08" w14:textId="77777777" w:rsidR="00F13B31" w:rsidRPr="005E7DAA" w:rsidRDefault="00F13B31" w:rsidP="006629CF">
      <w:pPr>
        <w:pStyle w:val="ds-markdown-paragraph"/>
        <w:numPr>
          <w:ilvl w:val="0"/>
          <w:numId w:val="11"/>
        </w:numPr>
        <w:shd w:val="clear" w:color="auto" w:fill="FFFFFF"/>
        <w:spacing w:before="0" w:beforeAutospacing="0" w:after="0" w:afterAutospacing="0"/>
        <w:ind w:left="426" w:hanging="426"/>
        <w:jc w:val="both"/>
        <w:rPr>
          <w:color w:val="000000" w:themeColor="text1"/>
          <w:sz w:val="20"/>
          <w:szCs w:val="20"/>
        </w:rPr>
      </w:pPr>
      <w:r w:rsidRPr="005E7DAA">
        <w:rPr>
          <w:color w:val="000000" w:themeColor="text1"/>
          <w:sz w:val="20"/>
          <w:szCs w:val="20"/>
          <w:lang w:val="en-US"/>
        </w:rPr>
        <w:t>Madanchi, A., &amp; Raccuglia, P. (2024). Is the future of materials amorphous? Challenges and opportunities of amorphous materials for functional applications (review). </w:t>
      </w:r>
      <w:r w:rsidRPr="005E7DAA">
        <w:rPr>
          <w:rStyle w:val="afa"/>
          <w:color w:val="000000" w:themeColor="text1"/>
          <w:sz w:val="20"/>
          <w:szCs w:val="20"/>
        </w:rPr>
        <w:t>ACS Physical Chemistry Au, 4</w:t>
      </w:r>
      <w:r w:rsidRPr="005E7DAA">
        <w:rPr>
          <w:color w:val="000000" w:themeColor="text1"/>
          <w:sz w:val="20"/>
          <w:szCs w:val="20"/>
        </w:rPr>
        <w:t>(2), 123–145. </w:t>
      </w:r>
      <w:hyperlink r:id="rId43" w:tgtFrame="_blank" w:history="1">
        <w:r w:rsidRPr="005E7DAA">
          <w:rPr>
            <w:rStyle w:val="a5"/>
            <w:color w:val="000000" w:themeColor="text1"/>
            <w:sz w:val="20"/>
            <w:szCs w:val="20"/>
            <w:u w:val="none"/>
          </w:rPr>
          <w:t>https://doi.org/10.1021/acsphyschemau.4c00063</w:t>
        </w:r>
      </w:hyperlink>
    </w:p>
    <w:p w14:paraId="42CD92C7" w14:textId="77777777" w:rsidR="00F13B31" w:rsidRPr="005E7DAA" w:rsidRDefault="00F13B31" w:rsidP="006629CF">
      <w:pPr>
        <w:pStyle w:val="ds-markdown-paragraph"/>
        <w:numPr>
          <w:ilvl w:val="0"/>
          <w:numId w:val="11"/>
        </w:numPr>
        <w:shd w:val="clear" w:color="auto" w:fill="FFFFFF"/>
        <w:spacing w:before="0" w:beforeAutospacing="0" w:after="0" w:afterAutospacing="0"/>
        <w:ind w:left="426" w:hanging="426"/>
        <w:jc w:val="both"/>
        <w:rPr>
          <w:color w:val="000000" w:themeColor="text1"/>
          <w:sz w:val="20"/>
          <w:szCs w:val="20"/>
        </w:rPr>
      </w:pPr>
      <w:r w:rsidRPr="005E7DAA">
        <w:rPr>
          <w:color w:val="000000" w:themeColor="text1"/>
          <w:sz w:val="20"/>
          <w:szCs w:val="20"/>
          <w:lang w:val="en-US"/>
        </w:rPr>
        <w:t>Merazga, A., Tobbeche, S., Main, C., &amp; Maaref, H. (2006). Numerical simulation of the steady state photoconductivity in hydrogenated amorphous silicon including localized-state electron hopping. </w:t>
      </w:r>
      <w:r w:rsidRPr="005E7DAA">
        <w:rPr>
          <w:rStyle w:val="afa"/>
          <w:color w:val="000000" w:themeColor="text1"/>
          <w:sz w:val="20"/>
          <w:szCs w:val="20"/>
        </w:rPr>
        <w:t>Journal of Physics: Condensed Matter, 18</w:t>
      </w:r>
      <w:r w:rsidRPr="005E7DAA">
        <w:rPr>
          <w:color w:val="000000" w:themeColor="text1"/>
          <w:sz w:val="20"/>
          <w:szCs w:val="20"/>
        </w:rPr>
        <w:t>(15), 3721–3734. </w:t>
      </w:r>
      <w:hyperlink r:id="rId44" w:tgtFrame="_blank" w:history="1">
        <w:r w:rsidRPr="005E7DAA">
          <w:rPr>
            <w:rStyle w:val="a5"/>
            <w:color w:val="000000" w:themeColor="text1"/>
            <w:sz w:val="20"/>
            <w:szCs w:val="20"/>
            <w:u w:val="none"/>
          </w:rPr>
          <w:t>https://doi.org/10.1088/0953-8984/18/15/010</w:t>
        </w:r>
      </w:hyperlink>
    </w:p>
    <w:p w14:paraId="6384B335" w14:textId="319E89BC" w:rsidR="00F13B31" w:rsidRPr="005E7DAA" w:rsidRDefault="006629CF" w:rsidP="006629CF">
      <w:pPr>
        <w:pStyle w:val="ds-markdown-paragraph"/>
        <w:numPr>
          <w:ilvl w:val="0"/>
          <w:numId w:val="11"/>
        </w:numPr>
        <w:shd w:val="clear" w:color="auto" w:fill="FFFFFF"/>
        <w:spacing w:before="0" w:beforeAutospacing="0" w:after="0" w:afterAutospacing="0"/>
        <w:ind w:left="426" w:hanging="426"/>
        <w:jc w:val="both"/>
        <w:rPr>
          <w:color w:val="000000" w:themeColor="text1"/>
          <w:sz w:val="20"/>
          <w:szCs w:val="20"/>
        </w:rPr>
      </w:pPr>
      <w:r w:rsidRPr="005E7DAA">
        <w:rPr>
          <w:color w:val="000000" w:themeColor="text1"/>
          <w:sz w:val="20"/>
          <w:szCs w:val="20"/>
          <w:lang w:val="en-US"/>
        </w:rPr>
        <w:t>Morrow, J. D., Ugwumadu, C., Drabold, D. A., Elliott, S. R., Goodwin, A. L., &amp; Deringer, V. L. (2024). Understanding Defects in Amorphous Silicon with Million</w:t>
      </w:r>
      <w:r w:rsidRPr="005E7DAA">
        <w:rPr>
          <w:rFonts w:ascii="Cambria Math" w:hAnsi="Cambria Math" w:cs="Cambria Math"/>
          <w:color w:val="000000" w:themeColor="text1"/>
          <w:sz w:val="20"/>
          <w:szCs w:val="20"/>
          <w:lang w:val="en-US"/>
        </w:rPr>
        <w:t>‐</w:t>
      </w:r>
      <w:r w:rsidRPr="005E7DAA">
        <w:rPr>
          <w:color w:val="000000" w:themeColor="text1"/>
          <w:sz w:val="20"/>
          <w:szCs w:val="20"/>
          <w:lang w:val="en-US"/>
        </w:rPr>
        <w:t xml:space="preserve">Atom Simulations and Machine Learning. Angewandte Chemie International Edition, 63(22), e202403842. </w:t>
      </w:r>
      <w:hyperlink r:id="rId45" w:history="1">
        <w:r w:rsidRPr="005E7DAA">
          <w:rPr>
            <w:rStyle w:val="a5"/>
            <w:color w:val="000000" w:themeColor="text1"/>
            <w:sz w:val="20"/>
            <w:szCs w:val="20"/>
            <w:u w:val="none"/>
            <w:lang w:val="en-US"/>
          </w:rPr>
          <w:t>https://doi.org/10.1002/anie.202403842</w:t>
        </w:r>
      </w:hyperlink>
    </w:p>
    <w:p w14:paraId="74DBED10" w14:textId="4CE0912B" w:rsidR="00F13B31" w:rsidRPr="005E7DAA" w:rsidRDefault="00F13B31" w:rsidP="006629CF">
      <w:pPr>
        <w:pStyle w:val="ds-markdown-paragraph"/>
        <w:numPr>
          <w:ilvl w:val="0"/>
          <w:numId w:val="11"/>
        </w:numPr>
        <w:shd w:val="clear" w:color="auto" w:fill="FFFFFF"/>
        <w:spacing w:before="0" w:beforeAutospacing="0" w:after="0" w:afterAutospacing="0"/>
        <w:ind w:left="426" w:hanging="426"/>
        <w:jc w:val="both"/>
        <w:rPr>
          <w:color w:val="000000" w:themeColor="text1"/>
          <w:sz w:val="20"/>
          <w:szCs w:val="20"/>
          <w:lang w:val="en-US"/>
        </w:rPr>
      </w:pPr>
      <w:r w:rsidRPr="005E7DAA">
        <w:rPr>
          <w:color w:val="000000" w:themeColor="text1"/>
          <w:sz w:val="20"/>
          <w:szCs w:val="20"/>
          <w:lang w:val="en-US"/>
        </w:rPr>
        <w:t>National Renewable Energy Laboratory (NREL). (2021). </w:t>
      </w:r>
      <w:r w:rsidRPr="005E7DAA">
        <w:rPr>
          <w:rStyle w:val="afa"/>
          <w:color w:val="000000" w:themeColor="text1"/>
          <w:sz w:val="20"/>
          <w:szCs w:val="20"/>
          <w:lang w:val="en-US"/>
        </w:rPr>
        <w:t>Photoconductivity stability improvement in hydrogenated amorphous silicon thin films</w:t>
      </w:r>
      <w:r w:rsidRPr="005E7DAA">
        <w:rPr>
          <w:color w:val="000000" w:themeColor="text1"/>
          <w:sz w:val="20"/>
          <w:szCs w:val="20"/>
          <w:lang w:val="en-US"/>
        </w:rPr>
        <w:t> (NREL/TP-5K00-80037). U.S. Department of Energy.</w:t>
      </w:r>
      <w:r w:rsidR="006629CF" w:rsidRPr="005E7DAA">
        <w:rPr>
          <w:color w:val="000000" w:themeColor="text1"/>
          <w:sz w:val="20"/>
          <w:szCs w:val="20"/>
          <w:lang w:val="en-US"/>
        </w:rPr>
        <w:t xml:space="preserve"> </w:t>
      </w:r>
    </w:p>
    <w:p w14:paraId="47B99ECE" w14:textId="6CB3EED9" w:rsidR="00F13B31" w:rsidRPr="005E7DAA" w:rsidRDefault="006629CF" w:rsidP="006629CF">
      <w:pPr>
        <w:pStyle w:val="ds-markdown-paragraph"/>
        <w:numPr>
          <w:ilvl w:val="0"/>
          <w:numId w:val="11"/>
        </w:numPr>
        <w:shd w:val="clear" w:color="auto" w:fill="FFFFFF"/>
        <w:spacing w:before="0" w:beforeAutospacing="0" w:after="0" w:afterAutospacing="0"/>
        <w:ind w:left="426" w:hanging="426"/>
        <w:jc w:val="both"/>
        <w:rPr>
          <w:color w:val="000000" w:themeColor="text1"/>
          <w:sz w:val="20"/>
          <w:szCs w:val="20"/>
          <w:lang w:val="en-US"/>
        </w:rPr>
      </w:pPr>
      <w:r w:rsidRPr="005E7DAA">
        <w:rPr>
          <w:color w:val="000000" w:themeColor="text1"/>
          <w:sz w:val="20"/>
          <w:szCs w:val="20"/>
          <w:lang w:val="en-US"/>
        </w:rPr>
        <w:t xml:space="preserve">Sanchez-Martinez, A., Marin-Perez, J. J., Ceballos-Sanchez, O., Ruelas, R., Ramírez-Bon, R., López-Mena, E. R., &amp; Pérez-García, C. E. (2024). Effect of triethanolamine complexing agent and thermal annealing on the physicochemical properties of CuS thin films. Journal of Materials Science Materials in Electronics, 35(15). </w:t>
      </w:r>
      <w:hyperlink r:id="rId46" w:history="1">
        <w:r w:rsidRPr="005E7DAA">
          <w:rPr>
            <w:rStyle w:val="a5"/>
            <w:color w:val="000000" w:themeColor="text1"/>
            <w:sz w:val="20"/>
            <w:szCs w:val="20"/>
            <w:u w:val="none"/>
            <w:lang w:val="en-US"/>
          </w:rPr>
          <w:t>https://doi.org/10.1007/s10854-024-12779-y</w:t>
        </w:r>
      </w:hyperlink>
    </w:p>
    <w:p w14:paraId="370E2CEA" w14:textId="44FD9D71" w:rsidR="00F13B31" w:rsidRPr="005E7DAA" w:rsidRDefault="00F13B31" w:rsidP="006629CF">
      <w:pPr>
        <w:pStyle w:val="ds-markdown-paragraph"/>
        <w:numPr>
          <w:ilvl w:val="0"/>
          <w:numId w:val="11"/>
        </w:numPr>
        <w:shd w:val="clear" w:color="auto" w:fill="FFFFFF"/>
        <w:spacing w:before="0" w:beforeAutospacing="0" w:after="0" w:afterAutospacing="0"/>
        <w:ind w:left="426" w:hanging="426"/>
        <w:jc w:val="both"/>
        <w:rPr>
          <w:color w:val="000000" w:themeColor="text1"/>
          <w:sz w:val="20"/>
          <w:szCs w:val="20"/>
          <w:lang w:val="en-US"/>
        </w:rPr>
      </w:pPr>
      <w:r w:rsidRPr="005E7DAA">
        <w:rPr>
          <w:color w:val="000000" w:themeColor="text1"/>
          <w:sz w:val="20"/>
          <w:szCs w:val="20"/>
          <w:lang w:val="en-US"/>
        </w:rPr>
        <w:t>Wu, W., Qiu, C., Zhao, S., &amp; Han, D. (1986). Low-temperature photoconductivit</w:t>
      </w:r>
      <w:r w:rsidR="006629CF" w:rsidRPr="005E7DAA">
        <w:rPr>
          <w:color w:val="000000" w:themeColor="text1"/>
          <w:sz w:val="20"/>
          <w:szCs w:val="20"/>
          <w:lang w:val="en-US"/>
        </w:rPr>
        <w:t xml:space="preserve">y in undoped amorphous silicon. </w:t>
      </w:r>
      <w:r w:rsidRPr="005E7DAA">
        <w:rPr>
          <w:color w:val="000000" w:themeColor="text1"/>
          <w:sz w:val="20"/>
          <w:szCs w:val="20"/>
          <w:lang w:val="en-US"/>
        </w:rPr>
        <w:t>Journa</w:t>
      </w:r>
      <w:r w:rsidR="006629CF" w:rsidRPr="005E7DAA">
        <w:rPr>
          <w:color w:val="000000" w:themeColor="text1"/>
          <w:sz w:val="20"/>
          <w:szCs w:val="20"/>
          <w:lang w:val="en-US"/>
        </w:rPr>
        <w:t xml:space="preserve">l of Non-Crystalline Solids, 90 </w:t>
      </w:r>
      <w:r w:rsidRPr="005E7DAA">
        <w:rPr>
          <w:color w:val="000000" w:themeColor="text1"/>
          <w:sz w:val="20"/>
          <w:szCs w:val="20"/>
          <w:lang w:val="en-US"/>
        </w:rPr>
        <w:t>(1–3), 147–150. </w:t>
      </w:r>
      <w:hyperlink r:id="rId47" w:tgtFrame="_blank" w:history="1">
        <w:r w:rsidRPr="005E7DAA">
          <w:rPr>
            <w:rStyle w:val="a5"/>
            <w:color w:val="000000" w:themeColor="text1"/>
            <w:sz w:val="20"/>
            <w:szCs w:val="20"/>
            <w:u w:val="none"/>
            <w:lang w:val="en-US"/>
          </w:rPr>
          <w:t>https://doi.org/10.1016/S0022-3093(86)80377-5</w:t>
        </w:r>
      </w:hyperlink>
    </w:p>
    <w:sectPr w:rsidR="00F13B31" w:rsidRPr="005E7DAA" w:rsidSect="005E7DAA">
      <w:pgSz w:w="12240" w:h="15840" w:code="1"/>
      <w:pgMar w:top="1440" w:right="1440" w:bottom="1440" w:left="1440" w:header="0" w:footer="80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47F80" w14:textId="77777777" w:rsidR="00630B88" w:rsidRDefault="00630B88">
      <w:r>
        <w:separator/>
      </w:r>
    </w:p>
  </w:endnote>
  <w:endnote w:type="continuationSeparator" w:id="0">
    <w:p w14:paraId="66AF2FDC" w14:textId="77777777" w:rsidR="00630B88" w:rsidRDefault="0063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sGoth BT">
    <w:altName w:val="Microsoft YaHei"/>
    <w:charset w:val="00"/>
    <w:family w:val="swiss"/>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220C2" w14:textId="77777777" w:rsidR="00630B88" w:rsidRDefault="00630B88">
      <w:r>
        <w:separator/>
      </w:r>
    </w:p>
  </w:footnote>
  <w:footnote w:type="continuationSeparator" w:id="0">
    <w:p w14:paraId="577690C8" w14:textId="77777777" w:rsidR="00630B88" w:rsidRDefault="00630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5103"/>
    <w:multiLevelType w:val="hybridMultilevel"/>
    <w:tmpl w:val="600663C8"/>
    <w:lvl w:ilvl="0" w:tplc="44FAC01A">
      <w:start w:val="1"/>
      <w:numFmt w:val="bullet"/>
      <w:pStyle w:val="SPIEListBullet2"/>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B00DA1"/>
    <w:multiLevelType w:val="multilevel"/>
    <w:tmpl w:val="BDD41AA8"/>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1E183E2D"/>
    <w:multiLevelType w:val="multilevel"/>
    <w:tmpl w:val="182E0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8E181F"/>
    <w:multiLevelType w:val="multilevel"/>
    <w:tmpl w:val="01D0F848"/>
    <w:lvl w:ilvl="0">
      <w:start w:val="1"/>
      <w:numFmt w:val="decimal"/>
      <w:lvlText w:val="%1"/>
      <w:lvlJc w:val="left"/>
      <w:pPr>
        <w:tabs>
          <w:tab w:val="num" w:pos="360"/>
        </w:tabs>
        <w:ind w:left="0" w:firstLine="0"/>
      </w:pPr>
      <w:rPr>
        <w:rFonts w:ascii="Times New Roman" w:eastAsia="Times New Roman" w:hAnsi="Times New Roman" w:cs="Times New Roman"/>
        <w:vertAlign w:val="superscrip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FA74E46"/>
    <w:multiLevelType w:val="hybridMultilevel"/>
    <w:tmpl w:val="3A0072F2"/>
    <w:lvl w:ilvl="0" w:tplc="85488AEE">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1D8796F"/>
    <w:multiLevelType w:val="hybridMultilevel"/>
    <w:tmpl w:val="2E9ED34E"/>
    <w:lvl w:ilvl="0" w:tplc="029435E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33087D39"/>
    <w:multiLevelType w:val="multilevel"/>
    <w:tmpl w:val="F11ED0A6"/>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3D6A4DF8"/>
    <w:multiLevelType w:val="hybridMultilevel"/>
    <w:tmpl w:val="215E6A84"/>
    <w:lvl w:ilvl="0" w:tplc="AB38FAF0">
      <w:start w:val="1"/>
      <w:numFmt w:val="decimal"/>
      <w:pStyle w:val="SPIEreferencelisting"/>
      <w:lvlText w:val="[%1]"/>
      <w:lvlJc w:val="left"/>
      <w:pPr>
        <w:tabs>
          <w:tab w:val="num" w:pos="360"/>
        </w:tabs>
        <w:ind w:left="360" w:hanging="360"/>
      </w:pPr>
      <w:rPr>
        <w:rFonts w:hint="default"/>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1E4115"/>
    <w:multiLevelType w:val="hybridMultilevel"/>
    <w:tmpl w:val="21B6A564"/>
    <w:lvl w:ilvl="0" w:tplc="0419000F">
      <w:start w:val="1"/>
      <w:numFmt w:val="decimal"/>
      <w:lvlText w:val="%1."/>
      <w:lvlJc w:val="left"/>
      <w:pPr>
        <w:tabs>
          <w:tab w:val="num" w:pos="360"/>
        </w:tabs>
        <w:ind w:left="360" w:hanging="360"/>
      </w:pPr>
      <w:rPr>
        <w:rFonts w:hint="default"/>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DA0F1E"/>
    <w:multiLevelType w:val="multilevel"/>
    <w:tmpl w:val="4FCEF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173A11"/>
    <w:multiLevelType w:val="hybridMultilevel"/>
    <w:tmpl w:val="A7FCED10"/>
    <w:lvl w:ilvl="0" w:tplc="9C144EB4">
      <w:start w:val="1"/>
      <w:numFmt w:val="decimal"/>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1"/>
  </w:num>
  <w:num w:numId="5">
    <w:abstractNumId w:val="3"/>
  </w:num>
  <w:num w:numId="6">
    <w:abstractNumId w:val="4"/>
  </w:num>
  <w:num w:numId="7">
    <w:abstractNumId w:val="10"/>
  </w:num>
  <w:num w:numId="8">
    <w:abstractNumId w:val="9"/>
  </w:num>
  <w:num w:numId="9">
    <w:abstractNumId w:val="5"/>
  </w:num>
  <w:num w:numId="10">
    <w:abstractNumId w:val="8"/>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gutterAtTop/>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F9F"/>
    <w:rsid w:val="000005B8"/>
    <w:rsid w:val="00013ED5"/>
    <w:rsid w:val="000166EA"/>
    <w:rsid w:val="000309E9"/>
    <w:rsid w:val="00034BCC"/>
    <w:rsid w:val="00045337"/>
    <w:rsid w:val="000552EF"/>
    <w:rsid w:val="000574C6"/>
    <w:rsid w:val="000601B6"/>
    <w:rsid w:val="00067A0C"/>
    <w:rsid w:val="00077CAD"/>
    <w:rsid w:val="0008279D"/>
    <w:rsid w:val="0009035E"/>
    <w:rsid w:val="0009087B"/>
    <w:rsid w:val="00095E4A"/>
    <w:rsid w:val="000A1725"/>
    <w:rsid w:val="000A1FAF"/>
    <w:rsid w:val="000A7915"/>
    <w:rsid w:val="000B259F"/>
    <w:rsid w:val="000C04F5"/>
    <w:rsid w:val="000C06D2"/>
    <w:rsid w:val="000C578F"/>
    <w:rsid w:val="000D2EB7"/>
    <w:rsid w:val="000E3BA1"/>
    <w:rsid w:val="000E3E61"/>
    <w:rsid w:val="000E716F"/>
    <w:rsid w:val="000F41BA"/>
    <w:rsid w:val="00101E0B"/>
    <w:rsid w:val="00102F7A"/>
    <w:rsid w:val="00116F27"/>
    <w:rsid w:val="00125A02"/>
    <w:rsid w:val="00127CE9"/>
    <w:rsid w:val="00135445"/>
    <w:rsid w:val="00155A95"/>
    <w:rsid w:val="00157CC0"/>
    <w:rsid w:val="00165F8F"/>
    <w:rsid w:val="00166583"/>
    <w:rsid w:val="00166772"/>
    <w:rsid w:val="00175687"/>
    <w:rsid w:val="001775F5"/>
    <w:rsid w:val="00183FC3"/>
    <w:rsid w:val="0019055E"/>
    <w:rsid w:val="001A2FB8"/>
    <w:rsid w:val="001A5B4E"/>
    <w:rsid w:val="001C006B"/>
    <w:rsid w:val="001C12BC"/>
    <w:rsid w:val="001C698B"/>
    <w:rsid w:val="00215486"/>
    <w:rsid w:val="00221DC7"/>
    <w:rsid w:val="002246C9"/>
    <w:rsid w:val="00226010"/>
    <w:rsid w:val="002455BD"/>
    <w:rsid w:val="00255E0C"/>
    <w:rsid w:val="00262961"/>
    <w:rsid w:val="00265DCA"/>
    <w:rsid w:val="00266386"/>
    <w:rsid w:val="00266472"/>
    <w:rsid w:val="002713F4"/>
    <w:rsid w:val="00276A8E"/>
    <w:rsid w:val="00276D7F"/>
    <w:rsid w:val="00286D22"/>
    <w:rsid w:val="00290E0B"/>
    <w:rsid w:val="002920EB"/>
    <w:rsid w:val="00294FFD"/>
    <w:rsid w:val="002A07C8"/>
    <w:rsid w:val="002A3D1B"/>
    <w:rsid w:val="002A7216"/>
    <w:rsid w:val="002B61BF"/>
    <w:rsid w:val="002C6B56"/>
    <w:rsid w:val="002C6D9B"/>
    <w:rsid w:val="002C7E24"/>
    <w:rsid w:val="002D5E14"/>
    <w:rsid w:val="002E39A7"/>
    <w:rsid w:val="002E4723"/>
    <w:rsid w:val="002F0122"/>
    <w:rsid w:val="002F082D"/>
    <w:rsid w:val="003103C1"/>
    <w:rsid w:val="00312E78"/>
    <w:rsid w:val="0031785E"/>
    <w:rsid w:val="0032265A"/>
    <w:rsid w:val="00323119"/>
    <w:rsid w:val="00323D2E"/>
    <w:rsid w:val="003268CF"/>
    <w:rsid w:val="00340927"/>
    <w:rsid w:val="0035731A"/>
    <w:rsid w:val="003579BF"/>
    <w:rsid w:val="003579F2"/>
    <w:rsid w:val="003611D5"/>
    <w:rsid w:val="00361FA0"/>
    <w:rsid w:val="00376189"/>
    <w:rsid w:val="0038570C"/>
    <w:rsid w:val="00387004"/>
    <w:rsid w:val="003A38C8"/>
    <w:rsid w:val="003C1F74"/>
    <w:rsid w:val="003C31FD"/>
    <w:rsid w:val="003D6701"/>
    <w:rsid w:val="003E3B19"/>
    <w:rsid w:val="003F33A2"/>
    <w:rsid w:val="003F795A"/>
    <w:rsid w:val="003F7A84"/>
    <w:rsid w:val="004007DB"/>
    <w:rsid w:val="0040108D"/>
    <w:rsid w:val="00414C6A"/>
    <w:rsid w:val="004175E2"/>
    <w:rsid w:val="004217D0"/>
    <w:rsid w:val="004310C0"/>
    <w:rsid w:val="00432884"/>
    <w:rsid w:val="004409E8"/>
    <w:rsid w:val="00441145"/>
    <w:rsid w:val="00454F95"/>
    <w:rsid w:val="00456068"/>
    <w:rsid w:val="00463170"/>
    <w:rsid w:val="00464C36"/>
    <w:rsid w:val="004716B1"/>
    <w:rsid w:val="00473D44"/>
    <w:rsid w:val="00480128"/>
    <w:rsid w:val="004830EA"/>
    <w:rsid w:val="00484424"/>
    <w:rsid w:val="00487730"/>
    <w:rsid w:val="004A0F91"/>
    <w:rsid w:val="004A400F"/>
    <w:rsid w:val="004A45A5"/>
    <w:rsid w:val="004B4274"/>
    <w:rsid w:val="004C2824"/>
    <w:rsid w:val="004D44FD"/>
    <w:rsid w:val="004E1F48"/>
    <w:rsid w:val="004F1B51"/>
    <w:rsid w:val="004F66FA"/>
    <w:rsid w:val="00500A32"/>
    <w:rsid w:val="00502979"/>
    <w:rsid w:val="00516449"/>
    <w:rsid w:val="0052407F"/>
    <w:rsid w:val="00531D22"/>
    <w:rsid w:val="00533BC3"/>
    <w:rsid w:val="00534CD8"/>
    <w:rsid w:val="00535EF6"/>
    <w:rsid w:val="0053683B"/>
    <w:rsid w:val="00540271"/>
    <w:rsid w:val="005516E9"/>
    <w:rsid w:val="00555A54"/>
    <w:rsid w:val="005803BE"/>
    <w:rsid w:val="00580490"/>
    <w:rsid w:val="005A16A7"/>
    <w:rsid w:val="005A5261"/>
    <w:rsid w:val="005B6525"/>
    <w:rsid w:val="005B6D78"/>
    <w:rsid w:val="005C07A2"/>
    <w:rsid w:val="005C16EC"/>
    <w:rsid w:val="005D1CB5"/>
    <w:rsid w:val="005D7D0A"/>
    <w:rsid w:val="005E37B0"/>
    <w:rsid w:val="005E7DAA"/>
    <w:rsid w:val="005F34F3"/>
    <w:rsid w:val="00616B12"/>
    <w:rsid w:val="00621A86"/>
    <w:rsid w:val="0062393F"/>
    <w:rsid w:val="00623A3A"/>
    <w:rsid w:val="00624E98"/>
    <w:rsid w:val="00630B88"/>
    <w:rsid w:val="00631274"/>
    <w:rsid w:val="00640796"/>
    <w:rsid w:val="00643626"/>
    <w:rsid w:val="0064414A"/>
    <w:rsid w:val="00645DE7"/>
    <w:rsid w:val="00647D50"/>
    <w:rsid w:val="00655B00"/>
    <w:rsid w:val="006629CF"/>
    <w:rsid w:val="00664B0B"/>
    <w:rsid w:val="00672CEA"/>
    <w:rsid w:val="00685DB5"/>
    <w:rsid w:val="0069010E"/>
    <w:rsid w:val="00695D27"/>
    <w:rsid w:val="006A266D"/>
    <w:rsid w:val="006A5DD6"/>
    <w:rsid w:val="006A687A"/>
    <w:rsid w:val="006B5673"/>
    <w:rsid w:val="006B5DA8"/>
    <w:rsid w:val="006C1669"/>
    <w:rsid w:val="006E05B7"/>
    <w:rsid w:val="006E1B5E"/>
    <w:rsid w:val="006E1F69"/>
    <w:rsid w:val="006E2DED"/>
    <w:rsid w:val="006F2AFA"/>
    <w:rsid w:val="006F50DB"/>
    <w:rsid w:val="00705C45"/>
    <w:rsid w:val="00710155"/>
    <w:rsid w:val="00714837"/>
    <w:rsid w:val="00715772"/>
    <w:rsid w:val="00722799"/>
    <w:rsid w:val="00732FB6"/>
    <w:rsid w:val="00733D0E"/>
    <w:rsid w:val="00734A59"/>
    <w:rsid w:val="0074602A"/>
    <w:rsid w:val="00751C64"/>
    <w:rsid w:val="00753D5A"/>
    <w:rsid w:val="007612CA"/>
    <w:rsid w:val="00764F0E"/>
    <w:rsid w:val="0076654A"/>
    <w:rsid w:val="00770397"/>
    <w:rsid w:val="00774BBB"/>
    <w:rsid w:val="00774FDE"/>
    <w:rsid w:val="00775E9C"/>
    <w:rsid w:val="00782503"/>
    <w:rsid w:val="00790A5B"/>
    <w:rsid w:val="007925CC"/>
    <w:rsid w:val="007957FB"/>
    <w:rsid w:val="00796D10"/>
    <w:rsid w:val="00797858"/>
    <w:rsid w:val="007A23FE"/>
    <w:rsid w:val="007B24D6"/>
    <w:rsid w:val="007B74BE"/>
    <w:rsid w:val="007D1267"/>
    <w:rsid w:val="007E1D00"/>
    <w:rsid w:val="007E4CF7"/>
    <w:rsid w:val="007E6440"/>
    <w:rsid w:val="00804168"/>
    <w:rsid w:val="00804A50"/>
    <w:rsid w:val="00813F2C"/>
    <w:rsid w:val="00820166"/>
    <w:rsid w:val="008254BD"/>
    <w:rsid w:val="0082736F"/>
    <w:rsid w:val="00832AD7"/>
    <w:rsid w:val="008415BB"/>
    <w:rsid w:val="0084290D"/>
    <w:rsid w:val="008556A2"/>
    <w:rsid w:val="00865E20"/>
    <w:rsid w:val="00866776"/>
    <w:rsid w:val="00866EFF"/>
    <w:rsid w:val="00870B98"/>
    <w:rsid w:val="00886D33"/>
    <w:rsid w:val="008937E3"/>
    <w:rsid w:val="008B3598"/>
    <w:rsid w:val="008B37BC"/>
    <w:rsid w:val="008E4178"/>
    <w:rsid w:val="008E4A3A"/>
    <w:rsid w:val="008F20CB"/>
    <w:rsid w:val="008F22DA"/>
    <w:rsid w:val="009052BC"/>
    <w:rsid w:val="00913520"/>
    <w:rsid w:val="00917BAC"/>
    <w:rsid w:val="0092557D"/>
    <w:rsid w:val="00925763"/>
    <w:rsid w:val="0093152D"/>
    <w:rsid w:val="00933321"/>
    <w:rsid w:val="009514AD"/>
    <w:rsid w:val="00960BF7"/>
    <w:rsid w:val="00961277"/>
    <w:rsid w:val="009635D3"/>
    <w:rsid w:val="00965965"/>
    <w:rsid w:val="009666EC"/>
    <w:rsid w:val="009755B6"/>
    <w:rsid w:val="0097780A"/>
    <w:rsid w:val="0098225F"/>
    <w:rsid w:val="00985837"/>
    <w:rsid w:val="00993584"/>
    <w:rsid w:val="00993E9F"/>
    <w:rsid w:val="009A3A73"/>
    <w:rsid w:val="009A510B"/>
    <w:rsid w:val="009A61A9"/>
    <w:rsid w:val="009B1F35"/>
    <w:rsid w:val="009C0C3A"/>
    <w:rsid w:val="009D2A57"/>
    <w:rsid w:val="009F1839"/>
    <w:rsid w:val="00A032EC"/>
    <w:rsid w:val="00A07E79"/>
    <w:rsid w:val="00A14CA7"/>
    <w:rsid w:val="00A205BE"/>
    <w:rsid w:val="00A22B7A"/>
    <w:rsid w:val="00A30DED"/>
    <w:rsid w:val="00A349BF"/>
    <w:rsid w:val="00A35710"/>
    <w:rsid w:val="00A40E6B"/>
    <w:rsid w:val="00A41428"/>
    <w:rsid w:val="00A437B6"/>
    <w:rsid w:val="00A5077D"/>
    <w:rsid w:val="00A84D89"/>
    <w:rsid w:val="00A85AAD"/>
    <w:rsid w:val="00A86BC9"/>
    <w:rsid w:val="00AA112B"/>
    <w:rsid w:val="00AA233D"/>
    <w:rsid w:val="00AA3C3A"/>
    <w:rsid w:val="00AA7647"/>
    <w:rsid w:val="00AB1234"/>
    <w:rsid w:val="00AB3AA3"/>
    <w:rsid w:val="00AB5E41"/>
    <w:rsid w:val="00AB5FDF"/>
    <w:rsid w:val="00AB7AC2"/>
    <w:rsid w:val="00AB7BC0"/>
    <w:rsid w:val="00AB7D1C"/>
    <w:rsid w:val="00AC267A"/>
    <w:rsid w:val="00AC4194"/>
    <w:rsid w:val="00AC5E76"/>
    <w:rsid w:val="00AD4606"/>
    <w:rsid w:val="00AD7DDC"/>
    <w:rsid w:val="00AF48C7"/>
    <w:rsid w:val="00B1790A"/>
    <w:rsid w:val="00B225FF"/>
    <w:rsid w:val="00B30486"/>
    <w:rsid w:val="00B30922"/>
    <w:rsid w:val="00B52BA8"/>
    <w:rsid w:val="00B54385"/>
    <w:rsid w:val="00B54B1D"/>
    <w:rsid w:val="00B80B60"/>
    <w:rsid w:val="00B86841"/>
    <w:rsid w:val="00B8783C"/>
    <w:rsid w:val="00B901CB"/>
    <w:rsid w:val="00B96DCE"/>
    <w:rsid w:val="00BA3437"/>
    <w:rsid w:val="00BA6124"/>
    <w:rsid w:val="00BA631F"/>
    <w:rsid w:val="00BB0736"/>
    <w:rsid w:val="00BB4590"/>
    <w:rsid w:val="00BC00F5"/>
    <w:rsid w:val="00BC0159"/>
    <w:rsid w:val="00BC27E2"/>
    <w:rsid w:val="00BC6BE6"/>
    <w:rsid w:val="00BD0B74"/>
    <w:rsid w:val="00BD1F9F"/>
    <w:rsid w:val="00BD557D"/>
    <w:rsid w:val="00BE133D"/>
    <w:rsid w:val="00BE1CEC"/>
    <w:rsid w:val="00BE7858"/>
    <w:rsid w:val="00BF0F49"/>
    <w:rsid w:val="00BF336E"/>
    <w:rsid w:val="00C02F3F"/>
    <w:rsid w:val="00C06AF5"/>
    <w:rsid w:val="00C11564"/>
    <w:rsid w:val="00C26190"/>
    <w:rsid w:val="00C37175"/>
    <w:rsid w:val="00C379FA"/>
    <w:rsid w:val="00C42327"/>
    <w:rsid w:val="00C4358E"/>
    <w:rsid w:val="00C438AD"/>
    <w:rsid w:val="00C5011B"/>
    <w:rsid w:val="00C5081F"/>
    <w:rsid w:val="00C52269"/>
    <w:rsid w:val="00C56DA2"/>
    <w:rsid w:val="00C72375"/>
    <w:rsid w:val="00C72890"/>
    <w:rsid w:val="00C83076"/>
    <w:rsid w:val="00C842E7"/>
    <w:rsid w:val="00C925FA"/>
    <w:rsid w:val="00CA34E7"/>
    <w:rsid w:val="00CB19BE"/>
    <w:rsid w:val="00CB5CD7"/>
    <w:rsid w:val="00CB79D8"/>
    <w:rsid w:val="00CC712C"/>
    <w:rsid w:val="00CD3464"/>
    <w:rsid w:val="00CD4A8C"/>
    <w:rsid w:val="00CD4EFF"/>
    <w:rsid w:val="00CD7E69"/>
    <w:rsid w:val="00CE4E79"/>
    <w:rsid w:val="00D001DF"/>
    <w:rsid w:val="00D01E5E"/>
    <w:rsid w:val="00D044C2"/>
    <w:rsid w:val="00D0531B"/>
    <w:rsid w:val="00D15DB6"/>
    <w:rsid w:val="00D2562D"/>
    <w:rsid w:val="00D27F94"/>
    <w:rsid w:val="00D40472"/>
    <w:rsid w:val="00D43F0D"/>
    <w:rsid w:val="00D5092F"/>
    <w:rsid w:val="00D53571"/>
    <w:rsid w:val="00D560B1"/>
    <w:rsid w:val="00D61806"/>
    <w:rsid w:val="00D709B1"/>
    <w:rsid w:val="00D712EF"/>
    <w:rsid w:val="00D80959"/>
    <w:rsid w:val="00D87495"/>
    <w:rsid w:val="00DA51FB"/>
    <w:rsid w:val="00DA775F"/>
    <w:rsid w:val="00DA7C8C"/>
    <w:rsid w:val="00DB007B"/>
    <w:rsid w:val="00DB10EA"/>
    <w:rsid w:val="00DB382F"/>
    <w:rsid w:val="00DC1836"/>
    <w:rsid w:val="00DC5C97"/>
    <w:rsid w:val="00DC797C"/>
    <w:rsid w:val="00DD0758"/>
    <w:rsid w:val="00DF4908"/>
    <w:rsid w:val="00E00703"/>
    <w:rsid w:val="00E127E7"/>
    <w:rsid w:val="00E14BFF"/>
    <w:rsid w:val="00E16052"/>
    <w:rsid w:val="00E22B6D"/>
    <w:rsid w:val="00E233AF"/>
    <w:rsid w:val="00E270E5"/>
    <w:rsid w:val="00E31880"/>
    <w:rsid w:val="00E4590A"/>
    <w:rsid w:val="00E54A3F"/>
    <w:rsid w:val="00E62777"/>
    <w:rsid w:val="00E66821"/>
    <w:rsid w:val="00E72F21"/>
    <w:rsid w:val="00E80D6C"/>
    <w:rsid w:val="00EA7B21"/>
    <w:rsid w:val="00EB06A9"/>
    <w:rsid w:val="00EB0B56"/>
    <w:rsid w:val="00EB3B29"/>
    <w:rsid w:val="00EB7D91"/>
    <w:rsid w:val="00EC1627"/>
    <w:rsid w:val="00EE0924"/>
    <w:rsid w:val="00EE0CA0"/>
    <w:rsid w:val="00EE4C66"/>
    <w:rsid w:val="00EE6C14"/>
    <w:rsid w:val="00EF6FCB"/>
    <w:rsid w:val="00F11915"/>
    <w:rsid w:val="00F13B31"/>
    <w:rsid w:val="00F178F6"/>
    <w:rsid w:val="00F20439"/>
    <w:rsid w:val="00F44100"/>
    <w:rsid w:val="00F5516F"/>
    <w:rsid w:val="00F600DE"/>
    <w:rsid w:val="00F61D21"/>
    <w:rsid w:val="00F739B6"/>
    <w:rsid w:val="00F8606B"/>
    <w:rsid w:val="00F948B1"/>
    <w:rsid w:val="00F978E9"/>
    <w:rsid w:val="00FA04DC"/>
    <w:rsid w:val="00FB0C0B"/>
    <w:rsid w:val="00FB5384"/>
    <w:rsid w:val="00FC379F"/>
    <w:rsid w:val="00FC531F"/>
    <w:rsid w:val="00FC6B83"/>
    <w:rsid w:val="00FD35DE"/>
    <w:rsid w:val="00FD4A8E"/>
    <w:rsid w:val="00FE1ED5"/>
    <w:rsid w:val="00FE4D03"/>
    <w:rsid w:val="00FF2B09"/>
    <w:rsid w:val="00FF6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1ffc9"/>
    </o:shapedefaults>
    <o:shapelayout v:ext="edit">
      <o:idmap v:ext="edit" data="1"/>
    </o:shapelayout>
  </w:shapeDefaults>
  <w:decimalSymbol w:val=","/>
  <w:listSeparator w:val=";"/>
  <w14:docId w14:val="0175C747"/>
  <w15:docId w15:val="{60D19096-7A8B-43EB-92B6-1D98E981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liases w:val="SPIE Body Text"/>
    <w:qFormat/>
    <w:rsid w:val="003D6701"/>
    <w:rPr>
      <w:szCs w:val="24"/>
      <w:lang w:eastAsia="en-US"/>
    </w:rPr>
  </w:style>
  <w:style w:type="paragraph" w:styleId="1">
    <w:name w:val="heading 1"/>
    <w:aliases w:val="SPIE Section"/>
    <w:basedOn w:val="a0"/>
    <w:next w:val="a0"/>
    <w:autoRedefine/>
    <w:qFormat/>
    <w:rsid w:val="00FB5384"/>
    <w:pPr>
      <w:keepNext/>
      <w:spacing w:before="240" w:after="240"/>
      <w:jc w:val="center"/>
      <w:outlineLvl w:val="0"/>
    </w:pPr>
    <w:rPr>
      <w:b/>
      <w:bCs/>
      <w:caps/>
      <w:kern w:val="32"/>
      <w:sz w:val="24"/>
      <w:szCs w:val="28"/>
    </w:rPr>
  </w:style>
  <w:style w:type="paragraph" w:styleId="2">
    <w:name w:val="heading 2"/>
    <w:aliases w:val="SPIE Subsection"/>
    <w:basedOn w:val="1"/>
    <w:next w:val="SPIEbodytext"/>
    <w:autoRedefine/>
    <w:qFormat/>
    <w:rsid w:val="00C37175"/>
    <w:pPr>
      <w:tabs>
        <w:tab w:val="left" w:pos="504"/>
        <w:tab w:val="left" w:pos="4140"/>
      </w:tabs>
      <w:spacing w:before="0"/>
      <w:jc w:val="both"/>
      <w:outlineLvl w:val="1"/>
    </w:pPr>
    <w:rPr>
      <w:caps w:val="0"/>
      <w:sz w:val="20"/>
    </w:rPr>
  </w:style>
  <w:style w:type="paragraph" w:styleId="3">
    <w:name w:val="heading 3"/>
    <w:basedOn w:val="a0"/>
    <w:next w:val="a0"/>
    <w:qFormat/>
    <w:rsid w:val="000005B8"/>
    <w:pPr>
      <w:keepNext/>
      <w:outlineLvl w:val="2"/>
    </w:pPr>
    <w:rPr>
      <w:rFonts w:ascii="Times" w:hAnsi="Times"/>
      <w:b/>
      <w:sz w:val="22"/>
      <w:szCs w:val="20"/>
    </w:rPr>
  </w:style>
  <w:style w:type="paragraph" w:styleId="4">
    <w:name w:val="heading 4"/>
    <w:basedOn w:val="a0"/>
    <w:next w:val="a0"/>
    <w:qFormat/>
    <w:rsid w:val="00DA775F"/>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semiHidden/>
    <w:rPr>
      <w:rFonts w:ascii="NewsGoth BT" w:hAnsi="NewsGoth BT"/>
      <w:szCs w:val="20"/>
    </w:rPr>
  </w:style>
  <w:style w:type="character" w:styleId="a5">
    <w:name w:val="Hyperlink"/>
    <w:rPr>
      <w:color w:val="0000FF"/>
      <w:u w:val="single"/>
    </w:rPr>
  </w:style>
  <w:style w:type="paragraph" w:styleId="a6">
    <w:name w:val="header"/>
    <w:basedOn w:val="a0"/>
    <w:link w:val="a7"/>
    <w:uiPriority w:val="99"/>
    <w:pPr>
      <w:tabs>
        <w:tab w:val="center" w:pos="4320"/>
        <w:tab w:val="right" w:pos="8640"/>
      </w:tabs>
    </w:pPr>
    <w:rPr>
      <w:rFonts w:ascii="Times" w:hAnsi="Times"/>
      <w:szCs w:val="20"/>
    </w:rPr>
  </w:style>
  <w:style w:type="paragraph" w:customStyle="1" w:styleId="PaperTitle">
    <w:name w:val="*Paper Title*"/>
    <w:basedOn w:val="a0"/>
    <w:next w:val="BodyofPaper"/>
    <w:link w:val="PaperTitleChar"/>
    <w:semiHidden/>
    <w:pPr>
      <w:jc w:val="center"/>
    </w:pPr>
    <w:rPr>
      <w:b/>
      <w:sz w:val="32"/>
      <w:szCs w:val="20"/>
    </w:rPr>
  </w:style>
  <w:style w:type="paragraph" w:customStyle="1" w:styleId="BodyofPaper">
    <w:name w:val="*Body of Paper*"/>
    <w:basedOn w:val="a0"/>
    <w:link w:val="BodyofPaperChar"/>
    <w:pPr>
      <w:jc w:val="both"/>
    </w:pPr>
    <w:rPr>
      <w:szCs w:val="20"/>
    </w:rPr>
  </w:style>
  <w:style w:type="character" w:customStyle="1" w:styleId="BodyofPaperChar">
    <w:name w:val="*Body of Paper* Char"/>
    <w:link w:val="BodyofPaper"/>
    <w:rsid w:val="00EE6C14"/>
    <w:rPr>
      <w:lang w:val="en-US" w:eastAsia="en-US" w:bidi="ar-SA"/>
    </w:rPr>
  </w:style>
  <w:style w:type="character" w:customStyle="1" w:styleId="PaperTitleChar">
    <w:name w:val="*Paper Title* Char"/>
    <w:link w:val="PaperTitle"/>
    <w:rsid w:val="00D80959"/>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link w:val="SPIEAuthors-Affils"/>
    <w:rsid w:val="00BC6BE6"/>
    <w:rPr>
      <w:sz w:val="24"/>
      <w:lang w:val="en-US" w:eastAsia="en-US" w:bidi="ar-SA"/>
    </w:rPr>
  </w:style>
  <w:style w:type="paragraph" w:customStyle="1" w:styleId="PrincipalHding">
    <w:name w:val="*Principal Hding*"/>
    <w:basedOn w:val="a0"/>
    <w:next w:val="BodyofPaper"/>
    <w:link w:val="PrincipalHdingChar"/>
    <w:semiHidden/>
    <w:pPr>
      <w:jc w:val="center"/>
    </w:pPr>
    <w:rPr>
      <w:b/>
      <w:caps/>
      <w:sz w:val="22"/>
      <w:szCs w:val="20"/>
    </w:rPr>
  </w:style>
  <w:style w:type="character" w:customStyle="1" w:styleId="PrincipalHdingChar">
    <w:name w:val="*Principal Hding* Char"/>
    <w:link w:val="PrincipalHding"/>
    <w:rsid w:val="00CD4EFF"/>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rsid w:val="007E6440"/>
    <w:pPr>
      <w:outlineLvl w:val="0"/>
    </w:pPr>
  </w:style>
  <w:style w:type="character" w:customStyle="1" w:styleId="SPIEpapertitleCharChar">
    <w:name w:val="SPIE paper title Char Char"/>
    <w:link w:val="SPIEpapertitle"/>
    <w:rsid w:val="00D80959"/>
    <w:rPr>
      <w:b/>
      <w:sz w:val="32"/>
      <w:lang w:val="en-US" w:eastAsia="en-US" w:bidi="ar-SA"/>
    </w:rPr>
  </w:style>
  <w:style w:type="paragraph" w:customStyle="1" w:styleId="SPIEauthoraffils">
    <w:name w:val="SPIE author &amp; affils"/>
    <w:basedOn w:val="SPIEAuthors-Affils"/>
    <w:link w:val="SPIEauthoraffilsChar"/>
    <w:rsid w:val="007E6440"/>
    <w:pPr>
      <w:outlineLvl w:val="0"/>
    </w:pPr>
  </w:style>
  <w:style w:type="character" w:customStyle="1" w:styleId="SPIEauthoraffilsChar">
    <w:name w:val="SPIE author &amp; affils Char"/>
    <w:link w:val="SPIEauthoraffils"/>
    <w:rsid w:val="00BC6BE6"/>
    <w:rPr>
      <w:sz w:val="24"/>
      <w:lang w:val="en-US" w:eastAsia="en-US" w:bidi="ar-SA"/>
    </w:rPr>
  </w:style>
  <w:style w:type="paragraph" w:customStyle="1" w:styleId="SPIEabstracttitle">
    <w:name w:val="SPIE abstract title"/>
    <w:basedOn w:val="PrincipalHding"/>
    <w:link w:val="SPIEabstracttitleCharChar"/>
    <w:rsid w:val="00797858"/>
    <w:pPr>
      <w:spacing w:before="480" w:after="240"/>
      <w:outlineLvl w:val="0"/>
    </w:pPr>
  </w:style>
  <w:style w:type="character" w:customStyle="1" w:styleId="SPIEabstracttitleCharChar">
    <w:name w:val="SPIE abstract title Char Char"/>
    <w:link w:val="SPIEabstracttitle"/>
    <w:rsid w:val="00CD4EFF"/>
    <w:rPr>
      <w:b/>
      <w:caps/>
      <w:sz w:val="22"/>
      <w:lang w:val="en-US" w:eastAsia="en-US" w:bidi="ar-SA"/>
    </w:rPr>
  </w:style>
  <w:style w:type="paragraph" w:customStyle="1" w:styleId="SPIEbodytext">
    <w:name w:val="SPIE body text"/>
    <w:basedOn w:val="a0"/>
    <w:link w:val="SPIEbodytextCharChar"/>
    <w:rsid w:val="00BC6BE6"/>
    <w:pPr>
      <w:spacing w:after="120"/>
      <w:jc w:val="both"/>
    </w:pPr>
  </w:style>
  <w:style w:type="character" w:customStyle="1" w:styleId="SPIEbodytextCharChar">
    <w:name w:val="SPIE body text Char Char"/>
    <w:link w:val="SPIEbodytext"/>
    <w:rsid w:val="00BC6BE6"/>
    <w:rPr>
      <w:szCs w:val="24"/>
      <w:lang w:val="en-US" w:eastAsia="en-US" w:bidi="ar-SA"/>
    </w:rPr>
  </w:style>
  <w:style w:type="paragraph" w:customStyle="1" w:styleId="SPIEkeywords">
    <w:name w:val="SPIE keywords"/>
    <w:basedOn w:val="Keywords"/>
    <w:rsid w:val="007E6440"/>
    <w:pPr>
      <w:ind w:left="0" w:firstLine="0"/>
      <w:outlineLvl w:val="0"/>
    </w:pPr>
  </w:style>
  <w:style w:type="paragraph" w:customStyle="1" w:styleId="SPIEfigurecaption">
    <w:name w:val="SPIE figure caption"/>
    <w:basedOn w:val="BodyofPaper"/>
    <w:next w:val="SPIEbodytext"/>
    <w:link w:val="SPIEfigurecaptionChar"/>
    <w:rsid w:val="00BE133D"/>
    <w:pPr>
      <w:spacing w:after="120"/>
      <w:ind w:left="360" w:right="360"/>
      <w:jc w:val="left"/>
    </w:pPr>
    <w:rPr>
      <w:sz w:val="18"/>
    </w:rPr>
  </w:style>
  <w:style w:type="character" w:customStyle="1" w:styleId="SPIEfigurecaptionChar">
    <w:name w:val="SPIE figure caption Char"/>
    <w:link w:val="SPIEfigurecaption"/>
    <w:rsid w:val="00BE133D"/>
    <w:rPr>
      <w:sz w:val="18"/>
      <w:lang w:val="en-US" w:eastAsia="en-US" w:bidi="ar-SA"/>
    </w:rPr>
  </w:style>
  <w:style w:type="paragraph" w:customStyle="1" w:styleId="SPIEreferences">
    <w:name w:val="SPIEreferences"/>
    <w:basedOn w:val="SPIEabstracttitle"/>
    <w:rsid w:val="00E62777"/>
    <w:pPr>
      <w:keepNext/>
    </w:pPr>
    <w:rPr>
      <w:szCs w:val="22"/>
    </w:rPr>
  </w:style>
  <w:style w:type="paragraph" w:customStyle="1" w:styleId="SPIEreferencelisting">
    <w:name w:val="SPIE reference listing"/>
    <w:basedOn w:val="BodyofPaper"/>
    <w:rsid w:val="00AA112B"/>
    <w:pPr>
      <w:numPr>
        <w:numId w:val="1"/>
      </w:numPr>
    </w:pPr>
  </w:style>
  <w:style w:type="paragraph" w:customStyle="1" w:styleId="SPIEfootnotetext">
    <w:name w:val="SPIE footnote text"/>
    <w:basedOn w:val="a0"/>
    <w:rsid w:val="00BC6BE6"/>
    <w:rPr>
      <w:sz w:val="18"/>
    </w:rPr>
  </w:style>
  <w:style w:type="paragraph" w:styleId="a8">
    <w:name w:val="footer"/>
    <w:basedOn w:val="a0"/>
    <w:link w:val="a9"/>
    <w:uiPriority w:val="99"/>
    <w:rsid w:val="003579F2"/>
    <w:pPr>
      <w:tabs>
        <w:tab w:val="center" w:pos="4320"/>
        <w:tab w:val="right" w:pos="8640"/>
      </w:tabs>
    </w:pPr>
  </w:style>
  <w:style w:type="paragraph" w:customStyle="1" w:styleId="SPIEfigure">
    <w:name w:val="SPIE figure"/>
    <w:basedOn w:val="SPIEbodytext"/>
    <w:next w:val="SPIEfigurecaption"/>
    <w:rsid w:val="0031785E"/>
    <w:pPr>
      <w:keepNext/>
      <w:spacing w:before="120"/>
      <w:jc w:val="center"/>
    </w:pPr>
  </w:style>
  <w:style w:type="paragraph" w:customStyle="1" w:styleId="SPIEfigureright">
    <w:name w:val="SPIE figure right"/>
    <w:basedOn w:val="SPIEfigure"/>
    <w:rsid w:val="00266386"/>
    <w:pPr>
      <w:jc w:val="right"/>
    </w:pPr>
  </w:style>
  <w:style w:type="paragraph" w:customStyle="1" w:styleId="SPIEheader">
    <w:name w:val="SPIE header"/>
    <w:basedOn w:val="SPIEbodytext"/>
    <w:next w:val="SPIEbodytext"/>
    <w:rsid w:val="00C438AD"/>
    <w:pPr>
      <w:spacing w:after="0"/>
      <w:ind w:left="360" w:right="360"/>
      <w:jc w:val="left"/>
    </w:pPr>
    <w:rPr>
      <w:sz w:val="18"/>
      <w:szCs w:val="18"/>
    </w:rPr>
  </w:style>
  <w:style w:type="paragraph" w:customStyle="1" w:styleId="SPIEtablecaption">
    <w:name w:val="SPIE table caption"/>
    <w:basedOn w:val="SPIEfigurecaption"/>
    <w:link w:val="SPIEtablecaptionChar"/>
    <w:rsid w:val="000309E9"/>
  </w:style>
  <w:style w:type="character" w:customStyle="1" w:styleId="SPIEtablecaptionChar">
    <w:name w:val="SPIE table caption Char"/>
    <w:link w:val="SPIEtablecaption"/>
    <w:rsid w:val="000166EA"/>
    <w:rPr>
      <w:sz w:val="18"/>
      <w:lang w:val="en-US" w:eastAsia="en-US" w:bidi="ar-SA"/>
    </w:rPr>
  </w:style>
  <w:style w:type="paragraph" w:customStyle="1" w:styleId="SPIEListBullet2">
    <w:name w:val="SPIE List Bullet 2"/>
    <w:basedOn w:val="SPIEbodytext"/>
    <w:rsid w:val="003611D5"/>
    <w:pPr>
      <w:numPr>
        <w:numId w:val="2"/>
      </w:numPr>
    </w:pPr>
  </w:style>
  <w:style w:type="paragraph" w:customStyle="1" w:styleId="SPIEabstractbodytext">
    <w:name w:val="SPIE abstract body text"/>
    <w:basedOn w:val="SPIEbodytext"/>
    <w:link w:val="SPIEabstractbodytextCharChar"/>
    <w:rsid w:val="004A400F"/>
  </w:style>
  <w:style w:type="character" w:customStyle="1" w:styleId="SPIEabstractbodytextCharChar">
    <w:name w:val="SPIE abstract body text Char Char"/>
    <w:link w:val="SPIEabstractbodytext"/>
    <w:rsid w:val="00CD4EFF"/>
    <w:rPr>
      <w:szCs w:val="24"/>
      <w:lang w:val="en-US" w:eastAsia="en-US" w:bidi="ar-SA"/>
    </w:rPr>
  </w:style>
  <w:style w:type="paragraph" w:styleId="aa">
    <w:name w:val="Balloon Text"/>
    <w:basedOn w:val="a0"/>
    <w:semiHidden/>
    <w:rsid w:val="00E00703"/>
    <w:rPr>
      <w:rFonts w:ascii="Tahoma" w:hAnsi="Tahoma" w:cs="Tahoma"/>
      <w:sz w:val="16"/>
      <w:szCs w:val="16"/>
    </w:rPr>
  </w:style>
  <w:style w:type="paragraph" w:customStyle="1" w:styleId="SPIEkeywordsbold">
    <w:name w:val="SPIE keywords bold"/>
    <w:basedOn w:val="Keywords"/>
    <w:rsid w:val="000166EA"/>
    <w:rPr>
      <w:b/>
      <w:bCs/>
    </w:rPr>
  </w:style>
  <w:style w:type="paragraph" w:customStyle="1" w:styleId="StyleSPIEfigurecaption">
    <w:name w:val="Style SPIE figure caption"/>
    <w:basedOn w:val="SPIEfigurecaption"/>
    <w:rsid w:val="000166EA"/>
    <w:pPr>
      <w:jc w:val="both"/>
    </w:pPr>
  </w:style>
  <w:style w:type="character" w:styleId="ab">
    <w:name w:val="annotation reference"/>
    <w:semiHidden/>
    <w:rsid w:val="0019055E"/>
    <w:rPr>
      <w:sz w:val="16"/>
      <w:szCs w:val="16"/>
    </w:rPr>
  </w:style>
  <w:style w:type="paragraph" w:styleId="ac">
    <w:name w:val="annotation text"/>
    <w:basedOn w:val="a0"/>
    <w:link w:val="ad"/>
    <w:semiHidden/>
    <w:rsid w:val="0019055E"/>
    <w:rPr>
      <w:szCs w:val="20"/>
    </w:rPr>
  </w:style>
  <w:style w:type="paragraph" w:styleId="ae">
    <w:name w:val="annotation subject"/>
    <w:basedOn w:val="ac"/>
    <w:next w:val="ac"/>
    <w:semiHidden/>
    <w:rsid w:val="0019055E"/>
    <w:rPr>
      <w:b/>
      <w:bCs/>
    </w:rPr>
  </w:style>
  <w:style w:type="character" w:customStyle="1" w:styleId="body31">
    <w:name w:val="body31"/>
    <w:rsid w:val="004E1F48"/>
    <w:rPr>
      <w:rFonts w:ascii="Verdana" w:hAnsi="Verdana" w:hint="default"/>
      <w:color w:val="000000"/>
      <w:sz w:val="13"/>
      <w:szCs w:val="13"/>
    </w:rPr>
  </w:style>
  <w:style w:type="character" w:styleId="af">
    <w:name w:val="FollowedHyperlink"/>
    <w:rsid w:val="00E14BFF"/>
    <w:rPr>
      <w:color w:val="800080"/>
      <w:u w:val="single"/>
    </w:rPr>
  </w:style>
  <w:style w:type="table" w:styleId="af0">
    <w:name w:val="Table Grid"/>
    <w:basedOn w:val="a2"/>
    <w:rsid w:val="00361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sid w:val="00262961"/>
    <w:rPr>
      <w:b/>
      <w:bCs/>
    </w:rPr>
  </w:style>
  <w:style w:type="paragraph" w:styleId="af2">
    <w:name w:val="endnote text"/>
    <w:basedOn w:val="a0"/>
    <w:link w:val="af3"/>
    <w:rsid w:val="000C04F5"/>
    <w:rPr>
      <w:szCs w:val="20"/>
    </w:rPr>
  </w:style>
  <w:style w:type="character" w:customStyle="1" w:styleId="af3">
    <w:name w:val="Текст концевой сноски Знак"/>
    <w:basedOn w:val="a1"/>
    <w:link w:val="af2"/>
    <w:rsid w:val="000C04F5"/>
  </w:style>
  <w:style w:type="character" w:styleId="af4">
    <w:name w:val="endnote reference"/>
    <w:rsid w:val="000C04F5"/>
    <w:rPr>
      <w:vertAlign w:val="superscript"/>
    </w:rPr>
  </w:style>
  <w:style w:type="character" w:customStyle="1" w:styleId="a7">
    <w:name w:val="Верхний колонтитул Знак"/>
    <w:link w:val="a6"/>
    <w:uiPriority w:val="99"/>
    <w:rsid w:val="004830EA"/>
    <w:rPr>
      <w:rFonts w:ascii="Times" w:hAnsi="Times"/>
      <w:sz w:val="24"/>
    </w:rPr>
  </w:style>
  <w:style w:type="character" w:customStyle="1" w:styleId="a9">
    <w:name w:val="Нижний колонтитул Знак"/>
    <w:link w:val="a8"/>
    <w:uiPriority w:val="99"/>
    <w:rsid w:val="004830EA"/>
    <w:rPr>
      <w:sz w:val="24"/>
      <w:szCs w:val="24"/>
    </w:rPr>
  </w:style>
  <w:style w:type="character" w:customStyle="1" w:styleId="10">
    <w:name w:val="Неразрешенное упоминание1"/>
    <w:basedOn w:val="a1"/>
    <w:uiPriority w:val="99"/>
    <w:semiHidden/>
    <w:unhideWhenUsed/>
    <w:rsid w:val="00C842E7"/>
    <w:rPr>
      <w:color w:val="605E5C"/>
      <w:shd w:val="clear" w:color="auto" w:fill="E1DFDD"/>
    </w:rPr>
  </w:style>
  <w:style w:type="character" w:customStyle="1" w:styleId="ui-provider">
    <w:name w:val="ui-provider"/>
    <w:basedOn w:val="a1"/>
    <w:rsid w:val="00BA631F"/>
  </w:style>
  <w:style w:type="paragraph" w:styleId="a">
    <w:name w:val="List Paragraph"/>
    <w:aliases w:val="Reference List"/>
    <w:basedOn w:val="a0"/>
    <w:uiPriority w:val="34"/>
    <w:qFormat/>
    <w:rsid w:val="003D6701"/>
    <w:pPr>
      <w:numPr>
        <w:numId w:val="7"/>
      </w:numPr>
      <w:ind w:left="360"/>
      <w:contextualSpacing/>
    </w:pPr>
  </w:style>
  <w:style w:type="paragraph" w:styleId="af5">
    <w:name w:val="Subtitle"/>
    <w:aliases w:val="Captions and Footnotes"/>
    <w:basedOn w:val="a0"/>
    <w:next w:val="a0"/>
    <w:link w:val="af6"/>
    <w:rsid w:val="005B6525"/>
    <w:pPr>
      <w:numPr>
        <w:ilvl w:val="1"/>
      </w:numPr>
      <w:spacing w:after="160"/>
      <w:ind w:left="720"/>
    </w:pPr>
    <w:rPr>
      <w:rFonts w:eastAsiaTheme="minorEastAsia" w:cstheme="minorBidi"/>
      <w:spacing w:val="15"/>
      <w:sz w:val="18"/>
      <w:szCs w:val="22"/>
    </w:rPr>
  </w:style>
  <w:style w:type="character" w:customStyle="1" w:styleId="af6">
    <w:name w:val="Подзаголовок Знак"/>
    <w:aliases w:val="Captions and Footnotes Знак"/>
    <w:basedOn w:val="a1"/>
    <w:link w:val="af5"/>
    <w:rsid w:val="005B6525"/>
    <w:rPr>
      <w:rFonts w:eastAsiaTheme="minorEastAsia" w:cstheme="minorBidi"/>
      <w:spacing w:val="15"/>
      <w:sz w:val="18"/>
      <w:szCs w:val="22"/>
      <w:lang w:eastAsia="en-US"/>
    </w:rPr>
  </w:style>
  <w:style w:type="paragraph" w:styleId="af7">
    <w:name w:val="Title"/>
    <w:basedOn w:val="a0"/>
    <w:next w:val="a0"/>
    <w:link w:val="af8"/>
    <w:qFormat/>
    <w:rsid w:val="00C37175"/>
    <w:pPr>
      <w:contextualSpacing/>
      <w:jc w:val="center"/>
    </w:pPr>
    <w:rPr>
      <w:rFonts w:eastAsiaTheme="majorEastAsia" w:cstheme="majorBidi"/>
      <w:b/>
      <w:spacing w:val="-10"/>
      <w:kern w:val="28"/>
      <w:sz w:val="32"/>
      <w:szCs w:val="56"/>
    </w:rPr>
  </w:style>
  <w:style w:type="character" w:customStyle="1" w:styleId="af8">
    <w:name w:val="Заголовок Знак"/>
    <w:basedOn w:val="a1"/>
    <w:link w:val="af7"/>
    <w:rsid w:val="00C37175"/>
    <w:rPr>
      <w:rFonts w:eastAsiaTheme="majorEastAsia" w:cstheme="majorBidi"/>
      <w:b/>
      <w:spacing w:val="-10"/>
      <w:kern w:val="28"/>
      <w:sz w:val="32"/>
      <w:szCs w:val="56"/>
      <w:lang w:eastAsia="en-US"/>
    </w:rPr>
  </w:style>
  <w:style w:type="paragraph" w:customStyle="1" w:styleId="Subtitles">
    <w:name w:val="Subtitles"/>
    <w:aliases w:val="SPIE captions and footnotes"/>
    <w:basedOn w:val="SPIEfigurecaption"/>
    <w:link w:val="SubtitlesChar"/>
    <w:qFormat/>
    <w:rsid w:val="005B6525"/>
  </w:style>
  <w:style w:type="character" w:customStyle="1" w:styleId="SubtitlesChar">
    <w:name w:val="Subtitles Char"/>
    <w:aliases w:val="SPIE captions and footnotes Char"/>
    <w:basedOn w:val="SPIEfigurecaptionChar"/>
    <w:link w:val="Subtitles"/>
    <w:rsid w:val="005B6525"/>
    <w:rPr>
      <w:sz w:val="18"/>
      <w:lang w:val="en-US" w:eastAsia="en-US" w:bidi="ar-SA"/>
    </w:rPr>
  </w:style>
  <w:style w:type="paragraph" w:styleId="af9">
    <w:name w:val="Normal (Web)"/>
    <w:basedOn w:val="a0"/>
    <w:uiPriority w:val="99"/>
    <w:unhideWhenUsed/>
    <w:rsid w:val="00624E98"/>
    <w:pPr>
      <w:spacing w:before="100" w:beforeAutospacing="1" w:after="100" w:afterAutospacing="1"/>
    </w:pPr>
    <w:rPr>
      <w:sz w:val="24"/>
      <w:lang w:val="ru-RU" w:eastAsia="ru-RU"/>
    </w:rPr>
  </w:style>
  <w:style w:type="character" w:customStyle="1" w:styleId="20">
    <w:name w:val="Неразрешенное упоминание2"/>
    <w:basedOn w:val="a1"/>
    <w:uiPriority w:val="99"/>
    <w:semiHidden/>
    <w:unhideWhenUsed/>
    <w:rsid w:val="004D44FD"/>
    <w:rPr>
      <w:color w:val="605E5C"/>
      <w:shd w:val="clear" w:color="auto" w:fill="E1DFDD"/>
    </w:rPr>
  </w:style>
  <w:style w:type="character" w:customStyle="1" w:styleId="ad">
    <w:name w:val="Текст примечания Знак"/>
    <w:basedOn w:val="a1"/>
    <w:link w:val="ac"/>
    <w:semiHidden/>
    <w:rsid w:val="00D2562D"/>
    <w:rPr>
      <w:lang w:eastAsia="en-US"/>
    </w:rPr>
  </w:style>
  <w:style w:type="paragraph" w:customStyle="1" w:styleId="ds-markdown-paragraph">
    <w:name w:val="ds-markdown-paragraph"/>
    <w:basedOn w:val="a0"/>
    <w:rsid w:val="00F13B31"/>
    <w:pPr>
      <w:spacing w:before="100" w:beforeAutospacing="1" w:after="100" w:afterAutospacing="1"/>
    </w:pPr>
    <w:rPr>
      <w:sz w:val="24"/>
      <w:lang w:val="ru-RU" w:eastAsia="ru-RU"/>
    </w:rPr>
  </w:style>
  <w:style w:type="character" w:styleId="afa">
    <w:name w:val="Emphasis"/>
    <w:basedOn w:val="a1"/>
    <w:uiPriority w:val="20"/>
    <w:qFormat/>
    <w:rsid w:val="00F13B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96116">
      <w:bodyDiv w:val="1"/>
      <w:marLeft w:val="0"/>
      <w:marRight w:val="0"/>
      <w:marTop w:val="0"/>
      <w:marBottom w:val="0"/>
      <w:divBdr>
        <w:top w:val="none" w:sz="0" w:space="0" w:color="auto"/>
        <w:left w:val="none" w:sz="0" w:space="0" w:color="auto"/>
        <w:bottom w:val="none" w:sz="0" w:space="0" w:color="auto"/>
        <w:right w:val="none" w:sz="0" w:space="0" w:color="auto"/>
      </w:divBdr>
    </w:div>
    <w:div w:id="1946693157">
      <w:bodyDiv w:val="1"/>
      <w:marLeft w:val="0"/>
      <w:marRight w:val="0"/>
      <w:marTop w:val="120"/>
      <w:marBottom w:val="120"/>
      <w:divBdr>
        <w:top w:val="none" w:sz="0" w:space="0" w:color="auto"/>
        <w:left w:val="none" w:sz="0" w:space="0" w:color="auto"/>
        <w:bottom w:val="none" w:sz="0" w:space="0" w:color="auto"/>
        <w:right w:val="none" w:sz="0" w:space="0" w:color="auto"/>
      </w:divBdr>
      <w:divsChild>
        <w:div w:id="1091051735">
          <w:marLeft w:val="0"/>
          <w:marRight w:val="0"/>
          <w:marTop w:val="100"/>
          <w:marBottom w:val="100"/>
          <w:divBdr>
            <w:top w:val="none" w:sz="0" w:space="0" w:color="auto"/>
            <w:left w:val="none" w:sz="0" w:space="0" w:color="auto"/>
            <w:bottom w:val="none" w:sz="0" w:space="0" w:color="auto"/>
            <w:right w:val="none" w:sz="0" w:space="0" w:color="auto"/>
          </w:divBdr>
          <w:divsChild>
            <w:div w:id="266691919">
              <w:marLeft w:val="144"/>
              <w:marRight w:val="144"/>
              <w:marTop w:val="96"/>
              <w:marBottom w:val="216"/>
              <w:divBdr>
                <w:top w:val="none" w:sz="0" w:space="0" w:color="auto"/>
                <w:left w:val="none" w:sz="0" w:space="0" w:color="auto"/>
                <w:bottom w:val="none" w:sz="0" w:space="0" w:color="auto"/>
                <w:right w:val="none" w:sz="0" w:space="0" w:color="auto"/>
              </w:divBdr>
              <w:divsChild>
                <w:div w:id="6654762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hyperlink" Target="https://doi.org/10.1557/PROC-377-305" TargetMode="External"/><Relationship Id="rId21" Type="http://schemas.openxmlformats.org/officeDocument/2006/relationships/oleObject" Target="embeddings/oleObject7.bin"/><Relationship Id="rId34" Type="http://schemas.openxmlformats.org/officeDocument/2006/relationships/image" Target="media/image13.png"/><Relationship Id="rId42" Type="http://schemas.openxmlformats.org/officeDocument/2006/relationships/hyperlink" Target="https://doi.org/10.1038/s41560-022-01018-5" TargetMode="External"/><Relationship Id="rId47" Type="http://schemas.openxmlformats.org/officeDocument/2006/relationships/hyperlink" Target="https://doi.org/10.1016/S0022-3093(86)80377-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1.bin"/><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hyperlink" Target="https://doi.org/10.3389/fphy.2020.00158" TargetMode="External"/><Relationship Id="rId40" Type="http://schemas.openxmlformats.org/officeDocument/2006/relationships/hyperlink" Target="https://doi.org/10.1002/advs.202504199" TargetMode="External"/><Relationship Id="rId45" Type="http://schemas.openxmlformats.org/officeDocument/2006/relationships/hyperlink" Target="https://doi.org/10.1002/anie.202403842"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hyperlink" Target="https://doi.org/10.1557/proc-14-75" TargetMode="External"/><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hyperlink" Target="https://doi.org/10.1088/0953-8984/18/15/010"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microsoft.com/office/2007/relationships/hdphoto" Target="media/hdphoto1.wdp"/><Relationship Id="rId43" Type="http://schemas.openxmlformats.org/officeDocument/2006/relationships/hyperlink" Target="https://doi.org/10.1021/acsphyschemau.4c00063" TargetMode="External"/><Relationship Id="rId48" Type="http://schemas.openxmlformats.org/officeDocument/2006/relationships/fontTable" Target="fontTable.xml"/><Relationship Id="rId8" Type="http://schemas.openxmlformats.org/officeDocument/2006/relationships/hyperlink" Target="mailto:&#1072;-vahytjon@umail.uz"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yperlink" Target="https://doi.org/10.1021/acs.jpclett.8b00902" TargetMode="External"/><Relationship Id="rId46" Type="http://schemas.openxmlformats.org/officeDocument/2006/relationships/hyperlink" Target="https://doi.org/10.1007/s10854-024-12779-y" TargetMode="External"/><Relationship Id="rId20" Type="http://schemas.openxmlformats.org/officeDocument/2006/relationships/image" Target="media/image6.wmf"/><Relationship Id="rId41" Type="http://schemas.openxmlformats.org/officeDocument/2006/relationships/hyperlink" Target="https://doi.org/10.1063/5.010137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23E6A-F2AD-4150-A860-C4F8A6D74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3220</Words>
  <Characters>18355</Characters>
  <Application>Microsoft Office Word</Application>
  <DocSecurity>0</DocSecurity>
  <Lines>152</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manuscript showing specifications and style</vt:lpstr>
      <vt:lpstr>Sample manuscript showing specifications and style</vt:lpstr>
    </vt:vector>
  </TitlesOfParts>
  <Company>SPIE</Company>
  <LinksUpToDate>false</LinksUpToDate>
  <CharactersWithSpaces>21532</CharactersWithSpaces>
  <SharedDoc>false</SharedDoc>
  <HLinks>
    <vt:vector size="30" baseType="variant">
      <vt:variant>
        <vt:i4>8323197</vt:i4>
      </vt:variant>
      <vt:variant>
        <vt:i4>27</vt:i4>
      </vt:variant>
      <vt:variant>
        <vt:i4>0</vt:i4>
      </vt:variant>
      <vt:variant>
        <vt:i4>5</vt:i4>
      </vt:variant>
      <vt:variant>
        <vt:lpwstr>http://www.optics4yurresearch.com/7752.html</vt:lpwstr>
      </vt:variant>
      <vt:variant>
        <vt:lpwstr/>
      </vt:variant>
      <vt:variant>
        <vt:i4>4259958</vt:i4>
      </vt:variant>
      <vt:variant>
        <vt:i4>24</vt:i4>
      </vt:variant>
      <vt:variant>
        <vt:i4>0</vt:i4>
      </vt:variant>
      <vt:variant>
        <vt:i4>5</vt:i4>
      </vt:variant>
      <vt:variant>
        <vt:lpwstr>mailto:authorhelp@spie.org</vt:lpwstr>
      </vt:variant>
      <vt:variant>
        <vt:lpwstr/>
      </vt:variant>
      <vt:variant>
        <vt:i4>6750251</vt:i4>
      </vt:variant>
      <vt:variant>
        <vt:i4>21</vt:i4>
      </vt:variant>
      <vt:variant>
        <vt:i4>0</vt:i4>
      </vt:variant>
      <vt:variant>
        <vt:i4>5</vt:i4>
      </vt:variant>
      <vt:variant>
        <vt:lpwstr>http://spie.org/x14101.xml</vt:lpwstr>
      </vt:variant>
      <vt:variant>
        <vt:lpwstr/>
      </vt:variant>
      <vt:variant>
        <vt:i4>7667767</vt:i4>
      </vt:variant>
      <vt:variant>
        <vt:i4>9</vt:i4>
      </vt:variant>
      <vt:variant>
        <vt:i4>0</vt:i4>
      </vt:variant>
      <vt:variant>
        <vt:i4>5</vt:i4>
      </vt:variant>
      <vt:variant>
        <vt:lpwstr>http://dx.doi.org/doi.number.goes.here</vt:lpwstr>
      </vt:variant>
      <vt:variant>
        <vt:lpwstr/>
      </vt:variant>
      <vt:variant>
        <vt:i4>7667767</vt:i4>
      </vt:variant>
      <vt:variant>
        <vt:i4>3</vt:i4>
      </vt:variant>
      <vt:variant>
        <vt:i4>0</vt:i4>
      </vt:variant>
      <vt:variant>
        <vt:i4>5</vt:i4>
      </vt:variant>
      <vt:variant>
        <vt:lpwstr>http://dx.doi.org/doi.number.goes.here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manuscript showing specifications and style</dc:title>
  <dc:subject/>
  <dc:creator>mattn</dc:creator>
  <cp:keywords/>
  <cp:lastModifiedBy>User</cp:lastModifiedBy>
  <cp:revision>4</cp:revision>
  <cp:lastPrinted>2026-01-05T10:35:00Z</cp:lastPrinted>
  <dcterms:created xsi:type="dcterms:W3CDTF">2026-01-05T10:34:00Z</dcterms:created>
  <dcterms:modified xsi:type="dcterms:W3CDTF">2026-01-05T10:36:00Z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