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BD992" w14:textId="77777777" w:rsidR="009B6180" w:rsidRPr="006913FF" w:rsidRDefault="009B6180" w:rsidP="00320E96">
      <w:pPr>
        <w:shd w:val="clear" w:color="auto" w:fill="FFFFFF"/>
        <w:tabs>
          <w:tab w:val="left" w:pos="3261"/>
        </w:tabs>
        <w:spacing w:before="1200"/>
        <w:jc w:val="center"/>
        <w:rPr>
          <w:b/>
          <w:bCs/>
          <w:color w:val="0F1115"/>
          <w:sz w:val="36"/>
          <w:szCs w:val="36"/>
          <w:lang w:val="en-US" w:eastAsia="ru-RU"/>
        </w:rPr>
      </w:pPr>
      <w:r w:rsidRPr="006913FF">
        <w:rPr>
          <w:b/>
          <w:bCs/>
          <w:color w:val="0F1115"/>
          <w:sz w:val="36"/>
          <w:szCs w:val="36"/>
          <w:lang w:val="en-US" w:eastAsia="ru-RU"/>
        </w:rPr>
        <w:t>Physical-Chemical Analysis of Industrial Processes: Advanced Spectroscopy and Chromatography for Real-Time Process Optimization</w:t>
      </w:r>
    </w:p>
    <w:p w14:paraId="77A66850" w14:textId="519A419D" w:rsidR="0060373E" w:rsidRPr="006913FF" w:rsidRDefault="0060373E" w:rsidP="0060373E">
      <w:pPr>
        <w:spacing w:before="360" w:after="360"/>
        <w:jc w:val="center"/>
        <w:rPr>
          <w:sz w:val="28"/>
          <w:szCs w:val="28"/>
          <w:highlight w:val="yellow"/>
          <w:lang w:val="en-US"/>
        </w:rPr>
      </w:pPr>
      <w:proofErr w:type="spellStart"/>
      <w:r w:rsidRPr="006913FF">
        <w:rPr>
          <w:sz w:val="28"/>
          <w:szCs w:val="28"/>
          <w:lang w:val="en-US"/>
        </w:rPr>
        <w:t>Jakhongir</w:t>
      </w:r>
      <w:proofErr w:type="spellEnd"/>
      <w:r w:rsidRPr="006913FF">
        <w:rPr>
          <w:sz w:val="28"/>
          <w:szCs w:val="28"/>
          <w:lang w:val="en-US"/>
        </w:rPr>
        <w:t xml:space="preserve"> Soloxiddinov</w:t>
      </w:r>
      <w:r w:rsidRPr="006913FF">
        <w:rPr>
          <w:sz w:val="28"/>
          <w:szCs w:val="28"/>
          <w:vertAlign w:val="superscript"/>
          <w:lang w:val="en-US"/>
        </w:rPr>
        <w:t>1, a)</w:t>
      </w:r>
      <w:r w:rsidRPr="006913FF">
        <w:rPr>
          <w:sz w:val="28"/>
          <w:szCs w:val="28"/>
          <w:lang w:val="en-US"/>
        </w:rPr>
        <w:t xml:space="preserve">, </w:t>
      </w:r>
      <w:r w:rsidR="00331FD1" w:rsidRPr="006913FF">
        <w:rPr>
          <w:sz w:val="28"/>
          <w:szCs w:val="28"/>
          <w:lang w:val="en-US"/>
        </w:rPr>
        <w:t>Jamila Muxitdinova</w:t>
      </w:r>
      <w:r w:rsidRPr="006913FF">
        <w:rPr>
          <w:sz w:val="28"/>
          <w:szCs w:val="28"/>
          <w:vertAlign w:val="superscript"/>
          <w:lang w:val="en-US"/>
        </w:rPr>
        <w:t>2</w:t>
      </w:r>
      <w:r w:rsidRPr="006913FF">
        <w:rPr>
          <w:sz w:val="28"/>
          <w:szCs w:val="28"/>
          <w:lang w:val="en-US"/>
        </w:rPr>
        <w:t xml:space="preserve">, </w:t>
      </w:r>
      <w:proofErr w:type="spellStart"/>
      <w:r w:rsidRPr="006913FF">
        <w:rPr>
          <w:sz w:val="28"/>
          <w:szCs w:val="28"/>
          <w:lang w:val="en-US"/>
        </w:rPr>
        <w:t>Husanhon</w:t>
      </w:r>
      <w:proofErr w:type="spellEnd"/>
      <w:r w:rsidRPr="006913FF">
        <w:rPr>
          <w:sz w:val="28"/>
          <w:szCs w:val="28"/>
          <w:lang w:val="en-US"/>
        </w:rPr>
        <w:t xml:space="preserve"> Bobojanov</w:t>
      </w:r>
      <w:proofErr w:type="gramStart"/>
      <w:r w:rsidRPr="006913FF">
        <w:rPr>
          <w:sz w:val="28"/>
          <w:szCs w:val="28"/>
          <w:vertAlign w:val="superscript"/>
          <w:lang w:val="en-US"/>
        </w:rPr>
        <w:t>1</w:t>
      </w:r>
      <w:r w:rsidRPr="006913FF">
        <w:rPr>
          <w:sz w:val="28"/>
          <w:szCs w:val="28"/>
          <w:lang w:val="en-US"/>
        </w:rPr>
        <w:t xml:space="preserve">, </w:t>
      </w:r>
      <w:r w:rsidR="000F1720">
        <w:rPr>
          <w:sz w:val="28"/>
          <w:szCs w:val="28"/>
          <w:lang w:val="en-US"/>
        </w:rPr>
        <w:t xml:space="preserve">  </w:t>
      </w:r>
      <w:proofErr w:type="gramEnd"/>
      <w:r w:rsidR="000F1720">
        <w:rPr>
          <w:sz w:val="28"/>
          <w:szCs w:val="28"/>
          <w:lang w:val="en-US"/>
        </w:rPr>
        <w:t xml:space="preserve">             </w:t>
      </w:r>
      <w:proofErr w:type="spellStart"/>
      <w:r w:rsidR="00331FD1" w:rsidRPr="006913FF">
        <w:rPr>
          <w:sz w:val="28"/>
          <w:szCs w:val="28"/>
          <w:lang w:val="en-US"/>
        </w:rPr>
        <w:t>Dilfuza</w:t>
      </w:r>
      <w:proofErr w:type="spellEnd"/>
      <w:r w:rsidR="00331FD1" w:rsidRPr="006913FF">
        <w:rPr>
          <w:sz w:val="28"/>
          <w:szCs w:val="28"/>
          <w:lang w:val="en-US"/>
        </w:rPr>
        <w:t xml:space="preserve"> Usmanova</w:t>
      </w:r>
      <w:r w:rsidRPr="006913FF">
        <w:rPr>
          <w:sz w:val="28"/>
          <w:szCs w:val="28"/>
          <w:vertAlign w:val="superscript"/>
          <w:lang w:val="en-US"/>
        </w:rPr>
        <w:t>1</w:t>
      </w:r>
      <w:r w:rsidRPr="006913FF">
        <w:rPr>
          <w:sz w:val="28"/>
          <w:szCs w:val="28"/>
          <w:lang w:val="en-US"/>
        </w:rPr>
        <w:t>,</w:t>
      </w:r>
      <w:r w:rsidR="004023D6" w:rsidRPr="006913FF">
        <w:rPr>
          <w:sz w:val="28"/>
          <w:szCs w:val="28"/>
          <w:lang w:val="en-US"/>
        </w:rPr>
        <w:t xml:space="preserve"> </w:t>
      </w:r>
      <w:proofErr w:type="spellStart"/>
      <w:r w:rsidR="00C25CCB" w:rsidRPr="006913FF">
        <w:rPr>
          <w:sz w:val="28"/>
          <w:szCs w:val="28"/>
          <w:lang w:val="en-US"/>
        </w:rPr>
        <w:t>Avazbek</w:t>
      </w:r>
      <w:proofErr w:type="spellEnd"/>
      <w:r w:rsidR="00C25CCB" w:rsidRPr="006913FF">
        <w:rPr>
          <w:sz w:val="28"/>
          <w:szCs w:val="28"/>
          <w:lang w:val="en-US"/>
        </w:rPr>
        <w:t xml:space="preserve"> Obidov</w:t>
      </w:r>
      <w:r w:rsidR="00C25CCB" w:rsidRPr="006913FF">
        <w:rPr>
          <w:sz w:val="28"/>
          <w:szCs w:val="28"/>
          <w:vertAlign w:val="superscript"/>
          <w:lang w:val="en-US"/>
        </w:rPr>
        <w:t>1</w:t>
      </w:r>
      <w:r w:rsidR="00C25CCB" w:rsidRPr="006913FF">
        <w:rPr>
          <w:sz w:val="28"/>
          <w:szCs w:val="28"/>
          <w:lang w:val="en-US"/>
        </w:rPr>
        <w:t xml:space="preserve">, </w:t>
      </w:r>
      <w:proofErr w:type="spellStart"/>
      <w:r w:rsidR="00C25CCB" w:rsidRPr="006913FF">
        <w:rPr>
          <w:sz w:val="28"/>
          <w:szCs w:val="28"/>
          <w:lang w:val="en-US"/>
        </w:rPr>
        <w:t>Sanjar</w:t>
      </w:r>
      <w:proofErr w:type="spellEnd"/>
      <w:r w:rsidR="00C25CCB" w:rsidRPr="006913FF">
        <w:rPr>
          <w:sz w:val="28"/>
          <w:szCs w:val="28"/>
          <w:lang w:val="en-US"/>
        </w:rPr>
        <w:t xml:space="preserve"> Tojimirzaev</w:t>
      </w:r>
      <w:r w:rsidR="00C25CCB" w:rsidRPr="006913FF">
        <w:rPr>
          <w:sz w:val="28"/>
          <w:szCs w:val="28"/>
          <w:vertAlign w:val="superscript"/>
          <w:lang w:val="en-US"/>
        </w:rPr>
        <w:t>3</w:t>
      </w:r>
    </w:p>
    <w:p w14:paraId="45FCC0B2" w14:textId="77777777" w:rsidR="0060373E" w:rsidRPr="006913FF" w:rsidRDefault="0060373E" w:rsidP="0060373E">
      <w:pPr>
        <w:jc w:val="center"/>
        <w:rPr>
          <w:i/>
          <w:highlight w:val="yellow"/>
          <w:lang w:val="en-US"/>
        </w:rPr>
      </w:pPr>
      <w:r w:rsidRPr="006913FF">
        <w:rPr>
          <w:i/>
          <w:vertAlign w:val="superscript"/>
          <w:lang w:val="en-US"/>
        </w:rPr>
        <w:t>1</w:t>
      </w:r>
      <w:r w:rsidRPr="006913FF">
        <w:rPr>
          <w:i/>
          <w:lang w:val="en-US"/>
        </w:rPr>
        <w:t>Namangan State Technical University, Namangan, Uzbekistan</w:t>
      </w:r>
    </w:p>
    <w:p w14:paraId="0C793B6B" w14:textId="73E1E4F7" w:rsidR="0060373E" w:rsidRPr="006913FF" w:rsidRDefault="00331FD1" w:rsidP="0060373E">
      <w:pPr>
        <w:jc w:val="center"/>
        <w:rPr>
          <w:i/>
          <w:lang w:val="en-US"/>
        </w:rPr>
      </w:pPr>
      <w:r w:rsidRPr="006913FF">
        <w:rPr>
          <w:i/>
          <w:vertAlign w:val="superscript"/>
          <w:lang w:val="en-US"/>
        </w:rPr>
        <w:t>2</w:t>
      </w:r>
      <w:r w:rsidRPr="006913FF">
        <w:rPr>
          <w:i/>
          <w:lang w:val="en-US"/>
        </w:rPr>
        <w:t xml:space="preserve">Namangan State Pedagogical Institute, </w:t>
      </w:r>
      <w:r w:rsidR="0060373E" w:rsidRPr="006913FF">
        <w:rPr>
          <w:i/>
          <w:lang w:val="en-US"/>
        </w:rPr>
        <w:t>Namangan, Uzbekistan</w:t>
      </w:r>
    </w:p>
    <w:p w14:paraId="3A9A4421" w14:textId="5A21A7A0" w:rsidR="004023D6" w:rsidRPr="006913FF" w:rsidRDefault="004023D6" w:rsidP="004023D6">
      <w:pPr>
        <w:jc w:val="center"/>
        <w:rPr>
          <w:i/>
          <w:lang w:val="en-US"/>
        </w:rPr>
      </w:pPr>
      <w:r w:rsidRPr="006913FF">
        <w:rPr>
          <w:i/>
          <w:vertAlign w:val="superscript"/>
          <w:lang w:val="en-US"/>
        </w:rPr>
        <w:t xml:space="preserve">3 </w:t>
      </w:r>
      <w:proofErr w:type="spellStart"/>
      <w:r w:rsidRPr="006913FF">
        <w:rPr>
          <w:i/>
          <w:lang w:val="en-US"/>
        </w:rPr>
        <w:t>Urgench</w:t>
      </w:r>
      <w:proofErr w:type="spellEnd"/>
      <w:r w:rsidRPr="006913FF">
        <w:rPr>
          <w:i/>
          <w:lang w:val="en-US"/>
        </w:rPr>
        <w:t xml:space="preserve"> State University, </w:t>
      </w:r>
      <w:proofErr w:type="spellStart"/>
      <w:r w:rsidRPr="006913FF">
        <w:rPr>
          <w:i/>
          <w:lang w:val="en-US"/>
        </w:rPr>
        <w:t>Urgench</w:t>
      </w:r>
      <w:proofErr w:type="spellEnd"/>
      <w:r w:rsidRPr="006913FF">
        <w:rPr>
          <w:i/>
          <w:lang w:val="en-US"/>
        </w:rPr>
        <w:t>, Uzbekistan</w:t>
      </w:r>
    </w:p>
    <w:p w14:paraId="3C19D1A4" w14:textId="77777777" w:rsidR="004023D6" w:rsidRPr="006913FF" w:rsidRDefault="004023D6" w:rsidP="0060373E">
      <w:pPr>
        <w:jc w:val="center"/>
        <w:rPr>
          <w:i/>
          <w:highlight w:val="yellow"/>
          <w:lang w:val="en-US"/>
        </w:rPr>
      </w:pPr>
    </w:p>
    <w:p w14:paraId="08A3ED58" w14:textId="25D40332" w:rsidR="0060373E" w:rsidRPr="006913FF" w:rsidRDefault="0060373E" w:rsidP="0060373E">
      <w:pPr>
        <w:shd w:val="clear" w:color="auto" w:fill="FFFFFF"/>
        <w:jc w:val="center"/>
        <w:rPr>
          <w:color w:val="0F1115"/>
          <w:sz w:val="36"/>
          <w:szCs w:val="36"/>
          <w:lang w:val="en-US" w:eastAsia="ru-RU"/>
        </w:rPr>
      </w:pPr>
      <w:proofErr w:type="gramStart"/>
      <w:r w:rsidRPr="006913FF">
        <w:rPr>
          <w:i/>
          <w:vertAlign w:val="superscript"/>
          <w:lang w:val="en-US"/>
        </w:rPr>
        <w:t>a)</w:t>
      </w:r>
      <w:r w:rsidRPr="006913FF">
        <w:rPr>
          <w:i/>
          <w:lang w:val="en-US"/>
        </w:rPr>
        <w:t>Corresponding</w:t>
      </w:r>
      <w:proofErr w:type="gramEnd"/>
      <w:r w:rsidRPr="006913FF">
        <w:rPr>
          <w:i/>
          <w:lang w:val="en-US"/>
        </w:rPr>
        <w:t xml:space="preserve"> author: jahongirsalohiddinov9595@gmail.com</w:t>
      </w:r>
    </w:p>
    <w:p w14:paraId="13D5061D" w14:textId="131B4C2A" w:rsidR="009B6180" w:rsidRPr="006913FF" w:rsidRDefault="009B6180" w:rsidP="002658E6">
      <w:pPr>
        <w:shd w:val="clear" w:color="auto" w:fill="FFFFFF"/>
        <w:spacing w:before="360" w:after="360"/>
        <w:ind w:left="289" w:right="289"/>
        <w:jc w:val="both"/>
        <w:rPr>
          <w:color w:val="0F1115"/>
          <w:sz w:val="18"/>
          <w:lang w:val="en-US" w:eastAsia="ru-RU"/>
        </w:rPr>
      </w:pPr>
      <w:r w:rsidRPr="006913FF">
        <w:rPr>
          <w:b/>
          <w:bCs/>
          <w:color w:val="0F1115"/>
          <w:sz w:val="18"/>
          <w:lang w:val="en-US" w:eastAsia="ru-RU"/>
        </w:rPr>
        <w:t>Abstract</w:t>
      </w:r>
      <w:r w:rsidR="0060373E" w:rsidRPr="006913FF">
        <w:rPr>
          <w:b/>
          <w:bCs/>
          <w:color w:val="0F1115"/>
          <w:sz w:val="18"/>
          <w:lang w:val="en-US" w:eastAsia="ru-RU"/>
        </w:rPr>
        <w:t xml:space="preserve">. </w:t>
      </w:r>
      <w:r w:rsidR="00C60BDF" w:rsidRPr="006913FF">
        <w:rPr>
          <w:color w:val="0F1115"/>
          <w:sz w:val="18"/>
          <w:lang w:val="en-US" w:eastAsia="ru-RU"/>
        </w:rPr>
        <w:t>This research is offering an integrated approach on the physical-chemical</w:t>
      </w:r>
      <w:r w:rsidR="00C60BDF" w:rsidRPr="006913FF">
        <w:rPr>
          <w:color w:val="0F1115"/>
          <w:sz w:val="18"/>
          <w:lang w:eastAsia="ru-RU"/>
        </w:rPr>
        <w:t> </w:t>
      </w:r>
      <w:r w:rsidR="00C60BDF" w:rsidRPr="006913FF">
        <w:rPr>
          <w:color w:val="0F1115"/>
          <w:sz w:val="18"/>
          <w:lang w:val="en-US" w:eastAsia="ru-RU"/>
        </w:rPr>
        <w:t>characterization of industrial processes including advanced spectroscopic, chromatographic and thermal analysis techniques combined with machine learning methods for real-time tuning of process optimization. Monitoring and Control Engineering / Industrial applications Three industrial sectors will be investigated, petrochemical refining with fluid</w:t>
      </w:r>
      <w:r w:rsidR="00C60BDF" w:rsidRPr="006913FF">
        <w:rPr>
          <w:color w:val="0F1115"/>
          <w:sz w:val="18"/>
          <w:lang w:eastAsia="ru-RU"/>
        </w:rPr>
        <w:t> </w:t>
      </w:r>
      <w:r w:rsidR="00C60BDF" w:rsidRPr="006913FF">
        <w:rPr>
          <w:color w:val="0F1115"/>
          <w:sz w:val="18"/>
          <w:lang w:val="en-US" w:eastAsia="ru-RU"/>
        </w:rPr>
        <w:t>catalytic cracking unit monitoring being central, pharmaceutical manufacturing including real-time polymorph detection/control and food processing involving contamination detection/quality assurance. The placement of the analytical suite is combination Fourier-transform infrared revealed that they're not spectroscopy and Quantum cascade laser for mid-infrared analysis (resolution 0.5 cm⁻¹, detection limit of 10 ppm for hydrocarbons), Raman with transmission and</w:t>
      </w:r>
      <w:r w:rsidR="00C60BDF" w:rsidRPr="006913FF">
        <w:rPr>
          <w:color w:val="0F1115"/>
          <w:sz w:val="18"/>
          <w:lang w:eastAsia="ru-RU"/>
        </w:rPr>
        <w:t> </w:t>
      </w:r>
      <w:r w:rsidR="00C60BDF" w:rsidRPr="006913FF">
        <w:rPr>
          <w:color w:val="0F1115"/>
          <w:sz w:val="18"/>
          <w:lang w:val="en-US" w:eastAsia="ru-RU"/>
        </w:rPr>
        <w:t>spatially offset configuration subsurface analysis, Gas chromatography with vacuum ultraviolet (GC-VUV) comprehensive hydrocarbon analysis, mass spectrometry process gas composition monitoring in real time. Machine learning algorithms, such as CNN for spectral pattern recognition and RNN for temporal process prediction demonstrate the classification accuracy of 97.8% in predicting catalyst deactivation states and the prediction error of 2.3%</w:t>
      </w:r>
      <w:r w:rsidR="00C60BDF" w:rsidRPr="006913FF">
        <w:rPr>
          <w:color w:val="0F1115"/>
          <w:sz w:val="18"/>
          <w:lang w:eastAsia="ru-RU"/>
        </w:rPr>
        <w:t> </w:t>
      </w:r>
      <w:r w:rsidR="00C60BDF" w:rsidRPr="006913FF">
        <w:rPr>
          <w:color w:val="0F1115"/>
          <w:sz w:val="18"/>
          <w:lang w:val="en-US" w:eastAsia="ru-RU"/>
        </w:rPr>
        <w:t>in predicting product yield. Application on a 120,000 barrel per day FCC unit shows that the APPCP technology can provide an early warning for detection of catalyst coking onset by 45 mins ahead of the temperature-derived signals traditionally used in refineries thus informing preventive manipulation to improve yield by 3.2% and save energy</w:t>
      </w:r>
      <w:r w:rsidR="00C60BDF" w:rsidRPr="006913FF">
        <w:rPr>
          <w:color w:val="0F1115"/>
          <w:sz w:val="18"/>
          <w:lang w:eastAsia="ru-RU"/>
        </w:rPr>
        <w:t> </w:t>
      </w:r>
      <w:r w:rsidR="00C60BDF" w:rsidRPr="006913FF">
        <w:rPr>
          <w:color w:val="0F1115"/>
          <w:sz w:val="18"/>
          <w:lang w:val="en-US" w:eastAsia="ru-RU"/>
        </w:rPr>
        <w:t xml:space="preserve">consumption by 8.7%. Pharmaceutical manufacturing </w:t>
      </w:r>
      <w:proofErr w:type="gramStart"/>
      <w:r w:rsidR="00C60BDF" w:rsidRPr="006913FF">
        <w:rPr>
          <w:color w:val="0F1115"/>
          <w:sz w:val="18"/>
          <w:lang w:val="en-US" w:eastAsia="ru-RU"/>
        </w:rPr>
        <w:t>In</w:t>
      </w:r>
      <w:proofErr w:type="gramEnd"/>
      <w:r w:rsidR="00C60BDF" w:rsidRPr="006913FF">
        <w:rPr>
          <w:color w:val="0F1115"/>
          <w:sz w:val="18"/>
          <w:lang w:val="en-US" w:eastAsia="ru-RU"/>
        </w:rPr>
        <w:t xml:space="preserve"> pharmaceutical manufacturing, real-time polymorph detection with 99.2% accuracy avoids batch failures</w:t>
      </w:r>
      <w:r w:rsidR="00C60BDF" w:rsidRPr="006913FF">
        <w:rPr>
          <w:color w:val="0F1115"/>
          <w:sz w:val="18"/>
          <w:lang w:eastAsia="ru-RU"/>
        </w:rPr>
        <w:t> </w:t>
      </w:r>
      <w:r w:rsidR="00C60BDF" w:rsidRPr="006913FF">
        <w:rPr>
          <w:color w:val="0F1115"/>
          <w:sz w:val="18"/>
          <w:lang w:val="en-US" w:eastAsia="ru-RU"/>
        </w:rPr>
        <w:t>valued at $250,000 each occurrence. Food processing applications realize contaminant detection levels of 0.1 ppm with a high specificity of</w:t>
      </w:r>
      <w:r w:rsidR="00C60BDF" w:rsidRPr="006913FF">
        <w:rPr>
          <w:color w:val="0F1115"/>
          <w:sz w:val="18"/>
          <w:lang w:eastAsia="ru-RU"/>
        </w:rPr>
        <w:t> </w:t>
      </w:r>
      <w:r w:rsidR="00C60BDF" w:rsidRPr="006913FF">
        <w:rPr>
          <w:color w:val="0F1115"/>
          <w:sz w:val="18"/>
          <w:lang w:val="en-US" w:eastAsia="ru-RU"/>
        </w:rPr>
        <w:t>99.9%, helping to decrease costly product withdrawals. The combined analysis platform diminishes the analytical time from hours to seconds and offers a better accuracy of 42-68% than traditional lab methods enabling process industries</w:t>
      </w:r>
      <w:r w:rsidR="00C60BDF" w:rsidRPr="006913FF">
        <w:rPr>
          <w:color w:val="0F1115"/>
          <w:sz w:val="18"/>
          <w:lang w:eastAsia="ru-RU"/>
        </w:rPr>
        <w:t> </w:t>
      </w:r>
      <w:r w:rsidR="00C60BDF" w:rsidRPr="006913FF">
        <w:rPr>
          <w:color w:val="0F1115"/>
          <w:sz w:val="18"/>
          <w:lang w:val="en-US" w:eastAsia="ru-RU"/>
        </w:rPr>
        <w:t>to be more well-prepared for being part of Industry 4.0 by integrating digital twin or predictive procedure control</w:t>
      </w:r>
      <w:r w:rsidRPr="006913FF">
        <w:rPr>
          <w:color w:val="0F1115"/>
          <w:sz w:val="18"/>
          <w:lang w:val="en-US" w:eastAsia="ru-RU"/>
        </w:rPr>
        <w:t>.</w:t>
      </w:r>
    </w:p>
    <w:p w14:paraId="6E584266" w14:textId="70F84251" w:rsidR="009B6180" w:rsidRPr="006913FF" w:rsidRDefault="009B6180" w:rsidP="002658E6">
      <w:pPr>
        <w:shd w:val="clear" w:color="auto" w:fill="FFFFFF"/>
        <w:spacing w:before="360" w:after="360"/>
        <w:ind w:left="289" w:right="289"/>
        <w:jc w:val="both"/>
        <w:rPr>
          <w:color w:val="0F1115"/>
          <w:sz w:val="18"/>
          <w:lang w:val="en-US" w:eastAsia="ru-RU"/>
        </w:rPr>
      </w:pPr>
      <w:r w:rsidRPr="006913FF">
        <w:rPr>
          <w:b/>
          <w:bCs/>
          <w:color w:val="0F1115"/>
          <w:sz w:val="18"/>
          <w:lang w:val="en-US" w:eastAsia="ru-RU"/>
        </w:rPr>
        <w:t>Keywords:</w:t>
      </w:r>
      <w:r w:rsidRPr="006913FF">
        <w:rPr>
          <w:color w:val="0F1115"/>
          <w:sz w:val="18"/>
          <w:lang w:val="en-US" w:eastAsia="ru-RU"/>
        </w:rPr>
        <w:t> </w:t>
      </w:r>
      <w:r w:rsidR="00C60BDF" w:rsidRPr="006913FF">
        <w:rPr>
          <w:color w:val="0F1115"/>
          <w:sz w:val="18"/>
          <w:lang w:val="en-US" w:eastAsia="ru-RU"/>
        </w:rPr>
        <w:t>process analytical technology, spectroscopy, chromatography, real-time monitoring, process optimization, Industry 4.0, machine learning</w:t>
      </w:r>
    </w:p>
    <w:p w14:paraId="4AF84847" w14:textId="77777777" w:rsidR="002658E6" w:rsidRPr="006913FF" w:rsidRDefault="0071786C" w:rsidP="0071786C">
      <w:pPr>
        <w:shd w:val="clear" w:color="auto" w:fill="FFFFFF"/>
        <w:spacing w:before="240" w:after="240"/>
        <w:jc w:val="center"/>
        <w:rPr>
          <w:b/>
          <w:bCs/>
          <w:color w:val="0F1115"/>
          <w:sz w:val="24"/>
          <w:lang w:val="en-US" w:eastAsia="ru-RU"/>
        </w:rPr>
      </w:pPr>
      <w:r w:rsidRPr="006913FF">
        <w:rPr>
          <w:b/>
          <w:bCs/>
          <w:color w:val="0F1115"/>
          <w:sz w:val="24"/>
          <w:lang w:val="en-US" w:eastAsia="ru-RU"/>
        </w:rPr>
        <w:t>INTRODUCTION</w:t>
      </w:r>
    </w:p>
    <w:p w14:paraId="0DCCDF53" w14:textId="77777777" w:rsidR="00C60BDF" w:rsidRPr="006913FF" w:rsidRDefault="00C60BDF" w:rsidP="0060373E">
      <w:pPr>
        <w:shd w:val="clear" w:color="auto" w:fill="FFFFFF"/>
        <w:ind w:firstLine="284"/>
        <w:jc w:val="both"/>
        <w:rPr>
          <w:color w:val="0F1115"/>
          <w:lang w:val="en-US" w:eastAsia="ru-RU"/>
        </w:rPr>
      </w:pPr>
      <w:r w:rsidRPr="006913FF">
        <w:rPr>
          <w:color w:val="0F1115"/>
          <w:lang w:val="en-US" w:eastAsia="ru-RU"/>
        </w:rPr>
        <w:t>Physical n2hemical analysis of industrial processes has transformed from off-line laboratory-based testing to on-line integration and monitoring control systems, thus, facilitating proactive</w:t>
      </w:r>
      <w:r w:rsidRPr="006913FF">
        <w:rPr>
          <w:color w:val="0F1115"/>
          <w:lang w:eastAsia="ru-RU"/>
        </w:rPr>
        <w:t> </w:t>
      </w:r>
      <w:r w:rsidRPr="006913FF">
        <w:rPr>
          <w:color w:val="0F1115"/>
          <w:lang w:val="en-US" w:eastAsia="ru-RU"/>
        </w:rPr>
        <w:t xml:space="preserve">process </w:t>
      </w:r>
      <w:proofErr w:type="spellStart"/>
      <w:r w:rsidRPr="006913FF">
        <w:rPr>
          <w:color w:val="0F1115"/>
          <w:lang w:val="en-US" w:eastAsia="ru-RU"/>
        </w:rPr>
        <w:t>optimisation</w:t>
      </w:r>
      <w:proofErr w:type="spellEnd"/>
      <w:r w:rsidRPr="006913FF">
        <w:rPr>
          <w:color w:val="0F1115"/>
          <w:lang w:val="en-US" w:eastAsia="ru-RU"/>
        </w:rPr>
        <w:t xml:space="preserve"> and control. PAT Market is Worth $8.9 Billion by 2027 – New Industry Data PAT (process analytical technology) for pharmaceutical manufacturing, efficiency in the petrochemical sector and quality assurance for food processing are features driving a $2 billion increase</w:t>
      </w:r>
      <w:r w:rsidRPr="006913FF">
        <w:rPr>
          <w:color w:val="0F1115"/>
          <w:lang w:eastAsia="ru-RU"/>
        </w:rPr>
        <w:t> </w:t>
      </w:r>
      <w:r w:rsidRPr="006913FF">
        <w:rPr>
          <w:color w:val="0F1115"/>
          <w:lang w:val="en-US" w:eastAsia="ru-RU"/>
        </w:rPr>
        <w:t xml:space="preserve">according to Global Industry Analysts. </w:t>
      </w:r>
      <w:proofErr w:type="spellStart"/>
      <w:r w:rsidRPr="006913FF">
        <w:rPr>
          <w:color w:val="0F1115"/>
          <w:lang w:val="en-US" w:eastAsia="ru-RU"/>
        </w:rPr>
        <w:t>Conventianal</w:t>
      </w:r>
      <w:proofErr w:type="spellEnd"/>
      <w:r w:rsidRPr="006913FF">
        <w:rPr>
          <w:color w:val="0F1115"/>
          <w:lang w:val="en-US" w:eastAsia="ru-RU"/>
        </w:rPr>
        <w:t xml:space="preserve"> analytically</w:t>
      </w:r>
      <w:r w:rsidRPr="006913FF">
        <w:rPr>
          <w:color w:val="0F1115"/>
          <w:lang w:eastAsia="ru-RU"/>
        </w:rPr>
        <w:t> </w:t>
      </w:r>
      <w:r w:rsidRPr="006913FF">
        <w:rPr>
          <w:color w:val="0F1115"/>
          <w:lang w:val="en-US" w:eastAsia="ru-RU"/>
        </w:rPr>
        <w:t>based control leads to huge delays between sampling, analysis and adjust the process due to inferior operation or bad product. Contemporary PAT systems combine state-of-the-art analytical instruments with datamining</w:t>
      </w:r>
      <w:r w:rsidRPr="006913FF">
        <w:rPr>
          <w:color w:val="0F1115"/>
          <w:lang w:eastAsia="ru-RU"/>
        </w:rPr>
        <w:t> </w:t>
      </w:r>
      <w:r w:rsidRPr="006913FF">
        <w:rPr>
          <w:color w:val="0F1115"/>
          <w:lang w:val="en-US" w:eastAsia="ru-RU"/>
        </w:rPr>
        <w:t>and real-time control technology to deliver close-loop optimization capabilities [1-2].</w:t>
      </w:r>
    </w:p>
    <w:p w14:paraId="511A8C1C" w14:textId="298BB6E8" w:rsidR="009B6180" w:rsidRPr="006913FF" w:rsidRDefault="00C60BDF" w:rsidP="0060373E">
      <w:pPr>
        <w:shd w:val="clear" w:color="auto" w:fill="FFFFFF"/>
        <w:ind w:firstLine="284"/>
        <w:jc w:val="both"/>
        <w:rPr>
          <w:color w:val="0F1115"/>
          <w:lang w:val="en-US" w:eastAsia="ru-RU"/>
        </w:rPr>
      </w:pPr>
      <w:r w:rsidRPr="006913FF">
        <w:rPr>
          <w:color w:val="0F1115"/>
          <w:lang w:val="en-US" w:eastAsia="ru-RU"/>
        </w:rPr>
        <w:lastRenderedPageBreak/>
        <w:t>This project will address long standing challenges in industrial process analysis through the construction of</w:t>
      </w:r>
      <w:r w:rsidRPr="006913FF">
        <w:rPr>
          <w:color w:val="0F1115"/>
          <w:lang w:eastAsia="ru-RU"/>
        </w:rPr>
        <w:t> </w:t>
      </w:r>
      <w:r w:rsidRPr="006913FF">
        <w:rPr>
          <w:color w:val="0F1115"/>
          <w:lang w:val="en-US" w:eastAsia="ru-RU"/>
        </w:rPr>
        <w:t>a multifunctional analytical system comprising multiple orthogonal technologies with advanced data analytics. The work is guided by three typical industrial application cases, which are</w:t>
      </w:r>
      <w:r w:rsidRPr="006913FF">
        <w:rPr>
          <w:color w:val="0F1115"/>
          <w:lang w:eastAsia="ru-RU"/>
        </w:rPr>
        <w:t> </w:t>
      </w:r>
      <w:r w:rsidRPr="006913FF">
        <w:rPr>
          <w:color w:val="0F1115"/>
          <w:lang w:val="en-US" w:eastAsia="ru-RU"/>
        </w:rPr>
        <w:t>selected to cover various physical-chemical analysis needs (e.g., petrochemical refining - complex hydrocarbon mixture and catalyst monitoring; pharmaceutical manufacturing -polymorph detection and reaction monitoring; and food industry - contaminant detection and quality control). Standardized methodologies for data integration, calibration transfer among instruments and real time analytics are developed</w:t>
      </w:r>
      <w:r w:rsidRPr="006913FF">
        <w:rPr>
          <w:color w:val="0F1115"/>
          <w:lang w:eastAsia="ru-RU"/>
        </w:rPr>
        <w:t> </w:t>
      </w:r>
      <w:r w:rsidRPr="006913FF">
        <w:rPr>
          <w:color w:val="0F1115"/>
          <w:lang w:val="en-US" w:eastAsia="ru-RU"/>
        </w:rPr>
        <w:t>, allowing the translation of PAT to multiple industrial areas. An</w:t>
      </w:r>
      <w:r w:rsidRPr="006913FF">
        <w:rPr>
          <w:color w:val="0F1115"/>
          <w:lang w:eastAsia="ru-RU"/>
        </w:rPr>
        <w:t> </w:t>
      </w:r>
      <w:r w:rsidRPr="006913FF">
        <w:rPr>
          <w:color w:val="0F1115"/>
          <w:lang w:val="en-US" w:eastAsia="ru-RU"/>
        </w:rPr>
        <w:t>industrial combustion process such as incinerators has been considered in the validations, giving some insight into the practical challenges and economic gain of a full industrial scale implementation.</w:t>
      </w:r>
    </w:p>
    <w:p w14:paraId="027DED43" w14:textId="77777777" w:rsidR="002658E6" w:rsidRPr="006913FF" w:rsidRDefault="0071786C" w:rsidP="0071786C">
      <w:pPr>
        <w:shd w:val="clear" w:color="auto" w:fill="FFFFFF"/>
        <w:spacing w:before="240" w:after="240"/>
        <w:jc w:val="center"/>
        <w:rPr>
          <w:b/>
          <w:bCs/>
          <w:color w:val="0F1115"/>
          <w:sz w:val="24"/>
          <w:lang w:val="en-US" w:eastAsia="ru-RU"/>
        </w:rPr>
      </w:pPr>
      <w:r w:rsidRPr="006913FF">
        <w:rPr>
          <w:b/>
          <w:bCs/>
          <w:color w:val="0F1115"/>
          <w:sz w:val="24"/>
          <w:lang w:val="en-US" w:eastAsia="ru-RU"/>
        </w:rPr>
        <w:t>ANALYTICAL PLATFORM DEVELOPMENT</w:t>
      </w:r>
    </w:p>
    <w:p w14:paraId="4FC7EBFD" w14:textId="3F2FFB59" w:rsidR="004B780F" w:rsidRPr="006913FF" w:rsidRDefault="004B780F" w:rsidP="0077374A">
      <w:pPr>
        <w:shd w:val="clear" w:color="auto" w:fill="FFFFFF"/>
        <w:ind w:firstLine="284"/>
        <w:jc w:val="both"/>
        <w:rPr>
          <w:bCs/>
          <w:color w:val="0F1115"/>
          <w:lang w:val="en-US" w:eastAsia="ru-RU"/>
        </w:rPr>
      </w:pPr>
      <w:r w:rsidRPr="006913FF">
        <w:rPr>
          <w:bCs/>
          <w:color w:val="0F1115"/>
          <w:lang w:val="en-US" w:eastAsia="ru-RU"/>
        </w:rPr>
        <w:t>Advance thinking</w:t>
      </w:r>
      <w:r w:rsidRPr="006913FF">
        <w:rPr>
          <w:bCs/>
          <w:color w:val="0F1115"/>
          <w:lang w:eastAsia="ru-RU"/>
        </w:rPr>
        <w:t> </w:t>
      </w:r>
      <w:r w:rsidRPr="006913FF">
        <w:rPr>
          <w:bCs/>
          <w:color w:val="0F1115"/>
          <w:lang w:val="en-US" w:eastAsia="ru-RU"/>
        </w:rPr>
        <w:t xml:space="preserve">A full portfolio of advanced analytical instrumentation was combined for the various needs in petrochemical, pharmaceutical and food processing </w:t>
      </w:r>
      <w:proofErr w:type="spellStart"/>
      <w:r w:rsidRPr="006913FF">
        <w:rPr>
          <w:bCs/>
          <w:color w:val="0F1115"/>
          <w:lang w:val="en-US" w:eastAsia="ru-RU"/>
        </w:rPr>
        <w:t>analyse</w:t>
      </w:r>
      <w:proofErr w:type="spellEnd"/>
      <w:r w:rsidRPr="006913FF">
        <w:rPr>
          <w:bCs/>
          <w:color w:val="0F1115"/>
          <w:lang w:val="en-US" w:eastAsia="ru-RU"/>
        </w:rPr>
        <w:t>. The spectroscopic core comprised a Fourier-Transform Infrared Quantum</w:t>
      </w:r>
      <w:r w:rsidRPr="006913FF">
        <w:rPr>
          <w:bCs/>
          <w:color w:val="0F1115"/>
          <w:lang w:eastAsia="ru-RU"/>
        </w:rPr>
        <w:t> </w:t>
      </w:r>
      <w:r w:rsidRPr="006913FF">
        <w:rPr>
          <w:bCs/>
          <w:color w:val="0F1115"/>
          <w:lang w:val="en-US" w:eastAsia="ru-RU"/>
        </w:rPr>
        <w:t>Cascade Laser (FTIR-QCL) system in the mid-infrared range (700-4000 cm⁻¹)) with spectral resolution of 0.5 cm⁻¹ and fast scan rate of 100 spectra/second. This setup was connected to a home-made, high-pressure and high temperature flow cell that</w:t>
      </w:r>
      <w:r w:rsidRPr="006913FF">
        <w:rPr>
          <w:bCs/>
          <w:color w:val="0F1115"/>
          <w:lang w:eastAsia="ru-RU"/>
        </w:rPr>
        <w:t> </w:t>
      </w:r>
      <w:r w:rsidRPr="006913FF">
        <w:rPr>
          <w:bCs/>
          <w:color w:val="0F1115"/>
          <w:lang w:val="en-US" w:eastAsia="ru-RU"/>
        </w:rPr>
        <w:t xml:space="preserve">can be used at up to 400 °C and 200 bar. Raman systems (Ex 785 nm, range 100-3200 cm⁻¹, </w:t>
      </w:r>
      <w:r w:rsidR="00D31045" w:rsidRPr="006913FF">
        <w:rPr>
          <w:bCs/>
          <w:color w:val="0F1115"/>
          <w:lang w:val="en-US" w:eastAsia="ru-RU"/>
        </w:rPr>
        <w:t>resold</w:t>
      </w:r>
      <w:r w:rsidRPr="006913FF">
        <w:rPr>
          <w:bCs/>
          <w:color w:val="0F1115"/>
          <w:lang w:val="en-US" w:eastAsia="ru-RU"/>
        </w:rPr>
        <w:t>. 4 cm⁻¹) were used for surface anal.; Spatially Offset Raman Spectroscopy (SORS), Non-invasive sub-surface probing to a depth of up to 5 mm; and Transmission Raman Spectroscopy (TRS)</w:t>
      </w:r>
      <w:r w:rsidRPr="006913FF">
        <w:rPr>
          <w:bCs/>
          <w:color w:val="0F1115"/>
          <w:lang w:eastAsia="ru-RU"/>
        </w:rPr>
        <w:t> </w:t>
      </w:r>
      <w:r w:rsidRPr="006913FF">
        <w:rPr>
          <w:bCs/>
          <w:color w:val="0F1115"/>
          <w:lang w:val="en-US" w:eastAsia="ru-RU"/>
        </w:rPr>
        <w:t>Bulk comp</w:t>
      </w:r>
      <w:r w:rsidR="00D31045" w:rsidRPr="006913FF">
        <w:rPr>
          <w:bCs/>
          <w:color w:val="0F1115"/>
          <w:lang w:val="en-US" w:eastAsia="ru-RU"/>
        </w:rPr>
        <w:t>-</w:t>
      </w:r>
      <w:r w:rsidRPr="006913FF">
        <w:rPr>
          <w:bCs/>
          <w:color w:val="0F1115"/>
          <w:lang w:val="en-US" w:eastAsia="ru-RU"/>
        </w:rPr>
        <w:t>analysis of pharma</w:t>
      </w:r>
      <w:r w:rsidR="00D31045" w:rsidRPr="006913FF">
        <w:rPr>
          <w:bCs/>
          <w:color w:val="0F1115"/>
          <w:lang w:val="en-US" w:eastAsia="ru-RU"/>
        </w:rPr>
        <w:t>-</w:t>
      </w:r>
      <w:r w:rsidRPr="006913FF">
        <w:rPr>
          <w:bCs/>
          <w:color w:val="0F1115"/>
          <w:lang w:val="en-US" w:eastAsia="ru-RU"/>
        </w:rPr>
        <w:t>tablets. The real-time analysis of gasses was accomplished with a Process Mass Spectrometer, which employed electron impact ionization for continuous monitoring (to 1-500 amu/mass range) at 100 amu/second scan</w:t>
      </w:r>
      <w:r w:rsidRPr="006913FF">
        <w:rPr>
          <w:bCs/>
          <w:color w:val="0F1115"/>
          <w:lang w:eastAsia="ru-RU"/>
        </w:rPr>
        <w:t> </w:t>
      </w:r>
      <w:r w:rsidRPr="006913FF">
        <w:rPr>
          <w:bCs/>
          <w:color w:val="0F1115"/>
          <w:lang w:val="en-US" w:eastAsia="ru-RU"/>
        </w:rPr>
        <w:t>frequency through multiplexed sampling from as many as 16 different process points [3].</w:t>
      </w:r>
    </w:p>
    <w:p w14:paraId="1A99297F" w14:textId="6C5981EB" w:rsidR="004B780F" w:rsidRPr="006913FF" w:rsidRDefault="004B780F" w:rsidP="0077374A">
      <w:pPr>
        <w:shd w:val="clear" w:color="auto" w:fill="FFFFFF"/>
        <w:ind w:firstLine="284"/>
        <w:jc w:val="both"/>
        <w:rPr>
          <w:bCs/>
          <w:color w:val="0F1115"/>
          <w:lang w:val="en-US" w:eastAsia="ru-RU"/>
        </w:rPr>
      </w:pPr>
      <w:r w:rsidRPr="006913FF">
        <w:rPr>
          <w:bCs/>
          <w:color w:val="0F1115"/>
          <w:lang w:val="en-US" w:eastAsia="ru-RU"/>
        </w:rPr>
        <w:t>Chromatographic capabilities were equally robust. Gas Chromatography with Vacuum Ultraviolet (GC-VUV) detection</w:t>
      </w:r>
      <w:r w:rsidRPr="006913FF">
        <w:rPr>
          <w:bCs/>
          <w:color w:val="0F1115"/>
          <w:lang w:eastAsia="ru-RU"/>
        </w:rPr>
        <w:t> </w:t>
      </w:r>
      <w:r w:rsidRPr="006913FF">
        <w:rPr>
          <w:bCs/>
          <w:color w:val="0F1115"/>
          <w:lang w:val="en-US" w:eastAsia="ru-RU"/>
        </w:rPr>
        <w:t>provided a universal hydrocarbon detectability with compound specific spectral characteristics in the 115-240 nm window. For the most complicated mixtures, comprehensive (</w:t>
      </w:r>
      <w:proofErr w:type="spellStart"/>
      <w:r w:rsidRPr="006913FF">
        <w:rPr>
          <w:bCs/>
          <w:color w:val="0F1115"/>
          <w:lang w:val="en-US" w:eastAsia="ru-RU"/>
        </w:rPr>
        <w:t>GCxGC</w:t>
      </w:r>
      <w:proofErr w:type="spellEnd"/>
      <w:r w:rsidRPr="006913FF">
        <w:rPr>
          <w:bCs/>
          <w:color w:val="0F1115"/>
          <w:lang w:val="en-US" w:eastAsia="ru-RU"/>
        </w:rPr>
        <w:t>) was used up to a peak</w:t>
      </w:r>
      <w:r w:rsidRPr="006913FF">
        <w:rPr>
          <w:bCs/>
          <w:color w:val="0F1115"/>
          <w:lang w:eastAsia="ru-RU"/>
        </w:rPr>
        <w:t> </w:t>
      </w:r>
      <w:r w:rsidRPr="006913FF">
        <w:rPr>
          <w:bCs/>
          <w:color w:val="0F1115"/>
          <w:lang w:val="en-US" w:eastAsia="ru-RU"/>
        </w:rPr>
        <w:t>capacity of over 10,000. Drug applications were facilitated by Ultra High-Performance Liquid Chromatography</w:t>
      </w:r>
      <w:r w:rsidRPr="006913FF">
        <w:rPr>
          <w:bCs/>
          <w:color w:val="0F1115"/>
          <w:lang w:eastAsia="ru-RU"/>
        </w:rPr>
        <w:t> </w:t>
      </w:r>
      <w:r w:rsidRPr="006913FF">
        <w:rPr>
          <w:bCs/>
          <w:color w:val="0F1115"/>
          <w:lang w:val="en-US" w:eastAsia="ru-RU"/>
        </w:rPr>
        <w:t>(HPLC) systems connected to photodiode array and mass detection. The samples were analyzed by DSC to determine</w:t>
      </w:r>
      <w:r w:rsidRPr="006913FF">
        <w:rPr>
          <w:bCs/>
          <w:color w:val="0F1115"/>
          <w:lang w:eastAsia="ru-RU"/>
        </w:rPr>
        <w:t> </w:t>
      </w:r>
      <w:r w:rsidRPr="006913FF">
        <w:rPr>
          <w:bCs/>
          <w:color w:val="0F1115"/>
          <w:lang w:val="en-US" w:eastAsia="ru-RU"/>
        </w:rPr>
        <w:t xml:space="preserve">the </w:t>
      </w:r>
      <w:proofErr w:type="spellStart"/>
      <w:r w:rsidRPr="006913FF">
        <w:rPr>
          <w:bCs/>
          <w:color w:val="0F1115"/>
          <w:lang w:val="en-US" w:eastAsia="ru-RU"/>
        </w:rPr>
        <w:t>Tg</w:t>
      </w:r>
      <w:proofErr w:type="spellEnd"/>
      <w:r w:rsidRPr="006913FF">
        <w:rPr>
          <w:bCs/>
          <w:color w:val="0F1115"/>
          <w:lang w:val="en-US" w:eastAsia="ru-RU"/>
        </w:rPr>
        <w:t xml:space="preserve"> (using a modified with flow-thru cells for process stream analysis) and in the TGA-MS for evolved gas analysis [4].</w:t>
      </w:r>
    </w:p>
    <w:p w14:paraId="25F392ED" w14:textId="77777777" w:rsidR="004B780F" w:rsidRPr="006913FF" w:rsidRDefault="004B780F" w:rsidP="0077374A">
      <w:pPr>
        <w:shd w:val="clear" w:color="auto" w:fill="FFFFFF"/>
        <w:ind w:firstLine="284"/>
        <w:jc w:val="both"/>
        <w:rPr>
          <w:bCs/>
          <w:color w:val="0F1115"/>
          <w:lang w:val="en-US" w:eastAsia="ru-RU"/>
        </w:rPr>
      </w:pPr>
      <w:r w:rsidRPr="006913FF">
        <w:rPr>
          <w:bCs/>
          <w:color w:val="0F1115"/>
          <w:lang w:val="en-US" w:eastAsia="ru-RU"/>
        </w:rPr>
        <w:t>Durable,</w:t>
      </w:r>
      <w:r w:rsidRPr="006913FF">
        <w:rPr>
          <w:bCs/>
          <w:color w:val="0F1115"/>
          <w:lang w:eastAsia="ru-RU"/>
        </w:rPr>
        <w:t> </w:t>
      </w:r>
      <w:r w:rsidRPr="006913FF">
        <w:rPr>
          <w:bCs/>
          <w:color w:val="0F1115"/>
          <w:lang w:val="en-US" w:eastAsia="ru-RU"/>
        </w:rPr>
        <w:t xml:space="preserve">application-specific sampling interfaces were also necessary for the preservation of valid sample data. For petrochemical applications, filters were integrated which can resist high temperatures and pressure levels (ceramic filing grade 0.5 </w:t>
      </w:r>
      <w:r w:rsidRPr="006913FF">
        <w:rPr>
          <w:bCs/>
          <w:color w:val="0F1115"/>
          <w:lang w:eastAsia="ru-RU"/>
        </w:rPr>
        <w:t>μ</w:t>
      </w:r>
      <w:r w:rsidRPr="006913FF">
        <w:rPr>
          <w:bCs/>
          <w:color w:val="0F1115"/>
          <w:lang w:val="en-US" w:eastAsia="ru-RU"/>
        </w:rPr>
        <w:t>m) for the specific</w:t>
      </w:r>
      <w:r w:rsidRPr="006913FF">
        <w:rPr>
          <w:bCs/>
          <w:color w:val="0F1115"/>
          <w:lang w:eastAsia="ru-RU"/>
        </w:rPr>
        <w:t> </w:t>
      </w:r>
      <w:r w:rsidRPr="006913FF">
        <w:rPr>
          <w:bCs/>
          <w:color w:val="0F1115"/>
          <w:lang w:val="en-US" w:eastAsia="ru-RU"/>
        </w:rPr>
        <w:t>- particulate separation and multiple cooling stages. For pharmaceutical applications, the sampling had to be aseptic with CIP and SIP possibility</w:t>
      </w:r>
      <w:r w:rsidRPr="006913FF">
        <w:rPr>
          <w:bCs/>
          <w:color w:val="0F1115"/>
          <w:lang w:eastAsia="ru-RU"/>
        </w:rPr>
        <w:t> </w:t>
      </w:r>
      <w:r w:rsidRPr="006913FF">
        <w:rPr>
          <w:bCs/>
          <w:color w:val="0F1115"/>
          <w:lang w:val="en-US" w:eastAsia="ru-RU"/>
        </w:rPr>
        <w:t>which guarantees sterility. In food industry, preference was given to non-contact optical sampling (e.g., for NIR and Raman if applicable) where possible; and automatic cleaning cycles were included in the contact probes in order to</w:t>
      </w:r>
      <w:r w:rsidRPr="006913FF">
        <w:rPr>
          <w:bCs/>
          <w:color w:val="0F1115"/>
          <w:lang w:eastAsia="ru-RU"/>
        </w:rPr>
        <w:t> </w:t>
      </w:r>
      <w:r w:rsidRPr="006913FF">
        <w:rPr>
          <w:bCs/>
          <w:color w:val="0F1115"/>
          <w:lang w:val="en-US" w:eastAsia="ru-RU"/>
        </w:rPr>
        <w:t>avoid cross-contamination and biofilm formation.</w:t>
      </w:r>
    </w:p>
    <w:p w14:paraId="0063DB83" w14:textId="083789E2" w:rsidR="004B780F" w:rsidRPr="006913FF" w:rsidRDefault="004B780F" w:rsidP="0077374A">
      <w:pPr>
        <w:shd w:val="clear" w:color="auto" w:fill="FFFFFF"/>
        <w:ind w:firstLine="284"/>
        <w:jc w:val="both"/>
        <w:rPr>
          <w:bCs/>
          <w:color w:val="0F1115"/>
          <w:lang w:val="en-US" w:eastAsia="ru-RU"/>
        </w:rPr>
      </w:pPr>
      <w:r w:rsidRPr="006913FF">
        <w:rPr>
          <w:bCs/>
          <w:color w:val="0F1115"/>
          <w:lang w:val="en-US" w:eastAsia="ru-RU"/>
        </w:rPr>
        <w:t>Data</w:t>
      </w:r>
      <w:r w:rsidRPr="006913FF">
        <w:rPr>
          <w:bCs/>
          <w:color w:val="0F1115"/>
          <w:lang w:eastAsia="ru-RU"/>
        </w:rPr>
        <w:t> </w:t>
      </w:r>
      <w:r w:rsidRPr="006913FF">
        <w:rPr>
          <w:bCs/>
          <w:color w:val="0F1115"/>
          <w:lang w:val="en-US" w:eastAsia="ru-RU"/>
        </w:rPr>
        <w:t>lifecycle was coordinated by one software architecture. Real-time data collection employed communication via the secure and standardized</w:t>
      </w:r>
      <w:r w:rsidRPr="006913FF">
        <w:rPr>
          <w:bCs/>
          <w:color w:val="0F1115"/>
          <w:lang w:eastAsia="ru-RU"/>
        </w:rPr>
        <w:t> </w:t>
      </w:r>
      <w:r w:rsidRPr="006913FF">
        <w:rPr>
          <w:bCs/>
          <w:color w:val="0F1115"/>
          <w:lang w:val="en-US" w:eastAsia="ru-RU"/>
        </w:rPr>
        <w:t>OPC UA protocol, with dynamic sampling rates ranging between 1-100 Hz according to the analytical technique. The acquired data, and specifically large spectral and chromatographic files, were</w:t>
      </w:r>
      <w:r w:rsidRPr="006913FF">
        <w:rPr>
          <w:bCs/>
          <w:color w:val="0F1115"/>
          <w:lang w:eastAsia="ru-RU"/>
        </w:rPr>
        <w:t> </w:t>
      </w:r>
      <w:r w:rsidRPr="006913FF">
        <w:rPr>
          <w:bCs/>
          <w:color w:val="0F1115"/>
          <w:lang w:val="en-US" w:eastAsia="ru-RU"/>
        </w:rPr>
        <w:t>stored within a custom-built time series database using efficient compression techniques. The calibration of the instruments was automated</w:t>
      </w:r>
      <w:r w:rsidRPr="006913FF">
        <w:rPr>
          <w:bCs/>
          <w:color w:val="0F1115"/>
          <w:lang w:eastAsia="ru-RU"/>
        </w:rPr>
        <w:t> </w:t>
      </w:r>
      <w:r w:rsidRPr="006913FF">
        <w:rPr>
          <w:bCs/>
          <w:color w:val="0F1115"/>
          <w:lang w:val="en-US" w:eastAsia="ru-RU"/>
        </w:rPr>
        <w:t>and transferred between instruments of the same model during the analysis.</w:t>
      </w:r>
    </w:p>
    <w:p w14:paraId="21BF3BAB" w14:textId="2F3FE951" w:rsidR="009B6180" w:rsidRPr="006913FF" w:rsidRDefault="004B780F" w:rsidP="0077374A">
      <w:pPr>
        <w:shd w:val="clear" w:color="auto" w:fill="FFFFFF"/>
        <w:ind w:firstLine="284"/>
        <w:jc w:val="both"/>
        <w:rPr>
          <w:color w:val="0F1115"/>
          <w:lang w:val="en-US" w:eastAsia="ru-RU"/>
        </w:rPr>
      </w:pPr>
      <w:r w:rsidRPr="006913FF">
        <w:rPr>
          <w:bCs/>
          <w:color w:val="0F1115"/>
          <w:lang w:val="en-US" w:eastAsia="ru-RU"/>
        </w:rPr>
        <w:t>Sophisticated machine learning software served as the analysis</w:t>
      </w:r>
      <w:r w:rsidRPr="006913FF">
        <w:rPr>
          <w:bCs/>
          <w:color w:val="0F1115"/>
          <w:lang w:eastAsia="ru-RU"/>
        </w:rPr>
        <w:t> </w:t>
      </w:r>
      <w:r w:rsidRPr="006913FF">
        <w:rPr>
          <w:bCs/>
          <w:color w:val="0F1115"/>
          <w:lang w:val="en-US" w:eastAsia="ru-RU"/>
        </w:rPr>
        <w:t>engine. Spectral analysis employed a 5-layer CNN (kernel sizes ranging from 3×3 to 7×7), including one max-pooling and three</w:t>
      </w:r>
      <w:r w:rsidRPr="006913FF">
        <w:rPr>
          <w:bCs/>
          <w:color w:val="0F1115"/>
          <w:lang w:eastAsia="ru-RU"/>
        </w:rPr>
        <w:t> </w:t>
      </w:r>
      <w:r w:rsidRPr="006913FF">
        <w:rPr>
          <w:bCs/>
          <w:color w:val="0F1115"/>
          <w:lang w:val="en-US" w:eastAsia="ru-RU"/>
        </w:rPr>
        <w:t>fully connected layers, for the pattern recognition and quantification. Process prediction and trend</w:t>
      </w:r>
      <w:r w:rsidRPr="006913FF">
        <w:rPr>
          <w:bCs/>
          <w:color w:val="0F1115"/>
          <w:lang w:eastAsia="ru-RU"/>
        </w:rPr>
        <w:t> </w:t>
      </w:r>
      <w:r w:rsidRPr="006913FF">
        <w:rPr>
          <w:bCs/>
          <w:color w:val="0F1115"/>
          <w:lang w:val="en-US" w:eastAsia="ru-RU"/>
        </w:rPr>
        <w:t>analysis was also conducted with the use of LSTMs, which had 128 memory cells to encode temporal dependencies. For quantitative modelling, PLS (Partial Least Squares)</w:t>
      </w:r>
      <w:r w:rsidRPr="006913FF">
        <w:rPr>
          <w:bCs/>
          <w:color w:val="0F1115"/>
          <w:lang w:eastAsia="ru-RU"/>
        </w:rPr>
        <w:t> </w:t>
      </w:r>
      <w:r w:rsidRPr="006913FF">
        <w:rPr>
          <w:bCs/>
          <w:color w:val="0F1115"/>
          <w:lang w:val="en-US" w:eastAsia="ru-RU"/>
        </w:rPr>
        <w:t>regression combined with genetic algorithms for best set selection was used. One-Class SVM and deep learning autoencoders were used for</w:t>
      </w:r>
      <w:r w:rsidRPr="006913FF">
        <w:rPr>
          <w:bCs/>
          <w:color w:val="0F1115"/>
          <w:lang w:eastAsia="ru-RU"/>
        </w:rPr>
        <w:t> </w:t>
      </w:r>
      <w:r w:rsidRPr="006913FF">
        <w:rPr>
          <w:bCs/>
          <w:color w:val="0F1115"/>
          <w:lang w:val="en-US" w:eastAsia="ru-RU"/>
        </w:rPr>
        <w:t>anomaly detection, to detect process disturbances and quality issues in real time [5-7].</w:t>
      </w:r>
    </w:p>
    <w:p w14:paraId="4060D9AD" w14:textId="77777777" w:rsidR="002658E6" w:rsidRPr="006913FF" w:rsidRDefault="0071786C" w:rsidP="0071786C">
      <w:pPr>
        <w:shd w:val="clear" w:color="auto" w:fill="FFFFFF"/>
        <w:spacing w:before="240" w:after="240"/>
        <w:jc w:val="center"/>
        <w:rPr>
          <w:b/>
          <w:bCs/>
          <w:color w:val="0F1115"/>
          <w:sz w:val="24"/>
          <w:lang w:val="en-US" w:eastAsia="ru-RU"/>
        </w:rPr>
      </w:pPr>
      <w:r w:rsidRPr="006913FF">
        <w:rPr>
          <w:b/>
          <w:bCs/>
          <w:color w:val="0F1115"/>
          <w:sz w:val="24"/>
          <w:lang w:val="en-US" w:eastAsia="ru-RU"/>
        </w:rPr>
        <w:t>PETROCHEMICAL REFINING APPLICATIONS</w:t>
      </w:r>
    </w:p>
    <w:p w14:paraId="192A5F1F" w14:textId="77777777" w:rsidR="002B2A4A" w:rsidRPr="006913FF" w:rsidRDefault="002B2A4A" w:rsidP="0077374A">
      <w:pPr>
        <w:shd w:val="clear" w:color="auto" w:fill="FFFFFF"/>
        <w:ind w:firstLine="284"/>
        <w:jc w:val="both"/>
        <w:rPr>
          <w:color w:val="0F1115"/>
          <w:lang w:val="en-US" w:eastAsia="ru-RU"/>
        </w:rPr>
      </w:pPr>
      <w:r w:rsidRPr="006913FF">
        <w:rPr>
          <w:color w:val="0F1115"/>
          <w:lang w:val="en-US" w:eastAsia="ru-RU"/>
        </w:rPr>
        <w:t>To satisfy</w:t>
      </w:r>
      <w:r w:rsidRPr="006913FF">
        <w:rPr>
          <w:color w:val="0F1115"/>
          <w:lang w:eastAsia="ru-RU"/>
        </w:rPr>
        <w:t> </w:t>
      </w:r>
      <w:r w:rsidRPr="006913FF">
        <w:rPr>
          <w:color w:val="0F1115"/>
          <w:lang w:val="en-US" w:eastAsia="ru-RU"/>
        </w:rPr>
        <w:t>these needs, a 120,000-B/D FCCU was significantly instrumented. The</w:t>
      </w:r>
      <w:r w:rsidRPr="006913FF">
        <w:rPr>
          <w:color w:val="0F1115"/>
          <w:lang w:eastAsia="ru-RU"/>
        </w:rPr>
        <w:t> </w:t>
      </w:r>
      <w:r w:rsidRPr="006913FF">
        <w:rPr>
          <w:color w:val="0F1115"/>
          <w:lang w:val="en-US" w:eastAsia="ru-RU"/>
        </w:rPr>
        <w:t>FTIR-QCL system was located at the outlet of the reactor with six representative sampling points for on-line HC speciation. A process MS was allocated for on-line definition of the regenerator flue gas to monitor</w:t>
      </w:r>
      <w:r w:rsidRPr="006913FF">
        <w:rPr>
          <w:color w:val="0F1115"/>
          <w:lang w:eastAsia="ru-RU"/>
        </w:rPr>
        <w:t> </w:t>
      </w:r>
      <w:r w:rsidRPr="006913FF">
        <w:rPr>
          <w:color w:val="0F1115"/>
          <w:lang w:val="en-US" w:eastAsia="ru-RU"/>
        </w:rPr>
        <w:t>emission and combustion. A high-temperature Raman probe was placed into the catalyst recycle loop to directly track coke formation and catalyst integrity, while a GC-VUV</w:t>
      </w:r>
      <w:r w:rsidRPr="006913FF">
        <w:rPr>
          <w:color w:val="0F1115"/>
          <w:lang w:eastAsia="ru-RU"/>
        </w:rPr>
        <w:t> </w:t>
      </w:r>
      <w:r w:rsidRPr="006913FF">
        <w:rPr>
          <w:color w:val="0F1115"/>
          <w:lang w:val="en-US" w:eastAsia="ru-RU"/>
        </w:rPr>
        <w:t>apparatus allowed detailed liquid product analysis every 15 min.</w:t>
      </w:r>
    </w:p>
    <w:p w14:paraId="6B88AE67" w14:textId="77777777" w:rsidR="002B2A4A" w:rsidRPr="006913FF" w:rsidRDefault="002B2A4A" w:rsidP="0077374A">
      <w:pPr>
        <w:shd w:val="clear" w:color="auto" w:fill="FFFFFF"/>
        <w:ind w:firstLine="284"/>
        <w:jc w:val="both"/>
        <w:rPr>
          <w:color w:val="0F1115"/>
          <w:lang w:val="en-US" w:eastAsia="ru-RU"/>
        </w:rPr>
      </w:pPr>
      <w:r w:rsidRPr="006913FF">
        <w:rPr>
          <w:color w:val="0F1115"/>
          <w:lang w:val="en-US" w:eastAsia="ru-RU"/>
        </w:rPr>
        <w:t>The built-in analysis system</w:t>
      </w:r>
      <w:r w:rsidRPr="006913FF">
        <w:rPr>
          <w:color w:val="0F1115"/>
          <w:lang w:eastAsia="ru-RU"/>
        </w:rPr>
        <w:t> </w:t>
      </w:r>
      <w:r w:rsidRPr="006913FF">
        <w:rPr>
          <w:color w:val="0F1115"/>
          <w:lang w:val="en-US" w:eastAsia="ru-RU"/>
        </w:rPr>
        <w:t xml:space="preserve">provided accurate monitoring control. With respect to catalyst monitoring, the coke content estimation error was 0.12 </w:t>
      </w:r>
      <w:proofErr w:type="spellStart"/>
      <w:r w:rsidRPr="006913FF">
        <w:rPr>
          <w:color w:val="0F1115"/>
          <w:lang w:val="en-US" w:eastAsia="ru-RU"/>
        </w:rPr>
        <w:t>wt</w:t>
      </w:r>
      <w:proofErr w:type="spellEnd"/>
      <w:r w:rsidRPr="006913FF">
        <w:rPr>
          <w:color w:val="0F1115"/>
          <w:lang w:val="en-US" w:eastAsia="ru-RU"/>
        </w:rPr>
        <w:t>% ([Formula: see text] = 0.96), metal poisoning was detected consistently</w:t>
      </w:r>
      <w:r w:rsidRPr="006913FF">
        <w:rPr>
          <w:color w:val="0F1115"/>
          <w:lang w:eastAsia="ru-RU"/>
        </w:rPr>
        <w:t> </w:t>
      </w:r>
      <w:r w:rsidRPr="006913FF">
        <w:rPr>
          <w:color w:val="0F1115"/>
          <w:lang w:val="en-US" w:eastAsia="ru-RU"/>
        </w:rPr>
        <w:t xml:space="preserve">at thresholds &gt;50 ppm for Ni and &gt;30 ppm for V, and an excellent correlation (R² = 0.94) with offline </w:t>
      </w:r>
      <w:proofErr w:type="spellStart"/>
      <w:r w:rsidRPr="006913FF">
        <w:rPr>
          <w:color w:val="0F1115"/>
          <w:lang w:val="en-US" w:eastAsia="ru-RU"/>
        </w:rPr>
        <w:t>microactivity</w:t>
      </w:r>
      <w:proofErr w:type="spellEnd"/>
      <w:r w:rsidRPr="006913FF">
        <w:rPr>
          <w:color w:val="0F1115"/>
          <w:lang w:val="en-US" w:eastAsia="ru-RU"/>
        </w:rPr>
        <w:t xml:space="preserve"> test (MAT) results was observed. For product quality control, the system estimated gasoline octane number (mean absolute error 0.3) and diesel cetane</w:t>
      </w:r>
      <w:r w:rsidRPr="006913FF">
        <w:rPr>
          <w:color w:val="0F1115"/>
          <w:lang w:eastAsia="ru-RU"/>
        </w:rPr>
        <w:t> </w:t>
      </w:r>
      <w:r w:rsidRPr="006913FF">
        <w:rPr>
          <w:color w:val="0F1115"/>
          <w:lang w:val="en-US" w:eastAsia="ru-RU"/>
        </w:rPr>
        <w:t>number (0.4), determined light gas (C1 to C4) content within ±1.5%.</w:t>
      </w:r>
    </w:p>
    <w:p w14:paraId="61E9CBC8" w14:textId="77777777" w:rsidR="002B2A4A" w:rsidRPr="006913FF" w:rsidRDefault="002B2A4A" w:rsidP="0077374A">
      <w:pPr>
        <w:shd w:val="clear" w:color="auto" w:fill="FFFFFF"/>
        <w:ind w:firstLine="284"/>
        <w:jc w:val="both"/>
        <w:rPr>
          <w:color w:val="0F1115"/>
          <w:lang w:val="en-US" w:eastAsia="ru-RU"/>
        </w:rPr>
      </w:pPr>
      <w:r w:rsidRPr="006913FF">
        <w:rPr>
          <w:color w:val="0F1115"/>
          <w:lang w:val="en-US" w:eastAsia="ru-RU"/>
        </w:rPr>
        <w:t>Performance display were: The benefits of implementation were significant in terms of economics and operations; a 3.2% increase in yield (4,000 BPD), saving – reduced energy consumption by 8.7 % in the reactor/regenerator system due</w:t>
      </w:r>
      <w:r w:rsidRPr="006913FF">
        <w:rPr>
          <w:color w:val="0F1115"/>
          <w:lang w:eastAsia="ru-RU"/>
        </w:rPr>
        <w:t> </w:t>
      </w:r>
      <w:r w:rsidRPr="006913FF">
        <w:rPr>
          <w:color w:val="0F1115"/>
          <w:lang w:val="en-US" w:eastAsia="ru-RU"/>
        </w:rPr>
        <w:t xml:space="preserve">to better heat balance; catalyst savings improved from 12%, while emissions dropped by --15% for </w:t>
      </w:r>
      <w:proofErr w:type="spellStart"/>
      <w:r w:rsidRPr="006913FF">
        <w:rPr>
          <w:color w:val="0F1115"/>
          <w:lang w:val="en-US" w:eastAsia="ru-RU"/>
        </w:rPr>
        <w:t>SOx</w:t>
      </w:r>
      <w:proofErr w:type="spellEnd"/>
      <w:r w:rsidRPr="006913FF">
        <w:rPr>
          <w:color w:val="0F1115"/>
          <w:lang w:val="en-US" w:eastAsia="ru-RU"/>
        </w:rPr>
        <w:t xml:space="preserve"> and –-8% for NOx.</w:t>
      </w:r>
    </w:p>
    <w:p w14:paraId="248A50F0" w14:textId="77777777" w:rsidR="002B2A4A" w:rsidRPr="006913FF" w:rsidRDefault="002B2A4A" w:rsidP="0077374A">
      <w:pPr>
        <w:shd w:val="clear" w:color="auto" w:fill="FFFFFF"/>
        <w:ind w:firstLine="284"/>
        <w:jc w:val="both"/>
        <w:rPr>
          <w:color w:val="0F1115"/>
          <w:lang w:val="en-US" w:eastAsia="ru-RU"/>
        </w:rPr>
      </w:pPr>
      <w:r w:rsidRPr="006913FF">
        <w:rPr>
          <w:color w:val="0F1115"/>
          <w:lang w:val="en-US" w:eastAsia="ru-RU"/>
        </w:rPr>
        <w:t xml:space="preserve">In addition, </w:t>
      </w:r>
      <w:proofErr w:type="spellStart"/>
      <w:r w:rsidRPr="006913FF">
        <w:rPr>
          <w:color w:val="0F1115"/>
          <w:lang w:val="en-US" w:eastAsia="ru-RU"/>
        </w:rPr>
        <w:t>hydroprocessing</w:t>
      </w:r>
      <w:proofErr w:type="spellEnd"/>
      <w:r w:rsidRPr="006913FF">
        <w:rPr>
          <w:color w:val="0F1115"/>
          <w:lang w:val="en-US" w:eastAsia="ru-RU"/>
        </w:rPr>
        <w:t xml:space="preserve"> unit</w:t>
      </w:r>
      <w:r w:rsidRPr="006913FF">
        <w:rPr>
          <w:color w:val="0F1115"/>
          <w:lang w:eastAsia="ru-RU"/>
        </w:rPr>
        <w:t> </w:t>
      </w:r>
      <w:r w:rsidRPr="006913FF">
        <w:rPr>
          <w:color w:val="0F1115"/>
          <w:lang w:val="en-US" w:eastAsia="ru-RU"/>
        </w:rPr>
        <w:t>optimization was also carried out using supplemental sensing techniques: UV fluorescence for real-time sulfur measurement (LOD 0.1 ppm), chemiluminescence for on-line nitrogen analysis and near-IR (NIR) spectroscopy for determining aromatic content.</w:t>
      </w:r>
    </w:p>
    <w:p w14:paraId="3DDEF7D5" w14:textId="4FEF25CF" w:rsidR="009B6180" w:rsidRPr="006913FF" w:rsidRDefault="002B2A4A" w:rsidP="0077374A">
      <w:pPr>
        <w:shd w:val="clear" w:color="auto" w:fill="FFFFFF"/>
        <w:ind w:firstLine="284"/>
        <w:jc w:val="both"/>
        <w:rPr>
          <w:color w:val="0F1115"/>
          <w:lang w:val="en-US" w:eastAsia="ru-RU"/>
        </w:rPr>
      </w:pPr>
      <w:r w:rsidRPr="006913FF">
        <w:rPr>
          <w:color w:val="0F1115"/>
          <w:lang w:val="en-US" w:eastAsia="ru-RU"/>
        </w:rPr>
        <w:t>This method provided a very good precision with the sulfur prediction error at 0.5 ppm for the level</w:t>
      </w:r>
      <w:r w:rsidRPr="006913FF">
        <w:rPr>
          <w:color w:val="0F1115"/>
          <w:lang w:eastAsia="ru-RU"/>
        </w:rPr>
        <w:t> </w:t>
      </w:r>
      <w:r w:rsidRPr="006913FF">
        <w:rPr>
          <w:color w:val="0F1115"/>
          <w:lang w:val="en-US" w:eastAsia="ru-RU"/>
        </w:rPr>
        <w:t>of 10 ppm. The system had a built-in 1-minute delay time to</w:t>
      </w:r>
      <w:r w:rsidRPr="006913FF">
        <w:rPr>
          <w:color w:val="0F1115"/>
          <w:lang w:eastAsia="ru-RU"/>
        </w:rPr>
        <w:t> </w:t>
      </w:r>
      <w:r w:rsidRPr="006913FF">
        <w:rPr>
          <w:color w:val="0F1115"/>
          <w:lang w:val="en-US" w:eastAsia="ru-RU"/>
        </w:rPr>
        <w:t>monitor the desulfurization efficiency and take appropriate actions. In addition, the use of real-time data allowed optimization of hydrogen consumption, which saved 8.2%</w:t>
      </w:r>
      <w:r w:rsidRPr="006913FF">
        <w:rPr>
          <w:color w:val="0F1115"/>
          <w:lang w:eastAsia="ru-RU"/>
        </w:rPr>
        <w:t> </w:t>
      </w:r>
      <w:r w:rsidRPr="006913FF">
        <w:rPr>
          <w:color w:val="0F1115"/>
          <w:lang w:val="en-US" w:eastAsia="ru-RU"/>
        </w:rPr>
        <w:t>by matching hydrogen feed to sulfur load and product specifications on a minute-to-minute basis.</w:t>
      </w:r>
    </w:p>
    <w:p w14:paraId="2DD688C3" w14:textId="77777777" w:rsidR="002658E6" w:rsidRPr="006913FF" w:rsidRDefault="0071786C" w:rsidP="0071786C">
      <w:pPr>
        <w:shd w:val="clear" w:color="auto" w:fill="FFFFFF"/>
        <w:spacing w:before="240" w:after="240"/>
        <w:jc w:val="center"/>
        <w:rPr>
          <w:b/>
          <w:bCs/>
          <w:color w:val="0F1115"/>
          <w:sz w:val="24"/>
          <w:lang w:val="en-US" w:eastAsia="ru-RU"/>
        </w:rPr>
      </w:pPr>
      <w:r w:rsidRPr="006913FF">
        <w:rPr>
          <w:b/>
          <w:bCs/>
          <w:color w:val="0F1115"/>
          <w:sz w:val="24"/>
          <w:lang w:val="en-US" w:eastAsia="ru-RU"/>
        </w:rPr>
        <w:t>PHARMACEUTICAL MANUFACTURING APPLICATIONS</w:t>
      </w:r>
    </w:p>
    <w:p w14:paraId="1A496746" w14:textId="48664E90" w:rsidR="009109C4" w:rsidRPr="006913FF" w:rsidRDefault="00E35F01" w:rsidP="009109C4">
      <w:pPr>
        <w:shd w:val="clear" w:color="auto" w:fill="FFFFFF"/>
        <w:ind w:firstLine="284"/>
        <w:jc w:val="both"/>
        <w:rPr>
          <w:color w:val="0F1115"/>
          <w:lang w:val="en-US" w:eastAsia="ru-RU"/>
        </w:rPr>
      </w:pPr>
      <w:r w:rsidRPr="006913FF">
        <w:rPr>
          <w:color w:val="0F1115"/>
          <w:lang w:val="en-US" w:eastAsia="ru-RU"/>
        </w:rPr>
        <w:t>One of the most challenging aspects in pharmaceutical production is crystal form control, as 65% to 90% of drugs exist as more than one polymorph and</w:t>
      </w:r>
      <w:r w:rsidRPr="006913FF">
        <w:rPr>
          <w:color w:val="0F1115"/>
          <w:lang w:eastAsia="ru-RU"/>
        </w:rPr>
        <w:t> </w:t>
      </w:r>
      <w:r w:rsidRPr="006913FF">
        <w:rPr>
          <w:color w:val="0F1115"/>
          <w:lang w:val="en-US" w:eastAsia="ru-RU"/>
        </w:rPr>
        <w:t>each possesses different physicochemical properties influencing bioavailability, stability and manufacturability. For this purpose, an advanced analytical strategy encompassing the use of Raman spectroscopy in combination with multivariate analysis for primary recognition while being backed-up by established reference</w:t>
      </w:r>
      <w:r w:rsidRPr="006913FF">
        <w:rPr>
          <w:color w:val="0F1115"/>
          <w:lang w:eastAsia="ru-RU"/>
        </w:rPr>
        <w:t> </w:t>
      </w:r>
      <w:r w:rsidRPr="006913FF">
        <w:rPr>
          <w:color w:val="0F1115"/>
          <w:lang w:val="en-US" w:eastAsia="ru-RU"/>
        </w:rPr>
        <w:t>measurements using X-ray diffraction (XRD) and high-throughput screening methods employing Near-infrared (NIR) spectroscopy was conducted</w:t>
      </w:r>
      <w:r w:rsidR="009109C4" w:rsidRPr="006913FF">
        <w:rPr>
          <w:color w:val="0F1115"/>
          <w:lang w:val="en-US" w:eastAsia="ru-RU"/>
        </w:rPr>
        <w:t>.</w:t>
      </w:r>
    </w:p>
    <w:p w14:paraId="0D0BB862" w14:textId="77777777" w:rsidR="009109C4" w:rsidRPr="006913FF" w:rsidRDefault="009109C4" w:rsidP="009109C4">
      <w:pPr>
        <w:shd w:val="clear" w:color="auto" w:fill="FFFFFF"/>
        <w:ind w:firstLine="284"/>
        <w:jc w:val="both"/>
        <w:rPr>
          <w:color w:val="0F1115"/>
          <w:lang w:val="en-US" w:eastAsia="ru-RU"/>
        </w:rPr>
      </w:pPr>
    </w:p>
    <w:p w14:paraId="15AD33D0" w14:textId="518B62DD" w:rsidR="009B6180" w:rsidRDefault="009109C4" w:rsidP="009109C4">
      <w:pPr>
        <w:shd w:val="clear" w:color="auto" w:fill="FFFFFF"/>
        <w:spacing w:before="120"/>
        <w:jc w:val="center"/>
        <w:rPr>
          <w:bCs/>
          <w:color w:val="0F1115"/>
          <w:sz w:val="18"/>
          <w:lang w:eastAsia="ru-RU"/>
        </w:rPr>
      </w:pPr>
      <w:r w:rsidRPr="006913FF">
        <w:rPr>
          <w:b/>
          <w:bCs/>
          <w:color w:val="0F1115"/>
          <w:sz w:val="18"/>
          <w:lang w:eastAsia="ru-RU"/>
        </w:rPr>
        <w:t xml:space="preserve">TABLE 1. </w:t>
      </w:r>
      <w:proofErr w:type="spellStart"/>
      <w:r w:rsidR="009B6180" w:rsidRPr="006913FF">
        <w:rPr>
          <w:bCs/>
          <w:color w:val="0F1115"/>
          <w:sz w:val="18"/>
          <w:lang w:eastAsia="ru-RU"/>
        </w:rPr>
        <w:t>Polymorph</w:t>
      </w:r>
      <w:proofErr w:type="spellEnd"/>
      <w:r w:rsidR="009B6180" w:rsidRPr="006913FF">
        <w:rPr>
          <w:bCs/>
          <w:color w:val="0F1115"/>
          <w:sz w:val="18"/>
          <w:lang w:eastAsia="ru-RU"/>
        </w:rPr>
        <w:t xml:space="preserve"> </w:t>
      </w:r>
      <w:proofErr w:type="spellStart"/>
      <w:r w:rsidR="009B6180" w:rsidRPr="006913FF">
        <w:rPr>
          <w:bCs/>
          <w:color w:val="0F1115"/>
          <w:sz w:val="18"/>
          <w:lang w:eastAsia="ru-RU"/>
        </w:rPr>
        <w:t>Detection</w:t>
      </w:r>
      <w:proofErr w:type="spellEnd"/>
      <w:r w:rsidR="009B6180" w:rsidRPr="006913FF">
        <w:rPr>
          <w:bCs/>
          <w:color w:val="0F1115"/>
          <w:sz w:val="18"/>
          <w:lang w:eastAsia="ru-RU"/>
        </w:rPr>
        <w:t xml:space="preserve"> Performance</w:t>
      </w:r>
    </w:p>
    <w:p w14:paraId="6B5C9FFC" w14:textId="77777777" w:rsidR="000F1720" w:rsidRPr="006913FF" w:rsidRDefault="000F1720" w:rsidP="009109C4">
      <w:pPr>
        <w:shd w:val="clear" w:color="auto" w:fill="FFFFFF"/>
        <w:spacing w:before="120"/>
        <w:jc w:val="center"/>
        <w:rPr>
          <w:bCs/>
          <w:color w:val="0F1115"/>
          <w:sz w:val="18"/>
          <w:lang w:val="en-US" w:eastAsia="ru-RU"/>
        </w:rPr>
      </w:pPr>
    </w:p>
    <w:tbl>
      <w:tblPr>
        <w:tblStyle w:val="a6"/>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1377"/>
        <w:gridCol w:w="2083"/>
        <w:gridCol w:w="1827"/>
        <w:gridCol w:w="2316"/>
      </w:tblGrid>
      <w:tr w:rsidR="009109C4" w:rsidRPr="006913FF" w14:paraId="768E87FA" w14:textId="77777777" w:rsidTr="009109C4">
        <w:trPr>
          <w:jc w:val="center"/>
        </w:trPr>
        <w:tc>
          <w:tcPr>
            <w:tcW w:w="0" w:type="auto"/>
            <w:tcBorders>
              <w:bottom w:val="single" w:sz="4" w:space="0" w:color="auto"/>
            </w:tcBorders>
            <w:vAlign w:val="center"/>
          </w:tcPr>
          <w:p w14:paraId="30A96C7C" w14:textId="77777777" w:rsidR="009109C4" w:rsidRPr="006913FF" w:rsidRDefault="009109C4" w:rsidP="009109C4">
            <w:pPr>
              <w:jc w:val="both"/>
              <w:rPr>
                <w:b/>
                <w:bCs/>
                <w:lang w:eastAsia="ru-RU"/>
              </w:rPr>
            </w:pPr>
            <w:proofErr w:type="spellStart"/>
            <w:r w:rsidRPr="006913FF">
              <w:rPr>
                <w:b/>
                <w:bCs/>
                <w:lang w:eastAsia="ru-RU"/>
              </w:rPr>
              <w:t>Compound</w:t>
            </w:r>
            <w:proofErr w:type="spellEnd"/>
          </w:p>
        </w:tc>
        <w:tc>
          <w:tcPr>
            <w:tcW w:w="0" w:type="auto"/>
            <w:tcBorders>
              <w:bottom w:val="single" w:sz="4" w:space="0" w:color="auto"/>
            </w:tcBorders>
            <w:vAlign w:val="center"/>
          </w:tcPr>
          <w:p w14:paraId="6EB3942E" w14:textId="77777777" w:rsidR="009109C4" w:rsidRPr="006913FF" w:rsidRDefault="009109C4" w:rsidP="009109C4">
            <w:pPr>
              <w:jc w:val="center"/>
              <w:rPr>
                <w:b/>
                <w:bCs/>
                <w:lang w:eastAsia="ru-RU"/>
              </w:rPr>
            </w:pPr>
            <w:proofErr w:type="spellStart"/>
            <w:r w:rsidRPr="006913FF">
              <w:rPr>
                <w:b/>
                <w:bCs/>
                <w:lang w:eastAsia="ru-RU"/>
              </w:rPr>
              <w:t>Polymorphs</w:t>
            </w:r>
            <w:proofErr w:type="spellEnd"/>
          </w:p>
        </w:tc>
        <w:tc>
          <w:tcPr>
            <w:tcW w:w="0" w:type="auto"/>
            <w:tcBorders>
              <w:bottom w:val="single" w:sz="4" w:space="0" w:color="auto"/>
            </w:tcBorders>
            <w:vAlign w:val="center"/>
          </w:tcPr>
          <w:p w14:paraId="7A489F52" w14:textId="77777777" w:rsidR="009109C4" w:rsidRPr="006913FF" w:rsidRDefault="009109C4" w:rsidP="009109C4">
            <w:pPr>
              <w:jc w:val="center"/>
              <w:rPr>
                <w:b/>
                <w:bCs/>
                <w:lang w:eastAsia="ru-RU"/>
              </w:rPr>
            </w:pPr>
            <w:proofErr w:type="spellStart"/>
            <w:r w:rsidRPr="006913FF">
              <w:rPr>
                <w:b/>
                <w:bCs/>
                <w:lang w:eastAsia="ru-RU"/>
              </w:rPr>
              <w:t>Raman</w:t>
            </w:r>
            <w:proofErr w:type="spellEnd"/>
            <w:r w:rsidRPr="006913FF">
              <w:rPr>
                <w:b/>
                <w:bCs/>
                <w:lang w:eastAsia="ru-RU"/>
              </w:rPr>
              <w:t xml:space="preserve"> </w:t>
            </w:r>
            <w:proofErr w:type="spellStart"/>
            <w:r w:rsidRPr="006913FF">
              <w:rPr>
                <w:b/>
                <w:bCs/>
                <w:lang w:eastAsia="ru-RU"/>
              </w:rPr>
              <w:t>Accuracy</w:t>
            </w:r>
            <w:proofErr w:type="spellEnd"/>
            <w:r w:rsidRPr="006913FF">
              <w:rPr>
                <w:b/>
                <w:bCs/>
                <w:lang w:eastAsia="ru-RU"/>
              </w:rPr>
              <w:t xml:space="preserve"> (%)</w:t>
            </w:r>
          </w:p>
        </w:tc>
        <w:tc>
          <w:tcPr>
            <w:tcW w:w="0" w:type="auto"/>
            <w:tcBorders>
              <w:bottom w:val="single" w:sz="4" w:space="0" w:color="auto"/>
            </w:tcBorders>
            <w:vAlign w:val="center"/>
          </w:tcPr>
          <w:p w14:paraId="4F14FB4F" w14:textId="77777777" w:rsidR="009109C4" w:rsidRPr="006913FF" w:rsidRDefault="009109C4" w:rsidP="009109C4">
            <w:pPr>
              <w:jc w:val="center"/>
              <w:rPr>
                <w:b/>
                <w:bCs/>
                <w:lang w:eastAsia="ru-RU"/>
              </w:rPr>
            </w:pPr>
            <w:r w:rsidRPr="006913FF">
              <w:rPr>
                <w:b/>
                <w:bCs/>
                <w:lang w:eastAsia="ru-RU"/>
              </w:rPr>
              <w:t xml:space="preserve">NIR </w:t>
            </w:r>
            <w:proofErr w:type="spellStart"/>
            <w:r w:rsidRPr="006913FF">
              <w:rPr>
                <w:b/>
                <w:bCs/>
                <w:lang w:eastAsia="ru-RU"/>
              </w:rPr>
              <w:t>Accuracy</w:t>
            </w:r>
            <w:proofErr w:type="spellEnd"/>
            <w:r w:rsidRPr="006913FF">
              <w:rPr>
                <w:b/>
                <w:bCs/>
                <w:lang w:eastAsia="ru-RU"/>
              </w:rPr>
              <w:t xml:space="preserve"> (%)</w:t>
            </w:r>
          </w:p>
        </w:tc>
        <w:tc>
          <w:tcPr>
            <w:tcW w:w="2316" w:type="dxa"/>
            <w:tcBorders>
              <w:bottom w:val="single" w:sz="4" w:space="0" w:color="auto"/>
            </w:tcBorders>
            <w:vAlign w:val="center"/>
          </w:tcPr>
          <w:p w14:paraId="72F9DC8A" w14:textId="77777777" w:rsidR="009109C4" w:rsidRPr="006913FF" w:rsidRDefault="009109C4" w:rsidP="009109C4">
            <w:pPr>
              <w:jc w:val="center"/>
              <w:rPr>
                <w:b/>
                <w:bCs/>
                <w:lang w:eastAsia="ru-RU"/>
              </w:rPr>
            </w:pPr>
            <w:proofErr w:type="spellStart"/>
            <w:r w:rsidRPr="006913FF">
              <w:rPr>
                <w:b/>
                <w:bCs/>
                <w:lang w:eastAsia="ru-RU"/>
              </w:rPr>
              <w:t>Detection</w:t>
            </w:r>
            <w:proofErr w:type="spellEnd"/>
            <w:r w:rsidRPr="006913FF">
              <w:rPr>
                <w:b/>
                <w:bCs/>
                <w:lang w:eastAsia="ru-RU"/>
              </w:rPr>
              <w:t xml:space="preserve"> </w:t>
            </w:r>
            <w:proofErr w:type="spellStart"/>
            <w:r w:rsidRPr="006913FF">
              <w:rPr>
                <w:b/>
                <w:bCs/>
                <w:lang w:eastAsia="ru-RU"/>
              </w:rPr>
              <w:t>Limit</w:t>
            </w:r>
            <w:proofErr w:type="spellEnd"/>
            <w:r w:rsidRPr="006913FF">
              <w:rPr>
                <w:b/>
                <w:bCs/>
                <w:lang w:eastAsia="ru-RU"/>
              </w:rPr>
              <w:t xml:space="preserve"> (% </w:t>
            </w:r>
            <w:proofErr w:type="spellStart"/>
            <w:r w:rsidRPr="006913FF">
              <w:rPr>
                <w:b/>
                <w:bCs/>
                <w:lang w:eastAsia="ru-RU"/>
              </w:rPr>
              <w:t>minor</w:t>
            </w:r>
            <w:proofErr w:type="spellEnd"/>
            <w:r w:rsidRPr="006913FF">
              <w:rPr>
                <w:b/>
                <w:bCs/>
                <w:lang w:eastAsia="ru-RU"/>
              </w:rPr>
              <w:t xml:space="preserve"> </w:t>
            </w:r>
            <w:proofErr w:type="spellStart"/>
            <w:r w:rsidRPr="006913FF">
              <w:rPr>
                <w:b/>
                <w:bCs/>
                <w:lang w:eastAsia="ru-RU"/>
              </w:rPr>
              <w:t>form</w:t>
            </w:r>
            <w:proofErr w:type="spellEnd"/>
            <w:r w:rsidRPr="006913FF">
              <w:rPr>
                <w:b/>
                <w:bCs/>
                <w:lang w:eastAsia="ru-RU"/>
              </w:rPr>
              <w:t>)</w:t>
            </w:r>
          </w:p>
        </w:tc>
      </w:tr>
      <w:tr w:rsidR="009109C4" w:rsidRPr="006913FF" w14:paraId="7CF2514D" w14:textId="77777777" w:rsidTr="009109C4">
        <w:trPr>
          <w:jc w:val="center"/>
        </w:trPr>
        <w:tc>
          <w:tcPr>
            <w:tcW w:w="0" w:type="auto"/>
            <w:tcBorders>
              <w:top w:val="single" w:sz="4" w:space="0" w:color="auto"/>
              <w:bottom w:val="nil"/>
            </w:tcBorders>
            <w:vAlign w:val="center"/>
          </w:tcPr>
          <w:p w14:paraId="550366BF" w14:textId="77777777" w:rsidR="009109C4" w:rsidRPr="006913FF" w:rsidRDefault="009109C4" w:rsidP="009109C4">
            <w:pPr>
              <w:jc w:val="both"/>
              <w:rPr>
                <w:lang w:eastAsia="ru-RU"/>
              </w:rPr>
            </w:pPr>
            <w:proofErr w:type="spellStart"/>
            <w:r w:rsidRPr="006913FF">
              <w:rPr>
                <w:b/>
                <w:bCs/>
                <w:lang w:eastAsia="ru-RU"/>
              </w:rPr>
              <w:t>Carbamazepine</w:t>
            </w:r>
            <w:proofErr w:type="spellEnd"/>
          </w:p>
        </w:tc>
        <w:tc>
          <w:tcPr>
            <w:tcW w:w="0" w:type="auto"/>
            <w:tcBorders>
              <w:top w:val="single" w:sz="4" w:space="0" w:color="auto"/>
              <w:bottom w:val="nil"/>
            </w:tcBorders>
            <w:vAlign w:val="center"/>
          </w:tcPr>
          <w:p w14:paraId="7E89A0FF" w14:textId="77777777" w:rsidR="009109C4" w:rsidRPr="006913FF" w:rsidRDefault="009109C4" w:rsidP="009109C4">
            <w:pPr>
              <w:jc w:val="center"/>
              <w:rPr>
                <w:lang w:eastAsia="ru-RU"/>
              </w:rPr>
            </w:pPr>
            <w:proofErr w:type="spellStart"/>
            <w:r w:rsidRPr="006913FF">
              <w:rPr>
                <w:lang w:eastAsia="ru-RU"/>
              </w:rPr>
              <w:t>Forms</w:t>
            </w:r>
            <w:proofErr w:type="spellEnd"/>
            <w:r w:rsidRPr="006913FF">
              <w:rPr>
                <w:lang w:eastAsia="ru-RU"/>
              </w:rPr>
              <w:t xml:space="preserve"> I, II, III</w:t>
            </w:r>
          </w:p>
        </w:tc>
        <w:tc>
          <w:tcPr>
            <w:tcW w:w="0" w:type="auto"/>
            <w:tcBorders>
              <w:top w:val="single" w:sz="4" w:space="0" w:color="auto"/>
              <w:bottom w:val="nil"/>
            </w:tcBorders>
            <w:vAlign w:val="center"/>
          </w:tcPr>
          <w:p w14:paraId="00F26142" w14:textId="77777777" w:rsidR="009109C4" w:rsidRPr="006913FF" w:rsidRDefault="009109C4" w:rsidP="009109C4">
            <w:pPr>
              <w:jc w:val="center"/>
              <w:rPr>
                <w:lang w:eastAsia="ru-RU"/>
              </w:rPr>
            </w:pPr>
            <w:r w:rsidRPr="006913FF">
              <w:rPr>
                <w:lang w:eastAsia="ru-RU"/>
              </w:rPr>
              <w:t>99.2</w:t>
            </w:r>
          </w:p>
        </w:tc>
        <w:tc>
          <w:tcPr>
            <w:tcW w:w="0" w:type="auto"/>
            <w:tcBorders>
              <w:top w:val="single" w:sz="4" w:space="0" w:color="auto"/>
              <w:bottom w:val="nil"/>
            </w:tcBorders>
            <w:vAlign w:val="center"/>
          </w:tcPr>
          <w:p w14:paraId="6D89D5F3" w14:textId="77777777" w:rsidR="009109C4" w:rsidRPr="006913FF" w:rsidRDefault="009109C4" w:rsidP="009109C4">
            <w:pPr>
              <w:jc w:val="center"/>
              <w:rPr>
                <w:lang w:eastAsia="ru-RU"/>
              </w:rPr>
            </w:pPr>
            <w:r w:rsidRPr="006913FF">
              <w:rPr>
                <w:lang w:eastAsia="ru-RU"/>
              </w:rPr>
              <w:t>97.8</w:t>
            </w:r>
          </w:p>
        </w:tc>
        <w:tc>
          <w:tcPr>
            <w:tcW w:w="2316" w:type="dxa"/>
            <w:tcBorders>
              <w:top w:val="single" w:sz="4" w:space="0" w:color="auto"/>
              <w:bottom w:val="nil"/>
            </w:tcBorders>
            <w:vAlign w:val="center"/>
          </w:tcPr>
          <w:p w14:paraId="5BE1B53A" w14:textId="77777777" w:rsidR="009109C4" w:rsidRPr="006913FF" w:rsidRDefault="009109C4" w:rsidP="009109C4">
            <w:pPr>
              <w:jc w:val="center"/>
              <w:rPr>
                <w:lang w:eastAsia="ru-RU"/>
              </w:rPr>
            </w:pPr>
            <w:r w:rsidRPr="006913FF">
              <w:rPr>
                <w:lang w:eastAsia="ru-RU"/>
              </w:rPr>
              <w:t>0.5</w:t>
            </w:r>
          </w:p>
        </w:tc>
      </w:tr>
      <w:tr w:rsidR="009109C4" w:rsidRPr="006913FF" w14:paraId="07A08BCE" w14:textId="77777777" w:rsidTr="009109C4">
        <w:trPr>
          <w:jc w:val="center"/>
        </w:trPr>
        <w:tc>
          <w:tcPr>
            <w:tcW w:w="0" w:type="auto"/>
            <w:tcBorders>
              <w:top w:val="nil"/>
            </w:tcBorders>
            <w:vAlign w:val="center"/>
          </w:tcPr>
          <w:p w14:paraId="7725F200" w14:textId="77777777" w:rsidR="009109C4" w:rsidRPr="006913FF" w:rsidRDefault="009109C4" w:rsidP="009109C4">
            <w:pPr>
              <w:jc w:val="both"/>
              <w:rPr>
                <w:lang w:eastAsia="ru-RU"/>
              </w:rPr>
            </w:pPr>
            <w:r w:rsidRPr="006913FF">
              <w:rPr>
                <w:b/>
                <w:bCs/>
                <w:lang w:eastAsia="ru-RU"/>
              </w:rPr>
              <w:t>Ritonavir</w:t>
            </w:r>
          </w:p>
        </w:tc>
        <w:tc>
          <w:tcPr>
            <w:tcW w:w="0" w:type="auto"/>
            <w:tcBorders>
              <w:top w:val="nil"/>
            </w:tcBorders>
            <w:vAlign w:val="center"/>
          </w:tcPr>
          <w:p w14:paraId="05C1F419" w14:textId="77777777" w:rsidR="009109C4" w:rsidRPr="006913FF" w:rsidRDefault="009109C4" w:rsidP="009109C4">
            <w:pPr>
              <w:jc w:val="center"/>
              <w:rPr>
                <w:lang w:eastAsia="ru-RU"/>
              </w:rPr>
            </w:pPr>
            <w:proofErr w:type="spellStart"/>
            <w:r w:rsidRPr="006913FF">
              <w:rPr>
                <w:lang w:eastAsia="ru-RU"/>
              </w:rPr>
              <w:t>Forms</w:t>
            </w:r>
            <w:proofErr w:type="spellEnd"/>
            <w:r w:rsidRPr="006913FF">
              <w:rPr>
                <w:lang w:eastAsia="ru-RU"/>
              </w:rPr>
              <w:t xml:space="preserve"> I, II</w:t>
            </w:r>
          </w:p>
        </w:tc>
        <w:tc>
          <w:tcPr>
            <w:tcW w:w="0" w:type="auto"/>
            <w:tcBorders>
              <w:top w:val="nil"/>
            </w:tcBorders>
            <w:vAlign w:val="center"/>
          </w:tcPr>
          <w:p w14:paraId="7CBE0D90" w14:textId="77777777" w:rsidR="009109C4" w:rsidRPr="006913FF" w:rsidRDefault="009109C4" w:rsidP="009109C4">
            <w:pPr>
              <w:jc w:val="center"/>
              <w:rPr>
                <w:lang w:eastAsia="ru-RU"/>
              </w:rPr>
            </w:pPr>
            <w:r w:rsidRPr="006913FF">
              <w:rPr>
                <w:lang w:eastAsia="ru-RU"/>
              </w:rPr>
              <w:t>98.7</w:t>
            </w:r>
          </w:p>
        </w:tc>
        <w:tc>
          <w:tcPr>
            <w:tcW w:w="0" w:type="auto"/>
            <w:tcBorders>
              <w:top w:val="nil"/>
            </w:tcBorders>
            <w:vAlign w:val="center"/>
          </w:tcPr>
          <w:p w14:paraId="221B4D24" w14:textId="77777777" w:rsidR="009109C4" w:rsidRPr="006913FF" w:rsidRDefault="009109C4" w:rsidP="009109C4">
            <w:pPr>
              <w:jc w:val="center"/>
              <w:rPr>
                <w:lang w:eastAsia="ru-RU"/>
              </w:rPr>
            </w:pPr>
            <w:r w:rsidRPr="006913FF">
              <w:rPr>
                <w:lang w:eastAsia="ru-RU"/>
              </w:rPr>
              <w:t>96.3</w:t>
            </w:r>
          </w:p>
        </w:tc>
        <w:tc>
          <w:tcPr>
            <w:tcW w:w="2316" w:type="dxa"/>
            <w:tcBorders>
              <w:top w:val="nil"/>
            </w:tcBorders>
            <w:vAlign w:val="center"/>
          </w:tcPr>
          <w:p w14:paraId="0C6B336D" w14:textId="77777777" w:rsidR="009109C4" w:rsidRPr="006913FF" w:rsidRDefault="009109C4" w:rsidP="009109C4">
            <w:pPr>
              <w:jc w:val="center"/>
              <w:rPr>
                <w:lang w:eastAsia="ru-RU"/>
              </w:rPr>
            </w:pPr>
            <w:r w:rsidRPr="006913FF">
              <w:rPr>
                <w:lang w:eastAsia="ru-RU"/>
              </w:rPr>
              <w:t>1.0</w:t>
            </w:r>
          </w:p>
        </w:tc>
      </w:tr>
      <w:tr w:rsidR="009109C4" w:rsidRPr="006913FF" w14:paraId="75D0C14B" w14:textId="77777777" w:rsidTr="009109C4">
        <w:trPr>
          <w:jc w:val="center"/>
        </w:trPr>
        <w:tc>
          <w:tcPr>
            <w:tcW w:w="0" w:type="auto"/>
            <w:vAlign w:val="center"/>
          </w:tcPr>
          <w:p w14:paraId="352021F2" w14:textId="77777777" w:rsidR="009109C4" w:rsidRPr="006913FF" w:rsidRDefault="009109C4" w:rsidP="009109C4">
            <w:pPr>
              <w:jc w:val="both"/>
              <w:rPr>
                <w:lang w:eastAsia="ru-RU"/>
              </w:rPr>
            </w:pPr>
            <w:proofErr w:type="spellStart"/>
            <w:r w:rsidRPr="006913FF">
              <w:rPr>
                <w:b/>
                <w:bCs/>
                <w:lang w:eastAsia="ru-RU"/>
              </w:rPr>
              <w:t>Indomethacin</w:t>
            </w:r>
            <w:proofErr w:type="spellEnd"/>
          </w:p>
        </w:tc>
        <w:tc>
          <w:tcPr>
            <w:tcW w:w="0" w:type="auto"/>
            <w:vAlign w:val="center"/>
          </w:tcPr>
          <w:p w14:paraId="2CC31F07" w14:textId="77777777" w:rsidR="009109C4" w:rsidRPr="006913FF" w:rsidRDefault="009109C4" w:rsidP="009109C4">
            <w:pPr>
              <w:jc w:val="center"/>
              <w:rPr>
                <w:lang w:eastAsia="ru-RU"/>
              </w:rPr>
            </w:pPr>
            <w:r w:rsidRPr="006913FF">
              <w:rPr>
                <w:lang w:eastAsia="ru-RU"/>
              </w:rPr>
              <w:t>α, β, γ</w:t>
            </w:r>
          </w:p>
        </w:tc>
        <w:tc>
          <w:tcPr>
            <w:tcW w:w="0" w:type="auto"/>
            <w:vAlign w:val="center"/>
          </w:tcPr>
          <w:p w14:paraId="548A086A" w14:textId="77777777" w:rsidR="009109C4" w:rsidRPr="006913FF" w:rsidRDefault="009109C4" w:rsidP="009109C4">
            <w:pPr>
              <w:jc w:val="center"/>
              <w:rPr>
                <w:lang w:eastAsia="ru-RU"/>
              </w:rPr>
            </w:pPr>
            <w:r w:rsidRPr="006913FF">
              <w:rPr>
                <w:lang w:eastAsia="ru-RU"/>
              </w:rPr>
              <w:t>97.5</w:t>
            </w:r>
          </w:p>
        </w:tc>
        <w:tc>
          <w:tcPr>
            <w:tcW w:w="0" w:type="auto"/>
            <w:vAlign w:val="center"/>
          </w:tcPr>
          <w:p w14:paraId="4E719F2D" w14:textId="77777777" w:rsidR="009109C4" w:rsidRPr="006913FF" w:rsidRDefault="009109C4" w:rsidP="009109C4">
            <w:pPr>
              <w:jc w:val="center"/>
              <w:rPr>
                <w:lang w:eastAsia="ru-RU"/>
              </w:rPr>
            </w:pPr>
            <w:r w:rsidRPr="006913FF">
              <w:rPr>
                <w:lang w:eastAsia="ru-RU"/>
              </w:rPr>
              <w:t>95.2</w:t>
            </w:r>
          </w:p>
        </w:tc>
        <w:tc>
          <w:tcPr>
            <w:tcW w:w="2316" w:type="dxa"/>
            <w:vAlign w:val="center"/>
          </w:tcPr>
          <w:p w14:paraId="77F464ED" w14:textId="77777777" w:rsidR="009109C4" w:rsidRPr="006913FF" w:rsidRDefault="009109C4" w:rsidP="009109C4">
            <w:pPr>
              <w:jc w:val="center"/>
              <w:rPr>
                <w:lang w:eastAsia="ru-RU"/>
              </w:rPr>
            </w:pPr>
            <w:r w:rsidRPr="006913FF">
              <w:rPr>
                <w:lang w:eastAsia="ru-RU"/>
              </w:rPr>
              <w:t>1.2</w:t>
            </w:r>
          </w:p>
        </w:tc>
      </w:tr>
    </w:tbl>
    <w:p w14:paraId="64945B58" w14:textId="77777777" w:rsidR="009109C4" w:rsidRPr="006913FF" w:rsidRDefault="009109C4" w:rsidP="009109C4">
      <w:pPr>
        <w:shd w:val="clear" w:color="auto" w:fill="FFFFFF"/>
        <w:spacing w:before="120"/>
        <w:jc w:val="center"/>
        <w:rPr>
          <w:color w:val="0F1115"/>
          <w:sz w:val="18"/>
          <w:lang w:val="en-US" w:eastAsia="ru-RU"/>
        </w:rPr>
      </w:pPr>
    </w:p>
    <w:p w14:paraId="29E4DD29" w14:textId="77777777" w:rsidR="00D42F4B" w:rsidRPr="006913FF" w:rsidRDefault="00D42F4B" w:rsidP="009109C4">
      <w:pPr>
        <w:shd w:val="clear" w:color="auto" w:fill="FFFFFF"/>
        <w:ind w:firstLine="284"/>
        <w:jc w:val="both"/>
        <w:rPr>
          <w:color w:val="0F1115"/>
          <w:lang w:val="en-US" w:eastAsia="ru-RU"/>
        </w:rPr>
      </w:pPr>
      <w:r w:rsidRPr="006913FF">
        <w:rPr>
          <w:color w:val="0F1115"/>
          <w:lang w:val="en-US" w:eastAsia="ru-RU"/>
        </w:rPr>
        <w:t xml:space="preserve">These enabled the monitoring of polymorphic transformations during </w:t>
      </w:r>
      <w:proofErr w:type="spellStart"/>
      <w:r w:rsidRPr="006913FF">
        <w:rPr>
          <w:color w:val="0F1115"/>
          <w:lang w:val="en-US" w:eastAsia="ru-RU"/>
        </w:rPr>
        <w:t>crystallisation</w:t>
      </w:r>
      <w:proofErr w:type="spellEnd"/>
      <w:r w:rsidRPr="006913FF">
        <w:rPr>
          <w:color w:val="0F1115"/>
          <w:lang w:val="en-US" w:eastAsia="ru-RU"/>
        </w:rPr>
        <w:t xml:space="preserve"> processes in real time as well as</w:t>
      </w:r>
      <w:r w:rsidRPr="006913FF">
        <w:rPr>
          <w:color w:val="0F1115"/>
          <w:lang w:eastAsia="ru-RU"/>
        </w:rPr>
        <w:t> </w:t>
      </w:r>
      <w:r w:rsidRPr="006913FF">
        <w:rPr>
          <w:color w:val="0F1115"/>
          <w:lang w:val="en-US" w:eastAsia="ru-RU"/>
        </w:rPr>
        <w:t>providing on-line control of the final form. This function was responsible for helping avoid expensive batch failures, saving $250,000 per incident, so it became a particularly</w:t>
      </w:r>
      <w:r w:rsidRPr="006913FF">
        <w:rPr>
          <w:color w:val="0F1115"/>
          <w:lang w:eastAsia="ru-RU"/>
        </w:rPr>
        <w:t> </w:t>
      </w:r>
      <w:r w:rsidRPr="006913FF">
        <w:rPr>
          <w:color w:val="0F1115"/>
          <w:lang w:val="en-US" w:eastAsia="ru-RU"/>
        </w:rPr>
        <w:t>useful feature. The implementation of real-time IPC monitoring also enabled a 75% decrease</w:t>
      </w:r>
      <w:r w:rsidRPr="006913FF">
        <w:rPr>
          <w:color w:val="0F1115"/>
          <w:lang w:eastAsia="ru-RU"/>
        </w:rPr>
        <w:t> </w:t>
      </w:r>
      <w:r w:rsidRPr="006913FF">
        <w:rPr>
          <w:color w:val="0F1115"/>
          <w:lang w:val="en-US" w:eastAsia="ru-RU"/>
        </w:rPr>
        <w:t>in off-line laboratory tests, resulting in significant reduction in the analytical workload and faster release times.</w:t>
      </w:r>
    </w:p>
    <w:p w14:paraId="50B3BA1B" w14:textId="77777777" w:rsidR="00D42F4B" w:rsidRPr="006913FF" w:rsidRDefault="00D42F4B" w:rsidP="009109C4">
      <w:pPr>
        <w:shd w:val="clear" w:color="auto" w:fill="FFFFFF"/>
        <w:ind w:firstLine="284"/>
        <w:jc w:val="both"/>
        <w:rPr>
          <w:color w:val="0F1115"/>
          <w:lang w:val="en-US" w:eastAsia="ru-RU"/>
        </w:rPr>
      </w:pPr>
      <w:r w:rsidRPr="006913FF">
        <w:rPr>
          <w:color w:val="0F1115"/>
          <w:lang w:val="en-US" w:eastAsia="ru-RU"/>
        </w:rPr>
        <w:t>For both chemical synthesis</w:t>
      </w:r>
      <w:r w:rsidRPr="006913FF">
        <w:rPr>
          <w:color w:val="0F1115"/>
          <w:lang w:eastAsia="ru-RU"/>
        </w:rPr>
        <w:t> </w:t>
      </w:r>
      <w:r w:rsidRPr="006913FF">
        <w:rPr>
          <w:color w:val="0F1115"/>
          <w:lang w:val="en-US" w:eastAsia="ru-RU"/>
        </w:rPr>
        <w:t>and unit operations, a combined multi-technique approach was used; in-situ Raman measured reactant and product concentrations, FTIR tracked functional group transformations and reaction calorimetry provided real-time heat flow for kinetic analysis and safety monitoring.</w:t>
      </w:r>
    </w:p>
    <w:p w14:paraId="3A60042C" w14:textId="460F08F8" w:rsidR="009109C4" w:rsidRPr="006913FF" w:rsidRDefault="00D42F4B" w:rsidP="009109C4">
      <w:pPr>
        <w:shd w:val="clear" w:color="auto" w:fill="FFFFFF"/>
        <w:ind w:firstLine="284"/>
        <w:jc w:val="both"/>
        <w:rPr>
          <w:color w:val="0F1115"/>
          <w:lang w:val="en-US" w:eastAsia="ru-RU"/>
        </w:rPr>
      </w:pPr>
      <w:r w:rsidRPr="006913FF">
        <w:rPr>
          <w:color w:val="0F1115"/>
          <w:lang w:val="en-US" w:eastAsia="ru-RU"/>
        </w:rPr>
        <w:t>This tight coupling resulted in very precise</w:t>
      </w:r>
      <w:r w:rsidRPr="006913FF">
        <w:rPr>
          <w:color w:val="0F1115"/>
          <w:lang w:eastAsia="ru-RU"/>
        </w:rPr>
        <w:t> </w:t>
      </w:r>
      <w:r w:rsidRPr="006913FF">
        <w:rPr>
          <w:color w:val="0F1115"/>
          <w:lang w:val="en-US" w:eastAsia="ru-RU"/>
        </w:rPr>
        <w:t>process control. The reaction endpoint determination was accurate to</w:t>
      </w:r>
      <w:r w:rsidRPr="006913FF">
        <w:rPr>
          <w:color w:val="0F1115"/>
          <w:lang w:eastAsia="ru-RU"/>
        </w:rPr>
        <w:t> </w:t>
      </w:r>
      <w:r w:rsidRPr="006913FF">
        <w:rPr>
          <w:color w:val="0F1115"/>
          <w:lang w:val="en-US" w:eastAsia="ru-RU"/>
        </w:rPr>
        <w:t>99.5% and over-processing was minimized by the system. It was instrumental for the early detection of impurities formation at 0.1% level, and corrective measures were taken prior</w:t>
      </w:r>
      <w:r w:rsidRPr="006913FF">
        <w:rPr>
          <w:color w:val="0F1115"/>
          <w:lang w:eastAsia="ru-RU"/>
        </w:rPr>
        <w:t> </w:t>
      </w:r>
      <w:r w:rsidRPr="006913FF">
        <w:rPr>
          <w:color w:val="0F1115"/>
          <w:lang w:val="en-US" w:eastAsia="ru-RU"/>
        </w:rPr>
        <w:t>to specification breach. Furthermore, the</w:t>
      </w:r>
      <w:r w:rsidRPr="006913FF">
        <w:rPr>
          <w:color w:val="0F1115"/>
          <w:lang w:eastAsia="ru-RU"/>
        </w:rPr>
        <w:t> </w:t>
      </w:r>
      <w:r w:rsidRPr="006913FF">
        <w:rPr>
          <w:color w:val="0F1115"/>
          <w:lang w:val="en-US" w:eastAsia="ru-RU"/>
        </w:rPr>
        <w:t>models offered accurate yield prediction with a granary mean absolute error less than 1.5%, and hence will help in improved production planning and resources apportioning.</w:t>
      </w:r>
    </w:p>
    <w:p w14:paraId="108CD438" w14:textId="77777777" w:rsidR="002658E6" w:rsidRPr="006913FF" w:rsidRDefault="0071786C" w:rsidP="0071786C">
      <w:pPr>
        <w:shd w:val="clear" w:color="auto" w:fill="FFFFFF"/>
        <w:spacing w:before="240" w:after="240"/>
        <w:jc w:val="center"/>
        <w:rPr>
          <w:b/>
          <w:bCs/>
          <w:color w:val="0F1115"/>
          <w:sz w:val="24"/>
          <w:lang w:val="en-US" w:eastAsia="ru-RU"/>
        </w:rPr>
      </w:pPr>
      <w:r w:rsidRPr="006913FF">
        <w:rPr>
          <w:b/>
          <w:bCs/>
          <w:color w:val="0F1115"/>
          <w:sz w:val="24"/>
          <w:lang w:val="en-US" w:eastAsia="ru-RU"/>
        </w:rPr>
        <w:t>FOOD PROCESSING APPLICATIONS</w:t>
      </w:r>
    </w:p>
    <w:p w14:paraId="05B61FB8" w14:textId="78AAB75C" w:rsidR="00CF46BB" w:rsidRPr="006913FF" w:rsidRDefault="00EC6D79" w:rsidP="00CF46BB">
      <w:pPr>
        <w:shd w:val="clear" w:color="auto" w:fill="FFFFFF"/>
        <w:ind w:firstLine="284"/>
        <w:jc w:val="both"/>
        <w:rPr>
          <w:color w:val="0F1115"/>
          <w:lang w:val="en-US" w:eastAsia="ru-RU"/>
        </w:rPr>
      </w:pPr>
      <w:r w:rsidRPr="006913FF">
        <w:rPr>
          <w:color w:val="0F1115"/>
          <w:lang w:val="en-US" w:eastAsia="ru-RU"/>
        </w:rPr>
        <w:t>Monitoring of beat safety for chemical and biological hazards</w:t>
      </w:r>
      <w:r w:rsidRPr="006913FF">
        <w:rPr>
          <w:color w:val="0F1115"/>
          <w:lang w:eastAsia="ru-RU"/>
        </w:rPr>
        <w:t> </w:t>
      </w:r>
      <w:r w:rsidRPr="006913FF">
        <w:rPr>
          <w:color w:val="0F1115"/>
          <w:lang w:val="en-US" w:eastAsia="ru-RU"/>
        </w:rPr>
        <w:t xml:space="preserve">should be rigorously conducted. Important targets are pesticide </w:t>
      </w:r>
      <w:proofErr w:type="spellStart"/>
      <w:r w:rsidRPr="006913FF">
        <w:rPr>
          <w:color w:val="0F1115"/>
          <w:lang w:val="en-US" w:eastAsia="ru-RU"/>
        </w:rPr>
        <w:t>resi</w:t>
      </w:r>
      <w:proofErr w:type="spellEnd"/>
      <w:r w:rsidRPr="006913FF">
        <w:rPr>
          <w:color w:val="0F1115"/>
          <w:lang w:val="en-US" w:eastAsia="ru-RU"/>
        </w:rPr>
        <w:t>-dues (organophosphates, carbamates and pyrethroids), mycotoxins (aflatoxins,</w:t>
      </w:r>
      <w:r w:rsidRPr="006913FF">
        <w:rPr>
          <w:color w:val="0F1115"/>
          <w:lang w:eastAsia="ru-RU"/>
        </w:rPr>
        <w:t> </w:t>
      </w:r>
      <w:r w:rsidRPr="006913FF">
        <w:rPr>
          <w:color w:val="0F1115"/>
          <w:lang w:val="en-US" w:eastAsia="ru-RU"/>
        </w:rPr>
        <w:t xml:space="preserve">ochratoxin, </w:t>
      </w:r>
      <w:proofErr w:type="spellStart"/>
      <w:r w:rsidRPr="006913FF">
        <w:rPr>
          <w:color w:val="0F1115"/>
          <w:lang w:val="en-US" w:eastAsia="ru-RU"/>
        </w:rPr>
        <w:t>fumonisins</w:t>
      </w:r>
      <w:proofErr w:type="spellEnd"/>
      <w:r w:rsidRPr="006913FF">
        <w:rPr>
          <w:color w:val="0F1115"/>
          <w:lang w:val="en-US" w:eastAsia="ru-RU"/>
        </w:rPr>
        <w:t>) and allergens (peanut, gluten, milk proteins). A two tiered</w:t>
      </w:r>
      <w:r w:rsidRPr="006913FF">
        <w:rPr>
          <w:color w:val="0F1115"/>
          <w:lang w:eastAsia="ru-RU"/>
        </w:rPr>
        <w:t> </w:t>
      </w:r>
      <w:r w:rsidRPr="006913FF">
        <w:rPr>
          <w:color w:val="0F1115"/>
          <w:lang w:val="en-US" w:eastAsia="ru-RU"/>
        </w:rPr>
        <w:t>analytical approach was selected based on a trade-off between speed, specificity and sensitivity. The above-mentioned confirmative, quantitative analysis for investigation of regulatory limits was</w:t>
      </w:r>
      <w:r w:rsidRPr="006913FF">
        <w:rPr>
          <w:color w:val="0F1115"/>
          <w:lang w:eastAsia="ru-RU"/>
        </w:rPr>
        <w:t> </w:t>
      </w:r>
      <w:r w:rsidRPr="006913FF">
        <w:rPr>
          <w:color w:val="0F1115"/>
          <w:lang w:val="en-US" w:eastAsia="ru-RU"/>
        </w:rPr>
        <w:t>carried out by liquid chromatography-tandem mass spectrometry (LC-MS/MS). For fast off-line or on-line screening, Raman spectroscopy combined with surface-enhanced substrates (SERS) yielded sensitive detection</w:t>
      </w:r>
      <w:r w:rsidRPr="006913FF">
        <w:rPr>
          <w:color w:val="0F1115"/>
          <w:lang w:eastAsia="ru-RU"/>
        </w:rPr>
        <w:t> </w:t>
      </w:r>
      <w:r w:rsidRPr="006913FF">
        <w:rPr>
          <w:color w:val="0F1115"/>
          <w:lang w:val="en-US" w:eastAsia="ru-RU"/>
        </w:rPr>
        <w:t>of several classes of contaminants without the need for elaborate sample preparation. Such immunoassays were also used for initial high-throughput screenings of certain allergens</w:t>
      </w:r>
      <w:r w:rsidRPr="006913FF">
        <w:rPr>
          <w:color w:val="0F1115"/>
          <w:lang w:eastAsia="ru-RU"/>
        </w:rPr>
        <w:t> </w:t>
      </w:r>
      <w:r w:rsidRPr="006913FF">
        <w:rPr>
          <w:color w:val="0F1115"/>
          <w:lang w:val="en-US" w:eastAsia="ru-RU"/>
        </w:rPr>
        <w:t>and toxins</w:t>
      </w:r>
      <w:r w:rsidR="00CF46BB" w:rsidRPr="006913FF">
        <w:rPr>
          <w:color w:val="0F1115"/>
          <w:lang w:val="en-US" w:eastAsia="ru-RU"/>
        </w:rPr>
        <w:t>.</w:t>
      </w:r>
    </w:p>
    <w:p w14:paraId="36EB923D" w14:textId="77777777" w:rsidR="00CF46BB" w:rsidRPr="006913FF" w:rsidRDefault="00CF46BB" w:rsidP="00CF46BB">
      <w:pPr>
        <w:shd w:val="clear" w:color="auto" w:fill="FFFFFF"/>
        <w:ind w:firstLine="284"/>
        <w:jc w:val="both"/>
        <w:rPr>
          <w:color w:val="0F1115"/>
          <w:lang w:val="en-US" w:eastAsia="ru-RU"/>
        </w:rPr>
      </w:pPr>
    </w:p>
    <w:p w14:paraId="0655F113" w14:textId="5B726F5F" w:rsidR="009B6180" w:rsidRDefault="00CF46BB" w:rsidP="00CF46BB">
      <w:pPr>
        <w:shd w:val="clear" w:color="auto" w:fill="FFFFFF"/>
        <w:spacing w:before="120"/>
        <w:jc w:val="center"/>
        <w:rPr>
          <w:bCs/>
          <w:color w:val="0F1115"/>
          <w:sz w:val="18"/>
          <w:lang w:val="en-US" w:eastAsia="ru-RU"/>
        </w:rPr>
      </w:pPr>
      <w:r w:rsidRPr="006913FF">
        <w:rPr>
          <w:b/>
          <w:bCs/>
          <w:color w:val="0F1115"/>
          <w:sz w:val="18"/>
          <w:lang w:val="en-US" w:eastAsia="ru-RU"/>
        </w:rPr>
        <w:t>TABLE 2.</w:t>
      </w:r>
      <w:r w:rsidR="009B6180" w:rsidRPr="006913FF">
        <w:rPr>
          <w:b/>
          <w:bCs/>
          <w:color w:val="0F1115"/>
          <w:sz w:val="18"/>
          <w:lang w:val="en-US" w:eastAsia="ru-RU"/>
        </w:rPr>
        <w:t xml:space="preserve"> </w:t>
      </w:r>
      <w:r w:rsidR="009B6180" w:rsidRPr="006913FF">
        <w:rPr>
          <w:bCs/>
          <w:color w:val="0F1115"/>
          <w:sz w:val="18"/>
          <w:lang w:val="en-US" w:eastAsia="ru-RU"/>
        </w:rPr>
        <w:t>Contaminant Detection Performance</w:t>
      </w:r>
    </w:p>
    <w:p w14:paraId="50276DD9" w14:textId="77777777" w:rsidR="000F1720" w:rsidRPr="006913FF" w:rsidRDefault="000F1720" w:rsidP="00CF46BB">
      <w:pPr>
        <w:shd w:val="clear" w:color="auto" w:fill="FFFFFF"/>
        <w:spacing w:before="120"/>
        <w:jc w:val="center"/>
        <w:rPr>
          <w:bCs/>
          <w:color w:val="0F1115"/>
          <w:sz w:val="18"/>
          <w:lang w:val="en-US" w:eastAsia="ru-RU"/>
        </w:rPr>
      </w:pPr>
    </w:p>
    <w:tbl>
      <w:tblPr>
        <w:tblStyle w:val="a6"/>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2044"/>
        <w:gridCol w:w="1555"/>
        <w:gridCol w:w="1433"/>
        <w:gridCol w:w="1410"/>
      </w:tblGrid>
      <w:tr w:rsidR="00CF46BB" w:rsidRPr="006913FF" w14:paraId="1678F4EA" w14:textId="77777777" w:rsidTr="00CF46BB">
        <w:trPr>
          <w:jc w:val="center"/>
        </w:trPr>
        <w:tc>
          <w:tcPr>
            <w:tcW w:w="0" w:type="auto"/>
            <w:tcBorders>
              <w:bottom w:val="single" w:sz="4" w:space="0" w:color="auto"/>
            </w:tcBorders>
            <w:vAlign w:val="center"/>
          </w:tcPr>
          <w:p w14:paraId="2A0E213F" w14:textId="77777777" w:rsidR="00CF46BB" w:rsidRPr="006913FF" w:rsidRDefault="00CF46BB" w:rsidP="00CF46BB">
            <w:pPr>
              <w:jc w:val="both"/>
              <w:rPr>
                <w:b/>
                <w:bCs/>
                <w:lang w:val="en-US" w:eastAsia="ru-RU"/>
              </w:rPr>
            </w:pPr>
            <w:r w:rsidRPr="006913FF">
              <w:rPr>
                <w:b/>
                <w:bCs/>
                <w:lang w:val="en-US" w:eastAsia="ru-RU"/>
              </w:rPr>
              <w:t>Contaminant Class</w:t>
            </w:r>
          </w:p>
        </w:tc>
        <w:tc>
          <w:tcPr>
            <w:tcW w:w="0" w:type="auto"/>
            <w:tcBorders>
              <w:bottom w:val="single" w:sz="4" w:space="0" w:color="auto"/>
            </w:tcBorders>
            <w:vAlign w:val="center"/>
          </w:tcPr>
          <w:p w14:paraId="7B1E4254" w14:textId="77777777" w:rsidR="00CF46BB" w:rsidRPr="006913FF" w:rsidRDefault="00CF46BB" w:rsidP="00CF46BB">
            <w:pPr>
              <w:jc w:val="center"/>
              <w:rPr>
                <w:b/>
                <w:bCs/>
                <w:lang w:val="en-US" w:eastAsia="ru-RU"/>
              </w:rPr>
            </w:pPr>
            <w:r w:rsidRPr="006913FF">
              <w:rPr>
                <w:b/>
                <w:bCs/>
                <w:lang w:val="en-US" w:eastAsia="ru-RU"/>
              </w:rPr>
              <w:t>Analytical Technique</w:t>
            </w:r>
          </w:p>
        </w:tc>
        <w:tc>
          <w:tcPr>
            <w:tcW w:w="0" w:type="auto"/>
            <w:tcBorders>
              <w:bottom w:val="single" w:sz="4" w:space="0" w:color="auto"/>
            </w:tcBorders>
            <w:vAlign w:val="center"/>
          </w:tcPr>
          <w:p w14:paraId="52E3858E" w14:textId="77777777" w:rsidR="00CF46BB" w:rsidRPr="006913FF" w:rsidRDefault="00CF46BB" w:rsidP="00CF46BB">
            <w:pPr>
              <w:jc w:val="center"/>
              <w:rPr>
                <w:b/>
                <w:bCs/>
                <w:lang w:val="en-US" w:eastAsia="ru-RU"/>
              </w:rPr>
            </w:pPr>
            <w:r w:rsidRPr="006913FF">
              <w:rPr>
                <w:b/>
                <w:bCs/>
                <w:lang w:val="en-US" w:eastAsia="ru-RU"/>
              </w:rPr>
              <w:t>Detection Limit</w:t>
            </w:r>
          </w:p>
        </w:tc>
        <w:tc>
          <w:tcPr>
            <w:tcW w:w="0" w:type="auto"/>
            <w:tcBorders>
              <w:bottom w:val="single" w:sz="4" w:space="0" w:color="auto"/>
            </w:tcBorders>
            <w:vAlign w:val="center"/>
          </w:tcPr>
          <w:p w14:paraId="7D8767EE" w14:textId="77777777" w:rsidR="00CF46BB" w:rsidRPr="006913FF" w:rsidRDefault="00CF46BB" w:rsidP="00CF46BB">
            <w:pPr>
              <w:jc w:val="center"/>
              <w:rPr>
                <w:b/>
                <w:bCs/>
                <w:lang w:val="en-US" w:eastAsia="ru-RU"/>
              </w:rPr>
            </w:pPr>
            <w:r w:rsidRPr="006913FF">
              <w:rPr>
                <w:b/>
                <w:bCs/>
                <w:lang w:val="en-US" w:eastAsia="ru-RU"/>
              </w:rPr>
              <w:t>Analysis Time</w:t>
            </w:r>
          </w:p>
        </w:tc>
        <w:tc>
          <w:tcPr>
            <w:tcW w:w="0" w:type="auto"/>
            <w:tcBorders>
              <w:bottom w:val="single" w:sz="4" w:space="0" w:color="auto"/>
            </w:tcBorders>
            <w:vAlign w:val="center"/>
          </w:tcPr>
          <w:p w14:paraId="4EAB2360" w14:textId="77777777" w:rsidR="00CF46BB" w:rsidRPr="006913FF" w:rsidRDefault="00CF46BB" w:rsidP="00CF46BB">
            <w:pPr>
              <w:jc w:val="center"/>
              <w:rPr>
                <w:b/>
                <w:bCs/>
                <w:lang w:val="en-US" w:eastAsia="ru-RU"/>
              </w:rPr>
            </w:pPr>
            <w:r w:rsidRPr="006913FF">
              <w:rPr>
                <w:b/>
                <w:bCs/>
                <w:lang w:val="en-US" w:eastAsia="ru-RU"/>
              </w:rPr>
              <w:t>Accuracy (%)</w:t>
            </w:r>
          </w:p>
        </w:tc>
      </w:tr>
      <w:tr w:rsidR="00CF46BB" w:rsidRPr="006913FF" w14:paraId="47096775" w14:textId="77777777" w:rsidTr="00CF46BB">
        <w:trPr>
          <w:jc w:val="center"/>
        </w:trPr>
        <w:tc>
          <w:tcPr>
            <w:tcW w:w="0" w:type="auto"/>
            <w:tcBorders>
              <w:top w:val="single" w:sz="4" w:space="0" w:color="auto"/>
              <w:bottom w:val="nil"/>
            </w:tcBorders>
            <w:vAlign w:val="center"/>
          </w:tcPr>
          <w:p w14:paraId="39588315" w14:textId="77777777" w:rsidR="00CF46BB" w:rsidRPr="006913FF" w:rsidRDefault="00CF46BB" w:rsidP="00CF46BB">
            <w:pPr>
              <w:jc w:val="both"/>
              <w:rPr>
                <w:lang w:val="en-US" w:eastAsia="ru-RU"/>
              </w:rPr>
            </w:pPr>
            <w:r w:rsidRPr="006913FF">
              <w:rPr>
                <w:b/>
                <w:bCs/>
                <w:lang w:val="en-US" w:eastAsia="ru-RU"/>
              </w:rPr>
              <w:t>Pesticides</w:t>
            </w:r>
          </w:p>
        </w:tc>
        <w:tc>
          <w:tcPr>
            <w:tcW w:w="0" w:type="auto"/>
            <w:tcBorders>
              <w:top w:val="single" w:sz="4" w:space="0" w:color="auto"/>
              <w:bottom w:val="nil"/>
            </w:tcBorders>
            <w:vAlign w:val="center"/>
          </w:tcPr>
          <w:p w14:paraId="13A9A0D0" w14:textId="77777777" w:rsidR="00CF46BB" w:rsidRPr="006913FF" w:rsidRDefault="00CF46BB" w:rsidP="00CF46BB">
            <w:pPr>
              <w:jc w:val="center"/>
              <w:rPr>
                <w:lang w:val="en-US" w:eastAsia="ru-RU"/>
              </w:rPr>
            </w:pPr>
            <w:r w:rsidRPr="006913FF">
              <w:rPr>
                <w:lang w:val="en-US" w:eastAsia="ru-RU"/>
              </w:rPr>
              <w:t>LC-MS/MS</w:t>
            </w:r>
          </w:p>
        </w:tc>
        <w:tc>
          <w:tcPr>
            <w:tcW w:w="0" w:type="auto"/>
            <w:tcBorders>
              <w:top w:val="single" w:sz="4" w:space="0" w:color="auto"/>
              <w:bottom w:val="nil"/>
            </w:tcBorders>
            <w:vAlign w:val="center"/>
          </w:tcPr>
          <w:p w14:paraId="6D8AF96B" w14:textId="77777777" w:rsidR="00CF46BB" w:rsidRPr="006913FF" w:rsidRDefault="00CF46BB" w:rsidP="00CF46BB">
            <w:pPr>
              <w:jc w:val="center"/>
              <w:rPr>
                <w:lang w:val="en-US" w:eastAsia="ru-RU"/>
              </w:rPr>
            </w:pPr>
            <w:r w:rsidRPr="006913FF">
              <w:rPr>
                <w:lang w:val="en-US" w:eastAsia="ru-RU"/>
              </w:rPr>
              <w:t>0.01-0.1 ppm</w:t>
            </w:r>
          </w:p>
        </w:tc>
        <w:tc>
          <w:tcPr>
            <w:tcW w:w="0" w:type="auto"/>
            <w:tcBorders>
              <w:top w:val="single" w:sz="4" w:space="0" w:color="auto"/>
              <w:bottom w:val="nil"/>
            </w:tcBorders>
            <w:vAlign w:val="center"/>
          </w:tcPr>
          <w:p w14:paraId="078F5E02" w14:textId="77777777" w:rsidR="00CF46BB" w:rsidRPr="006913FF" w:rsidRDefault="00CF46BB" w:rsidP="00CF46BB">
            <w:pPr>
              <w:jc w:val="center"/>
              <w:rPr>
                <w:lang w:val="en-US" w:eastAsia="ru-RU"/>
              </w:rPr>
            </w:pPr>
            <w:r w:rsidRPr="006913FF">
              <w:rPr>
                <w:lang w:val="en-US" w:eastAsia="ru-RU"/>
              </w:rPr>
              <w:t>15 minutes</w:t>
            </w:r>
          </w:p>
        </w:tc>
        <w:tc>
          <w:tcPr>
            <w:tcW w:w="0" w:type="auto"/>
            <w:tcBorders>
              <w:top w:val="single" w:sz="4" w:space="0" w:color="auto"/>
              <w:bottom w:val="nil"/>
            </w:tcBorders>
            <w:vAlign w:val="center"/>
          </w:tcPr>
          <w:p w14:paraId="22162801" w14:textId="77777777" w:rsidR="00CF46BB" w:rsidRPr="006913FF" w:rsidRDefault="00CF46BB" w:rsidP="00CF46BB">
            <w:pPr>
              <w:jc w:val="center"/>
              <w:rPr>
                <w:lang w:eastAsia="ru-RU"/>
              </w:rPr>
            </w:pPr>
            <w:r w:rsidRPr="006913FF">
              <w:rPr>
                <w:lang w:eastAsia="ru-RU"/>
              </w:rPr>
              <w:t>99.9</w:t>
            </w:r>
          </w:p>
        </w:tc>
      </w:tr>
      <w:tr w:rsidR="00CF46BB" w:rsidRPr="006913FF" w14:paraId="730391D3" w14:textId="77777777" w:rsidTr="00CF46BB">
        <w:trPr>
          <w:jc w:val="center"/>
        </w:trPr>
        <w:tc>
          <w:tcPr>
            <w:tcW w:w="0" w:type="auto"/>
            <w:tcBorders>
              <w:top w:val="nil"/>
            </w:tcBorders>
            <w:vAlign w:val="center"/>
          </w:tcPr>
          <w:p w14:paraId="4ED2DD14" w14:textId="77777777" w:rsidR="00CF46BB" w:rsidRPr="006913FF" w:rsidRDefault="00CF46BB" w:rsidP="00CF46BB">
            <w:pPr>
              <w:jc w:val="both"/>
              <w:rPr>
                <w:lang w:eastAsia="ru-RU"/>
              </w:rPr>
            </w:pPr>
            <w:proofErr w:type="spellStart"/>
            <w:r w:rsidRPr="006913FF">
              <w:rPr>
                <w:b/>
                <w:bCs/>
                <w:lang w:eastAsia="ru-RU"/>
              </w:rPr>
              <w:t>Mycotoxins</w:t>
            </w:r>
            <w:proofErr w:type="spellEnd"/>
          </w:p>
        </w:tc>
        <w:tc>
          <w:tcPr>
            <w:tcW w:w="0" w:type="auto"/>
            <w:tcBorders>
              <w:top w:val="nil"/>
            </w:tcBorders>
            <w:vAlign w:val="center"/>
          </w:tcPr>
          <w:p w14:paraId="0A781F7C" w14:textId="77777777" w:rsidR="00CF46BB" w:rsidRPr="006913FF" w:rsidRDefault="00CF46BB" w:rsidP="00CF46BB">
            <w:pPr>
              <w:jc w:val="center"/>
              <w:rPr>
                <w:lang w:eastAsia="ru-RU"/>
              </w:rPr>
            </w:pPr>
            <w:r w:rsidRPr="006913FF">
              <w:rPr>
                <w:lang w:eastAsia="ru-RU"/>
              </w:rPr>
              <w:t>HPLC-FLD</w:t>
            </w:r>
          </w:p>
        </w:tc>
        <w:tc>
          <w:tcPr>
            <w:tcW w:w="0" w:type="auto"/>
            <w:tcBorders>
              <w:top w:val="nil"/>
            </w:tcBorders>
            <w:vAlign w:val="center"/>
          </w:tcPr>
          <w:p w14:paraId="3D5C9C02" w14:textId="77777777" w:rsidR="00CF46BB" w:rsidRPr="006913FF" w:rsidRDefault="00CF46BB" w:rsidP="00CF46BB">
            <w:pPr>
              <w:jc w:val="center"/>
              <w:rPr>
                <w:lang w:eastAsia="ru-RU"/>
              </w:rPr>
            </w:pPr>
            <w:r w:rsidRPr="006913FF">
              <w:rPr>
                <w:lang w:eastAsia="ru-RU"/>
              </w:rPr>
              <w:t xml:space="preserve">0.1-1 </w:t>
            </w:r>
            <w:proofErr w:type="spellStart"/>
            <w:r w:rsidRPr="006913FF">
              <w:rPr>
                <w:lang w:eastAsia="ru-RU"/>
              </w:rPr>
              <w:t>ppb</w:t>
            </w:r>
            <w:proofErr w:type="spellEnd"/>
          </w:p>
        </w:tc>
        <w:tc>
          <w:tcPr>
            <w:tcW w:w="0" w:type="auto"/>
            <w:tcBorders>
              <w:top w:val="nil"/>
            </w:tcBorders>
            <w:vAlign w:val="center"/>
          </w:tcPr>
          <w:p w14:paraId="24D9C8E7" w14:textId="77777777" w:rsidR="00CF46BB" w:rsidRPr="006913FF" w:rsidRDefault="00CF46BB" w:rsidP="00CF46BB">
            <w:pPr>
              <w:jc w:val="center"/>
              <w:rPr>
                <w:lang w:eastAsia="ru-RU"/>
              </w:rPr>
            </w:pPr>
            <w:r w:rsidRPr="006913FF">
              <w:rPr>
                <w:lang w:eastAsia="ru-RU"/>
              </w:rPr>
              <w:t xml:space="preserve">20 </w:t>
            </w:r>
            <w:proofErr w:type="spellStart"/>
            <w:r w:rsidRPr="006913FF">
              <w:rPr>
                <w:lang w:eastAsia="ru-RU"/>
              </w:rPr>
              <w:t>minutes</w:t>
            </w:r>
            <w:proofErr w:type="spellEnd"/>
          </w:p>
        </w:tc>
        <w:tc>
          <w:tcPr>
            <w:tcW w:w="0" w:type="auto"/>
            <w:tcBorders>
              <w:top w:val="nil"/>
            </w:tcBorders>
            <w:vAlign w:val="center"/>
          </w:tcPr>
          <w:p w14:paraId="51FD0708" w14:textId="77777777" w:rsidR="00CF46BB" w:rsidRPr="006913FF" w:rsidRDefault="00CF46BB" w:rsidP="00CF46BB">
            <w:pPr>
              <w:jc w:val="center"/>
              <w:rPr>
                <w:lang w:eastAsia="ru-RU"/>
              </w:rPr>
            </w:pPr>
            <w:r w:rsidRPr="006913FF">
              <w:rPr>
                <w:lang w:eastAsia="ru-RU"/>
              </w:rPr>
              <w:t>99.7</w:t>
            </w:r>
          </w:p>
        </w:tc>
      </w:tr>
      <w:tr w:rsidR="00CF46BB" w:rsidRPr="006913FF" w14:paraId="6B38E544" w14:textId="77777777" w:rsidTr="00CF46BB">
        <w:trPr>
          <w:jc w:val="center"/>
        </w:trPr>
        <w:tc>
          <w:tcPr>
            <w:tcW w:w="0" w:type="auto"/>
            <w:vAlign w:val="center"/>
          </w:tcPr>
          <w:p w14:paraId="6AFE3646" w14:textId="77777777" w:rsidR="00CF46BB" w:rsidRPr="006913FF" w:rsidRDefault="00CF46BB" w:rsidP="00CF46BB">
            <w:pPr>
              <w:jc w:val="both"/>
              <w:rPr>
                <w:lang w:eastAsia="ru-RU"/>
              </w:rPr>
            </w:pPr>
            <w:proofErr w:type="spellStart"/>
            <w:r w:rsidRPr="006913FF">
              <w:rPr>
                <w:b/>
                <w:bCs/>
                <w:lang w:eastAsia="ru-RU"/>
              </w:rPr>
              <w:t>Allergens</w:t>
            </w:r>
            <w:proofErr w:type="spellEnd"/>
          </w:p>
        </w:tc>
        <w:tc>
          <w:tcPr>
            <w:tcW w:w="0" w:type="auto"/>
            <w:vAlign w:val="center"/>
          </w:tcPr>
          <w:p w14:paraId="3575078D" w14:textId="77777777" w:rsidR="00CF46BB" w:rsidRPr="006913FF" w:rsidRDefault="00CF46BB" w:rsidP="00CF46BB">
            <w:pPr>
              <w:jc w:val="center"/>
              <w:rPr>
                <w:lang w:eastAsia="ru-RU"/>
              </w:rPr>
            </w:pPr>
            <w:r w:rsidRPr="006913FF">
              <w:rPr>
                <w:lang w:eastAsia="ru-RU"/>
              </w:rPr>
              <w:t>ELISA</w:t>
            </w:r>
          </w:p>
        </w:tc>
        <w:tc>
          <w:tcPr>
            <w:tcW w:w="0" w:type="auto"/>
            <w:vAlign w:val="center"/>
          </w:tcPr>
          <w:p w14:paraId="65AF8A41" w14:textId="77777777" w:rsidR="00CF46BB" w:rsidRPr="006913FF" w:rsidRDefault="00CF46BB" w:rsidP="00CF46BB">
            <w:pPr>
              <w:jc w:val="center"/>
              <w:rPr>
                <w:lang w:eastAsia="ru-RU"/>
              </w:rPr>
            </w:pPr>
            <w:r w:rsidRPr="006913FF">
              <w:rPr>
                <w:lang w:eastAsia="ru-RU"/>
              </w:rPr>
              <w:t xml:space="preserve">1 </w:t>
            </w:r>
            <w:proofErr w:type="spellStart"/>
            <w:r w:rsidRPr="006913FF">
              <w:rPr>
                <w:lang w:eastAsia="ru-RU"/>
              </w:rPr>
              <w:t>ppm</w:t>
            </w:r>
            <w:proofErr w:type="spellEnd"/>
          </w:p>
        </w:tc>
        <w:tc>
          <w:tcPr>
            <w:tcW w:w="0" w:type="auto"/>
            <w:vAlign w:val="center"/>
          </w:tcPr>
          <w:p w14:paraId="1A57DE3F" w14:textId="77777777" w:rsidR="00CF46BB" w:rsidRPr="006913FF" w:rsidRDefault="00CF46BB" w:rsidP="00CF46BB">
            <w:pPr>
              <w:jc w:val="center"/>
              <w:rPr>
                <w:lang w:eastAsia="ru-RU"/>
              </w:rPr>
            </w:pPr>
            <w:r w:rsidRPr="006913FF">
              <w:rPr>
                <w:lang w:eastAsia="ru-RU"/>
              </w:rPr>
              <w:t xml:space="preserve">45 </w:t>
            </w:r>
            <w:proofErr w:type="spellStart"/>
            <w:r w:rsidRPr="006913FF">
              <w:rPr>
                <w:lang w:eastAsia="ru-RU"/>
              </w:rPr>
              <w:t>minutes</w:t>
            </w:r>
            <w:proofErr w:type="spellEnd"/>
          </w:p>
        </w:tc>
        <w:tc>
          <w:tcPr>
            <w:tcW w:w="0" w:type="auto"/>
            <w:vAlign w:val="center"/>
          </w:tcPr>
          <w:p w14:paraId="37F5C950" w14:textId="77777777" w:rsidR="00CF46BB" w:rsidRPr="006913FF" w:rsidRDefault="00CF46BB" w:rsidP="00CF46BB">
            <w:pPr>
              <w:jc w:val="center"/>
              <w:rPr>
                <w:lang w:eastAsia="ru-RU"/>
              </w:rPr>
            </w:pPr>
            <w:r w:rsidRPr="006913FF">
              <w:rPr>
                <w:lang w:eastAsia="ru-RU"/>
              </w:rPr>
              <w:t>99.5</w:t>
            </w:r>
          </w:p>
        </w:tc>
      </w:tr>
      <w:tr w:rsidR="00CF46BB" w:rsidRPr="006913FF" w14:paraId="202D8FA5" w14:textId="77777777" w:rsidTr="00CF46BB">
        <w:trPr>
          <w:jc w:val="center"/>
        </w:trPr>
        <w:tc>
          <w:tcPr>
            <w:tcW w:w="0" w:type="auto"/>
            <w:vAlign w:val="center"/>
          </w:tcPr>
          <w:p w14:paraId="00C04E6E" w14:textId="77777777" w:rsidR="00CF46BB" w:rsidRPr="006913FF" w:rsidRDefault="00CF46BB" w:rsidP="00CF46BB">
            <w:pPr>
              <w:jc w:val="both"/>
              <w:rPr>
                <w:lang w:eastAsia="ru-RU"/>
              </w:rPr>
            </w:pPr>
            <w:proofErr w:type="spellStart"/>
            <w:r w:rsidRPr="006913FF">
              <w:rPr>
                <w:b/>
                <w:bCs/>
                <w:lang w:eastAsia="ru-RU"/>
              </w:rPr>
              <w:t>Broad</w:t>
            </w:r>
            <w:proofErr w:type="spellEnd"/>
            <w:r w:rsidRPr="006913FF">
              <w:rPr>
                <w:b/>
                <w:bCs/>
                <w:lang w:eastAsia="ru-RU"/>
              </w:rPr>
              <w:t xml:space="preserve"> </w:t>
            </w:r>
            <w:proofErr w:type="spellStart"/>
            <w:r w:rsidRPr="006913FF">
              <w:rPr>
                <w:b/>
                <w:bCs/>
                <w:lang w:eastAsia="ru-RU"/>
              </w:rPr>
              <w:t>Screening</w:t>
            </w:r>
            <w:proofErr w:type="spellEnd"/>
          </w:p>
        </w:tc>
        <w:tc>
          <w:tcPr>
            <w:tcW w:w="0" w:type="auto"/>
            <w:vAlign w:val="center"/>
          </w:tcPr>
          <w:p w14:paraId="6C8D74A6" w14:textId="77777777" w:rsidR="00CF46BB" w:rsidRPr="006913FF" w:rsidRDefault="00CF46BB" w:rsidP="00CF46BB">
            <w:pPr>
              <w:jc w:val="center"/>
              <w:rPr>
                <w:lang w:eastAsia="ru-RU"/>
              </w:rPr>
            </w:pPr>
            <w:r w:rsidRPr="006913FF">
              <w:rPr>
                <w:lang w:eastAsia="ru-RU"/>
              </w:rPr>
              <w:t>SERS-</w:t>
            </w:r>
            <w:proofErr w:type="spellStart"/>
            <w:r w:rsidRPr="006913FF">
              <w:rPr>
                <w:lang w:eastAsia="ru-RU"/>
              </w:rPr>
              <w:t>Raman</w:t>
            </w:r>
            <w:proofErr w:type="spellEnd"/>
          </w:p>
        </w:tc>
        <w:tc>
          <w:tcPr>
            <w:tcW w:w="0" w:type="auto"/>
            <w:vAlign w:val="center"/>
          </w:tcPr>
          <w:p w14:paraId="09C10855" w14:textId="77777777" w:rsidR="00CF46BB" w:rsidRPr="006913FF" w:rsidRDefault="00CF46BB" w:rsidP="00CF46BB">
            <w:pPr>
              <w:jc w:val="center"/>
              <w:rPr>
                <w:lang w:eastAsia="ru-RU"/>
              </w:rPr>
            </w:pPr>
            <w:r w:rsidRPr="006913FF">
              <w:rPr>
                <w:lang w:eastAsia="ru-RU"/>
              </w:rPr>
              <w:t xml:space="preserve">0.1-10 </w:t>
            </w:r>
            <w:proofErr w:type="spellStart"/>
            <w:r w:rsidRPr="006913FF">
              <w:rPr>
                <w:lang w:eastAsia="ru-RU"/>
              </w:rPr>
              <w:t>ppm</w:t>
            </w:r>
            <w:proofErr w:type="spellEnd"/>
          </w:p>
        </w:tc>
        <w:tc>
          <w:tcPr>
            <w:tcW w:w="0" w:type="auto"/>
            <w:vAlign w:val="center"/>
          </w:tcPr>
          <w:p w14:paraId="4D6965D7" w14:textId="77777777" w:rsidR="00CF46BB" w:rsidRPr="006913FF" w:rsidRDefault="00CF46BB" w:rsidP="00CF46BB">
            <w:pPr>
              <w:jc w:val="center"/>
              <w:rPr>
                <w:lang w:eastAsia="ru-RU"/>
              </w:rPr>
            </w:pPr>
            <w:r w:rsidRPr="006913FF">
              <w:rPr>
                <w:lang w:eastAsia="ru-RU"/>
              </w:rPr>
              <w:t xml:space="preserve">2 </w:t>
            </w:r>
            <w:proofErr w:type="spellStart"/>
            <w:r w:rsidRPr="006913FF">
              <w:rPr>
                <w:lang w:eastAsia="ru-RU"/>
              </w:rPr>
              <w:t>minutes</w:t>
            </w:r>
            <w:proofErr w:type="spellEnd"/>
          </w:p>
        </w:tc>
        <w:tc>
          <w:tcPr>
            <w:tcW w:w="0" w:type="auto"/>
            <w:vAlign w:val="center"/>
          </w:tcPr>
          <w:p w14:paraId="5F74D573" w14:textId="77777777" w:rsidR="00CF46BB" w:rsidRPr="006913FF" w:rsidRDefault="00CF46BB" w:rsidP="00CF46BB">
            <w:pPr>
              <w:jc w:val="center"/>
              <w:rPr>
                <w:lang w:eastAsia="ru-RU"/>
              </w:rPr>
            </w:pPr>
            <w:r w:rsidRPr="006913FF">
              <w:rPr>
                <w:lang w:eastAsia="ru-RU"/>
              </w:rPr>
              <w:t>95.2</w:t>
            </w:r>
          </w:p>
        </w:tc>
      </w:tr>
    </w:tbl>
    <w:p w14:paraId="0EEC71E1" w14:textId="77777777" w:rsidR="00CF46BB" w:rsidRPr="006913FF" w:rsidRDefault="00CF46BB" w:rsidP="00CF46BB">
      <w:pPr>
        <w:shd w:val="clear" w:color="auto" w:fill="FFFFFF"/>
        <w:ind w:firstLine="284"/>
        <w:jc w:val="both"/>
        <w:rPr>
          <w:color w:val="0F1115"/>
          <w:lang w:val="en-US" w:eastAsia="ru-RU"/>
        </w:rPr>
      </w:pPr>
    </w:p>
    <w:p w14:paraId="1FD97C6A" w14:textId="49D0131B" w:rsidR="00CF46BB" w:rsidRPr="006913FF" w:rsidRDefault="000E3A57" w:rsidP="00CF46BB">
      <w:pPr>
        <w:shd w:val="clear" w:color="auto" w:fill="FFFFFF"/>
        <w:ind w:firstLine="284"/>
        <w:jc w:val="both"/>
        <w:rPr>
          <w:color w:val="0F1115"/>
          <w:lang w:val="en-US" w:eastAsia="ru-RU"/>
        </w:rPr>
      </w:pPr>
      <w:r w:rsidRPr="006913FF">
        <w:rPr>
          <w:color w:val="0F1115"/>
          <w:lang w:val="en-US" w:eastAsia="ru-RU"/>
        </w:rPr>
        <w:t>Quality</w:t>
      </w:r>
      <w:r w:rsidRPr="006913FF">
        <w:rPr>
          <w:color w:val="0F1115"/>
          <w:lang w:eastAsia="ru-RU"/>
        </w:rPr>
        <w:t> </w:t>
      </w:r>
      <w:r w:rsidRPr="006913FF">
        <w:rPr>
          <w:color w:val="0F1115"/>
          <w:lang w:val="en-US" w:eastAsia="ru-RU"/>
        </w:rPr>
        <w:t>and authenticity are also equally important, if not more than safety. Routine composition analysis – that</w:t>
      </w:r>
      <w:r w:rsidRPr="006913FF">
        <w:rPr>
          <w:color w:val="0F1115"/>
          <w:lang w:eastAsia="ru-RU"/>
        </w:rPr>
        <w:t> </w:t>
      </w:r>
      <w:r w:rsidRPr="006913FF">
        <w:rPr>
          <w:color w:val="0F1115"/>
          <w:lang w:val="en-US" w:eastAsia="ru-RU"/>
        </w:rPr>
        <w:t xml:space="preserve">is, measurement of fat, moisture and protein content – was effectively carried out by Near-infrared (NIR) spectroscopy. Fatty acid profiling: Detailed fatty acid composition was determined using a gas chromatograph (GC) </w:t>
      </w:r>
      <w:proofErr w:type="gramStart"/>
      <w:r w:rsidRPr="006913FF">
        <w:rPr>
          <w:color w:val="0F1115"/>
          <w:lang w:val="en-US" w:eastAsia="ru-RU"/>
        </w:rPr>
        <w:t>an</w:t>
      </w:r>
      <w:proofErr w:type="gramEnd"/>
      <w:r w:rsidRPr="006913FF">
        <w:rPr>
          <w:color w:val="0F1115"/>
          <w:lang w:val="en-US" w:eastAsia="ru-RU"/>
        </w:rPr>
        <w:t xml:space="preserve"> d vitamin content was assessed by high performance liquid</w:t>
      </w:r>
      <w:r w:rsidRPr="006913FF">
        <w:rPr>
          <w:color w:val="0F1115"/>
          <w:lang w:eastAsia="ru-RU"/>
        </w:rPr>
        <w:t> </w:t>
      </w:r>
      <w:r w:rsidRPr="006913FF">
        <w:rPr>
          <w:color w:val="0F1115"/>
          <w:lang w:val="en-US" w:eastAsia="ru-RU"/>
        </w:rPr>
        <w:t>chromatography (HPLC). Authentication methods were used to prevent</w:t>
      </w:r>
      <w:r w:rsidRPr="006913FF">
        <w:rPr>
          <w:color w:val="0F1115"/>
          <w:lang w:eastAsia="ru-RU"/>
        </w:rPr>
        <w:t> </w:t>
      </w:r>
      <w:r w:rsidRPr="006913FF">
        <w:rPr>
          <w:color w:val="0F1115"/>
          <w:lang w:val="en-US" w:eastAsia="ru-RU"/>
        </w:rPr>
        <w:t>food fraud and validate claims. The stable isotope analysis showed high accuracy in assignment of geographical origin</w:t>
      </w:r>
      <w:r w:rsidRPr="006913FF">
        <w:rPr>
          <w:color w:val="0F1115"/>
          <w:lang w:eastAsia="ru-RU"/>
        </w:rPr>
        <w:t> </w:t>
      </w:r>
      <w:r w:rsidRPr="006913FF">
        <w:rPr>
          <w:color w:val="0F1115"/>
          <w:lang w:val="en-US" w:eastAsia="ru-RU"/>
        </w:rPr>
        <w:t xml:space="preserve">of the samples (measured </w:t>
      </w:r>
      <w:r w:rsidRPr="006913FF">
        <w:rPr>
          <w:color w:val="0F1115"/>
          <w:lang w:eastAsia="ru-RU"/>
        </w:rPr>
        <w:t>δ</w:t>
      </w:r>
      <w:r w:rsidRPr="006913FF">
        <w:rPr>
          <w:color w:val="0F1115"/>
          <w:lang w:val="en-US" w:eastAsia="ru-RU"/>
        </w:rPr>
        <w:t xml:space="preserve">¹³C, </w:t>
      </w:r>
      <w:r w:rsidRPr="006913FF">
        <w:rPr>
          <w:color w:val="0F1115"/>
          <w:lang w:eastAsia="ru-RU"/>
        </w:rPr>
        <w:t>δ</w:t>
      </w:r>
      <w:r w:rsidRPr="006913FF">
        <w:rPr>
          <w:color w:val="0F1115"/>
          <w:lang w:val="en-US" w:eastAsia="ru-RU"/>
        </w:rPr>
        <w:t xml:space="preserve">¹⁵N and </w:t>
      </w:r>
      <w:r w:rsidRPr="006913FF">
        <w:rPr>
          <w:color w:val="0F1115"/>
          <w:lang w:eastAsia="ru-RU"/>
        </w:rPr>
        <w:t>δ</w:t>
      </w:r>
      <w:r w:rsidRPr="006913FF">
        <w:rPr>
          <w:color w:val="0F1115"/>
          <w:lang w:val="en-US" w:eastAsia="ru-RU"/>
        </w:rPr>
        <w:t>¹⁸O ratios). Moreover, Sophisticated spectroscopic fingerprinting (e.g.,</w:t>
      </w:r>
      <w:r w:rsidRPr="006913FF">
        <w:rPr>
          <w:color w:val="0F1115"/>
          <w:lang w:eastAsia="ru-RU"/>
        </w:rPr>
        <w:t> </w:t>
      </w:r>
      <w:r w:rsidRPr="006913FF">
        <w:rPr>
          <w:color w:val="0F1115"/>
          <w:lang w:val="en-US" w:eastAsia="ru-RU"/>
        </w:rPr>
        <w:t>FTIR-, NIR- or Raman-spectroscopy) and the corresponding chemometric analysis made it possible to identify adulteration (dilution with cheaper oils, addition of synthetic sweeteners), by comparing the complex spectral signature observed on a sample with that registered for known references</w:t>
      </w:r>
      <w:r w:rsidR="00CF46BB" w:rsidRPr="006913FF">
        <w:rPr>
          <w:color w:val="0F1115"/>
          <w:lang w:val="en-US" w:eastAsia="ru-RU"/>
        </w:rPr>
        <w:t>.</w:t>
      </w:r>
    </w:p>
    <w:p w14:paraId="7586A068" w14:textId="77777777" w:rsidR="002658E6" w:rsidRPr="006913FF" w:rsidRDefault="0071786C" w:rsidP="0071786C">
      <w:pPr>
        <w:shd w:val="clear" w:color="auto" w:fill="FFFFFF"/>
        <w:spacing w:before="240" w:after="240"/>
        <w:jc w:val="center"/>
        <w:rPr>
          <w:b/>
          <w:bCs/>
          <w:color w:val="0F1115"/>
          <w:sz w:val="24"/>
          <w:lang w:val="en-US" w:eastAsia="ru-RU"/>
        </w:rPr>
      </w:pPr>
      <w:r w:rsidRPr="006913FF">
        <w:rPr>
          <w:b/>
          <w:bCs/>
          <w:color w:val="0F1115"/>
          <w:sz w:val="24"/>
          <w:lang w:val="en-US" w:eastAsia="ru-RU"/>
        </w:rPr>
        <w:t>VALIDATION AND PERFORMANCE ASSESSMENT</w:t>
      </w:r>
    </w:p>
    <w:p w14:paraId="48C4B4EF" w14:textId="7F76A760" w:rsidR="00A72231" w:rsidRPr="006913FF" w:rsidRDefault="000E3A57" w:rsidP="00A72231">
      <w:pPr>
        <w:shd w:val="clear" w:color="auto" w:fill="FFFFFF"/>
        <w:ind w:firstLine="284"/>
        <w:jc w:val="both"/>
        <w:rPr>
          <w:bCs/>
          <w:color w:val="0F1115"/>
          <w:lang w:val="en-US" w:eastAsia="ru-RU"/>
        </w:rPr>
      </w:pPr>
      <w:r w:rsidRPr="006913FF">
        <w:rPr>
          <w:bCs/>
          <w:color w:val="0F1115"/>
          <w:lang w:val="en-US" w:eastAsia="ru-RU"/>
        </w:rPr>
        <w:t>The methods were thoroughly validated to be suitable for the process control. The precision of the FTIR-QCL system was very satisfactory, represented by a repeatability and reproducibility of 0.5% and 1.2%, respectively. Raman spectroscopy demonstrated good performance (day-to-day variation in key peak intensity ratios was less than 2%). This chromatographic performance was also reflected in the statistical evaluation of retention times, as the GC-VUV system showed a retention time precision of 0.01% and a peak area precision of 0.5%, ensuring precise identification and quantification</w:t>
      </w:r>
      <w:r w:rsidR="00A72231" w:rsidRPr="006913FF">
        <w:rPr>
          <w:bCs/>
          <w:color w:val="0F1115"/>
          <w:lang w:val="en-US" w:eastAsia="ru-RU"/>
        </w:rPr>
        <w:t>.</w:t>
      </w:r>
    </w:p>
    <w:p w14:paraId="3D5E181B" w14:textId="77777777" w:rsidR="00A72231" w:rsidRPr="006913FF" w:rsidRDefault="00A72231" w:rsidP="00A72231">
      <w:pPr>
        <w:shd w:val="clear" w:color="auto" w:fill="FFFFFF"/>
        <w:ind w:firstLine="284"/>
        <w:jc w:val="both"/>
        <w:rPr>
          <w:bCs/>
          <w:color w:val="0F1115"/>
          <w:lang w:val="en-US" w:eastAsia="ru-RU"/>
        </w:rPr>
      </w:pPr>
    </w:p>
    <w:p w14:paraId="5DCF9122" w14:textId="13ADEB9C" w:rsidR="009B6180" w:rsidRDefault="006104CA" w:rsidP="006104CA">
      <w:pPr>
        <w:shd w:val="clear" w:color="auto" w:fill="FFFFFF"/>
        <w:spacing w:before="120"/>
        <w:jc w:val="center"/>
        <w:rPr>
          <w:bCs/>
          <w:color w:val="0F1115"/>
          <w:sz w:val="18"/>
          <w:lang w:val="en-US" w:eastAsia="ru-RU"/>
        </w:rPr>
      </w:pPr>
      <w:r w:rsidRPr="006913FF">
        <w:rPr>
          <w:b/>
          <w:bCs/>
          <w:color w:val="0F1115"/>
          <w:sz w:val="18"/>
          <w:lang w:val="en-US" w:eastAsia="ru-RU"/>
        </w:rPr>
        <w:t>TABLE 3.</w:t>
      </w:r>
      <w:r w:rsidR="009B6180" w:rsidRPr="006913FF">
        <w:rPr>
          <w:b/>
          <w:bCs/>
          <w:color w:val="0F1115"/>
          <w:sz w:val="18"/>
          <w:lang w:val="en-US" w:eastAsia="ru-RU"/>
        </w:rPr>
        <w:t xml:space="preserve"> </w:t>
      </w:r>
      <w:r w:rsidR="009B6180" w:rsidRPr="006913FF">
        <w:rPr>
          <w:bCs/>
          <w:color w:val="0F1115"/>
          <w:sz w:val="18"/>
          <w:lang w:val="en-US" w:eastAsia="ru-RU"/>
        </w:rPr>
        <w:t>Analytical Method Performance Summary</w:t>
      </w:r>
    </w:p>
    <w:p w14:paraId="123487FB" w14:textId="77777777" w:rsidR="000F1720" w:rsidRPr="006913FF" w:rsidRDefault="000F1720" w:rsidP="006104CA">
      <w:pPr>
        <w:shd w:val="clear" w:color="auto" w:fill="FFFFFF"/>
        <w:spacing w:before="120"/>
        <w:jc w:val="center"/>
        <w:rPr>
          <w:bCs/>
          <w:color w:val="0F1115"/>
          <w:sz w:val="18"/>
          <w:lang w:val="en-US" w:eastAsia="ru-RU"/>
        </w:rPr>
      </w:pPr>
    </w:p>
    <w:tbl>
      <w:tblPr>
        <w:tblStyle w:val="a6"/>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6"/>
        <w:gridCol w:w="1988"/>
        <w:gridCol w:w="1600"/>
        <w:gridCol w:w="1455"/>
        <w:gridCol w:w="1433"/>
      </w:tblGrid>
      <w:tr w:rsidR="006104CA" w:rsidRPr="006913FF" w14:paraId="708353CE" w14:textId="77777777" w:rsidTr="006104CA">
        <w:trPr>
          <w:jc w:val="center"/>
        </w:trPr>
        <w:tc>
          <w:tcPr>
            <w:tcW w:w="0" w:type="auto"/>
            <w:tcBorders>
              <w:bottom w:val="single" w:sz="4" w:space="0" w:color="auto"/>
            </w:tcBorders>
            <w:vAlign w:val="center"/>
          </w:tcPr>
          <w:p w14:paraId="7EFFB092" w14:textId="77777777" w:rsidR="006104CA" w:rsidRPr="006913FF" w:rsidRDefault="006104CA" w:rsidP="006104CA">
            <w:pPr>
              <w:jc w:val="both"/>
              <w:rPr>
                <w:b/>
                <w:bCs/>
                <w:lang w:val="en-US" w:eastAsia="ru-RU"/>
              </w:rPr>
            </w:pPr>
            <w:r w:rsidRPr="006913FF">
              <w:rPr>
                <w:b/>
                <w:bCs/>
                <w:lang w:val="en-US" w:eastAsia="ru-RU"/>
              </w:rPr>
              <w:t>Technique</w:t>
            </w:r>
          </w:p>
        </w:tc>
        <w:tc>
          <w:tcPr>
            <w:tcW w:w="0" w:type="auto"/>
            <w:tcBorders>
              <w:bottom w:val="single" w:sz="4" w:space="0" w:color="auto"/>
            </w:tcBorders>
            <w:vAlign w:val="center"/>
          </w:tcPr>
          <w:p w14:paraId="3225CE78" w14:textId="77777777" w:rsidR="006104CA" w:rsidRPr="006913FF" w:rsidRDefault="006104CA" w:rsidP="006104CA">
            <w:pPr>
              <w:jc w:val="center"/>
              <w:rPr>
                <w:b/>
                <w:bCs/>
                <w:lang w:val="en-US" w:eastAsia="ru-RU"/>
              </w:rPr>
            </w:pPr>
            <w:r w:rsidRPr="006913FF">
              <w:rPr>
                <w:b/>
                <w:bCs/>
                <w:lang w:val="en-US" w:eastAsia="ru-RU"/>
              </w:rPr>
              <w:t>Application</w:t>
            </w:r>
          </w:p>
        </w:tc>
        <w:tc>
          <w:tcPr>
            <w:tcW w:w="0" w:type="auto"/>
            <w:tcBorders>
              <w:bottom w:val="single" w:sz="4" w:space="0" w:color="auto"/>
            </w:tcBorders>
            <w:vAlign w:val="center"/>
          </w:tcPr>
          <w:p w14:paraId="6F6EAE21" w14:textId="77777777" w:rsidR="006104CA" w:rsidRPr="006913FF" w:rsidRDefault="006104CA" w:rsidP="006104CA">
            <w:pPr>
              <w:jc w:val="center"/>
              <w:rPr>
                <w:b/>
                <w:bCs/>
                <w:lang w:val="en-US" w:eastAsia="ru-RU"/>
              </w:rPr>
            </w:pPr>
            <w:r w:rsidRPr="006913FF">
              <w:rPr>
                <w:b/>
                <w:bCs/>
                <w:lang w:val="en-US" w:eastAsia="ru-RU"/>
              </w:rPr>
              <w:t>Detection Limit</w:t>
            </w:r>
          </w:p>
        </w:tc>
        <w:tc>
          <w:tcPr>
            <w:tcW w:w="0" w:type="auto"/>
            <w:tcBorders>
              <w:bottom w:val="single" w:sz="4" w:space="0" w:color="auto"/>
            </w:tcBorders>
            <w:vAlign w:val="center"/>
          </w:tcPr>
          <w:p w14:paraId="041B0E58" w14:textId="77777777" w:rsidR="006104CA" w:rsidRPr="006913FF" w:rsidRDefault="006104CA" w:rsidP="006104CA">
            <w:pPr>
              <w:jc w:val="center"/>
              <w:rPr>
                <w:b/>
                <w:bCs/>
                <w:lang w:val="en-US" w:eastAsia="ru-RU"/>
              </w:rPr>
            </w:pPr>
            <w:r w:rsidRPr="006913FF">
              <w:rPr>
                <w:b/>
                <w:bCs/>
                <w:lang w:val="en-US" w:eastAsia="ru-RU"/>
              </w:rPr>
              <w:t>Linear Range</w:t>
            </w:r>
          </w:p>
        </w:tc>
        <w:tc>
          <w:tcPr>
            <w:tcW w:w="0" w:type="auto"/>
            <w:tcBorders>
              <w:bottom w:val="single" w:sz="4" w:space="0" w:color="auto"/>
            </w:tcBorders>
            <w:vAlign w:val="center"/>
          </w:tcPr>
          <w:p w14:paraId="1D01FE3E" w14:textId="77777777" w:rsidR="006104CA" w:rsidRPr="006913FF" w:rsidRDefault="006104CA" w:rsidP="006104CA">
            <w:pPr>
              <w:jc w:val="center"/>
              <w:rPr>
                <w:b/>
                <w:bCs/>
                <w:lang w:val="en-US" w:eastAsia="ru-RU"/>
              </w:rPr>
            </w:pPr>
            <w:r w:rsidRPr="006913FF">
              <w:rPr>
                <w:b/>
                <w:bCs/>
                <w:lang w:val="en-US" w:eastAsia="ru-RU"/>
              </w:rPr>
              <w:t>Analysis Time</w:t>
            </w:r>
          </w:p>
        </w:tc>
      </w:tr>
      <w:tr w:rsidR="006104CA" w:rsidRPr="006913FF" w14:paraId="1FEC3469" w14:textId="77777777" w:rsidTr="006104CA">
        <w:trPr>
          <w:jc w:val="center"/>
        </w:trPr>
        <w:tc>
          <w:tcPr>
            <w:tcW w:w="0" w:type="auto"/>
            <w:tcBorders>
              <w:top w:val="single" w:sz="4" w:space="0" w:color="auto"/>
              <w:bottom w:val="nil"/>
            </w:tcBorders>
            <w:vAlign w:val="center"/>
          </w:tcPr>
          <w:p w14:paraId="79330A62" w14:textId="77777777" w:rsidR="006104CA" w:rsidRPr="006913FF" w:rsidRDefault="006104CA" w:rsidP="006104CA">
            <w:pPr>
              <w:jc w:val="both"/>
              <w:rPr>
                <w:lang w:val="en-US" w:eastAsia="ru-RU"/>
              </w:rPr>
            </w:pPr>
            <w:r w:rsidRPr="006913FF">
              <w:rPr>
                <w:b/>
                <w:bCs/>
                <w:lang w:val="en-US" w:eastAsia="ru-RU"/>
              </w:rPr>
              <w:t>FTIR-QCL</w:t>
            </w:r>
          </w:p>
        </w:tc>
        <w:tc>
          <w:tcPr>
            <w:tcW w:w="0" w:type="auto"/>
            <w:tcBorders>
              <w:top w:val="single" w:sz="4" w:space="0" w:color="auto"/>
              <w:bottom w:val="nil"/>
            </w:tcBorders>
            <w:vAlign w:val="center"/>
          </w:tcPr>
          <w:p w14:paraId="362237E1" w14:textId="77777777" w:rsidR="006104CA" w:rsidRPr="006913FF" w:rsidRDefault="006104CA" w:rsidP="006104CA">
            <w:pPr>
              <w:jc w:val="center"/>
              <w:rPr>
                <w:lang w:val="en-US" w:eastAsia="ru-RU"/>
              </w:rPr>
            </w:pPr>
            <w:r w:rsidRPr="006913FF">
              <w:rPr>
                <w:lang w:val="en-US" w:eastAsia="ru-RU"/>
              </w:rPr>
              <w:t>Hydrocarbons</w:t>
            </w:r>
          </w:p>
        </w:tc>
        <w:tc>
          <w:tcPr>
            <w:tcW w:w="0" w:type="auto"/>
            <w:tcBorders>
              <w:top w:val="single" w:sz="4" w:space="0" w:color="auto"/>
              <w:bottom w:val="nil"/>
            </w:tcBorders>
            <w:vAlign w:val="center"/>
          </w:tcPr>
          <w:p w14:paraId="59C68A54" w14:textId="77777777" w:rsidR="006104CA" w:rsidRPr="006913FF" w:rsidRDefault="006104CA" w:rsidP="006104CA">
            <w:pPr>
              <w:jc w:val="center"/>
              <w:rPr>
                <w:lang w:val="en-US" w:eastAsia="ru-RU"/>
              </w:rPr>
            </w:pPr>
            <w:r w:rsidRPr="006913FF">
              <w:rPr>
                <w:lang w:val="en-US" w:eastAsia="ru-RU"/>
              </w:rPr>
              <w:t>10 ppm</w:t>
            </w:r>
          </w:p>
        </w:tc>
        <w:tc>
          <w:tcPr>
            <w:tcW w:w="0" w:type="auto"/>
            <w:tcBorders>
              <w:top w:val="single" w:sz="4" w:space="0" w:color="auto"/>
              <w:bottom w:val="nil"/>
            </w:tcBorders>
            <w:vAlign w:val="center"/>
          </w:tcPr>
          <w:p w14:paraId="30B59F52" w14:textId="77777777" w:rsidR="006104CA" w:rsidRPr="006913FF" w:rsidRDefault="006104CA" w:rsidP="006104CA">
            <w:pPr>
              <w:jc w:val="center"/>
              <w:rPr>
                <w:lang w:val="en-US" w:eastAsia="ru-RU"/>
              </w:rPr>
            </w:pPr>
            <w:r w:rsidRPr="006913FF">
              <w:rPr>
                <w:lang w:val="en-US" w:eastAsia="ru-RU"/>
              </w:rPr>
              <w:t>10 ppm - 100%</w:t>
            </w:r>
          </w:p>
        </w:tc>
        <w:tc>
          <w:tcPr>
            <w:tcW w:w="0" w:type="auto"/>
            <w:tcBorders>
              <w:top w:val="single" w:sz="4" w:space="0" w:color="auto"/>
              <w:bottom w:val="nil"/>
            </w:tcBorders>
            <w:vAlign w:val="center"/>
          </w:tcPr>
          <w:p w14:paraId="42ADC85B" w14:textId="77777777" w:rsidR="006104CA" w:rsidRPr="006913FF" w:rsidRDefault="006104CA" w:rsidP="006104CA">
            <w:pPr>
              <w:jc w:val="center"/>
              <w:rPr>
                <w:lang w:val="en-US" w:eastAsia="ru-RU"/>
              </w:rPr>
            </w:pPr>
            <w:r w:rsidRPr="006913FF">
              <w:rPr>
                <w:lang w:val="en-US" w:eastAsia="ru-RU"/>
              </w:rPr>
              <w:t>1 second</w:t>
            </w:r>
          </w:p>
        </w:tc>
      </w:tr>
      <w:tr w:rsidR="006104CA" w:rsidRPr="006913FF" w14:paraId="0F694C93" w14:textId="77777777" w:rsidTr="006104CA">
        <w:trPr>
          <w:jc w:val="center"/>
        </w:trPr>
        <w:tc>
          <w:tcPr>
            <w:tcW w:w="0" w:type="auto"/>
            <w:tcBorders>
              <w:top w:val="nil"/>
            </w:tcBorders>
            <w:vAlign w:val="center"/>
          </w:tcPr>
          <w:p w14:paraId="43A36275" w14:textId="77777777" w:rsidR="006104CA" w:rsidRPr="006913FF" w:rsidRDefault="006104CA" w:rsidP="006104CA">
            <w:pPr>
              <w:jc w:val="both"/>
              <w:rPr>
                <w:lang w:val="en-US" w:eastAsia="ru-RU"/>
              </w:rPr>
            </w:pPr>
            <w:r w:rsidRPr="006913FF">
              <w:rPr>
                <w:b/>
                <w:bCs/>
                <w:lang w:val="en-US" w:eastAsia="ru-RU"/>
              </w:rPr>
              <w:t>Raman</w:t>
            </w:r>
          </w:p>
        </w:tc>
        <w:tc>
          <w:tcPr>
            <w:tcW w:w="0" w:type="auto"/>
            <w:tcBorders>
              <w:top w:val="nil"/>
            </w:tcBorders>
            <w:vAlign w:val="center"/>
          </w:tcPr>
          <w:p w14:paraId="6E04F2D3" w14:textId="77777777" w:rsidR="006104CA" w:rsidRPr="006913FF" w:rsidRDefault="006104CA" w:rsidP="006104CA">
            <w:pPr>
              <w:jc w:val="center"/>
              <w:rPr>
                <w:lang w:eastAsia="ru-RU"/>
              </w:rPr>
            </w:pPr>
            <w:r w:rsidRPr="006913FF">
              <w:rPr>
                <w:lang w:val="en-US" w:eastAsia="ru-RU"/>
              </w:rPr>
              <w:t>Po</w:t>
            </w:r>
            <w:proofErr w:type="spellStart"/>
            <w:r w:rsidRPr="006913FF">
              <w:rPr>
                <w:lang w:eastAsia="ru-RU"/>
              </w:rPr>
              <w:t>lymorphs</w:t>
            </w:r>
            <w:proofErr w:type="spellEnd"/>
          </w:p>
        </w:tc>
        <w:tc>
          <w:tcPr>
            <w:tcW w:w="0" w:type="auto"/>
            <w:tcBorders>
              <w:top w:val="nil"/>
            </w:tcBorders>
            <w:vAlign w:val="center"/>
          </w:tcPr>
          <w:p w14:paraId="4EE47E10" w14:textId="77777777" w:rsidR="006104CA" w:rsidRPr="006913FF" w:rsidRDefault="006104CA" w:rsidP="006104CA">
            <w:pPr>
              <w:jc w:val="center"/>
              <w:rPr>
                <w:lang w:eastAsia="ru-RU"/>
              </w:rPr>
            </w:pPr>
            <w:r w:rsidRPr="006913FF">
              <w:rPr>
                <w:lang w:eastAsia="ru-RU"/>
              </w:rPr>
              <w:t xml:space="preserve">0.5% </w:t>
            </w:r>
            <w:proofErr w:type="spellStart"/>
            <w:r w:rsidRPr="006913FF">
              <w:rPr>
                <w:lang w:eastAsia="ru-RU"/>
              </w:rPr>
              <w:t>minor</w:t>
            </w:r>
            <w:proofErr w:type="spellEnd"/>
            <w:r w:rsidRPr="006913FF">
              <w:rPr>
                <w:lang w:eastAsia="ru-RU"/>
              </w:rPr>
              <w:t xml:space="preserve"> </w:t>
            </w:r>
            <w:proofErr w:type="spellStart"/>
            <w:r w:rsidRPr="006913FF">
              <w:rPr>
                <w:lang w:eastAsia="ru-RU"/>
              </w:rPr>
              <w:t>form</w:t>
            </w:r>
            <w:proofErr w:type="spellEnd"/>
          </w:p>
        </w:tc>
        <w:tc>
          <w:tcPr>
            <w:tcW w:w="0" w:type="auto"/>
            <w:tcBorders>
              <w:top w:val="nil"/>
            </w:tcBorders>
            <w:vAlign w:val="center"/>
          </w:tcPr>
          <w:p w14:paraId="2EC51DEE" w14:textId="77777777" w:rsidR="006104CA" w:rsidRPr="006913FF" w:rsidRDefault="006104CA" w:rsidP="006104CA">
            <w:pPr>
              <w:jc w:val="center"/>
              <w:rPr>
                <w:lang w:eastAsia="ru-RU"/>
              </w:rPr>
            </w:pPr>
            <w:r w:rsidRPr="006913FF">
              <w:rPr>
                <w:lang w:eastAsia="ru-RU"/>
              </w:rPr>
              <w:t>0.5-100%</w:t>
            </w:r>
          </w:p>
        </w:tc>
        <w:tc>
          <w:tcPr>
            <w:tcW w:w="0" w:type="auto"/>
            <w:tcBorders>
              <w:top w:val="nil"/>
            </w:tcBorders>
            <w:vAlign w:val="center"/>
          </w:tcPr>
          <w:p w14:paraId="5B19FF70" w14:textId="77777777" w:rsidR="006104CA" w:rsidRPr="006913FF" w:rsidRDefault="006104CA" w:rsidP="006104CA">
            <w:pPr>
              <w:jc w:val="center"/>
              <w:rPr>
                <w:lang w:eastAsia="ru-RU"/>
              </w:rPr>
            </w:pPr>
            <w:r w:rsidRPr="006913FF">
              <w:rPr>
                <w:lang w:eastAsia="ru-RU"/>
              </w:rPr>
              <w:t xml:space="preserve">30 </w:t>
            </w:r>
            <w:proofErr w:type="spellStart"/>
            <w:r w:rsidRPr="006913FF">
              <w:rPr>
                <w:lang w:eastAsia="ru-RU"/>
              </w:rPr>
              <w:t>seconds</w:t>
            </w:r>
            <w:proofErr w:type="spellEnd"/>
          </w:p>
        </w:tc>
      </w:tr>
      <w:tr w:rsidR="006104CA" w:rsidRPr="006913FF" w14:paraId="1A5A10F3" w14:textId="77777777" w:rsidTr="006104CA">
        <w:trPr>
          <w:jc w:val="center"/>
        </w:trPr>
        <w:tc>
          <w:tcPr>
            <w:tcW w:w="0" w:type="auto"/>
            <w:vAlign w:val="center"/>
          </w:tcPr>
          <w:p w14:paraId="55AB518F" w14:textId="77777777" w:rsidR="006104CA" w:rsidRPr="006913FF" w:rsidRDefault="006104CA" w:rsidP="006104CA">
            <w:pPr>
              <w:jc w:val="both"/>
              <w:rPr>
                <w:lang w:eastAsia="ru-RU"/>
              </w:rPr>
            </w:pPr>
            <w:r w:rsidRPr="006913FF">
              <w:rPr>
                <w:b/>
                <w:bCs/>
                <w:lang w:eastAsia="ru-RU"/>
              </w:rPr>
              <w:t>GC-VUV</w:t>
            </w:r>
          </w:p>
        </w:tc>
        <w:tc>
          <w:tcPr>
            <w:tcW w:w="0" w:type="auto"/>
            <w:vAlign w:val="center"/>
          </w:tcPr>
          <w:p w14:paraId="2864B098" w14:textId="77777777" w:rsidR="006104CA" w:rsidRPr="006913FF" w:rsidRDefault="006104CA" w:rsidP="006104CA">
            <w:pPr>
              <w:jc w:val="center"/>
              <w:rPr>
                <w:lang w:eastAsia="ru-RU"/>
              </w:rPr>
            </w:pPr>
            <w:r w:rsidRPr="006913FF">
              <w:rPr>
                <w:lang w:eastAsia="ru-RU"/>
              </w:rPr>
              <w:t xml:space="preserve">C1-C12 </w:t>
            </w:r>
            <w:proofErr w:type="spellStart"/>
            <w:r w:rsidRPr="006913FF">
              <w:rPr>
                <w:lang w:eastAsia="ru-RU"/>
              </w:rPr>
              <w:t>hydrocarbons</w:t>
            </w:r>
            <w:proofErr w:type="spellEnd"/>
          </w:p>
        </w:tc>
        <w:tc>
          <w:tcPr>
            <w:tcW w:w="0" w:type="auto"/>
            <w:vAlign w:val="center"/>
          </w:tcPr>
          <w:p w14:paraId="39D7824C" w14:textId="77777777" w:rsidR="006104CA" w:rsidRPr="006913FF" w:rsidRDefault="006104CA" w:rsidP="006104CA">
            <w:pPr>
              <w:jc w:val="center"/>
              <w:rPr>
                <w:lang w:eastAsia="ru-RU"/>
              </w:rPr>
            </w:pPr>
            <w:r w:rsidRPr="006913FF">
              <w:rPr>
                <w:lang w:eastAsia="ru-RU"/>
              </w:rPr>
              <w:t xml:space="preserve">1 </w:t>
            </w:r>
            <w:proofErr w:type="spellStart"/>
            <w:r w:rsidRPr="006913FF">
              <w:rPr>
                <w:lang w:eastAsia="ru-RU"/>
              </w:rPr>
              <w:t>ppm</w:t>
            </w:r>
            <w:proofErr w:type="spellEnd"/>
          </w:p>
        </w:tc>
        <w:tc>
          <w:tcPr>
            <w:tcW w:w="0" w:type="auto"/>
            <w:vAlign w:val="center"/>
          </w:tcPr>
          <w:p w14:paraId="1BAE779A" w14:textId="77777777" w:rsidR="006104CA" w:rsidRPr="006913FF" w:rsidRDefault="006104CA" w:rsidP="006104CA">
            <w:pPr>
              <w:jc w:val="center"/>
              <w:rPr>
                <w:lang w:eastAsia="ru-RU"/>
              </w:rPr>
            </w:pPr>
            <w:r w:rsidRPr="006913FF">
              <w:rPr>
                <w:lang w:eastAsia="ru-RU"/>
              </w:rPr>
              <w:t xml:space="preserve">1 </w:t>
            </w:r>
            <w:proofErr w:type="spellStart"/>
            <w:r w:rsidRPr="006913FF">
              <w:rPr>
                <w:lang w:eastAsia="ru-RU"/>
              </w:rPr>
              <w:t>ppm</w:t>
            </w:r>
            <w:proofErr w:type="spellEnd"/>
            <w:r w:rsidRPr="006913FF">
              <w:rPr>
                <w:lang w:eastAsia="ru-RU"/>
              </w:rPr>
              <w:t xml:space="preserve"> - 100%</w:t>
            </w:r>
          </w:p>
        </w:tc>
        <w:tc>
          <w:tcPr>
            <w:tcW w:w="0" w:type="auto"/>
            <w:vAlign w:val="center"/>
          </w:tcPr>
          <w:p w14:paraId="0F2F0832" w14:textId="77777777" w:rsidR="006104CA" w:rsidRPr="006913FF" w:rsidRDefault="006104CA" w:rsidP="006104CA">
            <w:pPr>
              <w:jc w:val="center"/>
              <w:rPr>
                <w:lang w:eastAsia="ru-RU"/>
              </w:rPr>
            </w:pPr>
            <w:r w:rsidRPr="006913FF">
              <w:rPr>
                <w:lang w:eastAsia="ru-RU"/>
              </w:rPr>
              <w:t xml:space="preserve">15 </w:t>
            </w:r>
            <w:proofErr w:type="spellStart"/>
            <w:r w:rsidRPr="006913FF">
              <w:rPr>
                <w:lang w:eastAsia="ru-RU"/>
              </w:rPr>
              <w:t>minutes</w:t>
            </w:r>
            <w:proofErr w:type="spellEnd"/>
          </w:p>
        </w:tc>
      </w:tr>
      <w:tr w:rsidR="006104CA" w:rsidRPr="006913FF" w14:paraId="3041B758" w14:textId="77777777" w:rsidTr="006104CA">
        <w:trPr>
          <w:jc w:val="center"/>
        </w:trPr>
        <w:tc>
          <w:tcPr>
            <w:tcW w:w="0" w:type="auto"/>
            <w:vAlign w:val="center"/>
          </w:tcPr>
          <w:p w14:paraId="0C490941" w14:textId="77777777" w:rsidR="006104CA" w:rsidRPr="006913FF" w:rsidRDefault="006104CA" w:rsidP="006104CA">
            <w:pPr>
              <w:jc w:val="both"/>
              <w:rPr>
                <w:lang w:eastAsia="ru-RU"/>
              </w:rPr>
            </w:pPr>
            <w:r w:rsidRPr="006913FF">
              <w:rPr>
                <w:b/>
                <w:bCs/>
                <w:lang w:eastAsia="ru-RU"/>
              </w:rPr>
              <w:t>Process MS</w:t>
            </w:r>
          </w:p>
        </w:tc>
        <w:tc>
          <w:tcPr>
            <w:tcW w:w="0" w:type="auto"/>
            <w:vAlign w:val="center"/>
          </w:tcPr>
          <w:p w14:paraId="68F4C752" w14:textId="77777777" w:rsidR="006104CA" w:rsidRPr="006913FF" w:rsidRDefault="006104CA" w:rsidP="006104CA">
            <w:pPr>
              <w:jc w:val="center"/>
              <w:rPr>
                <w:lang w:eastAsia="ru-RU"/>
              </w:rPr>
            </w:pPr>
            <w:proofErr w:type="spellStart"/>
            <w:r w:rsidRPr="006913FF">
              <w:rPr>
                <w:lang w:eastAsia="ru-RU"/>
              </w:rPr>
              <w:t>Permanent</w:t>
            </w:r>
            <w:proofErr w:type="spellEnd"/>
            <w:r w:rsidRPr="006913FF">
              <w:rPr>
                <w:lang w:eastAsia="ru-RU"/>
              </w:rPr>
              <w:t xml:space="preserve"> </w:t>
            </w:r>
            <w:proofErr w:type="spellStart"/>
            <w:r w:rsidRPr="006913FF">
              <w:rPr>
                <w:lang w:eastAsia="ru-RU"/>
              </w:rPr>
              <w:t>gases</w:t>
            </w:r>
            <w:proofErr w:type="spellEnd"/>
          </w:p>
        </w:tc>
        <w:tc>
          <w:tcPr>
            <w:tcW w:w="0" w:type="auto"/>
            <w:vAlign w:val="center"/>
          </w:tcPr>
          <w:p w14:paraId="118F8449" w14:textId="77777777" w:rsidR="006104CA" w:rsidRPr="006913FF" w:rsidRDefault="006104CA" w:rsidP="006104CA">
            <w:pPr>
              <w:jc w:val="center"/>
              <w:rPr>
                <w:lang w:eastAsia="ru-RU"/>
              </w:rPr>
            </w:pPr>
            <w:r w:rsidRPr="006913FF">
              <w:rPr>
                <w:lang w:eastAsia="ru-RU"/>
              </w:rPr>
              <w:t xml:space="preserve">10 </w:t>
            </w:r>
            <w:proofErr w:type="spellStart"/>
            <w:r w:rsidRPr="006913FF">
              <w:rPr>
                <w:lang w:eastAsia="ru-RU"/>
              </w:rPr>
              <w:t>ppm</w:t>
            </w:r>
            <w:proofErr w:type="spellEnd"/>
          </w:p>
        </w:tc>
        <w:tc>
          <w:tcPr>
            <w:tcW w:w="0" w:type="auto"/>
            <w:vAlign w:val="center"/>
          </w:tcPr>
          <w:p w14:paraId="49D2A2C9" w14:textId="77777777" w:rsidR="006104CA" w:rsidRPr="006913FF" w:rsidRDefault="006104CA" w:rsidP="006104CA">
            <w:pPr>
              <w:jc w:val="center"/>
              <w:rPr>
                <w:lang w:eastAsia="ru-RU"/>
              </w:rPr>
            </w:pPr>
            <w:r w:rsidRPr="006913FF">
              <w:rPr>
                <w:lang w:eastAsia="ru-RU"/>
              </w:rPr>
              <w:t xml:space="preserve">10 </w:t>
            </w:r>
            <w:proofErr w:type="spellStart"/>
            <w:r w:rsidRPr="006913FF">
              <w:rPr>
                <w:lang w:eastAsia="ru-RU"/>
              </w:rPr>
              <w:t>ppm</w:t>
            </w:r>
            <w:proofErr w:type="spellEnd"/>
            <w:r w:rsidRPr="006913FF">
              <w:rPr>
                <w:lang w:eastAsia="ru-RU"/>
              </w:rPr>
              <w:t xml:space="preserve"> - 100%</w:t>
            </w:r>
          </w:p>
        </w:tc>
        <w:tc>
          <w:tcPr>
            <w:tcW w:w="0" w:type="auto"/>
            <w:vAlign w:val="center"/>
          </w:tcPr>
          <w:p w14:paraId="30BBD0B0" w14:textId="77777777" w:rsidR="006104CA" w:rsidRPr="006913FF" w:rsidRDefault="006104CA" w:rsidP="006104CA">
            <w:pPr>
              <w:jc w:val="center"/>
              <w:rPr>
                <w:lang w:eastAsia="ru-RU"/>
              </w:rPr>
            </w:pPr>
            <w:r w:rsidRPr="006913FF">
              <w:rPr>
                <w:lang w:eastAsia="ru-RU"/>
              </w:rPr>
              <w:t xml:space="preserve">10 </w:t>
            </w:r>
            <w:proofErr w:type="spellStart"/>
            <w:r w:rsidRPr="006913FF">
              <w:rPr>
                <w:lang w:eastAsia="ru-RU"/>
              </w:rPr>
              <w:t>seconds</w:t>
            </w:r>
            <w:proofErr w:type="spellEnd"/>
          </w:p>
        </w:tc>
      </w:tr>
      <w:tr w:rsidR="006104CA" w:rsidRPr="006913FF" w14:paraId="78A3C6AE" w14:textId="77777777" w:rsidTr="006104CA">
        <w:trPr>
          <w:jc w:val="center"/>
        </w:trPr>
        <w:tc>
          <w:tcPr>
            <w:tcW w:w="0" w:type="auto"/>
            <w:vAlign w:val="center"/>
          </w:tcPr>
          <w:p w14:paraId="642388C7" w14:textId="77777777" w:rsidR="006104CA" w:rsidRPr="006913FF" w:rsidRDefault="006104CA" w:rsidP="006104CA">
            <w:pPr>
              <w:jc w:val="both"/>
              <w:rPr>
                <w:lang w:eastAsia="ru-RU"/>
              </w:rPr>
            </w:pPr>
            <w:r w:rsidRPr="006913FF">
              <w:rPr>
                <w:b/>
                <w:bCs/>
                <w:lang w:eastAsia="ru-RU"/>
              </w:rPr>
              <w:t>LC-MS/MS</w:t>
            </w:r>
          </w:p>
        </w:tc>
        <w:tc>
          <w:tcPr>
            <w:tcW w:w="0" w:type="auto"/>
            <w:vAlign w:val="center"/>
          </w:tcPr>
          <w:p w14:paraId="42432404" w14:textId="77777777" w:rsidR="006104CA" w:rsidRPr="006913FF" w:rsidRDefault="006104CA" w:rsidP="006104CA">
            <w:pPr>
              <w:jc w:val="center"/>
              <w:rPr>
                <w:lang w:eastAsia="ru-RU"/>
              </w:rPr>
            </w:pPr>
            <w:proofErr w:type="spellStart"/>
            <w:r w:rsidRPr="006913FF">
              <w:rPr>
                <w:lang w:eastAsia="ru-RU"/>
              </w:rPr>
              <w:t>Pesticides</w:t>
            </w:r>
            <w:proofErr w:type="spellEnd"/>
          </w:p>
        </w:tc>
        <w:tc>
          <w:tcPr>
            <w:tcW w:w="0" w:type="auto"/>
            <w:vAlign w:val="center"/>
          </w:tcPr>
          <w:p w14:paraId="24C9929C" w14:textId="77777777" w:rsidR="006104CA" w:rsidRPr="006913FF" w:rsidRDefault="006104CA" w:rsidP="006104CA">
            <w:pPr>
              <w:jc w:val="center"/>
              <w:rPr>
                <w:lang w:eastAsia="ru-RU"/>
              </w:rPr>
            </w:pPr>
            <w:r w:rsidRPr="006913FF">
              <w:rPr>
                <w:lang w:eastAsia="ru-RU"/>
              </w:rPr>
              <w:t xml:space="preserve">0.01 </w:t>
            </w:r>
            <w:proofErr w:type="spellStart"/>
            <w:r w:rsidRPr="006913FF">
              <w:rPr>
                <w:lang w:eastAsia="ru-RU"/>
              </w:rPr>
              <w:t>ppm</w:t>
            </w:r>
            <w:proofErr w:type="spellEnd"/>
          </w:p>
        </w:tc>
        <w:tc>
          <w:tcPr>
            <w:tcW w:w="0" w:type="auto"/>
            <w:vAlign w:val="center"/>
          </w:tcPr>
          <w:p w14:paraId="640A2663" w14:textId="77777777" w:rsidR="006104CA" w:rsidRPr="006913FF" w:rsidRDefault="006104CA" w:rsidP="006104CA">
            <w:pPr>
              <w:jc w:val="center"/>
              <w:rPr>
                <w:lang w:eastAsia="ru-RU"/>
              </w:rPr>
            </w:pPr>
            <w:r w:rsidRPr="006913FF">
              <w:rPr>
                <w:lang w:eastAsia="ru-RU"/>
              </w:rPr>
              <w:t xml:space="preserve">0.01-100 </w:t>
            </w:r>
            <w:proofErr w:type="spellStart"/>
            <w:r w:rsidRPr="006913FF">
              <w:rPr>
                <w:lang w:eastAsia="ru-RU"/>
              </w:rPr>
              <w:t>ppm</w:t>
            </w:r>
            <w:proofErr w:type="spellEnd"/>
          </w:p>
        </w:tc>
        <w:tc>
          <w:tcPr>
            <w:tcW w:w="0" w:type="auto"/>
            <w:vAlign w:val="center"/>
          </w:tcPr>
          <w:p w14:paraId="746F9B3F" w14:textId="77777777" w:rsidR="006104CA" w:rsidRPr="006913FF" w:rsidRDefault="006104CA" w:rsidP="006104CA">
            <w:pPr>
              <w:jc w:val="center"/>
              <w:rPr>
                <w:lang w:eastAsia="ru-RU"/>
              </w:rPr>
            </w:pPr>
            <w:r w:rsidRPr="006913FF">
              <w:rPr>
                <w:lang w:eastAsia="ru-RU"/>
              </w:rPr>
              <w:t xml:space="preserve">15 </w:t>
            </w:r>
            <w:proofErr w:type="spellStart"/>
            <w:r w:rsidRPr="006913FF">
              <w:rPr>
                <w:lang w:eastAsia="ru-RU"/>
              </w:rPr>
              <w:t>minutes</w:t>
            </w:r>
            <w:proofErr w:type="spellEnd"/>
          </w:p>
        </w:tc>
      </w:tr>
    </w:tbl>
    <w:p w14:paraId="3E09F8B9" w14:textId="77777777" w:rsidR="00A72231" w:rsidRPr="006913FF" w:rsidRDefault="00A72231" w:rsidP="00A72231">
      <w:pPr>
        <w:shd w:val="clear" w:color="auto" w:fill="FFFFFF"/>
        <w:ind w:firstLine="284"/>
        <w:jc w:val="both"/>
        <w:rPr>
          <w:bCs/>
          <w:color w:val="0F1115"/>
          <w:lang w:val="en-US" w:eastAsia="ru-RU"/>
        </w:rPr>
      </w:pPr>
    </w:p>
    <w:p w14:paraId="2D047CEC" w14:textId="21E63225" w:rsidR="00DE5A5B" w:rsidRPr="006913FF" w:rsidRDefault="00DE5A5B" w:rsidP="00DE5A5B">
      <w:pPr>
        <w:shd w:val="clear" w:color="auto" w:fill="FFFFFF"/>
        <w:ind w:firstLine="284"/>
        <w:jc w:val="both"/>
        <w:rPr>
          <w:bCs/>
          <w:color w:val="0F1115"/>
          <w:lang w:val="en-US" w:eastAsia="ru-RU"/>
        </w:rPr>
      </w:pPr>
      <w:r w:rsidRPr="006913FF">
        <w:rPr>
          <w:bCs/>
          <w:color w:val="0F1115"/>
          <w:lang w:val="en-US" w:eastAsia="ru-RU"/>
        </w:rPr>
        <w:t>Economic analysis</w:t>
      </w:r>
      <w:r w:rsidR="00494834" w:rsidRPr="006913FF">
        <w:rPr>
          <w:bCs/>
          <w:color w:val="0F1115"/>
          <w:lang w:val="en-US" w:eastAsia="ru-RU"/>
        </w:rPr>
        <w:t>:</w:t>
      </w:r>
      <w:r w:rsidRPr="006913FF">
        <w:rPr>
          <w:bCs/>
          <w:color w:val="0F1115"/>
          <w:lang w:val="en-US" w:eastAsia="ru-RU"/>
        </w:rPr>
        <w:t xml:space="preserve"> Specific industry</w:t>
      </w:r>
      <w:r w:rsidR="00494834" w:rsidRPr="006913FF">
        <w:rPr>
          <w:bCs/>
          <w:color w:val="0F1115"/>
          <w:lang w:val="en-US" w:eastAsia="ru-RU"/>
        </w:rPr>
        <w:t>.</w:t>
      </w:r>
      <w:r w:rsidRPr="006913FF">
        <w:rPr>
          <w:bCs/>
          <w:color w:val="0F1115"/>
          <w:lang w:val="en-US" w:eastAsia="ru-RU"/>
        </w:rPr>
        <w:t xml:space="preserve"> A separate economic assessment was performed for each of the industries:</w:t>
      </w:r>
    </w:p>
    <w:p w14:paraId="4E38C337" w14:textId="77777777" w:rsidR="00DE5A5B" w:rsidRPr="006913FF" w:rsidRDefault="00DE5A5B" w:rsidP="00DE5A5B">
      <w:pPr>
        <w:shd w:val="clear" w:color="auto" w:fill="FFFFFF"/>
        <w:ind w:firstLine="284"/>
        <w:jc w:val="both"/>
        <w:rPr>
          <w:bCs/>
          <w:color w:val="0F1115"/>
          <w:lang w:val="en-US" w:eastAsia="ru-RU"/>
        </w:rPr>
      </w:pPr>
      <w:r w:rsidRPr="006913FF">
        <w:rPr>
          <w:bCs/>
          <w:color w:val="0F1115"/>
          <w:lang w:val="en-US" w:eastAsia="ru-RU"/>
        </w:rPr>
        <w:t>Petrochemical: Capital cost of $2.1million. The annual savings obtained from the system were estimated to be $4.8 million through better yield, reduced energy consumption and catalyst savings with a very attractive payback period of 5.3 months.</w:t>
      </w:r>
    </w:p>
    <w:p w14:paraId="62210776" w14:textId="77777777" w:rsidR="00DE5A5B" w:rsidRPr="006913FF" w:rsidRDefault="00DE5A5B" w:rsidP="00DE5A5B">
      <w:pPr>
        <w:shd w:val="clear" w:color="auto" w:fill="FFFFFF"/>
        <w:ind w:firstLine="284"/>
        <w:jc w:val="both"/>
        <w:rPr>
          <w:bCs/>
          <w:color w:val="0F1115"/>
          <w:lang w:val="en-US" w:eastAsia="ru-RU"/>
        </w:rPr>
      </w:pPr>
      <w:r w:rsidRPr="006913FF">
        <w:rPr>
          <w:bCs/>
          <w:color w:val="0F1115"/>
          <w:lang w:val="en-US" w:eastAsia="ru-RU"/>
        </w:rPr>
        <w:t>Pharmaceutical: Costing $850,000 to implement, the solution delivered annual savings of $1.2 million from higher yields and reduced testing (excluding the substantial added value of avoiding batch failures). This led to a payback period of 8.5 months off the infrastructure investment.</w:t>
      </w:r>
    </w:p>
    <w:p w14:paraId="25CAC9F1" w14:textId="77777777" w:rsidR="00DE5A5B" w:rsidRPr="006913FF" w:rsidRDefault="00DE5A5B" w:rsidP="00DE5A5B">
      <w:pPr>
        <w:shd w:val="clear" w:color="auto" w:fill="FFFFFF"/>
        <w:ind w:firstLine="284"/>
        <w:jc w:val="both"/>
        <w:rPr>
          <w:bCs/>
          <w:color w:val="0F1115"/>
          <w:lang w:val="en-US" w:eastAsia="ru-RU"/>
        </w:rPr>
      </w:pPr>
      <w:r w:rsidRPr="006913FF">
        <w:rPr>
          <w:bCs/>
          <w:color w:val="0F1115"/>
          <w:lang w:val="en-US" w:eastAsia="ru-RU"/>
        </w:rPr>
        <w:t>Food Processing: At an installed price of $420,000 the system saved over $680,000 per year that would have been lost as a result of waste plus recalls and inefficient processes for a payback in 7.4 months.</w:t>
      </w:r>
    </w:p>
    <w:p w14:paraId="3DFFA25C" w14:textId="19ED1CD9" w:rsidR="00A72231" w:rsidRPr="006913FF" w:rsidRDefault="00DE5A5B" w:rsidP="00DE5A5B">
      <w:pPr>
        <w:shd w:val="clear" w:color="auto" w:fill="FFFFFF"/>
        <w:ind w:firstLine="284"/>
        <w:jc w:val="both"/>
        <w:rPr>
          <w:color w:val="0F1115"/>
          <w:lang w:val="en-US" w:eastAsia="ru-RU"/>
        </w:rPr>
      </w:pPr>
      <w:r w:rsidRPr="006913FF">
        <w:rPr>
          <w:bCs/>
          <w:color w:val="0F1115"/>
          <w:lang w:val="en-US" w:eastAsia="ru-RU"/>
        </w:rPr>
        <w:t xml:space="preserve">In addition to the tangible financial indicators, significant soft benefits were obtained by this implementation, such as solid assurance for regulatory compliance, strengthened brand protection (by product quality and consistency) and lesser environmental impact through reduced energy consumption and </w:t>
      </w:r>
      <w:proofErr w:type="gramStart"/>
      <w:r w:rsidRPr="006913FF">
        <w:rPr>
          <w:bCs/>
          <w:color w:val="0F1115"/>
          <w:lang w:val="en-US" w:eastAsia="ru-RU"/>
        </w:rPr>
        <w:t>waste.</w:t>
      </w:r>
      <w:r w:rsidR="00A72231" w:rsidRPr="006913FF">
        <w:rPr>
          <w:bCs/>
          <w:color w:val="0F1115"/>
          <w:lang w:val="en-US" w:eastAsia="ru-RU"/>
        </w:rPr>
        <w:t>.</w:t>
      </w:r>
      <w:proofErr w:type="gramEnd"/>
    </w:p>
    <w:p w14:paraId="13047C97" w14:textId="77777777" w:rsidR="002658E6" w:rsidRPr="006913FF" w:rsidRDefault="0071786C" w:rsidP="0071786C">
      <w:pPr>
        <w:shd w:val="clear" w:color="auto" w:fill="FFFFFF"/>
        <w:spacing w:before="240" w:after="240"/>
        <w:jc w:val="center"/>
        <w:rPr>
          <w:b/>
          <w:bCs/>
          <w:color w:val="0F1115"/>
          <w:sz w:val="24"/>
          <w:lang w:val="en-US" w:eastAsia="ru-RU"/>
        </w:rPr>
      </w:pPr>
      <w:r w:rsidRPr="006913FF">
        <w:rPr>
          <w:b/>
          <w:bCs/>
          <w:color w:val="0F1115"/>
          <w:sz w:val="24"/>
          <w:lang w:val="en-US" w:eastAsia="ru-RU"/>
        </w:rPr>
        <w:t>IMPLEMENTATION CHALLENGES AND SOLUTIONS</w:t>
      </w:r>
    </w:p>
    <w:p w14:paraId="339E9EDC" w14:textId="77777777" w:rsidR="00494834" w:rsidRPr="006913FF" w:rsidRDefault="00494834" w:rsidP="006104CA">
      <w:pPr>
        <w:shd w:val="clear" w:color="auto" w:fill="FFFFFF"/>
        <w:ind w:firstLine="284"/>
        <w:jc w:val="both"/>
        <w:rPr>
          <w:color w:val="0F1115"/>
          <w:lang w:val="en-US" w:eastAsia="ru-RU"/>
        </w:rPr>
      </w:pPr>
      <w:r w:rsidRPr="006913FF">
        <w:rPr>
          <w:color w:val="0F1115"/>
          <w:lang w:val="en-US" w:eastAsia="ru-RU"/>
        </w:rPr>
        <w:t>There were substantial technical challenges for implementing the analysis platform into challenging industrial settings that needed to be</w:t>
      </w:r>
      <w:r w:rsidRPr="006913FF">
        <w:rPr>
          <w:color w:val="0F1115"/>
          <w:lang w:eastAsia="ru-RU"/>
        </w:rPr>
        <w:t> </w:t>
      </w:r>
      <w:r w:rsidRPr="006913FF">
        <w:rPr>
          <w:color w:val="0F1115"/>
          <w:lang w:val="en-US" w:eastAsia="ru-RU"/>
        </w:rPr>
        <w:t>engineered around. Specialized ceramic and alloy probe materials were employed allowing high-temperature, high-pressure sampling along with</w:t>
      </w:r>
      <w:r w:rsidRPr="006913FF">
        <w:rPr>
          <w:color w:val="0F1115"/>
          <w:lang w:eastAsia="ru-RU"/>
        </w:rPr>
        <w:t> </w:t>
      </w:r>
      <w:r w:rsidRPr="006913FF">
        <w:rPr>
          <w:color w:val="0F1115"/>
          <w:lang w:val="en-US" w:eastAsia="ru-RU"/>
        </w:rPr>
        <w:t>continuous purging to avoid clogging. Powder in the process lines was treated with multi-stage filters that</w:t>
      </w:r>
      <w:r w:rsidRPr="006913FF">
        <w:rPr>
          <w:color w:val="0F1115"/>
          <w:lang w:eastAsia="ru-RU"/>
        </w:rPr>
        <w:t> </w:t>
      </w:r>
      <w:r w:rsidRPr="006913FF">
        <w:rPr>
          <w:color w:val="0F1115"/>
          <w:lang w:val="en-US" w:eastAsia="ru-RU"/>
        </w:rPr>
        <w:t xml:space="preserve">would backflush themselves automatically to ensure proper performance. In order to get the sample </w:t>
      </w:r>
      <w:proofErr w:type="spellStart"/>
      <w:r w:rsidRPr="006913FF">
        <w:rPr>
          <w:color w:val="0F1115"/>
          <w:lang w:val="en-US" w:eastAsia="ru-RU"/>
        </w:rPr>
        <w:t>isokinetically</w:t>
      </w:r>
      <w:proofErr w:type="spellEnd"/>
      <w:r w:rsidRPr="006913FF">
        <w:rPr>
          <w:color w:val="0F1115"/>
          <w:lang w:val="en-US" w:eastAsia="ru-RU"/>
        </w:rPr>
        <w:t>, sampling probes were designed and qualified individually for all applications so extracted samples are a true reflection of</w:t>
      </w:r>
      <w:r w:rsidRPr="006913FF">
        <w:rPr>
          <w:color w:val="0F1115"/>
          <w:lang w:eastAsia="ru-RU"/>
        </w:rPr>
        <w:t> </w:t>
      </w:r>
      <w:r w:rsidRPr="006913FF">
        <w:rPr>
          <w:color w:val="0F1115"/>
          <w:lang w:val="en-US" w:eastAsia="ru-RU"/>
        </w:rPr>
        <w:t>the main process flow.</w:t>
      </w:r>
    </w:p>
    <w:p w14:paraId="5A30940F" w14:textId="763D9589" w:rsidR="00494834" w:rsidRPr="006913FF" w:rsidRDefault="00494834" w:rsidP="006104CA">
      <w:pPr>
        <w:shd w:val="clear" w:color="auto" w:fill="FFFFFF"/>
        <w:ind w:firstLine="284"/>
        <w:jc w:val="both"/>
        <w:rPr>
          <w:color w:val="0F1115"/>
          <w:lang w:val="en-US" w:eastAsia="ru-RU"/>
        </w:rPr>
      </w:pPr>
      <w:r w:rsidRPr="006913FF">
        <w:rPr>
          <w:color w:val="0F1115"/>
          <w:lang w:val="en-US" w:eastAsia="ru-RU"/>
        </w:rPr>
        <w:t>Analytical interferences were systematically managed. Spectral interferences in FTIR, Raman and similar</w:t>
      </w:r>
      <w:r w:rsidRPr="006913FF">
        <w:rPr>
          <w:color w:val="0F1115"/>
          <w:lang w:eastAsia="ru-RU"/>
        </w:rPr>
        <w:t> </w:t>
      </w:r>
      <w:r w:rsidRPr="006913FF">
        <w:rPr>
          <w:color w:val="0F1115"/>
          <w:lang w:val="en-US" w:eastAsia="ru-RU"/>
        </w:rPr>
        <w:t>techniques were solved using complex algorithms such as multivariate calibration that mathematically resolves overlapping signals. Matrix</w:t>
      </w:r>
      <w:r w:rsidRPr="006913FF">
        <w:rPr>
          <w:color w:val="0F1115"/>
          <w:lang w:eastAsia="ru-RU"/>
        </w:rPr>
        <w:t> </w:t>
      </w:r>
      <w:r w:rsidRPr="006913FF">
        <w:rPr>
          <w:color w:val="0F1115"/>
          <w:lang w:val="en-US" w:eastAsia="ru-RU"/>
        </w:rPr>
        <w:t>effects were compensated for through standard addition techniques and the use of the same internal standards. And environmental temperature and pressure variations were then real-time compensated by embedded sensor</w:t>
      </w:r>
      <w:r w:rsidRPr="006913FF">
        <w:rPr>
          <w:color w:val="0F1115"/>
          <w:lang w:eastAsia="ru-RU"/>
        </w:rPr>
        <w:t> </w:t>
      </w:r>
      <w:r w:rsidRPr="006913FF">
        <w:rPr>
          <w:color w:val="0F1115"/>
          <w:lang w:val="en-US" w:eastAsia="ru-RU"/>
        </w:rPr>
        <w:t>data with a complex proprietary compensation algorithm built into the analytical software.</w:t>
      </w:r>
    </w:p>
    <w:p w14:paraId="7BAA3415" w14:textId="7A84F825" w:rsidR="009B6180" w:rsidRPr="006913FF" w:rsidRDefault="00494834" w:rsidP="006104CA">
      <w:pPr>
        <w:shd w:val="clear" w:color="auto" w:fill="FFFFFF"/>
        <w:ind w:firstLine="284"/>
        <w:jc w:val="both"/>
        <w:rPr>
          <w:color w:val="0F1115"/>
          <w:lang w:val="en-US" w:eastAsia="ru-RU"/>
        </w:rPr>
      </w:pPr>
      <w:r w:rsidRPr="006913FF">
        <w:rPr>
          <w:color w:val="0F1115"/>
          <w:lang w:val="en-US" w:eastAsia="ru-RU"/>
        </w:rPr>
        <w:t>Successful deployment required attention both</w:t>
      </w:r>
      <w:r w:rsidRPr="006913FF">
        <w:rPr>
          <w:color w:val="0F1115"/>
          <w:lang w:eastAsia="ru-RU"/>
        </w:rPr>
        <w:t> </w:t>
      </w:r>
      <w:r w:rsidRPr="006913FF">
        <w:rPr>
          <w:color w:val="0F1115"/>
          <w:lang w:val="en-US" w:eastAsia="ru-RU"/>
        </w:rPr>
        <w:t>to hardware and to the complexities of organization and data management. Change management was supported by extensive training</w:t>
      </w:r>
      <w:r w:rsidRPr="006913FF">
        <w:rPr>
          <w:color w:val="0F1115"/>
          <w:lang w:eastAsia="ru-RU"/>
        </w:rPr>
        <w:t> </w:t>
      </w:r>
      <w:r w:rsidRPr="006913FF">
        <w:rPr>
          <w:color w:val="0F1115"/>
          <w:lang w:val="en-US" w:eastAsia="ru-RU"/>
        </w:rPr>
        <w:t xml:space="preserve">programs for operations and maintenance staff, a staged approach to implementation with clearly defined success metrics at each milestone, and active sponsorship from key levels of senior management who provided resources. Data integration was another significant challenge that we overcame by utilizing standardized data formats (e.g. </w:t>
      </w:r>
      <w:proofErr w:type="spellStart"/>
      <w:r w:rsidRPr="006913FF">
        <w:rPr>
          <w:color w:val="0F1115"/>
          <w:lang w:val="en-US" w:eastAsia="ru-RU"/>
        </w:rPr>
        <w:t>AnIML</w:t>
      </w:r>
      <w:proofErr w:type="spellEnd"/>
      <w:r w:rsidRPr="006913FF">
        <w:rPr>
          <w:color w:val="0F1115"/>
          <w:lang w:val="en-US" w:eastAsia="ru-RU"/>
        </w:rPr>
        <w:t>, AIA) for vendor-independent data exchange, establishing secure interfaces to connect with existing DCS systems and ensuring strong IT security measures including network segmentation and encrypted communications with endpoints on the process floor in order to safeguard integrity and confidentiality of process</w:t>
      </w:r>
      <w:r w:rsidRPr="006913FF">
        <w:rPr>
          <w:color w:val="0F1115"/>
          <w:lang w:eastAsia="ru-RU"/>
        </w:rPr>
        <w:t> </w:t>
      </w:r>
      <w:r w:rsidRPr="006913FF">
        <w:rPr>
          <w:color w:val="0F1115"/>
          <w:lang w:val="en-US" w:eastAsia="ru-RU"/>
        </w:rPr>
        <w:t>data</w:t>
      </w:r>
      <w:r w:rsidR="006104CA" w:rsidRPr="006913FF">
        <w:rPr>
          <w:color w:val="0F1115"/>
          <w:lang w:val="en-US" w:eastAsia="ru-RU"/>
        </w:rPr>
        <w:t>.</w:t>
      </w:r>
    </w:p>
    <w:p w14:paraId="4B9CF527" w14:textId="77777777" w:rsidR="002658E6" w:rsidRPr="006913FF" w:rsidRDefault="0071786C" w:rsidP="0071786C">
      <w:pPr>
        <w:shd w:val="clear" w:color="auto" w:fill="FFFFFF"/>
        <w:spacing w:before="240" w:after="240"/>
        <w:jc w:val="center"/>
        <w:rPr>
          <w:b/>
          <w:bCs/>
          <w:color w:val="0F1115"/>
          <w:sz w:val="24"/>
          <w:lang w:val="en-US" w:eastAsia="ru-RU"/>
        </w:rPr>
      </w:pPr>
      <w:r w:rsidRPr="006913FF">
        <w:rPr>
          <w:b/>
          <w:bCs/>
          <w:color w:val="0F1115"/>
          <w:sz w:val="24"/>
          <w:lang w:val="en-US" w:eastAsia="ru-RU"/>
        </w:rPr>
        <w:t>FUTURE DIRECTIONS</w:t>
      </w:r>
    </w:p>
    <w:p w14:paraId="487F5E8D" w14:textId="7F9E1F69" w:rsidR="0010678A" w:rsidRPr="006913FF" w:rsidRDefault="0010678A" w:rsidP="0010678A">
      <w:pPr>
        <w:shd w:val="clear" w:color="auto" w:fill="FFFFFF"/>
        <w:ind w:firstLine="284"/>
        <w:jc w:val="both"/>
        <w:rPr>
          <w:bCs/>
          <w:color w:val="0F1115"/>
          <w:lang w:val="en-US" w:eastAsia="ru-RU"/>
        </w:rPr>
      </w:pPr>
      <w:r w:rsidRPr="006913FF">
        <w:rPr>
          <w:bCs/>
          <w:color w:val="0F1115"/>
          <w:lang w:val="en-US" w:eastAsia="ru-RU"/>
        </w:rPr>
        <w:t>PAT will be driven by several essential technological trends in its development. Microfluidics and lab-on-chip technology also offers miniaturization in analysis and sophisticated instruments closer to the point of need, with associated foot print and reagent savings. Able to deploy distributed wireless sensor networks will allow high spatial resolution monitoring of processes and escape from point measurements that miss gradients and inhomogeneities. The platform’s capacity to identify unknown compounds, predict the behaviors of complex systems, and autonomously make analytical decisions will be expanded by advances in AI—specifically deep learning architectures.</w:t>
      </w:r>
    </w:p>
    <w:p w14:paraId="19B6C17A" w14:textId="77777777" w:rsidR="0010678A" w:rsidRPr="006913FF" w:rsidRDefault="0010678A" w:rsidP="0010678A">
      <w:pPr>
        <w:shd w:val="clear" w:color="auto" w:fill="FFFFFF"/>
        <w:ind w:firstLine="284"/>
        <w:jc w:val="both"/>
        <w:rPr>
          <w:bCs/>
          <w:color w:val="0F1115"/>
          <w:lang w:val="en-US" w:eastAsia="ru-RU"/>
        </w:rPr>
      </w:pPr>
      <w:r w:rsidRPr="006913FF">
        <w:rPr>
          <w:bCs/>
          <w:color w:val="0F1115"/>
          <w:lang w:val="en-US" w:eastAsia="ru-RU"/>
        </w:rPr>
        <w:t>The PAT framework developed here is easily extendable to emerging and new industrial sectors. In biotechnology, metabolomics and multi-parameter sensors enable real-time monitoring of fermentation and cell culture processes for yield optimization and product quality control. Not only can water treatment plants use the same to continuously test for such emerging contaminants, and thereby maintain a safe and effective water system. In advanced materials manufacturing, such as polymerization processes and composite formation, in-line spectroscopy and in -line rheology can be employed to offer an accurate determination of reaction kinetics and final material characteristics.</w:t>
      </w:r>
    </w:p>
    <w:p w14:paraId="767BC6AF" w14:textId="1E99BC11" w:rsidR="009B6180" w:rsidRPr="006913FF" w:rsidRDefault="0010678A" w:rsidP="0010678A">
      <w:pPr>
        <w:shd w:val="clear" w:color="auto" w:fill="FFFFFF"/>
        <w:ind w:firstLine="284"/>
        <w:jc w:val="both"/>
        <w:rPr>
          <w:color w:val="0F1115"/>
          <w:lang w:val="en-US" w:eastAsia="ru-RU"/>
        </w:rPr>
      </w:pPr>
      <w:r w:rsidRPr="006913FF">
        <w:rPr>
          <w:bCs/>
          <w:color w:val="0F1115"/>
          <w:lang w:val="en-US" w:eastAsia="ru-RU"/>
        </w:rPr>
        <w:t>The path to scale is a sightline through standardization. Next steps should aim at the joint definition of industry-wide standards for PAT methods, data formats and communication protocols. This will be conditional on the generation of robust reference materials and methods that enable calibration transfer between instruments and sites, enabling comparable outcomes to be achieved across the globe. Ultimately, spreading one common set of best practices throughout each sector would act to hasten adoption, reduce risk and facilitate a faster realization of the economic and operational advantages from intelligent process analytics integration in organizations.</w:t>
      </w:r>
    </w:p>
    <w:p w14:paraId="058226F5" w14:textId="77777777" w:rsidR="002658E6" w:rsidRPr="006913FF" w:rsidRDefault="0071786C" w:rsidP="0071786C">
      <w:pPr>
        <w:shd w:val="clear" w:color="auto" w:fill="FFFFFF"/>
        <w:spacing w:before="240" w:after="240"/>
        <w:jc w:val="center"/>
        <w:rPr>
          <w:b/>
          <w:bCs/>
          <w:color w:val="0F1115"/>
          <w:sz w:val="24"/>
          <w:lang w:val="en-US" w:eastAsia="ru-RU"/>
        </w:rPr>
      </w:pPr>
      <w:r w:rsidRPr="006913FF">
        <w:rPr>
          <w:b/>
          <w:bCs/>
          <w:color w:val="0F1115"/>
          <w:sz w:val="24"/>
          <w:lang w:val="en-US" w:eastAsia="ru-RU"/>
        </w:rPr>
        <w:t>CONCLUSION</w:t>
      </w:r>
    </w:p>
    <w:p w14:paraId="39310926" w14:textId="77777777" w:rsidR="00F72EFE" w:rsidRPr="006913FF" w:rsidRDefault="00F72EFE" w:rsidP="00F72EFE">
      <w:pPr>
        <w:shd w:val="clear" w:color="auto" w:fill="FFFFFF"/>
        <w:ind w:firstLine="284"/>
        <w:jc w:val="both"/>
        <w:rPr>
          <w:color w:val="0F1115"/>
          <w:lang w:val="en-US" w:eastAsia="ru-RU"/>
        </w:rPr>
      </w:pPr>
      <w:r w:rsidRPr="006913FF">
        <w:rPr>
          <w:color w:val="0F1115"/>
          <w:lang w:val="en-US" w:eastAsia="ru-RU"/>
        </w:rPr>
        <w:t>This work illustrates the successful design and application of a combined physical-chemical analysis platform towards process optimization at an industrial scale. Key achievements include:</w:t>
      </w:r>
    </w:p>
    <w:p w14:paraId="03B1BB3B" w14:textId="77777777" w:rsidR="00F72EFE" w:rsidRPr="006913FF" w:rsidRDefault="00F72EFE" w:rsidP="00F72EFE">
      <w:pPr>
        <w:pStyle w:val="a5"/>
        <w:numPr>
          <w:ilvl w:val="0"/>
          <w:numId w:val="39"/>
        </w:numPr>
        <w:shd w:val="clear" w:color="auto" w:fill="FFFFFF"/>
        <w:ind w:left="0" w:firstLine="284"/>
        <w:jc w:val="both"/>
        <w:rPr>
          <w:color w:val="0F1115"/>
          <w:lang w:val="en-US" w:eastAsia="ru-RU"/>
        </w:rPr>
      </w:pPr>
      <w:r w:rsidRPr="006913FF">
        <w:rPr>
          <w:color w:val="0F1115"/>
          <w:lang w:val="en-US" w:eastAsia="ru-RU"/>
        </w:rPr>
        <w:t>Establishment of reliable analytical methods involving several complementary approaches;</w:t>
      </w:r>
    </w:p>
    <w:p w14:paraId="452E276E" w14:textId="77777777" w:rsidR="00F72EFE" w:rsidRPr="006913FF" w:rsidRDefault="00F72EFE" w:rsidP="00F72EFE">
      <w:pPr>
        <w:pStyle w:val="a5"/>
        <w:numPr>
          <w:ilvl w:val="0"/>
          <w:numId w:val="39"/>
        </w:numPr>
        <w:shd w:val="clear" w:color="auto" w:fill="FFFFFF"/>
        <w:ind w:left="0" w:firstLine="284"/>
        <w:jc w:val="both"/>
        <w:rPr>
          <w:color w:val="0F1115"/>
          <w:lang w:val="en-US" w:eastAsia="ru-RU"/>
        </w:rPr>
      </w:pPr>
      <w:r w:rsidRPr="006913FF">
        <w:rPr>
          <w:color w:val="0F1115"/>
          <w:lang w:val="en-US" w:eastAsia="ru-RU"/>
        </w:rPr>
        <w:t>Advanced data analytics and machine learning integration for real time decision support;</w:t>
      </w:r>
    </w:p>
    <w:p w14:paraId="4E87127A" w14:textId="77777777" w:rsidR="00F72EFE" w:rsidRPr="006913FF" w:rsidRDefault="00F72EFE" w:rsidP="00F72EFE">
      <w:pPr>
        <w:pStyle w:val="a5"/>
        <w:numPr>
          <w:ilvl w:val="0"/>
          <w:numId w:val="39"/>
        </w:numPr>
        <w:shd w:val="clear" w:color="auto" w:fill="FFFFFF"/>
        <w:ind w:left="0" w:firstLine="284"/>
        <w:jc w:val="both"/>
        <w:rPr>
          <w:color w:val="0F1115"/>
          <w:lang w:val="en-US" w:eastAsia="ru-RU"/>
        </w:rPr>
      </w:pPr>
      <w:r w:rsidRPr="006913FF">
        <w:rPr>
          <w:color w:val="0F1115"/>
          <w:lang w:val="en-US" w:eastAsia="ru-RU"/>
        </w:rPr>
        <w:t>Validation through industrial-scale deployments in three sectors;</w:t>
      </w:r>
    </w:p>
    <w:p w14:paraId="64AB3CB5" w14:textId="6ADAABA3" w:rsidR="00F72EFE" w:rsidRPr="006913FF" w:rsidRDefault="00F72EFE" w:rsidP="00F72EFE">
      <w:pPr>
        <w:pStyle w:val="a5"/>
        <w:numPr>
          <w:ilvl w:val="0"/>
          <w:numId w:val="39"/>
        </w:numPr>
        <w:shd w:val="clear" w:color="auto" w:fill="FFFFFF"/>
        <w:ind w:left="0" w:firstLine="284"/>
        <w:jc w:val="both"/>
        <w:rPr>
          <w:color w:val="0F1115"/>
          <w:lang w:val="en-US" w:eastAsia="ru-RU"/>
        </w:rPr>
      </w:pPr>
      <w:r w:rsidRPr="006913FF">
        <w:rPr>
          <w:color w:val="0F1115"/>
          <w:lang w:val="en-US" w:eastAsia="ru-RU"/>
        </w:rPr>
        <w:t>Showing of material economic benefits - yield gains, energy savings, and quality assurance.</w:t>
      </w:r>
    </w:p>
    <w:p w14:paraId="262892AC" w14:textId="77777777" w:rsidR="00F72EFE" w:rsidRPr="006913FF" w:rsidRDefault="00F72EFE" w:rsidP="00F72EFE">
      <w:pPr>
        <w:shd w:val="clear" w:color="auto" w:fill="FFFFFF"/>
        <w:ind w:firstLine="284"/>
        <w:jc w:val="both"/>
        <w:rPr>
          <w:color w:val="0F1115"/>
          <w:lang w:val="en-US" w:eastAsia="ru-RU"/>
        </w:rPr>
      </w:pPr>
      <w:r w:rsidRPr="006913FF">
        <w:rPr>
          <w:color w:val="0F1115"/>
          <w:lang w:val="en-US" w:eastAsia="ru-RU"/>
        </w:rPr>
        <w:t>The service has the capacity to shift from reactive to proactive process control with analytics latency decreasing from a few hours up to several seconds and accuracy increasing by at least 42 or almost 68% using standard methods. Interface to process control systems enable closed-loop, automatic tuning of constantly evolving conditions.</w:t>
      </w:r>
    </w:p>
    <w:p w14:paraId="06759E27" w14:textId="77777777" w:rsidR="00F72EFE" w:rsidRPr="006913FF" w:rsidRDefault="00F72EFE" w:rsidP="00F72EFE">
      <w:pPr>
        <w:shd w:val="clear" w:color="auto" w:fill="FFFFFF"/>
        <w:ind w:firstLine="284"/>
        <w:jc w:val="both"/>
        <w:rPr>
          <w:color w:val="0F1115"/>
          <w:lang w:val="en-US" w:eastAsia="ru-RU"/>
        </w:rPr>
      </w:pPr>
      <w:r w:rsidRPr="006913FF">
        <w:rPr>
          <w:color w:val="0F1115"/>
          <w:lang w:val="en-US" w:eastAsia="ru-RU"/>
        </w:rPr>
        <w:t xml:space="preserve">The study constructs a model for PAT adaptation on technical and organizational level. The proposed solutions for sampling, data integration and change management offer concrete advice on implement- </w:t>
      </w:r>
      <w:proofErr w:type="spellStart"/>
      <w:r w:rsidRPr="006913FF">
        <w:rPr>
          <w:color w:val="0F1115"/>
          <w:lang w:val="en-US" w:eastAsia="ru-RU"/>
        </w:rPr>
        <w:t>ation</w:t>
      </w:r>
      <w:proofErr w:type="spellEnd"/>
      <w:r w:rsidRPr="006913FF">
        <w:rPr>
          <w:color w:val="0F1115"/>
          <w:lang w:val="en-US" w:eastAsia="ru-RU"/>
        </w:rPr>
        <w:t xml:space="preserve"> in industry. Future work will include downsizing, extension to other industry sectors, and the development of </w:t>
      </w:r>
      <w:proofErr w:type="spellStart"/>
      <w:r w:rsidRPr="006913FF">
        <w:rPr>
          <w:color w:val="0F1115"/>
          <w:lang w:val="en-US" w:eastAsia="ru-RU"/>
        </w:rPr>
        <w:t>standardised</w:t>
      </w:r>
      <w:proofErr w:type="spellEnd"/>
      <w:r w:rsidRPr="006913FF">
        <w:rPr>
          <w:color w:val="0F1115"/>
          <w:lang w:val="en-US" w:eastAsia="ru-RU"/>
        </w:rPr>
        <w:t xml:space="preserve"> methodologies for an accelerated implementation.</w:t>
      </w:r>
    </w:p>
    <w:p w14:paraId="287356B1" w14:textId="329931F4" w:rsidR="009B6180" w:rsidRPr="006913FF" w:rsidRDefault="00F72EFE" w:rsidP="00F72EFE">
      <w:pPr>
        <w:shd w:val="clear" w:color="auto" w:fill="FFFFFF"/>
        <w:ind w:firstLine="284"/>
        <w:jc w:val="both"/>
        <w:rPr>
          <w:color w:val="0F1115"/>
          <w:lang w:val="en-US" w:eastAsia="ru-RU"/>
        </w:rPr>
      </w:pPr>
      <w:r w:rsidRPr="006913FF">
        <w:rPr>
          <w:color w:val="0F1115"/>
          <w:lang w:val="en-US" w:eastAsia="ru-RU"/>
        </w:rPr>
        <w:t>The output results further form the basis for a successful implementation of Industry 4.0 in process industries, allowing them to digitalize and optimize their processes based on data already stored in the control system. The combination of physical-chemical analysis with process control fundamentally changes how industrial operations are run: from only monitoring quality once in a while to continuously assuring and optimizing quality.</w:t>
      </w:r>
    </w:p>
    <w:p w14:paraId="6BD17FCB" w14:textId="77777777" w:rsidR="009B6180" w:rsidRPr="006913FF" w:rsidRDefault="0071786C" w:rsidP="0071786C">
      <w:pPr>
        <w:shd w:val="clear" w:color="auto" w:fill="FFFFFF"/>
        <w:spacing w:before="240" w:after="240"/>
        <w:jc w:val="center"/>
        <w:rPr>
          <w:b/>
          <w:bCs/>
          <w:color w:val="0F1115"/>
          <w:sz w:val="24"/>
          <w:lang w:val="en-US" w:eastAsia="ru-RU"/>
        </w:rPr>
      </w:pPr>
      <w:r w:rsidRPr="006913FF">
        <w:rPr>
          <w:b/>
          <w:bCs/>
          <w:color w:val="0F1115"/>
          <w:sz w:val="24"/>
          <w:lang w:val="en-US" w:eastAsia="ru-RU"/>
        </w:rPr>
        <w:t>REFERENCES</w:t>
      </w:r>
    </w:p>
    <w:p w14:paraId="5F207120" w14:textId="77777777" w:rsidR="001352D1" w:rsidRPr="000F1720" w:rsidRDefault="00B231D9" w:rsidP="00320E96">
      <w:pPr>
        <w:numPr>
          <w:ilvl w:val="0"/>
          <w:numId w:val="38"/>
        </w:numPr>
        <w:shd w:val="clear" w:color="auto" w:fill="FFFFFF"/>
        <w:tabs>
          <w:tab w:val="clear" w:pos="720"/>
          <w:tab w:val="num" w:pos="1418"/>
        </w:tabs>
        <w:ind w:left="426" w:hanging="426"/>
        <w:jc w:val="both"/>
        <w:rPr>
          <w:color w:val="000000" w:themeColor="text1"/>
          <w:lang w:val="en-US" w:eastAsia="ru-RU"/>
        </w:rPr>
      </w:pPr>
      <w:proofErr w:type="spellStart"/>
      <w:r w:rsidRPr="000F1720">
        <w:rPr>
          <w:color w:val="000000" w:themeColor="text1"/>
          <w:lang w:val="en-US" w:eastAsia="ru-RU"/>
        </w:rPr>
        <w:t>Ziani</w:t>
      </w:r>
      <w:proofErr w:type="spellEnd"/>
      <w:r w:rsidRPr="000F1720">
        <w:rPr>
          <w:color w:val="000000" w:themeColor="text1"/>
          <w:lang w:val="en-US" w:eastAsia="ru-RU"/>
        </w:rPr>
        <w:t xml:space="preserve">, I., </w:t>
      </w:r>
      <w:proofErr w:type="spellStart"/>
      <w:r w:rsidRPr="000F1720">
        <w:rPr>
          <w:color w:val="000000" w:themeColor="text1"/>
          <w:lang w:val="en-US" w:eastAsia="ru-RU"/>
        </w:rPr>
        <w:t>Bouakline</w:t>
      </w:r>
      <w:proofErr w:type="spellEnd"/>
      <w:r w:rsidRPr="000F1720">
        <w:rPr>
          <w:color w:val="000000" w:themeColor="text1"/>
          <w:lang w:val="en-US" w:eastAsia="ru-RU"/>
        </w:rPr>
        <w:t xml:space="preserve">, H., </w:t>
      </w:r>
      <w:proofErr w:type="spellStart"/>
      <w:r w:rsidRPr="000F1720">
        <w:rPr>
          <w:color w:val="000000" w:themeColor="text1"/>
          <w:lang w:val="en-US" w:eastAsia="ru-RU"/>
        </w:rPr>
        <w:t>Guerraf</w:t>
      </w:r>
      <w:proofErr w:type="spellEnd"/>
      <w:r w:rsidRPr="000F1720">
        <w:rPr>
          <w:color w:val="000000" w:themeColor="text1"/>
          <w:lang w:val="en-US" w:eastAsia="ru-RU"/>
        </w:rPr>
        <w:t xml:space="preserve">, A. E., </w:t>
      </w:r>
      <w:proofErr w:type="spellStart"/>
      <w:r w:rsidRPr="000F1720">
        <w:rPr>
          <w:color w:val="000000" w:themeColor="text1"/>
          <w:lang w:val="en-US" w:eastAsia="ru-RU"/>
        </w:rPr>
        <w:t>Bachiri</w:t>
      </w:r>
      <w:proofErr w:type="spellEnd"/>
      <w:r w:rsidRPr="000F1720">
        <w:rPr>
          <w:color w:val="000000" w:themeColor="text1"/>
          <w:lang w:val="en-US" w:eastAsia="ru-RU"/>
        </w:rPr>
        <w:t xml:space="preserve">, A. E., </w:t>
      </w:r>
      <w:proofErr w:type="spellStart"/>
      <w:r w:rsidRPr="000F1720">
        <w:rPr>
          <w:color w:val="000000" w:themeColor="text1"/>
          <w:lang w:val="en-US" w:eastAsia="ru-RU"/>
        </w:rPr>
        <w:t>Fauconnier</w:t>
      </w:r>
      <w:proofErr w:type="spellEnd"/>
      <w:r w:rsidRPr="000F1720">
        <w:rPr>
          <w:color w:val="000000" w:themeColor="text1"/>
          <w:lang w:val="en-US" w:eastAsia="ru-RU"/>
        </w:rPr>
        <w:t xml:space="preserve">, N. M., &amp; Sher, F. (2024). Integrating AI and advanced spectroscopic techniques for precision food safety and quality control. Trends in Food Science &amp; Technology, 156, 104850. </w:t>
      </w:r>
      <w:hyperlink r:id="rId7" w:history="1">
        <w:r w:rsidRPr="000F1720">
          <w:rPr>
            <w:rStyle w:val="a7"/>
            <w:color w:val="000000" w:themeColor="text1"/>
            <w:u w:val="none"/>
            <w:lang w:val="en-US" w:eastAsia="ru-RU"/>
          </w:rPr>
          <w:t>https://doi.org/10.1016/j.tifs.2024.104850</w:t>
        </w:r>
      </w:hyperlink>
    </w:p>
    <w:p w14:paraId="7AA0C57E" w14:textId="77777777" w:rsidR="00B231D9" w:rsidRPr="000F1720" w:rsidRDefault="00356686" w:rsidP="00320E96">
      <w:pPr>
        <w:numPr>
          <w:ilvl w:val="0"/>
          <w:numId w:val="38"/>
        </w:numPr>
        <w:shd w:val="clear" w:color="auto" w:fill="FFFFFF"/>
        <w:tabs>
          <w:tab w:val="clear" w:pos="720"/>
          <w:tab w:val="num" w:pos="1418"/>
        </w:tabs>
        <w:ind w:left="426" w:hanging="426"/>
        <w:jc w:val="both"/>
        <w:rPr>
          <w:color w:val="000000" w:themeColor="text1"/>
          <w:lang w:val="en-US" w:eastAsia="ru-RU"/>
        </w:rPr>
      </w:pPr>
      <w:r w:rsidRPr="000F1720">
        <w:rPr>
          <w:color w:val="000000" w:themeColor="text1"/>
          <w:lang w:val="en-US" w:eastAsia="ru-RU"/>
        </w:rPr>
        <w:t>McCreery, R. L. (2005). Raman spectroscopy for chemical analysis. John Wiley &amp; Sons.</w:t>
      </w:r>
    </w:p>
    <w:p w14:paraId="04C5700F" w14:textId="77777777" w:rsidR="00356686" w:rsidRPr="000F1720" w:rsidRDefault="00356686" w:rsidP="00320E96">
      <w:pPr>
        <w:numPr>
          <w:ilvl w:val="0"/>
          <w:numId w:val="38"/>
        </w:numPr>
        <w:shd w:val="clear" w:color="auto" w:fill="FFFFFF"/>
        <w:tabs>
          <w:tab w:val="clear" w:pos="720"/>
          <w:tab w:val="num" w:pos="1418"/>
        </w:tabs>
        <w:ind w:left="426" w:hanging="426"/>
        <w:jc w:val="both"/>
        <w:rPr>
          <w:color w:val="000000" w:themeColor="text1"/>
          <w:lang w:val="en-US" w:eastAsia="ru-RU"/>
        </w:rPr>
      </w:pPr>
      <w:r w:rsidRPr="000F1720">
        <w:rPr>
          <w:color w:val="000000" w:themeColor="text1"/>
          <w:lang w:val="en-US" w:eastAsia="ru-RU"/>
        </w:rPr>
        <w:t xml:space="preserve">Mishra, A., </w:t>
      </w:r>
      <w:proofErr w:type="spellStart"/>
      <w:r w:rsidRPr="000F1720">
        <w:rPr>
          <w:color w:val="000000" w:themeColor="text1"/>
          <w:lang w:val="en-US" w:eastAsia="ru-RU"/>
        </w:rPr>
        <w:t>Aghaee</w:t>
      </w:r>
      <w:proofErr w:type="spellEnd"/>
      <w:r w:rsidRPr="000F1720">
        <w:rPr>
          <w:color w:val="000000" w:themeColor="text1"/>
          <w:lang w:val="en-US" w:eastAsia="ru-RU"/>
        </w:rPr>
        <w:t xml:space="preserve">, M., Tamer, I. M., &amp; </w:t>
      </w:r>
      <w:proofErr w:type="spellStart"/>
      <w:r w:rsidRPr="000F1720">
        <w:rPr>
          <w:color w:val="000000" w:themeColor="text1"/>
          <w:lang w:val="en-US" w:eastAsia="ru-RU"/>
        </w:rPr>
        <w:t>Budman</w:t>
      </w:r>
      <w:proofErr w:type="spellEnd"/>
      <w:r w:rsidRPr="000F1720">
        <w:rPr>
          <w:color w:val="000000" w:themeColor="text1"/>
          <w:lang w:val="en-US" w:eastAsia="ru-RU"/>
        </w:rPr>
        <w:t xml:space="preserve">, H. (2025). Spectroscopic Advances in real time monitoring of pharmaceutical bioprocesses: A review of vibrational and fluorescence techniques. Spectroscopy Journal, 3(2), 12. </w:t>
      </w:r>
      <w:hyperlink r:id="rId8" w:history="1">
        <w:r w:rsidRPr="000F1720">
          <w:rPr>
            <w:rStyle w:val="a7"/>
            <w:color w:val="000000" w:themeColor="text1"/>
            <w:u w:val="none"/>
            <w:lang w:val="en-US" w:eastAsia="ru-RU"/>
          </w:rPr>
          <w:t>https://doi.org/10.3390/spectroscj3020012</w:t>
        </w:r>
      </w:hyperlink>
    </w:p>
    <w:p w14:paraId="2568978A" w14:textId="7AD1E6AF" w:rsidR="00356686" w:rsidRPr="000F1720" w:rsidRDefault="00671C13" w:rsidP="00320E96">
      <w:pPr>
        <w:numPr>
          <w:ilvl w:val="0"/>
          <w:numId w:val="38"/>
        </w:numPr>
        <w:shd w:val="clear" w:color="auto" w:fill="FFFFFF"/>
        <w:tabs>
          <w:tab w:val="clear" w:pos="720"/>
          <w:tab w:val="num" w:pos="1418"/>
        </w:tabs>
        <w:ind w:left="426" w:hanging="426"/>
        <w:jc w:val="both"/>
        <w:rPr>
          <w:rStyle w:val="a7"/>
          <w:color w:val="000000" w:themeColor="text1"/>
          <w:u w:val="none"/>
          <w:lang w:val="en-US" w:eastAsia="ru-RU"/>
        </w:rPr>
      </w:pPr>
      <w:r w:rsidRPr="000F1720">
        <w:rPr>
          <w:color w:val="000000" w:themeColor="text1"/>
          <w:lang w:val="en-US" w:eastAsia="ru-RU"/>
        </w:rPr>
        <w:t xml:space="preserve">Chen, Z., Lovett, D., &amp; Morris, J. (2011). Process analytical technologies and real time process control a review of some spectroscopic issues and challenges. Journal of Process Control, 21(10), 1467–1482. </w:t>
      </w:r>
      <w:hyperlink r:id="rId9" w:history="1">
        <w:r w:rsidRPr="000F1720">
          <w:rPr>
            <w:rStyle w:val="a7"/>
            <w:color w:val="000000" w:themeColor="text1"/>
            <w:u w:val="none"/>
            <w:lang w:val="en-US" w:eastAsia="ru-RU"/>
          </w:rPr>
          <w:t>https://doi.org/10.1016/j.jprocont.2011.06.024</w:t>
        </w:r>
      </w:hyperlink>
    </w:p>
    <w:p w14:paraId="618BC501" w14:textId="45438233" w:rsidR="00320E96" w:rsidRPr="000F1720" w:rsidRDefault="00320E96" w:rsidP="00320E96">
      <w:pPr>
        <w:numPr>
          <w:ilvl w:val="0"/>
          <w:numId w:val="38"/>
        </w:numPr>
        <w:shd w:val="clear" w:color="auto" w:fill="FFFFFF"/>
        <w:tabs>
          <w:tab w:val="clear" w:pos="720"/>
          <w:tab w:val="num" w:pos="1418"/>
        </w:tabs>
        <w:ind w:left="426" w:hanging="426"/>
        <w:jc w:val="both"/>
        <w:rPr>
          <w:color w:val="000000" w:themeColor="text1"/>
          <w:lang w:val="en-US" w:eastAsia="ru-RU"/>
        </w:rPr>
      </w:pPr>
      <w:proofErr w:type="spellStart"/>
      <w:r w:rsidRPr="000F1720">
        <w:rPr>
          <w:color w:val="000000" w:themeColor="text1"/>
          <w:lang w:val="en-US" w:eastAsia="ru-RU"/>
        </w:rPr>
        <w:t>Callis</w:t>
      </w:r>
      <w:proofErr w:type="spellEnd"/>
      <w:r w:rsidRPr="000F1720">
        <w:rPr>
          <w:color w:val="000000" w:themeColor="text1"/>
          <w:lang w:val="en-US" w:eastAsia="ru-RU"/>
        </w:rPr>
        <w:t xml:space="preserve">, J. B., </w:t>
      </w:r>
      <w:proofErr w:type="spellStart"/>
      <w:r w:rsidRPr="000F1720">
        <w:rPr>
          <w:color w:val="000000" w:themeColor="text1"/>
          <w:lang w:val="en-US" w:eastAsia="ru-RU"/>
        </w:rPr>
        <w:t>Illman</w:t>
      </w:r>
      <w:proofErr w:type="spellEnd"/>
      <w:r w:rsidRPr="000F1720">
        <w:rPr>
          <w:color w:val="000000" w:themeColor="text1"/>
          <w:lang w:val="en-US" w:eastAsia="ru-RU"/>
        </w:rPr>
        <w:t xml:space="preserve">, D. L., &amp; Kowalski, B. R. (1987). Process Analytical Chemistry. Analytical Chemistry, 59(9), 624A-637A. </w:t>
      </w:r>
      <w:hyperlink r:id="rId10" w:history="1">
        <w:r w:rsidRPr="000F1720">
          <w:rPr>
            <w:rStyle w:val="a7"/>
            <w:color w:val="000000" w:themeColor="text1"/>
            <w:u w:val="none"/>
            <w:lang w:val="en-US" w:eastAsia="ru-RU"/>
          </w:rPr>
          <w:t>https://doi.org/10.1021/ac00136a723</w:t>
        </w:r>
      </w:hyperlink>
      <w:r w:rsidRPr="000F1720">
        <w:rPr>
          <w:color w:val="000000" w:themeColor="text1"/>
          <w:lang w:val="en-US" w:eastAsia="ru-RU"/>
        </w:rPr>
        <w:t xml:space="preserve"> </w:t>
      </w:r>
    </w:p>
    <w:p w14:paraId="2B165DFC" w14:textId="03D7E31C" w:rsidR="00320E96" w:rsidRPr="000F1720" w:rsidRDefault="00320E96" w:rsidP="00320E96">
      <w:pPr>
        <w:numPr>
          <w:ilvl w:val="0"/>
          <w:numId w:val="38"/>
        </w:numPr>
        <w:shd w:val="clear" w:color="auto" w:fill="FFFFFF"/>
        <w:tabs>
          <w:tab w:val="clear" w:pos="720"/>
          <w:tab w:val="num" w:pos="1418"/>
        </w:tabs>
        <w:ind w:left="426" w:hanging="426"/>
        <w:jc w:val="both"/>
        <w:rPr>
          <w:color w:val="000000" w:themeColor="text1"/>
          <w:lang w:val="en-US" w:eastAsia="ru-RU"/>
        </w:rPr>
      </w:pPr>
      <w:proofErr w:type="spellStart"/>
      <w:r w:rsidRPr="000F1720">
        <w:rPr>
          <w:color w:val="000000" w:themeColor="text1"/>
          <w:lang w:val="en-US" w:eastAsia="ru-RU"/>
        </w:rPr>
        <w:t>Gulyamov</w:t>
      </w:r>
      <w:proofErr w:type="spellEnd"/>
      <w:r w:rsidRPr="000F1720">
        <w:rPr>
          <w:color w:val="000000" w:themeColor="text1"/>
          <w:lang w:val="en-US" w:eastAsia="ru-RU"/>
        </w:rPr>
        <w:t xml:space="preserve">, G., </w:t>
      </w:r>
      <w:proofErr w:type="spellStart"/>
      <w:r w:rsidRPr="000F1720">
        <w:rPr>
          <w:color w:val="000000" w:themeColor="text1"/>
          <w:lang w:val="en-US" w:eastAsia="ru-RU"/>
        </w:rPr>
        <w:t>Dadamirzaev</w:t>
      </w:r>
      <w:proofErr w:type="spellEnd"/>
      <w:r w:rsidRPr="000F1720">
        <w:rPr>
          <w:color w:val="000000" w:themeColor="text1"/>
          <w:lang w:val="en-US" w:eastAsia="ru-RU"/>
        </w:rPr>
        <w:t xml:space="preserve">, M.G., </w:t>
      </w:r>
      <w:proofErr w:type="spellStart"/>
      <w:r w:rsidRPr="000F1720">
        <w:rPr>
          <w:color w:val="000000" w:themeColor="text1"/>
          <w:lang w:val="en-US" w:eastAsia="ru-RU"/>
        </w:rPr>
        <w:t>Kosimova</w:t>
      </w:r>
      <w:proofErr w:type="spellEnd"/>
      <w:r w:rsidRPr="000F1720">
        <w:rPr>
          <w:color w:val="000000" w:themeColor="text1"/>
          <w:lang w:val="en-US" w:eastAsia="ru-RU"/>
        </w:rPr>
        <w:t xml:space="preserve">, M.O., </w:t>
      </w:r>
      <w:proofErr w:type="spellStart"/>
      <w:r w:rsidRPr="000F1720">
        <w:rPr>
          <w:color w:val="000000" w:themeColor="text1"/>
          <w:lang w:val="en-US" w:eastAsia="ru-RU"/>
        </w:rPr>
        <w:t>Boydedayev</w:t>
      </w:r>
      <w:proofErr w:type="spellEnd"/>
      <w:r w:rsidRPr="000F1720">
        <w:rPr>
          <w:color w:val="000000" w:themeColor="text1"/>
          <w:lang w:val="en-US" w:eastAsia="ru-RU"/>
        </w:rPr>
        <w:t xml:space="preserve">, S.R. (2023). Influence of deformation and light on the diffusion capacity and differential resistance of the p-n junction of a strong electromagnetic field. AIP Conference Proceedings, 2700(1),050013. </w:t>
      </w:r>
      <w:hyperlink r:id="rId11" w:history="1">
        <w:r w:rsidRPr="000F1720">
          <w:rPr>
            <w:rStyle w:val="a7"/>
            <w:color w:val="000000" w:themeColor="text1"/>
            <w:u w:val="none"/>
            <w:lang w:val="en-US" w:eastAsia="ru-RU"/>
          </w:rPr>
          <w:t>https://doi.org/10.1063/5.0124926</w:t>
        </w:r>
      </w:hyperlink>
      <w:r w:rsidRPr="000F1720">
        <w:rPr>
          <w:color w:val="000000" w:themeColor="text1"/>
          <w:lang w:val="en-US" w:eastAsia="ru-RU"/>
        </w:rPr>
        <w:t xml:space="preserve"> </w:t>
      </w:r>
    </w:p>
    <w:p w14:paraId="49E6AC9A" w14:textId="3B93B1CD" w:rsidR="00320E96" w:rsidRPr="000F1720" w:rsidRDefault="00320E96" w:rsidP="00320E96">
      <w:pPr>
        <w:numPr>
          <w:ilvl w:val="0"/>
          <w:numId w:val="38"/>
        </w:numPr>
        <w:shd w:val="clear" w:color="auto" w:fill="FFFFFF"/>
        <w:tabs>
          <w:tab w:val="clear" w:pos="720"/>
          <w:tab w:val="num" w:pos="1418"/>
        </w:tabs>
        <w:ind w:left="426" w:hanging="426"/>
        <w:jc w:val="both"/>
        <w:rPr>
          <w:color w:val="000000" w:themeColor="text1"/>
          <w:lang w:val="en-US" w:eastAsia="ru-RU"/>
        </w:rPr>
      </w:pPr>
      <w:proofErr w:type="spellStart"/>
      <w:r w:rsidRPr="000F1720">
        <w:rPr>
          <w:color w:val="000000" w:themeColor="text1"/>
          <w:lang w:val="en-US" w:eastAsia="ru-RU"/>
        </w:rPr>
        <w:t>Ahmetoglu</w:t>
      </w:r>
      <w:proofErr w:type="spellEnd"/>
      <w:r w:rsidRPr="000F1720">
        <w:rPr>
          <w:color w:val="000000" w:themeColor="text1"/>
          <w:lang w:val="en-US" w:eastAsia="ru-RU"/>
        </w:rPr>
        <w:t xml:space="preserve"> (</w:t>
      </w:r>
      <w:proofErr w:type="spellStart"/>
      <w:r w:rsidRPr="000F1720">
        <w:rPr>
          <w:color w:val="000000" w:themeColor="text1"/>
          <w:lang w:val="en-US" w:eastAsia="ru-RU"/>
        </w:rPr>
        <w:t>Afrailov</w:t>
      </w:r>
      <w:proofErr w:type="spellEnd"/>
      <w:r w:rsidRPr="000F1720">
        <w:rPr>
          <w:color w:val="000000" w:themeColor="text1"/>
          <w:lang w:val="en-US" w:eastAsia="ru-RU"/>
        </w:rPr>
        <w:t xml:space="preserve">), M., </w:t>
      </w:r>
      <w:proofErr w:type="spellStart"/>
      <w:r w:rsidRPr="000F1720">
        <w:rPr>
          <w:color w:val="000000" w:themeColor="text1"/>
          <w:lang w:val="en-US" w:eastAsia="ru-RU"/>
        </w:rPr>
        <w:t>Kaynak</w:t>
      </w:r>
      <w:proofErr w:type="spellEnd"/>
      <w:r w:rsidRPr="000F1720">
        <w:rPr>
          <w:color w:val="000000" w:themeColor="text1"/>
          <w:lang w:val="en-US" w:eastAsia="ru-RU"/>
        </w:rPr>
        <w:t xml:space="preserve">, G., </w:t>
      </w:r>
      <w:proofErr w:type="spellStart"/>
      <w:r w:rsidRPr="000F1720">
        <w:rPr>
          <w:color w:val="000000" w:themeColor="text1"/>
          <w:lang w:val="en-US" w:eastAsia="ru-RU"/>
        </w:rPr>
        <w:t>Shamirzaev</w:t>
      </w:r>
      <w:proofErr w:type="spellEnd"/>
      <w:r w:rsidRPr="000F1720">
        <w:rPr>
          <w:color w:val="000000" w:themeColor="text1"/>
          <w:lang w:val="en-US" w:eastAsia="ru-RU"/>
        </w:rPr>
        <w:t xml:space="preserve">, S., </w:t>
      </w:r>
      <w:proofErr w:type="spellStart"/>
      <w:r w:rsidRPr="000F1720">
        <w:rPr>
          <w:color w:val="000000" w:themeColor="text1"/>
          <w:lang w:val="en-US" w:eastAsia="ru-RU"/>
        </w:rPr>
        <w:t>Gulyamov</w:t>
      </w:r>
      <w:proofErr w:type="spellEnd"/>
      <w:r w:rsidRPr="000F1720">
        <w:rPr>
          <w:color w:val="000000" w:themeColor="text1"/>
          <w:lang w:val="en-US" w:eastAsia="ru-RU"/>
        </w:rPr>
        <w:t xml:space="preserve">, G., </w:t>
      </w:r>
      <w:proofErr w:type="spellStart"/>
      <w:r w:rsidRPr="000F1720">
        <w:rPr>
          <w:color w:val="000000" w:themeColor="text1"/>
          <w:lang w:val="en-US" w:eastAsia="ru-RU"/>
        </w:rPr>
        <w:t>Gulyamov</w:t>
      </w:r>
      <w:proofErr w:type="spellEnd"/>
      <w:r w:rsidRPr="000F1720">
        <w:rPr>
          <w:color w:val="000000" w:themeColor="text1"/>
          <w:lang w:val="en-US" w:eastAsia="ru-RU"/>
        </w:rPr>
        <w:t xml:space="preserve">, A., </w:t>
      </w:r>
      <w:proofErr w:type="spellStart"/>
      <w:r w:rsidRPr="000F1720">
        <w:rPr>
          <w:color w:val="000000" w:themeColor="text1"/>
          <w:lang w:val="en-US" w:eastAsia="ru-RU"/>
        </w:rPr>
        <w:t>Dadamirzaev</w:t>
      </w:r>
      <w:proofErr w:type="spellEnd"/>
      <w:r w:rsidRPr="000F1720">
        <w:rPr>
          <w:color w:val="000000" w:themeColor="text1"/>
          <w:lang w:val="en-US" w:eastAsia="ru-RU"/>
        </w:rPr>
        <w:t xml:space="preserve">, M.G., </w:t>
      </w:r>
      <w:proofErr w:type="spellStart"/>
      <w:r w:rsidRPr="000F1720">
        <w:rPr>
          <w:color w:val="000000" w:themeColor="text1"/>
          <w:lang w:val="en-US" w:eastAsia="ru-RU"/>
        </w:rPr>
        <w:t>Boydedayev</w:t>
      </w:r>
      <w:proofErr w:type="spellEnd"/>
      <w:r w:rsidRPr="000F1720">
        <w:rPr>
          <w:color w:val="000000" w:themeColor="text1"/>
          <w:lang w:val="en-US" w:eastAsia="ru-RU"/>
        </w:rPr>
        <w:t xml:space="preserve">, S.R., </w:t>
      </w:r>
      <w:proofErr w:type="spellStart"/>
      <w:r w:rsidRPr="000F1720">
        <w:rPr>
          <w:color w:val="000000" w:themeColor="text1"/>
          <w:lang w:val="en-US" w:eastAsia="ru-RU"/>
        </w:rPr>
        <w:t>Aprailov</w:t>
      </w:r>
      <w:proofErr w:type="spellEnd"/>
      <w:r w:rsidRPr="000F1720">
        <w:rPr>
          <w:color w:val="000000" w:themeColor="text1"/>
          <w:lang w:val="en-US" w:eastAsia="ru-RU"/>
        </w:rPr>
        <w:t xml:space="preserve"> N. (2009). To the theory of electromotive force generated in potential barrier at ultrahigh frequency field. International Journal of Modern Physics, 23(15), 3279-3285. </w:t>
      </w:r>
      <w:hyperlink r:id="rId12" w:history="1">
        <w:r w:rsidRPr="000F1720">
          <w:rPr>
            <w:rStyle w:val="a7"/>
            <w:color w:val="000000" w:themeColor="text1"/>
            <w:u w:val="none"/>
            <w:lang w:val="en-US" w:eastAsia="ru-RU"/>
          </w:rPr>
          <w:t>https://doi.org/10.1142/S0217979209053084</w:t>
        </w:r>
      </w:hyperlink>
      <w:r w:rsidRPr="000F1720">
        <w:rPr>
          <w:color w:val="000000" w:themeColor="text1"/>
          <w:lang w:val="en-US" w:eastAsia="ru-RU"/>
        </w:rPr>
        <w:t xml:space="preserve"> </w:t>
      </w:r>
    </w:p>
    <w:sectPr w:rsidR="00320E96" w:rsidRPr="000F1720" w:rsidSect="000F1720">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0C373" w14:textId="77777777" w:rsidR="0086461B" w:rsidRDefault="0086461B" w:rsidP="00320E96">
      <w:r>
        <w:separator/>
      </w:r>
    </w:p>
  </w:endnote>
  <w:endnote w:type="continuationSeparator" w:id="0">
    <w:p w14:paraId="5029A9D4" w14:textId="77777777" w:rsidR="0086461B" w:rsidRDefault="0086461B" w:rsidP="0032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C5983" w14:textId="77777777" w:rsidR="0086461B" w:rsidRDefault="0086461B" w:rsidP="00320E96">
      <w:r>
        <w:separator/>
      </w:r>
    </w:p>
  </w:footnote>
  <w:footnote w:type="continuationSeparator" w:id="0">
    <w:p w14:paraId="59D66FCB" w14:textId="77777777" w:rsidR="0086461B" w:rsidRDefault="0086461B" w:rsidP="00320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54F77"/>
    <w:multiLevelType w:val="multilevel"/>
    <w:tmpl w:val="7B2E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A5BEA"/>
    <w:multiLevelType w:val="multilevel"/>
    <w:tmpl w:val="BA9A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B244C"/>
    <w:multiLevelType w:val="multilevel"/>
    <w:tmpl w:val="60FE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C7074"/>
    <w:multiLevelType w:val="multilevel"/>
    <w:tmpl w:val="A9AE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D1D58"/>
    <w:multiLevelType w:val="multilevel"/>
    <w:tmpl w:val="F7A0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74861"/>
    <w:multiLevelType w:val="multilevel"/>
    <w:tmpl w:val="F2DA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D3F30"/>
    <w:multiLevelType w:val="multilevel"/>
    <w:tmpl w:val="9E88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85BF4"/>
    <w:multiLevelType w:val="multilevel"/>
    <w:tmpl w:val="CC48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856C87"/>
    <w:multiLevelType w:val="multilevel"/>
    <w:tmpl w:val="74CC4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956153"/>
    <w:multiLevelType w:val="multilevel"/>
    <w:tmpl w:val="D134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402684"/>
    <w:multiLevelType w:val="multilevel"/>
    <w:tmpl w:val="A7F0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A5A9B"/>
    <w:multiLevelType w:val="multilevel"/>
    <w:tmpl w:val="4F8E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231544"/>
    <w:multiLevelType w:val="multilevel"/>
    <w:tmpl w:val="1C64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7616C7"/>
    <w:multiLevelType w:val="multilevel"/>
    <w:tmpl w:val="1A78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AA761A"/>
    <w:multiLevelType w:val="multilevel"/>
    <w:tmpl w:val="05304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AF1FDD"/>
    <w:multiLevelType w:val="multilevel"/>
    <w:tmpl w:val="25D6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682E85"/>
    <w:multiLevelType w:val="multilevel"/>
    <w:tmpl w:val="DA9E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E221BC"/>
    <w:multiLevelType w:val="multilevel"/>
    <w:tmpl w:val="A462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1358E9"/>
    <w:multiLevelType w:val="multilevel"/>
    <w:tmpl w:val="35F2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855EB3"/>
    <w:multiLevelType w:val="multilevel"/>
    <w:tmpl w:val="7A245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A45F7F"/>
    <w:multiLevelType w:val="multilevel"/>
    <w:tmpl w:val="CE20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C85395"/>
    <w:multiLevelType w:val="multilevel"/>
    <w:tmpl w:val="A656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030B7A"/>
    <w:multiLevelType w:val="multilevel"/>
    <w:tmpl w:val="EEE0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24186E"/>
    <w:multiLevelType w:val="multilevel"/>
    <w:tmpl w:val="F6B4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CF2783"/>
    <w:multiLevelType w:val="multilevel"/>
    <w:tmpl w:val="EACA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F66C42"/>
    <w:multiLevelType w:val="hybridMultilevel"/>
    <w:tmpl w:val="F60E324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624418C5"/>
    <w:multiLevelType w:val="multilevel"/>
    <w:tmpl w:val="D9C8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5137EF"/>
    <w:multiLevelType w:val="multilevel"/>
    <w:tmpl w:val="31063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012BFF"/>
    <w:multiLevelType w:val="multilevel"/>
    <w:tmpl w:val="211E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91703C"/>
    <w:multiLevelType w:val="multilevel"/>
    <w:tmpl w:val="F7787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2313C7"/>
    <w:multiLevelType w:val="multilevel"/>
    <w:tmpl w:val="E40C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3C55B6"/>
    <w:multiLevelType w:val="multilevel"/>
    <w:tmpl w:val="CB5E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CE3B8F"/>
    <w:multiLevelType w:val="multilevel"/>
    <w:tmpl w:val="2778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026480"/>
    <w:multiLevelType w:val="multilevel"/>
    <w:tmpl w:val="AC3A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5A28F5"/>
    <w:multiLevelType w:val="multilevel"/>
    <w:tmpl w:val="D048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3A3BCC"/>
    <w:multiLevelType w:val="multilevel"/>
    <w:tmpl w:val="6AEC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B63D6F"/>
    <w:multiLevelType w:val="multilevel"/>
    <w:tmpl w:val="2510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6440F4"/>
    <w:multiLevelType w:val="multilevel"/>
    <w:tmpl w:val="1E0E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7944C6"/>
    <w:multiLevelType w:val="multilevel"/>
    <w:tmpl w:val="55A0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2"/>
  </w:num>
  <w:num w:numId="3">
    <w:abstractNumId w:val="13"/>
  </w:num>
  <w:num w:numId="4">
    <w:abstractNumId w:val="18"/>
  </w:num>
  <w:num w:numId="5">
    <w:abstractNumId w:val="35"/>
  </w:num>
  <w:num w:numId="6">
    <w:abstractNumId w:val="3"/>
  </w:num>
  <w:num w:numId="7">
    <w:abstractNumId w:val="17"/>
  </w:num>
  <w:num w:numId="8">
    <w:abstractNumId w:val="23"/>
  </w:num>
  <w:num w:numId="9">
    <w:abstractNumId w:val="32"/>
  </w:num>
  <w:num w:numId="10">
    <w:abstractNumId w:val="37"/>
  </w:num>
  <w:num w:numId="11">
    <w:abstractNumId w:val="33"/>
  </w:num>
  <w:num w:numId="12">
    <w:abstractNumId w:val="38"/>
  </w:num>
  <w:num w:numId="13">
    <w:abstractNumId w:val="14"/>
  </w:num>
  <w:num w:numId="14">
    <w:abstractNumId w:val="24"/>
  </w:num>
  <w:num w:numId="15">
    <w:abstractNumId w:val="15"/>
  </w:num>
  <w:num w:numId="16">
    <w:abstractNumId w:val="9"/>
  </w:num>
  <w:num w:numId="17">
    <w:abstractNumId w:val="26"/>
  </w:num>
  <w:num w:numId="18">
    <w:abstractNumId w:val="1"/>
  </w:num>
  <w:num w:numId="19">
    <w:abstractNumId w:val="31"/>
  </w:num>
  <w:num w:numId="20">
    <w:abstractNumId w:val="2"/>
  </w:num>
  <w:num w:numId="21">
    <w:abstractNumId w:val="7"/>
  </w:num>
  <w:num w:numId="22">
    <w:abstractNumId w:val="27"/>
  </w:num>
  <w:num w:numId="23">
    <w:abstractNumId w:val="0"/>
  </w:num>
  <w:num w:numId="24">
    <w:abstractNumId w:val="5"/>
  </w:num>
  <w:num w:numId="25">
    <w:abstractNumId w:val="30"/>
  </w:num>
  <w:num w:numId="26">
    <w:abstractNumId w:val="16"/>
  </w:num>
  <w:num w:numId="27">
    <w:abstractNumId w:val="34"/>
  </w:num>
  <w:num w:numId="28">
    <w:abstractNumId w:val="4"/>
  </w:num>
  <w:num w:numId="29">
    <w:abstractNumId w:val="36"/>
  </w:num>
  <w:num w:numId="30">
    <w:abstractNumId w:val="22"/>
  </w:num>
  <w:num w:numId="31">
    <w:abstractNumId w:val="21"/>
  </w:num>
  <w:num w:numId="32">
    <w:abstractNumId w:val="6"/>
  </w:num>
  <w:num w:numId="33">
    <w:abstractNumId w:val="20"/>
  </w:num>
  <w:num w:numId="34">
    <w:abstractNumId w:val="10"/>
  </w:num>
  <w:num w:numId="35">
    <w:abstractNumId w:val="28"/>
  </w:num>
  <w:num w:numId="36">
    <w:abstractNumId w:val="11"/>
  </w:num>
  <w:num w:numId="37">
    <w:abstractNumId w:val="19"/>
  </w:num>
  <w:num w:numId="38">
    <w:abstractNumId w:val="8"/>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80"/>
    <w:rsid w:val="0005625A"/>
    <w:rsid w:val="000E3A57"/>
    <w:rsid w:val="000F1720"/>
    <w:rsid w:val="0010678A"/>
    <w:rsid w:val="001352D1"/>
    <w:rsid w:val="002658E6"/>
    <w:rsid w:val="002B2A4A"/>
    <w:rsid w:val="00320E96"/>
    <w:rsid w:val="00331FD1"/>
    <w:rsid w:val="00356686"/>
    <w:rsid w:val="004023D6"/>
    <w:rsid w:val="00494834"/>
    <w:rsid w:val="004B780F"/>
    <w:rsid w:val="00601AFD"/>
    <w:rsid w:val="0060373E"/>
    <w:rsid w:val="006104CA"/>
    <w:rsid w:val="00671C13"/>
    <w:rsid w:val="006913FF"/>
    <w:rsid w:val="006C6703"/>
    <w:rsid w:val="006F1E84"/>
    <w:rsid w:val="0071786C"/>
    <w:rsid w:val="007276A8"/>
    <w:rsid w:val="0077374A"/>
    <w:rsid w:val="0086461B"/>
    <w:rsid w:val="009109C4"/>
    <w:rsid w:val="009B6180"/>
    <w:rsid w:val="00A13EEF"/>
    <w:rsid w:val="00A30D68"/>
    <w:rsid w:val="00A4050E"/>
    <w:rsid w:val="00A72231"/>
    <w:rsid w:val="00B231D9"/>
    <w:rsid w:val="00C25CCB"/>
    <w:rsid w:val="00C60BDF"/>
    <w:rsid w:val="00CF46BB"/>
    <w:rsid w:val="00D31045"/>
    <w:rsid w:val="00D42F4B"/>
    <w:rsid w:val="00DE5A5B"/>
    <w:rsid w:val="00E35F01"/>
    <w:rsid w:val="00EC6D79"/>
    <w:rsid w:val="00F72E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9294"/>
  <w15:docId w15:val="{33E76BDB-FF8C-4E56-B731-36D2F252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qFormat/>
    <w:rsid w:val="00A4050E"/>
    <w:pPr>
      <w:keepNext/>
      <w:spacing w:before="240" w:after="240"/>
      <w:jc w:val="center"/>
      <w:outlineLvl w:val="0"/>
    </w:pPr>
    <w:rPr>
      <w:b/>
      <w:caps/>
      <w:sz w:val="24"/>
      <w:lang w:val="en-US"/>
    </w:rPr>
  </w:style>
  <w:style w:type="paragraph" w:styleId="2">
    <w:name w:val="heading 2"/>
    <w:basedOn w:val="a"/>
    <w:next w:val="a"/>
    <w:link w:val="20"/>
    <w:qFormat/>
    <w:rsid w:val="00A4050E"/>
    <w:pPr>
      <w:keepNext/>
      <w:spacing w:before="240" w:after="240"/>
      <w:jc w:val="center"/>
      <w:outlineLvl w:val="1"/>
    </w:pPr>
    <w:rPr>
      <w:b/>
      <w:sz w:val="24"/>
      <w:lang w:val="en-US"/>
    </w:rPr>
  </w:style>
  <w:style w:type="paragraph" w:styleId="3">
    <w:name w:val="heading 3"/>
    <w:basedOn w:val="a"/>
    <w:next w:val="a"/>
    <w:link w:val="30"/>
    <w:qFormat/>
    <w:rsid w:val="00A4050E"/>
    <w:pPr>
      <w:keepNext/>
      <w:spacing w:before="240" w:after="240"/>
      <w:jc w:val="center"/>
      <w:outlineLvl w:val="2"/>
    </w:pPr>
    <w:rPr>
      <w:i/>
      <w:iCs/>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Email">
    <w:name w:val="Author Email"/>
    <w:basedOn w:val="a"/>
    <w:qFormat/>
    <w:rsid w:val="00A4050E"/>
    <w:pPr>
      <w:jc w:val="center"/>
    </w:pPr>
    <w:rPr>
      <w:lang w:val="en-US"/>
    </w:rPr>
  </w:style>
  <w:style w:type="paragraph" w:customStyle="1" w:styleId="TableCaption">
    <w:name w:val="Table Caption"/>
    <w:basedOn w:val="a"/>
    <w:qFormat/>
    <w:rsid w:val="00A4050E"/>
    <w:pPr>
      <w:spacing w:before="120"/>
      <w:jc w:val="center"/>
    </w:pPr>
    <w:rPr>
      <w:sz w:val="18"/>
      <w:szCs w:val="18"/>
      <w:lang w:val="en-US"/>
    </w:rPr>
  </w:style>
  <w:style w:type="character" w:customStyle="1" w:styleId="10">
    <w:name w:val="Заголовок 1 Знак"/>
    <w:basedOn w:val="a0"/>
    <w:link w:val="1"/>
    <w:rsid w:val="00A4050E"/>
    <w:rPr>
      <w:b/>
      <w:caps/>
      <w:sz w:val="24"/>
      <w:lang w:val="en-US"/>
    </w:rPr>
  </w:style>
  <w:style w:type="character" w:customStyle="1" w:styleId="20">
    <w:name w:val="Заголовок 2 Знак"/>
    <w:basedOn w:val="a0"/>
    <w:link w:val="2"/>
    <w:rsid w:val="00A4050E"/>
    <w:rPr>
      <w:b/>
      <w:sz w:val="24"/>
      <w:lang w:val="en-US"/>
    </w:rPr>
  </w:style>
  <w:style w:type="character" w:customStyle="1" w:styleId="30">
    <w:name w:val="Заголовок 3 Знак"/>
    <w:basedOn w:val="a0"/>
    <w:link w:val="3"/>
    <w:rsid w:val="00A4050E"/>
    <w:rPr>
      <w:i/>
      <w:iCs/>
      <w:lang w:val="en-GB" w:eastAsia="en-GB"/>
    </w:rPr>
  </w:style>
  <w:style w:type="character" w:styleId="a3">
    <w:name w:val="Strong"/>
    <w:basedOn w:val="a0"/>
    <w:uiPriority w:val="22"/>
    <w:qFormat/>
    <w:rsid w:val="00A4050E"/>
    <w:rPr>
      <w:b/>
      <w:bCs/>
    </w:rPr>
  </w:style>
  <w:style w:type="character" w:styleId="a4">
    <w:name w:val="Emphasis"/>
    <w:basedOn w:val="a0"/>
    <w:uiPriority w:val="20"/>
    <w:qFormat/>
    <w:rsid w:val="00A4050E"/>
    <w:rPr>
      <w:i/>
      <w:iCs/>
    </w:rPr>
  </w:style>
  <w:style w:type="paragraph" w:styleId="a5">
    <w:name w:val="List Paragraph"/>
    <w:basedOn w:val="a"/>
    <w:uiPriority w:val="34"/>
    <w:rsid w:val="002658E6"/>
    <w:pPr>
      <w:ind w:left="720"/>
      <w:contextualSpacing/>
    </w:pPr>
  </w:style>
  <w:style w:type="table" w:styleId="a6">
    <w:name w:val="Table Grid"/>
    <w:basedOn w:val="a1"/>
    <w:uiPriority w:val="59"/>
    <w:rsid w:val="00910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231D9"/>
    <w:rPr>
      <w:color w:val="0000FF" w:themeColor="hyperlink"/>
      <w:u w:val="single"/>
    </w:rPr>
  </w:style>
  <w:style w:type="paragraph" w:styleId="a8">
    <w:name w:val="header"/>
    <w:basedOn w:val="a"/>
    <w:link w:val="a9"/>
    <w:uiPriority w:val="99"/>
    <w:unhideWhenUsed/>
    <w:rsid w:val="00320E96"/>
    <w:pPr>
      <w:tabs>
        <w:tab w:val="center" w:pos="4677"/>
        <w:tab w:val="right" w:pos="9355"/>
      </w:tabs>
    </w:pPr>
  </w:style>
  <w:style w:type="character" w:customStyle="1" w:styleId="a9">
    <w:name w:val="Верхний колонтитул Знак"/>
    <w:basedOn w:val="a0"/>
    <w:link w:val="a8"/>
    <w:uiPriority w:val="99"/>
    <w:rsid w:val="00320E96"/>
  </w:style>
  <w:style w:type="paragraph" w:styleId="aa">
    <w:name w:val="footer"/>
    <w:basedOn w:val="a"/>
    <w:link w:val="ab"/>
    <w:uiPriority w:val="99"/>
    <w:unhideWhenUsed/>
    <w:rsid w:val="00320E96"/>
    <w:pPr>
      <w:tabs>
        <w:tab w:val="center" w:pos="4677"/>
        <w:tab w:val="right" w:pos="9355"/>
      </w:tabs>
    </w:pPr>
  </w:style>
  <w:style w:type="character" w:customStyle="1" w:styleId="ab">
    <w:name w:val="Нижний колонтитул Знак"/>
    <w:basedOn w:val="a0"/>
    <w:link w:val="aa"/>
    <w:uiPriority w:val="99"/>
    <w:rsid w:val="00320E96"/>
  </w:style>
  <w:style w:type="character" w:styleId="ac">
    <w:name w:val="Unresolved Mention"/>
    <w:basedOn w:val="a0"/>
    <w:uiPriority w:val="99"/>
    <w:semiHidden/>
    <w:unhideWhenUsed/>
    <w:rsid w:val="00320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78575">
      <w:bodyDiv w:val="1"/>
      <w:marLeft w:val="0"/>
      <w:marRight w:val="0"/>
      <w:marTop w:val="0"/>
      <w:marBottom w:val="0"/>
      <w:divBdr>
        <w:top w:val="none" w:sz="0" w:space="0" w:color="auto"/>
        <w:left w:val="none" w:sz="0" w:space="0" w:color="auto"/>
        <w:bottom w:val="none" w:sz="0" w:space="0" w:color="auto"/>
        <w:right w:val="none" w:sz="0" w:space="0" w:color="auto"/>
      </w:divBdr>
      <w:divsChild>
        <w:div w:id="2064408324">
          <w:marLeft w:val="0"/>
          <w:marRight w:val="0"/>
          <w:marTop w:val="0"/>
          <w:marBottom w:val="0"/>
          <w:divBdr>
            <w:top w:val="none" w:sz="0" w:space="0" w:color="auto"/>
            <w:left w:val="none" w:sz="0" w:space="0" w:color="auto"/>
            <w:bottom w:val="none" w:sz="0" w:space="0" w:color="auto"/>
            <w:right w:val="none" w:sz="0" w:space="0" w:color="auto"/>
          </w:divBdr>
        </w:div>
        <w:div w:id="1998461914">
          <w:marLeft w:val="0"/>
          <w:marRight w:val="0"/>
          <w:marTop w:val="0"/>
          <w:marBottom w:val="0"/>
          <w:divBdr>
            <w:top w:val="none" w:sz="0" w:space="0" w:color="auto"/>
            <w:left w:val="none" w:sz="0" w:space="0" w:color="auto"/>
            <w:bottom w:val="none" w:sz="0" w:space="0" w:color="auto"/>
            <w:right w:val="none" w:sz="0" w:space="0" w:color="auto"/>
          </w:divBdr>
        </w:div>
        <w:div w:id="85418276">
          <w:marLeft w:val="0"/>
          <w:marRight w:val="0"/>
          <w:marTop w:val="0"/>
          <w:marBottom w:val="0"/>
          <w:divBdr>
            <w:top w:val="none" w:sz="0" w:space="0" w:color="auto"/>
            <w:left w:val="none" w:sz="0" w:space="0" w:color="auto"/>
            <w:bottom w:val="none" w:sz="0" w:space="0" w:color="auto"/>
            <w:right w:val="none" w:sz="0" w:space="0" w:color="auto"/>
          </w:divBdr>
        </w:div>
      </w:divsChild>
    </w:div>
    <w:div w:id="1744453696">
      <w:bodyDiv w:val="1"/>
      <w:marLeft w:val="0"/>
      <w:marRight w:val="0"/>
      <w:marTop w:val="0"/>
      <w:marBottom w:val="0"/>
      <w:divBdr>
        <w:top w:val="none" w:sz="0" w:space="0" w:color="auto"/>
        <w:left w:val="none" w:sz="0" w:space="0" w:color="auto"/>
        <w:bottom w:val="none" w:sz="0" w:space="0" w:color="auto"/>
        <w:right w:val="none" w:sz="0" w:space="0" w:color="auto"/>
      </w:divBdr>
    </w:div>
    <w:div w:id="208548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pectroscj30200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tifs.2024.104850" TargetMode="External"/><Relationship Id="rId12" Type="http://schemas.openxmlformats.org/officeDocument/2006/relationships/hyperlink" Target="https://doi.org/10.1142/S02179792090530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63/5.0124926" TargetMode="External"/><Relationship Id="rId5" Type="http://schemas.openxmlformats.org/officeDocument/2006/relationships/footnotes" Target="footnotes.xml"/><Relationship Id="rId10" Type="http://schemas.openxmlformats.org/officeDocument/2006/relationships/hyperlink" Target="https://doi.org/10.1021/ac00136a723" TargetMode="External"/><Relationship Id="rId4" Type="http://schemas.openxmlformats.org/officeDocument/2006/relationships/webSettings" Target="webSettings.xml"/><Relationship Id="rId9" Type="http://schemas.openxmlformats.org/officeDocument/2006/relationships/hyperlink" Target="https://doi.org/10.1016/j.jprocont.2011.06.0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3755</Words>
  <Characters>21410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2026-01-06T05:44:00Z</dcterms:created>
  <dcterms:modified xsi:type="dcterms:W3CDTF">2026-01-06T05:44:00Z</dcterms:modified>
</cp:coreProperties>
</file>