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CC6E" w14:textId="77777777" w:rsidR="00197E5C" w:rsidRPr="008946D1" w:rsidRDefault="00197E5C" w:rsidP="005B0316">
      <w:pPr>
        <w:shd w:val="clear" w:color="auto" w:fill="FFFFFF"/>
        <w:spacing w:before="1200"/>
        <w:jc w:val="center"/>
        <w:rPr>
          <w:b/>
          <w:bCs/>
          <w:color w:val="0F1115"/>
          <w:sz w:val="36"/>
          <w:szCs w:val="36"/>
          <w:lang w:val="en-US" w:eastAsia="ru-RU"/>
        </w:rPr>
      </w:pPr>
      <w:r w:rsidRPr="008946D1">
        <w:rPr>
          <w:b/>
          <w:bCs/>
          <w:color w:val="0F1115"/>
          <w:sz w:val="36"/>
          <w:szCs w:val="36"/>
          <w:lang w:val="en-US" w:eastAsia="ru-RU"/>
        </w:rPr>
        <w:t>Thermophysical Properties of Functional and Composite Materials: Experimental Characterization and Modeling Across Extended Temperature Ranges</w:t>
      </w:r>
    </w:p>
    <w:p w14:paraId="3BC1ADB9" w14:textId="5B3C8A64" w:rsidR="00AA2E26" w:rsidRPr="008946D1" w:rsidRDefault="00AA2E26" w:rsidP="00AA2E26">
      <w:pPr>
        <w:spacing w:before="360" w:after="360"/>
        <w:jc w:val="center"/>
        <w:rPr>
          <w:sz w:val="28"/>
          <w:szCs w:val="28"/>
          <w:vertAlign w:val="superscript"/>
          <w:lang w:val="en-US"/>
        </w:rPr>
      </w:pPr>
      <w:proofErr w:type="spellStart"/>
      <w:r w:rsidRPr="008946D1">
        <w:rPr>
          <w:sz w:val="28"/>
          <w:szCs w:val="28"/>
          <w:lang w:val="en-US"/>
        </w:rPr>
        <w:t>Sherzod</w:t>
      </w:r>
      <w:proofErr w:type="spellEnd"/>
      <w:r w:rsidRPr="008946D1">
        <w:rPr>
          <w:sz w:val="28"/>
          <w:szCs w:val="28"/>
          <w:lang w:val="en-US"/>
        </w:rPr>
        <w:t xml:space="preserve"> Korabayev</w:t>
      </w:r>
      <w:r w:rsidRPr="008946D1">
        <w:rPr>
          <w:sz w:val="28"/>
          <w:szCs w:val="28"/>
          <w:vertAlign w:val="superscript"/>
          <w:lang w:val="en-US"/>
        </w:rPr>
        <w:t>1, a)</w:t>
      </w:r>
      <w:r w:rsidRPr="008946D1">
        <w:rPr>
          <w:sz w:val="28"/>
          <w:szCs w:val="28"/>
          <w:lang w:val="en-US"/>
        </w:rPr>
        <w:t xml:space="preserve">, </w:t>
      </w:r>
      <w:r w:rsidR="001C340F" w:rsidRPr="008946D1">
        <w:rPr>
          <w:sz w:val="28"/>
          <w:szCs w:val="28"/>
          <w:lang w:val="en-US"/>
        </w:rPr>
        <w:t>Muhammad Sadikov</w:t>
      </w:r>
      <w:r w:rsidRPr="008946D1">
        <w:rPr>
          <w:sz w:val="28"/>
          <w:szCs w:val="28"/>
          <w:vertAlign w:val="superscript"/>
          <w:lang w:val="en-US"/>
        </w:rPr>
        <w:t>1</w:t>
      </w:r>
      <w:r w:rsidRPr="008946D1">
        <w:rPr>
          <w:sz w:val="28"/>
          <w:szCs w:val="28"/>
          <w:lang w:val="en-US"/>
        </w:rPr>
        <w:t xml:space="preserve">, </w:t>
      </w:r>
      <w:proofErr w:type="spellStart"/>
      <w:r w:rsidR="00833639" w:rsidRPr="008946D1">
        <w:rPr>
          <w:sz w:val="28"/>
          <w:szCs w:val="28"/>
          <w:lang w:val="en-US"/>
        </w:rPr>
        <w:t>Ahror</w:t>
      </w:r>
      <w:proofErr w:type="spellEnd"/>
      <w:r w:rsidR="00833639" w:rsidRPr="008946D1">
        <w:rPr>
          <w:sz w:val="28"/>
          <w:szCs w:val="28"/>
          <w:lang w:val="en-US"/>
        </w:rPr>
        <w:t xml:space="preserve"> Tursunov</w:t>
      </w:r>
      <w:r w:rsidR="00833639" w:rsidRPr="008946D1">
        <w:rPr>
          <w:sz w:val="28"/>
          <w:szCs w:val="28"/>
          <w:vertAlign w:val="superscript"/>
          <w:lang w:val="en-US"/>
        </w:rPr>
        <w:t>1</w:t>
      </w:r>
      <w:r w:rsidRPr="008946D1">
        <w:rPr>
          <w:sz w:val="28"/>
          <w:szCs w:val="28"/>
          <w:lang w:val="en-US"/>
        </w:rPr>
        <w:t xml:space="preserve">, </w:t>
      </w:r>
      <w:r w:rsidR="00833639" w:rsidRPr="008946D1">
        <w:rPr>
          <w:sz w:val="28"/>
          <w:szCs w:val="28"/>
          <w:lang w:val="en-US"/>
        </w:rPr>
        <w:br/>
      </w:r>
      <w:proofErr w:type="spellStart"/>
      <w:r w:rsidRPr="008946D1">
        <w:rPr>
          <w:sz w:val="28"/>
          <w:szCs w:val="28"/>
          <w:lang w:val="en-US"/>
        </w:rPr>
        <w:t>Abrorjon</w:t>
      </w:r>
      <w:proofErr w:type="spellEnd"/>
      <w:r w:rsidRPr="008946D1">
        <w:rPr>
          <w:sz w:val="28"/>
          <w:szCs w:val="28"/>
          <w:lang w:val="en-US"/>
        </w:rPr>
        <w:t xml:space="preserve"> Homidjonov</w:t>
      </w:r>
      <w:r w:rsidRPr="008946D1">
        <w:rPr>
          <w:sz w:val="28"/>
          <w:szCs w:val="28"/>
          <w:vertAlign w:val="superscript"/>
          <w:lang w:val="en-US"/>
        </w:rPr>
        <w:t>1</w:t>
      </w:r>
      <w:r w:rsidRPr="008946D1">
        <w:rPr>
          <w:sz w:val="28"/>
          <w:szCs w:val="28"/>
          <w:lang w:val="en-US"/>
        </w:rPr>
        <w:t xml:space="preserve">, </w:t>
      </w:r>
      <w:proofErr w:type="spellStart"/>
      <w:r w:rsidRPr="008946D1">
        <w:rPr>
          <w:sz w:val="28"/>
          <w:szCs w:val="28"/>
          <w:lang w:val="en-US"/>
        </w:rPr>
        <w:t>Sharofat</w:t>
      </w:r>
      <w:proofErr w:type="spellEnd"/>
      <w:r w:rsidRPr="008946D1">
        <w:rPr>
          <w:sz w:val="28"/>
          <w:szCs w:val="28"/>
          <w:lang w:val="en-US"/>
        </w:rPr>
        <w:t xml:space="preserve"> Masharipova</w:t>
      </w:r>
      <w:r w:rsidRPr="008946D1">
        <w:rPr>
          <w:sz w:val="28"/>
          <w:szCs w:val="28"/>
          <w:vertAlign w:val="superscript"/>
          <w:lang w:val="en-US"/>
        </w:rPr>
        <w:t>2</w:t>
      </w:r>
      <w:r w:rsidRPr="008946D1">
        <w:rPr>
          <w:sz w:val="28"/>
          <w:szCs w:val="28"/>
          <w:lang w:val="en-US"/>
        </w:rPr>
        <w:t xml:space="preserve">, </w:t>
      </w:r>
      <w:proofErr w:type="spellStart"/>
      <w:r w:rsidRPr="008946D1">
        <w:rPr>
          <w:sz w:val="28"/>
          <w:szCs w:val="28"/>
          <w:lang w:val="en-US"/>
        </w:rPr>
        <w:t>Gulrukh</w:t>
      </w:r>
      <w:proofErr w:type="spellEnd"/>
      <w:r w:rsidRPr="008946D1">
        <w:rPr>
          <w:sz w:val="28"/>
          <w:szCs w:val="28"/>
          <w:lang w:val="en-US"/>
        </w:rPr>
        <w:t xml:space="preserve"> Matchanova</w:t>
      </w:r>
      <w:r w:rsidRPr="008946D1">
        <w:rPr>
          <w:sz w:val="28"/>
          <w:szCs w:val="28"/>
          <w:vertAlign w:val="superscript"/>
          <w:lang w:val="en-US"/>
        </w:rPr>
        <w:t>2</w:t>
      </w:r>
    </w:p>
    <w:p w14:paraId="10326322" w14:textId="1EC65C24" w:rsidR="00AA2E26" w:rsidRPr="008946D1" w:rsidRDefault="00AA2E26" w:rsidP="00AA2E26">
      <w:pPr>
        <w:jc w:val="center"/>
        <w:rPr>
          <w:i/>
          <w:lang w:val="en-US"/>
        </w:rPr>
      </w:pPr>
      <w:r w:rsidRPr="008946D1">
        <w:rPr>
          <w:i/>
          <w:vertAlign w:val="superscript"/>
          <w:lang w:val="en-US"/>
        </w:rPr>
        <w:t>1</w:t>
      </w:r>
      <w:r w:rsidRPr="008946D1">
        <w:rPr>
          <w:i/>
          <w:lang w:val="en-US"/>
        </w:rPr>
        <w:t>Namangan State Technical University, Namangan, Uzbekistan</w:t>
      </w:r>
    </w:p>
    <w:p w14:paraId="7811C96B" w14:textId="3AC9A021" w:rsidR="00AA2E26" w:rsidRPr="008946D1" w:rsidRDefault="00AA2E26" w:rsidP="00AA2E26">
      <w:pPr>
        <w:jc w:val="center"/>
        <w:rPr>
          <w:i/>
          <w:lang w:val="en-US"/>
        </w:rPr>
      </w:pPr>
      <w:r w:rsidRPr="008946D1">
        <w:rPr>
          <w:i/>
          <w:vertAlign w:val="superscript"/>
          <w:lang w:val="en-US"/>
        </w:rPr>
        <w:t>2</w:t>
      </w:r>
      <w:r w:rsidRPr="008946D1">
        <w:rPr>
          <w:i/>
          <w:lang w:val="en-US"/>
        </w:rPr>
        <w:t xml:space="preserve">Urgench State University, </w:t>
      </w:r>
      <w:proofErr w:type="spellStart"/>
      <w:r w:rsidRPr="008946D1">
        <w:rPr>
          <w:i/>
          <w:lang w:val="en-US"/>
        </w:rPr>
        <w:t>Urgench</w:t>
      </w:r>
      <w:proofErr w:type="spellEnd"/>
      <w:r w:rsidRPr="008946D1">
        <w:rPr>
          <w:i/>
          <w:lang w:val="en-US"/>
        </w:rPr>
        <w:t>, Uzbekistan</w:t>
      </w:r>
    </w:p>
    <w:p w14:paraId="20FD6FDB" w14:textId="77777777" w:rsidR="00AA2E26" w:rsidRPr="008946D1" w:rsidRDefault="00AA2E26" w:rsidP="00AA2E26">
      <w:pPr>
        <w:jc w:val="center"/>
        <w:rPr>
          <w:i/>
          <w:lang w:val="en-US"/>
        </w:rPr>
      </w:pPr>
    </w:p>
    <w:p w14:paraId="0F0AEDD8" w14:textId="6410DDAA" w:rsidR="005B0316" w:rsidRPr="008946D1" w:rsidRDefault="00AA2E26" w:rsidP="005B0316">
      <w:pPr>
        <w:jc w:val="center"/>
        <w:rPr>
          <w:i/>
          <w:lang w:val="en-US"/>
        </w:rPr>
      </w:pPr>
      <w:proofErr w:type="gramStart"/>
      <w:r w:rsidRPr="008946D1">
        <w:rPr>
          <w:i/>
          <w:vertAlign w:val="superscript"/>
          <w:lang w:val="en-US"/>
        </w:rPr>
        <w:t>a)</w:t>
      </w:r>
      <w:proofErr w:type="spellStart"/>
      <w:r w:rsidRPr="008946D1">
        <w:rPr>
          <w:i/>
          <w:lang w:val="en-US"/>
        </w:rPr>
        <w:t>Correponding</w:t>
      </w:r>
      <w:proofErr w:type="spellEnd"/>
      <w:proofErr w:type="gramEnd"/>
      <w:r w:rsidRPr="008946D1">
        <w:rPr>
          <w:i/>
          <w:lang w:val="en-US"/>
        </w:rPr>
        <w:t xml:space="preserve"> author: sherzod.korabayev@gmail.com</w:t>
      </w:r>
    </w:p>
    <w:p w14:paraId="315321E1" w14:textId="77777777" w:rsidR="00197E5C" w:rsidRPr="008946D1" w:rsidRDefault="00197E5C" w:rsidP="005B0316">
      <w:pPr>
        <w:shd w:val="clear" w:color="auto" w:fill="FFFFFF"/>
        <w:spacing w:before="360" w:after="360"/>
        <w:ind w:left="289" w:right="289"/>
        <w:jc w:val="both"/>
        <w:rPr>
          <w:color w:val="0F1115"/>
          <w:sz w:val="18"/>
          <w:lang w:val="en-US" w:eastAsia="ru-RU"/>
        </w:rPr>
      </w:pPr>
      <w:r w:rsidRPr="008946D1">
        <w:rPr>
          <w:b/>
          <w:bCs/>
          <w:color w:val="0F1115"/>
          <w:sz w:val="18"/>
          <w:lang w:val="en-US" w:eastAsia="ru-RU"/>
        </w:rPr>
        <w:t>Abstract</w:t>
      </w:r>
      <w:r w:rsidR="009B3971" w:rsidRPr="008946D1">
        <w:rPr>
          <w:b/>
          <w:bCs/>
          <w:color w:val="0F1115"/>
          <w:sz w:val="18"/>
          <w:lang w:val="en-US" w:eastAsia="ru-RU"/>
        </w:rPr>
        <w:t xml:space="preserve">. </w:t>
      </w:r>
      <w:r w:rsidRPr="008946D1">
        <w:rPr>
          <w:color w:val="0F1115"/>
          <w:sz w:val="18"/>
          <w:lang w:val="en-US" w:eastAsia="ru-RU"/>
        </w:rPr>
        <w:t>This comprehensive investigation presents experimental characterization and microstructure-based modeling of temperature-dependent thermophysical properties in advanced functional and composite materials designed for extreme environment applications. Three distinct material systems were investigated: (1) boron nitride (BN) platelet-reinforced polymer composites (10-50 vol%) for electrical insulation with thermal management, (2) graphene-aluminum (Gr-Al) metal matrix composites (5-20 vol% graphene) for high thermal conductivity applications, and (3) aerogel-based silica composites with opacifiers for cryogenic insulation. Thermophysical properties—thermal conductivity (</w:t>
      </w:r>
      <w:r w:rsidRPr="008946D1">
        <w:rPr>
          <w:color w:val="0F1115"/>
          <w:sz w:val="18"/>
          <w:lang w:eastAsia="ru-RU"/>
        </w:rPr>
        <w:t>λ</w:t>
      </w:r>
      <w:r w:rsidRPr="008946D1">
        <w:rPr>
          <w:color w:val="0F1115"/>
          <w:sz w:val="18"/>
          <w:lang w:val="en-US" w:eastAsia="ru-RU"/>
        </w:rPr>
        <w:t>), specific heat capacity (Cp), thermal diffusivity (</w:t>
      </w:r>
      <w:r w:rsidRPr="008946D1">
        <w:rPr>
          <w:color w:val="0F1115"/>
          <w:sz w:val="18"/>
          <w:lang w:eastAsia="ru-RU"/>
        </w:rPr>
        <w:t>α</w:t>
      </w:r>
      <w:r w:rsidRPr="008946D1">
        <w:rPr>
          <w:color w:val="0F1115"/>
          <w:sz w:val="18"/>
          <w:lang w:val="en-US" w:eastAsia="ru-RU"/>
        </w:rPr>
        <w:t>), and coefficient of thermal expansion (CTE)—were characterized across extreme temperature ranges (-196°C to 500°C) using guarded hot plate, laser flash analysis, differential scanning calorimetry, and dilatometry techniques. Microstructural analysis via scanning electron microscopy (SEM), transmission electron microscopy (TEM), and X-ray micro-computed tomography (</w:t>
      </w:r>
      <w:r w:rsidRPr="008946D1">
        <w:rPr>
          <w:color w:val="0F1115"/>
          <w:sz w:val="18"/>
          <w:lang w:eastAsia="ru-RU"/>
        </w:rPr>
        <w:t>μ</w:t>
      </w:r>
      <w:r w:rsidRPr="008946D1">
        <w:rPr>
          <w:color w:val="0F1115"/>
          <w:sz w:val="18"/>
          <w:lang w:val="en-US" w:eastAsia="ru-RU"/>
        </w:rPr>
        <w:t xml:space="preserve">-CT) revealed critical relationships between filler morphology, interface characteristics, and thermal transport mechanisms. The BN/polymer composites achieved through-plane </w:t>
      </w:r>
      <w:r w:rsidRPr="008946D1">
        <w:rPr>
          <w:color w:val="0F1115"/>
          <w:sz w:val="18"/>
          <w:lang w:eastAsia="ru-RU"/>
        </w:rPr>
        <w:t>λ</w:t>
      </w:r>
      <w:r w:rsidRPr="008946D1">
        <w:rPr>
          <w:color w:val="0F1115"/>
          <w:sz w:val="18"/>
          <w:lang w:val="en-US" w:eastAsia="ru-RU"/>
        </w:rPr>
        <w:t xml:space="preserve"> of 2.4 W/</w:t>
      </w:r>
      <w:proofErr w:type="spellStart"/>
      <w:r w:rsidRPr="008946D1">
        <w:rPr>
          <w:color w:val="0F1115"/>
          <w:sz w:val="18"/>
          <w:lang w:val="en-US" w:eastAsia="ru-RU"/>
        </w:rPr>
        <w:t>m·K</w:t>
      </w:r>
      <w:proofErr w:type="spellEnd"/>
      <w:r w:rsidRPr="008946D1">
        <w:rPr>
          <w:color w:val="0F1115"/>
          <w:sz w:val="18"/>
          <w:lang w:val="en-US" w:eastAsia="ru-RU"/>
        </w:rPr>
        <w:t xml:space="preserve"> at 50 vol% loading (9.6× enhancement over matrix) with electrical resistivity maintained above 10¹</w:t>
      </w:r>
      <w:r w:rsidRPr="008946D1">
        <w:rPr>
          <w:rFonts w:ascii="Cambria Math" w:hAnsi="Cambria Math" w:cs="Cambria Math"/>
          <w:color w:val="0F1115"/>
          <w:sz w:val="18"/>
          <w:lang w:val="en-US" w:eastAsia="ru-RU"/>
        </w:rPr>
        <w:t>⁴</w:t>
      </w:r>
      <w:r w:rsidRPr="008946D1">
        <w:rPr>
          <w:color w:val="0F1115"/>
          <w:sz w:val="18"/>
          <w:lang w:val="en-US" w:eastAsia="ru-RU"/>
        </w:rPr>
        <w:t xml:space="preserve"> </w:t>
      </w:r>
      <w:r w:rsidRPr="008946D1">
        <w:rPr>
          <w:color w:val="0F1115"/>
          <w:sz w:val="18"/>
          <w:lang w:eastAsia="ru-RU"/>
        </w:rPr>
        <w:t>Ω</w:t>
      </w:r>
      <w:r w:rsidRPr="008946D1">
        <w:rPr>
          <w:color w:val="0F1115"/>
          <w:sz w:val="18"/>
          <w:lang w:val="en-US" w:eastAsia="ru-RU"/>
        </w:rPr>
        <w:t xml:space="preserve">·cm. Gr-Al composites demonstrated anisotropic thermal conductivity with in-plane </w:t>
      </w:r>
      <w:r w:rsidRPr="008946D1">
        <w:rPr>
          <w:color w:val="0F1115"/>
          <w:sz w:val="18"/>
          <w:lang w:eastAsia="ru-RU"/>
        </w:rPr>
        <w:t>λ</w:t>
      </w:r>
      <w:r w:rsidRPr="008946D1">
        <w:rPr>
          <w:color w:val="0F1115"/>
          <w:sz w:val="18"/>
          <w:lang w:val="en-US" w:eastAsia="ru-RU"/>
        </w:rPr>
        <w:t xml:space="preserve"> reaching 420 W/</w:t>
      </w:r>
      <w:proofErr w:type="spellStart"/>
      <w:r w:rsidRPr="008946D1">
        <w:rPr>
          <w:color w:val="0F1115"/>
          <w:sz w:val="18"/>
          <w:lang w:val="en-US" w:eastAsia="ru-RU"/>
        </w:rPr>
        <w:t>m·K</w:t>
      </w:r>
      <w:proofErr w:type="spellEnd"/>
      <w:r w:rsidRPr="008946D1">
        <w:rPr>
          <w:color w:val="0F1115"/>
          <w:sz w:val="18"/>
          <w:lang w:val="en-US" w:eastAsia="ru-RU"/>
        </w:rPr>
        <w:t xml:space="preserve"> at 20 vol% graphene (65% enhancement over pure aluminum). Aerogel composites achieved </w:t>
      </w:r>
      <w:r w:rsidRPr="008946D1">
        <w:rPr>
          <w:color w:val="0F1115"/>
          <w:sz w:val="18"/>
          <w:lang w:eastAsia="ru-RU"/>
        </w:rPr>
        <w:t>λ</w:t>
      </w:r>
      <w:r w:rsidRPr="008946D1">
        <w:rPr>
          <w:color w:val="0F1115"/>
          <w:sz w:val="18"/>
          <w:lang w:val="en-US" w:eastAsia="ru-RU"/>
        </w:rPr>
        <w:t xml:space="preserve"> as low as 0.018 W/</w:t>
      </w:r>
      <w:proofErr w:type="spellStart"/>
      <w:r w:rsidRPr="008946D1">
        <w:rPr>
          <w:color w:val="0F1115"/>
          <w:sz w:val="18"/>
          <w:lang w:val="en-US" w:eastAsia="ru-RU"/>
        </w:rPr>
        <w:t>m·K</w:t>
      </w:r>
      <w:proofErr w:type="spellEnd"/>
      <w:r w:rsidRPr="008946D1">
        <w:rPr>
          <w:color w:val="0F1115"/>
          <w:sz w:val="18"/>
          <w:lang w:val="en-US" w:eastAsia="ru-RU"/>
        </w:rPr>
        <w:t xml:space="preserve"> at 25°C under vacuum, increasing only to 0.022 W/</w:t>
      </w:r>
      <w:proofErr w:type="spellStart"/>
      <w:r w:rsidRPr="008946D1">
        <w:rPr>
          <w:color w:val="0F1115"/>
          <w:sz w:val="18"/>
          <w:lang w:val="en-US" w:eastAsia="ru-RU"/>
        </w:rPr>
        <w:t>m·K</w:t>
      </w:r>
      <w:proofErr w:type="spellEnd"/>
      <w:r w:rsidRPr="008946D1">
        <w:rPr>
          <w:color w:val="0F1115"/>
          <w:sz w:val="18"/>
          <w:lang w:val="en-US" w:eastAsia="ru-RU"/>
        </w:rPr>
        <w:t xml:space="preserve"> at -196°C. We developed modified effective medium approximation (EMA) models incorporating temperature-dependent interfacial thermal resistance, filler geometry distribution, and phonon scattering mechanisms. The models predict composite </w:t>
      </w:r>
      <w:r w:rsidRPr="008946D1">
        <w:rPr>
          <w:color w:val="0F1115"/>
          <w:sz w:val="18"/>
          <w:lang w:eastAsia="ru-RU"/>
        </w:rPr>
        <w:t>λ</w:t>
      </w:r>
      <w:r w:rsidRPr="008946D1">
        <w:rPr>
          <w:color w:val="0F1115"/>
          <w:sz w:val="18"/>
          <w:lang w:val="en-US" w:eastAsia="ru-RU"/>
        </w:rPr>
        <w:t xml:space="preserve"> with less than 12% error compared to experimental data across the entire temperature range. These results provide essential design data and predictive tools for thermal management materials in aerospace, power electronics, energy storage, and cryogenic applications where operation spans extreme temperature ranges.</w:t>
      </w:r>
    </w:p>
    <w:p w14:paraId="5D47873C" w14:textId="77777777" w:rsidR="00197E5C" w:rsidRPr="008946D1" w:rsidRDefault="00197E5C" w:rsidP="005B0316">
      <w:pPr>
        <w:shd w:val="clear" w:color="auto" w:fill="FFFFFF"/>
        <w:spacing w:before="360" w:after="360"/>
        <w:ind w:left="289" w:right="289"/>
        <w:jc w:val="both"/>
        <w:rPr>
          <w:color w:val="0F1115"/>
          <w:sz w:val="18"/>
          <w:lang w:val="en-US" w:eastAsia="ru-RU"/>
        </w:rPr>
      </w:pPr>
      <w:r w:rsidRPr="008946D1">
        <w:rPr>
          <w:b/>
          <w:bCs/>
          <w:color w:val="0F1115"/>
          <w:sz w:val="18"/>
          <w:lang w:val="en-US" w:eastAsia="ru-RU"/>
        </w:rPr>
        <w:t>Keywords:</w:t>
      </w:r>
      <w:r w:rsidR="005B0316" w:rsidRPr="008946D1">
        <w:rPr>
          <w:color w:val="0F1115"/>
          <w:sz w:val="18"/>
          <w:lang w:val="en-US" w:eastAsia="ru-RU"/>
        </w:rPr>
        <w:t xml:space="preserve"> </w:t>
      </w:r>
      <w:r w:rsidRPr="008946D1">
        <w:rPr>
          <w:color w:val="0F1115"/>
          <w:sz w:val="18"/>
          <w:lang w:val="en-US" w:eastAsia="ru-RU"/>
        </w:rPr>
        <w:t>thermophysical properties, functional composites, thermal conductivity, temperature dependence, extreme environments, microstructure-property relationships</w:t>
      </w:r>
      <w:r w:rsidR="005B0316" w:rsidRPr="008946D1">
        <w:rPr>
          <w:color w:val="0F1115"/>
          <w:sz w:val="18"/>
          <w:lang w:val="en-US" w:eastAsia="ru-RU"/>
        </w:rPr>
        <w:t>.</w:t>
      </w:r>
    </w:p>
    <w:p w14:paraId="1C1BE21D" w14:textId="77777777" w:rsidR="005B0316" w:rsidRPr="008946D1" w:rsidRDefault="005B0316" w:rsidP="005B0316">
      <w:pPr>
        <w:shd w:val="clear" w:color="auto" w:fill="FFFFFF"/>
        <w:spacing w:before="240" w:after="240"/>
        <w:jc w:val="center"/>
        <w:rPr>
          <w:b/>
          <w:bCs/>
          <w:color w:val="0F1115"/>
          <w:sz w:val="24"/>
          <w:lang w:val="en-US" w:eastAsia="ru-RU"/>
        </w:rPr>
      </w:pPr>
      <w:r w:rsidRPr="008946D1">
        <w:rPr>
          <w:b/>
          <w:bCs/>
          <w:color w:val="0F1115"/>
          <w:sz w:val="24"/>
          <w:lang w:val="en-US" w:eastAsia="ru-RU"/>
        </w:rPr>
        <w:t>INTRODUCTION</w:t>
      </w:r>
    </w:p>
    <w:p w14:paraId="68EBE5F8" w14:textId="77777777" w:rsidR="00155670" w:rsidRPr="008946D1" w:rsidRDefault="00155670" w:rsidP="00155670">
      <w:pPr>
        <w:shd w:val="clear" w:color="auto" w:fill="FFFFFF"/>
        <w:ind w:firstLine="284"/>
        <w:jc w:val="both"/>
        <w:rPr>
          <w:color w:val="0F1115"/>
          <w:lang w:val="en-US" w:eastAsia="ru-RU"/>
        </w:rPr>
      </w:pPr>
      <w:r w:rsidRPr="008946D1">
        <w:rPr>
          <w:color w:val="0F1115"/>
          <w:lang w:val="en-US" w:eastAsia="ru-RU"/>
        </w:rPr>
        <w:t xml:space="preserve">The world market for thermal management materials is expected to grow to $14.7 billion by 2026, due largely to the higher power densities in electronics as well as growth in renewable energy and electric vehicle applications. Although room-temperature properties for many composite systems have been well-reported, little characterization has been performed over an </w:t>
      </w:r>
      <w:proofErr w:type="spellStart"/>
      <w:r w:rsidRPr="008946D1">
        <w:rPr>
          <w:color w:val="0F1115"/>
          <w:lang w:val="en-US" w:eastAsia="ru-RU"/>
        </w:rPr>
        <w:t>operat-ing</w:t>
      </w:r>
      <w:proofErr w:type="spellEnd"/>
      <w:r w:rsidRPr="008946D1">
        <w:rPr>
          <w:color w:val="0F1115"/>
          <w:lang w:val="en-US" w:eastAsia="ru-RU"/>
        </w:rPr>
        <w:t xml:space="preserve"> temperature range, especially in materials that contain more than one type of filler with distinct thermal expansion behavior [1-4].</w:t>
      </w:r>
    </w:p>
    <w:p w14:paraId="40BBF09F" w14:textId="51EDDEBB" w:rsidR="00197E5C" w:rsidRPr="008946D1" w:rsidRDefault="00155670" w:rsidP="00155670">
      <w:pPr>
        <w:shd w:val="clear" w:color="auto" w:fill="FFFFFF"/>
        <w:ind w:firstLine="284"/>
        <w:jc w:val="both"/>
        <w:rPr>
          <w:color w:val="0F1115"/>
          <w:lang w:val="en-US" w:eastAsia="ru-RU"/>
        </w:rPr>
      </w:pPr>
      <w:r w:rsidRPr="008946D1">
        <w:rPr>
          <w:color w:val="0F1115"/>
          <w:lang w:val="en-US" w:eastAsia="ru-RU"/>
        </w:rPr>
        <w:t xml:space="preserve">This research aims to fill critical knowledge gaps in the temperature-dependent thermophysical behavior of three categories of functional composites that are engineered for targeted applications: electrically insulating thermal management materials, high thermal conductivity composites, and ultra-low conductivity insulation materials. With systematic experimental characterization over </w:t>
      </w:r>
      <w:proofErr w:type="spellStart"/>
      <w:r w:rsidRPr="008946D1">
        <w:rPr>
          <w:color w:val="0F1115"/>
          <w:lang w:val="en-US" w:eastAsia="ru-RU"/>
        </w:rPr>
        <w:t>waide</w:t>
      </w:r>
      <w:proofErr w:type="spellEnd"/>
      <w:r w:rsidRPr="008946D1">
        <w:rPr>
          <w:color w:val="0F1115"/>
          <w:lang w:val="en-US" w:eastAsia="ru-RU"/>
        </w:rPr>
        <w:t xml:space="preserve"> temperature ranges and detailed mi </w:t>
      </w:r>
      <w:proofErr w:type="spellStart"/>
      <w:r w:rsidRPr="008946D1">
        <w:rPr>
          <w:color w:val="0F1115"/>
          <w:lang w:val="en-US" w:eastAsia="ru-RU"/>
        </w:rPr>
        <w:t>cros</w:t>
      </w:r>
      <w:proofErr w:type="spellEnd"/>
      <w:r w:rsidRPr="008946D1">
        <w:rPr>
          <w:color w:val="0F1115"/>
          <w:lang w:val="en-US" w:eastAsia="ru-RU"/>
        </w:rPr>
        <w:t xml:space="preserve"> </w:t>
      </w:r>
      <w:proofErr w:type="spellStart"/>
      <w:r w:rsidRPr="008946D1">
        <w:rPr>
          <w:color w:val="0F1115"/>
          <w:lang w:val="en-US" w:eastAsia="ru-RU"/>
        </w:rPr>
        <w:t>tructural</w:t>
      </w:r>
      <w:proofErr w:type="spellEnd"/>
      <w:r w:rsidRPr="008946D1">
        <w:rPr>
          <w:color w:val="0F1115"/>
          <w:lang w:val="en-US" w:eastAsia="ru-RU"/>
        </w:rPr>
        <w:t xml:space="preserve"> analysis and </w:t>
      </w:r>
      <w:r w:rsidRPr="008946D1">
        <w:rPr>
          <w:color w:val="0F1115"/>
          <w:lang w:val="en-US" w:eastAsia="ru-RU"/>
        </w:rPr>
        <w:lastRenderedPageBreak/>
        <w:t>based on physics modeling, this work has set the stage for reliable databases of property data/information and predictive design tools that are required for materials selection as well as designs optimization. The results guide the designing of materials with consistent thermal performance over operational temperature windows, which is a primary dilemma in the design of thermal management systems [5-8].</w:t>
      </w:r>
    </w:p>
    <w:p w14:paraId="050ACF85" w14:textId="77777777" w:rsidR="005B0316" w:rsidRPr="008946D1" w:rsidRDefault="005B0316" w:rsidP="005B0316">
      <w:pPr>
        <w:shd w:val="clear" w:color="auto" w:fill="FFFFFF"/>
        <w:spacing w:before="240" w:after="240"/>
        <w:jc w:val="center"/>
        <w:rPr>
          <w:b/>
          <w:bCs/>
          <w:color w:val="0F1115"/>
          <w:sz w:val="24"/>
          <w:lang w:val="en-US" w:eastAsia="ru-RU"/>
        </w:rPr>
      </w:pPr>
      <w:r w:rsidRPr="008946D1">
        <w:rPr>
          <w:b/>
          <w:bCs/>
          <w:color w:val="0F1115"/>
          <w:sz w:val="24"/>
          <w:lang w:val="en-US" w:eastAsia="ru-RU"/>
        </w:rPr>
        <w:t>MATERIALS AND EXPERIMENTAL METHODS</w:t>
      </w:r>
    </w:p>
    <w:p w14:paraId="2D55B088" w14:textId="77777777" w:rsidR="006E0EC6" w:rsidRPr="008946D1" w:rsidRDefault="006E0EC6" w:rsidP="006E0EC6">
      <w:pPr>
        <w:pStyle w:val="ds-markdown-paragraph"/>
        <w:shd w:val="clear" w:color="auto" w:fill="FFFFFF"/>
        <w:spacing w:before="0" w:beforeAutospacing="0" w:after="0" w:afterAutospacing="0"/>
        <w:ind w:firstLine="284"/>
        <w:jc w:val="both"/>
        <w:rPr>
          <w:color w:val="0F1115"/>
          <w:sz w:val="20"/>
          <w:lang w:val="en-US"/>
        </w:rPr>
      </w:pPr>
      <w:r w:rsidRPr="008946D1">
        <w:rPr>
          <w:color w:val="0F1115"/>
          <w:sz w:val="20"/>
          <w:lang w:val="en-US"/>
        </w:rPr>
        <w:t>Three different composite system were developed and fabricated for the specific temperature control requirements spanning from low to high temperatures.</w:t>
      </w:r>
    </w:p>
    <w:p w14:paraId="0D33A351" w14:textId="77777777" w:rsidR="006E0EC6" w:rsidRPr="008946D1" w:rsidRDefault="006E0EC6" w:rsidP="006E0EC6">
      <w:pPr>
        <w:pStyle w:val="ds-markdown-paragraph"/>
        <w:shd w:val="clear" w:color="auto" w:fill="FFFFFF"/>
        <w:spacing w:before="0" w:beforeAutospacing="0" w:after="0" w:afterAutospacing="0"/>
        <w:ind w:firstLine="284"/>
        <w:jc w:val="both"/>
        <w:rPr>
          <w:color w:val="0F1115"/>
          <w:sz w:val="20"/>
          <w:lang w:val="en-US"/>
        </w:rPr>
      </w:pPr>
      <w:r w:rsidRPr="008946D1">
        <w:rPr>
          <w:color w:val="0F1115"/>
          <w:sz w:val="20"/>
          <w:lang w:val="en-US"/>
        </w:rPr>
        <w:t xml:space="preserve">This matrix was made with a high-temperature epoxy resin (DGEBA) cured by an anhydride hardener and tailored with a 180°C </w:t>
      </w:r>
      <w:proofErr w:type="spellStart"/>
      <w:r w:rsidRPr="008946D1">
        <w:rPr>
          <w:color w:val="0F1115"/>
          <w:sz w:val="20"/>
          <w:lang w:val="en-US"/>
        </w:rPr>
        <w:t>Tg</w:t>
      </w:r>
      <w:proofErr w:type="spellEnd"/>
      <w:r w:rsidRPr="008946D1">
        <w:rPr>
          <w:color w:val="0F1115"/>
          <w:sz w:val="20"/>
          <w:lang w:val="en-US"/>
        </w:rPr>
        <w:t xml:space="preserve"> for robustness under further harsh conditions. </w:t>
      </w:r>
      <w:proofErr w:type="gramStart"/>
      <w:r w:rsidRPr="008946D1">
        <w:rPr>
          <w:color w:val="0F1115"/>
          <w:sz w:val="20"/>
          <w:lang w:val="en-US"/>
        </w:rPr>
        <w:t>\(</w:t>
      </w:r>
      <w:proofErr w:type="gramEnd"/>
      <w:r w:rsidRPr="008946D1">
        <w:rPr>
          <w:color w:val="0F1115"/>
          <w:sz w:val="20"/>
          <w:lang w:val="en-US"/>
        </w:rPr>
        <w:t>8\;\mu \</w:t>
      </w:r>
      <w:proofErr w:type="spellStart"/>
      <w:r w:rsidRPr="008946D1">
        <w:rPr>
          <w:color w:val="0F1115"/>
          <w:sz w:val="20"/>
          <w:lang w:val="en-US"/>
        </w:rPr>
        <w:t>hbox</w:t>
      </w:r>
      <w:proofErr w:type="spellEnd"/>
      <w:r w:rsidRPr="008946D1">
        <w:rPr>
          <w:color w:val="0F1115"/>
          <w:sz w:val="20"/>
          <w:lang w:val="en-US"/>
        </w:rPr>
        <w:t xml:space="preserve"> {m}\) was the average diameter of the hexagonal boron nitride (h-BN) platelets, with a thickness \(d\) 0.7 µ m, an aspect ratio of about ~11:1. For the enhancement of a fiber-matrix interface, surface treatment of h-BN platelets was achieved by using an </w:t>
      </w:r>
      <w:proofErr w:type="spellStart"/>
      <w:r w:rsidRPr="008946D1">
        <w:rPr>
          <w:color w:val="0F1115"/>
          <w:sz w:val="20"/>
          <w:lang w:val="en-US"/>
        </w:rPr>
        <w:t>aminosilane</w:t>
      </w:r>
      <w:proofErr w:type="spellEnd"/>
      <w:r w:rsidRPr="008946D1">
        <w:rPr>
          <w:color w:val="0F1115"/>
          <w:sz w:val="20"/>
          <w:lang w:val="en-US"/>
        </w:rPr>
        <w:t xml:space="preserve"> coupling agent. The composites were prepared by solvent-assisted planetary mixing, the spent desiccator was degassed and compression </w:t>
      </w:r>
      <w:proofErr w:type="spellStart"/>
      <w:r w:rsidRPr="008946D1">
        <w:rPr>
          <w:color w:val="0F1115"/>
          <w:sz w:val="20"/>
          <w:lang w:val="en-US"/>
        </w:rPr>
        <w:t>moulded</w:t>
      </w:r>
      <w:proofErr w:type="spellEnd"/>
      <w:r w:rsidRPr="008946D1">
        <w:rPr>
          <w:color w:val="0F1115"/>
          <w:sz w:val="20"/>
          <w:lang w:val="en-US"/>
        </w:rPr>
        <w:t xml:space="preserve"> at 180 C under 10 MPa for 2 h. 10, 20, 30, 40 and 50 volume percent (vol%) of filler loadings were fabricated to investigate the concentration influence on property evolution.</w:t>
      </w:r>
    </w:p>
    <w:p w14:paraId="3D0086E9" w14:textId="379BE3D8" w:rsidR="006E0EC6" w:rsidRPr="008946D1" w:rsidRDefault="006E0EC6" w:rsidP="006E0EC6">
      <w:pPr>
        <w:pStyle w:val="ds-markdown-paragraph"/>
        <w:shd w:val="clear" w:color="auto" w:fill="FFFFFF"/>
        <w:spacing w:before="0" w:beforeAutospacing="0" w:after="0" w:afterAutospacing="0"/>
        <w:ind w:firstLine="284"/>
        <w:jc w:val="both"/>
        <w:rPr>
          <w:color w:val="0F1115"/>
          <w:sz w:val="20"/>
          <w:lang w:val="en-US"/>
        </w:rPr>
      </w:pPr>
      <w:r w:rsidRPr="008946D1">
        <w:rPr>
          <w:color w:val="0F1115"/>
          <w:sz w:val="20"/>
          <w:lang w:val="en-US"/>
        </w:rPr>
        <w:t xml:space="preserve">The material of the metal matrix was a 6061-aluminum alloy (compositions: Mg 1.0%, Si 0.6%, Cu 0.28%). A few-layer graphene (3-5 layers) was used as a reinforcement with lateral dimensions between 5 and 15 </w:t>
      </w:r>
      <w:r w:rsidRPr="008946D1">
        <w:rPr>
          <w:color w:val="0F1115"/>
          <w:sz w:val="20"/>
          <w:lang w:val="en-US"/>
        </w:rPr>
        <w:t xml:space="preserve">m, having a specific surface area of between 400 and 600 m2/g. Powder metallurgy route process was used consisting in ball milling of </w:t>
      </w:r>
      <w:proofErr w:type="spellStart"/>
      <w:r w:rsidRPr="008946D1">
        <w:rPr>
          <w:color w:val="0F1115"/>
          <w:sz w:val="20"/>
          <w:lang w:val="en-US"/>
        </w:rPr>
        <w:t>aluminium</w:t>
      </w:r>
      <w:proofErr w:type="spellEnd"/>
      <w:r w:rsidRPr="008946D1">
        <w:rPr>
          <w:color w:val="0F1115"/>
          <w:sz w:val="20"/>
          <w:lang w:val="en-US"/>
        </w:rPr>
        <w:t xml:space="preserve"> powder with the graphene to obtain </w:t>
      </w:r>
      <w:proofErr w:type="gramStart"/>
      <w:r w:rsidRPr="008946D1">
        <w:rPr>
          <w:color w:val="0F1115"/>
          <w:sz w:val="20"/>
          <w:lang w:val="en-US"/>
        </w:rPr>
        <w:t>an</w:t>
      </w:r>
      <w:proofErr w:type="gramEnd"/>
      <w:r w:rsidRPr="008946D1">
        <w:rPr>
          <w:color w:val="0F1115"/>
          <w:sz w:val="20"/>
          <w:lang w:val="en-US"/>
        </w:rPr>
        <w:t xml:space="preserve"> homogeneous dispersion that was further compacted by cold isostatically pressing at 400 MPa. The green compacts were sintered at 580°C for 2 h in an argon atmosphere. Composites containing 5, 10, 15 and 20 vol% of with graphene were fabricated to study the percolation threshold and property improvement.</w:t>
      </w:r>
    </w:p>
    <w:p w14:paraId="52900BBF" w14:textId="4BEF5119" w:rsidR="006E0EC6" w:rsidRPr="008946D1" w:rsidRDefault="006E0EC6" w:rsidP="006E0EC6">
      <w:pPr>
        <w:pStyle w:val="ds-markdown-paragraph"/>
        <w:shd w:val="clear" w:color="auto" w:fill="FFFFFF"/>
        <w:spacing w:before="0" w:beforeAutospacing="0" w:after="0" w:afterAutospacing="0"/>
        <w:ind w:firstLine="284"/>
        <w:jc w:val="both"/>
        <w:rPr>
          <w:color w:val="0F1115"/>
          <w:sz w:val="20"/>
          <w:lang w:val="en-US"/>
        </w:rPr>
      </w:pPr>
      <w:r w:rsidRPr="008946D1">
        <w:rPr>
          <w:color w:val="0F1115"/>
          <w:sz w:val="20"/>
          <w:lang w:val="en-US"/>
        </w:rPr>
        <w:t xml:space="preserve">The matrix was a silica aerogel exhibiting a </w:t>
      </w:r>
      <w:proofErr w:type="spellStart"/>
      <w:r w:rsidRPr="008946D1">
        <w:rPr>
          <w:color w:val="0F1115"/>
          <w:sz w:val="20"/>
          <w:lang w:val="en-US"/>
        </w:rPr>
        <w:t>nanoporous</w:t>
      </w:r>
      <w:proofErr w:type="spellEnd"/>
      <w:r w:rsidRPr="008946D1">
        <w:rPr>
          <w:color w:val="0F1115"/>
          <w:sz w:val="20"/>
          <w:lang w:val="en-US"/>
        </w:rPr>
        <w:t xml:space="preserve"> structure with pore sizes of 20-50 nm and having a density of 100-200 kg/m³. Nanoparticles were employed as an opacifier to mitigate radiative heat transfer: titanium dioxide (</w:t>
      </w:r>
      <w:proofErr w:type="spellStart"/>
      <w:r w:rsidRPr="008946D1">
        <w:rPr>
          <w:color w:val="0F1115"/>
          <w:sz w:val="20"/>
          <w:lang w:val="en-US"/>
        </w:rPr>
        <w:t>TiO</w:t>
      </w:r>
      <w:proofErr w:type="spellEnd"/>
      <w:r w:rsidRPr="008946D1">
        <w:rPr>
          <w:color w:val="0F1115"/>
          <w:sz w:val="20"/>
          <w:lang w:val="en-US"/>
        </w:rPr>
        <w:t xml:space="preserve">₂) and carbon black, which have particle size of 20-50 nm. This material was synthetized using a sol-gel process and resulted in a nanostructured network by maintaining the porous properties with supercritical drying. Opacifiers were incorporated by mechanical stirring before gelation. Four samples were studied—pure aerogel, and aerogels with 5 vol% </w:t>
      </w:r>
      <w:proofErr w:type="spellStart"/>
      <w:r w:rsidRPr="008946D1">
        <w:rPr>
          <w:color w:val="0F1115"/>
          <w:sz w:val="20"/>
          <w:lang w:val="en-US"/>
        </w:rPr>
        <w:t>TiO</w:t>
      </w:r>
      <w:proofErr w:type="spellEnd"/>
      <w:r w:rsidRPr="008946D1">
        <w:rPr>
          <w:color w:val="0F1115"/>
          <w:sz w:val="20"/>
          <w:lang w:val="en-US"/>
        </w:rPr>
        <w:t xml:space="preserve">₂, 2 vol% carbon black, and a hybrid (with both 5 vol% </w:t>
      </w:r>
      <w:proofErr w:type="spellStart"/>
      <w:r w:rsidRPr="008946D1">
        <w:rPr>
          <w:color w:val="0F1115"/>
          <w:sz w:val="20"/>
          <w:lang w:val="en-US"/>
        </w:rPr>
        <w:t>TiO</w:t>
      </w:r>
      <w:proofErr w:type="spellEnd"/>
      <w:r w:rsidRPr="008946D1">
        <w:rPr>
          <w:color w:val="0F1115"/>
          <w:sz w:val="20"/>
          <w:lang w:val="en-US"/>
        </w:rPr>
        <w:t>₂ and 2 vol% carbon black).</w:t>
      </w:r>
    </w:p>
    <w:p w14:paraId="03DADDA6" w14:textId="77777777" w:rsidR="006E0EC6" w:rsidRPr="008946D1" w:rsidRDefault="006E0EC6" w:rsidP="006E0EC6">
      <w:pPr>
        <w:pStyle w:val="ds-markdown-paragraph"/>
        <w:shd w:val="clear" w:color="auto" w:fill="FFFFFF"/>
        <w:spacing w:before="0" w:beforeAutospacing="0" w:after="0" w:afterAutospacing="0"/>
        <w:ind w:firstLine="284"/>
        <w:jc w:val="both"/>
        <w:rPr>
          <w:color w:val="0F1115"/>
          <w:sz w:val="20"/>
          <w:lang w:val="en-US"/>
        </w:rPr>
      </w:pPr>
      <w:r w:rsidRPr="008946D1">
        <w:rPr>
          <w:color w:val="0F1115"/>
          <w:sz w:val="20"/>
          <w:lang w:val="en-US"/>
        </w:rPr>
        <w:t>A wide range of properties were characterized using a set of standard procedures in the broad temperature region from -196°C to 500°C.</w:t>
      </w:r>
    </w:p>
    <w:p w14:paraId="099B423B" w14:textId="77777777" w:rsidR="006E0EC6" w:rsidRPr="008946D1" w:rsidRDefault="006E0EC6" w:rsidP="006E0EC6">
      <w:pPr>
        <w:pStyle w:val="ds-markdown-paragraph"/>
        <w:shd w:val="clear" w:color="auto" w:fill="FFFFFF"/>
        <w:spacing w:before="0" w:beforeAutospacing="0" w:after="0" w:afterAutospacing="0"/>
        <w:ind w:firstLine="284"/>
        <w:jc w:val="both"/>
        <w:rPr>
          <w:color w:val="0F1115"/>
          <w:sz w:val="20"/>
          <w:lang w:val="en-US"/>
        </w:rPr>
      </w:pPr>
      <w:r w:rsidRPr="008946D1">
        <w:rPr>
          <w:color w:val="0F1115"/>
          <w:sz w:val="20"/>
          <w:lang w:val="en-US"/>
        </w:rPr>
        <w:t>Thermal conductivity (λ) was determined employing three different methods adapted to the expected range of properties. For low-conductivity materials (λ = 2 W/</w:t>
      </w:r>
      <w:proofErr w:type="spellStart"/>
      <w:r w:rsidRPr="008946D1">
        <w:rPr>
          <w:color w:val="0F1115"/>
          <w:sz w:val="20"/>
          <w:lang w:val="en-US"/>
        </w:rPr>
        <w:t>m·K</w:t>
      </w:r>
      <w:proofErr w:type="spellEnd"/>
      <w:r w:rsidRPr="008946D1">
        <w:rPr>
          <w:color w:val="0F1115"/>
          <w:sz w:val="20"/>
          <w:lang w:val="en-US"/>
        </w:rPr>
        <w:t>), guarded hot plate according to ASTM E1530 was applied with measurement uncertainty of ±3%. Pressure-sealed heat flow meter tests were performed for moderate-conducting materials [2–100 W/</w:t>
      </w:r>
      <w:proofErr w:type="spellStart"/>
      <w:r w:rsidRPr="008946D1">
        <w:rPr>
          <w:color w:val="0F1115"/>
          <w:sz w:val="20"/>
          <w:lang w:val="en-US"/>
        </w:rPr>
        <w:t>m·K</w:t>
      </w:r>
      <w:proofErr w:type="spellEnd"/>
      <w:r w:rsidRPr="008946D1">
        <w:rPr>
          <w:color w:val="0F1115"/>
          <w:sz w:val="20"/>
          <w:lang w:val="en-US"/>
        </w:rPr>
        <w:t>; ASTM E1530, ±5% uncertainty]. For the composites of high conductivity (λ &gt; 100 W/</w:t>
      </w:r>
      <w:proofErr w:type="spellStart"/>
      <w:r w:rsidRPr="008946D1">
        <w:rPr>
          <w:color w:val="0F1115"/>
          <w:sz w:val="20"/>
          <w:lang w:val="en-US"/>
        </w:rPr>
        <w:t>m·K</w:t>
      </w:r>
      <w:proofErr w:type="spellEnd"/>
      <w:r w:rsidRPr="008946D1">
        <w:rPr>
          <w:color w:val="0F1115"/>
          <w:sz w:val="20"/>
          <w:lang w:val="en-US"/>
        </w:rPr>
        <w:t>), laser flash analysis (LFA, ASTM E1461) was used in combination with pulse correction algorithms resulting in an uncertainty of ±7%.</w:t>
      </w:r>
    </w:p>
    <w:p w14:paraId="0C67B899" w14:textId="77777777" w:rsidR="006E0EC6" w:rsidRPr="008946D1" w:rsidRDefault="006E0EC6" w:rsidP="006E0EC6">
      <w:pPr>
        <w:pStyle w:val="ds-markdown-paragraph"/>
        <w:shd w:val="clear" w:color="auto" w:fill="FFFFFF"/>
        <w:spacing w:before="0" w:beforeAutospacing="0" w:after="0" w:afterAutospacing="0"/>
        <w:ind w:firstLine="284"/>
        <w:jc w:val="both"/>
        <w:rPr>
          <w:color w:val="0F1115"/>
          <w:sz w:val="20"/>
          <w:lang w:val="en-US"/>
        </w:rPr>
      </w:pPr>
      <w:r w:rsidRPr="008946D1">
        <w:rPr>
          <w:color w:val="0F1115"/>
          <w:sz w:val="20"/>
          <w:lang w:val="en-US"/>
        </w:rPr>
        <w:t>The C p was determined by ASTME 1269 dilatometric measurements from DSC signals recorded with a sapphire standard as a reference. The measurements were carried out in-10°C/min heating mode in a nitrogen atmosphere from -150 to 500°C.</w:t>
      </w:r>
    </w:p>
    <w:p w14:paraId="5864CF2C" w14:textId="77777777" w:rsidR="006E0EC6" w:rsidRPr="008946D1" w:rsidRDefault="006E0EC6" w:rsidP="006E0EC6">
      <w:pPr>
        <w:pStyle w:val="ds-markdown-paragraph"/>
        <w:shd w:val="clear" w:color="auto" w:fill="FFFFFF"/>
        <w:spacing w:before="0" w:beforeAutospacing="0" w:after="0" w:afterAutospacing="0"/>
        <w:ind w:firstLine="284"/>
        <w:jc w:val="both"/>
        <w:rPr>
          <w:color w:val="0F1115"/>
          <w:sz w:val="20"/>
          <w:lang w:val="en-US"/>
        </w:rPr>
      </w:pPr>
      <w:r w:rsidRPr="008946D1">
        <w:rPr>
          <w:color w:val="0F1115"/>
          <w:sz w:val="20"/>
          <w:lang w:val="en-US"/>
        </w:rPr>
        <w:t xml:space="preserve">Laser flash analysis (LFA) was employed to measure thermal diffusivity (α). For aerogel samples with low diffusivities, a three- layer sample sandwich method was adopted to increase the accuracy and an infrared detector having a 1 </w:t>
      </w:r>
      <w:proofErr w:type="spellStart"/>
      <w:r w:rsidRPr="008946D1">
        <w:rPr>
          <w:color w:val="0F1115"/>
          <w:sz w:val="20"/>
          <w:lang w:val="en-US"/>
        </w:rPr>
        <w:t>μs</w:t>
      </w:r>
      <w:proofErr w:type="spellEnd"/>
      <w:r w:rsidRPr="008946D1">
        <w:rPr>
          <w:color w:val="0F1115"/>
          <w:sz w:val="20"/>
          <w:lang w:val="en-US"/>
        </w:rPr>
        <w:t xml:space="preserve"> response time.</w:t>
      </w:r>
    </w:p>
    <w:p w14:paraId="1BE779B4" w14:textId="77777777" w:rsidR="006E0EC6" w:rsidRPr="008946D1" w:rsidRDefault="006E0EC6" w:rsidP="006E0EC6">
      <w:pPr>
        <w:pStyle w:val="ds-markdown-paragraph"/>
        <w:shd w:val="clear" w:color="auto" w:fill="FFFFFF"/>
        <w:spacing w:before="0" w:beforeAutospacing="0" w:after="0" w:afterAutospacing="0"/>
        <w:ind w:firstLine="284"/>
        <w:jc w:val="both"/>
        <w:rPr>
          <w:color w:val="0F1115"/>
          <w:sz w:val="20"/>
          <w:lang w:val="en-US"/>
        </w:rPr>
      </w:pPr>
      <w:r w:rsidRPr="008946D1">
        <w:rPr>
          <w:color w:val="0F1115"/>
          <w:sz w:val="20"/>
          <w:lang w:val="en-US"/>
        </w:rPr>
        <w:t>The coefficient of thermal expansion (CTE) was measured using a push-rod dilatometer following ASTM E228 with an average heating rate of 3°C per minute in the temperature range from -150 to 500°C.</w:t>
      </w:r>
    </w:p>
    <w:p w14:paraId="1E2EDFB8" w14:textId="6E89D85B" w:rsidR="00197E5C" w:rsidRPr="008946D1" w:rsidRDefault="006E0EC6" w:rsidP="006E0EC6">
      <w:pPr>
        <w:pStyle w:val="ds-markdown-paragraph"/>
        <w:shd w:val="clear" w:color="auto" w:fill="FFFFFF"/>
        <w:spacing w:before="0" w:beforeAutospacing="0" w:after="0" w:afterAutospacing="0"/>
        <w:ind w:firstLine="284"/>
        <w:jc w:val="both"/>
        <w:rPr>
          <w:color w:val="0F1115"/>
          <w:sz w:val="20"/>
          <w:lang w:val="en-US"/>
        </w:rPr>
      </w:pPr>
      <w:r w:rsidRPr="008946D1">
        <w:rPr>
          <w:color w:val="0F1115"/>
          <w:sz w:val="20"/>
          <w:lang w:val="en-US"/>
        </w:rPr>
        <w:t>The microstructure and interfacial characteristics were systematically investigated in order to correlate structure with properties. Fracture surfaces and polished cross-sections of the nanocomposites were examined using scanning electron microscopy (SEM) for filler dispersion as well as failure mode. TEM offered nanoscale analysis of the interface structure, such as graphene-</w:t>
      </w:r>
      <w:proofErr w:type="spellStart"/>
      <w:r w:rsidRPr="008946D1">
        <w:rPr>
          <w:color w:val="0F1115"/>
          <w:sz w:val="20"/>
          <w:lang w:val="en-US"/>
        </w:rPr>
        <w:t>aluminium</w:t>
      </w:r>
      <w:proofErr w:type="spellEnd"/>
      <w:r w:rsidRPr="008946D1">
        <w:rPr>
          <w:color w:val="0F1115"/>
          <w:sz w:val="20"/>
          <w:lang w:val="en-US"/>
        </w:rPr>
        <w:t xml:space="preserve"> interface and possible interphase reaction products. The 3D distribution and orientation of the fillers in the composites was non-invasively reconstructed at micron resolution by X-ray micro-computed tomography (μ-CT) [9,10], while Raman spectroscopy provided an assessment of both the quality of graphene reinforcement and stress states within carbon-based fillers [4,8].</w:t>
      </w:r>
    </w:p>
    <w:p w14:paraId="12690CFF" w14:textId="77777777" w:rsidR="00AE273D" w:rsidRDefault="00AE273D" w:rsidP="005B0316">
      <w:pPr>
        <w:shd w:val="clear" w:color="auto" w:fill="FFFFFF"/>
        <w:spacing w:before="240" w:after="240"/>
        <w:jc w:val="center"/>
        <w:rPr>
          <w:b/>
          <w:bCs/>
          <w:color w:val="0F1115"/>
          <w:sz w:val="24"/>
          <w:lang w:val="en-US" w:eastAsia="ru-RU"/>
        </w:rPr>
      </w:pPr>
    </w:p>
    <w:p w14:paraId="07495ADB" w14:textId="7614AE21" w:rsidR="005B0316" w:rsidRPr="008946D1" w:rsidRDefault="005B0316" w:rsidP="005B0316">
      <w:pPr>
        <w:shd w:val="clear" w:color="auto" w:fill="FFFFFF"/>
        <w:spacing w:before="240" w:after="240"/>
        <w:jc w:val="center"/>
        <w:rPr>
          <w:b/>
          <w:bCs/>
          <w:color w:val="0F1115"/>
          <w:sz w:val="24"/>
          <w:lang w:val="en-US" w:eastAsia="ru-RU"/>
        </w:rPr>
      </w:pPr>
      <w:r w:rsidRPr="008946D1">
        <w:rPr>
          <w:b/>
          <w:bCs/>
          <w:color w:val="0F1115"/>
          <w:sz w:val="24"/>
          <w:lang w:val="en-US" w:eastAsia="ru-RU"/>
        </w:rPr>
        <w:t>RESULTS AND ANALYSIS</w:t>
      </w:r>
    </w:p>
    <w:p w14:paraId="242F4233" w14:textId="77777777" w:rsidR="00197E5C" w:rsidRPr="008946D1" w:rsidRDefault="00197E5C" w:rsidP="009B3971">
      <w:pPr>
        <w:shd w:val="clear" w:color="auto" w:fill="FFFFFF"/>
        <w:ind w:firstLine="284"/>
        <w:jc w:val="both"/>
        <w:rPr>
          <w:color w:val="0F1115"/>
          <w:lang w:val="en-US" w:eastAsia="ru-RU"/>
        </w:rPr>
      </w:pPr>
      <w:r w:rsidRPr="008946D1">
        <w:rPr>
          <w:color w:val="0F1115"/>
          <w:lang w:val="en-US" w:eastAsia="ru-RU"/>
        </w:rPr>
        <w:t>The BN/epoxy composites exhibited decreasing thermal conductivity with increasing temperature, consistent with pho</w:t>
      </w:r>
      <w:r w:rsidR="005B0316" w:rsidRPr="008946D1">
        <w:rPr>
          <w:color w:val="0F1115"/>
          <w:lang w:val="en-US" w:eastAsia="ru-RU"/>
        </w:rPr>
        <w:t>non-dominated thermal transport.</w:t>
      </w:r>
    </w:p>
    <w:p w14:paraId="063B09A7" w14:textId="77777777" w:rsidR="00197E5C" w:rsidRPr="008946D1" w:rsidRDefault="000C79F6" w:rsidP="00833639">
      <w:pPr>
        <w:shd w:val="clear" w:color="auto" w:fill="FFFFFF"/>
        <w:spacing w:before="120" w:after="120"/>
        <w:jc w:val="center"/>
        <w:rPr>
          <w:bCs/>
          <w:color w:val="0F1115"/>
          <w:sz w:val="18"/>
          <w:lang w:val="en-US" w:eastAsia="ru-RU"/>
        </w:rPr>
      </w:pPr>
      <w:r w:rsidRPr="008946D1">
        <w:rPr>
          <w:b/>
          <w:bCs/>
          <w:color w:val="0F1115"/>
          <w:sz w:val="18"/>
          <w:lang w:val="en-US" w:eastAsia="ru-RU"/>
        </w:rPr>
        <w:t>TABLE 1.</w:t>
      </w:r>
      <w:r w:rsidR="00197E5C" w:rsidRPr="008946D1">
        <w:rPr>
          <w:b/>
          <w:bCs/>
          <w:color w:val="0F1115"/>
          <w:sz w:val="18"/>
          <w:lang w:val="en-US" w:eastAsia="ru-RU"/>
        </w:rPr>
        <w:t xml:space="preserve"> </w:t>
      </w:r>
      <w:r w:rsidR="00197E5C" w:rsidRPr="008946D1">
        <w:rPr>
          <w:bCs/>
          <w:color w:val="0F1115"/>
          <w:sz w:val="18"/>
          <w:lang w:val="en-US" w:eastAsia="ru-RU"/>
        </w:rPr>
        <w:t>Temperature-Dependent Thermal Conductivity of BN/Epoxy Composites</w:t>
      </w:r>
    </w:p>
    <w:tbl>
      <w:tblPr>
        <w:tblStyle w:val="a6"/>
        <w:tblW w:w="847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577"/>
        <w:gridCol w:w="1535"/>
        <w:gridCol w:w="1598"/>
        <w:gridCol w:w="2234"/>
      </w:tblGrid>
      <w:tr w:rsidR="000C79F6" w:rsidRPr="00AE273D" w14:paraId="6D5EB909" w14:textId="77777777" w:rsidTr="000C79F6">
        <w:trPr>
          <w:trHeight w:val="339"/>
          <w:jc w:val="center"/>
        </w:trPr>
        <w:tc>
          <w:tcPr>
            <w:tcW w:w="0" w:type="auto"/>
            <w:tcBorders>
              <w:bottom w:val="single" w:sz="4" w:space="0" w:color="auto"/>
            </w:tcBorders>
            <w:vAlign w:val="center"/>
          </w:tcPr>
          <w:p w14:paraId="21EE04FE" w14:textId="77777777" w:rsidR="000C79F6" w:rsidRPr="008946D1" w:rsidRDefault="000C79F6" w:rsidP="000C79F6">
            <w:pPr>
              <w:ind w:left="17"/>
              <w:jc w:val="both"/>
              <w:rPr>
                <w:b/>
                <w:bCs/>
                <w:lang w:val="en-US" w:eastAsia="ru-RU"/>
              </w:rPr>
            </w:pPr>
            <w:r w:rsidRPr="008946D1">
              <w:rPr>
                <w:b/>
                <w:bCs/>
                <w:lang w:val="en-US" w:eastAsia="ru-RU"/>
              </w:rPr>
              <w:t>BN Content (vol%)</w:t>
            </w:r>
          </w:p>
        </w:tc>
        <w:tc>
          <w:tcPr>
            <w:tcW w:w="0" w:type="auto"/>
            <w:tcBorders>
              <w:bottom w:val="single" w:sz="4" w:space="0" w:color="auto"/>
            </w:tcBorders>
            <w:vAlign w:val="center"/>
          </w:tcPr>
          <w:p w14:paraId="43423607" w14:textId="77777777" w:rsidR="000C79F6" w:rsidRPr="008946D1" w:rsidRDefault="000C79F6" w:rsidP="000C79F6">
            <w:pPr>
              <w:ind w:left="17"/>
              <w:jc w:val="center"/>
              <w:rPr>
                <w:b/>
                <w:bCs/>
                <w:lang w:val="en-US" w:eastAsia="ru-RU"/>
              </w:rPr>
            </w:pPr>
            <w:r w:rsidRPr="008946D1">
              <w:rPr>
                <w:b/>
                <w:bCs/>
                <w:lang w:eastAsia="ru-RU"/>
              </w:rPr>
              <w:t>λ</w:t>
            </w:r>
            <w:r w:rsidRPr="008946D1">
              <w:rPr>
                <w:b/>
                <w:bCs/>
                <w:lang w:val="en-US" w:eastAsia="ru-RU"/>
              </w:rPr>
              <w:t xml:space="preserve"> at -50°C (W/</w:t>
            </w:r>
            <w:proofErr w:type="spellStart"/>
            <w:r w:rsidRPr="008946D1">
              <w:rPr>
                <w:b/>
                <w:bCs/>
                <w:lang w:val="en-US" w:eastAsia="ru-RU"/>
              </w:rPr>
              <w:t>m·K</w:t>
            </w:r>
            <w:proofErr w:type="spellEnd"/>
            <w:r w:rsidRPr="008946D1">
              <w:rPr>
                <w:b/>
                <w:bCs/>
                <w:lang w:val="en-US" w:eastAsia="ru-RU"/>
              </w:rPr>
              <w:t>)</w:t>
            </w:r>
          </w:p>
        </w:tc>
        <w:tc>
          <w:tcPr>
            <w:tcW w:w="0" w:type="auto"/>
            <w:tcBorders>
              <w:bottom w:val="single" w:sz="4" w:space="0" w:color="auto"/>
            </w:tcBorders>
            <w:vAlign w:val="center"/>
          </w:tcPr>
          <w:p w14:paraId="5E1F7565" w14:textId="77777777" w:rsidR="000C79F6" w:rsidRPr="008946D1" w:rsidRDefault="000C79F6" w:rsidP="000C79F6">
            <w:pPr>
              <w:ind w:left="17"/>
              <w:jc w:val="center"/>
              <w:rPr>
                <w:b/>
                <w:bCs/>
                <w:lang w:val="en-US" w:eastAsia="ru-RU"/>
              </w:rPr>
            </w:pPr>
            <w:r w:rsidRPr="008946D1">
              <w:rPr>
                <w:b/>
                <w:bCs/>
                <w:lang w:eastAsia="ru-RU"/>
              </w:rPr>
              <w:t>λ</w:t>
            </w:r>
            <w:r w:rsidRPr="008946D1">
              <w:rPr>
                <w:b/>
                <w:bCs/>
                <w:lang w:val="en-US" w:eastAsia="ru-RU"/>
              </w:rPr>
              <w:t xml:space="preserve"> at 25°C (W/</w:t>
            </w:r>
            <w:proofErr w:type="spellStart"/>
            <w:r w:rsidRPr="008946D1">
              <w:rPr>
                <w:b/>
                <w:bCs/>
                <w:lang w:val="en-US" w:eastAsia="ru-RU"/>
              </w:rPr>
              <w:t>m·K</w:t>
            </w:r>
            <w:proofErr w:type="spellEnd"/>
            <w:r w:rsidRPr="008946D1">
              <w:rPr>
                <w:b/>
                <w:bCs/>
                <w:lang w:val="en-US" w:eastAsia="ru-RU"/>
              </w:rPr>
              <w:t>)</w:t>
            </w:r>
          </w:p>
        </w:tc>
        <w:tc>
          <w:tcPr>
            <w:tcW w:w="0" w:type="auto"/>
            <w:tcBorders>
              <w:bottom w:val="single" w:sz="4" w:space="0" w:color="auto"/>
            </w:tcBorders>
            <w:vAlign w:val="center"/>
          </w:tcPr>
          <w:p w14:paraId="77E78F23" w14:textId="77777777" w:rsidR="000C79F6" w:rsidRPr="008946D1" w:rsidRDefault="000C79F6" w:rsidP="000C79F6">
            <w:pPr>
              <w:ind w:left="17"/>
              <w:jc w:val="center"/>
              <w:rPr>
                <w:b/>
                <w:bCs/>
                <w:lang w:val="en-US" w:eastAsia="ru-RU"/>
              </w:rPr>
            </w:pPr>
            <w:r w:rsidRPr="008946D1">
              <w:rPr>
                <w:b/>
                <w:bCs/>
                <w:lang w:eastAsia="ru-RU"/>
              </w:rPr>
              <w:t>λ</w:t>
            </w:r>
            <w:r w:rsidRPr="008946D1">
              <w:rPr>
                <w:b/>
                <w:bCs/>
                <w:lang w:val="en-US" w:eastAsia="ru-RU"/>
              </w:rPr>
              <w:t xml:space="preserve"> at 150°C (W/</w:t>
            </w:r>
            <w:proofErr w:type="spellStart"/>
            <w:r w:rsidRPr="008946D1">
              <w:rPr>
                <w:b/>
                <w:bCs/>
                <w:lang w:val="en-US" w:eastAsia="ru-RU"/>
              </w:rPr>
              <w:t>m·K</w:t>
            </w:r>
            <w:proofErr w:type="spellEnd"/>
            <w:r w:rsidRPr="008946D1">
              <w:rPr>
                <w:b/>
                <w:bCs/>
                <w:lang w:val="en-US" w:eastAsia="ru-RU"/>
              </w:rPr>
              <w:t>)</w:t>
            </w:r>
          </w:p>
        </w:tc>
        <w:tc>
          <w:tcPr>
            <w:tcW w:w="0" w:type="auto"/>
            <w:tcBorders>
              <w:bottom w:val="single" w:sz="4" w:space="0" w:color="auto"/>
            </w:tcBorders>
            <w:vAlign w:val="center"/>
          </w:tcPr>
          <w:p w14:paraId="096B1DB1" w14:textId="77777777" w:rsidR="000C79F6" w:rsidRPr="008946D1" w:rsidRDefault="000C79F6" w:rsidP="000C79F6">
            <w:pPr>
              <w:ind w:left="17"/>
              <w:jc w:val="center"/>
              <w:rPr>
                <w:b/>
                <w:bCs/>
                <w:lang w:val="en-US" w:eastAsia="ru-RU"/>
              </w:rPr>
            </w:pPr>
            <w:r w:rsidRPr="008946D1">
              <w:rPr>
                <w:b/>
                <w:bCs/>
                <w:lang w:eastAsia="ru-RU"/>
              </w:rPr>
              <w:t>λ</w:t>
            </w:r>
            <w:r w:rsidRPr="008946D1">
              <w:rPr>
                <w:b/>
                <w:bCs/>
                <w:lang w:val="en-US" w:eastAsia="ru-RU"/>
              </w:rPr>
              <w:t xml:space="preserve"> Reduction 25°C to 150°C (%)</w:t>
            </w:r>
          </w:p>
        </w:tc>
      </w:tr>
      <w:tr w:rsidR="000C79F6" w:rsidRPr="008946D1" w14:paraId="1D2F299A" w14:textId="77777777" w:rsidTr="000C79F6">
        <w:trPr>
          <w:trHeight w:val="204"/>
          <w:jc w:val="center"/>
        </w:trPr>
        <w:tc>
          <w:tcPr>
            <w:tcW w:w="0" w:type="auto"/>
            <w:tcBorders>
              <w:top w:val="single" w:sz="4" w:space="0" w:color="auto"/>
              <w:bottom w:val="nil"/>
            </w:tcBorders>
            <w:vAlign w:val="center"/>
          </w:tcPr>
          <w:p w14:paraId="65ED6EC6" w14:textId="77777777" w:rsidR="000C79F6" w:rsidRPr="008946D1" w:rsidRDefault="000C79F6" w:rsidP="000C79F6">
            <w:pPr>
              <w:ind w:left="17"/>
              <w:jc w:val="both"/>
              <w:rPr>
                <w:lang w:val="en-US" w:eastAsia="ru-RU"/>
              </w:rPr>
            </w:pPr>
            <w:r w:rsidRPr="008946D1">
              <w:rPr>
                <w:b/>
                <w:bCs/>
                <w:lang w:val="en-US" w:eastAsia="ru-RU"/>
              </w:rPr>
              <w:t>0 (neat epoxy)</w:t>
            </w:r>
          </w:p>
        </w:tc>
        <w:tc>
          <w:tcPr>
            <w:tcW w:w="0" w:type="auto"/>
            <w:tcBorders>
              <w:top w:val="single" w:sz="4" w:space="0" w:color="auto"/>
              <w:bottom w:val="nil"/>
            </w:tcBorders>
            <w:vAlign w:val="center"/>
          </w:tcPr>
          <w:p w14:paraId="60BFA055" w14:textId="77777777" w:rsidR="000C79F6" w:rsidRPr="008946D1" w:rsidRDefault="000C79F6" w:rsidP="000C79F6">
            <w:pPr>
              <w:ind w:left="17"/>
              <w:jc w:val="center"/>
              <w:rPr>
                <w:lang w:val="en-US" w:eastAsia="ru-RU"/>
              </w:rPr>
            </w:pPr>
            <w:r w:rsidRPr="008946D1">
              <w:rPr>
                <w:lang w:val="en-US" w:eastAsia="ru-RU"/>
              </w:rPr>
              <w:t>0.19</w:t>
            </w:r>
          </w:p>
        </w:tc>
        <w:tc>
          <w:tcPr>
            <w:tcW w:w="0" w:type="auto"/>
            <w:tcBorders>
              <w:top w:val="single" w:sz="4" w:space="0" w:color="auto"/>
              <w:bottom w:val="nil"/>
            </w:tcBorders>
            <w:vAlign w:val="center"/>
          </w:tcPr>
          <w:p w14:paraId="3276C721" w14:textId="77777777" w:rsidR="000C79F6" w:rsidRPr="008946D1" w:rsidRDefault="000C79F6" w:rsidP="000C79F6">
            <w:pPr>
              <w:ind w:left="17"/>
              <w:jc w:val="center"/>
              <w:rPr>
                <w:lang w:eastAsia="ru-RU"/>
              </w:rPr>
            </w:pPr>
            <w:r w:rsidRPr="008946D1">
              <w:rPr>
                <w:lang w:val="en-US" w:eastAsia="ru-RU"/>
              </w:rPr>
              <w:t>0.</w:t>
            </w:r>
            <w:r w:rsidRPr="008946D1">
              <w:rPr>
                <w:lang w:eastAsia="ru-RU"/>
              </w:rPr>
              <w:t>25</w:t>
            </w:r>
          </w:p>
        </w:tc>
        <w:tc>
          <w:tcPr>
            <w:tcW w:w="0" w:type="auto"/>
            <w:tcBorders>
              <w:top w:val="single" w:sz="4" w:space="0" w:color="auto"/>
              <w:bottom w:val="nil"/>
            </w:tcBorders>
            <w:vAlign w:val="center"/>
          </w:tcPr>
          <w:p w14:paraId="11C20632" w14:textId="77777777" w:rsidR="000C79F6" w:rsidRPr="008946D1" w:rsidRDefault="000C79F6" w:rsidP="000C79F6">
            <w:pPr>
              <w:ind w:left="17"/>
              <w:jc w:val="center"/>
              <w:rPr>
                <w:lang w:eastAsia="ru-RU"/>
              </w:rPr>
            </w:pPr>
            <w:r w:rsidRPr="008946D1">
              <w:rPr>
                <w:lang w:eastAsia="ru-RU"/>
              </w:rPr>
              <w:t>0.28</w:t>
            </w:r>
          </w:p>
        </w:tc>
        <w:tc>
          <w:tcPr>
            <w:tcW w:w="0" w:type="auto"/>
            <w:tcBorders>
              <w:top w:val="single" w:sz="4" w:space="0" w:color="auto"/>
              <w:bottom w:val="nil"/>
            </w:tcBorders>
            <w:vAlign w:val="center"/>
          </w:tcPr>
          <w:p w14:paraId="5B747165" w14:textId="77777777" w:rsidR="000C79F6" w:rsidRPr="008946D1" w:rsidRDefault="000C79F6" w:rsidP="000C79F6">
            <w:pPr>
              <w:ind w:left="17"/>
              <w:jc w:val="center"/>
              <w:rPr>
                <w:lang w:eastAsia="ru-RU"/>
              </w:rPr>
            </w:pPr>
            <w:r w:rsidRPr="008946D1">
              <w:rPr>
                <w:lang w:eastAsia="ru-RU"/>
              </w:rPr>
              <w:t>-12.0</w:t>
            </w:r>
          </w:p>
        </w:tc>
      </w:tr>
      <w:tr w:rsidR="000C79F6" w:rsidRPr="008946D1" w14:paraId="5782B8A2" w14:textId="77777777" w:rsidTr="000C79F6">
        <w:trPr>
          <w:trHeight w:val="94"/>
          <w:jc w:val="center"/>
        </w:trPr>
        <w:tc>
          <w:tcPr>
            <w:tcW w:w="0" w:type="auto"/>
            <w:tcBorders>
              <w:top w:val="nil"/>
            </w:tcBorders>
            <w:vAlign w:val="center"/>
          </w:tcPr>
          <w:p w14:paraId="355BC0BA" w14:textId="77777777" w:rsidR="000C79F6" w:rsidRPr="008946D1" w:rsidRDefault="000C79F6" w:rsidP="000C79F6">
            <w:pPr>
              <w:ind w:left="17"/>
              <w:jc w:val="both"/>
              <w:rPr>
                <w:lang w:eastAsia="ru-RU"/>
              </w:rPr>
            </w:pPr>
            <w:r w:rsidRPr="008946D1">
              <w:rPr>
                <w:b/>
                <w:bCs/>
                <w:lang w:eastAsia="ru-RU"/>
              </w:rPr>
              <w:t>20</w:t>
            </w:r>
          </w:p>
        </w:tc>
        <w:tc>
          <w:tcPr>
            <w:tcW w:w="0" w:type="auto"/>
            <w:tcBorders>
              <w:top w:val="nil"/>
            </w:tcBorders>
            <w:vAlign w:val="center"/>
          </w:tcPr>
          <w:p w14:paraId="1BFD79DD" w14:textId="77777777" w:rsidR="000C79F6" w:rsidRPr="008946D1" w:rsidRDefault="000C79F6" w:rsidP="000C79F6">
            <w:pPr>
              <w:ind w:left="17"/>
              <w:jc w:val="center"/>
              <w:rPr>
                <w:lang w:eastAsia="ru-RU"/>
              </w:rPr>
            </w:pPr>
            <w:r w:rsidRPr="008946D1">
              <w:rPr>
                <w:lang w:eastAsia="ru-RU"/>
              </w:rPr>
              <w:t>0.68</w:t>
            </w:r>
          </w:p>
        </w:tc>
        <w:tc>
          <w:tcPr>
            <w:tcW w:w="0" w:type="auto"/>
            <w:tcBorders>
              <w:top w:val="nil"/>
            </w:tcBorders>
            <w:vAlign w:val="center"/>
          </w:tcPr>
          <w:p w14:paraId="6638C20A" w14:textId="77777777" w:rsidR="000C79F6" w:rsidRPr="008946D1" w:rsidRDefault="000C79F6" w:rsidP="000C79F6">
            <w:pPr>
              <w:ind w:left="17"/>
              <w:jc w:val="center"/>
              <w:rPr>
                <w:lang w:eastAsia="ru-RU"/>
              </w:rPr>
            </w:pPr>
            <w:r w:rsidRPr="008946D1">
              <w:rPr>
                <w:lang w:eastAsia="ru-RU"/>
              </w:rPr>
              <w:t>0.82</w:t>
            </w:r>
          </w:p>
        </w:tc>
        <w:tc>
          <w:tcPr>
            <w:tcW w:w="0" w:type="auto"/>
            <w:tcBorders>
              <w:top w:val="nil"/>
            </w:tcBorders>
            <w:vAlign w:val="center"/>
          </w:tcPr>
          <w:p w14:paraId="2A78E0A9" w14:textId="77777777" w:rsidR="000C79F6" w:rsidRPr="008946D1" w:rsidRDefault="000C79F6" w:rsidP="000C79F6">
            <w:pPr>
              <w:ind w:left="17"/>
              <w:jc w:val="center"/>
              <w:rPr>
                <w:lang w:eastAsia="ru-RU"/>
              </w:rPr>
            </w:pPr>
            <w:r w:rsidRPr="008946D1">
              <w:rPr>
                <w:lang w:eastAsia="ru-RU"/>
              </w:rPr>
              <w:t>0.74</w:t>
            </w:r>
          </w:p>
        </w:tc>
        <w:tc>
          <w:tcPr>
            <w:tcW w:w="0" w:type="auto"/>
            <w:tcBorders>
              <w:top w:val="nil"/>
            </w:tcBorders>
            <w:vAlign w:val="center"/>
          </w:tcPr>
          <w:p w14:paraId="7A4F83DD" w14:textId="77777777" w:rsidR="000C79F6" w:rsidRPr="008946D1" w:rsidRDefault="000C79F6" w:rsidP="000C79F6">
            <w:pPr>
              <w:ind w:left="17"/>
              <w:jc w:val="center"/>
              <w:rPr>
                <w:lang w:eastAsia="ru-RU"/>
              </w:rPr>
            </w:pPr>
            <w:r w:rsidRPr="008946D1">
              <w:rPr>
                <w:lang w:eastAsia="ru-RU"/>
              </w:rPr>
              <w:t>9.8</w:t>
            </w:r>
          </w:p>
        </w:tc>
      </w:tr>
      <w:tr w:rsidR="000C79F6" w:rsidRPr="008946D1" w14:paraId="391184BD" w14:textId="77777777" w:rsidTr="000C79F6">
        <w:trPr>
          <w:trHeight w:val="139"/>
          <w:jc w:val="center"/>
        </w:trPr>
        <w:tc>
          <w:tcPr>
            <w:tcW w:w="0" w:type="auto"/>
            <w:vAlign w:val="center"/>
          </w:tcPr>
          <w:p w14:paraId="4CF208BA" w14:textId="77777777" w:rsidR="000C79F6" w:rsidRPr="008946D1" w:rsidRDefault="000C79F6" w:rsidP="000C79F6">
            <w:pPr>
              <w:ind w:left="17"/>
              <w:jc w:val="both"/>
              <w:rPr>
                <w:lang w:eastAsia="ru-RU"/>
              </w:rPr>
            </w:pPr>
            <w:r w:rsidRPr="008946D1">
              <w:rPr>
                <w:b/>
                <w:bCs/>
                <w:lang w:eastAsia="ru-RU"/>
              </w:rPr>
              <w:t>30</w:t>
            </w:r>
          </w:p>
        </w:tc>
        <w:tc>
          <w:tcPr>
            <w:tcW w:w="0" w:type="auto"/>
            <w:vAlign w:val="center"/>
          </w:tcPr>
          <w:p w14:paraId="7C45944B" w14:textId="77777777" w:rsidR="000C79F6" w:rsidRPr="008946D1" w:rsidRDefault="000C79F6" w:rsidP="000C79F6">
            <w:pPr>
              <w:ind w:left="17"/>
              <w:jc w:val="center"/>
              <w:rPr>
                <w:lang w:eastAsia="ru-RU"/>
              </w:rPr>
            </w:pPr>
            <w:r w:rsidRPr="008946D1">
              <w:rPr>
                <w:lang w:eastAsia="ru-RU"/>
              </w:rPr>
              <w:t>1.12</w:t>
            </w:r>
          </w:p>
        </w:tc>
        <w:tc>
          <w:tcPr>
            <w:tcW w:w="0" w:type="auto"/>
            <w:vAlign w:val="center"/>
          </w:tcPr>
          <w:p w14:paraId="14570174" w14:textId="77777777" w:rsidR="000C79F6" w:rsidRPr="008946D1" w:rsidRDefault="000C79F6" w:rsidP="000C79F6">
            <w:pPr>
              <w:ind w:left="17"/>
              <w:jc w:val="center"/>
              <w:rPr>
                <w:lang w:eastAsia="ru-RU"/>
              </w:rPr>
            </w:pPr>
            <w:r w:rsidRPr="008946D1">
              <w:rPr>
                <w:lang w:eastAsia="ru-RU"/>
              </w:rPr>
              <w:t>1.34</w:t>
            </w:r>
          </w:p>
        </w:tc>
        <w:tc>
          <w:tcPr>
            <w:tcW w:w="0" w:type="auto"/>
            <w:vAlign w:val="center"/>
          </w:tcPr>
          <w:p w14:paraId="68DF6A86" w14:textId="77777777" w:rsidR="000C79F6" w:rsidRPr="008946D1" w:rsidRDefault="000C79F6" w:rsidP="000C79F6">
            <w:pPr>
              <w:ind w:left="17"/>
              <w:jc w:val="center"/>
              <w:rPr>
                <w:lang w:eastAsia="ru-RU"/>
              </w:rPr>
            </w:pPr>
            <w:r w:rsidRPr="008946D1">
              <w:rPr>
                <w:lang w:eastAsia="ru-RU"/>
              </w:rPr>
              <w:t>1.17</w:t>
            </w:r>
          </w:p>
        </w:tc>
        <w:tc>
          <w:tcPr>
            <w:tcW w:w="0" w:type="auto"/>
            <w:vAlign w:val="center"/>
          </w:tcPr>
          <w:p w14:paraId="5E067709" w14:textId="77777777" w:rsidR="000C79F6" w:rsidRPr="008946D1" w:rsidRDefault="000C79F6" w:rsidP="000C79F6">
            <w:pPr>
              <w:ind w:left="17"/>
              <w:jc w:val="center"/>
              <w:rPr>
                <w:lang w:eastAsia="ru-RU"/>
              </w:rPr>
            </w:pPr>
            <w:r w:rsidRPr="008946D1">
              <w:rPr>
                <w:lang w:eastAsia="ru-RU"/>
              </w:rPr>
              <w:t>12.7</w:t>
            </w:r>
          </w:p>
        </w:tc>
      </w:tr>
      <w:tr w:rsidR="000C79F6" w:rsidRPr="008946D1" w14:paraId="225087E8" w14:textId="77777777" w:rsidTr="000C79F6">
        <w:trPr>
          <w:trHeight w:val="186"/>
          <w:jc w:val="center"/>
        </w:trPr>
        <w:tc>
          <w:tcPr>
            <w:tcW w:w="0" w:type="auto"/>
            <w:vAlign w:val="center"/>
          </w:tcPr>
          <w:p w14:paraId="701E12C9" w14:textId="77777777" w:rsidR="000C79F6" w:rsidRPr="008946D1" w:rsidRDefault="000C79F6" w:rsidP="000C79F6">
            <w:pPr>
              <w:ind w:left="17"/>
              <w:jc w:val="both"/>
              <w:rPr>
                <w:lang w:eastAsia="ru-RU"/>
              </w:rPr>
            </w:pPr>
            <w:r w:rsidRPr="008946D1">
              <w:rPr>
                <w:b/>
                <w:bCs/>
                <w:lang w:eastAsia="ru-RU"/>
              </w:rPr>
              <w:t>40</w:t>
            </w:r>
          </w:p>
        </w:tc>
        <w:tc>
          <w:tcPr>
            <w:tcW w:w="0" w:type="auto"/>
            <w:vAlign w:val="center"/>
          </w:tcPr>
          <w:p w14:paraId="4CC397D7" w14:textId="77777777" w:rsidR="000C79F6" w:rsidRPr="008946D1" w:rsidRDefault="000C79F6" w:rsidP="000C79F6">
            <w:pPr>
              <w:ind w:left="17"/>
              <w:jc w:val="center"/>
              <w:rPr>
                <w:lang w:eastAsia="ru-RU"/>
              </w:rPr>
            </w:pPr>
            <w:r w:rsidRPr="008946D1">
              <w:rPr>
                <w:lang w:eastAsia="ru-RU"/>
              </w:rPr>
              <w:t>1.84</w:t>
            </w:r>
          </w:p>
        </w:tc>
        <w:tc>
          <w:tcPr>
            <w:tcW w:w="0" w:type="auto"/>
            <w:vAlign w:val="center"/>
          </w:tcPr>
          <w:p w14:paraId="06A4DF76" w14:textId="77777777" w:rsidR="000C79F6" w:rsidRPr="008946D1" w:rsidRDefault="000C79F6" w:rsidP="000C79F6">
            <w:pPr>
              <w:ind w:left="17"/>
              <w:jc w:val="center"/>
              <w:rPr>
                <w:lang w:eastAsia="ru-RU"/>
              </w:rPr>
            </w:pPr>
            <w:r w:rsidRPr="008946D1">
              <w:rPr>
                <w:lang w:eastAsia="ru-RU"/>
              </w:rPr>
              <w:t>2.17</w:t>
            </w:r>
          </w:p>
        </w:tc>
        <w:tc>
          <w:tcPr>
            <w:tcW w:w="0" w:type="auto"/>
            <w:vAlign w:val="center"/>
          </w:tcPr>
          <w:p w14:paraId="7E1D68DC" w14:textId="77777777" w:rsidR="000C79F6" w:rsidRPr="008946D1" w:rsidRDefault="000C79F6" w:rsidP="000C79F6">
            <w:pPr>
              <w:ind w:left="17"/>
              <w:jc w:val="center"/>
              <w:rPr>
                <w:lang w:eastAsia="ru-RU"/>
              </w:rPr>
            </w:pPr>
            <w:r w:rsidRPr="008946D1">
              <w:rPr>
                <w:lang w:eastAsia="ru-RU"/>
              </w:rPr>
              <w:t>1.86</w:t>
            </w:r>
          </w:p>
        </w:tc>
        <w:tc>
          <w:tcPr>
            <w:tcW w:w="0" w:type="auto"/>
            <w:vAlign w:val="center"/>
          </w:tcPr>
          <w:p w14:paraId="494CCC90" w14:textId="77777777" w:rsidR="000C79F6" w:rsidRPr="008946D1" w:rsidRDefault="000C79F6" w:rsidP="000C79F6">
            <w:pPr>
              <w:ind w:left="17"/>
              <w:jc w:val="center"/>
              <w:rPr>
                <w:lang w:eastAsia="ru-RU"/>
              </w:rPr>
            </w:pPr>
            <w:r w:rsidRPr="008946D1">
              <w:rPr>
                <w:lang w:eastAsia="ru-RU"/>
              </w:rPr>
              <w:t>14.3</w:t>
            </w:r>
          </w:p>
        </w:tc>
      </w:tr>
      <w:tr w:rsidR="000C79F6" w:rsidRPr="008946D1" w14:paraId="63C4B16B" w14:textId="77777777" w:rsidTr="000C79F6">
        <w:trPr>
          <w:trHeight w:val="217"/>
          <w:jc w:val="center"/>
        </w:trPr>
        <w:tc>
          <w:tcPr>
            <w:tcW w:w="0" w:type="auto"/>
            <w:vAlign w:val="center"/>
          </w:tcPr>
          <w:p w14:paraId="067A8FB9" w14:textId="77777777" w:rsidR="000C79F6" w:rsidRPr="008946D1" w:rsidRDefault="000C79F6" w:rsidP="000C79F6">
            <w:pPr>
              <w:ind w:left="17"/>
              <w:jc w:val="both"/>
              <w:rPr>
                <w:lang w:eastAsia="ru-RU"/>
              </w:rPr>
            </w:pPr>
            <w:r w:rsidRPr="008946D1">
              <w:rPr>
                <w:b/>
                <w:bCs/>
                <w:lang w:eastAsia="ru-RU"/>
              </w:rPr>
              <w:t>50</w:t>
            </w:r>
          </w:p>
        </w:tc>
        <w:tc>
          <w:tcPr>
            <w:tcW w:w="0" w:type="auto"/>
            <w:vAlign w:val="center"/>
          </w:tcPr>
          <w:p w14:paraId="26E867C7" w14:textId="77777777" w:rsidR="000C79F6" w:rsidRPr="008946D1" w:rsidRDefault="000C79F6" w:rsidP="000C79F6">
            <w:pPr>
              <w:ind w:left="17"/>
              <w:jc w:val="center"/>
              <w:rPr>
                <w:lang w:eastAsia="ru-RU"/>
              </w:rPr>
            </w:pPr>
            <w:r w:rsidRPr="008946D1">
              <w:rPr>
                <w:lang w:eastAsia="ru-RU"/>
              </w:rPr>
              <w:t>2.61</w:t>
            </w:r>
          </w:p>
        </w:tc>
        <w:tc>
          <w:tcPr>
            <w:tcW w:w="0" w:type="auto"/>
            <w:vAlign w:val="center"/>
          </w:tcPr>
          <w:p w14:paraId="3CE20048" w14:textId="77777777" w:rsidR="000C79F6" w:rsidRPr="008946D1" w:rsidRDefault="000C79F6" w:rsidP="000C79F6">
            <w:pPr>
              <w:ind w:left="17"/>
              <w:jc w:val="center"/>
              <w:rPr>
                <w:lang w:eastAsia="ru-RU"/>
              </w:rPr>
            </w:pPr>
            <w:r w:rsidRPr="008946D1">
              <w:rPr>
                <w:lang w:eastAsia="ru-RU"/>
              </w:rPr>
              <w:t>2.96</w:t>
            </w:r>
          </w:p>
        </w:tc>
        <w:tc>
          <w:tcPr>
            <w:tcW w:w="0" w:type="auto"/>
            <w:vAlign w:val="center"/>
          </w:tcPr>
          <w:p w14:paraId="45318C78" w14:textId="77777777" w:rsidR="000C79F6" w:rsidRPr="008946D1" w:rsidRDefault="000C79F6" w:rsidP="000C79F6">
            <w:pPr>
              <w:ind w:left="17"/>
              <w:jc w:val="center"/>
              <w:rPr>
                <w:lang w:eastAsia="ru-RU"/>
              </w:rPr>
            </w:pPr>
            <w:r w:rsidRPr="008946D1">
              <w:rPr>
                <w:lang w:eastAsia="ru-RU"/>
              </w:rPr>
              <w:t>2.42</w:t>
            </w:r>
          </w:p>
        </w:tc>
        <w:tc>
          <w:tcPr>
            <w:tcW w:w="0" w:type="auto"/>
            <w:vAlign w:val="center"/>
          </w:tcPr>
          <w:p w14:paraId="18E6A7EB" w14:textId="77777777" w:rsidR="000C79F6" w:rsidRPr="008946D1" w:rsidRDefault="000C79F6" w:rsidP="000C79F6">
            <w:pPr>
              <w:ind w:left="17"/>
              <w:jc w:val="center"/>
              <w:rPr>
                <w:lang w:eastAsia="ru-RU"/>
              </w:rPr>
            </w:pPr>
            <w:r w:rsidRPr="008946D1">
              <w:rPr>
                <w:lang w:eastAsia="ru-RU"/>
              </w:rPr>
              <w:t>18.2</w:t>
            </w:r>
          </w:p>
        </w:tc>
      </w:tr>
    </w:tbl>
    <w:p w14:paraId="0BD747EA" w14:textId="77777777" w:rsidR="000C79F6" w:rsidRPr="008946D1" w:rsidRDefault="000C79F6" w:rsidP="000C79F6">
      <w:pPr>
        <w:shd w:val="clear" w:color="auto" w:fill="FFFFFF"/>
        <w:spacing w:before="120"/>
        <w:jc w:val="center"/>
        <w:rPr>
          <w:color w:val="0F1115"/>
          <w:sz w:val="18"/>
          <w:lang w:val="en-US" w:eastAsia="ru-RU"/>
        </w:rPr>
      </w:pPr>
    </w:p>
    <w:p w14:paraId="0DF23020" w14:textId="77777777" w:rsidR="004A196A" w:rsidRPr="008946D1" w:rsidRDefault="004A196A" w:rsidP="009B3971">
      <w:pPr>
        <w:shd w:val="clear" w:color="auto" w:fill="FFFFFF"/>
        <w:ind w:firstLine="284"/>
        <w:jc w:val="both"/>
        <w:rPr>
          <w:color w:val="0F1115"/>
          <w:lang w:val="en-US" w:eastAsia="ru-RU"/>
        </w:rPr>
      </w:pPr>
      <w:r w:rsidRPr="008946D1">
        <w:rPr>
          <w:color w:val="0F1115"/>
          <w:lang w:val="en-US" w:eastAsia="ru-RU"/>
        </w:rPr>
        <w:t xml:space="preserve">The temperature dependence was fitted as </w:t>
      </w:r>
      <w:r w:rsidRPr="008946D1">
        <w:rPr>
          <w:color w:val="0F1115"/>
          <w:lang w:eastAsia="ru-RU"/>
        </w:rPr>
        <w:t>λ</w:t>
      </w:r>
      <w:r w:rsidRPr="008946D1">
        <w:rPr>
          <w:color w:val="0F1115"/>
          <w:lang w:val="en-US" w:eastAsia="ru-RU"/>
        </w:rPr>
        <w:t xml:space="preserve"> </w:t>
      </w:r>
      <w:r w:rsidRPr="008946D1">
        <w:rPr>
          <w:rFonts w:ascii="Cambria Math" w:hAnsi="Cambria Math" w:cs="Cambria Math"/>
          <w:color w:val="0F1115"/>
          <w:lang w:val="en-US" w:eastAsia="ru-RU"/>
        </w:rPr>
        <w:t>∝</w:t>
      </w:r>
      <w:r w:rsidRPr="008946D1">
        <w:rPr>
          <w:color w:val="0F1115"/>
          <w:lang w:val="en-US" w:eastAsia="ru-RU"/>
        </w:rPr>
        <w:t xml:space="preserve"> T⁻¹ over 25-150°C, which indicated</w:t>
      </w:r>
      <w:r w:rsidRPr="008946D1">
        <w:rPr>
          <w:color w:val="0F1115"/>
          <w:lang w:eastAsia="ru-RU"/>
        </w:rPr>
        <w:t> </w:t>
      </w:r>
      <w:r w:rsidRPr="008946D1">
        <w:rPr>
          <w:color w:val="0F1115"/>
          <w:lang w:val="en-US" w:eastAsia="ru-RU"/>
        </w:rPr>
        <w:t xml:space="preserve">the Umklapp phonon scattering. The electrical resistivity exceeded 10¹⁴ </w:t>
      </w:r>
      <w:r w:rsidRPr="008946D1">
        <w:rPr>
          <w:color w:val="0F1115"/>
          <w:lang w:eastAsia="ru-RU"/>
        </w:rPr>
        <w:t>Ω</w:t>
      </w:r>
      <w:r w:rsidRPr="008946D1">
        <w:rPr>
          <w:color w:val="0F1115"/>
          <w:lang w:val="en-US" w:eastAsia="ru-RU"/>
        </w:rPr>
        <w:t>·cm regardless of temperature and composition, indicating further that the insulation properties were</w:t>
      </w:r>
      <w:r w:rsidRPr="008946D1">
        <w:rPr>
          <w:color w:val="0F1115"/>
          <w:lang w:eastAsia="ru-RU"/>
        </w:rPr>
        <w:t> </w:t>
      </w:r>
      <w:r w:rsidRPr="008946D1">
        <w:rPr>
          <w:color w:val="0F1115"/>
          <w:lang w:val="en-US" w:eastAsia="ru-RU"/>
        </w:rPr>
        <w:t>maintained.</w:t>
      </w:r>
    </w:p>
    <w:p w14:paraId="49A3FB75" w14:textId="1F2CE2F7" w:rsidR="00197E5C" w:rsidRPr="008946D1" w:rsidRDefault="004A196A" w:rsidP="009B3971">
      <w:pPr>
        <w:shd w:val="clear" w:color="auto" w:fill="FFFFFF"/>
        <w:ind w:firstLine="284"/>
        <w:jc w:val="both"/>
        <w:rPr>
          <w:color w:val="0F1115"/>
          <w:lang w:val="en-US" w:eastAsia="ru-RU"/>
        </w:rPr>
      </w:pPr>
      <w:r w:rsidRPr="008946D1">
        <w:rPr>
          <w:color w:val="0F1115"/>
          <w:lang w:val="en-US" w:eastAsia="ru-RU"/>
        </w:rPr>
        <w:t>The temperature dependence</w:t>
      </w:r>
      <w:r w:rsidRPr="008946D1">
        <w:rPr>
          <w:color w:val="0F1115"/>
          <w:lang w:eastAsia="ru-RU"/>
        </w:rPr>
        <w:t> </w:t>
      </w:r>
      <w:r w:rsidRPr="008946D1">
        <w:rPr>
          <w:color w:val="0F1115"/>
          <w:lang w:val="en-US" w:eastAsia="ru-RU"/>
        </w:rPr>
        <w:t>of the Gr-Al composites was multifaceted due to different regimes</w:t>
      </w:r>
      <w:r w:rsidR="005B0316" w:rsidRPr="008946D1">
        <w:rPr>
          <w:color w:val="0F1115"/>
          <w:lang w:val="en-US" w:eastAsia="ru-RU"/>
        </w:rPr>
        <w:t>.</w:t>
      </w:r>
    </w:p>
    <w:p w14:paraId="1DE43879" w14:textId="77777777" w:rsidR="00197E5C" w:rsidRPr="008946D1" w:rsidRDefault="000C79F6" w:rsidP="00833639">
      <w:pPr>
        <w:shd w:val="clear" w:color="auto" w:fill="FFFFFF"/>
        <w:spacing w:before="120" w:after="120"/>
        <w:jc w:val="center"/>
        <w:rPr>
          <w:bCs/>
          <w:color w:val="0F1115"/>
          <w:sz w:val="18"/>
          <w:lang w:val="en-US" w:eastAsia="ru-RU"/>
        </w:rPr>
      </w:pPr>
      <w:r w:rsidRPr="008946D1">
        <w:rPr>
          <w:b/>
          <w:bCs/>
          <w:color w:val="0F1115"/>
          <w:sz w:val="18"/>
          <w:lang w:val="en-US" w:eastAsia="ru-RU"/>
        </w:rPr>
        <w:t xml:space="preserve">TABLE </w:t>
      </w:r>
      <w:r w:rsidR="00197E5C" w:rsidRPr="008946D1">
        <w:rPr>
          <w:b/>
          <w:bCs/>
          <w:color w:val="0F1115"/>
          <w:sz w:val="18"/>
          <w:lang w:val="en-US" w:eastAsia="ru-RU"/>
        </w:rPr>
        <w:t>2</w:t>
      </w:r>
      <w:r w:rsidRPr="008946D1">
        <w:rPr>
          <w:b/>
          <w:bCs/>
          <w:color w:val="0F1115"/>
          <w:sz w:val="18"/>
          <w:lang w:val="en-US" w:eastAsia="ru-RU"/>
        </w:rPr>
        <w:t>.</w:t>
      </w:r>
      <w:r w:rsidR="00197E5C" w:rsidRPr="008946D1">
        <w:rPr>
          <w:b/>
          <w:bCs/>
          <w:color w:val="0F1115"/>
          <w:sz w:val="18"/>
          <w:lang w:val="en-US" w:eastAsia="ru-RU"/>
        </w:rPr>
        <w:t xml:space="preserve"> </w:t>
      </w:r>
      <w:r w:rsidR="00197E5C" w:rsidRPr="008946D1">
        <w:rPr>
          <w:bCs/>
          <w:color w:val="0F1115"/>
          <w:sz w:val="18"/>
          <w:lang w:val="en-US" w:eastAsia="ru-RU"/>
        </w:rPr>
        <w:t>Thermal Conductivity of Gr-Al Composites at Different Temperatures</w:t>
      </w:r>
    </w:p>
    <w:tbl>
      <w:tblPr>
        <w:tblStyle w:val="a6"/>
        <w:tblW w:w="840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1397"/>
        <w:gridCol w:w="1367"/>
        <w:gridCol w:w="1411"/>
        <w:gridCol w:w="2541"/>
      </w:tblGrid>
      <w:tr w:rsidR="000C79F6" w:rsidRPr="00AE273D" w14:paraId="5E0EAB35" w14:textId="77777777" w:rsidTr="000C79F6">
        <w:trPr>
          <w:trHeight w:val="336"/>
          <w:jc w:val="center"/>
        </w:trPr>
        <w:tc>
          <w:tcPr>
            <w:tcW w:w="0" w:type="auto"/>
            <w:tcBorders>
              <w:bottom w:val="single" w:sz="4" w:space="0" w:color="auto"/>
            </w:tcBorders>
            <w:vAlign w:val="center"/>
          </w:tcPr>
          <w:p w14:paraId="57573347" w14:textId="77777777" w:rsidR="000C79F6" w:rsidRPr="008946D1" w:rsidRDefault="000C79F6" w:rsidP="000C79F6">
            <w:pPr>
              <w:jc w:val="both"/>
              <w:rPr>
                <w:b/>
                <w:bCs/>
                <w:lang w:val="en-US" w:eastAsia="ru-RU"/>
              </w:rPr>
            </w:pPr>
            <w:r w:rsidRPr="008946D1">
              <w:rPr>
                <w:b/>
                <w:bCs/>
                <w:lang w:val="en-US" w:eastAsia="ru-RU"/>
              </w:rPr>
              <w:t>Graphene Content (vol%)</w:t>
            </w:r>
          </w:p>
        </w:tc>
        <w:tc>
          <w:tcPr>
            <w:tcW w:w="0" w:type="auto"/>
            <w:tcBorders>
              <w:bottom w:val="single" w:sz="4" w:space="0" w:color="auto"/>
            </w:tcBorders>
            <w:vAlign w:val="center"/>
          </w:tcPr>
          <w:p w14:paraId="475702E9" w14:textId="77777777" w:rsidR="000C79F6" w:rsidRPr="008946D1" w:rsidRDefault="000C79F6" w:rsidP="000C79F6">
            <w:pPr>
              <w:jc w:val="center"/>
              <w:rPr>
                <w:b/>
                <w:bCs/>
                <w:lang w:val="en-US" w:eastAsia="ru-RU"/>
              </w:rPr>
            </w:pPr>
            <w:r w:rsidRPr="008946D1">
              <w:rPr>
                <w:b/>
                <w:bCs/>
                <w:lang w:eastAsia="ru-RU"/>
              </w:rPr>
              <w:t>λ</w:t>
            </w:r>
            <w:r w:rsidRPr="008946D1">
              <w:rPr>
                <w:b/>
                <w:bCs/>
                <w:lang w:val="en-US" w:eastAsia="ru-RU"/>
              </w:rPr>
              <w:t xml:space="preserve"> at -50°C (W/</w:t>
            </w:r>
            <w:proofErr w:type="spellStart"/>
            <w:r w:rsidRPr="008946D1">
              <w:rPr>
                <w:b/>
                <w:bCs/>
                <w:lang w:val="en-US" w:eastAsia="ru-RU"/>
              </w:rPr>
              <w:t>m·K</w:t>
            </w:r>
            <w:proofErr w:type="spellEnd"/>
            <w:r w:rsidRPr="008946D1">
              <w:rPr>
                <w:b/>
                <w:bCs/>
                <w:lang w:val="en-US" w:eastAsia="ru-RU"/>
              </w:rPr>
              <w:t>)</w:t>
            </w:r>
          </w:p>
        </w:tc>
        <w:tc>
          <w:tcPr>
            <w:tcW w:w="0" w:type="auto"/>
            <w:tcBorders>
              <w:bottom w:val="single" w:sz="4" w:space="0" w:color="auto"/>
            </w:tcBorders>
            <w:vAlign w:val="center"/>
          </w:tcPr>
          <w:p w14:paraId="70176F7F" w14:textId="77777777" w:rsidR="000C79F6" w:rsidRPr="008946D1" w:rsidRDefault="000C79F6" w:rsidP="000C79F6">
            <w:pPr>
              <w:jc w:val="center"/>
              <w:rPr>
                <w:b/>
                <w:bCs/>
                <w:lang w:val="en-US" w:eastAsia="ru-RU"/>
              </w:rPr>
            </w:pPr>
            <w:r w:rsidRPr="008946D1">
              <w:rPr>
                <w:b/>
                <w:bCs/>
                <w:lang w:eastAsia="ru-RU"/>
              </w:rPr>
              <w:t>λ</w:t>
            </w:r>
            <w:r w:rsidRPr="008946D1">
              <w:rPr>
                <w:b/>
                <w:bCs/>
                <w:lang w:val="en-US" w:eastAsia="ru-RU"/>
              </w:rPr>
              <w:t xml:space="preserve"> at 25°C (W/</w:t>
            </w:r>
            <w:proofErr w:type="spellStart"/>
            <w:r w:rsidRPr="008946D1">
              <w:rPr>
                <w:b/>
                <w:bCs/>
                <w:lang w:val="en-US" w:eastAsia="ru-RU"/>
              </w:rPr>
              <w:t>m·K</w:t>
            </w:r>
            <w:proofErr w:type="spellEnd"/>
            <w:r w:rsidRPr="008946D1">
              <w:rPr>
                <w:b/>
                <w:bCs/>
                <w:lang w:val="en-US" w:eastAsia="ru-RU"/>
              </w:rPr>
              <w:t>)</w:t>
            </w:r>
          </w:p>
        </w:tc>
        <w:tc>
          <w:tcPr>
            <w:tcW w:w="0" w:type="auto"/>
            <w:tcBorders>
              <w:bottom w:val="single" w:sz="4" w:space="0" w:color="auto"/>
            </w:tcBorders>
            <w:vAlign w:val="center"/>
          </w:tcPr>
          <w:p w14:paraId="4E1D4695" w14:textId="77777777" w:rsidR="000C79F6" w:rsidRPr="008946D1" w:rsidRDefault="000C79F6" w:rsidP="000C79F6">
            <w:pPr>
              <w:jc w:val="center"/>
              <w:rPr>
                <w:b/>
                <w:bCs/>
                <w:lang w:val="en-US" w:eastAsia="ru-RU"/>
              </w:rPr>
            </w:pPr>
            <w:r w:rsidRPr="008946D1">
              <w:rPr>
                <w:b/>
                <w:bCs/>
                <w:lang w:eastAsia="ru-RU"/>
              </w:rPr>
              <w:t>λ</w:t>
            </w:r>
            <w:r w:rsidRPr="008946D1">
              <w:rPr>
                <w:b/>
                <w:bCs/>
                <w:lang w:val="en-US" w:eastAsia="ru-RU"/>
              </w:rPr>
              <w:t xml:space="preserve"> at 200°C (W/</w:t>
            </w:r>
            <w:proofErr w:type="spellStart"/>
            <w:r w:rsidRPr="008946D1">
              <w:rPr>
                <w:b/>
                <w:bCs/>
                <w:lang w:val="en-US" w:eastAsia="ru-RU"/>
              </w:rPr>
              <w:t>m·K</w:t>
            </w:r>
            <w:proofErr w:type="spellEnd"/>
            <w:r w:rsidRPr="008946D1">
              <w:rPr>
                <w:b/>
                <w:bCs/>
                <w:lang w:val="en-US" w:eastAsia="ru-RU"/>
              </w:rPr>
              <w:t>)</w:t>
            </w:r>
          </w:p>
        </w:tc>
        <w:tc>
          <w:tcPr>
            <w:tcW w:w="0" w:type="auto"/>
            <w:tcBorders>
              <w:bottom w:val="single" w:sz="4" w:space="0" w:color="auto"/>
            </w:tcBorders>
            <w:vAlign w:val="center"/>
          </w:tcPr>
          <w:p w14:paraId="5429AE40" w14:textId="77777777" w:rsidR="000C79F6" w:rsidRPr="008946D1" w:rsidRDefault="000C79F6" w:rsidP="000C79F6">
            <w:pPr>
              <w:jc w:val="center"/>
              <w:rPr>
                <w:b/>
                <w:bCs/>
                <w:lang w:val="en-US" w:eastAsia="ru-RU"/>
              </w:rPr>
            </w:pPr>
            <w:r w:rsidRPr="008946D1">
              <w:rPr>
                <w:b/>
                <w:bCs/>
                <w:lang w:val="en-US" w:eastAsia="ru-RU"/>
              </w:rPr>
              <w:t>Anisotropy Ratio (in-plane/through-plane)</w:t>
            </w:r>
          </w:p>
        </w:tc>
      </w:tr>
      <w:tr w:rsidR="000C79F6" w:rsidRPr="008946D1" w14:paraId="576C51FC" w14:textId="77777777" w:rsidTr="000C79F6">
        <w:trPr>
          <w:trHeight w:val="231"/>
          <w:jc w:val="center"/>
        </w:trPr>
        <w:tc>
          <w:tcPr>
            <w:tcW w:w="0" w:type="auto"/>
            <w:tcBorders>
              <w:top w:val="single" w:sz="4" w:space="0" w:color="auto"/>
              <w:bottom w:val="nil"/>
            </w:tcBorders>
            <w:vAlign w:val="center"/>
          </w:tcPr>
          <w:p w14:paraId="73CB07E9" w14:textId="77777777" w:rsidR="000C79F6" w:rsidRPr="008946D1" w:rsidRDefault="000C79F6" w:rsidP="000C79F6">
            <w:pPr>
              <w:jc w:val="both"/>
              <w:rPr>
                <w:lang w:eastAsia="ru-RU"/>
              </w:rPr>
            </w:pPr>
            <w:r w:rsidRPr="008946D1">
              <w:rPr>
                <w:b/>
                <w:bCs/>
                <w:lang w:val="en-US" w:eastAsia="ru-RU"/>
              </w:rPr>
              <w:t>0 (p</w:t>
            </w:r>
            <w:proofErr w:type="spellStart"/>
            <w:r w:rsidRPr="008946D1">
              <w:rPr>
                <w:b/>
                <w:bCs/>
                <w:lang w:eastAsia="ru-RU"/>
              </w:rPr>
              <w:t>ure</w:t>
            </w:r>
            <w:proofErr w:type="spellEnd"/>
            <w:r w:rsidRPr="008946D1">
              <w:rPr>
                <w:b/>
                <w:bCs/>
                <w:lang w:eastAsia="ru-RU"/>
              </w:rPr>
              <w:t xml:space="preserve"> Al)</w:t>
            </w:r>
          </w:p>
        </w:tc>
        <w:tc>
          <w:tcPr>
            <w:tcW w:w="0" w:type="auto"/>
            <w:tcBorders>
              <w:top w:val="single" w:sz="4" w:space="0" w:color="auto"/>
              <w:bottom w:val="nil"/>
            </w:tcBorders>
            <w:vAlign w:val="center"/>
          </w:tcPr>
          <w:p w14:paraId="4EFB78EB" w14:textId="77777777" w:rsidR="000C79F6" w:rsidRPr="008946D1" w:rsidRDefault="000C79F6" w:rsidP="000C79F6">
            <w:pPr>
              <w:jc w:val="center"/>
              <w:rPr>
                <w:lang w:eastAsia="ru-RU"/>
              </w:rPr>
            </w:pPr>
            <w:r w:rsidRPr="008946D1">
              <w:rPr>
                <w:lang w:eastAsia="ru-RU"/>
              </w:rPr>
              <w:t>237</w:t>
            </w:r>
          </w:p>
        </w:tc>
        <w:tc>
          <w:tcPr>
            <w:tcW w:w="0" w:type="auto"/>
            <w:tcBorders>
              <w:top w:val="single" w:sz="4" w:space="0" w:color="auto"/>
              <w:bottom w:val="nil"/>
            </w:tcBorders>
            <w:vAlign w:val="center"/>
          </w:tcPr>
          <w:p w14:paraId="205AB234" w14:textId="77777777" w:rsidR="000C79F6" w:rsidRPr="008946D1" w:rsidRDefault="000C79F6" w:rsidP="000C79F6">
            <w:pPr>
              <w:jc w:val="center"/>
              <w:rPr>
                <w:lang w:eastAsia="ru-RU"/>
              </w:rPr>
            </w:pPr>
            <w:r w:rsidRPr="008946D1">
              <w:rPr>
                <w:lang w:eastAsia="ru-RU"/>
              </w:rPr>
              <w:t>218</w:t>
            </w:r>
          </w:p>
        </w:tc>
        <w:tc>
          <w:tcPr>
            <w:tcW w:w="0" w:type="auto"/>
            <w:tcBorders>
              <w:top w:val="single" w:sz="4" w:space="0" w:color="auto"/>
              <w:bottom w:val="nil"/>
            </w:tcBorders>
            <w:vAlign w:val="center"/>
          </w:tcPr>
          <w:p w14:paraId="52733EC5" w14:textId="77777777" w:rsidR="000C79F6" w:rsidRPr="008946D1" w:rsidRDefault="000C79F6" w:rsidP="000C79F6">
            <w:pPr>
              <w:jc w:val="center"/>
              <w:rPr>
                <w:lang w:eastAsia="ru-RU"/>
              </w:rPr>
            </w:pPr>
            <w:r w:rsidRPr="008946D1">
              <w:rPr>
                <w:lang w:eastAsia="ru-RU"/>
              </w:rPr>
              <w:t>208</w:t>
            </w:r>
          </w:p>
        </w:tc>
        <w:tc>
          <w:tcPr>
            <w:tcW w:w="0" w:type="auto"/>
            <w:tcBorders>
              <w:top w:val="single" w:sz="4" w:space="0" w:color="auto"/>
              <w:bottom w:val="nil"/>
            </w:tcBorders>
            <w:vAlign w:val="center"/>
          </w:tcPr>
          <w:p w14:paraId="2A3BE927" w14:textId="77777777" w:rsidR="000C79F6" w:rsidRPr="008946D1" w:rsidRDefault="000C79F6" w:rsidP="000C79F6">
            <w:pPr>
              <w:jc w:val="center"/>
              <w:rPr>
                <w:lang w:eastAsia="ru-RU"/>
              </w:rPr>
            </w:pPr>
            <w:r w:rsidRPr="008946D1">
              <w:rPr>
                <w:lang w:eastAsia="ru-RU"/>
              </w:rPr>
              <w:t>1.0</w:t>
            </w:r>
          </w:p>
        </w:tc>
      </w:tr>
      <w:tr w:rsidR="000C79F6" w:rsidRPr="008946D1" w14:paraId="584D7D92" w14:textId="77777777" w:rsidTr="000C79F6">
        <w:trPr>
          <w:trHeight w:val="122"/>
          <w:jc w:val="center"/>
        </w:trPr>
        <w:tc>
          <w:tcPr>
            <w:tcW w:w="0" w:type="auto"/>
            <w:tcBorders>
              <w:top w:val="nil"/>
            </w:tcBorders>
            <w:vAlign w:val="center"/>
          </w:tcPr>
          <w:p w14:paraId="7192220F" w14:textId="77777777" w:rsidR="000C79F6" w:rsidRPr="008946D1" w:rsidRDefault="000C79F6" w:rsidP="000C79F6">
            <w:pPr>
              <w:jc w:val="both"/>
              <w:rPr>
                <w:lang w:eastAsia="ru-RU"/>
              </w:rPr>
            </w:pPr>
            <w:r w:rsidRPr="008946D1">
              <w:rPr>
                <w:b/>
                <w:bCs/>
                <w:lang w:eastAsia="ru-RU"/>
              </w:rPr>
              <w:t>5</w:t>
            </w:r>
          </w:p>
        </w:tc>
        <w:tc>
          <w:tcPr>
            <w:tcW w:w="0" w:type="auto"/>
            <w:tcBorders>
              <w:top w:val="nil"/>
            </w:tcBorders>
            <w:vAlign w:val="center"/>
          </w:tcPr>
          <w:p w14:paraId="0E31A0C6" w14:textId="77777777" w:rsidR="000C79F6" w:rsidRPr="008946D1" w:rsidRDefault="000C79F6" w:rsidP="000C79F6">
            <w:pPr>
              <w:jc w:val="center"/>
              <w:rPr>
                <w:lang w:eastAsia="ru-RU"/>
              </w:rPr>
            </w:pPr>
            <w:r w:rsidRPr="008946D1">
              <w:rPr>
                <w:lang w:eastAsia="ru-RU"/>
              </w:rPr>
              <w:t>288</w:t>
            </w:r>
          </w:p>
        </w:tc>
        <w:tc>
          <w:tcPr>
            <w:tcW w:w="0" w:type="auto"/>
            <w:tcBorders>
              <w:top w:val="nil"/>
            </w:tcBorders>
            <w:vAlign w:val="center"/>
          </w:tcPr>
          <w:p w14:paraId="20F18135" w14:textId="77777777" w:rsidR="000C79F6" w:rsidRPr="008946D1" w:rsidRDefault="000C79F6" w:rsidP="000C79F6">
            <w:pPr>
              <w:jc w:val="center"/>
              <w:rPr>
                <w:lang w:eastAsia="ru-RU"/>
              </w:rPr>
            </w:pPr>
            <w:r w:rsidRPr="008946D1">
              <w:rPr>
                <w:lang w:eastAsia="ru-RU"/>
              </w:rPr>
              <w:t>267</w:t>
            </w:r>
          </w:p>
        </w:tc>
        <w:tc>
          <w:tcPr>
            <w:tcW w:w="0" w:type="auto"/>
            <w:tcBorders>
              <w:top w:val="nil"/>
            </w:tcBorders>
            <w:vAlign w:val="center"/>
          </w:tcPr>
          <w:p w14:paraId="6BF68759" w14:textId="77777777" w:rsidR="000C79F6" w:rsidRPr="008946D1" w:rsidRDefault="000C79F6" w:rsidP="000C79F6">
            <w:pPr>
              <w:jc w:val="center"/>
              <w:rPr>
                <w:lang w:eastAsia="ru-RU"/>
              </w:rPr>
            </w:pPr>
            <w:r w:rsidRPr="008946D1">
              <w:rPr>
                <w:lang w:eastAsia="ru-RU"/>
              </w:rPr>
              <w:t>251</w:t>
            </w:r>
          </w:p>
        </w:tc>
        <w:tc>
          <w:tcPr>
            <w:tcW w:w="0" w:type="auto"/>
            <w:tcBorders>
              <w:top w:val="nil"/>
            </w:tcBorders>
            <w:vAlign w:val="center"/>
          </w:tcPr>
          <w:p w14:paraId="6BB34AE7" w14:textId="77777777" w:rsidR="000C79F6" w:rsidRPr="008946D1" w:rsidRDefault="000C79F6" w:rsidP="000C79F6">
            <w:pPr>
              <w:jc w:val="center"/>
              <w:rPr>
                <w:lang w:eastAsia="ru-RU"/>
              </w:rPr>
            </w:pPr>
            <w:r w:rsidRPr="008946D1">
              <w:rPr>
                <w:lang w:eastAsia="ru-RU"/>
              </w:rPr>
              <w:t>1.8</w:t>
            </w:r>
          </w:p>
        </w:tc>
      </w:tr>
      <w:tr w:rsidR="000C79F6" w:rsidRPr="008946D1" w14:paraId="6583E2D1" w14:textId="77777777" w:rsidTr="000C79F6">
        <w:trPr>
          <w:trHeight w:val="182"/>
          <w:jc w:val="center"/>
        </w:trPr>
        <w:tc>
          <w:tcPr>
            <w:tcW w:w="0" w:type="auto"/>
            <w:vAlign w:val="center"/>
          </w:tcPr>
          <w:p w14:paraId="2FD73B68" w14:textId="77777777" w:rsidR="000C79F6" w:rsidRPr="008946D1" w:rsidRDefault="000C79F6" w:rsidP="000C79F6">
            <w:pPr>
              <w:jc w:val="both"/>
              <w:rPr>
                <w:lang w:eastAsia="ru-RU"/>
              </w:rPr>
            </w:pPr>
            <w:r w:rsidRPr="008946D1">
              <w:rPr>
                <w:b/>
                <w:bCs/>
                <w:lang w:eastAsia="ru-RU"/>
              </w:rPr>
              <w:t>10</w:t>
            </w:r>
          </w:p>
        </w:tc>
        <w:tc>
          <w:tcPr>
            <w:tcW w:w="0" w:type="auto"/>
            <w:vAlign w:val="center"/>
          </w:tcPr>
          <w:p w14:paraId="6F0ED7CD" w14:textId="77777777" w:rsidR="000C79F6" w:rsidRPr="008946D1" w:rsidRDefault="000C79F6" w:rsidP="000C79F6">
            <w:pPr>
              <w:jc w:val="center"/>
              <w:rPr>
                <w:lang w:eastAsia="ru-RU"/>
              </w:rPr>
            </w:pPr>
            <w:r w:rsidRPr="008946D1">
              <w:rPr>
                <w:lang w:eastAsia="ru-RU"/>
              </w:rPr>
              <w:t>332</w:t>
            </w:r>
          </w:p>
        </w:tc>
        <w:tc>
          <w:tcPr>
            <w:tcW w:w="0" w:type="auto"/>
            <w:vAlign w:val="center"/>
          </w:tcPr>
          <w:p w14:paraId="2779B734" w14:textId="77777777" w:rsidR="000C79F6" w:rsidRPr="008946D1" w:rsidRDefault="000C79F6" w:rsidP="000C79F6">
            <w:pPr>
              <w:jc w:val="center"/>
              <w:rPr>
                <w:lang w:eastAsia="ru-RU"/>
              </w:rPr>
            </w:pPr>
            <w:r w:rsidRPr="008946D1">
              <w:rPr>
                <w:lang w:eastAsia="ru-RU"/>
              </w:rPr>
              <w:t>308</w:t>
            </w:r>
          </w:p>
        </w:tc>
        <w:tc>
          <w:tcPr>
            <w:tcW w:w="0" w:type="auto"/>
            <w:vAlign w:val="center"/>
          </w:tcPr>
          <w:p w14:paraId="037616BE" w14:textId="77777777" w:rsidR="000C79F6" w:rsidRPr="008946D1" w:rsidRDefault="000C79F6" w:rsidP="000C79F6">
            <w:pPr>
              <w:jc w:val="center"/>
              <w:rPr>
                <w:lang w:eastAsia="ru-RU"/>
              </w:rPr>
            </w:pPr>
            <w:r w:rsidRPr="008946D1">
              <w:rPr>
                <w:lang w:eastAsia="ru-RU"/>
              </w:rPr>
              <w:t>287</w:t>
            </w:r>
          </w:p>
        </w:tc>
        <w:tc>
          <w:tcPr>
            <w:tcW w:w="0" w:type="auto"/>
            <w:vAlign w:val="center"/>
          </w:tcPr>
          <w:p w14:paraId="64532A1F" w14:textId="77777777" w:rsidR="000C79F6" w:rsidRPr="008946D1" w:rsidRDefault="000C79F6" w:rsidP="000C79F6">
            <w:pPr>
              <w:jc w:val="center"/>
              <w:rPr>
                <w:lang w:eastAsia="ru-RU"/>
              </w:rPr>
            </w:pPr>
            <w:r w:rsidRPr="008946D1">
              <w:rPr>
                <w:lang w:eastAsia="ru-RU"/>
              </w:rPr>
              <w:t>2.4</w:t>
            </w:r>
          </w:p>
        </w:tc>
      </w:tr>
      <w:tr w:rsidR="000C79F6" w:rsidRPr="008946D1" w14:paraId="0794A92A" w14:textId="77777777" w:rsidTr="000C79F6">
        <w:trPr>
          <w:trHeight w:val="228"/>
          <w:jc w:val="center"/>
        </w:trPr>
        <w:tc>
          <w:tcPr>
            <w:tcW w:w="0" w:type="auto"/>
            <w:vAlign w:val="center"/>
          </w:tcPr>
          <w:p w14:paraId="0FA159EC" w14:textId="77777777" w:rsidR="000C79F6" w:rsidRPr="008946D1" w:rsidRDefault="000C79F6" w:rsidP="000C79F6">
            <w:pPr>
              <w:jc w:val="both"/>
              <w:rPr>
                <w:lang w:eastAsia="ru-RU"/>
              </w:rPr>
            </w:pPr>
            <w:r w:rsidRPr="008946D1">
              <w:rPr>
                <w:b/>
                <w:bCs/>
                <w:lang w:eastAsia="ru-RU"/>
              </w:rPr>
              <w:t>15</w:t>
            </w:r>
          </w:p>
        </w:tc>
        <w:tc>
          <w:tcPr>
            <w:tcW w:w="0" w:type="auto"/>
            <w:vAlign w:val="center"/>
          </w:tcPr>
          <w:p w14:paraId="3C037F16" w14:textId="77777777" w:rsidR="000C79F6" w:rsidRPr="008946D1" w:rsidRDefault="000C79F6" w:rsidP="000C79F6">
            <w:pPr>
              <w:jc w:val="center"/>
              <w:rPr>
                <w:lang w:eastAsia="ru-RU"/>
              </w:rPr>
            </w:pPr>
            <w:r w:rsidRPr="008946D1">
              <w:rPr>
                <w:lang w:eastAsia="ru-RU"/>
              </w:rPr>
              <w:t>382</w:t>
            </w:r>
          </w:p>
        </w:tc>
        <w:tc>
          <w:tcPr>
            <w:tcW w:w="0" w:type="auto"/>
            <w:vAlign w:val="center"/>
          </w:tcPr>
          <w:p w14:paraId="6D2F4C5A" w14:textId="77777777" w:rsidR="000C79F6" w:rsidRPr="008946D1" w:rsidRDefault="000C79F6" w:rsidP="000C79F6">
            <w:pPr>
              <w:jc w:val="center"/>
              <w:rPr>
                <w:lang w:eastAsia="ru-RU"/>
              </w:rPr>
            </w:pPr>
            <w:r w:rsidRPr="008946D1">
              <w:rPr>
                <w:lang w:eastAsia="ru-RU"/>
              </w:rPr>
              <w:t>354</w:t>
            </w:r>
          </w:p>
        </w:tc>
        <w:tc>
          <w:tcPr>
            <w:tcW w:w="0" w:type="auto"/>
            <w:vAlign w:val="center"/>
          </w:tcPr>
          <w:p w14:paraId="4A90FEF9" w14:textId="77777777" w:rsidR="000C79F6" w:rsidRPr="008946D1" w:rsidRDefault="000C79F6" w:rsidP="000C79F6">
            <w:pPr>
              <w:jc w:val="center"/>
              <w:rPr>
                <w:lang w:eastAsia="ru-RU"/>
              </w:rPr>
            </w:pPr>
            <w:r w:rsidRPr="008946D1">
              <w:rPr>
                <w:lang w:eastAsia="ru-RU"/>
              </w:rPr>
              <w:t>328</w:t>
            </w:r>
          </w:p>
        </w:tc>
        <w:tc>
          <w:tcPr>
            <w:tcW w:w="0" w:type="auto"/>
            <w:vAlign w:val="center"/>
          </w:tcPr>
          <w:p w14:paraId="37926E0D" w14:textId="77777777" w:rsidR="000C79F6" w:rsidRPr="008946D1" w:rsidRDefault="000C79F6" w:rsidP="000C79F6">
            <w:pPr>
              <w:jc w:val="center"/>
              <w:rPr>
                <w:lang w:eastAsia="ru-RU"/>
              </w:rPr>
            </w:pPr>
            <w:r w:rsidRPr="008946D1">
              <w:rPr>
                <w:lang w:eastAsia="ru-RU"/>
              </w:rPr>
              <w:t>3.1</w:t>
            </w:r>
          </w:p>
        </w:tc>
      </w:tr>
      <w:tr w:rsidR="000C79F6" w:rsidRPr="008946D1" w14:paraId="2662F42C" w14:textId="77777777" w:rsidTr="000C79F6">
        <w:trPr>
          <w:trHeight w:val="118"/>
          <w:jc w:val="center"/>
        </w:trPr>
        <w:tc>
          <w:tcPr>
            <w:tcW w:w="0" w:type="auto"/>
            <w:vAlign w:val="center"/>
          </w:tcPr>
          <w:p w14:paraId="6D2A6BD3" w14:textId="77777777" w:rsidR="000C79F6" w:rsidRPr="008946D1" w:rsidRDefault="000C79F6" w:rsidP="000C79F6">
            <w:pPr>
              <w:jc w:val="both"/>
              <w:rPr>
                <w:lang w:eastAsia="ru-RU"/>
              </w:rPr>
            </w:pPr>
            <w:r w:rsidRPr="008946D1">
              <w:rPr>
                <w:b/>
                <w:bCs/>
                <w:lang w:eastAsia="ru-RU"/>
              </w:rPr>
              <w:t>20</w:t>
            </w:r>
          </w:p>
        </w:tc>
        <w:tc>
          <w:tcPr>
            <w:tcW w:w="0" w:type="auto"/>
            <w:vAlign w:val="center"/>
          </w:tcPr>
          <w:p w14:paraId="0F776701" w14:textId="77777777" w:rsidR="000C79F6" w:rsidRPr="008946D1" w:rsidRDefault="000C79F6" w:rsidP="000C79F6">
            <w:pPr>
              <w:jc w:val="center"/>
              <w:rPr>
                <w:lang w:eastAsia="ru-RU"/>
              </w:rPr>
            </w:pPr>
            <w:r w:rsidRPr="008946D1">
              <w:rPr>
                <w:lang w:eastAsia="ru-RU"/>
              </w:rPr>
              <w:t>450</w:t>
            </w:r>
          </w:p>
        </w:tc>
        <w:tc>
          <w:tcPr>
            <w:tcW w:w="0" w:type="auto"/>
            <w:vAlign w:val="center"/>
          </w:tcPr>
          <w:p w14:paraId="72B753D2" w14:textId="77777777" w:rsidR="000C79F6" w:rsidRPr="008946D1" w:rsidRDefault="000C79F6" w:rsidP="000C79F6">
            <w:pPr>
              <w:jc w:val="center"/>
              <w:rPr>
                <w:lang w:eastAsia="ru-RU"/>
              </w:rPr>
            </w:pPr>
            <w:r w:rsidRPr="008946D1">
              <w:rPr>
                <w:lang w:eastAsia="ru-RU"/>
              </w:rPr>
              <w:t>420</w:t>
            </w:r>
          </w:p>
        </w:tc>
        <w:tc>
          <w:tcPr>
            <w:tcW w:w="0" w:type="auto"/>
            <w:vAlign w:val="center"/>
          </w:tcPr>
          <w:p w14:paraId="7E17A3E9" w14:textId="77777777" w:rsidR="000C79F6" w:rsidRPr="008946D1" w:rsidRDefault="000C79F6" w:rsidP="000C79F6">
            <w:pPr>
              <w:jc w:val="center"/>
              <w:rPr>
                <w:lang w:eastAsia="ru-RU"/>
              </w:rPr>
            </w:pPr>
            <w:r w:rsidRPr="008946D1">
              <w:rPr>
                <w:lang w:eastAsia="ru-RU"/>
              </w:rPr>
              <w:t>384</w:t>
            </w:r>
          </w:p>
        </w:tc>
        <w:tc>
          <w:tcPr>
            <w:tcW w:w="0" w:type="auto"/>
            <w:vAlign w:val="center"/>
          </w:tcPr>
          <w:p w14:paraId="6BF80EF6" w14:textId="77777777" w:rsidR="000C79F6" w:rsidRPr="008946D1" w:rsidRDefault="000C79F6" w:rsidP="000C79F6">
            <w:pPr>
              <w:jc w:val="center"/>
              <w:rPr>
                <w:lang w:eastAsia="ru-RU"/>
              </w:rPr>
            </w:pPr>
            <w:r w:rsidRPr="008946D1">
              <w:rPr>
                <w:lang w:eastAsia="ru-RU"/>
              </w:rPr>
              <w:t>3.7</w:t>
            </w:r>
          </w:p>
        </w:tc>
      </w:tr>
    </w:tbl>
    <w:p w14:paraId="3D3DF8C0" w14:textId="77777777" w:rsidR="000C79F6" w:rsidRPr="008946D1" w:rsidRDefault="000C79F6" w:rsidP="000C79F6">
      <w:pPr>
        <w:shd w:val="clear" w:color="auto" w:fill="FFFFFF"/>
        <w:spacing w:before="120"/>
        <w:jc w:val="center"/>
        <w:rPr>
          <w:color w:val="0F1115"/>
          <w:sz w:val="18"/>
          <w:lang w:val="en-US" w:eastAsia="ru-RU"/>
        </w:rPr>
      </w:pPr>
    </w:p>
    <w:p w14:paraId="0D7CC382" w14:textId="681BC29C" w:rsidR="00197E5C" w:rsidRPr="008946D1" w:rsidRDefault="00FC56AE" w:rsidP="009B3971">
      <w:pPr>
        <w:shd w:val="clear" w:color="auto" w:fill="FFFFFF"/>
        <w:ind w:firstLine="284"/>
        <w:jc w:val="both"/>
        <w:rPr>
          <w:color w:val="0F1115"/>
          <w:lang w:val="en-US" w:eastAsia="ru-RU"/>
        </w:rPr>
      </w:pPr>
      <w:r w:rsidRPr="008946D1">
        <w:rPr>
          <w:color w:val="0F1115"/>
          <w:lang w:val="en-US" w:eastAsia="ru-RU"/>
        </w:rPr>
        <w:t xml:space="preserve">The anisotropic behavior was attributed to the alignment of graphene during processing, and in-plane conductivity was elevated much higher than through-plane. The temperature dependence could be fitted approximately λ </w:t>
      </w:r>
      <w:r w:rsidRPr="008946D1">
        <w:rPr>
          <w:rFonts w:ascii="Cambria Math" w:hAnsi="Cambria Math" w:cs="Cambria Math"/>
          <w:color w:val="0F1115"/>
          <w:lang w:val="en-US" w:eastAsia="ru-RU"/>
        </w:rPr>
        <w:t>∝</w:t>
      </w:r>
      <w:r w:rsidRPr="008946D1">
        <w:rPr>
          <w:color w:val="0F1115"/>
          <w:lang w:val="en-US" w:eastAsia="ru-RU"/>
        </w:rPr>
        <w:t xml:space="preserve"> T⁻ 1 for the aluminum matrix, whereas there was weaker variation with temperature for the composite as graphene had different behavior in temperature</w:t>
      </w:r>
      <w:r w:rsidR="00197E5C" w:rsidRPr="008946D1">
        <w:rPr>
          <w:color w:val="0F1115"/>
          <w:lang w:val="en-US" w:eastAsia="ru-RU"/>
        </w:rPr>
        <w:t>.</w:t>
      </w:r>
    </w:p>
    <w:p w14:paraId="0664F8F8" w14:textId="77777777" w:rsidR="00197E5C" w:rsidRPr="008946D1" w:rsidRDefault="00197E5C" w:rsidP="009B3971">
      <w:pPr>
        <w:shd w:val="clear" w:color="auto" w:fill="FFFFFF"/>
        <w:ind w:firstLine="284"/>
        <w:jc w:val="both"/>
        <w:rPr>
          <w:color w:val="0F1115"/>
          <w:lang w:val="en-US" w:eastAsia="ru-RU"/>
        </w:rPr>
      </w:pPr>
      <w:r w:rsidRPr="008946D1">
        <w:rPr>
          <w:color w:val="0F1115"/>
          <w:lang w:val="en-US" w:eastAsia="ru-RU"/>
        </w:rPr>
        <w:t xml:space="preserve">Aerogel composites exhibited remarkably low thermal conductivity with </w:t>
      </w:r>
      <w:r w:rsidR="005B0316" w:rsidRPr="008946D1">
        <w:rPr>
          <w:color w:val="0F1115"/>
          <w:lang w:val="en-US" w:eastAsia="ru-RU"/>
        </w:rPr>
        <w:t>specific temperature dependence.</w:t>
      </w:r>
    </w:p>
    <w:p w14:paraId="7AE599C9" w14:textId="77777777" w:rsidR="00197E5C" w:rsidRPr="008946D1" w:rsidRDefault="000C79F6" w:rsidP="00833639">
      <w:pPr>
        <w:shd w:val="clear" w:color="auto" w:fill="FFFFFF"/>
        <w:spacing w:before="120" w:after="120"/>
        <w:jc w:val="center"/>
        <w:rPr>
          <w:bCs/>
          <w:color w:val="0F1115"/>
          <w:sz w:val="18"/>
          <w:lang w:val="en-US" w:eastAsia="ru-RU"/>
        </w:rPr>
      </w:pPr>
      <w:r w:rsidRPr="008946D1">
        <w:rPr>
          <w:b/>
          <w:bCs/>
          <w:color w:val="0F1115"/>
          <w:sz w:val="18"/>
          <w:lang w:val="en-US" w:eastAsia="ru-RU"/>
        </w:rPr>
        <w:t>TABLE 3.</w:t>
      </w:r>
      <w:r w:rsidR="00197E5C" w:rsidRPr="008946D1">
        <w:rPr>
          <w:b/>
          <w:bCs/>
          <w:color w:val="0F1115"/>
          <w:sz w:val="18"/>
          <w:lang w:val="en-US" w:eastAsia="ru-RU"/>
        </w:rPr>
        <w:t xml:space="preserve"> </w:t>
      </w:r>
      <w:r w:rsidR="00197E5C" w:rsidRPr="008946D1">
        <w:rPr>
          <w:bCs/>
          <w:color w:val="0F1115"/>
          <w:sz w:val="18"/>
          <w:lang w:val="en-US" w:eastAsia="ru-RU"/>
        </w:rPr>
        <w:t>Thermal Conductivity of Aerogel Composites Under Vacuum</w:t>
      </w:r>
    </w:p>
    <w:tbl>
      <w:tblPr>
        <w:tblStyle w:val="a6"/>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3"/>
        <w:gridCol w:w="1995"/>
        <w:gridCol w:w="1895"/>
        <w:gridCol w:w="1829"/>
        <w:gridCol w:w="1928"/>
      </w:tblGrid>
      <w:tr w:rsidR="000C79F6" w:rsidRPr="008946D1" w14:paraId="578B2F9B" w14:textId="77777777" w:rsidTr="000C79F6">
        <w:trPr>
          <w:jc w:val="center"/>
        </w:trPr>
        <w:tc>
          <w:tcPr>
            <w:tcW w:w="0" w:type="auto"/>
            <w:tcBorders>
              <w:bottom w:val="single" w:sz="4" w:space="0" w:color="auto"/>
            </w:tcBorders>
            <w:vAlign w:val="center"/>
          </w:tcPr>
          <w:p w14:paraId="5549B5A5" w14:textId="77777777" w:rsidR="000C79F6" w:rsidRPr="008946D1" w:rsidRDefault="000C79F6" w:rsidP="000C79F6">
            <w:pPr>
              <w:jc w:val="both"/>
              <w:rPr>
                <w:b/>
                <w:bCs/>
                <w:lang w:val="en-US" w:eastAsia="ru-RU"/>
              </w:rPr>
            </w:pPr>
            <w:r w:rsidRPr="008946D1">
              <w:rPr>
                <w:b/>
                <w:bCs/>
                <w:lang w:val="en-US" w:eastAsia="ru-RU"/>
              </w:rPr>
              <w:t>Composition</w:t>
            </w:r>
          </w:p>
        </w:tc>
        <w:tc>
          <w:tcPr>
            <w:tcW w:w="0" w:type="auto"/>
            <w:tcBorders>
              <w:bottom w:val="single" w:sz="4" w:space="0" w:color="auto"/>
            </w:tcBorders>
            <w:vAlign w:val="center"/>
          </w:tcPr>
          <w:p w14:paraId="07CA5E13" w14:textId="77777777" w:rsidR="000C79F6" w:rsidRPr="008946D1" w:rsidRDefault="000C79F6" w:rsidP="000C79F6">
            <w:pPr>
              <w:jc w:val="center"/>
              <w:rPr>
                <w:b/>
                <w:bCs/>
                <w:lang w:val="en-US" w:eastAsia="ru-RU"/>
              </w:rPr>
            </w:pPr>
            <w:r w:rsidRPr="008946D1">
              <w:rPr>
                <w:b/>
                <w:bCs/>
                <w:lang w:eastAsia="ru-RU"/>
              </w:rPr>
              <w:t>λ</w:t>
            </w:r>
            <w:r w:rsidRPr="008946D1">
              <w:rPr>
                <w:b/>
                <w:bCs/>
                <w:lang w:val="en-US" w:eastAsia="ru-RU"/>
              </w:rPr>
              <w:t xml:space="preserve"> at -196°C (W/</w:t>
            </w:r>
            <w:proofErr w:type="spellStart"/>
            <w:r w:rsidRPr="008946D1">
              <w:rPr>
                <w:b/>
                <w:bCs/>
                <w:lang w:val="en-US" w:eastAsia="ru-RU"/>
              </w:rPr>
              <w:t>m·K</w:t>
            </w:r>
            <w:proofErr w:type="spellEnd"/>
            <w:r w:rsidRPr="008946D1">
              <w:rPr>
                <w:b/>
                <w:bCs/>
                <w:lang w:val="en-US" w:eastAsia="ru-RU"/>
              </w:rPr>
              <w:t>)</w:t>
            </w:r>
          </w:p>
        </w:tc>
        <w:tc>
          <w:tcPr>
            <w:tcW w:w="0" w:type="auto"/>
            <w:tcBorders>
              <w:bottom w:val="single" w:sz="4" w:space="0" w:color="auto"/>
            </w:tcBorders>
            <w:vAlign w:val="center"/>
          </w:tcPr>
          <w:p w14:paraId="7987BE4A" w14:textId="77777777" w:rsidR="000C79F6" w:rsidRPr="008946D1" w:rsidRDefault="000C79F6" w:rsidP="000C79F6">
            <w:pPr>
              <w:jc w:val="center"/>
              <w:rPr>
                <w:b/>
                <w:bCs/>
                <w:lang w:val="en-US" w:eastAsia="ru-RU"/>
              </w:rPr>
            </w:pPr>
            <w:r w:rsidRPr="008946D1">
              <w:rPr>
                <w:b/>
                <w:bCs/>
                <w:lang w:eastAsia="ru-RU"/>
              </w:rPr>
              <w:t>λ</w:t>
            </w:r>
            <w:r w:rsidRPr="008946D1">
              <w:rPr>
                <w:b/>
                <w:bCs/>
                <w:lang w:val="en-US" w:eastAsia="ru-RU"/>
              </w:rPr>
              <w:t xml:space="preserve"> at -50°C (W/</w:t>
            </w:r>
            <w:proofErr w:type="spellStart"/>
            <w:r w:rsidRPr="008946D1">
              <w:rPr>
                <w:b/>
                <w:bCs/>
                <w:lang w:val="en-US" w:eastAsia="ru-RU"/>
              </w:rPr>
              <w:t>m·K</w:t>
            </w:r>
            <w:proofErr w:type="spellEnd"/>
            <w:r w:rsidRPr="008946D1">
              <w:rPr>
                <w:b/>
                <w:bCs/>
                <w:lang w:val="en-US" w:eastAsia="ru-RU"/>
              </w:rPr>
              <w:t>)</w:t>
            </w:r>
          </w:p>
        </w:tc>
        <w:tc>
          <w:tcPr>
            <w:tcW w:w="0" w:type="auto"/>
            <w:tcBorders>
              <w:bottom w:val="single" w:sz="4" w:space="0" w:color="auto"/>
            </w:tcBorders>
            <w:vAlign w:val="center"/>
          </w:tcPr>
          <w:p w14:paraId="679C1058" w14:textId="77777777" w:rsidR="000C79F6" w:rsidRPr="008946D1" w:rsidRDefault="000C79F6" w:rsidP="000C79F6">
            <w:pPr>
              <w:jc w:val="center"/>
              <w:rPr>
                <w:b/>
                <w:bCs/>
                <w:lang w:val="en-US" w:eastAsia="ru-RU"/>
              </w:rPr>
            </w:pPr>
            <w:r w:rsidRPr="008946D1">
              <w:rPr>
                <w:b/>
                <w:bCs/>
                <w:lang w:eastAsia="ru-RU"/>
              </w:rPr>
              <w:t>λ</w:t>
            </w:r>
            <w:r w:rsidRPr="008946D1">
              <w:rPr>
                <w:b/>
                <w:bCs/>
                <w:lang w:val="en-US" w:eastAsia="ru-RU"/>
              </w:rPr>
              <w:t xml:space="preserve"> at 25°C (W/</w:t>
            </w:r>
            <w:proofErr w:type="spellStart"/>
            <w:r w:rsidRPr="008946D1">
              <w:rPr>
                <w:b/>
                <w:bCs/>
                <w:lang w:val="en-US" w:eastAsia="ru-RU"/>
              </w:rPr>
              <w:t>m·K</w:t>
            </w:r>
            <w:proofErr w:type="spellEnd"/>
            <w:r w:rsidRPr="008946D1">
              <w:rPr>
                <w:b/>
                <w:bCs/>
                <w:lang w:val="en-US" w:eastAsia="ru-RU"/>
              </w:rPr>
              <w:t>)</w:t>
            </w:r>
          </w:p>
        </w:tc>
        <w:tc>
          <w:tcPr>
            <w:tcW w:w="0" w:type="auto"/>
            <w:tcBorders>
              <w:bottom w:val="single" w:sz="4" w:space="0" w:color="auto"/>
            </w:tcBorders>
            <w:vAlign w:val="center"/>
          </w:tcPr>
          <w:p w14:paraId="692BFCB9" w14:textId="77777777" w:rsidR="000C79F6" w:rsidRPr="008946D1" w:rsidRDefault="000C79F6" w:rsidP="000C79F6">
            <w:pPr>
              <w:jc w:val="center"/>
              <w:rPr>
                <w:b/>
                <w:bCs/>
                <w:lang w:val="en-US" w:eastAsia="ru-RU"/>
              </w:rPr>
            </w:pPr>
            <w:r w:rsidRPr="008946D1">
              <w:rPr>
                <w:b/>
                <w:bCs/>
                <w:lang w:eastAsia="ru-RU"/>
              </w:rPr>
              <w:t>λ</w:t>
            </w:r>
            <w:r w:rsidRPr="008946D1">
              <w:rPr>
                <w:b/>
                <w:bCs/>
                <w:lang w:val="en-US" w:eastAsia="ru-RU"/>
              </w:rPr>
              <w:t xml:space="preserve"> at 200°C (W/</w:t>
            </w:r>
            <w:proofErr w:type="spellStart"/>
            <w:r w:rsidRPr="008946D1">
              <w:rPr>
                <w:b/>
                <w:bCs/>
                <w:lang w:val="en-US" w:eastAsia="ru-RU"/>
              </w:rPr>
              <w:t>m·K</w:t>
            </w:r>
            <w:proofErr w:type="spellEnd"/>
            <w:r w:rsidRPr="008946D1">
              <w:rPr>
                <w:b/>
                <w:bCs/>
                <w:lang w:val="en-US" w:eastAsia="ru-RU"/>
              </w:rPr>
              <w:t>)</w:t>
            </w:r>
          </w:p>
        </w:tc>
      </w:tr>
      <w:tr w:rsidR="000C79F6" w:rsidRPr="008946D1" w14:paraId="33C8B28E" w14:textId="77777777" w:rsidTr="000C79F6">
        <w:trPr>
          <w:jc w:val="center"/>
        </w:trPr>
        <w:tc>
          <w:tcPr>
            <w:tcW w:w="0" w:type="auto"/>
            <w:tcBorders>
              <w:top w:val="single" w:sz="4" w:space="0" w:color="auto"/>
              <w:bottom w:val="nil"/>
            </w:tcBorders>
            <w:vAlign w:val="center"/>
          </w:tcPr>
          <w:p w14:paraId="11AE2474" w14:textId="77777777" w:rsidR="000C79F6" w:rsidRPr="008946D1" w:rsidRDefault="000C79F6" w:rsidP="000C79F6">
            <w:pPr>
              <w:jc w:val="both"/>
              <w:rPr>
                <w:lang w:val="en-US" w:eastAsia="ru-RU"/>
              </w:rPr>
            </w:pPr>
            <w:r w:rsidRPr="008946D1">
              <w:rPr>
                <w:b/>
                <w:bCs/>
                <w:lang w:val="en-US" w:eastAsia="ru-RU"/>
              </w:rPr>
              <w:t>Pure aerogel</w:t>
            </w:r>
          </w:p>
        </w:tc>
        <w:tc>
          <w:tcPr>
            <w:tcW w:w="0" w:type="auto"/>
            <w:tcBorders>
              <w:top w:val="single" w:sz="4" w:space="0" w:color="auto"/>
              <w:bottom w:val="nil"/>
            </w:tcBorders>
            <w:vAlign w:val="center"/>
          </w:tcPr>
          <w:p w14:paraId="60B93321" w14:textId="77777777" w:rsidR="000C79F6" w:rsidRPr="008946D1" w:rsidRDefault="000C79F6" w:rsidP="000C79F6">
            <w:pPr>
              <w:jc w:val="center"/>
              <w:rPr>
                <w:lang w:val="en-US" w:eastAsia="ru-RU"/>
              </w:rPr>
            </w:pPr>
            <w:r w:rsidRPr="008946D1">
              <w:rPr>
                <w:lang w:val="en-US" w:eastAsia="ru-RU"/>
              </w:rPr>
              <w:t>0.0071</w:t>
            </w:r>
          </w:p>
        </w:tc>
        <w:tc>
          <w:tcPr>
            <w:tcW w:w="0" w:type="auto"/>
            <w:tcBorders>
              <w:top w:val="single" w:sz="4" w:space="0" w:color="auto"/>
              <w:bottom w:val="nil"/>
            </w:tcBorders>
            <w:vAlign w:val="center"/>
          </w:tcPr>
          <w:p w14:paraId="3BEB73A5" w14:textId="77777777" w:rsidR="000C79F6" w:rsidRPr="008946D1" w:rsidRDefault="000C79F6" w:rsidP="000C79F6">
            <w:pPr>
              <w:jc w:val="center"/>
              <w:rPr>
                <w:lang w:val="en-US" w:eastAsia="ru-RU"/>
              </w:rPr>
            </w:pPr>
            <w:r w:rsidRPr="008946D1">
              <w:rPr>
                <w:lang w:val="en-US" w:eastAsia="ru-RU"/>
              </w:rPr>
              <w:t>0.012</w:t>
            </w:r>
          </w:p>
        </w:tc>
        <w:tc>
          <w:tcPr>
            <w:tcW w:w="0" w:type="auto"/>
            <w:tcBorders>
              <w:top w:val="single" w:sz="4" w:space="0" w:color="auto"/>
              <w:bottom w:val="nil"/>
            </w:tcBorders>
            <w:vAlign w:val="center"/>
          </w:tcPr>
          <w:p w14:paraId="52C0680B" w14:textId="77777777" w:rsidR="000C79F6" w:rsidRPr="008946D1" w:rsidRDefault="000C79F6" w:rsidP="000C79F6">
            <w:pPr>
              <w:jc w:val="center"/>
              <w:rPr>
                <w:lang w:val="en-US" w:eastAsia="ru-RU"/>
              </w:rPr>
            </w:pPr>
            <w:r w:rsidRPr="008946D1">
              <w:rPr>
                <w:lang w:val="en-US" w:eastAsia="ru-RU"/>
              </w:rPr>
              <w:t>0.018</w:t>
            </w:r>
          </w:p>
        </w:tc>
        <w:tc>
          <w:tcPr>
            <w:tcW w:w="0" w:type="auto"/>
            <w:tcBorders>
              <w:top w:val="single" w:sz="4" w:space="0" w:color="auto"/>
              <w:bottom w:val="nil"/>
            </w:tcBorders>
            <w:vAlign w:val="center"/>
          </w:tcPr>
          <w:p w14:paraId="3A644570" w14:textId="77777777" w:rsidR="000C79F6" w:rsidRPr="008946D1" w:rsidRDefault="000C79F6" w:rsidP="000C79F6">
            <w:pPr>
              <w:jc w:val="center"/>
              <w:rPr>
                <w:lang w:val="en-US" w:eastAsia="ru-RU"/>
              </w:rPr>
            </w:pPr>
            <w:r w:rsidRPr="008946D1">
              <w:rPr>
                <w:lang w:val="en-US" w:eastAsia="ru-RU"/>
              </w:rPr>
              <w:t>0.031</w:t>
            </w:r>
          </w:p>
        </w:tc>
      </w:tr>
      <w:tr w:rsidR="000C79F6" w:rsidRPr="008946D1" w14:paraId="655F7E6B" w14:textId="77777777" w:rsidTr="000C79F6">
        <w:trPr>
          <w:jc w:val="center"/>
        </w:trPr>
        <w:tc>
          <w:tcPr>
            <w:tcW w:w="0" w:type="auto"/>
            <w:tcBorders>
              <w:top w:val="nil"/>
            </w:tcBorders>
            <w:vAlign w:val="center"/>
          </w:tcPr>
          <w:p w14:paraId="3576B566" w14:textId="77777777" w:rsidR="000C79F6" w:rsidRPr="008946D1" w:rsidRDefault="000C79F6" w:rsidP="000C79F6">
            <w:pPr>
              <w:jc w:val="both"/>
              <w:rPr>
                <w:lang w:eastAsia="ru-RU"/>
              </w:rPr>
            </w:pPr>
            <w:r w:rsidRPr="008946D1">
              <w:rPr>
                <w:b/>
                <w:bCs/>
                <w:lang w:eastAsia="ru-RU"/>
              </w:rPr>
              <w:t xml:space="preserve">+5% </w:t>
            </w:r>
            <w:proofErr w:type="spellStart"/>
            <w:r w:rsidRPr="008946D1">
              <w:rPr>
                <w:b/>
                <w:bCs/>
                <w:lang w:eastAsia="ru-RU"/>
              </w:rPr>
              <w:t>TiO</w:t>
            </w:r>
            <w:proofErr w:type="spellEnd"/>
            <w:r w:rsidRPr="008946D1">
              <w:rPr>
                <w:rFonts w:ascii="Cambria Math" w:hAnsi="Cambria Math" w:cs="Cambria Math"/>
                <w:b/>
                <w:bCs/>
                <w:lang w:eastAsia="ru-RU"/>
              </w:rPr>
              <w:t>₂</w:t>
            </w:r>
          </w:p>
        </w:tc>
        <w:tc>
          <w:tcPr>
            <w:tcW w:w="0" w:type="auto"/>
            <w:tcBorders>
              <w:top w:val="nil"/>
            </w:tcBorders>
            <w:vAlign w:val="center"/>
          </w:tcPr>
          <w:p w14:paraId="2619CC4B" w14:textId="77777777" w:rsidR="000C79F6" w:rsidRPr="008946D1" w:rsidRDefault="000C79F6" w:rsidP="000C79F6">
            <w:pPr>
              <w:jc w:val="center"/>
              <w:rPr>
                <w:lang w:eastAsia="ru-RU"/>
              </w:rPr>
            </w:pPr>
            <w:r w:rsidRPr="008946D1">
              <w:rPr>
                <w:lang w:eastAsia="ru-RU"/>
              </w:rPr>
              <w:t>0.0068</w:t>
            </w:r>
          </w:p>
        </w:tc>
        <w:tc>
          <w:tcPr>
            <w:tcW w:w="0" w:type="auto"/>
            <w:tcBorders>
              <w:top w:val="nil"/>
            </w:tcBorders>
            <w:vAlign w:val="center"/>
          </w:tcPr>
          <w:p w14:paraId="46BF229A" w14:textId="77777777" w:rsidR="000C79F6" w:rsidRPr="008946D1" w:rsidRDefault="000C79F6" w:rsidP="000C79F6">
            <w:pPr>
              <w:jc w:val="center"/>
              <w:rPr>
                <w:lang w:eastAsia="ru-RU"/>
              </w:rPr>
            </w:pPr>
            <w:r w:rsidRPr="008946D1">
              <w:rPr>
                <w:lang w:eastAsia="ru-RU"/>
              </w:rPr>
              <w:t>0.011</w:t>
            </w:r>
          </w:p>
        </w:tc>
        <w:tc>
          <w:tcPr>
            <w:tcW w:w="0" w:type="auto"/>
            <w:tcBorders>
              <w:top w:val="nil"/>
            </w:tcBorders>
            <w:vAlign w:val="center"/>
          </w:tcPr>
          <w:p w14:paraId="2D9F411E" w14:textId="77777777" w:rsidR="000C79F6" w:rsidRPr="008946D1" w:rsidRDefault="000C79F6" w:rsidP="000C79F6">
            <w:pPr>
              <w:jc w:val="center"/>
              <w:rPr>
                <w:lang w:eastAsia="ru-RU"/>
              </w:rPr>
            </w:pPr>
            <w:r w:rsidRPr="008946D1">
              <w:rPr>
                <w:lang w:eastAsia="ru-RU"/>
              </w:rPr>
              <w:t>0.017</w:t>
            </w:r>
          </w:p>
        </w:tc>
        <w:tc>
          <w:tcPr>
            <w:tcW w:w="0" w:type="auto"/>
            <w:tcBorders>
              <w:top w:val="nil"/>
            </w:tcBorders>
            <w:vAlign w:val="center"/>
          </w:tcPr>
          <w:p w14:paraId="5191E733" w14:textId="77777777" w:rsidR="000C79F6" w:rsidRPr="008946D1" w:rsidRDefault="000C79F6" w:rsidP="000C79F6">
            <w:pPr>
              <w:jc w:val="center"/>
              <w:rPr>
                <w:lang w:eastAsia="ru-RU"/>
              </w:rPr>
            </w:pPr>
            <w:r w:rsidRPr="008946D1">
              <w:rPr>
                <w:lang w:eastAsia="ru-RU"/>
              </w:rPr>
              <w:t>0.028</w:t>
            </w:r>
          </w:p>
        </w:tc>
      </w:tr>
      <w:tr w:rsidR="000C79F6" w:rsidRPr="008946D1" w14:paraId="575D9DD4" w14:textId="77777777" w:rsidTr="000C79F6">
        <w:trPr>
          <w:jc w:val="center"/>
        </w:trPr>
        <w:tc>
          <w:tcPr>
            <w:tcW w:w="0" w:type="auto"/>
            <w:vAlign w:val="center"/>
          </w:tcPr>
          <w:p w14:paraId="1B81C87B" w14:textId="77777777" w:rsidR="000C79F6" w:rsidRPr="008946D1" w:rsidRDefault="000C79F6" w:rsidP="000C79F6">
            <w:pPr>
              <w:jc w:val="both"/>
              <w:rPr>
                <w:lang w:eastAsia="ru-RU"/>
              </w:rPr>
            </w:pPr>
            <w:r w:rsidRPr="008946D1">
              <w:rPr>
                <w:b/>
                <w:bCs/>
                <w:lang w:eastAsia="ru-RU"/>
              </w:rPr>
              <w:t xml:space="preserve">+2% C </w:t>
            </w:r>
            <w:proofErr w:type="spellStart"/>
            <w:r w:rsidRPr="008946D1">
              <w:rPr>
                <w:b/>
                <w:bCs/>
                <w:lang w:eastAsia="ru-RU"/>
              </w:rPr>
              <w:t>black</w:t>
            </w:r>
            <w:proofErr w:type="spellEnd"/>
          </w:p>
        </w:tc>
        <w:tc>
          <w:tcPr>
            <w:tcW w:w="0" w:type="auto"/>
            <w:vAlign w:val="center"/>
          </w:tcPr>
          <w:p w14:paraId="5CF4E8F4" w14:textId="77777777" w:rsidR="000C79F6" w:rsidRPr="008946D1" w:rsidRDefault="000C79F6" w:rsidP="000C79F6">
            <w:pPr>
              <w:jc w:val="center"/>
              <w:rPr>
                <w:lang w:eastAsia="ru-RU"/>
              </w:rPr>
            </w:pPr>
            <w:r w:rsidRPr="008946D1">
              <w:rPr>
                <w:lang w:eastAsia="ru-RU"/>
              </w:rPr>
              <w:t>0.0092</w:t>
            </w:r>
          </w:p>
        </w:tc>
        <w:tc>
          <w:tcPr>
            <w:tcW w:w="0" w:type="auto"/>
            <w:vAlign w:val="center"/>
          </w:tcPr>
          <w:p w14:paraId="3A99C36A" w14:textId="77777777" w:rsidR="000C79F6" w:rsidRPr="008946D1" w:rsidRDefault="000C79F6" w:rsidP="000C79F6">
            <w:pPr>
              <w:jc w:val="center"/>
              <w:rPr>
                <w:lang w:eastAsia="ru-RU"/>
              </w:rPr>
            </w:pPr>
            <w:r w:rsidRPr="008946D1">
              <w:rPr>
                <w:lang w:eastAsia="ru-RU"/>
              </w:rPr>
              <w:t>0.014</w:t>
            </w:r>
          </w:p>
        </w:tc>
        <w:tc>
          <w:tcPr>
            <w:tcW w:w="0" w:type="auto"/>
            <w:vAlign w:val="center"/>
          </w:tcPr>
          <w:p w14:paraId="37EA8D21" w14:textId="77777777" w:rsidR="000C79F6" w:rsidRPr="008946D1" w:rsidRDefault="000C79F6" w:rsidP="000C79F6">
            <w:pPr>
              <w:jc w:val="center"/>
              <w:rPr>
                <w:lang w:eastAsia="ru-RU"/>
              </w:rPr>
            </w:pPr>
            <w:r w:rsidRPr="008946D1">
              <w:rPr>
                <w:lang w:eastAsia="ru-RU"/>
              </w:rPr>
              <w:t>0.020</w:t>
            </w:r>
          </w:p>
        </w:tc>
        <w:tc>
          <w:tcPr>
            <w:tcW w:w="0" w:type="auto"/>
            <w:vAlign w:val="center"/>
          </w:tcPr>
          <w:p w14:paraId="3C34F9BD" w14:textId="77777777" w:rsidR="000C79F6" w:rsidRPr="008946D1" w:rsidRDefault="000C79F6" w:rsidP="000C79F6">
            <w:pPr>
              <w:jc w:val="center"/>
              <w:rPr>
                <w:lang w:eastAsia="ru-RU"/>
              </w:rPr>
            </w:pPr>
            <w:r w:rsidRPr="008946D1">
              <w:rPr>
                <w:lang w:eastAsia="ru-RU"/>
              </w:rPr>
              <w:t>0.032</w:t>
            </w:r>
          </w:p>
        </w:tc>
      </w:tr>
      <w:tr w:rsidR="000C79F6" w:rsidRPr="008946D1" w14:paraId="0DFD7012" w14:textId="77777777" w:rsidTr="000C79F6">
        <w:trPr>
          <w:jc w:val="center"/>
        </w:trPr>
        <w:tc>
          <w:tcPr>
            <w:tcW w:w="0" w:type="auto"/>
            <w:vAlign w:val="center"/>
          </w:tcPr>
          <w:p w14:paraId="3D7CA382" w14:textId="77777777" w:rsidR="000C79F6" w:rsidRPr="008946D1" w:rsidRDefault="000C79F6" w:rsidP="000C79F6">
            <w:pPr>
              <w:jc w:val="both"/>
              <w:rPr>
                <w:lang w:eastAsia="ru-RU"/>
              </w:rPr>
            </w:pPr>
            <w:r w:rsidRPr="008946D1">
              <w:rPr>
                <w:b/>
                <w:bCs/>
                <w:lang w:eastAsia="ru-RU"/>
              </w:rPr>
              <w:t xml:space="preserve">+5% </w:t>
            </w:r>
            <w:proofErr w:type="spellStart"/>
            <w:r w:rsidRPr="008946D1">
              <w:rPr>
                <w:b/>
                <w:bCs/>
                <w:lang w:eastAsia="ru-RU"/>
              </w:rPr>
              <w:t>TiO</w:t>
            </w:r>
            <w:proofErr w:type="spellEnd"/>
            <w:r w:rsidRPr="008946D1">
              <w:rPr>
                <w:rFonts w:ascii="Cambria Math" w:hAnsi="Cambria Math" w:cs="Cambria Math"/>
                <w:b/>
                <w:bCs/>
                <w:lang w:eastAsia="ru-RU"/>
              </w:rPr>
              <w:t>₂</w:t>
            </w:r>
            <w:r w:rsidRPr="008946D1">
              <w:rPr>
                <w:b/>
                <w:bCs/>
                <w:lang w:eastAsia="ru-RU"/>
              </w:rPr>
              <w:t>+2% C</w:t>
            </w:r>
          </w:p>
        </w:tc>
        <w:tc>
          <w:tcPr>
            <w:tcW w:w="0" w:type="auto"/>
            <w:vAlign w:val="center"/>
          </w:tcPr>
          <w:p w14:paraId="719995BB" w14:textId="77777777" w:rsidR="000C79F6" w:rsidRPr="008946D1" w:rsidRDefault="000C79F6" w:rsidP="000C79F6">
            <w:pPr>
              <w:jc w:val="center"/>
              <w:rPr>
                <w:lang w:eastAsia="ru-RU"/>
              </w:rPr>
            </w:pPr>
            <w:r w:rsidRPr="008946D1">
              <w:rPr>
                <w:lang w:eastAsia="ru-RU"/>
              </w:rPr>
              <w:t>0.0063</w:t>
            </w:r>
          </w:p>
        </w:tc>
        <w:tc>
          <w:tcPr>
            <w:tcW w:w="0" w:type="auto"/>
            <w:vAlign w:val="center"/>
          </w:tcPr>
          <w:p w14:paraId="2C12092B" w14:textId="77777777" w:rsidR="000C79F6" w:rsidRPr="008946D1" w:rsidRDefault="000C79F6" w:rsidP="000C79F6">
            <w:pPr>
              <w:jc w:val="center"/>
              <w:rPr>
                <w:lang w:eastAsia="ru-RU"/>
              </w:rPr>
            </w:pPr>
            <w:r w:rsidRPr="008946D1">
              <w:rPr>
                <w:lang w:eastAsia="ru-RU"/>
              </w:rPr>
              <w:t>0.010</w:t>
            </w:r>
          </w:p>
        </w:tc>
        <w:tc>
          <w:tcPr>
            <w:tcW w:w="0" w:type="auto"/>
            <w:vAlign w:val="center"/>
          </w:tcPr>
          <w:p w14:paraId="4AF66F31" w14:textId="77777777" w:rsidR="000C79F6" w:rsidRPr="008946D1" w:rsidRDefault="000C79F6" w:rsidP="000C79F6">
            <w:pPr>
              <w:jc w:val="center"/>
              <w:rPr>
                <w:lang w:eastAsia="ru-RU"/>
              </w:rPr>
            </w:pPr>
            <w:r w:rsidRPr="008946D1">
              <w:rPr>
                <w:lang w:eastAsia="ru-RU"/>
              </w:rPr>
              <w:t>0.016</w:t>
            </w:r>
          </w:p>
        </w:tc>
        <w:tc>
          <w:tcPr>
            <w:tcW w:w="0" w:type="auto"/>
            <w:vAlign w:val="center"/>
          </w:tcPr>
          <w:p w14:paraId="6B1489F5" w14:textId="77777777" w:rsidR="000C79F6" w:rsidRPr="008946D1" w:rsidRDefault="000C79F6" w:rsidP="000C79F6">
            <w:pPr>
              <w:jc w:val="center"/>
              <w:rPr>
                <w:lang w:eastAsia="ru-RU"/>
              </w:rPr>
            </w:pPr>
            <w:r w:rsidRPr="008946D1">
              <w:rPr>
                <w:lang w:eastAsia="ru-RU"/>
              </w:rPr>
              <w:t>0.026</w:t>
            </w:r>
          </w:p>
        </w:tc>
      </w:tr>
    </w:tbl>
    <w:p w14:paraId="4EC123F3" w14:textId="77777777" w:rsidR="000C79F6" w:rsidRPr="008946D1" w:rsidRDefault="000C79F6" w:rsidP="000C79F6">
      <w:pPr>
        <w:shd w:val="clear" w:color="auto" w:fill="FFFFFF"/>
        <w:spacing w:before="120"/>
        <w:jc w:val="center"/>
        <w:rPr>
          <w:color w:val="0F1115"/>
          <w:sz w:val="18"/>
          <w:lang w:val="en-US" w:eastAsia="ru-RU"/>
        </w:rPr>
      </w:pPr>
    </w:p>
    <w:p w14:paraId="628D1112" w14:textId="77777777" w:rsidR="00197E5C" w:rsidRPr="008946D1" w:rsidRDefault="00197E5C" w:rsidP="009B3971">
      <w:pPr>
        <w:shd w:val="clear" w:color="auto" w:fill="FFFFFF"/>
        <w:ind w:firstLine="284"/>
        <w:jc w:val="both"/>
        <w:rPr>
          <w:color w:val="0F1115"/>
          <w:lang w:val="en-US" w:eastAsia="ru-RU"/>
        </w:rPr>
      </w:pPr>
      <w:r w:rsidRPr="008946D1">
        <w:rPr>
          <w:color w:val="0F1115"/>
          <w:lang w:val="en-US" w:eastAsia="ru-RU"/>
        </w:rPr>
        <w:t>The addition of opacifiers reduced radiative heat transfer, particularly at higher temperatures, while slightly increasing solid conduction. The minimum in thermal conductivity occurred between -50°C and 25°C depending on composition.</w:t>
      </w:r>
    </w:p>
    <w:p w14:paraId="58D4B9AD" w14:textId="2E35E26B" w:rsidR="00197E5C" w:rsidRPr="008946D1" w:rsidRDefault="005E479D" w:rsidP="005E479D">
      <w:pPr>
        <w:shd w:val="clear" w:color="auto" w:fill="FFFFFF"/>
        <w:ind w:firstLine="284"/>
        <w:jc w:val="both"/>
        <w:rPr>
          <w:color w:val="0F1115"/>
          <w:lang w:val="en-US" w:eastAsia="ru-RU"/>
        </w:rPr>
      </w:pPr>
      <w:r w:rsidRPr="008946D1">
        <w:rPr>
          <w:color w:val="0F1115"/>
          <w:lang w:val="en-US" w:eastAsia="ru-RU"/>
        </w:rPr>
        <w:t>At 40 vol% of BN in the composites, excellent improved thermal conductivities of linear increase from 0.85 kJ/</w:t>
      </w:r>
      <w:proofErr w:type="spellStart"/>
      <w:r w:rsidRPr="008946D1">
        <w:rPr>
          <w:color w:val="0F1115"/>
          <w:lang w:val="en-US" w:eastAsia="ru-RU"/>
        </w:rPr>
        <w:t>kg·K</w:t>
      </w:r>
      <w:proofErr w:type="spellEnd"/>
      <w:r w:rsidRPr="008946D1">
        <w:rPr>
          <w:color w:val="0F1115"/>
          <w:lang w:val="en-US" w:eastAsia="ru-RU"/>
        </w:rPr>
        <w:t xml:space="preserve"> at −50°C to</w:t>
      </w:r>
      <w:r w:rsidRPr="008946D1">
        <w:rPr>
          <w:color w:val="0F1115"/>
          <w:lang w:eastAsia="ru-RU"/>
        </w:rPr>
        <w:t> </w:t>
      </w:r>
      <w:r w:rsidRPr="008946D1">
        <w:rPr>
          <w:color w:val="0F1115"/>
          <w:lang w:val="en-US" w:eastAsia="ru-RU"/>
        </w:rPr>
        <w:t>be 1.45 kJ/</w:t>
      </w:r>
      <w:proofErr w:type="spellStart"/>
      <w:r w:rsidRPr="008946D1">
        <w:rPr>
          <w:color w:val="0F1115"/>
          <w:lang w:val="en-US" w:eastAsia="ru-RU"/>
        </w:rPr>
        <w:t>kg·K</w:t>
      </w:r>
      <w:proofErr w:type="spellEnd"/>
      <w:r w:rsidRPr="008946D1">
        <w:rPr>
          <w:color w:val="0F1115"/>
          <w:lang w:val="en-US" w:eastAsia="ru-RU"/>
        </w:rPr>
        <w:t xml:space="preserve"> at 150°</w:t>
      </w:r>
      <w:proofErr w:type="spellStart"/>
      <w:r w:rsidRPr="008946D1">
        <w:rPr>
          <w:color w:val="0F1115"/>
          <w:lang w:val="en-US" w:eastAsia="ru-RU"/>
        </w:rPr>
        <w:t>C are</w:t>
      </w:r>
      <w:proofErr w:type="spellEnd"/>
      <w:r w:rsidRPr="008946D1">
        <w:rPr>
          <w:color w:val="0F1115"/>
          <w:lang w:val="en-US" w:eastAsia="ru-RU"/>
        </w:rPr>
        <w:t xml:space="preserve"> observed for the BN/epoxy composites were demonstrated. Cp was found to be of Debye type order for the Gr-Al composites with Cp reaching up to 0.9 kJ/</w:t>
      </w:r>
      <w:proofErr w:type="spellStart"/>
      <w:r w:rsidRPr="008946D1">
        <w:rPr>
          <w:color w:val="0F1115"/>
          <w:lang w:val="en-US" w:eastAsia="ru-RU"/>
        </w:rPr>
        <w:t>kg·K</w:t>
      </w:r>
      <w:proofErr w:type="spellEnd"/>
      <w:r w:rsidRPr="008946D1">
        <w:rPr>
          <w:color w:val="0F1115"/>
          <w:lang w:val="en-US" w:eastAsia="ru-RU"/>
        </w:rPr>
        <w:t xml:space="preserve"> at 200°C whereas aerogel composites possessed very low heat capacity in range of 0.5–0.8 kJ/</w:t>
      </w:r>
      <w:proofErr w:type="spellStart"/>
      <w:r w:rsidRPr="008946D1">
        <w:rPr>
          <w:color w:val="0F1115"/>
          <w:lang w:val="en-US" w:eastAsia="ru-RU"/>
        </w:rPr>
        <w:t>kg·K</w:t>
      </w:r>
      <w:proofErr w:type="spellEnd"/>
      <w:r w:rsidRPr="008946D1">
        <w:rPr>
          <w:color w:val="0F1115"/>
          <w:lang w:val="en-US" w:eastAsia="ru-RU"/>
        </w:rPr>
        <w:t xml:space="preserve"> owing to high porosity CONSTRAINTS This research paper has some limitations that</w:t>
      </w:r>
      <w:r w:rsidRPr="008946D1">
        <w:rPr>
          <w:color w:val="0F1115"/>
          <w:lang w:eastAsia="ru-RU"/>
        </w:rPr>
        <w:t> </w:t>
      </w:r>
      <w:r w:rsidRPr="008946D1">
        <w:rPr>
          <w:color w:val="0F1115"/>
          <w:lang w:val="en-US" w:eastAsia="ru-RU"/>
        </w:rPr>
        <w:t>need to be mentioned here</w:t>
      </w:r>
      <w:r w:rsidR="00197E5C" w:rsidRPr="008946D1">
        <w:rPr>
          <w:color w:val="0F1115"/>
          <w:lang w:val="en-US" w:eastAsia="ru-RU"/>
        </w:rPr>
        <w:t>.</w:t>
      </w:r>
    </w:p>
    <w:p w14:paraId="73E40F64" w14:textId="77777777" w:rsidR="00197E5C" w:rsidRPr="008946D1" w:rsidRDefault="00197E5C" w:rsidP="009B3971">
      <w:pPr>
        <w:shd w:val="clear" w:color="auto" w:fill="FFFFFF"/>
        <w:ind w:firstLine="284"/>
        <w:jc w:val="both"/>
        <w:rPr>
          <w:color w:val="0F1115"/>
          <w:lang w:val="en-US" w:eastAsia="ru-RU"/>
        </w:rPr>
      </w:pPr>
      <w:r w:rsidRPr="008946D1">
        <w:rPr>
          <w:color w:val="0F1115"/>
          <w:lang w:val="en-US" w:eastAsia="ru-RU"/>
        </w:rPr>
        <w:t>CTE measurements revealed signifi</w:t>
      </w:r>
      <w:r w:rsidR="005B0316" w:rsidRPr="008946D1">
        <w:rPr>
          <w:color w:val="0F1115"/>
          <w:lang w:val="en-US" w:eastAsia="ru-RU"/>
        </w:rPr>
        <w:t>cant effects of filler content.</w:t>
      </w:r>
    </w:p>
    <w:p w14:paraId="00C8220A" w14:textId="77777777" w:rsidR="00AE273D" w:rsidRDefault="00AE273D" w:rsidP="00833639">
      <w:pPr>
        <w:shd w:val="clear" w:color="auto" w:fill="FFFFFF"/>
        <w:spacing w:before="120" w:after="120"/>
        <w:jc w:val="center"/>
        <w:rPr>
          <w:b/>
          <w:bCs/>
          <w:color w:val="0F1115"/>
          <w:sz w:val="18"/>
          <w:lang w:val="en-US" w:eastAsia="ru-RU"/>
        </w:rPr>
      </w:pPr>
    </w:p>
    <w:p w14:paraId="47E872C2" w14:textId="77777777" w:rsidR="00AE273D" w:rsidRDefault="00AE273D" w:rsidP="00833639">
      <w:pPr>
        <w:shd w:val="clear" w:color="auto" w:fill="FFFFFF"/>
        <w:spacing w:before="120" w:after="120"/>
        <w:jc w:val="center"/>
        <w:rPr>
          <w:b/>
          <w:bCs/>
          <w:color w:val="0F1115"/>
          <w:sz w:val="18"/>
          <w:lang w:val="en-US" w:eastAsia="ru-RU"/>
        </w:rPr>
      </w:pPr>
    </w:p>
    <w:p w14:paraId="274CE362" w14:textId="18CE92F5" w:rsidR="00197E5C" w:rsidRPr="008946D1" w:rsidRDefault="000C79F6" w:rsidP="00833639">
      <w:pPr>
        <w:shd w:val="clear" w:color="auto" w:fill="FFFFFF"/>
        <w:spacing w:before="120" w:after="120"/>
        <w:jc w:val="center"/>
        <w:rPr>
          <w:bCs/>
          <w:color w:val="0F1115"/>
          <w:sz w:val="18"/>
          <w:lang w:val="en-US" w:eastAsia="ru-RU"/>
        </w:rPr>
      </w:pPr>
      <w:r w:rsidRPr="008946D1">
        <w:rPr>
          <w:b/>
          <w:bCs/>
          <w:color w:val="0F1115"/>
          <w:sz w:val="18"/>
          <w:lang w:val="en-US" w:eastAsia="ru-RU"/>
        </w:rPr>
        <w:t>TABLE 4.</w:t>
      </w:r>
      <w:r w:rsidR="00197E5C" w:rsidRPr="008946D1">
        <w:rPr>
          <w:b/>
          <w:bCs/>
          <w:color w:val="0F1115"/>
          <w:sz w:val="18"/>
          <w:lang w:val="en-US" w:eastAsia="ru-RU"/>
        </w:rPr>
        <w:t xml:space="preserve"> </w:t>
      </w:r>
      <w:r w:rsidR="00197E5C" w:rsidRPr="008946D1">
        <w:rPr>
          <w:bCs/>
          <w:color w:val="0F1115"/>
          <w:sz w:val="18"/>
          <w:lang w:val="en-US" w:eastAsia="ru-RU"/>
        </w:rPr>
        <w:t>Coefficient of Thermal Expansion (25-150°C)</w:t>
      </w:r>
    </w:p>
    <w:tbl>
      <w:tblPr>
        <w:tblStyle w:val="a6"/>
        <w:tblW w:w="738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2097"/>
        <w:gridCol w:w="3256"/>
      </w:tblGrid>
      <w:tr w:rsidR="000C79F6" w:rsidRPr="008946D1" w14:paraId="34F7DC6D" w14:textId="77777777" w:rsidTr="00A82A63">
        <w:trPr>
          <w:trHeight w:val="258"/>
          <w:jc w:val="center"/>
        </w:trPr>
        <w:tc>
          <w:tcPr>
            <w:tcW w:w="0" w:type="auto"/>
            <w:tcBorders>
              <w:bottom w:val="single" w:sz="4" w:space="0" w:color="auto"/>
            </w:tcBorders>
            <w:vAlign w:val="center"/>
          </w:tcPr>
          <w:p w14:paraId="4BBBEB3C" w14:textId="77777777" w:rsidR="000C79F6" w:rsidRPr="008946D1" w:rsidRDefault="000C79F6" w:rsidP="000C79F6">
            <w:pPr>
              <w:jc w:val="both"/>
              <w:rPr>
                <w:b/>
                <w:bCs/>
                <w:lang w:val="en-US" w:eastAsia="ru-RU"/>
              </w:rPr>
            </w:pPr>
            <w:r w:rsidRPr="008946D1">
              <w:rPr>
                <w:b/>
                <w:bCs/>
                <w:lang w:val="en-US" w:eastAsia="ru-RU"/>
              </w:rPr>
              <w:t>Material</w:t>
            </w:r>
          </w:p>
        </w:tc>
        <w:tc>
          <w:tcPr>
            <w:tcW w:w="0" w:type="auto"/>
            <w:tcBorders>
              <w:bottom w:val="single" w:sz="4" w:space="0" w:color="auto"/>
            </w:tcBorders>
            <w:vAlign w:val="center"/>
          </w:tcPr>
          <w:p w14:paraId="033C4553" w14:textId="77777777" w:rsidR="000C79F6" w:rsidRPr="008946D1" w:rsidRDefault="000C79F6" w:rsidP="000C79F6">
            <w:pPr>
              <w:jc w:val="center"/>
              <w:rPr>
                <w:b/>
                <w:bCs/>
                <w:lang w:val="en-US" w:eastAsia="ru-RU"/>
              </w:rPr>
            </w:pPr>
            <w:r w:rsidRPr="008946D1">
              <w:rPr>
                <w:b/>
                <w:bCs/>
                <w:lang w:val="en-US" w:eastAsia="ru-RU"/>
              </w:rPr>
              <w:t>CTE (×10</w:t>
            </w:r>
            <w:r w:rsidRPr="008946D1">
              <w:rPr>
                <w:rFonts w:ascii="Cambria Math" w:hAnsi="Cambria Math" w:cs="Cambria Math"/>
                <w:b/>
                <w:bCs/>
                <w:lang w:val="en-US" w:eastAsia="ru-RU"/>
              </w:rPr>
              <w:t>⁻⁶</w:t>
            </w:r>
            <w:r w:rsidRPr="008946D1">
              <w:rPr>
                <w:b/>
                <w:bCs/>
                <w:lang w:val="en-US" w:eastAsia="ru-RU"/>
              </w:rPr>
              <w:t xml:space="preserve"> /K)</w:t>
            </w:r>
          </w:p>
        </w:tc>
        <w:tc>
          <w:tcPr>
            <w:tcW w:w="0" w:type="auto"/>
            <w:tcBorders>
              <w:bottom w:val="single" w:sz="4" w:space="0" w:color="auto"/>
            </w:tcBorders>
            <w:vAlign w:val="center"/>
          </w:tcPr>
          <w:p w14:paraId="3A3C438A" w14:textId="77777777" w:rsidR="000C79F6" w:rsidRPr="008946D1" w:rsidRDefault="000C79F6" w:rsidP="000C79F6">
            <w:pPr>
              <w:jc w:val="center"/>
              <w:rPr>
                <w:b/>
                <w:bCs/>
                <w:lang w:val="en-US" w:eastAsia="ru-RU"/>
              </w:rPr>
            </w:pPr>
            <w:r w:rsidRPr="008946D1">
              <w:rPr>
                <w:b/>
                <w:bCs/>
                <w:lang w:val="en-US" w:eastAsia="ru-RU"/>
              </w:rPr>
              <w:t>Reduction vs. Matrix (%)</w:t>
            </w:r>
          </w:p>
        </w:tc>
      </w:tr>
      <w:tr w:rsidR="000C79F6" w:rsidRPr="008946D1" w14:paraId="602F1AB0" w14:textId="77777777" w:rsidTr="00A82A63">
        <w:trPr>
          <w:trHeight w:val="164"/>
          <w:jc w:val="center"/>
        </w:trPr>
        <w:tc>
          <w:tcPr>
            <w:tcW w:w="0" w:type="auto"/>
            <w:tcBorders>
              <w:top w:val="single" w:sz="4" w:space="0" w:color="auto"/>
              <w:bottom w:val="nil"/>
            </w:tcBorders>
            <w:vAlign w:val="center"/>
          </w:tcPr>
          <w:p w14:paraId="23D02388" w14:textId="77777777" w:rsidR="000C79F6" w:rsidRPr="008946D1" w:rsidRDefault="000C79F6" w:rsidP="000C79F6">
            <w:pPr>
              <w:jc w:val="both"/>
              <w:rPr>
                <w:lang w:val="en-US" w:eastAsia="ru-RU"/>
              </w:rPr>
            </w:pPr>
            <w:r w:rsidRPr="008946D1">
              <w:rPr>
                <w:b/>
                <w:bCs/>
                <w:lang w:val="en-US" w:eastAsia="ru-RU"/>
              </w:rPr>
              <w:t>Neat epoxy</w:t>
            </w:r>
          </w:p>
        </w:tc>
        <w:tc>
          <w:tcPr>
            <w:tcW w:w="0" w:type="auto"/>
            <w:tcBorders>
              <w:top w:val="single" w:sz="4" w:space="0" w:color="auto"/>
              <w:bottom w:val="nil"/>
            </w:tcBorders>
            <w:vAlign w:val="center"/>
          </w:tcPr>
          <w:p w14:paraId="02EFDB65" w14:textId="77777777" w:rsidR="000C79F6" w:rsidRPr="008946D1" w:rsidRDefault="000C79F6" w:rsidP="000C79F6">
            <w:pPr>
              <w:jc w:val="center"/>
              <w:rPr>
                <w:lang w:val="en-US" w:eastAsia="ru-RU"/>
              </w:rPr>
            </w:pPr>
            <w:r w:rsidRPr="008946D1">
              <w:rPr>
                <w:lang w:val="en-US" w:eastAsia="ru-RU"/>
              </w:rPr>
              <w:t>65</w:t>
            </w:r>
          </w:p>
        </w:tc>
        <w:tc>
          <w:tcPr>
            <w:tcW w:w="0" w:type="auto"/>
            <w:tcBorders>
              <w:top w:val="single" w:sz="4" w:space="0" w:color="auto"/>
              <w:bottom w:val="nil"/>
            </w:tcBorders>
            <w:vAlign w:val="center"/>
          </w:tcPr>
          <w:p w14:paraId="46C07401" w14:textId="77777777" w:rsidR="000C79F6" w:rsidRPr="008946D1" w:rsidRDefault="000C79F6" w:rsidP="000C79F6">
            <w:pPr>
              <w:jc w:val="center"/>
              <w:rPr>
                <w:lang w:val="en-US" w:eastAsia="ru-RU"/>
              </w:rPr>
            </w:pPr>
            <w:r w:rsidRPr="008946D1">
              <w:rPr>
                <w:lang w:val="en-US" w:eastAsia="ru-RU"/>
              </w:rPr>
              <w:t>-</w:t>
            </w:r>
          </w:p>
        </w:tc>
      </w:tr>
      <w:tr w:rsidR="000C79F6" w:rsidRPr="008946D1" w14:paraId="499B1F8A" w14:textId="77777777" w:rsidTr="00A82A63">
        <w:trPr>
          <w:trHeight w:val="219"/>
          <w:jc w:val="center"/>
        </w:trPr>
        <w:tc>
          <w:tcPr>
            <w:tcW w:w="0" w:type="auto"/>
            <w:tcBorders>
              <w:top w:val="nil"/>
            </w:tcBorders>
            <w:vAlign w:val="center"/>
          </w:tcPr>
          <w:p w14:paraId="0A1FB7FE" w14:textId="77777777" w:rsidR="000C79F6" w:rsidRPr="008946D1" w:rsidRDefault="000C79F6" w:rsidP="000C79F6">
            <w:pPr>
              <w:jc w:val="both"/>
              <w:rPr>
                <w:lang w:val="en-US" w:eastAsia="ru-RU"/>
              </w:rPr>
            </w:pPr>
            <w:r w:rsidRPr="008946D1">
              <w:rPr>
                <w:b/>
                <w:bCs/>
                <w:lang w:val="en-US" w:eastAsia="ru-RU"/>
              </w:rPr>
              <w:t>40% BN/epoxy</w:t>
            </w:r>
          </w:p>
        </w:tc>
        <w:tc>
          <w:tcPr>
            <w:tcW w:w="0" w:type="auto"/>
            <w:tcBorders>
              <w:top w:val="nil"/>
            </w:tcBorders>
            <w:vAlign w:val="center"/>
          </w:tcPr>
          <w:p w14:paraId="7DE24DE2" w14:textId="77777777" w:rsidR="000C79F6" w:rsidRPr="008946D1" w:rsidRDefault="000C79F6" w:rsidP="000C79F6">
            <w:pPr>
              <w:jc w:val="center"/>
              <w:rPr>
                <w:lang w:val="en-US" w:eastAsia="ru-RU"/>
              </w:rPr>
            </w:pPr>
            <w:r w:rsidRPr="008946D1">
              <w:rPr>
                <w:lang w:val="en-US" w:eastAsia="ru-RU"/>
              </w:rPr>
              <w:t>28</w:t>
            </w:r>
          </w:p>
        </w:tc>
        <w:tc>
          <w:tcPr>
            <w:tcW w:w="0" w:type="auto"/>
            <w:tcBorders>
              <w:top w:val="nil"/>
            </w:tcBorders>
            <w:vAlign w:val="center"/>
          </w:tcPr>
          <w:p w14:paraId="6DD2C34C" w14:textId="77777777" w:rsidR="000C79F6" w:rsidRPr="008946D1" w:rsidRDefault="000C79F6" w:rsidP="000C79F6">
            <w:pPr>
              <w:jc w:val="center"/>
              <w:rPr>
                <w:lang w:val="en-US" w:eastAsia="ru-RU"/>
              </w:rPr>
            </w:pPr>
            <w:r w:rsidRPr="008946D1">
              <w:rPr>
                <w:lang w:val="en-US" w:eastAsia="ru-RU"/>
              </w:rPr>
              <w:t>56.9</w:t>
            </w:r>
          </w:p>
        </w:tc>
      </w:tr>
      <w:tr w:rsidR="000C79F6" w:rsidRPr="008946D1" w14:paraId="05531867" w14:textId="77777777" w:rsidTr="00A82A63">
        <w:trPr>
          <w:trHeight w:val="124"/>
          <w:jc w:val="center"/>
        </w:trPr>
        <w:tc>
          <w:tcPr>
            <w:tcW w:w="0" w:type="auto"/>
            <w:vAlign w:val="center"/>
          </w:tcPr>
          <w:p w14:paraId="5F15BE62" w14:textId="77777777" w:rsidR="000C79F6" w:rsidRPr="008946D1" w:rsidRDefault="000C79F6" w:rsidP="000C79F6">
            <w:pPr>
              <w:jc w:val="both"/>
              <w:rPr>
                <w:lang w:val="en-US" w:eastAsia="ru-RU"/>
              </w:rPr>
            </w:pPr>
            <w:r w:rsidRPr="008946D1">
              <w:rPr>
                <w:b/>
                <w:bCs/>
                <w:lang w:val="en-US" w:eastAsia="ru-RU"/>
              </w:rPr>
              <w:t>Pure Al</w:t>
            </w:r>
          </w:p>
        </w:tc>
        <w:tc>
          <w:tcPr>
            <w:tcW w:w="0" w:type="auto"/>
            <w:vAlign w:val="center"/>
          </w:tcPr>
          <w:p w14:paraId="603599DB" w14:textId="77777777" w:rsidR="000C79F6" w:rsidRPr="008946D1" w:rsidRDefault="000C79F6" w:rsidP="000C79F6">
            <w:pPr>
              <w:jc w:val="center"/>
              <w:rPr>
                <w:lang w:val="en-US" w:eastAsia="ru-RU"/>
              </w:rPr>
            </w:pPr>
            <w:r w:rsidRPr="008946D1">
              <w:rPr>
                <w:lang w:val="en-US" w:eastAsia="ru-RU"/>
              </w:rPr>
              <w:t>23.6</w:t>
            </w:r>
          </w:p>
        </w:tc>
        <w:tc>
          <w:tcPr>
            <w:tcW w:w="0" w:type="auto"/>
            <w:vAlign w:val="center"/>
          </w:tcPr>
          <w:p w14:paraId="035C41C0" w14:textId="77777777" w:rsidR="000C79F6" w:rsidRPr="008946D1" w:rsidRDefault="000C79F6" w:rsidP="000C79F6">
            <w:pPr>
              <w:jc w:val="center"/>
              <w:rPr>
                <w:lang w:val="en-US" w:eastAsia="ru-RU"/>
              </w:rPr>
            </w:pPr>
            <w:r w:rsidRPr="008946D1">
              <w:rPr>
                <w:lang w:val="en-US" w:eastAsia="ru-RU"/>
              </w:rPr>
              <w:t>-</w:t>
            </w:r>
          </w:p>
        </w:tc>
      </w:tr>
      <w:tr w:rsidR="000C79F6" w:rsidRPr="008946D1" w14:paraId="7B932FBF" w14:textId="77777777" w:rsidTr="00A82A63">
        <w:trPr>
          <w:trHeight w:val="184"/>
          <w:jc w:val="center"/>
        </w:trPr>
        <w:tc>
          <w:tcPr>
            <w:tcW w:w="0" w:type="auto"/>
            <w:vAlign w:val="center"/>
          </w:tcPr>
          <w:p w14:paraId="5FDBDCFD" w14:textId="77777777" w:rsidR="000C79F6" w:rsidRPr="008946D1" w:rsidRDefault="000C79F6" w:rsidP="000C79F6">
            <w:pPr>
              <w:jc w:val="both"/>
              <w:rPr>
                <w:lang w:val="en-US" w:eastAsia="ru-RU"/>
              </w:rPr>
            </w:pPr>
            <w:r w:rsidRPr="008946D1">
              <w:rPr>
                <w:b/>
                <w:bCs/>
                <w:lang w:val="en-US" w:eastAsia="ru-RU"/>
              </w:rPr>
              <w:t>15% Gr/Al</w:t>
            </w:r>
          </w:p>
        </w:tc>
        <w:tc>
          <w:tcPr>
            <w:tcW w:w="0" w:type="auto"/>
            <w:vAlign w:val="center"/>
          </w:tcPr>
          <w:p w14:paraId="10B9D13F" w14:textId="77777777" w:rsidR="000C79F6" w:rsidRPr="008946D1" w:rsidRDefault="000C79F6" w:rsidP="000C79F6">
            <w:pPr>
              <w:jc w:val="center"/>
              <w:rPr>
                <w:lang w:val="en-US" w:eastAsia="ru-RU"/>
              </w:rPr>
            </w:pPr>
            <w:r w:rsidRPr="008946D1">
              <w:rPr>
                <w:lang w:val="en-US" w:eastAsia="ru-RU"/>
              </w:rPr>
              <w:t>19.1</w:t>
            </w:r>
          </w:p>
        </w:tc>
        <w:tc>
          <w:tcPr>
            <w:tcW w:w="0" w:type="auto"/>
            <w:vAlign w:val="center"/>
          </w:tcPr>
          <w:p w14:paraId="439D109D" w14:textId="77777777" w:rsidR="000C79F6" w:rsidRPr="008946D1" w:rsidRDefault="000C79F6" w:rsidP="000C79F6">
            <w:pPr>
              <w:jc w:val="center"/>
              <w:rPr>
                <w:lang w:val="en-US" w:eastAsia="ru-RU"/>
              </w:rPr>
            </w:pPr>
            <w:r w:rsidRPr="008946D1">
              <w:rPr>
                <w:lang w:val="en-US" w:eastAsia="ru-RU"/>
              </w:rPr>
              <w:t>19.1</w:t>
            </w:r>
          </w:p>
        </w:tc>
      </w:tr>
      <w:tr w:rsidR="000C79F6" w:rsidRPr="008946D1" w14:paraId="530320ED" w14:textId="77777777" w:rsidTr="00A82A63">
        <w:trPr>
          <w:trHeight w:val="88"/>
          <w:jc w:val="center"/>
        </w:trPr>
        <w:tc>
          <w:tcPr>
            <w:tcW w:w="0" w:type="auto"/>
            <w:vAlign w:val="center"/>
          </w:tcPr>
          <w:p w14:paraId="589BB4FC" w14:textId="77777777" w:rsidR="000C79F6" w:rsidRPr="008946D1" w:rsidRDefault="000C79F6" w:rsidP="000C79F6">
            <w:pPr>
              <w:jc w:val="both"/>
              <w:rPr>
                <w:lang w:eastAsia="ru-RU"/>
              </w:rPr>
            </w:pPr>
            <w:r w:rsidRPr="008946D1">
              <w:rPr>
                <w:b/>
                <w:bCs/>
                <w:lang w:val="en-US" w:eastAsia="ru-RU"/>
              </w:rPr>
              <w:t>P</w:t>
            </w:r>
            <w:proofErr w:type="spellStart"/>
            <w:r w:rsidRPr="008946D1">
              <w:rPr>
                <w:b/>
                <w:bCs/>
                <w:lang w:eastAsia="ru-RU"/>
              </w:rPr>
              <w:t>ure</w:t>
            </w:r>
            <w:proofErr w:type="spellEnd"/>
            <w:r w:rsidRPr="008946D1">
              <w:rPr>
                <w:b/>
                <w:bCs/>
                <w:lang w:eastAsia="ru-RU"/>
              </w:rPr>
              <w:t xml:space="preserve"> </w:t>
            </w:r>
            <w:proofErr w:type="spellStart"/>
            <w:r w:rsidRPr="008946D1">
              <w:rPr>
                <w:b/>
                <w:bCs/>
                <w:lang w:eastAsia="ru-RU"/>
              </w:rPr>
              <w:t>aerogel</w:t>
            </w:r>
            <w:proofErr w:type="spellEnd"/>
          </w:p>
        </w:tc>
        <w:tc>
          <w:tcPr>
            <w:tcW w:w="0" w:type="auto"/>
            <w:vAlign w:val="center"/>
          </w:tcPr>
          <w:p w14:paraId="687B1876" w14:textId="77777777" w:rsidR="000C79F6" w:rsidRPr="008946D1" w:rsidRDefault="000C79F6" w:rsidP="000C79F6">
            <w:pPr>
              <w:jc w:val="center"/>
              <w:rPr>
                <w:lang w:eastAsia="ru-RU"/>
              </w:rPr>
            </w:pPr>
            <w:r w:rsidRPr="008946D1">
              <w:rPr>
                <w:lang w:eastAsia="ru-RU"/>
              </w:rPr>
              <w:t>2.1</w:t>
            </w:r>
          </w:p>
        </w:tc>
        <w:tc>
          <w:tcPr>
            <w:tcW w:w="0" w:type="auto"/>
            <w:vAlign w:val="center"/>
          </w:tcPr>
          <w:p w14:paraId="55665CCE" w14:textId="77777777" w:rsidR="000C79F6" w:rsidRPr="008946D1" w:rsidRDefault="000C79F6" w:rsidP="000C79F6">
            <w:pPr>
              <w:jc w:val="center"/>
              <w:rPr>
                <w:lang w:eastAsia="ru-RU"/>
              </w:rPr>
            </w:pPr>
            <w:r w:rsidRPr="008946D1">
              <w:rPr>
                <w:lang w:eastAsia="ru-RU"/>
              </w:rPr>
              <w:t>-</w:t>
            </w:r>
          </w:p>
        </w:tc>
      </w:tr>
    </w:tbl>
    <w:p w14:paraId="3A1318FD" w14:textId="77777777" w:rsidR="000C79F6" w:rsidRPr="008946D1" w:rsidRDefault="000C79F6" w:rsidP="000C79F6">
      <w:pPr>
        <w:shd w:val="clear" w:color="auto" w:fill="FFFFFF"/>
        <w:spacing w:before="120"/>
        <w:jc w:val="center"/>
        <w:rPr>
          <w:color w:val="0F1115"/>
          <w:sz w:val="18"/>
          <w:lang w:val="en-US" w:eastAsia="ru-RU"/>
        </w:rPr>
      </w:pPr>
    </w:p>
    <w:p w14:paraId="09B2632D" w14:textId="77777777" w:rsidR="00197E5C" w:rsidRPr="008946D1" w:rsidRDefault="00197E5C" w:rsidP="009B3971">
      <w:pPr>
        <w:shd w:val="clear" w:color="auto" w:fill="FFFFFF"/>
        <w:ind w:firstLine="284"/>
        <w:jc w:val="both"/>
        <w:rPr>
          <w:color w:val="0F1115"/>
          <w:lang w:val="en-US" w:eastAsia="ru-RU"/>
        </w:rPr>
      </w:pPr>
      <w:r w:rsidRPr="008946D1">
        <w:rPr>
          <w:color w:val="0F1115"/>
          <w:lang w:val="en-US" w:eastAsia="ru-RU"/>
        </w:rPr>
        <w:t>The BN and graphene fillers significantly constrained polymer and metal matrix expansion, respectively, with alignment effects causing anisotropic CTE in Gr-Al composites.</w:t>
      </w:r>
    </w:p>
    <w:p w14:paraId="4D002B80" w14:textId="77777777" w:rsidR="00B93934" w:rsidRPr="008946D1" w:rsidRDefault="00B93934" w:rsidP="00B93934">
      <w:pPr>
        <w:shd w:val="clear" w:color="auto" w:fill="FFFFFF"/>
        <w:ind w:firstLine="284"/>
        <w:jc w:val="both"/>
        <w:rPr>
          <w:color w:val="0F1115"/>
          <w:lang w:val="en-US" w:eastAsia="ru-RU"/>
        </w:rPr>
      </w:pPr>
      <w:r w:rsidRPr="008946D1">
        <w:rPr>
          <w:color w:val="0F1115"/>
          <w:lang w:val="en-US" w:eastAsia="ru-RU"/>
        </w:rPr>
        <w:t>The combination of advanced imaging techniques</w:t>
      </w:r>
      <w:r w:rsidRPr="008946D1">
        <w:rPr>
          <w:color w:val="0F1115"/>
          <w:lang w:eastAsia="ru-RU"/>
        </w:rPr>
        <w:t> </w:t>
      </w:r>
      <w:r w:rsidRPr="008946D1">
        <w:rPr>
          <w:color w:val="0F1115"/>
          <w:lang w:val="en-US" w:eastAsia="ru-RU"/>
        </w:rPr>
        <w:t>enabled to reveal the crucial relation between processing, microstructure and final thermophysical properties. Three-dimensional visualization about filler distribution</w:t>
      </w:r>
      <w:r w:rsidRPr="008946D1">
        <w:rPr>
          <w:color w:val="0F1115"/>
          <w:lang w:eastAsia="ru-RU"/>
        </w:rPr>
        <w:t> </w:t>
      </w:r>
      <w:r w:rsidRPr="008946D1">
        <w:rPr>
          <w:color w:val="0F1115"/>
          <w:lang w:val="en-US" w:eastAsia="ru-RU"/>
        </w:rPr>
        <w:t>and orientation was obtained by means of X-ray micro-CT scanning. The analysis showed that the h-BN platelets (sheets) in the epoxy composites were partially aligned along their basal planes within the molded sheets, with a Herman's</w:t>
      </w:r>
      <w:r w:rsidRPr="008946D1">
        <w:rPr>
          <w:color w:val="0F1115"/>
          <w:lang w:eastAsia="ru-RU"/>
        </w:rPr>
        <w:t> </w:t>
      </w:r>
      <w:r w:rsidRPr="008946D1">
        <w:rPr>
          <w:color w:val="0F1115"/>
          <w:lang w:val="en-US" w:eastAsia="ru-RU"/>
        </w:rPr>
        <w:t>orientation factor of 0.42 at 40 vol% loading. This orientation</w:t>
      </w:r>
      <w:r w:rsidRPr="008946D1">
        <w:rPr>
          <w:color w:val="0F1115"/>
          <w:lang w:eastAsia="ru-RU"/>
        </w:rPr>
        <w:t> </w:t>
      </w:r>
      <w:r w:rsidRPr="008946D1">
        <w:rPr>
          <w:color w:val="0F1115"/>
          <w:lang w:val="en-US" w:eastAsia="ru-RU"/>
        </w:rPr>
        <w:t>is directly attributed to the flow condition during compression molding and it's one of the leading causes of anisotropic thermal conductivity. The G-aluminum composites were significantly oriented with respect to the pressing direction in powder metallurgy process, which enhanced the preferential orientation factor of 0.68 more dominantly at a filler content of</w:t>
      </w:r>
      <w:r w:rsidRPr="008946D1">
        <w:rPr>
          <w:color w:val="0F1115"/>
          <w:lang w:eastAsia="ru-RU"/>
        </w:rPr>
        <w:t> </w:t>
      </w:r>
      <w:r w:rsidRPr="008946D1">
        <w:rPr>
          <w:color w:val="0F1115"/>
          <w:lang w:val="en-US" w:eastAsia="ru-RU"/>
        </w:rPr>
        <w:t>15 vol%. This strong</w:t>
      </w:r>
      <w:r w:rsidRPr="008946D1">
        <w:rPr>
          <w:color w:val="0F1115"/>
          <w:lang w:eastAsia="ru-RU"/>
        </w:rPr>
        <w:t> </w:t>
      </w:r>
      <w:r w:rsidRPr="008946D1">
        <w:rPr>
          <w:color w:val="0F1115"/>
          <w:lang w:val="en-US" w:eastAsia="ru-RU"/>
        </w:rPr>
        <w:t xml:space="preserve">alignment accounts for the level of difference between in-plane and through-plane thermal conductivities. The aerogel composites </w:t>
      </w:r>
      <w:proofErr w:type="spellStart"/>
      <w:r w:rsidRPr="008946D1">
        <w:rPr>
          <w:color w:val="0F1115"/>
          <w:lang w:val="en-US" w:eastAsia="ru-RU"/>
        </w:rPr>
        <w:t>characterisation</w:t>
      </w:r>
      <w:proofErr w:type="spellEnd"/>
      <w:r w:rsidRPr="008946D1">
        <w:rPr>
          <w:color w:val="0F1115"/>
          <w:lang w:val="en-US" w:eastAsia="ru-RU"/>
        </w:rPr>
        <w:t xml:space="preserve"> by </w:t>
      </w:r>
      <w:r w:rsidRPr="008946D1">
        <w:rPr>
          <w:color w:val="0F1115"/>
          <w:lang w:eastAsia="ru-RU"/>
        </w:rPr>
        <w:t>μ</w:t>
      </w:r>
      <w:r w:rsidRPr="008946D1">
        <w:rPr>
          <w:color w:val="0F1115"/>
          <w:lang w:val="en-US" w:eastAsia="ru-RU"/>
        </w:rPr>
        <w:t>-CT proved the highly porous nature of these materials with a porosity degree</w:t>
      </w:r>
      <w:r w:rsidRPr="008946D1">
        <w:rPr>
          <w:color w:val="0F1115"/>
          <w:lang w:eastAsia="ru-RU"/>
        </w:rPr>
        <w:t> </w:t>
      </w:r>
      <w:r w:rsidRPr="008946D1">
        <w:rPr>
          <w:color w:val="0F1115"/>
          <w:lang w:val="en-US" w:eastAsia="ru-RU"/>
        </w:rPr>
        <w:t>of ~85% and a bimodal pore size distribution, where 20–30 nm pores network is superimposed over larger 100–200 nm size.</w:t>
      </w:r>
    </w:p>
    <w:p w14:paraId="025CCA7E" w14:textId="32C6BE1B" w:rsidR="00197E5C" w:rsidRPr="00AE273D" w:rsidRDefault="00B93934" w:rsidP="00B93934">
      <w:pPr>
        <w:shd w:val="clear" w:color="auto" w:fill="FFFFFF"/>
        <w:ind w:firstLine="284"/>
        <w:jc w:val="both"/>
        <w:rPr>
          <w:color w:val="0F1115"/>
          <w:lang w:val="en-US" w:eastAsia="ru-RU"/>
        </w:rPr>
      </w:pPr>
      <w:r w:rsidRPr="008946D1">
        <w:rPr>
          <w:color w:val="0F1115"/>
          <w:lang w:val="en-US" w:eastAsia="ru-RU"/>
        </w:rPr>
        <w:t>Nanoscale</w:t>
      </w:r>
      <w:r w:rsidRPr="008946D1">
        <w:rPr>
          <w:color w:val="0F1115"/>
          <w:lang w:eastAsia="ru-RU"/>
        </w:rPr>
        <w:t> </w:t>
      </w:r>
      <w:r w:rsidRPr="008946D1">
        <w:rPr>
          <w:color w:val="0F1115"/>
          <w:lang w:val="en-US" w:eastAsia="ru-RU"/>
        </w:rPr>
        <w:t>resolution on the important interfacial regions that dominate heat conduction was provided by transmission electron microscopy (TEM). In the BN/epoxy interface, there is a special interphase of 10-20 nm in thickness with property gradients between filler and matrix for governing the interfacial</w:t>
      </w:r>
      <w:r w:rsidRPr="008946D1">
        <w:rPr>
          <w:color w:val="0F1115"/>
          <w:lang w:eastAsia="ru-RU"/>
        </w:rPr>
        <w:t> </w:t>
      </w:r>
      <w:r w:rsidRPr="008946D1">
        <w:rPr>
          <w:color w:val="0F1115"/>
          <w:lang w:val="en-US" w:eastAsia="ru-RU"/>
        </w:rPr>
        <w:t>thermal resistance. The interface between graphene</w:t>
      </w:r>
      <w:r w:rsidRPr="008946D1">
        <w:rPr>
          <w:color w:val="0F1115"/>
          <w:lang w:eastAsia="ru-RU"/>
        </w:rPr>
        <w:t> </w:t>
      </w:r>
      <w:r w:rsidRPr="008946D1">
        <w:rPr>
          <w:color w:val="0F1115"/>
          <w:lang w:val="en-US" w:eastAsia="ru-RU"/>
        </w:rPr>
        <w:t>and aluminum had a further complicated structure, for the crystalline aluminum carbide (</w:t>
      </w:r>
      <w:proofErr w:type="spellStart"/>
      <w:r w:rsidRPr="008946D1">
        <w:rPr>
          <w:color w:val="0F1115"/>
          <w:lang w:val="en-US" w:eastAsia="ru-RU"/>
        </w:rPr>
        <w:t>Al₄C</w:t>
      </w:r>
      <w:proofErr w:type="spellEnd"/>
      <w:r w:rsidRPr="008946D1">
        <w:rPr>
          <w:color w:val="0F1115"/>
          <w:lang w:val="en-US" w:eastAsia="ru-RU"/>
        </w:rPr>
        <w:t>₃) layer with a thickness of 2-5 nm being detected in such high temperatures sintering process. This interfacial reaction layer serves two purposes, one is the possibility of enhancing mechanical adhesion and</w:t>
      </w:r>
      <w:r w:rsidRPr="008946D1">
        <w:rPr>
          <w:color w:val="0F1115"/>
          <w:lang w:eastAsia="ru-RU"/>
        </w:rPr>
        <w:t> </w:t>
      </w:r>
      <w:r w:rsidRPr="008946D1">
        <w:rPr>
          <w:color w:val="0F1115"/>
          <w:lang w:val="en-US" w:eastAsia="ru-RU"/>
        </w:rPr>
        <w:t>another as a phonon transport barrier that affects the composite conductivity</w:t>
      </w:r>
      <w:r w:rsidR="00A82A63" w:rsidRPr="008946D1">
        <w:rPr>
          <w:color w:val="0F1115"/>
          <w:lang w:val="en-US" w:eastAsia="ru-RU"/>
        </w:rPr>
        <w:t xml:space="preserve">. In contrast, the aerogel composites showed excellent dispersion of </w:t>
      </w:r>
      <w:proofErr w:type="spellStart"/>
      <w:r w:rsidR="00A82A63" w:rsidRPr="008946D1">
        <w:rPr>
          <w:color w:val="0F1115"/>
          <w:lang w:val="en-US" w:eastAsia="ru-RU"/>
        </w:rPr>
        <w:t>TiO</w:t>
      </w:r>
      <w:proofErr w:type="spellEnd"/>
      <w:r w:rsidR="00A82A63" w:rsidRPr="008946D1">
        <w:rPr>
          <w:rFonts w:ascii="Cambria Math" w:hAnsi="Cambria Math" w:cs="Cambria Math"/>
          <w:color w:val="0F1115"/>
          <w:lang w:val="en-US" w:eastAsia="ru-RU"/>
        </w:rPr>
        <w:t>₂</w:t>
      </w:r>
      <w:r w:rsidR="00A82A63" w:rsidRPr="008946D1">
        <w:rPr>
          <w:color w:val="0F1115"/>
          <w:lang w:val="en-US" w:eastAsia="ru-RU"/>
        </w:rPr>
        <w:t xml:space="preserve"> and carbon black opacifier nanoparticles within the silica network, with minimal agglomeration under optimal processing conditions, which is essential for effective suppression of radiative heat transfer without drastically increasing solid conduction.</w:t>
      </w:r>
    </w:p>
    <w:p w14:paraId="3CD0E3D8" w14:textId="77777777" w:rsidR="00197E5C" w:rsidRPr="008946D1" w:rsidRDefault="00197E5C" w:rsidP="009B3971">
      <w:pPr>
        <w:shd w:val="clear" w:color="auto" w:fill="FFFFFF"/>
        <w:ind w:firstLine="284"/>
        <w:jc w:val="both"/>
        <w:rPr>
          <w:color w:val="0F1115"/>
          <w:lang w:val="en-US" w:eastAsia="ru-RU"/>
        </w:rPr>
      </w:pPr>
      <w:r w:rsidRPr="008946D1">
        <w:rPr>
          <w:color w:val="0F1115"/>
          <w:lang w:val="en-US" w:eastAsia="ru-RU"/>
        </w:rPr>
        <w:t>The models showed excellent a</w:t>
      </w:r>
      <w:r w:rsidR="005B0316" w:rsidRPr="008946D1">
        <w:rPr>
          <w:color w:val="0F1115"/>
          <w:lang w:val="en-US" w:eastAsia="ru-RU"/>
        </w:rPr>
        <w:t>greement with experimental data.</w:t>
      </w:r>
    </w:p>
    <w:p w14:paraId="34C1A56C" w14:textId="77777777" w:rsidR="005B0316" w:rsidRPr="008946D1" w:rsidRDefault="005B0316" w:rsidP="009B3971">
      <w:pPr>
        <w:shd w:val="clear" w:color="auto" w:fill="FFFFFF"/>
        <w:ind w:firstLine="284"/>
        <w:jc w:val="both"/>
        <w:rPr>
          <w:color w:val="0F1115"/>
          <w:lang w:val="en-US" w:eastAsia="ru-RU"/>
        </w:rPr>
      </w:pPr>
    </w:p>
    <w:p w14:paraId="03F3E373" w14:textId="77777777" w:rsidR="00197E5C" w:rsidRPr="008946D1" w:rsidRDefault="00A82A63" w:rsidP="00833639">
      <w:pPr>
        <w:shd w:val="clear" w:color="auto" w:fill="FFFFFF"/>
        <w:spacing w:before="120" w:after="120"/>
        <w:jc w:val="center"/>
        <w:rPr>
          <w:bCs/>
          <w:color w:val="0F1115"/>
          <w:sz w:val="18"/>
          <w:lang w:val="en-US" w:eastAsia="ru-RU"/>
        </w:rPr>
      </w:pPr>
      <w:r w:rsidRPr="008946D1">
        <w:rPr>
          <w:b/>
          <w:bCs/>
          <w:color w:val="0F1115"/>
          <w:sz w:val="18"/>
          <w:lang w:val="en-US" w:eastAsia="ru-RU"/>
        </w:rPr>
        <w:t>TABLE 5.</w:t>
      </w:r>
      <w:r w:rsidR="00197E5C" w:rsidRPr="008946D1">
        <w:rPr>
          <w:b/>
          <w:bCs/>
          <w:color w:val="0F1115"/>
          <w:sz w:val="18"/>
          <w:lang w:val="en-US" w:eastAsia="ru-RU"/>
        </w:rPr>
        <w:t xml:space="preserve"> </w:t>
      </w:r>
      <w:r w:rsidR="00197E5C" w:rsidRPr="008946D1">
        <w:rPr>
          <w:bCs/>
          <w:color w:val="0F1115"/>
          <w:sz w:val="18"/>
          <w:lang w:val="en-US" w:eastAsia="ru-RU"/>
        </w:rPr>
        <w:t>Model Prediction Accuracy</w:t>
      </w:r>
    </w:p>
    <w:tbl>
      <w:tblPr>
        <w:tblStyle w:val="a6"/>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1860"/>
        <w:gridCol w:w="2038"/>
        <w:gridCol w:w="1944"/>
      </w:tblGrid>
      <w:tr w:rsidR="00A82A63" w:rsidRPr="008946D1" w14:paraId="152D3E98" w14:textId="77777777" w:rsidTr="00A82A63">
        <w:trPr>
          <w:jc w:val="center"/>
        </w:trPr>
        <w:tc>
          <w:tcPr>
            <w:tcW w:w="0" w:type="auto"/>
            <w:tcBorders>
              <w:bottom w:val="single" w:sz="4" w:space="0" w:color="auto"/>
            </w:tcBorders>
            <w:vAlign w:val="center"/>
          </w:tcPr>
          <w:p w14:paraId="3E6963A2" w14:textId="77777777" w:rsidR="00A82A63" w:rsidRPr="008946D1" w:rsidRDefault="00A82A63" w:rsidP="00A82A63">
            <w:pPr>
              <w:jc w:val="both"/>
              <w:rPr>
                <w:b/>
                <w:bCs/>
                <w:lang w:val="en-US" w:eastAsia="ru-RU"/>
              </w:rPr>
            </w:pPr>
            <w:r w:rsidRPr="008946D1">
              <w:rPr>
                <w:b/>
                <w:bCs/>
                <w:lang w:val="en-US" w:eastAsia="ru-RU"/>
              </w:rPr>
              <w:t>Material System</w:t>
            </w:r>
          </w:p>
        </w:tc>
        <w:tc>
          <w:tcPr>
            <w:tcW w:w="0" w:type="auto"/>
            <w:tcBorders>
              <w:bottom w:val="single" w:sz="4" w:space="0" w:color="auto"/>
            </w:tcBorders>
            <w:vAlign w:val="center"/>
          </w:tcPr>
          <w:p w14:paraId="6C2001CF" w14:textId="77777777" w:rsidR="00A82A63" w:rsidRPr="008946D1" w:rsidRDefault="00A82A63" w:rsidP="00A82A63">
            <w:pPr>
              <w:jc w:val="center"/>
              <w:rPr>
                <w:b/>
                <w:bCs/>
                <w:lang w:val="en-US" w:eastAsia="ru-RU"/>
              </w:rPr>
            </w:pPr>
            <w:r w:rsidRPr="008946D1">
              <w:rPr>
                <w:b/>
                <w:bCs/>
                <w:lang w:val="en-US" w:eastAsia="ru-RU"/>
              </w:rPr>
              <w:t>Average Error (%)</w:t>
            </w:r>
          </w:p>
        </w:tc>
        <w:tc>
          <w:tcPr>
            <w:tcW w:w="0" w:type="auto"/>
            <w:tcBorders>
              <w:bottom w:val="single" w:sz="4" w:space="0" w:color="auto"/>
            </w:tcBorders>
            <w:vAlign w:val="center"/>
          </w:tcPr>
          <w:p w14:paraId="22F258BD" w14:textId="77777777" w:rsidR="00A82A63" w:rsidRPr="008946D1" w:rsidRDefault="00A82A63" w:rsidP="00A82A63">
            <w:pPr>
              <w:jc w:val="center"/>
              <w:rPr>
                <w:b/>
                <w:bCs/>
                <w:lang w:val="en-US" w:eastAsia="ru-RU"/>
              </w:rPr>
            </w:pPr>
            <w:r w:rsidRPr="008946D1">
              <w:rPr>
                <w:b/>
                <w:bCs/>
                <w:lang w:val="en-US" w:eastAsia="ru-RU"/>
              </w:rPr>
              <w:t>Maximum Error (%)</w:t>
            </w:r>
          </w:p>
        </w:tc>
        <w:tc>
          <w:tcPr>
            <w:tcW w:w="0" w:type="auto"/>
            <w:tcBorders>
              <w:bottom w:val="single" w:sz="4" w:space="0" w:color="auto"/>
            </w:tcBorders>
            <w:vAlign w:val="center"/>
          </w:tcPr>
          <w:p w14:paraId="46430BEC" w14:textId="77777777" w:rsidR="00A82A63" w:rsidRPr="008946D1" w:rsidRDefault="00A82A63" w:rsidP="00A82A63">
            <w:pPr>
              <w:jc w:val="center"/>
              <w:rPr>
                <w:b/>
                <w:bCs/>
                <w:lang w:val="en-US" w:eastAsia="ru-RU"/>
              </w:rPr>
            </w:pPr>
            <w:r w:rsidRPr="008946D1">
              <w:rPr>
                <w:b/>
                <w:bCs/>
                <w:lang w:val="en-US" w:eastAsia="ru-RU"/>
              </w:rPr>
              <w:t>Temperature Range</w:t>
            </w:r>
          </w:p>
        </w:tc>
      </w:tr>
      <w:tr w:rsidR="00A82A63" w:rsidRPr="008946D1" w14:paraId="59F36615" w14:textId="77777777" w:rsidTr="00A82A63">
        <w:trPr>
          <w:jc w:val="center"/>
        </w:trPr>
        <w:tc>
          <w:tcPr>
            <w:tcW w:w="0" w:type="auto"/>
            <w:tcBorders>
              <w:top w:val="single" w:sz="4" w:space="0" w:color="auto"/>
              <w:bottom w:val="nil"/>
            </w:tcBorders>
            <w:vAlign w:val="center"/>
          </w:tcPr>
          <w:p w14:paraId="03C7093E" w14:textId="77777777" w:rsidR="00A82A63" w:rsidRPr="008946D1" w:rsidRDefault="00A82A63" w:rsidP="00A82A63">
            <w:pPr>
              <w:jc w:val="both"/>
              <w:rPr>
                <w:lang w:val="en-US" w:eastAsia="ru-RU"/>
              </w:rPr>
            </w:pPr>
            <w:r w:rsidRPr="008946D1">
              <w:rPr>
                <w:b/>
                <w:bCs/>
                <w:lang w:val="en-US" w:eastAsia="ru-RU"/>
              </w:rPr>
              <w:t>BN/Epoxy</w:t>
            </w:r>
          </w:p>
        </w:tc>
        <w:tc>
          <w:tcPr>
            <w:tcW w:w="0" w:type="auto"/>
            <w:tcBorders>
              <w:top w:val="single" w:sz="4" w:space="0" w:color="auto"/>
              <w:bottom w:val="nil"/>
            </w:tcBorders>
            <w:vAlign w:val="center"/>
          </w:tcPr>
          <w:p w14:paraId="05BA2F99" w14:textId="77777777" w:rsidR="00A82A63" w:rsidRPr="008946D1" w:rsidRDefault="00A82A63" w:rsidP="00A82A63">
            <w:pPr>
              <w:jc w:val="center"/>
              <w:rPr>
                <w:lang w:val="en-US" w:eastAsia="ru-RU"/>
              </w:rPr>
            </w:pPr>
            <w:r w:rsidRPr="008946D1">
              <w:rPr>
                <w:lang w:val="en-US" w:eastAsia="ru-RU"/>
              </w:rPr>
              <w:t>8.2</w:t>
            </w:r>
          </w:p>
        </w:tc>
        <w:tc>
          <w:tcPr>
            <w:tcW w:w="0" w:type="auto"/>
            <w:tcBorders>
              <w:top w:val="single" w:sz="4" w:space="0" w:color="auto"/>
              <w:bottom w:val="nil"/>
            </w:tcBorders>
            <w:vAlign w:val="center"/>
          </w:tcPr>
          <w:p w14:paraId="52C0AA2B" w14:textId="77777777" w:rsidR="00A82A63" w:rsidRPr="008946D1" w:rsidRDefault="00A82A63" w:rsidP="00A82A63">
            <w:pPr>
              <w:jc w:val="center"/>
              <w:rPr>
                <w:lang w:val="en-US" w:eastAsia="ru-RU"/>
              </w:rPr>
            </w:pPr>
            <w:r w:rsidRPr="008946D1">
              <w:rPr>
                <w:lang w:val="en-US" w:eastAsia="ru-RU"/>
              </w:rPr>
              <w:t>14.5</w:t>
            </w:r>
          </w:p>
        </w:tc>
        <w:tc>
          <w:tcPr>
            <w:tcW w:w="0" w:type="auto"/>
            <w:tcBorders>
              <w:top w:val="single" w:sz="4" w:space="0" w:color="auto"/>
              <w:bottom w:val="nil"/>
            </w:tcBorders>
            <w:vAlign w:val="center"/>
          </w:tcPr>
          <w:p w14:paraId="444D0631" w14:textId="77777777" w:rsidR="00A82A63" w:rsidRPr="008946D1" w:rsidRDefault="00A82A63" w:rsidP="00A82A63">
            <w:pPr>
              <w:jc w:val="center"/>
              <w:rPr>
                <w:lang w:val="en-US" w:eastAsia="ru-RU"/>
              </w:rPr>
            </w:pPr>
            <w:r w:rsidRPr="008946D1">
              <w:rPr>
                <w:lang w:val="en-US" w:eastAsia="ru-RU"/>
              </w:rPr>
              <w:t>-50°C to 200°C</w:t>
            </w:r>
          </w:p>
        </w:tc>
      </w:tr>
      <w:tr w:rsidR="00A82A63" w:rsidRPr="008946D1" w14:paraId="55BA69C9" w14:textId="77777777" w:rsidTr="00A82A63">
        <w:trPr>
          <w:jc w:val="center"/>
        </w:trPr>
        <w:tc>
          <w:tcPr>
            <w:tcW w:w="0" w:type="auto"/>
            <w:tcBorders>
              <w:top w:val="nil"/>
            </w:tcBorders>
            <w:vAlign w:val="center"/>
          </w:tcPr>
          <w:p w14:paraId="69A01D20" w14:textId="77777777" w:rsidR="00A82A63" w:rsidRPr="008946D1" w:rsidRDefault="00A82A63" w:rsidP="00A82A63">
            <w:pPr>
              <w:jc w:val="both"/>
              <w:rPr>
                <w:lang w:val="en-US" w:eastAsia="ru-RU"/>
              </w:rPr>
            </w:pPr>
            <w:r w:rsidRPr="008946D1">
              <w:rPr>
                <w:b/>
                <w:bCs/>
                <w:lang w:val="en-US" w:eastAsia="ru-RU"/>
              </w:rPr>
              <w:t>Gr/Al</w:t>
            </w:r>
          </w:p>
        </w:tc>
        <w:tc>
          <w:tcPr>
            <w:tcW w:w="0" w:type="auto"/>
            <w:tcBorders>
              <w:top w:val="nil"/>
            </w:tcBorders>
            <w:vAlign w:val="center"/>
          </w:tcPr>
          <w:p w14:paraId="3E8A4B3D" w14:textId="77777777" w:rsidR="00A82A63" w:rsidRPr="008946D1" w:rsidRDefault="00A82A63" w:rsidP="00A82A63">
            <w:pPr>
              <w:jc w:val="center"/>
              <w:rPr>
                <w:lang w:val="en-US" w:eastAsia="ru-RU"/>
              </w:rPr>
            </w:pPr>
            <w:r w:rsidRPr="008946D1">
              <w:rPr>
                <w:lang w:val="en-US" w:eastAsia="ru-RU"/>
              </w:rPr>
              <w:t>10.7</w:t>
            </w:r>
          </w:p>
        </w:tc>
        <w:tc>
          <w:tcPr>
            <w:tcW w:w="0" w:type="auto"/>
            <w:tcBorders>
              <w:top w:val="nil"/>
            </w:tcBorders>
            <w:vAlign w:val="center"/>
          </w:tcPr>
          <w:p w14:paraId="5A752B3D" w14:textId="77777777" w:rsidR="00A82A63" w:rsidRPr="008946D1" w:rsidRDefault="00A82A63" w:rsidP="00A82A63">
            <w:pPr>
              <w:jc w:val="center"/>
              <w:rPr>
                <w:lang w:val="en-US" w:eastAsia="ru-RU"/>
              </w:rPr>
            </w:pPr>
            <w:r w:rsidRPr="008946D1">
              <w:rPr>
                <w:lang w:val="en-US" w:eastAsia="ru-RU"/>
              </w:rPr>
              <w:t>18.3</w:t>
            </w:r>
          </w:p>
        </w:tc>
        <w:tc>
          <w:tcPr>
            <w:tcW w:w="0" w:type="auto"/>
            <w:tcBorders>
              <w:top w:val="nil"/>
            </w:tcBorders>
            <w:vAlign w:val="center"/>
          </w:tcPr>
          <w:p w14:paraId="5C08B952" w14:textId="77777777" w:rsidR="00A82A63" w:rsidRPr="008946D1" w:rsidRDefault="00A82A63" w:rsidP="00A82A63">
            <w:pPr>
              <w:jc w:val="center"/>
              <w:rPr>
                <w:lang w:eastAsia="ru-RU"/>
              </w:rPr>
            </w:pPr>
            <w:r w:rsidRPr="008946D1">
              <w:rPr>
                <w:lang w:val="en-US" w:eastAsia="ru-RU"/>
              </w:rPr>
              <w:t xml:space="preserve">-50°C </w:t>
            </w:r>
            <w:proofErr w:type="spellStart"/>
            <w:r w:rsidRPr="008946D1">
              <w:rPr>
                <w:lang w:eastAsia="ru-RU"/>
              </w:rPr>
              <w:t>to</w:t>
            </w:r>
            <w:proofErr w:type="spellEnd"/>
            <w:r w:rsidRPr="008946D1">
              <w:rPr>
                <w:lang w:eastAsia="ru-RU"/>
              </w:rPr>
              <w:t xml:space="preserve"> 300°C</w:t>
            </w:r>
          </w:p>
        </w:tc>
      </w:tr>
      <w:tr w:rsidR="00A82A63" w:rsidRPr="008946D1" w14:paraId="526AEB69" w14:textId="77777777" w:rsidTr="00A82A63">
        <w:trPr>
          <w:jc w:val="center"/>
        </w:trPr>
        <w:tc>
          <w:tcPr>
            <w:tcW w:w="0" w:type="auto"/>
            <w:vAlign w:val="center"/>
          </w:tcPr>
          <w:p w14:paraId="6B792C8B" w14:textId="77777777" w:rsidR="00A82A63" w:rsidRPr="008946D1" w:rsidRDefault="00A82A63" w:rsidP="00A82A63">
            <w:pPr>
              <w:jc w:val="both"/>
              <w:rPr>
                <w:lang w:eastAsia="ru-RU"/>
              </w:rPr>
            </w:pPr>
            <w:proofErr w:type="spellStart"/>
            <w:r w:rsidRPr="008946D1">
              <w:rPr>
                <w:b/>
                <w:bCs/>
                <w:lang w:eastAsia="ru-RU"/>
              </w:rPr>
              <w:t>Aerogel</w:t>
            </w:r>
            <w:proofErr w:type="spellEnd"/>
          </w:p>
        </w:tc>
        <w:tc>
          <w:tcPr>
            <w:tcW w:w="0" w:type="auto"/>
            <w:vAlign w:val="center"/>
          </w:tcPr>
          <w:p w14:paraId="22AEB93F" w14:textId="77777777" w:rsidR="00A82A63" w:rsidRPr="008946D1" w:rsidRDefault="00A82A63" w:rsidP="00A82A63">
            <w:pPr>
              <w:jc w:val="center"/>
              <w:rPr>
                <w:lang w:eastAsia="ru-RU"/>
              </w:rPr>
            </w:pPr>
            <w:r w:rsidRPr="008946D1">
              <w:rPr>
                <w:lang w:eastAsia="ru-RU"/>
              </w:rPr>
              <w:t>6.4</w:t>
            </w:r>
          </w:p>
        </w:tc>
        <w:tc>
          <w:tcPr>
            <w:tcW w:w="0" w:type="auto"/>
            <w:vAlign w:val="center"/>
          </w:tcPr>
          <w:p w14:paraId="24057D54" w14:textId="77777777" w:rsidR="00A82A63" w:rsidRPr="008946D1" w:rsidRDefault="00A82A63" w:rsidP="00A82A63">
            <w:pPr>
              <w:jc w:val="center"/>
              <w:rPr>
                <w:lang w:eastAsia="ru-RU"/>
              </w:rPr>
            </w:pPr>
            <w:r w:rsidRPr="008946D1">
              <w:rPr>
                <w:lang w:eastAsia="ru-RU"/>
              </w:rPr>
              <w:t>11.2</w:t>
            </w:r>
          </w:p>
        </w:tc>
        <w:tc>
          <w:tcPr>
            <w:tcW w:w="0" w:type="auto"/>
            <w:vAlign w:val="center"/>
          </w:tcPr>
          <w:p w14:paraId="01A5D862" w14:textId="77777777" w:rsidR="00A82A63" w:rsidRPr="008946D1" w:rsidRDefault="00A82A63" w:rsidP="00A82A63">
            <w:pPr>
              <w:jc w:val="center"/>
              <w:rPr>
                <w:lang w:eastAsia="ru-RU"/>
              </w:rPr>
            </w:pPr>
            <w:r w:rsidRPr="008946D1">
              <w:rPr>
                <w:lang w:eastAsia="ru-RU"/>
              </w:rPr>
              <w:t xml:space="preserve">-196°C </w:t>
            </w:r>
            <w:proofErr w:type="spellStart"/>
            <w:r w:rsidRPr="008946D1">
              <w:rPr>
                <w:lang w:eastAsia="ru-RU"/>
              </w:rPr>
              <w:t>to</w:t>
            </w:r>
            <w:proofErr w:type="spellEnd"/>
            <w:r w:rsidRPr="008946D1">
              <w:rPr>
                <w:lang w:eastAsia="ru-RU"/>
              </w:rPr>
              <w:t xml:space="preserve"> 200°C</w:t>
            </w:r>
          </w:p>
        </w:tc>
      </w:tr>
    </w:tbl>
    <w:p w14:paraId="6AD603BE" w14:textId="77777777" w:rsidR="00A82A63" w:rsidRPr="008946D1" w:rsidRDefault="00A82A63" w:rsidP="00A82A63">
      <w:pPr>
        <w:shd w:val="clear" w:color="auto" w:fill="FFFFFF"/>
        <w:spacing w:before="120"/>
        <w:jc w:val="center"/>
        <w:rPr>
          <w:color w:val="0F1115"/>
          <w:sz w:val="18"/>
          <w:lang w:val="en-US" w:eastAsia="ru-RU"/>
        </w:rPr>
      </w:pPr>
    </w:p>
    <w:p w14:paraId="2F5A8B35" w14:textId="77777777" w:rsidR="00197E5C" w:rsidRPr="008946D1" w:rsidRDefault="00197E5C" w:rsidP="009B3971">
      <w:pPr>
        <w:shd w:val="clear" w:color="auto" w:fill="FFFFFF"/>
        <w:ind w:firstLine="284"/>
        <w:jc w:val="both"/>
        <w:rPr>
          <w:color w:val="0F1115"/>
          <w:lang w:val="en-US" w:eastAsia="ru-RU"/>
        </w:rPr>
      </w:pPr>
      <w:r w:rsidRPr="008946D1">
        <w:rPr>
          <w:color w:val="0F1115"/>
          <w:lang w:val="en-US" w:eastAsia="ru-RU"/>
        </w:rPr>
        <w:t>BN/epoxy composite (35 vol%) used as thermal interface material in 50 kW IGBT module reduced junction temperature by 22°C compared to commercial grease at heat flux of 150 W/cm², with stable performance from -40°C to 150°C.</w:t>
      </w:r>
    </w:p>
    <w:p w14:paraId="3F9B3B68" w14:textId="77777777" w:rsidR="00197E5C" w:rsidRPr="008946D1" w:rsidRDefault="00197E5C" w:rsidP="009B3971">
      <w:pPr>
        <w:shd w:val="clear" w:color="auto" w:fill="FFFFFF"/>
        <w:ind w:firstLine="284"/>
        <w:jc w:val="both"/>
        <w:rPr>
          <w:color w:val="0F1115"/>
          <w:lang w:val="en-US" w:eastAsia="ru-RU"/>
        </w:rPr>
      </w:pPr>
      <w:r w:rsidRPr="008946D1">
        <w:rPr>
          <w:color w:val="0F1115"/>
          <w:lang w:val="en-US" w:eastAsia="ru-RU"/>
        </w:rPr>
        <w:t>Gr-Al composite (12 vol%) heat spreader reduced temperature gradients by 48% compared to aluminum in satellite electronic box, with weight savings of 18% compared to copper-based solution.</w:t>
      </w:r>
    </w:p>
    <w:p w14:paraId="4142E5BD" w14:textId="77777777" w:rsidR="00197E5C" w:rsidRPr="008946D1" w:rsidRDefault="00197E5C" w:rsidP="009B3971">
      <w:pPr>
        <w:shd w:val="clear" w:color="auto" w:fill="FFFFFF"/>
        <w:ind w:firstLine="284"/>
        <w:jc w:val="both"/>
        <w:rPr>
          <w:color w:val="0F1115"/>
          <w:lang w:val="en-US" w:eastAsia="ru-RU"/>
        </w:rPr>
      </w:pPr>
      <w:r w:rsidRPr="008946D1">
        <w:rPr>
          <w:color w:val="0F1115"/>
          <w:lang w:val="en-US" w:eastAsia="ru-RU"/>
        </w:rPr>
        <w:t>Aerogel composite with opacifiers achieved overall heat transfer coefficient of 0.18 W/m²·K in LNG pipeline insulation, reducing boil-off by 34% compared to conventional foam insulation.</w:t>
      </w:r>
    </w:p>
    <w:p w14:paraId="3E745F26" w14:textId="77777777" w:rsidR="005B0316" w:rsidRPr="008946D1" w:rsidRDefault="005B0316" w:rsidP="005B0316">
      <w:pPr>
        <w:shd w:val="clear" w:color="auto" w:fill="FFFFFF"/>
        <w:spacing w:before="240" w:after="240"/>
        <w:jc w:val="center"/>
        <w:rPr>
          <w:b/>
          <w:bCs/>
          <w:color w:val="0F1115"/>
          <w:sz w:val="24"/>
          <w:lang w:val="en-US" w:eastAsia="ru-RU"/>
        </w:rPr>
      </w:pPr>
      <w:r w:rsidRPr="008946D1">
        <w:rPr>
          <w:b/>
          <w:bCs/>
          <w:color w:val="0F1115"/>
          <w:sz w:val="24"/>
          <w:lang w:val="en-US" w:eastAsia="ru-RU"/>
        </w:rPr>
        <w:t>DISCUSSION</w:t>
      </w:r>
    </w:p>
    <w:p w14:paraId="4F606491" w14:textId="77777777" w:rsidR="00D770AD" w:rsidRPr="008946D1" w:rsidRDefault="00D770AD" w:rsidP="00A82A63">
      <w:pPr>
        <w:shd w:val="clear" w:color="auto" w:fill="FFFFFF"/>
        <w:ind w:firstLine="284"/>
        <w:jc w:val="both"/>
        <w:rPr>
          <w:color w:val="0F1115"/>
          <w:lang w:val="en-US" w:eastAsia="ru-RU"/>
        </w:rPr>
      </w:pPr>
      <w:r w:rsidRPr="008946D1">
        <w:rPr>
          <w:color w:val="0F1115"/>
          <w:lang w:val="en-US" w:eastAsia="ru-RU"/>
        </w:rPr>
        <w:t xml:space="preserve">Those temperature-dependent behaviors </w:t>
      </w:r>
      <w:proofErr w:type="gramStart"/>
      <w:r w:rsidRPr="008946D1">
        <w:rPr>
          <w:color w:val="0F1115"/>
          <w:lang w:val="en-US" w:eastAsia="ru-RU"/>
        </w:rPr>
        <w:t>results</w:t>
      </w:r>
      <w:proofErr w:type="gramEnd"/>
      <w:r w:rsidRPr="008946D1">
        <w:rPr>
          <w:color w:val="0F1115"/>
          <w:lang w:val="en-US" w:eastAsia="ru-RU"/>
        </w:rPr>
        <w:t xml:space="preserve"> from the competition</w:t>
      </w:r>
      <w:r w:rsidRPr="008946D1">
        <w:rPr>
          <w:color w:val="0F1115"/>
          <w:lang w:eastAsia="ru-RU"/>
        </w:rPr>
        <w:t> </w:t>
      </w:r>
      <w:r w:rsidRPr="008946D1">
        <w:rPr>
          <w:color w:val="0F1115"/>
          <w:lang w:val="en-US" w:eastAsia="ru-RU"/>
        </w:rPr>
        <w:t>between three fundamental heat transfer mechanisms. In the BN/Polymer system, phonon</w:t>
      </w:r>
      <w:r w:rsidRPr="008946D1">
        <w:rPr>
          <w:color w:val="0F1115"/>
          <w:lang w:eastAsia="ru-RU"/>
        </w:rPr>
        <w:t> </w:t>
      </w:r>
      <w:r w:rsidRPr="008946D1">
        <w:rPr>
          <w:color w:val="0F1115"/>
          <w:lang w:val="en-US" w:eastAsia="ru-RU"/>
        </w:rPr>
        <w:t>conduction is primarily responsible for thermal transport in both the epoxy matrix and BN filler. The typical downturn of the conductivity at high temperature is due to stronger phonon–phonon scattering (Umklapp process), and the interfacial thermal resistance at BN-epoxy boundary becomes gradually</w:t>
      </w:r>
      <w:r w:rsidRPr="008946D1">
        <w:rPr>
          <w:color w:val="0F1115"/>
          <w:lang w:eastAsia="ru-RU"/>
        </w:rPr>
        <w:t> </w:t>
      </w:r>
      <w:r w:rsidRPr="008946D1">
        <w:rPr>
          <w:color w:val="0F1115"/>
          <w:lang w:val="en-US" w:eastAsia="ru-RU"/>
        </w:rPr>
        <w:t>dominating with increasing temperature. On the other hand, Gr/Al composite indicates a mechanism in</w:t>
      </w:r>
      <w:r w:rsidRPr="008946D1">
        <w:rPr>
          <w:color w:val="0F1115"/>
          <w:lang w:eastAsia="ru-RU"/>
        </w:rPr>
        <w:t> </w:t>
      </w:r>
      <w:r w:rsidRPr="008946D1">
        <w:rPr>
          <w:color w:val="0F1115"/>
          <w:lang w:val="en-US" w:eastAsia="ru-RU"/>
        </w:rPr>
        <w:t xml:space="preserve">hybrid </w:t>
      </w:r>
      <w:proofErr w:type="spellStart"/>
      <w:proofErr w:type="gramStart"/>
      <w:r w:rsidRPr="008946D1">
        <w:rPr>
          <w:color w:val="0F1115"/>
          <w:lang w:val="en-US" w:eastAsia="ru-RU"/>
        </w:rPr>
        <w:t>type:single</w:t>
      </w:r>
      <w:proofErr w:type="spellEnd"/>
      <w:proofErr w:type="gramEnd"/>
      <w:r w:rsidRPr="008946D1">
        <w:rPr>
          <w:color w:val="0F1115"/>
          <w:lang w:val="en-US" w:eastAsia="ru-RU"/>
        </w:rPr>
        <w:t xml:space="preserve"> layer heat conduction through aluminum matrix is mainly dominated by electrons, and that contributed graphene was using the phonon. This results in a non-simple temperature dependence for the interfacial resistance, which strongly depends on</w:t>
      </w:r>
      <w:r w:rsidRPr="008946D1">
        <w:rPr>
          <w:color w:val="0F1115"/>
          <w:lang w:eastAsia="ru-RU"/>
        </w:rPr>
        <w:t> </w:t>
      </w:r>
      <w:r w:rsidRPr="008946D1">
        <w:rPr>
          <w:color w:val="0F1115"/>
          <w:lang w:val="en-US" w:eastAsia="ru-RU"/>
        </w:rPr>
        <w:t xml:space="preserve">the formation and properties of </w:t>
      </w:r>
      <w:proofErr w:type="spellStart"/>
      <w:r w:rsidRPr="008946D1">
        <w:rPr>
          <w:color w:val="0F1115"/>
          <w:lang w:val="en-US" w:eastAsia="ru-RU"/>
        </w:rPr>
        <w:t>Al₄C</w:t>
      </w:r>
      <w:proofErr w:type="spellEnd"/>
      <w:r w:rsidRPr="008946D1">
        <w:rPr>
          <w:color w:val="0F1115"/>
          <w:lang w:val="en-US" w:eastAsia="ru-RU"/>
        </w:rPr>
        <w:t>₃ reaction layer. The aerogel system is the case of the most complex behavior; the total conductivity is a sum of the solid,</w:t>
      </w:r>
      <w:r w:rsidRPr="008946D1">
        <w:rPr>
          <w:color w:val="0F1115"/>
          <w:lang w:eastAsia="ru-RU"/>
        </w:rPr>
        <w:t> </w:t>
      </w:r>
      <w:r w:rsidRPr="008946D1">
        <w:rPr>
          <w:color w:val="0F1115"/>
          <w:lang w:val="en-US" w:eastAsia="ru-RU"/>
        </w:rPr>
        <w:t xml:space="preserve">gas, and radiation conduction and each one shows different dependence with respect to temperature. </w:t>
      </w:r>
      <w:proofErr w:type="gramStart"/>
      <w:r w:rsidRPr="008946D1">
        <w:rPr>
          <w:color w:val="0F1115"/>
          <w:lang w:val="en-US" w:eastAsia="ru-RU"/>
        </w:rPr>
        <w:t>This competing effects</w:t>
      </w:r>
      <w:proofErr w:type="gramEnd"/>
      <w:r w:rsidRPr="008946D1">
        <w:rPr>
          <w:color w:val="0F1115"/>
          <w:lang w:eastAsia="ru-RU"/>
        </w:rPr>
        <w:t> </w:t>
      </w:r>
      <w:r w:rsidRPr="008946D1">
        <w:rPr>
          <w:color w:val="0F1115"/>
          <w:lang w:val="en-US" w:eastAsia="ru-RU"/>
        </w:rPr>
        <w:t>may lead to a minimum conductivity at an intermediate temperature.</w:t>
      </w:r>
    </w:p>
    <w:p w14:paraId="0BB7B4D6" w14:textId="77777777" w:rsidR="00D770AD" w:rsidRPr="008946D1" w:rsidRDefault="00D770AD" w:rsidP="00A82A63">
      <w:pPr>
        <w:shd w:val="clear" w:color="auto" w:fill="FFFFFF"/>
        <w:ind w:firstLine="284"/>
        <w:jc w:val="both"/>
        <w:rPr>
          <w:color w:val="0F1115"/>
          <w:lang w:val="en-US" w:eastAsia="ru-RU"/>
        </w:rPr>
      </w:pPr>
      <w:r w:rsidRPr="008946D1">
        <w:rPr>
          <w:color w:val="0F1115"/>
          <w:lang w:val="en-US" w:eastAsia="ru-RU"/>
        </w:rPr>
        <w:t>The findings support</w:t>
      </w:r>
      <w:r w:rsidRPr="008946D1">
        <w:rPr>
          <w:color w:val="0F1115"/>
          <w:lang w:eastAsia="ru-RU"/>
        </w:rPr>
        <w:t> </w:t>
      </w:r>
      <w:r w:rsidRPr="008946D1">
        <w:rPr>
          <w:color w:val="0F1115"/>
          <w:lang w:val="en-US" w:eastAsia="ru-RU"/>
        </w:rPr>
        <w:t>the gate-keepers of the thermal transport to be interfaces. Rational engineering</w:t>
      </w:r>
      <w:r w:rsidRPr="008946D1">
        <w:rPr>
          <w:color w:val="0F1115"/>
          <w:lang w:eastAsia="ru-RU"/>
        </w:rPr>
        <w:t> </w:t>
      </w:r>
      <w:r w:rsidRPr="008946D1">
        <w:rPr>
          <w:color w:val="0F1115"/>
          <w:lang w:val="en-US" w:eastAsia="ru-RU"/>
        </w:rPr>
        <w:t xml:space="preserve">of these interfaces lead to significant enhancements in property: surface treatment of BN platelets with </w:t>
      </w:r>
      <w:proofErr w:type="spellStart"/>
      <w:r w:rsidRPr="008946D1">
        <w:rPr>
          <w:color w:val="0F1115"/>
          <w:lang w:val="en-US" w:eastAsia="ru-RU"/>
        </w:rPr>
        <w:t>aminosilane</w:t>
      </w:r>
      <w:proofErr w:type="spellEnd"/>
      <w:r w:rsidRPr="008946D1">
        <w:rPr>
          <w:color w:val="0F1115"/>
          <w:lang w:val="en-US" w:eastAsia="ru-RU"/>
        </w:rPr>
        <w:t xml:space="preserve"> leads to an up-shift in composite thermal conductivity of 15-25% over all temperatures by increasing phonon coupling. The verifiable dependence of these interfacial layer characteristics</w:t>
      </w:r>
      <w:r w:rsidRPr="008946D1">
        <w:rPr>
          <w:color w:val="0F1115"/>
          <w:lang w:eastAsia="ru-RU"/>
        </w:rPr>
        <w:t> </w:t>
      </w:r>
      <w:r w:rsidRPr="008946D1">
        <w:rPr>
          <w:color w:val="0F1115"/>
          <w:lang w:val="en-US" w:eastAsia="ru-RU"/>
        </w:rPr>
        <w:t>on the sintering conditions enabled Gr/Al composite with desired thickness and crystallinity to be obtained that leaded to a well-controlled heat transport. In the case of aerogels, it was especially important to achieve good dispersion of opacifier nanoparticles</w:t>
      </w:r>
      <w:r w:rsidRPr="008946D1">
        <w:rPr>
          <w:color w:val="0F1115"/>
          <w:lang w:eastAsia="ru-RU"/>
        </w:rPr>
        <w:t> </w:t>
      </w:r>
      <w:r w:rsidRPr="008946D1">
        <w:rPr>
          <w:color w:val="0F1115"/>
          <w:lang w:val="en-US" w:eastAsia="ru-RU"/>
        </w:rPr>
        <w:t>in order to maximize infrared extinction without compromising creating thermal short circuits responsible for solid conduction.</w:t>
      </w:r>
    </w:p>
    <w:p w14:paraId="508DF38F" w14:textId="701C60BA" w:rsidR="00197E5C" w:rsidRPr="008946D1" w:rsidRDefault="00D770AD" w:rsidP="00A82A63">
      <w:pPr>
        <w:shd w:val="clear" w:color="auto" w:fill="FFFFFF"/>
        <w:ind w:firstLine="284"/>
        <w:jc w:val="both"/>
        <w:rPr>
          <w:color w:val="0F1115"/>
          <w:lang w:val="en-US" w:eastAsia="ru-RU"/>
        </w:rPr>
      </w:pPr>
      <w:r w:rsidRPr="008946D1">
        <w:rPr>
          <w:color w:val="0F1115"/>
          <w:lang w:val="en-US" w:eastAsia="ru-RU"/>
        </w:rPr>
        <w:t>In addition, the inherent anisotropy of platelet and sheets type filler (BN, Graphene)</w:t>
      </w:r>
      <w:r w:rsidRPr="008946D1">
        <w:rPr>
          <w:color w:val="0F1115"/>
          <w:lang w:eastAsia="ru-RU"/>
        </w:rPr>
        <w:t> </w:t>
      </w:r>
      <w:r w:rsidRPr="008946D1">
        <w:rPr>
          <w:color w:val="0F1115"/>
          <w:lang w:val="en-US" w:eastAsia="ru-RU"/>
        </w:rPr>
        <w:t>raised a crucial design criterion that needs to be adequately controlled. Strong orientation of the acetylenic structures during processing</w:t>
      </w:r>
      <w:r w:rsidRPr="008946D1">
        <w:rPr>
          <w:color w:val="0F1115"/>
          <w:lang w:eastAsia="ru-RU"/>
        </w:rPr>
        <w:t> </w:t>
      </w:r>
      <w:r w:rsidRPr="008946D1">
        <w:rPr>
          <w:color w:val="0F1115"/>
          <w:lang w:val="en-US" w:eastAsia="ru-RU"/>
        </w:rPr>
        <w:t>resulted in significant anisotropy, with ratios between in-plane and through-plane thermal conductivities as high as 3.7:1. This anisotropy also means that, the coefficient of thermal expansion (CTE) is direction and then can produce orientation-dependent</w:t>
      </w:r>
      <w:r w:rsidRPr="008946D1">
        <w:rPr>
          <w:color w:val="0F1115"/>
          <w:lang w:eastAsia="ru-RU"/>
        </w:rPr>
        <w:t> </w:t>
      </w:r>
      <w:r w:rsidRPr="008946D1">
        <w:rPr>
          <w:color w:val="0F1115"/>
          <w:lang w:val="en-US" w:eastAsia="ru-RU"/>
        </w:rPr>
        <w:t>thermal stresses in during operation. As a result, processing techniques (e.g., controlled flow during forming or directional pressing) need to be worked carefully out not only for predefining properties but also in order to orient the material’s anisotropic behavior with respect to the</w:t>
      </w:r>
      <w:r w:rsidRPr="008946D1">
        <w:rPr>
          <w:color w:val="0F1115"/>
          <w:lang w:eastAsia="ru-RU"/>
        </w:rPr>
        <w:t> </w:t>
      </w:r>
      <w:r w:rsidRPr="008946D1">
        <w:rPr>
          <w:color w:val="0F1115"/>
          <w:lang w:val="en-US" w:eastAsia="ru-RU"/>
        </w:rPr>
        <w:t>specific thermal and mechanical loads paths of the target part.</w:t>
      </w:r>
    </w:p>
    <w:p w14:paraId="70C5A650" w14:textId="77777777" w:rsidR="005B0316" w:rsidRPr="008946D1" w:rsidRDefault="005B0316" w:rsidP="005B0316">
      <w:pPr>
        <w:shd w:val="clear" w:color="auto" w:fill="FFFFFF"/>
        <w:spacing w:before="240" w:after="240"/>
        <w:jc w:val="center"/>
        <w:rPr>
          <w:b/>
          <w:bCs/>
          <w:color w:val="0F1115"/>
          <w:sz w:val="24"/>
          <w:lang w:val="en-US" w:eastAsia="ru-RU"/>
        </w:rPr>
      </w:pPr>
      <w:r w:rsidRPr="008946D1">
        <w:rPr>
          <w:b/>
          <w:bCs/>
          <w:color w:val="0F1115"/>
          <w:sz w:val="24"/>
          <w:lang w:val="en-US" w:eastAsia="ru-RU"/>
        </w:rPr>
        <w:t>CONCLUSION</w:t>
      </w:r>
    </w:p>
    <w:p w14:paraId="5A08C770" w14:textId="5361BCD7" w:rsidR="008946D1" w:rsidRPr="008946D1" w:rsidRDefault="008946D1" w:rsidP="009B3971">
      <w:pPr>
        <w:shd w:val="clear" w:color="auto" w:fill="FFFFFF"/>
        <w:ind w:firstLine="284"/>
        <w:jc w:val="both"/>
        <w:rPr>
          <w:color w:val="0F1115"/>
          <w:lang w:val="en-US" w:eastAsia="ru-RU"/>
        </w:rPr>
      </w:pPr>
      <w:r w:rsidRPr="008946D1">
        <w:rPr>
          <w:color w:val="0F1115"/>
          <w:lang w:val="en-US" w:eastAsia="ru-RU"/>
        </w:rPr>
        <w:t>This study is one of its kind and it gives comprehensive experimental data and verified models</w:t>
      </w:r>
      <w:r w:rsidRPr="008946D1">
        <w:rPr>
          <w:color w:val="0F1115"/>
          <w:lang w:eastAsia="ru-RU"/>
        </w:rPr>
        <w:t> </w:t>
      </w:r>
      <w:r w:rsidRPr="008946D1">
        <w:rPr>
          <w:color w:val="0F1115"/>
          <w:lang w:val="en-US" w:eastAsia="ru-RU"/>
        </w:rPr>
        <w:t>for the temperature-dependent thermophysical properties of three types of functional composites. The results indicate that filler</w:t>
      </w:r>
      <w:r w:rsidRPr="008946D1">
        <w:rPr>
          <w:color w:val="0F1115"/>
          <w:lang w:eastAsia="ru-RU"/>
        </w:rPr>
        <w:t> </w:t>
      </w:r>
      <w:r w:rsidRPr="008946D1">
        <w:rPr>
          <w:color w:val="0F1115"/>
          <w:lang w:val="en-US" w:eastAsia="ru-RU"/>
        </w:rPr>
        <w:t>type, content, particle morphology and interface properties as well as processing conditions collectively influence thermal performance over wide temperature ranges. Key findings include:</w:t>
      </w:r>
    </w:p>
    <w:p w14:paraId="35A47619" w14:textId="77777777" w:rsidR="008946D1" w:rsidRPr="008946D1" w:rsidRDefault="008946D1" w:rsidP="009B3971">
      <w:pPr>
        <w:shd w:val="clear" w:color="auto" w:fill="FFFFFF"/>
        <w:ind w:firstLine="284"/>
        <w:jc w:val="both"/>
        <w:rPr>
          <w:color w:val="0F1115"/>
          <w:lang w:val="en-US" w:eastAsia="ru-RU"/>
        </w:rPr>
      </w:pPr>
      <w:r w:rsidRPr="008946D1">
        <w:rPr>
          <w:color w:val="0F1115"/>
          <w:lang w:val="en-US" w:eastAsia="ru-RU"/>
        </w:rPr>
        <w:t>These BN/polymer composites exhibit good electrical insulation and the thermal conductivity enhancement is 9.6×, which can</w:t>
      </w:r>
      <w:r w:rsidRPr="008946D1">
        <w:rPr>
          <w:color w:val="0F1115"/>
          <w:lang w:eastAsia="ru-RU"/>
        </w:rPr>
        <w:t> </w:t>
      </w:r>
      <w:r w:rsidRPr="008946D1">
        <w:rPr>
          <w:color w:val="0F1115"/>
          <w:lang w:val="en-US" w:eastAsia="ru-RU"/>
        </w:rPr>
        <w:t>effectively meet the requirements of power electronics cooling.</w:t>
      </w:r>
    </w:p>
    <w:p w14:paraId="2AF2F26F" w14:textId="77777777" w:rsidR="008946D1" w:rsidRPr="008946D1" w:rsidRDefault="008946D1" w:rsidP="009B3971">
      <w:pPr>
        <w:shd w:val="clear" w:color="auto" w:fill="FFFFFF"/>
        <w:ind w:firstLine="284"/>
        <w:jc w:val="both"/>
        <w:rPr>
          <w:color w:val="0F1115"/>
          <w:lang w:val="en-US" w:eastAsia="ru-RU"/>
        </w:rPr>
      </w:pPr>
      <w:r w:rsidRPr="008946D1">
        <w:rPr>
          <w:color w:val="0F1115"/>
          <w:lang w:val="en-US" w:eastAsia="ru-RU"/>
        </w:rPr>
        <w:t>Gr/Al composites have large anisotropic and high thermal conductivity for effective</w:t>
      </w:r>
      <w:r w:rsidRPr="008946D1">
        <w:rPr>
          <w:color w:val="0F1115"/>
          <w:lang w:eastAsia="ru-RU"/>
        </w:rPr>
        <w:t> </w:t>
      </w:r>
      <w:r w:rsidRPr="008946D1">
        <w:rPr>
          <w:color w:val="0F1115"/>
          <w:lang w:val="en-US" w:eastAsia="ru-RU"/>
        </w:rPr>
        <w:t>heat dissipation of the weight-sensitive devices.</w:t>
      </w:r>
    </w:p>
    <w:p w14:paraId="3E32A36F" w14:textId="77777777" w:rsidR="008946D1" w:rsidRPr="008946D1" w:rsidRDefault="008946D1" w:rsidP="009B3971">
      <w:pPr>
        <w:shd w:val="clear" w:color="auto" w:fill="FFFFFF"/>
        <w:ind w:firstLine="284"/>
        <w:jc w:val="both"/>
        <w:rPr>
          <w:color w:val="0F1115"/>
          <w:lang w:val="en-US" w:eastAsia="ru-RU"/>
        </w:rPr>
      </w:pPr>
      <w:r w:rsidRPr="008946D1">
        <w:rPr>
          <w:color w:val="0F1115"/>
          <w:lang w:val="en-US" w:eastAsia="ru-RU"/>
        </w:rPr>
        <w:t>Ultra-low thermal transport composites, which</w:t>
      </w:r>
      <w:r w:rsidRPr="008946D1">
        <w:rPr>
          <w:color w:val="0F1115"/>
          <w:lang w:eastAsia="ru-RU"/>
        </w:rPr>
        <w:t> </w:t>
      </w:r>
      <w:r w:rsidRPr="008946D1">
        <w:rPr>
          <w:color w:val="0F1115"/>
          <w:lang w:val="en-US" w:eastAsia="ru-RU"/>
        </w:rPr>
        <w:t xml:space="preserve">can be maintained from cryogenic to the high-temperature level, are attractive for </w:t>
      </w:r>
      <w:proofErr w:type="spellStart"/>
      <w:r w:rsidRPr="008946D1">
        <w:rPr>
          <w:color w:val="0F1115"/>
          <w:lang w:val="en-US" w:eastAsia="ru-RU"/>
        </w:rPr>
        <w:t>cryo</w:t>
      </w:r>
      <w:proofErr w:type="spellEnd"/>
      <w:r w:rsidRPr="008946D1">
        <w:rPr>
          <w:color w:val="0F1115"/>
          <w:lang w:val="en-US" w:eastAsia="ru-RU"/>
        </w:rPr>
        <w:t xml:space="preserve"> and high-temperature insulation.</w:t>
      </w:r>
    </w:p>
    <w:p w14:paraId="7DDD4E5F" w14:textId="2A5E4307" w:rsidR="00197E5C" w:rsidRPr="008946D1" w:rsidRDefault="008946D1" w:rsidP="009B3971">
      <w:pPr>
        <w:shd w:val="clear" w:color="auto" w:fill="FFFFFF"/>
        <w:ind w:firstLine="284"/>
        <w:jc w:val="both"/>
        <w:rPr>
          <w:color w:val="0F1115"/>
          <w:lang w:val="en-US" w:eastAsia="ru-RU"/>
        </w:rPr>
      </w:pPr>
      <w:r w:rsidRPr="008946D1">
        <w:rPr>
          <w:color w:val="0F1115"/>
          <w:lang w:val="en-US" w:eastAsia="ru-RU"/>
        </w:rPr>
        <w:t>The established models support to predict the composite properties from constituent ones and microstructure,</w:t>
      </w:r>
      <w:r w:rsidRPr="008946D1">
        <w:rPr>
          <w:color w:val="0F1115"/>
          <w:lang w:eastAsia="ru-RU"/>
        </w:rPr>
        <w:t> </w:t>
      </w:r>
      <w:r w:rsidRPr="008946D1">
        <w:rPr>
          <w:color w:val="0F1115"/>
          <w:lang w:val="en-US" w:eastAsia="ru-RU"/>
        </w:rPr>
        <w:t>that can be of use for designing and screening materials. The property databases developed</w:t>
      </w:r>
      <w:r w:rsidRPr="008946D1">
        <w:rPr>
          <w:color w:val="0F1115"/>
          <w:lang w:eastAsia="ru-RU"/>
        </w:rPr>
        <w:t> </w:t>
      </w:r>
      <w:r w:rsidRPr="008946D1">
        <w:rPr>
          <w:color w:val="0F1115"/>
          <w:lang w:val="en-US" w:eastAsia="ru-RU"/>
        </w:rPr>
        <w:t>here address important data gaps for materials under high temperature conditions. The future work will concentrate on the generalization to another material</w:t>
      </w:r>
      <w:r w:rsidRPr="008946D1">
        <w:rPr>
          <w:color w:val="0F1115"/>
          <w:lang w:eastAsia="ru-RU"/>
        </w:rPr>
        <w:t> </w:t>
      </w:r>
      <w:r w:rsidRPr="008946D1">
        <w:rPr>
          <w:color w:val="0F1115"/>
          <w:lang w:val="en-US" w:eastAsia="ru-RU"/>
        </w:rPr>
        <w:t>system characterization, the further studies of long-term thermal stability and establish ramped test methods for composites temperature-depend thermophysical properties.</w:t>
      </w:r>
    </w:p>
    <w:p w14:paraId="2E149E67" w14:textId="77777777" w:rsidR="00197E5C" w:rsidRPr="008946D1" w:rsidRDefault="000C79F6" w:rsidP="000C79F6">
      <w:pPr>
        <w:shd w:val="clear" w:color="auto" w:fill="FFFFFF"/>
        <w:spacing w:before="240" w:after="240"/>
        <w:jc w:val="center"/>
        <w:rPr>
          <w:b/>
          <w:bCs/>
          <w:color w:val="0F1115"/>
          <w:sz w:val="24"/>
          <w:lang w:val="en-US" w:eastAsia="ru-RU"/>
        </w:rPr>
      </w:pPr>
      <w:r w:rsidRPr="008946D1">
        <w:rPr>
          <w:b/>
          <w:bCs/>
          <w:color w:val="0F1115"/>
          <w:sz w:val="24"/>
          <w:lang w:val="en-US" w:eastAsia="ru-RU"/>
        </w:rPr>
        <w:t>REFERENCES</w:t>
      </w:r>
    </w:p>
    <w:p w14:paraId="0187C5CC" w14:textId="4D037645" w:rsidR="00833639" w:rsidRPr="00AE273D" w:rsidRDefault="00833639" w:rsidP="004E3DAB">
      <w:pPr>
        <w:pStyle w:val="a5"/>
        <w:numPr>
          <w:ilvl w:val="1"/>
          <w:numId w:val="6"/>
        </w:numPr>
        <w:ind w:left="426" w:hanging="426"/>
        <w:jc w:val="both"/>
        <w:rPr>
          <w:color w:val="000000" w:themeColor="text1"/>
        </w:rPr>
      </w:pPr>
      <w:r w:rsidRPr="00AE273D">
        <w:rPr>
          <w:color w:val="000000" w:themeColor="text1"/>
          <w:lang w:val="en-US"/>
        </w:rPr>
        <w:t xml:space="preserve">Naresh, K., Khan, K. A., &amp; </w:t>
      </w:r>
      <w:proofErr w:type="spellStart"/>
      <w:r w:rsidRPr="00AE273D">
        <w:rPr>
          <w:color w:val="000000" w:themeColor="text1"/>
          <w:lang w:val="en-US"/>
        </w:rPr>
        <w:t>Umer</w:t>
      </w:r>
      <w:proofErr w:type="spellEnd"/>
      <w:r w:rsidRPr="00AE273D">
        <w:rPr>
          <w:color w:val="000000" w:themeColor="text1"/>
          <w:lang w:val="en-US"/>
        </w:rPr>
        <w:t xml:space="preserve">, R. (2021). Experimental Characterization and Modeling Multifunctional Properties of Epoxy/Graphene Oxide Nanocomposites. </w:t>
      </w:r>
      <w:proofErr w:type="spellStart"/>
      <w:r w:rsidRPr="00AE273D">
        <w:rPr>
          <w:color w:val="000000" w:themeColor="text1"/>
        </w:rPr>
        <w:t>Polymers</w:t>
      </w:r>
      <w:proofErr w:type="spellEnd"/>
      <w:r w:rsidRPr="00AE273D">
        <w:rPr>
          <w:color w:val="000000" w:themeColor="text1"/>
        </w:rPr>
        <w:t xml:space="preserve">, 13(16), 2831. </w:t>
      </w:r>
      <w:hyperlink r:id="rId5" w:history="1">
        <w:r w:rsidRPr="00AE273D">
          <w:rPr>
            <w:rStyle w:val="a7"/>
            <w:color w:val="000000" w:themeColor="text1"/>
            <w:u w:val="none"/>
          </w:rPr>
          <w:t>https://doi.org/10.3390/polym13162831</w:t>
        </w:r>
      </w:hyperlink>
      <w:r w:rsidRPr="00AE273D">
        <w:rPr>
          <w:color w:val="000000" w:themeColor="text1"/>
          <w:lang w:val="en-US"/>
        </w:rPr>
        <w:t xml:space="preserve"> </w:t>
      </w:r>
    </w:p>
    <w:p w14:paraId="04392B41" w14:textId="29676619" w:rsidR="00833639" w:rsidRPr="00AE273D" w:rsidRDefault="00833639" w:rsidP="004E3DAB">
      <w:pPr>
        <w:pStyle w:val="a5"/>
        <w:numPr>
          <w:ilvl w:val="1"/>
          <w:numId w:val="6"/>
        </w:numPr>
        <w:ind w:left="426" w:hanging="426"/>
        <w:jc w:val="both"/>
        <w:rPr>
          <w:color w:val="000000" w:themeColor="text1"/>
          <w:lang w:val="en-US"/>
        </w:rPr>
      </w:pPr>
      <w:r w:rsidRPr="00AE273D">
        <w:rPr>
          <w:color w:val="000000" w:themeColor="text1"/>
          <w:lang w:val="en-US"/>
        </w:rPr>
        <w:t xml:space="preserve">Gao, J., Yu, J., Wu, X. et al. Enhanced thermal properties for epoxy composites with a three-dimensional graphene oxide filler. Fibers </w:t>
      </w:r>
      <w:proofErr w:type="spellStart"/>
      <w:r w:rsidRPr="00AE273D">
        <w:rPr>
          <w:color w:val="000000" w:themeColor="text1"/>
          <w:lang w:val="en-US"/>
        </w:rPr>
        <w:t>Polym</w:t>
      </w:r>
      <w:proofErr w:type="spellEnd"/>
      <w:r w:rsidRPr="00AE273D">
        <w:rPr>
          <w:color w:val="000000" w:themeColor="text1"/>
          <w:lang w:val="en-US"/>
        </w:rPr>
        <w:t xml:space="preserve"> 16, 2617–2626 (2015). </w:t>
      </w:r>
      <w:hyperlink r:id="rId6" w:history="1">
        <w:r w:rsidRPr="00AE273D">
          <w:rPr>
            <w:rStyle w:val="a7"/>
            <w:color w:val="000000" w:themeColor="text1"/>
            <w:u w:val="none"/>
            <w:lang w:val="en-US"/>
          </w:rPr>
          <w:t>https://doi.org/10.1007/s12221-015-5637-7</w:t>
        </w:r>
      </w:hyperlink>
      <w:r w:rsidRPr="00AE273D">
        <w:rPr>
          <w:color w:val="000000" w:themeColor="text1"/>
          <w:lang w:val="en-US"/>
        </w:rPr>
        <w:t xml:space="preserve"> </w:t>
      </w:r>
    </w:p>
    <w:p w14:paraId="680DB40D" w14:textId="5B69573E" w:rsidR="001352D1" w:rsidRPr="00AE273D" w:rsidRDefault="00833639" w:rsidP="004E3DAB">
      <w:pPr>
        <w:pStyle w:val="a5"/>
        <w:numPr>
          <w:ilvl w:val="1"/>
          <w:numId w:val="6"/>
        </w:numPr>
        <w:ind w:left="426" w:hanging="426"/>
        <w:jc w:val="both"/>
        <w:rPr>
          <w:color w:val="000000" w:themeColor="text1"/>
        </w:rPr>
      </w:pPr>
      <w:proofErr w:type="spellStart"/>
      <w:r w:rsidRPr="00AE273D">
        <w:rPr>
          <w:color w:val="000000" w:themeColor="text1"/>
          <w:lang w:val="en-US"/>
        </w:rPr>
        <w:t>Boyard</w:t>
      </w:r>
      <w:proofErr w:type="spellEnd"/>
      <w:r w:rsidRPr="00AE273D">
        <w:rPr>
          <w:color w:val="000000" w:themeColor="text1"/>
          <w:lang w:val="en-US"/>
        </w:rPr>
        <w:t xml:space="preserve">, N., &amp; Delaunay, D. (2016). Experimental Determination and Modeling of Thermophysical Properties. </w:t>
      </w:r>
      <w:r w:rsidRPr="00AE273D">
        <w:rPr>
          <w:color w:val="000000" w:themeColor="text1"/>
        </w:rPr>
        <w:t xml:space="preserve">ISTE, 29–76. </w:t>
      </w:r>
      <w:hyperlink r:id="rId7" w:history="1">
        <w:r w:rsidRPr="00AE273D">
          <w:rPr>
            <w:rStyle w:val="a7"/>
            <w:color w:val="000000" w:themeColor="text1"/>
            <w:u w:val="none"/>
          </w:rPr>
          <w:t>https://doi.org/10.1002/9781119116288.ch2</w:t>
        </w:r>
      </w:hyperlink>
      <w:r w:rsidRPr="00AE273D">
        <w:rPr>
          <w:color w:val="000000" w:themeColor="text1"/>
          <w:lang w:val="en-US"/>
        </w:rPr>
        <w:t xml:space="preserve"> </w:t>
      </w:r>
    </w:p>
    <w:p w14:paraId="1EBF29D7" w14:textId="77777777" w:rsidR="00833639" w:rsidRPr="00AE273D" w:rsidRDefault="00833639" w:rsidP="004E3DAB">
      <w:pPr>
        <w:pStyle w:val="a5"/>
        <w:numPr>
          <w:ilvl w:val="1"/>
          <w:numId w:val="6"/>
        </w:numPr>
        <w:ind w:left="426" w:hanging="426"/>
        <w:jc w:val="both"/>
        <w:rPr>
          <w:color w:val="000000" w:themeColor="text1"/>
        </w:rPr>
      </w:pPr>
      <w:r w:rsidRPr="00AE273D">
        <w:rPr>
          <w:color w:val="000000" w:themeColor="text1"/>
          <w:lang w:val="en-US"/>
        </w:rPr>
        <w:t xml:space="preserve">Wei, L., Chen, X., Hong, K., Yuan, Z., Wang, L., Wang, H., … Wang, Z. (2019). Enhancement in mechanical properties of epoxy nanocomposites by Styrene-ethylene-butadiene-styrene grafted graphene oxide. </w:t>
      </w:r>
      <w:proofErr w:type="spellStart"/>
      <w:r w:rsidRPr="00AE273D">
        <w:rPr>
          <w:color w:val="000000" w:themeColor="text1"/>
        </w:rPr>
        <w:t>Composite</w:t>
      </w:r>
      <w:proofErr w:type="spellEnd"/>
      <w:r w:rsidRPr="00AE273D">
        <w:rPr>
          <w:color w:val="000000" w:themeColor="text1"/>
        </w:rPr>
        <w:t xml:space="preserve"> </w:t>
      </w:r>
      <w:proofErr w:type="spellStart"/>
      <w:r w:rsidRPr="00AE273D">
        <w:rPr>
          <w:color w:val="000000" w:themeColor="text1"/>
        </w:rPr>
        <w:t>Interfaces</w:t>
      </w:r>
      <w:proofErr w:type="spellEnd"/>
      <w:r w:rsidRPr="00AE273D">
        <w:rPr>
          <w:color w:val="000000" w:themeColor="text1"/>
        </w:rPr>
        <w:t xml:space="preserve">, 26(2), 141–156. </w:t>
      </w:r>
      <w:hyperlink r:id="rId8" w:history="1">
        <w:r w:rsidRPr="00AE273D">
          <w:rPr>
            <w:rStyle w:val="a7"/>
            <w:color w:val="000000" w:themeColor="text1"/>
            <w:u w:val="none"/>
            <w:lang w:val="en-US"/>
          </w:rPr>
          <w:t>https://doi.org/10.1080/09276440.2018.1481303</w:t>
        </w:r>
      </w:hyperlink>
      <w:r w:rsidRPr="00AE273D">
        <w:rPr>
          <w:color w:val="000000" w:themeColor="text1"/>
          <w:lang w:val="en-US"/>
        </w:rPr>
        <w:t xml:space="preserve"> </w:t>
      </w:r>
    </w:p>
    <w:p w14:paraId="7A44E92F" w14:textId="52547F33" w:rsidR="00833639" w:rsidRPr="00AE273D" w:rsidRDefault="00833639" w:rsidP="004E3DAB">
      <w:pPr>
        <w:pStyle w:val="a5"/>
        <w:numPr>
          <w:ilvl w:val="1"/>
          <w:numId w:val="6"/>
        </w:numPr>
        <w:ind w:left="426" w:hanging="426"/>
        <w:jc w:val="both"/>
        <w:rPr>
          <w:color w:val="000000" w:themeColor="text1"/>
        </w:rPr>
      </w:pPr>
      <w:proofErr w:type="spellStart"/>
      <w:r w:rsidRPr="00AE273D">
        <w:rPr>
          <w:color w:val="000000" w:themeColor="text1"/>
          <w:lang w:val="en-US"/>
        </w:rPr>
        <w:t>Trigui</w:t>
      </w:r>
      <w:proofErr w:type="spellEnd"/>
      <w:r w:rsidRPr="00AE273D">
        <w:rPr>
          <w:color w:val="000000" w:themeColor="text1"/>
          <w:lang w:val="en-US"/>
        </w:rPr>
        <w:t xml:space="preserve">, A., </w:t>
      </w:r>
      <w:proofErr w:type="spellStart"/>
      <w:r w:rsidRPr="00AE273D">
        <w:rPr>
          <w:color w:val="000000" w:themeColor="text1"/>
          <w:lang w:val="en-US"/>
        </w:rPr>
        <w:t>Karkri</w:t>
      </w:r>
      <w:proofErr w:type="spellEnd"/>
      <w:r w:rsidRPr="00AE273D">
        <w:rPr>
          <w:color w:val="000000" w:themeColor="text1"/>
          <w:lang w:val="en-US"/>
        </w:rPr>
        <w:t xml:space="preserve">, M., </w:t>
      </w:r>
      <w:proofErr w:type="spellStart"/>
      <w:r w:rsidRPr="00AE273D">
        <w:rPr>
          <w:color w:val="000000" w:themeColor="text1"/>
          <w:lang w:val="en-US"/>
        </w:rPr>
        <w:t>Boudaya</w:t>
      </w:r>
      <w:proofErr w:type="spellEnd"/>
      <w:r w:rsidRPr="00AE273D">
        <w:rPr>
          <w:color w:val="000000" w:themeColor="text1"/>
          <w:lang w:val="en-US"/>
        </w:rPr>
        <w:t xml:space="preserve">, C., </w:t>
      </w:r>
      <w:proofErr w:type="spellStart"/>
      <w:r w:rsidRPr="00AE273D">
        <w:rPr>
          <w:color w:val="000000" w:themeColor="text1"/>
          <w:lang w:val="en-US"/>
        </w:rPr>
        <w:t>Candau</w:t>
      </w:r>
      <w:proofErr w:type="spellEnd"/>
      <w:r w:rsidRPr="00AE273D">
        <w:rPr>
          <w:color w:val="000000" w:themeColor="text1"/>
          <w:lang w:val="en-US"/>
        </w:rPr>
        <w:t xml:space="preserve">, Y., &amp; Ibos, L. (2013). Development and characterization of composite phase change material: Thermal conductivity and latent heat thermal energy storage. Composites Part B Engineering, 49, 22–35. </w:t>
      </w:r>
      <w:hyperlink r:id="rId9" w:history="1">
        <w:r w:rsidRPr="00AE273D">
          <w:rPr>
            <w:rStyle w:val="a7"/>
            <w:color w:val="000000" w:themeColor="text1"/>
            <w:u w:val="none"/>
            <w:lang w:val="en-US"/>
          </w:rPr>
          <w:t>https://doi.org/10.1016/j.compositesb.2013.01.007</w:t>
        </w:r>
      </w:hyperlink>
      <w:r w:rsidRPr="00AE273D">
        <w:rPr>
          <w:color w:val="000000" w:themeColor="text1"/>
          <w:lang w:val="en-US"/>
        </w:rPr>
        <w:t xml:space="preserve"> </w:t>
      </w:r>
    </w:p>
    <w:p w14:paraId="0EA0BB4B" w14:textId="25CF7FDE" w:rsidR="00833639" w:rsidRPr="00AE273D" w:rsidRDefault="00833639" w:rsidP="004E3DAB">
      <w:pPr>
        <w:pStyle w:val="a5"/>
        <w:numPr>
          <w:ilvl w:val="1"/>
          <w:numId w:val="6"/>
        </w:numPr>
        <w:ind w:left="426" w:hanging="426"/>
        <w:jc w:val="both"/>
        <w:rPr>
          <w:color w:val="000000" w:themeColor="text1"/>
        </w:rPr>
      </w:pPr>
      <w:proofErr w:type="spellStart"/>
      <w:r w:rsidRPr="00AE273D">
        <w:rPr>
          <w:color w:val="000000" w:themeColor="text1"/>
          <w:lang w:val="en-US"/>
        </w:rPr>
        <w:t>Djuraev</w:t>
      </w:r>
      <w:proofErr w:type="spellEnd"/>
      <w:r w:rsidRPr="00AE273D">
        <w:rPr>
          <w:color w:val="000000" w:themeColor="text1"/>
          <w:lang w:val="en-US"/>
        </w:rPr>
        <w:t xml:space="preserve">, S., &amp; </w:t>
      </w:r>
      <w:proofErr w:type="spellStart"/>
      <w:r w:rsidRPr="00AE273D">
        <w:rPr>
          <w:color w:val="000000" w:themeColor="text1"/>
          <w:lang w:val="en-US"/>
        </w:rPr>
        <w:t>Tursunov</w:t>
      </w:r>
      <w:proofErr w:type="spellEnd"/>
      <w:r w:rsidRPr="00AE273D">
        <w:rPr>
          <w:color w:val="000000" w:themeColor="text1"/>
          <w:lang w:val="en-US"/>
        </w:rPr>
        <w:t xml:space="preserve">, A. (2025). Effect of particle size and concentration on multicyclone device efficiency. </w:t>
      </w:r>
      <w:r w:rsidRPr="00AE273D">
        <w:rPr>
          <w:color w:val="000000" w:themeColor="text1"/>
        </w:rPr>
        <w:t xml:space="preserve">AIP Conference </w:t>
      </w:r>
      <w:proofErr w:type="spellStart"/>
      <w:r w:rsidRPr="00AE273D">
        <w:rPr>
          <w:color w:val="000000" w:themeColor="text1"/>
        </w:rPr>
        <w:t>Proceedings</w:t>
      </w:r>
      <w:proofErr w:type="spellEnd"/>
      <w:r w:rsidRPr="00AE273D">
        <w:rPr>
          <w:color w:val="000000" w:themeColor="text1"/>
        </w:rPr>
        <w:t xml:space="preserve">, 3304, 030049. </w:t>
      </w:r>
      <w:hyperlink r:id="rId10" w:history="1">
        <w:r w:rsidRPr="00AE273D">
          <w:rPr>
            <w:rStyle w:val="a7"/>
            <w:color w:val="000000" w:themeColor="text1"/>
            <w:u w:val="none"/>
          </w:rPr>
          <w:t>https://doi.org/10.1063/5.0269110</w:t>
        </w:r>
      </w:hyperlink>
      <w:r w:rsidRPr="00AE273D">
        <w:rPr>
          <w:color w:val="000000" w:themeColor="text1"/>
          <w:lang w:val="en-US"/>
        </w:rPr>
        <w:t xml:space="preserve"> </w:t>
      </w:r>
    </w:p>
    <w:p w14:paraId="7344BF0F" w14:textId="281FE5A0" w:rsidR="00833639" w:rsidRPr="00AE273D" w:rsidRDefault="00833639" w:rsidP="004E3DAB">
      <w:pPr>
        <w:pStyle w:val="a5"/>
        <w:numPr>
          <w:ilvl w:val="1"/>
          <w:numId w:val="6"/>
        </w:numPr>
        <w:ind w:left="426" w:hanging="426"/>
        <w:jc w:val="both"/>
        <w:rPr>
          <w:color w:val="000000" w:themeColor="text1"/>
          <w:lang w:val="en-US"/>
        </w:rPr>
      </w:pPr>
      <w:proofErr w:type="spellStart"/>
      <w:r w:rsidRPr="00AE273D">
        <w:rPr>
          <w:color w:val="000000" w:themeColor="text1"/>
          <w:lang w:val="en-US"/>
        </w:rPr>
        <w:t>Muna</w:t>
      </w:r>
      <w:proofErr w:type="spellEnd"/>
      <w:r w:rsidRPr="00AE273D">
        <w:rPr>
          <w:color w:val="000000" w:themeColor="text1"/>
          <w:lang w:val="en-US"/>
        </w:rPr>
        <w:t xml:space="preserve">, I. I., </w:t>
      </w:r>
      <w:proofErr w:type="spellStart"/>
      <w:r w:rsidRPr="00AE273D">
        <w:rPr>
          <w:color w:val="000000" w:themeColor="text1"/>
          <w:lang w:val="en-US"/>
        </w:rPr>
        <w:t>Mieloszyk</w:t>
      </w:r>
      <w:proofErr w:type="spellEnd"/>
      <w:r w:rsidRPr="00AE273D">
        <w:rPr>
          <w:color w:val="000000" w:themeColor="text1"/>
          <w:lang w:val="en-US"/>
        </w:rPr>
        <w:t xml:space="preserve">, M., &amp; </w:t>
      </w:r>
      <w:proofErr w:type="spellStart"/>
      <w:r w:rsidRPr="00AE273D">
        <w:rPr>
          <w:color w:val="000000" w:themeColor="text1"/>
          <w:lang w:val="en-US"/>
        </w:rPr>
        <w:t>Rimasauskiene</w:t>
      </w:r>
      <w:proofErr w:type="spellEnd"/>
      <w:r w:rsidRPr="00AE273D">
        <w:rPr>
          <w:color w:val="000000" w:themeColor="text1"/>
          <w:lang w:val="en-US"/>
        </w:rPr>
        <w:t xml:space="preserve">, R. (2024). Characterization of the thermal and mechanical properties of additively manufactured carbon fiber reinforced polymer exposed to above-zero and sub-zero temperatures. Journal of Materials Research and Technology, 33, 9832–9842. </w:t>
      </w:r>
      <w:hyperlink r:id="rId11" w:history="1">
        <w:r w:rsidRPr="00AE273D">
          <w:rPr>
            <w:rStyle w:val="a7"/>
            <w:color w:val="000000" w:themeColor="text1"/>
            <w:u w:val="none"/>
            <w:lang w:val="en-US"/>
          </w:rPr>
          <w:t>https://doi.org/10.1016/j.jmrt.2024.12.028</w:t>
        </w:r>
      </w:hyperlink>
      <w:r w:rsidRPr="00AE273D">
        <w:rPr>
          <w:color w:val="000000" w:themeColor="text1"/>
          <w:lang w:val="en-US"/>
        </w:rPr>
        <w:t xml:space="preserve"> </w:t>
      </w:r>
    </w:p>
    <w:p w14:paraId="6AB8E5CB" w14:textId="57CDCCFD" w:rsidR="00833639" w:rsidRPr="00AE273D" w:rsidRDefault="004E3DAB" w:rsidP="004E3DAB">
      <w:pPr>
        <w:pStyle w:val="a5"/>
        <w:numPr>
          <w:ilvl w:val="1"/>
          <w:numId w:val="6"/>
        </w:numPr>
        <w:ind w:left="426" w:hanging="426"/>
        <w:jc w:val="both"/>
        <w:rPr>
          <w:color w:val="000000" w:themeColor="text1"/>
          <w:lang w:val="en-US"/>
        </w:rPr>
      </w:pPr>
      <w:proofErr w:type="spellStart"/>
      <w:r w:rsidRPr="00AE273D">
        <w:rPr>
          <w:color w:val="000000" w:themeColor="text1"/>
          <w:lang w:val="en-US"/>
        </w:rPr>
        <w:t>Mirzabayev</w:t>
      </w:r>
      <w:proofErr w:type="spellEnd"/>
      <w:r w:rsidRPr="00AE273D">
        <w:rPr>
          <w:color w:val="000000" w:themeColor="text1"/>
          <w:lang w:val="en-US"/>
        </w:rPr>
        <w:t xml:space="preserve">, B., </w:t>
      </w:r>
      <w:proofErr w:type="spellStart"/>
      <w:r w:rsidRPr="00AE273D">
        <w:rPr>
          <w:color w:val="000000" w:themeColor="text1"/>
          <w:lang w:val="en-US"/>
        </w:rPr>
        <w:t>Sharibaev</w:t>
      </w:r>
      <w:proofErr w:type="spellEnd"/>
      <w:r w:rsidRPr="00AE273D">
        <w:rPr>
          <w:color w:val="000000" w:themeColor="text1"/>
          <w:lang w:val="en-US"/>
        </w:rPr>
        <w:t xml:space="preserve">, N. Y., </w:t>
      </w:r>
      <w:proofErr w:type="spellStart"/>
      <w:r w:rsidRPr="00AE273D">
        <w:rPr>
          <w:color w:val="000000" w:themeColor="text1"/>
          <w:lang w:val="en-US"/>
        </w:rPr>
        <w:t>Djuraev</w:t>
      </w:r>
      <w:proofErr w:type="spellEnd"/>
      <w:r w:rsidRPr="00AE273D">
        <w:rPr>
          <w:color w:val="000000" w:themeColor="text1"/>
          <w:lang w:val="en-US"/>
        </w:rPr>
        <w:t xml:space="preserve">, S., &amp; </w:t>
      </w:r>
      <w:proofErr w:type="spellStart"/>
      <w:r w:rsidRPr="00AE273D">
        <w:rPr>
          <w:color w:val="000000" w:themeColor="text1"/>
          <w:lang w:val="en-US"/>
        </w:rPr>
        <w:t>Korabayev</w:t>
      </w:r>
      <w:proofErr w:type="spellEnd"/>
      <w:r w:rsidRPr="00AE273D">
        <w:rPr>
          <w:color w:val="000000" w:themeColor="text1"/>
          <w:lang w:val="en-US"/>
        </w:rPr>
        <w:t xml:space="preserve">, S. (2025). Controlling tensile strength in yarn using an ultrasonic water vaporizer. AIP Conference Proceedings, 3304, 030047. </w:t>
      </w:r>
      <w:hyperlink r:id="rId12" w:history="1">
        <w:r w:rsidRPr="00AE273D">
          <w:rPr>
            <w:rStyle w:val="a7"/>
            <w:color w:val="000000" w:themeColor="text1"/>
            <w:u w:val="none"/>
            <w:lang w:val="en-US"/>
          </w:rPr>
          <w:t>https://doi.org/10.1063/5.0269506</w:t>
        </w:r>
      </w:hyperlink>
      <w:r w:rsidRPr="00AE273D">
        <w:rPr>
          <w:color w:val="000000" w:themeColor="text1"/>
          <w:lang w:val="en-US"/>
        </w:rPr>
        <w:t xml:space="preserve"> </w:t>
      </w:r>
    </w:p>
    <w:sectPr w:rsidR="00833639" w:rsidRPr="00AE273D" w:rsidSect="00AE273D">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00D9"/>
    <w:multiLevelType w:val="multilevel"/>
    <w:tmpl w:val="5ABC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8143B"/>
    <w:multiLevelType w:val="multilevel"/>
    <w:tmpl w:val="AB06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732A9"/>
    <w:multiLevelType w:val="multilevel"/>
    <w:tmpl w:val="8D08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D5F40"/>
    <w:multiLevelType w:val="multilevel"/>
    <w:tmpl w:val="A908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90211"/>
    <w:multiLevelType w:val="multilevel"/>
    <w:tmpl w:val="F868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561541"/>
    <w:multiLevelType w:val="multilevel"/>
    <w:tmpl w:val="23A6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670DAD"/>
    <w:multiLevelType w:val="multilevel"/>
    <w:tmpl w:val="94BC75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F1115"/>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F4334A"/>
    <w:multiLevelType w:val="multilevel"/>
    <w:tmpl w:val="AE1C1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23400B"/>
    <w:multiLevelType w:val="multilevel"/>
    <w:tmpl w:val="409C1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3"/>
  </w:num>
  <w:num w:numId="5">
    <w:abstractNumId w:val="2"/>
  </w:num>
  <w:num w:numId="6">
    <w:abstractNumId w:val="6"/>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5C"/>
    <w:rsid w:val="000C79F6"/>
    <w:rsid w:val="001352D1"/>
    <w:rsid w:val="00155670"/>
    <w:rsid w:val="00197E5C"/>
    <w:rsid w:val="001C340F"/>
    <w:rsid w:val="0044760E"/>
    <w:rsid w:val="004A196A"/>
    <w:rsid w:val="004E3DAB"/>
    <w:rsid w:val="005B0316"/>
    <w:rsid w:val="005E479D"/>
    <w:rsid w:val="006E0EC6"/>
    <w:rsid w:val="0074651E"/>
    <w:rsid w:val="007616DD"/>
    <w:rsid w:val="00833639"/>
    <w:rsid w:val="008946D1"/>
    <w:rsid w:val="009B3971"/>
    <w:rsid w:val="00A4050E"/>
    <w:rsid w:val="00A82A63"/>
    <w:rsid w:val="00AA2E26"/>
    <w:rsid w:val="00AE273D"/>
    <w:rsid w:val="00B370C8"/>
    <w:rsid w:val="00B647FC"/>
    <w:rsid w:val="00B93934"/>
    <w:rsid w:val="00D770AD"/>
    <w:rsid w:val="00E97068"/>
    <w:rsid w:val="00FC56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5AB2"/>
  <w15:docId w15:val="{C479E886-5D0E-4607-8F5F-EC2A2F27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rsid w:val="00A4050E"/>
    <w:pPr>
      <w:keepNext/>
      <w:spacing w:before="240" w:after="240"/>
      <w:jc w:val="center"/>
      <w:outlineLvl w:val="0"/>
    </w:pPr>
    <w:rPr>
      <w:b/>
      <w:caps/>
      <w:sz w:val="24"/>
      <w:lang w:val="en-US"/>
    </w:rPr>
  </w:style>
  <w:style w:type="paragraph" w:styleId="2">
    <w:name w:val="heading 2"/>
    <w:basedOn w:val="a"/>
    <w:next w:val="a"/>
    <w:link w:val="20"/>
    <w:qFormat/>
    <w:rsid w:val="00A4050E"/>
    <w:pPr>
      <w:keepNext/>
      <w:spacing w:before="240" w:after="240"/>
      <w:jc w:val="center"/>
      <w:outlineLvl w:val="1"/>
    </w:pPr>
    <w:rPr>
      <w:b/>
      <w:sz w:val="24"/>
      <w:lang w:val="en-US"/>
    </w:rPr>
  </w:style>
  <w:style w:type="paragraph" w:styleId="3">
    <w:name w:val="heading 3"/>
    <w:basedOn w:val="a"/>
    <w:next w:val="a"/>
    <w:link w:val="30"/>
    <w:qFormat/>
    <w:rsid w:val="00A4050E"/>
    <w:pPr>
      <w:keepNext/>
      <w:spacing w:before="240" w:after="240"/>
      <w:jc w:val="center"/>
      <w:outlineLvl w:val="2"/>
    </w:pPr>
    <w:rPr>
      <w:i/>
      <w:iCs/>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Email">
    <w:name w:val="Author Email"/>
    <w:basedOn w:val="a"/>
    <w:qFormat/>
    <w:rsid w:val="00A4050E"/>
    <w:pPr>
      <w:jc w:val="center"/>
    </w:pPr>
    <w:rPr>
      <w:lang w:val="en-US"/>
    </w:rPr>
  </w:style>
  <w:style w:type="paragraph" w:customStyle="1" w:styleId="TableCaption">
    <w:name w:val="Table Caption"/>
    <w:basedOn w:val="a"/>
    <w:qFormat/>
    <w:rsid w:val="00A4050E"/>
    <w:pPr>
      <w:spacing w:before="120"/>
      <w:jc w:val="center"/>
    </w:pPr>
    <w:rPr>
      <w:sz w:val="18"/>
      <w:szCs w:val="18"/>
      <w:lang w:val="en-US"/>
    </w:rPr>
  </w:style>
  <w:style w:type="character" w:customStyle="1" w:styleId="10">
    <w:name w:val="Заголовок 1 Знак"/>
    <w:basedOn w:val="a0"/>
    <w:link w:val="1"/>
    <w:rsid w:val="00A4050E"/>
    <w:rPr>
      <w:b/>
      <w:caps/>
      <w:sz w:val="24"/>
      <w:lang w:val="en-US"/>
    </w:rPr>
  </w:style>
  <w:style w:type="character" w:customStyle="1" w:styleId="20">
    <w:name w:val="Заголовок 2 Знак"/>
    <w:basedOn w:val="a0"/>
    <w:link w:val="2"/>
    <w:rsid w:val="00A4050E"/>
    <w:rPr>
      <w:b/>
      <w:sz w:val="24"/>
      <w:lang w:val="en-US"/>
    </w:rPr>
  </w:style>
  <w:style w:type="character" w:customStyle="1" w:styleId="30">
    <w:name w:val="Заголовок 3 Знак"/>
    <w:basedOn w:val="a0"/>
    <w:link w:val="3"/>
    <w:rsid w:val="00A4050E"/>
    <w:rPr>
      <w:i/>
      <w:iCs/>
      <w:lang w:val="en-GB" w:eastAsia="en-GB"/>
    </w:rPr>
  </w:style>
  <w:style w:type="character" w:styleId="a3">
    <w:name w:val="Strong"/>
    <w:basedOn w:val="a0"/>
    <w:uiPriority w:val="22"/>
    <w:qFormat/>
    <w:rsid w:val="00A4050E"/>
    <w:rPr>
      <w:b/>
      <w:bCs/>
    </w:rPr>
  </w:style>
  <w:style w:type="character" w:styleId="a4">
    <w:name w:val="Emphasis"/>
    <w:basedOn w:val="a0"/>
    <w:uiPriority w:val="20"/>
    <w:qFormat/>
    <w:rsid w:val="00A4050E"/>
    <w:rPr>
      <w:i/>
      <w:iCs/>
    </w:rPr>
  </w:style>
  <w:style w:type="paragraph" w:styleId="a5">
    <w:name w:val="List Paragraph"/>
    <w:basedOn w:val="a"/>
    <w:uiPriority w:val="34"/>
    <w:rsid w:val="005B0316"/>
    <w:pPr>
      <w:ind w:left="720"/>
      <w:contextualSpacing/>
    </w:pPr>
  </w:style>
  <w:style w:type="paragraph" w:customStyle="1" w:styleId="ds-markdown-paragraph">
    <w:name w:val="ds-markdown-paragraph"/>
    <w:basedOn w:val="a"/>
    <w:rsid w:val="005B0316"/>
    <w:pPr>
      <w:spacing w:before="100" w:beforeAutospacing="1" w:after="100" w:afterAutospacing="1"/>
    </w:pPr>
    <w:rPr>
      <w:sz w:val="24"/>
      <w:szCs w:val="24"/>
      <w:lang w:eastAsia="ru-RU"/>
    </w:rPr>
  </w:style>
  <w:style w:type="table" w:styleId="a6">
    <w:name w:val="Table Grid"/>
    <w:basedOn w:val="a1"/>
    <w:uiPriority w:val="59"/>
    <w:rsid w:val="000C7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33639"/>
    <w:rPr>
      <w:color w:val="0000FF" w:themeColor="hyperlink"/>
      <w:u w:val="single"/>
    </w:rPr>
  </w:style>
  <w:style w:type="character" w:styleId="a8">
    <w:name w:val="Unresolved Mention"/>
    <w:basedOn w:val="a0"/>
    <w:uiPriority w:val="99"/>
    <w:semiHidden/>
    <w:unhideWhenUsed/>
    <w:rsid w:val="00833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16360">
      <w:bodyDiv w:val="1"/>
      <w:marLeft w:val="0"/>
      <w:marRight w:val="0"/>
      <w:marTop w:val="0"/>
      <w:marBottom w:val="0"/>
      <w:divBdr>
        <w:top w:val="none" w:sz="0" w:space="0" w:color="auto"/>
        <w:left w:val="none" w:sz="0" w:space="0" w:color="auto"/>
        <w:bottom w:val="none" w:sz="0" w:space="0" w:color="auto"/>
        <w:right w:val="none" w:sz="0" w:space="0" w:color="auto"/>
      </w:divBdr>
    </w:div>
    <w:div w:id="585573158">
      <w:bodyDiv w:val="1"/>
      <w:marLeft w:val="0"/>
      <w:marRight w:val="0"/>
      <w:marTop w:val="0"/>
      <w:marBottom w:val="0"/>
      <w:divBdr>
        <w:top w:val="none" w:sz="0" w:space="0" w:color="auto"/>
        <w:left w:val="none" w:sz="0" w:space="0" w:color="auto"/>
        <w:bottom w:val="none" w:sz="0" w:space="0" w:color="auto"/>
        <w:right w:val="none" w:sz="0" w:space="0" w:color="auto"/>
      </w:divBdr>
    </w:div>
    <w:div w:id="728069698">
      <w:bodyDiv w:val="1"/>
      <w:marLeft w:val="0"/>
      <w:marRight w:val="0"/>
      <w:marTop w:val="0"/>
      <w:marBottom w:val="0"/>
      <w:divBdr>
        <w:top w:val="none" w:sz="0" w:space="0" w:color="auto"/>
        <w:left w:val="none" w:sz="0" w:space="0" w:color="auto"/>
        <w:bottom w:val="none" w:sz="0" w:space="0" w:color="auto"/>
        <w:right w:val="none" w:sz="0" w:space="0" w:color="auto"/>
      </w:divBdr>
    </w:div>
    <w:div w:id="1275945213">
      <w:bodyDiv w:val="1"/>
      <w:marLeft w:val="0"/>
      <w:marRight w:val="0"/>
      <w:marTop w:val="0"/>
      <w:marBottom w:val="0"/>
      <w:divBdr>
        <w:top w:val="none" w:sz="0" w:space="0" w:color="auto"/>
        <w:left w:val="none" w:sz="0" w:space="0" w:color="auto"/>
        <w:bottom w:val="none" w:sz="0" w:space="0" w:color="auto"/>
        <w:right w:val="none" w:sz="0" w:space="0" w:color="auto"/>
      </w:divBdr>
      <w:divsChild>
        <w:div w:id="1305619590">
          <w:marLeft w:val="0"/>
          <w:marRight w:val="0"/>
          <w:marTop w:val="0"/>
          <w:marBottom w:val="0"/>
          <w:divBdr>
            <w:top w:val="none" w:sz="0" w:space="0" w:color="auto"/>
            <w:left w:val="none" w:sz="0" w:space="0" w:color="auto"/>
            <w:bottom w:val="none" w:sz="0" w:space="0" w:color="auto"/>
            <w:right w:val="none" w:sz="0" w:space="0" w:color="auto"/>
          </w:divBdr>
        </w:div>
        <w:div w:id="873807682">
          <w:marLeft w:val="0"/>
          <w:marRight w:val="0"/>
          <w:marTop w:val="0"/>
          <w:marBottom w:val="0"/>
          <w:divBdr>
            <w:top w:val="none" w:sz="0" w:space="0" w:color="auto"/>
            <w:left w:val="none" w:sz="0" w:space="0" w:color="auto"/>
            <w:bottom w:val="none" w:sz="0" w:space="0" w:color="auto"/>
            <w:right w:val="none" w:sz="0" w:space="0" w:color="auto"/>
          </w:divBdr>
        </w:div>
        <w:div w:id="1430002892">
          <w:marLeft w:val="0"/>
          <w:marRight w:val="0"/>
          <w:marTop w:val="0"/>
          <w:marBottom w:val="0"/>
          <w:divBdr>
            <w:top w:val="none" w:sz="0" w:space="0" w:color="auto"/>
            <w:left w:val="none" w:sz="0" w:space="0" w:color="auto"/>
            <w:bottom w:val="none" w:sz="0" w:space="0" w:color="auto"/>
            <w:right w:val="none" w:sz="0" w:space="0" w:color="auto"/>
          </w:divBdr>
        </w:div>
        <w:div w:id="1123573333">
          <w:marLeft w:val="0"/>
          <w:marRight w:val="0"/>
          <w:marTop w:val="0"/>
          <w:marBottom w:val="0"/>
          <w:divBdr>
            <w:top w:val="none" w:sz="0" w:space="0" w:color="auto"/>
            <w:left w:val="none" w:sz="0" w:space="0" w:color="auto"/>
            <w:bottom w:val="none" w:sz="0" w:space="0" w:color="auto"/>
            <w:right w:val="none" w:sz="0" w:space="0" w:color="auto"/>
          </w:divBdr>
        </w:div>
        <w:div w:id="1073704412">
          <w:marLeft w:val="0"/>
          <w:marRight w:val="0"/>
          <w:marTop w:val="0"/>
          <w:marBottom w:val="0"/>
          <w:divBdr>
            <w:top w:val="none" w:sz="0" w:space="0" w:color="auto"/>
            <w:left w:val="none" w:sz="0" w:space="0" w:color="auto"/>
            <w:bottom w:val="none" w:sz="0" w:space="0" w:color="auto"/>
            <w:right w:val="none" w:sz="0" w:space="0" w:color="auto"/>
          </w:divBdr>
        </w:div>
      </w:divsChild>
    </w:div>
    <w:div w:id="1827625100">
      <w:bodyDiv w:val="1"/>
      <w:marLeft w:val="0"/>
      <w:marRight w:val="0"/>
      <w:marTop w:val="0"/>
      <w:marBottom w:val="0"/>
      <w:divBdr>
        <w:top w:val="none" w:sz="0" w:space="0" w:color="auto"/>
        <w:left w:val="none" w:sz="0" w:space="0" w:color="auto"/>
        <w:bottom w:val="none" w:sz="0" w:space="0" w:color="auto"/>
        <w:right w:val="none" w:sz="0" w:space="0" w:color="auto"/>
      </w:divBdr>
    </w:div>
    <w:div w:id="1959750347">
      <w:bodyDiv w:val="1"/>
      <w:marLeft w:val="0"/>
      <w:marRight w:val="0"/>
      <w:marTop w:val="0"/>
      <w:marBottom w:val="0"/>
      <w:divBdr>
        <w:top w:val="none" w:sz="0" w:space="0" w:color="auto"/>
        <w:left w:val="none" w:sz="0" w:space="0" w:color="auto"/>
        <w:bottom w:val="none" w:sz="0" w:space="0" w:color="auto"/>
        <w:right w:val="none" w:sz="0" w:space="0" w:color="auto"/>
      </w:divBdr>
      <w:divsChild>
        <w:div w:id="1613516161">
          <w:marLeft w:val="0"/>
          <w:marRight w:val="0"/>
          <w:marTop w:val="0"/>
          <w:marBottom w:val="0"/>
          <w:divBdr>
            <w:top w:val="none" w:sz="0" w:space="0" w:color="auto"/>
            <w:left w:val="none" w:sz="0" w:space="0" w:color="auto"/>
            <w:bottom w:val="none" w:sz="0" w:space="0" w:color="auto"/>
            <w:right w:val="none" w:sz="0" w:space="0" w:color="auto"/>
          </w:divBdr>
          <w:divsChild>
            <w:div w:id="18729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276440.2018.14813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2/9781119116288.ch2" TargetMode="External"/><Relationship Id="rId12" Type="http://schemas.openxmlformats.org/officeDocument/2006/relationships/hyperlink" Target="https://doi.org/10.1063/5.02695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12221-015-5637-7" TargetMode="External"/><Relationship Id="rId11" Type="http://schemas.openxmlformats.org/officeDocument/2006/relationships/hyperlink" Target="https://doi.org/10.1016/j.jmrt.2024.12.028" TargetMode="External"/><Relationship Id="rId5" Type="http://schemas.openxmlformats.org/officeDocument/2006/relationships/hyperlink" Target="https://doi.org/10.3390/polym13162831" TargetMode="External"/><Relationship Id="rId10" Type="http://schemas.openxmlformats.org/officeDocument/2006/relationships/hyperlink" Target="https://doi.org/10.1063/5.0269110" TargetMode="External"/><Relationship Id="rId4" Type="http://schemas.openxmlformats.org/officeDocument/2006/relationships/webSettings" Target="webSettings.xml"/><Relationship Id="rId9" Type="http://schemas.openxmlformats.org/officeDocument/2006/relationships/hyperlink" Target="https://doi.org/10.1016/j.compositesb.2013.01.0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3224</Words>
  <Characters>18378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2026-01-06T05:38:00Z</dcterms:created>
  <dcterms:modified xsi:type="dcterms:W3CDTF">2026-01-06T05:38:00Z</dcterms:modified>
</cp:coreProperties>
</file>