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6B07" w14:textId="303FF67D" w:rsidR="00B65C2D" w:rsidRPr="00C2208A" w:rsidRDefault="00C2208A" w:rsidP="005C63B5">
      <w:pPr>
        <w:spacing w:before="1200" w:after="0" w:line="240" w:lineRule="auto"/>
        <w:jc w:val="center"/>
        <w:rPr>
          <w:sz w:val="36"/>
          <w:szCs w:val="36"/>
          <w:lang w:val="en-US"/>
        </w:rPr>
      </w:pPr>
      <w:r>
        <w:rPr>
          <w:sz w:val="36"/>
          <w:szCs w:val="36"/>
          <w:lang w:val="en-US"/>
        </w:rPr>
        <w:t>The Effect of Treatment w</w:t>
      </w:r>
      <w:r w:rsidRPr="00C2208A">
        <w:rPr>
          <w:sz w:val="36"/>
          <w:szCs w:val="36"/>
          <w:lang w:val="en-US"/>
        </w:rPr>
        <w:t>ith Fire Retardant on the Dyeing Process</w:t>
      </w:r>
    </w:p>
    <w:p w14:paraId="1503F723" w14:textId="74DEA784" w:rsidR="00B65C2D" w:rsidRPr="00C2208A" w:rsidRDefault="00B65C2D" w:rsidP="00C2208A">
      <w:pPr>
        <w:spacing w:before="360" w:after="360" w:line="240" w:lineRule="auto"/>
        <w:jc w:val="center"/>
        <w:rPr>
          <w:b w:val="0"/>
          <w:iCs/>
          <w:szCs w:val="20"/>
          <w:lang w:val="en-US"/>
        </w:rPr>
      </w:pPr>
      <w:r w:rsidRPr="00C2208A">
        <w:rPr>
          <w:b w:val="0"/>
          <w:iCs/>
          <w:szCs w:val="20"/>
          <w:lang w:val="uz-Latn-UZ"/>
        </w:rPr>
        <w:t>J.</w:t>
      </w:r>
      <w:r w:rsidR="005C63B5">
        <w:rPr>
          <w:b w:val="0"/>
          <w:iCs/>
          <w:szCs w:val="20"/>
          <w:lang w:val="uz-Latn-UZ"/>
        </w:rPr>
        <w:t xml:space="preserve"> </w:t>
      </w:r>
      <w:r w:rsidRPr="00C2208A">
        <w:rPr>
          <w:b w:val="0"/>
          <w:iCs/>
          <w:szCs w:val="20"/>
          <w:lang w:val="uz-Latn-UZ"/>
        </w:rPr>
        <w:t>Ergashova</w:t>
      </w:r>
      <w:r w:rsidRPr="00C2208A">
        <w:rPr>
          <w:b w:val="0"/>
          <w:iCs/>
          <w:szCs w:val="20"/>
          <w:vertAlign w:val="superscript"/>
          <w:lang w:val="uz-Latn-UZ"/>
        </w:rPr>
        <w:t>1</w:t>
      </w:r>
      <w:r w:rsidR="00C2208A" w:rsidRPr="00C2208A">
        <w:rPr>
          <w:b w:val="0"/>
          <w:iCs/>
          <w:szCs w:val="20"/>
          <w:lang w:val="en-US"/>
        </w:rPr>
        <w:t>,</w:t>
      </w:r>
      <w:r w:rsidRPr="00C2208A">
        <w:rPr>
          <w:b w:val="0"/>
          <w:iCs/>
          <w:szCs w:val="20"/>
          <w:lang w:val="en-US"/>
        </w:rPr>
        <w:t xml:space="preserve"> N.D.</w:t>
      </w:r>
      <w:r w:rsidR="005C63B5">
        <w:rPr>
          <w:b w:val="0"/>
          <w:iCs/>
          <w:szCs w:val="20"/>
          <w:lang w:val="en-US"/>
        </w:rPr>
        <w:t xml:space="preserve"> </w:t>
      </w:r>
      <w:r w:rsidRPr="00C2208A">
        <w:rPr>
          <w:b w:val="0"/>
          <w:iCs/>
          <w:szCs w:val="20"/>
          <w:lang w:val="en-US"/>
        </w:rPr>
        <w:t>Nabiyev</w:t>
      </w:r>
      <w:r w:rsidRPr="00C2208A">
        <w:rPr>
          <w:b w:val="0"/>
          <w:iCs/>
          <w:szCs w:val="20"/>
          <w:vertAlign w:val="superscript"/>
          <w:lang w:val="en-US"/>
        </w:rPr>
        <w:t>2</w:t>
      </w:r>
      <w:r w:rsidRPr="00C2208A">
        <w:rPr>
          <w:b w:val="0"/>
          <w:iCs/>
          <w:szCs w:val="20"/>
          <w:lang w:val="en-US"/>
        </w:rPr>
        <w:t xml:space="preserve">, </w:t>
      </w:r>
      <w:r w:rsidRPr="00C2208A">
        <w:rPr>
          <w:b w:val="0"/>
          <w:iCs/>
          <w:szCs w:val="20"/>
          <w:lang w:val="uz-Cyrl-UZ"/>
        </w:rPr>
        <w:t>J.</w:t>
      </w:r>
      <w:r w:rsidRPr="00C2208A">
        <w:rPr>
          <w:b w:val="0"/>
          <w:iCs/>
          <w:szCs w:val="20"/>
          <w:lang w:val="uz-Latn-UZ"/>
        </w:rPr>
        <w:t>S.</w:t>
      </w:r>
      <w:r w:rsidR="005C63B5">
        <w:rPr>
          <w:b w:val="0"/>
          <w:iCs/>
          <w:szCs w:val="20"/>
          <w:lang w:val="uz-Latn-UZ"/>
        </w:rPr>
        <w:t xml:space="preserve"> </w:t>
      </w:r>
      <w:r w:rsidRPr="00C2208A">
        <w:rPr>
          <w:b w:val="0"/>
          <w:iCs/>
          <w:szCs w:val="20"/>
          <w:lang w:val="uz-Cyrl-UZ"/>
        </w:rPr>
        <w:t>Arabov</w:t>
      </w:r>
      <w:r w:rsidRPr="00C2208A">
        <w:rPr>
          <w:b w:val="0"/>
          <w:iCs/>
          <w:szCs w:val="20"/>
          <w:vertAlign w:val="superscript"/>
          <w:lang w:val="uz-Latn-UZ"/>
        </w:rPr>
        <w:t>1</w:t>
      </w:r>
      <w:r w:rsidR="005C63B5">
        <w:rPr>
          <w:b w:val="0"/>
          <w:iCs/>
          <w:szCs w:val="20"/>
          <w:vertAlign w:val="superscript"/>
          <w:lang w:val="uz-Latn-UZ"/>
        </w:rPr>
        <w:t>, a)</w:t>
      </w:r>
    </w:p>
    <w:p w14:paraId="542CBC7A" w14:textId="43AD0C68" w:rsidR="00B65C2D" w:rsidRPr="00C2208A" w:rsidRDefault="00B65C2D" w:rsidP="00C2208A">
      <w:pPr>
        <w:spacing w:after="0" w:line="240" w:lineRule="auto"/>
        <w:jc w:val="center"/>
        <w:rPr>
          <w:b w:val="0"/>
          <w:i/>
          <w:iCs/>
          <w:sz w:val="20"/>
          <w:szCs w:val="20"/>
          <w:lang w:val="en-US"/>
        </w:rPr>
      </w:pPr>
      <w:r w:rsidRPr="00C2208A">
        <w:rPr>
          <w:b w:val="0"/>
          <w:i/>
          <w:iCs/>
          <w:sz w:val="20"/>
          <w:szCs w:val="20"/>
          <w:vertAlign w:val="superscript"/>
          <w:lang w:val="en-US"/>
        </w:rPr>
        <w:t>1</w:t>
      </w:r>
      <w:r w:rsidRPr="00C2208A">
        <w:rPr>
          <w:b w:val="0"/>
          <w:i/>
          <w:iCs/>
          <w:sz w:val="20"/>
          <w:szCs w:val="20"/>
          <w:lang w:val="en-US"/>
        </w:rPr>
        <w:t>Tashkent Institute of Textile and Light Industry</w:t>
      </w:r>
      <w:r w:rsidR="00C2208A" w:rsidRPr="00C2208A">
        <w:rPr>
          <w:b w:val="0"/>
          <w:i/>
          <w:iCs/>
          <w:sz w:val="20"/>
          <w:szCs w:val="20"/>
          <w:lang w:val="en-US"/>
        </w:rPr>
        <w:t>, Tashkent, Uzbekistan</w:t>
      </w:r>
    </w:p>
    <w:p w14:paraId="53476817" w14:textId="51E936D6" w:rsidR="00B65C2D" w:rsidRPr="00C2208A" w:rsidRDefault="00B65C2D" w:rsidP="00C2208A">
      <w:pPr>
        <w:spacing w:after="0" w:line="240" w:lineRule="auto"/>
        <w:jc w:val="center"/>
        <w:rPr>
          <w:b w:val="0"/>
          <w:i/>
          <w:iCs/>
          <w:sz w:val="20"/>
          <w:szCs w:val="20"/>
          <w:lang w:val="en-US"/>
        </w:rPr>
      </w:pPr>
      <w:r w:rsidRPr="00C2208A">
        <w:rPr>
          <w:b w:val="0"/>
          <w:i/>
          <w:iCs/>
          <w:sz w:val="20"/>
          <w:szCs w:val="20"/>
          <w:vertAlign w:val="superscript"/>
          <w:lang w:val="en-US"/>
        </w:rPr>
        <w:t>2</w:t>
      </w:r>
      <w:r w:rsidRPr="00C2208A">
        <w:rPr>
          <w:b w:val="0"/>
          <w:i/>
          <w:iCs/>
          <w:sz w:val="20"/>
          <w:szCs w:val="20"/>
          <w:lang w:val="en-US"/>
        </w:rPr>
        <w:t>“Raw Materials cellulose” MCHJ”</w:t>
      </w:r>
      <w:r w:rsidR="00C2208A" w:rsidRPr="00C2208A">
        <w:rPr>
          <w:b w:val="0"/>
          <w:i/>
          <w:iCs/>
          <w:sz w:val="20"/>
          <w:szCs w:val="20"/>
          <w:lang w:val="en-US"/>
        </w:rPr>
        <w:t>, Tashkent, Uzbekistan</w:t>
      </w:r>
    </w:p>
    <w:p w14:paraId="6C2B3DA8" w14:textId="77777777" w:rsidR="00C2208A" w:rsidRPr="00C2208A" w:rsidRDefault="00C2208A" w:rsidP="00C2208A">
      <w:pPr>
        <w:spacing w:after="0" w:line="240" w:lineRule="auto"/>
        <w:jc w:val="center"/>
        <w:rPr>
          <w:b w:val="0"/>
          <w:i/>
          <w:iCs/>
          <w:sz w:val="20"/>
          <w:szCs w:val="20"/>
          <w:lang w:val="en-US"/>
        </w:rPr>
      </w:pPr>
    </w:p>
    <w:p w14:paraId="7571170A" w14:textId="0EB86C0E" w:rsidR="00B65C2D" w:rsidRPr="00C2208A" w:rsidRDefault="00B65C2D" w:rsidP="00C2208A">
      <w:pPr>
        <w:spacing w:after="0" w:line="240" w:lineRule="auto"/>
        <w:jc w:val="center"/>
        <w:rPr>
          <w:b w:val="0"/>
          <w:i/>
          <w:iCs/>
          <w:sz w:val="20"/>
          <w:szCs w:val="20"/>
          <w:lang w:val="en-US"/>
        </w:rPr>
      </w:pPr>
      <w:r w:rsidRPr="00C2208A">
        <w:rPr>
          <w:b w:val="0"/>
          <w:i/>
          <w:iCs/>
          <w:sz w:val="20"/>
          <w:szCs w:val="20"/>
          <w:vertAlign w:val="superscript"/>
          <w:lang w:val="en-US"/>
        </w:rPr>
        <w:t>a)</w:t>
      </w:r>
      <w:r w:rsidRPr="00C2208A">
        <w:rPr>
          <w:b w:val="0"/>
          <w:i/>
          <w:iCs/>
          <w:sz w:val="20"/>
          <w:szCs w:val="20"/>
          <w:lang w:val="en-US"/>
        </w:rPr>
        <w:t>Corresponding author: arabovjamoliddin19@gmail.com</w:t>
      </w:r>
    </w:p>
    <w:p w14:paraId="73B39847" w14:textId="6274BEA1" w:rsidR="00B65C2D" w:rsidRPr="00C2208A" w:rsidRDefault="00C2208A" w:rsidP="00C2208A">
      <w:pPr>
        <w:spacing w:before="360" w:after="360" w:line="240" w:lineRule="auto"/>
        <w:ind w:left="289" w:right="289"/>
        <w:jc w:val="both"/>
        <w:rPr>
          <w:b w:val="0"/>
          <w:iCs/>
          <w:sz w:val="18"/>
          <w:szCs w:val="20"/>
          <w:lang w:val="en-US"/>
        </w:rPr>
      </w:pPr>
      <w:r w:rsidRPr="00C2208A">
        <w:rPr>
          <w:iCs/>
          <w:sz w:val="18"/>
          <w:szCs w:val="20"/>
          <w:lang w:val="en-US"/>
        </w:rPr>
        <w:t>Abstract.</w:t>
      </w:r>
      <w:r w:rsidR="00B65C2D" w:rsidRPr="00C2208A">
        <w:rPr>
          <w:b w:val="0"/>
          <w:iCs/>
          <w:sz w:val="18"/>
          <w:szCs w:val="20"/>
          <w:lang w:val="en-US"/>
        </w:rPr>
        <w:t xml:space="preserve"> This article studies the scientific and practical impact of flame retardant treatment of cotton fiber materials on dyeing technology. In the experiment, dyed cotton fiber fabric samples were given flame retardant properties and the changes in the quality indicators of dyed cotton fiber fabric samples were analyzed. The results of the flame retardant properties, physical and mechanical properties, color intensity and I</w:t>
      </w:r>
      <w:r w:rsidR="00307BC6" w:rsidRPr="00C2208A">
        <w:rPr>
          <w:b w:val="0"/>
          <w:iCs/>
          <w:sz w:val="18"/>
          <w:szCs w:val="20"/>
          <w:lang w:val="en-US"/>
        </w:rPr>
        <w:t>Q</w:t>
      </w:r>
      <w:r w:rsidR="00B65C2D" w:rsidRPr="00C2208A">
        <w:rPr>
          <w:b w:val="0"/>
          <w:iCs/>
          <w:sz w:val="18"/>
          <w:szCs w:val="20"/>
          <w:lang w:val="en-US"/>
        </w:rPr>
        <w:t xml:space="preserve"> indicators of the samples are presented. The article also reveals the problems arising from the interaction between flame retardant and dye and ways to eliminate them.</w:t>
      </w:r>
    </w:p>
    <w:p w14:paraId="4BE5E1B0" w14:textId="77777777" w:rsidR="00B65C2D" w:rsidRPr="00C2208A" w:rsidRDefault="00B65C2D" w:rsidP="00C2208A">
      <w:pPr>
        <w:spacing w:before="360" w:after="360" w:line="240" w:lineRule="auto"/>
        <w:ind w:left="289" w:right="289"/>
        <w:jc w:val="both"/>
        <w:rPr>
          <w:b w:val="0"/>
          <w:iCs/>
          <w:sz w:val="18"/>
          <w:szCs w:val="20"/>
          <w:lang w:val="en-US"/>
        </w:rPr>
      </w:pPr>
      <w:r w:rsidRPr="00C2208A">
        <w:rPr>
          <w:iCs/>
          <w:sz w:val="18"/>
          <w:szCs w:val="20"/>
          <w:lang w:val="en-US"/>
        </w:rPr>
        <w:t>Keywords:</w:t>
      </w:r>
      <w:r w:rsidRPr="00C2208A">
        <w:rPr>
          <w:b w:val="0"/>
          <w:iCs/>
          <w:sz w:val="18"/>
          <w:szCs w:val="20"/>
          <w:lang w:val="en-US"/>
        </w:rPr>
        <w:t xml:space="preserve"> flame retardant, dyeing, fire resistance, dye, material surface properties, chemical treatment.</w:t>
      </w:r>
    </w:p>
    <w:p w14:paraId="4D100D8E" w14:textId="38DD76C9" w:rsidR="00C72D82" w:rsidRPr="00C2208A" w:rsidRDefault="00C2208A" w:rsidP="00C2208A">
      <w:pPr>
        <w:spacing w:before="240" w:after="240" w:line="240" w:lineRule="auto"/>
        <w:jc w:val="center"/>
        <w:rPr>
          <w:iCs/>
          <w:sz w:val="24"/>
          <w:szCs w:val="20"/>
          <w:lang w:val="en-US"/>
        </w:rPr>
      </w:pPr>
      <w:r w:rsidRPr="00C2208A">
        <w:rPr>
          <w:iCs/>
          <w:sz w:val="24"/>
          <w:szCs w:val="20"/>
          <w:lang w:val="en-US"/>
        </w:rPr>
        <w:t>INTRODUCTION</w:t>
      </w:r>
    </w:p>
    <w:p w14:paraId="7BE4DAA5" w14:textId="6859BE3B" w:rsidR="00C72D82" w:rsidRPr="00C2208A" w:rsidRDefault="00C72D82" w:rsidP="00C2208A">
      <w:pPr>
        <w:spacing w:after="0" w:line="240" w:lineRule="auto"/>
        <w:ind w:firstLine="284"/>
        <w:jc w:val="both"/>
        <w:rPr>
          <w:b w:val="0"/>
          <w:iCs/>
          <w:sz w:val="20"/>
          <w:szCs w:val="20"/>
          <w:lang w:val="en-US"/>
        </w:rPr>
      </w:pPr>
      <w:r w:rsidRPr="00C2208A">
        <w:rPr>
          <w:b w:val="0"/>
          <w:iCs/>
          <w:sz w:val="20"/>
          <w:szCs w:val="20"/>
          <w:lang w:val="en-US"/>
        </w:rPr>
        <w:t>Nowadays, in textile and building materials technology, it is important to give various functional properties to products</w:t>
      </w:r>
      <w:r w:rsidR="00C2208A">
        <w:rPr>
          <w:b w:val="0"/>
          <w:iCs/>
          <w:sz w:val="20"/>
          <w:szCs w:val="20"/>
          <w:lang w:val="en-US"/>
        </w:rPr>
        <w:t xml:space="preserve"> </w:t>
      </w:r>
      <w:r w:rsidRPr="00C2208A">
        <w:rPr>
          <w:b w:val="0"/>
          <w:iCs/>
          <w:sz w:val="20"/>
          <w:szCs w:val="20"/>
          <w:lang w:val="en-US"/>
        </w:rPr>
        <w:t>[1]. These include properties such as fire resistance (flame resistance) [2], moisture resistance (hydrophobicity) [3], and resistance to microorganisms (antibacterial) [4]. Treatment with flame retardants is carried out precisely to increase the fire resistance of materials</w:t>
      </w:r>
      <w:r w:rsidR="00C2208A">
        <w:rPr>
          <w:b w:val="0"/>
          <w:iCs/>
          <w:sz w:val="20"/>
          <w:szCs w:val="20"/>
          <w:lang w:val="en-US"/>
        </w:rPr>
        <w:t xml:space="preserve"> </w:t>
      </w:r>
      <w:r w:rsidRPr="00C2208A">
        <w:rPr>
          <w:b w:val="0"/>
          <w:iCs/>
          <w:sz w:val="20"/>
          <w:szCs w:val="20"/>
          <w:lang w:val="en-US"/>
        </w:rPr>
        <w:t>[5]. However, once flame retardants are absorbed into the surface of the material, they have a certain effect on other processes, in particular the dyeing process</w:t>
      </w:r>
      <w:r w:rsidR="00C2208A">
        <w:rPr>
          <w:b w:val="0"/>
          <w:iCs/>
          <w:sz w:val="20"/>
          <w:szCs w:val="20"/>
          <w:lang w:val="en-US"/>
        </w:rPr>
        <w:t xml:space="preserve"> </w:t>
      </w:r>
      <w:r w:rsidRPr="00C2208A">
        <w:rPr>
          <w:b w:val="0"/>
          <w:iCs/>
          <w:sz w:val="20"/>
          <w:szCs w:val="20"/>
          <w:lang w:val="en-US"/>
        </w:rPr>
        <w:t>[6].</w:t>
      </w:r>
    </w:p>
    <w:p w14:paraId="15A4F8E2" w14:textId="77777777" w:rsidR="00C72D82" w:rsidRPr="00C2208A" w:rsidRDefault="00C72D82" w:rsidP="00C2208A">
      <w:pPr>
        <w:spacing w:after="0" w:line="240" w:lineRule="auto"/>
        <w:ind w:firstLine="284"/>
        <w:jc w:val="both"/>
        <w:rPr>
          <w:b w:val="0"/>
          <w:iCs/>
          <w:sz w:val="20"/>
          <w:szCs w:val="20"/>
          <w:lang w:val="en-US"/>
        </w:rPr>
      </w:pPr>
      <w:r w:rsidRPr="00C2208A">
        <w:rPr>
          <w:b w:val="0"/>
          <w:iCs/>
          <w:sz w:val="20"/>
          <w:szCs w:val="20"/>
          <w:lang w:val="en-US"/>
        </w:rPr>
        <w:t>A flame retardant is a chemical substance used to reduce the flammability of materials [7]. Flame retardants slow down or completely stop the combustion process under the influence of high temperatures [8]. They are mainly applied to wood, fabric, paper, plastic and other flammable materials [9],[10]. As a result, they increase the combustion temperature of materials, slow down the ignition process, reduce smoke emission, and increase the overall fire safety of the material [11].</w:t>
      </w:r>
    </w:p>
    <w:p w14:paraId="74ECC333" w14:textId="77777777" w:rsidR="00C72D82" w:rsidRPr="00C2208A" w:rsidRDefault="00C72D82" w:rsidP="00C2208A">
      <w:pPr>
        <w:spacing w:after="0" w:line="240" w:lineRule="auto"/>
        <w:ind w:firstLine="284"/>
        <w:jc w:val="both"/>
        <w:rPr>
          <w:b w:val="0"/>
          <w:iCs/>
          <w:sz w:val="20"/>
          <w:szCs w:val="20"/>
          <w:lang w:val="en-US"/>
        </w:rPr>
      </w:pPr>
      <w:r w:rsidRPr="00C2208A">
        <w:rPr>
          <w:b w:val="0"/>
          <w:iCs/>
          <w:sz w:val="20"/>
          <w:szCs w:val="20"/>
          <w:lang w:val="en-US"/>
        </w:rPr>
        <w:t>Flame retardants may contain phosphorus, nitrogen, bromine, and other chemical compounds [11], [12]. It is these structural elements that are the main factors affecting the dyeing process.</w:t>
      </w:r>
    </w:p>
    <w:p w14:paraId="3A097835" w14:textId="77777777" w:rsidR="00672713" w:rsidRPr="00C2208A" w:rsidRDefault="00672713" w:rsidP="00C2208A">
      <w:pPr>
        <w:spacing w:after="0" w:line="240" w:lineRule="auto"/>
        <w:ind w:firstLine="284"/>
        <w:jc w:val="both"/>
        <w:rPr>
          <w:b w:val="0"/>
          <w:iCs/>
          <w:sz w:val="20"/>
          <w:szCs w:val="20"/>
          <w:lang w:val="en-US"/>
        </w:rPr>
      </w:pPr>
      <w:r w:rsidRPr="00C2208A">
        <w:rPr>
          <w:b w:val="0"/>
          <w:iCs/>
          <w:sz w:val="20"/>
          <w:szCs w:val="20"/>
          <w:lang w:val="en-US"/>
        </w:rPr>
        <w:t>Dyeing is the process of applying or adhering dyestuffs to the surface of a material to impart color.[13] The dyeing process typically involves the following steps:</w:t>
      </w:r>
    </w:p>
    <w:p w14:paraId="18556CB0"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Material surface preparation (cleaning, degreasing, drying)</w:t>
      </w:r>
    </w:p>
    <w:p w14:paraId="203750D7"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Priming (if necessary)</w:t>
      </w:r>
    </w:p>
    <w:p w14:paraId="052504BA"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Applying the base coat</w:t>
      </w:r>
    </w:p>
    <w:p w14:paraId="78330505"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Drying and hardening</w:t>
      </w:r>
    </w:p>
    <w:p w14:paraId="58548C86" w14:textId="165828ED"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Each of these stages depends on the chemical and physical properties of the material surface</w:t>
      </w:r>
      <w:r w:rsidR="00C2208A">
        <w:rPr>
          <w:b w:val="0"/>
          <w:iCs/>
          <w:sz w:val="20"/>
          <w:szCs w:val="20"/>
          <w:lang w:val="en-US"/>
        </w:rPr>
        <w:t xml:space="preserve"> </w:t>
      </w:r>
      <w:r w:rsidRPr="00C2208A">
        <w:rPr>
          <w:b w:val="0"/>
          <w:iCs/>
          <w:sz w:val="20"/>
          <w:szCs w:val="20"/>
          <w:lang w:val="en-US"/>
        </w:rPr>
        <w:t>[14]. In materials treated with flame retardants, these properties change to some extent</w:t>
      </w:r>
      <w:r w:rsidR="00C2208A">
        <w:rPr>
          <w:b w:val="0"/>
          <w:iCs/>
          <w:sz w:val="20"/>
          <w:szCs w:val="20"/>
          <w:lang w:val="en-US"/>
        </w:rPr>
        <w:t xml:space="preserve"> </w:t>
      </w:r>
      <w:r w:rsidRPr="00C2208A">
        <w:rPr>
          <w:b w:val="0"/>
          <w:iCs/>
          <w:sz w:val="20"/>
          <w:szCs w:val="20"/>
          <w:lang w:val="en-US"/>
        </w:rPr>
        <w:t>[15].</w:t>
      </w:r>
    </w:p>
    <w:p w14:paraId="3E9FC653" w14:textId="2D292D9A"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Flame retardants affect the structure and chemical activity of the material surface. As a result, the following conditions may be observed during the dyeing process:</w:t>
      </w:r>
    </w:p>
    <w:p w14:paraId="1288293C"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1. Decreased dye absorption</w:t>
      </w:r>
    </w:p>
    <w:p w14:paraId="0CA2966D"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2. Uneven color spread</w:t>
      </w:r>
    </w:p>
    <w:p w14:paraId="54718CD8"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3. Decreased dye adhesion</w:t>
      </w:r>
    </w:p>
    <w:p w14:paraId="23350B9E"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t>4. Dye color change</w:t>
      </w:r>
    </w:p>
    <w:p w14:paraId="450B7B5F" w14:textId="77777777" w:rsidR="00A81929" w:rsidRPr="00C2208A" w:rsidRDefault="00A81929" w:rsidP="00C2208A">
      <w:pPr>
        <w:spacing w:after="0" w:line="240" w:lineRule="auto"/>
        <w:ind w:firstLine="284"/>
        <w:jc w:val="both"/>
        <w:rPr>
          <w:b w:val="0"/>
          <w:iCs/>
          <w:sz w:val="20"/>
          <w:szCs w:val="20"/>
          <w:lang w:val="en-US"/>
        </w:rPr>
      </w:pPr>
      <w:r w:rsidRPr="00C2208A">
        <w:rPr>
          <w:b w:val="0"/>
          <w:iCs/>
          <w:sz w:val="20"/>
          <w:szCs w:val="20"/>
          <w:lang w:val="en-US"/>
        </w:rPr>
        <w:lastRenderedPageBreak/>
        <w:t>5. Extended drying time</w:t>
      </w:r>
    </w:p>
    <w:p w14:paraId="6488D695" w14:textId="77777777" w:rsidR="00D80232" w:rsidRPr="00C2208A" w:rsidRDefault="00D80232" w:rsidP="00C2208A">
      <w:pPr>
        <w:spacing w:after="0" w:line="240" w:lineRule="auto"/>
        <w:ind w:firstLine="284"/>
        <w:jc w:val="both"/>
        <w:rPr>
          <w:b w:val="0"/>
          <w:iCs/>
          <w:sz w:val="20"/>
          <w:szCs w:val="20"/>
          <w:lang w:val="en-US"/>
        </w:rPr>
      </w:pPr>
      <w:r w:rsidRPr="00C2208A">
        <w:rPr>
          <w:b w:val="0"/>
          <w:iCs/>
          <w:sz w:val="20"/>
          <w:szCs w:val="20"/>
          <w:lang w:val="en-US"/>
        </w:rPr>
        <w:t>To reduce negative effects, it is important to ensure compatibility between the flame retardant and the dye.</w:t>
      </w:r>
    </w:p>
    <w:p w14:paraId="709D019F" w14:textId="77777777" w:rsidR="00D80232" w:rsidRPr="00C2208A" w:rsidRDefault="00D80232" w:rsidP="00C2208A">
      <w:pPr>
        <w:spacing w:after="0" w:line="240" w:lineRule="auto"/>
        <w:ind w:firstLine="284"/>
        <w:jc w:val="both"/>
        <w:rPr>
          <w:b w:val="0"/>
          <w:iCs/>
          <w:sz w:val="20"/>
          <w:szCs w:val="20"/>
          <w:lang w:val="en-US"/>
        </w:rPr>
      </w:pPr>
      <w:r w:rsidRPr="00C2208A">
        <w:rPr>
          <w:b w:val="0"/>
          <w:iCs/>
          <w:sz w:val="20"/>
          <w:szCs w:val="20"/>
          <w:lang w:val="en-US"/>
        </w:rPr>
        <w:t>Although flame retardants are important in protecting materials from fire, they can also have a negative impact on the dyeing process. However, these problems can be minimized through the use of appropriate materials and experimental testing.</w:t>
      </w:r>
    </w:p>
    <w:p w14:paraId="52541564" w14:textId="058CB2B1" w:rsidR="00D80232" w:rsidRPr="00C2208A" w:rsidRDefault="00C2208A" w:rsidP="00C2208A">
      <w:pPr>
        <w:spacing w:before="240" w:after="240" w:line="240" w:lineRule="auto"/>
        <w:jc w:val="center"/>
        <w:rPr>
          <w:iCs/>
          <w:sz w:val="24"/>
          <w:szCs w:val="20"/>
          <w:lang w:val="en-US"/>
        </w:rPr>
      </w:pPr>
      <w:r w:rsidRPr="00C2208A">
        <w:rPr>
          <w:iCs/>
          <w:sz w:val="24"/>
          <w:szCs w:val="20"/>
          <w:lang w:val="en-US"/>
        </w:rPr>
        <w:t>METHODS</w:t>
      </w:r>
    </w:p>
    <w:p w14:paraId="7EC57511" w14:textId="77777777" w:rsidR="00D80232" w:rsidRDefault="00D80232" w:rsidP="00C2208A">
      <w:pPr>
        <w:spacing w:after="0" w:line="240" w:lineRule="auto"/>
        <w:ind w:firstLine="284"/>
        <w:jc w:val="both"/>
        <w:rPr>
          <w:b w:val="0"/>
          <w:iCs/>
          <w:sz w:val="20"/>
          <w:szCs w:val="20"/>
          <w:lang w:val="en-US"/>
        </w:rPr>
      </w:pPr>
      <w:r w:rsidRPr="00C2208A">
        <w:rPr>
          <w:b w:val="0"/>
          <w:iCs/>
          <w:sz w:val="20"/>
          <w:szCs w:val="20"/>
          <w:lang w:val="en-US"/>
        </w:rPr>
        <w:t>The object was selected as a dyed yarn made of 100% cotton fiber. The physical and mechanical properties of the dyed fabric are presented in the table below.</w:t>
      </w:r>
    </w:p>
    <w:p w14:paraId="49661F7D" w14:textId="77777777" w:rsidR="00C2208A" w:rsidRPr="00C2208A" w:rsidRDefault="00C2208A" w:rsidP="00C2208A">
      <w:pPr>
        <w:spacing w:after="0" w:line="240" w:lineRule="auto"/>
        <w:ind w:firstLine="284"/>
        <w:jc w:val="both"/>
        <w:rPr>
          <w:b w:val="0"/>
          <w:iCs/>
          <w:sz w:val="20"/>
          <w:szCs w:val="20"/>
          <w:lang w:val="en-US"/>
        </w:rPr>
      </w:pPr>
    </w:p>
    <w:p w14:paraId="583B47D8" w14:textId="4EA4AB11" w:rsidR="00D80232" w:rsidRPr="00C2208A" w:rsidRDefault="00C2208A" w:rsidP="005C63B5">
      <w:pPr>
        <w:spacing w:before="120" w:after="120" w:line="240" w:lineRule="auto"/>
        <w:jc w:val="center"/>
        <w:rPr>
          <w:b w:val="0"/>
          <w:iCs/>
          <w:sz w:val="18"/>
          <w:szCs w:val="20"/>
          <w:lang w:val="en-US"/>
        </w:rPr>
      </w:pPr>
      <w:r w:rsidRPr="00C2208A">
        <w:rPr>
          <w:iCs/>
          <w:sz w:val="18"/>
          <w:szCs w:val="20"/>
          <w:lang w:val="en-US"/>
        </w:rPr>
        <w:t xml:space="preserve">TABLE </w:t>
      </w:r>
      <w:r w:rsidR="00D80232" w:rsidRPr="00C2208A">
        <w:rPr>
          <w:iCs/>
          <w:sz w:val="18"/>
          <w:szCs w:val="20"/>
          <w:lang w:val="en-US"/>
        </w:rPr>
        <w:t>1</w:t>
      </w:r>
      <w:r w:rsidRPr="00C2208A">
        <w:rPr>
          <w:iCs/>
          <w:sz w:val="18"/>
          <w:szCs w:val="20"/>
          <w:lang w:val="en-US"/>
        </w:rPr>
        <w:t xml:space="preserve">. </w:t>
      </w:r>
      <w:r w:rsidR="00D80232" w:rsidRPr="00C2208A">
        <w:rPr>
          <w:b w:val="0"/>
          <w:iCs/>
          <w:sz w:val="18"/>
          <w:szCs w:val="20"/>
          <w:lang w:val="en-US"/>
        </w:rPr>
        <w:t>Physical and mechanical properties of dyed fabric</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4673"/>
      </w:tblGrid>
      <w:tr w:rsidR="00D80232" w:rsidRPr="00C2208A" w14:paraId="319894E1" w14:textId="77777777" w:rsidTr="00C2208A">
        <w:trPr>
          <w:trHeight w:val="81"/>
          <w:jc w:val="center"/>
        </w:trPr>
        <w:tc>
          <w:tcPr>
            <w:tcW w:w="3961" w:type="dxa"/>
            <w:tcBorders>
              <w:bottom w:val="single" w:sz="4" w:space="0" w:color="auto"/>
            </w:tcBorders>
          </w:tcPr>
          <w:p w14:paraId="75402193" w14:textId="77777777" w:rsidR="00D80232" w:rsidRPr="00C2208A" w:rsidRDefault="00D80232" w:rsidP="00C2208A">
            <w:pP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Indicators</w:t>
            </w:r>
          </w:p>
        </w:tc>
        <w:tc>
          <w:tcPr>
            <w:tcW w:w="4673" w:type="dxa"/>
            <w:tcBorders>
              <w:bottom w:val="single" w:sz="4" w:space="0" w:color="auto"/>
            </w:tcBorders>
          </w:tcPr>
          <w:p w14:paraId="38550B20" w14:textId="77777777" w:rsidR="00D80232" w:rsidRPr="00C2208A" w:rsidRDefault="00D80232"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Yarn - fabric</w:t>
            </w:r>
          </w:p>
        </w:tc>
      </w:tr>
      <w:tr w:rsidR="00D80232" w:rsidRPr="00C2208A" w14:paraId="02B93FC1" w14:textId="77777777" w:rsidTr="00C2208A">
        <w:trPr>
          <w:jc w:val="center"/>
        </w:trPr>
        <w:tc>
          <w:tcPr>
            <w:tcW w:w="3961" w:type="dxa"/>
            <w:tcBorders>
              <w:top w:val="single" w:sz="4" w:space="0" w:color="auto"/>
              <w:bottom w:val="nil"/>
            </w:tcBorders>
            <w:vAlign w:val="center"/>
          </w:tcPr>
          <w:p w14:paraId="459455CD" w14:textId="77777777" w:rsidR="00D80232" w:rsidRPr="00C2208A" w:rsidRDefault="00E54527" w:rsidP="00C2208A">
            <w:pPr>
              <w:rPr>
                <w:rFonts w:ascii="Times New Roman" w:hAnsi="Times New Roman" w:cs="Times New Roman"/>
                <w:b/>
                <w:sz w:val="20"/>
                <w:szCs w:val="20"/>
                <w:lang w:val="en-US"/>
              </w:rPr>
            </w:pPr>
            <w:r w:rsidRPr="00C2208A">
              <w:rPr>
                <w:rFonts w:ascii="Times New Roman" w:hAnsi="Times New Roman" w:cs="Times New Roman"/>
                <w:b/>
                <w:sz w:val="20"/>
                <w:szCs w:val="20"/>
                <w:lang w:val="en-US"/>
              </w:rPr>
              <w:t>Surface density, g/m²</w:t>
            </w:r>
          </w:p>
        </w:tc>
        <w:tc>
          <w:tcPr>
            <w:tcW w:w="4673" w:type="dxa"/>
            <w:tcBorders>
              <w:top w:val="single" w:sz="4" w:space="0" w:color="auto"/>
              <w:bottom w:val="nil"/>
            </w:tcBorders>
          </w:tcPr>
          <w:p w14:paraId="66AC800C" w14:textId="77777777" w:rsidR="00D80232" w:rsidRPr="00C2208A" w:rsidRDefault="00D80232" w:rsidP="00C2208A">
            <w:pPr>
              <w:jc w:val="center"/>
              <w:rPr>
                <w:rFonts w:ascii="Times New Roman" w:hAnsi="Times New Roman" w:cs="Times New Roman"/>
                <w:sz w:val="20"/>
                <w:szCs w:val="20"/>
              </w:rPr>
            </w:pPr>
            <w:r w:rsidRPr="00C2208A">
              <w:rPr>
                <w:rFonts w:ascii="Times New Roman" w:hAnsi="Times New Roman" w:cs="Times New Roman"/>
                <w:sz w:val="20"/>
                <w:szCs w:val="20"/>
              </w:rPr>
              <w:t>2,93</w:t>
            </w:r>
          </w:p>
        </w:tc>
      </w:tr>
      <w:tr w:rsidR="00D80232" w:rsidRPr="00C2208A" w14:paraId="692DA9B9" w14:textId="77777777" w:rsidTr="00C2208A">
        <w:trPr>
          <w:jc w:val="center"/>
        </w:trPr>
        <w:tc>
          <w:tcPr>
            <w:tcW w:w="3961" w:type="dxa"/>
            <w:tcBorders>
              <w:top w:val="nil"/>
            </w:tcBorders>
            <w:vAlign w:val="center"/>
          </w:tcPr>
          <w:p w14:paraId="17CF781A" w14:textId="77777777" w:rsidR="00E54527" w:rsidRPr="00C2208A" w:rsidRDefault="00E54527" w:rsidP="00C2208A">
            <w:pPr>
              <w:rPr>
                <w:rFonts w:ascii="Times New Roman" w:eastAsia="Times New Roman" w:hAnsi="Times New Roman" w:cs="Times New Roman"/>
                <w:b/>
                <w:bCs/>
                <w:sz w:val="20"/>
                <w:szCs w:val="20"/>
                <w:lang w:val="en-US" w:eastAsia="ru-RU"/>
              </w:rPr>
            </w:pPr>
            <w:r w:rsidRPr="00C2208A">
              <w:rPr>
                <w:rFonts w:ascii="Times New Roman" w:eastAsia="Times New Roman" w:hAnsi="Times New Roman" w:cs="Times New Roman"/>
                <w:b/>
                <w:bCs/>
                <w:sz w:val="20"/>
                <w:szCs w:val="20"/>
                <w:lang w:val="en-US" w:eastAsia="ru-RU"/>
              </w:rPr>
              <w:t>Breaking load, N:</w:t>
            </w:r>
          </w:p>
          <w:p w14:paraId="0D3F3EA4" w14:textId="77777777" w:rsidR="00D80232" w:rsidRPr="00C2208A" w:rsidRDefault="00D80232" w:rsidP="00C2208A">
            <w:pPr>
              <w:rPr>
                <w:rFonts w:ascii="Times New Roman" w:hAnsi="Times New Roman" w:cs="Times New Roman"/>
                <w:b/>
                <w:sz w:val="20"/>
                <w:szCs w:val="20"/>
                <w:lang w:val="uz-Cyrl-UZ"/>
              </w:rPr>
            </w:pPr>
            <w:r w:rsidRPr="00C2208A">
              <w:rPr>
                <w:rFonts w:ascii="Times New Roman" w:hAnsi="Times New Roman" w:cs="Times New Roman"/>
                <w:b/>
                <w:sz w:val="20"/>
                <w:szCs w:val="20"/>
                <w:lang w:val="uz-Cyrl-UZ"/>
              </w:rPr>
              <w:t>-</w:t>
            </w:r>
            <w:r w:rsidR="002472F8" w:rsidRPr="00C2208A">
              <w:rPr>
                <w:rFonts w:ascii="Times New Roman" w:hAnsi="Times New Roman" w:cs="Times New Roman"/>
                <w:b/>
                <w:sz w:val="20"/>
                <w:szCs w:val="20"/>
                <w:lang w:val="en-US"/>
              </w:rPr>
              <w:t xml:space="preserve"> according to the warp</w:t>
            </w:r>
            <w:r w:rsidRPr="00C2208A">
              <w:rPr>
                <w:rFonts w:ascii="Times New Roman" w:hAnsi="Times New Roman" w:cs="Times New Roman"/>
                <w:b/>
                <w:sz w:val="20"/>
                <w:szCs w:val="20"/>
                <w:lang w:val="uz-Cyrl-UZ"/>
              </w:rPr>
              <w:t>,  N</w:t>
            </w:r>
          </w:p>
          <w:p w14:paraId="4E52BEBE" w14:textId="77777777" w:rsidR="00D80232" w:rsidRPr="00C2208A" w:rsidRDefault="00D80232" w:rsidP="00C2208A">
            <w:pPr>
              <w:rPr>
                <w:rFonts w:ascii="Times New Roman" w:hAnsi="Times New Roman" w:cs="Times New Roman"/>
                <w:b/>
                <w:sz w:val="20"/>
                <w:szCs w:val="20"/>
                <w:lang w:val="en-US"/>
              </w:rPr>
            </w:pPr>
            <w:r w:rsidRPr="00C2208A">
              <w:rPr>
                <w:rFonts w:ascii="Times New Roman" w:hAnsi="Times New Roman" w:cs="Times New Roman"/>
                <w:b/>
                <w:sz w:val="20"/>
                <w:szCs w:val="20"/>
                <w:lang w:val="uz-Cyrl-UZ"/>
              </w:rPr>
              <w:t>-</w:t>
            </w:r>
            <w:r w:rsidR="002472F8" w:rsidRPr="00C2208A">
              <w:rPr>
                <w:rFonts w:ascii="Times New Roman" w:hAnsi="Times New Roman" w:cs="Times New Roman"/>
                <w:b/>
                <w:sz w:val="20"/>
                <w:szCs w:val="20"/>
                <w:lang w:val="en-US"/>
              </w:rPr>
              <w:t xml:space="preserve"> according to the weft</w:t>
            </w:r>
            <w:r w:rsidRPr="00C2208A">
              <w:rPr>
                <w:rFonts w:ascii="Times New Roman" w:hAnsi="Times New Roman" w:cs="Times New Roman"/>
                <w:b/>
                <w:sz w:val="20"/>
                <w:szCs w:val="20"/>
                <w:lang w:val="uz-Cyrl-UZ"/>
              </w:rPr>
              <w:t>,  N</w:t>
            </w:r>
          </w:p>
        </w:tc>
        <w:tc>
          <w:tcPr>
            <w:tcW w:w="4673" w:type="dxa"/>
            <w:tcBorders>
              <w:top w:val="nil"/>
            </w:tcBorders>
          </w:tcPr>
          <w:p w14:paraId="576C5C75" w14:textId="77777777" w:rsidR="00D80232" w:rsidRPr="00C2208A" w:rsidRDefault="00D80232" w:rsidP="00C2208A">
            <w:pPr>
              <w:jc w:val="center"/>
              <w:rPr>
                <w:rFonts w:ascii="Times New Roman" w:hAnsi="Times New Roman" w:cs="Times New Roman"/>
                <w:sz w:val="20"/>
                <w:szCs w:val="20"/>
                <w:lang w:val="en-US"/>
              </w:rPr>
            </w:pPr>
          </w:p>
          <w:p w14:paraId="7323E1BF" w14:textId="77777777" w:rsidR="00D80232" w:rsidRPr="00C2208A" w:rsidRDefault="00D80232"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rPr>
              <w:t>571</w:t>
            </w:r>
            <w:r w:rsidRPr="00C2208A">
              <w:rPr>
                <w:rFonts w:ascii="Times New Roman" w:hAnsi="Times New Roman" w:cs="Times New Roman"/>
                <w:sz w:val="20"/>
                <w:szCs w:val="20"/>
                <w:lang w:val="en-US"/>
              </w:rPr>
              <w:t>,8</w:t>
            </w:r>
          </w:p>
          <w:p w14:paraId="42985625" w14:textId="77777777" w:rsidR="00D80232" w:rsidRPr="00C2208A" w:rsidRDefault="00D80232"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126,2</w:t>
            </w:r>
          </w:p>
        </w:tc>
      </w:tr>
      <w:tr w:rsidR="00D80232" w:rsidRPr="00C2208A" w14:paraId="7355E1B2" w14:textId="77777777" w:rsidTr="00C2208A">
        <w:trPr>
          <w:trHeight w:val="594"/>
          <w:jc w:val="center"/>
        </w:trPr>
        <w:tc>
          <w:tcPr>
            <w:tcW w:w="3961" w:type="dxa"/>
            <w:vAlign w:val="center"/>
          </w:tcPr>
          <w:p w14:paraId="17D507B5" w14:textId="77777777" w:rsidR="00D80232" w:rsidRPr="00C2208A" w:rsidRDefault="00E54527" w:rsidP="00C2208A">
            <w:pPr>
              <w:rPr>
                <w:rFonts w:ascii="Times New Roman" w:hAnsi="Times New Roman" w:cs="Times New Roman"/>
                <w:b/>
                <w:sz w:val="20"/>
                <w:szCs w:val="20"/>
                <w:lang w:val="uz-Cyrl-UZ"/>
              </w:rPr>
            </w:pPr>
            <w:r w:rsidRPr="00C2208A">
              <w:rPr>
                <w:rFonts w:ascii="Times New Roman" w:eastAsia="Times New Roman" w:hAnsi="Times New Roman" w:cs="Times New Roman"/>
                <w:b/>
                <w:bCs/>
                <w:sz w:val="20"/>
                <w:szCs w:val="20"/>
                <w:lang w:val="en-US" w:eastAsia="ru-RU"/>
              </w:rPr>
              <w:t>Elongation at relative break</w:t>
            </w:r>
            <w:r w:rsidR="00D80232" w:rsidRPr="00C2208A">
              <w:rPr>
                <w:rFonts w:ascii="Times New Roman" w:eastAsia="Times New Roman" w:hAnsi="Times New Roman" w:cs="Times New Roman"/>
                <w:b/>
                <w:bCs/>
                <w:sz w:val="20"/>
                <w:szCs w:val="20"/>
                <w:lang w:val="en-US" w:eastAsia="ru-RU"/>
              </w:rPr>
              <w:t xml:space="preserve">, </w:t>
            </w:r>
            <w:r w:rsidR="00D80232" w:rsidRPr="00C2208A">
              <w:rPr>
                <w:rFonts w:ascii="Times New Roman" w:eastAsia="Times New Roman" w:hAnsi="Times New Roman" w:cs="Times New Roman"/>
                <w:b/>
                <w:bCs/>
                <w:i/>
                <w:sz w:val="20"/>
                <w:szCs w:val="20"/>
                <w:lang w:val="uz-Cyrl-UZ" w:eastAsia="ru-RU"/>
              </w:rPr>
              <w:t>Ɛ</w:t>
            </w:r>
            <w:r w:rsidR="00D80232" w:rsidRPr="00C2208A">
              <w:rPr>
                <w:rFonts w:ascii="Times New Roman" w:eastAsia="Times New Roman" w:hAnsi="Times New Roman" w:cs="Times New Roman"/>
                <w:b/>
                <w:bCs/>
                <w:i/>
                <w:sz w:val="20"/>
                <w:szCs w:val="20"/>
                <w:vertAlign w:val="subscript"/>
                <w:lang w:val="uz-Cyrl-UZ" w:eastAsia="ru-RU"/>
              </w:rPr>
              <w:t>р</w:t>
            </w:r>
            <w:r w:rsidR="00D80232" w:rsidRPr="00C2208A">
              <w:rPr>
                <w:rFonts w:ascii="Times New Roman" w:eastAsia="Times New Roman" w:hAnsi="Times New Roman" w:cs="Times New Roman"/>
                <w:b/>
                <w:bCs/>
                <w:sz w:val="20"/>
                <w:szCs w:val="20"/>
                <w:lang w:val="uz-Cyrl-UZ" w:eastAsia="ru-RU"/>
              </w:rPr>
              <w:t>, %</w:t>
            </w:r>
            <w:r w:rsidR="00D80232" w:rsidRPr="00C2208A">
              <w:rPr>
                <w:rFonts w:ascii="Times New Roman" w:hAnsi="Times New Roman" w:cs="Times New Roman"/>
                <w:b/>
                <w:sz w:val="20"/>
                <w:szCs w:val="20"/>
                <w:lang w:val="uz-Cyrl-UZ"/>
              </w:rPr>
              <w:t>:</w:t>
            </w:r>
          </w:p>
          <w:p w14:paraId="62957B00" w14:textId="77777777" w:rsidR="00D80232" w:rsidRPr="00C2208A" w:rsidRDefault="00D80232" w:rsidP="00C2208A">
            <w:pPr>
              <w:rPr>
                <w:rFonts w:ascii="Times New Roman" w:hAnsi="Times New Roman" w:cs="Times New Roman"/>
                <w:b/>
                <w:sz w:val="20"/>
                <w:szCs w:val="20"/>
                <w:lang w:val="uz-Cyrl-UZ"/>
              </w:rPr>
            </w:pPr>
            <w:r w:rsidRPr="00C2208A">
              <w:rPr>
                <w:rFonts w:ascii="Times New Roman" w:hAnsi="Times New Roman" w:cs="Times New Roman"/>
                <w:b/>
                <w:sz w:val="20"/>
                <w:szCs w:val="20"/>
                <w:lang w:val="uz-Cyrl-UZ"/>
              </w:rPr>
              <w:t>-</w:t>
            </w:r>
            <w:r w:rsidR="009853A4" w:rsidRPr="00C2208A">
              <w:rPr>
                <w:rFonts w:ascii="Times New Roman" w:hAnsi="Times New Roman" w:cs="Times New Roman"/>
                <w:b/>
                <w:sz w:val="20"/>
                <w:szCs w:val="20"/>
                <w:lang w:val="en-US"/>
              </w:rPr>
              <w:t xml:space="preserve"> according to the warp</w:t>
            </w:r>
            <w:r w:rsidRPr="00C2208A">
              <w:rPr>
                <w:rFonts w:ascii="Times New Roman" w:hAnsi="Times New Roman" w:cs="Times New Roman"/>
                <w:b/>
                <w:sz w:val="20"/>
                <w:szCs w:val="20"/>
                <w:lang w:val="uz-Cyrl-UZ"/>
              </w:rPr>
              <w:t>,   %</w:t>
            </w:r>
          </w:p>
          <w:p w14:paraId="1B9C9D72" w14:textId="77777777" w:rsidR="00D80232" w:rsidRPr="00C2208A" w:rsidRDefault="00D80232" w:rsidP="00C2208A">
            <w:pPr>
              <w:rPr>
                <w:rFonts w:ascii="Times New Roman" w:hAnsi="Times New Roman" w:cs="Times New Roman"/>
                <w:b/>
                <w:sz w:val="20"/>
                <w:szCs w:val="20"/>
                <w:lang w:val="en-US"/>
              </w:rPr>
            </w:pPr>
            <w:r w:rsidRPr="00C2208A">
              <w:rPr>
                <w:rFonts w:ascii="Times New Roman" w:hAnsi="Times New Roman" w:cs="Times New Roman"/>
                <w:b/>
                <w:sz w:val="20"/>
                <w:szCs w:val="20"/>
                <w:lang w:val="uz-Cyrl-UZ"/>
              </w:rPr>
              <w:t>-</w:t>
            </w:r>
            <w:r w:rsidR="009853A4" w:rsidRPr="00C2208A">
              <w:rPr>
                <w:rFonts w:ascii="Times New Roman" w:hAnsi="Times New Roman" w:cs="Times New Roman"/>
                <w:b/>
                <w:sz w:val="20"/>
                <w:szCs w:val="20"/>
                <w:lang w:val="en-US"/>
              </w:rPr>
              <w:t xml:space="preserve"> according to the weft</w:t>
            </w:r>
            <w:r w:rsidRPr="00C2208A">
              <w:rPr>
                <w:rFonts w:ascii="Times New Roman" w:hAnsi="Times New Roman" w:cs="Times New Roman"/>
                <w:b/>
                <w:sz w:val="20"/>
                <w:szCs w:val="20"/>
                <w:lang w:val="uz-Cyrl-UZ"/>
              </w:rPr>
              <w:t>,  %</w:t>
            </w:r>
          </w:p>
        </w:tc>
        <w:tc>
          <w:tcPr>
            <w:tcW w:w="4673" w:type="dxa"/>
          </w:tcPr>
          <w:p w14:paraId="1E437EB9" w14:textId="77777777" w:rsidR="00C2208A" w:rsidRDefault="00C2208A" w:rsidP="00C2208A">
            <w:pPr>
              <w:jc w:val="center"/>
              <w:rPr>
                <w:rFonts w:ascii="Times New Roman" w:hAnsi="Times New Roman" w:cs="Times New Roman"/>
                <w:sz w:val="20"/>
                <w:szCs w:val="20"/>
                <w:lang w:val="en-US"/>
              </w:rPr>
            </w:pPr>
          </w:p>
          <w:p w14:paraId="55CF789D" w14:textId="77777777" w:rsidR="00D80232" w:rsidRPr="00C2208A" w:rsidRDefault="00D80232"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46,57</w:t>
            </w:r>
          </w:p>
          <w:p w14:paraId="13530790" w14:textId="77777777" w:rsidR="00D80232" w:rsidRPr="00C2208A" w:rsidRDefault="00D80232"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20,91</w:t>
            </w:r>
          </w:p>
        </w:tc>
      </w:tr>
      <w:tr w:rsidR="00D80232" w:rsidRPr="00C2208A" w14:paraId="685B61C4" w14:textId="77777777" w:rsidTr="00C2208A">
        <w:trPr>
          <w:jc w:val="center"/>
        </w:trPr>
        <w:tc>
          <w:tcPr>
            <w:tcW w:w="3961" w:type="dxa"/>
            <w:vAlign w:val="center"/>
          </w:tcPr>
          <w:p w14:paraId="40C06752" w14:textId="77777777" w:rsidR="00D80232" w:rsidRPr="00C2208A" w:rsidRDefault="00E54527" w:rsidP="00C2208A">
            <w:pPr>
              <w:rPr>
                <w:rFonts w:ascii="Times New Roman" w:hAnsi="Times New Roman" w:cs="Times New Roman"/>
                <w:b/>
                <w:sz w:val="20"/>
                <w:szCs w:val="20"/>
                <w:lang w:val="en-US"/>
              </w:rPr>
            </w:pPr>
            <w:r w:rsidRPr="00C2208A">
              <w:rPr>
                <w:rFonts w:ascii="Times New Roman" w:hAnsi="Times New Roman" w:cs="Times New Roman"/>
                <w:b/>
                <w:sz w:val="20"/>
                <w:szCs w:val="20"/>
                <w:lang w:val="en-US"/>
              </w:rPr>
              <w:t>Air permeability</w:t>
            </w:r>
            <w:r w:rsidR="00D80232" w:rsidRPr="00C2208A">
              <w:rPr>
                <w:rFonts w:ascii="Times New Roman" w:hAnsi="Times New Roman" w:cs="Times New Roman"/>
                <w:b/>
                <w:sz w:val="20"/>
                <w:szCs w:val="20"/>
                <w:lang w:val="en-US"/>
              </w:rPr>
              <w:t xml:space="preserve">, </w:t>
            </w:r>
            <w:r w:rsidR="00D80232" w:rsidRPr="00C2208A">
              <w:rPr>
                <w:rFonts w:ascii="Times New Roman" w:hAnsi="Times New Roman" w:cs="Times New Roman"/>
                <w:b/>
                <w:sz w:val="20"/>
                <w:szCs w:val="20"/>
                <w:lang w:val="uz-Cyrl-UZ"/>
              </w:rPr>
              <w:t>dm³/m²∙s</w:t>
            </w:r>
          </w:p>
        </w:tc>
        <w:tc>
          <w:tcPr>
            <w:tcW w:w="4673" w:type="dxa"/>
          </w:tcPr>
          <w:p w14:paraId="30487FCB" w14:textId="77777777" w:rsidR="00D80232" w:rsidRPr="00C2208A" w:rsidRDefault="00D80232"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10,039</w:t>
            </w:r>
          </w:p>
        </w:tc>
      </w:tr>
    </w:tbl>
    <w:p w14:paraId="14C27FF0" w14:textId="77777777" w:rsidR="00D80232" w:rsidRPr="00C2208A" w:rsidRDefault="00D80232" w:rsidP="00C2208A">
      <w:pPr>
        <w:spacing w:after="0" w:line="240" w:lineRule="auto"/>
        <w:ind w:firstLine="284"/>
        <w:jc w:val="both"/>
        <w:rPr>
          <w:b w:val="0"/>
          <w:iCs/>
          <w:sz w:val="20"/>
          <w:szCs w:val="20"/>
          <w:lang w:val="en-US"/>
        </w:rPr>
      </w:pPr>
    </w:p>
    <w:p w14:paraId="04B2C49A" w14:textId="1A618DB6" w:rsidR="009853A4" w:rsidRPr="00C2208A" w:rsidRDefault="009853A4" w:rsidP="00C2208A">
      <w:pPr>
        <w:spacing w:after="0" w:line="240" w:lineRule="auto"/>
        <w:ind w:firstLine="284"/>
        <w:jc w:val="both"/>
        <w:rPr>
          <w:b w:val="0"/>
          <w:iCs/>
          <w:sz w:val="20"/>
          <w:szCs w:val="20"/>
          <w:lang w:val="en-US"/>
        </w:rPr>
      </w:pPr>
      <w:r w:rsidRPr="00C2208A">
        <w:rPr>
          <w:b w:val="0"/>
          <w:iCs/>
          <w:sz w:val="20"/>
          <w:szCs w:val="20"/>
          <w:lang w:val="en-US"/>
        </w:rPr>
        <w:t>Antiperine - the substance offered by Setas Color Center - Setaflam PNF was used as a substance. Fire-resistant antiperine - Setaflam PNF - is transparent in color, halogen-free, odorless. It is mainly used for cellulose fiber fabrics.</w:t>
      </w:r>
    </w:p>
    <w:p w14:paraId="592CF414" w14:textId="77777777" w:rsidR="009853A4" w:rsidRPr="00C2208A" w:rsidRDefault="00692728" w:rsidP="00C2208A">
      <w:pPr>
        <w:spacing w:after="0" w:line="240" w:lineRule="auto"/>
        <w:ind w:firstLine="284"/>
        <w:jc w:val="both"/>
        <w:rPr>
          <w:b w:val="0"/>
          <w:iCs/>
          <w:sz w:val="20"/>
          <w:szCs w:val="20"/>
          <w:lang w:val="en-US"/>
        </w:rPr>
      </w:pPr>
      <w:r w:rsidRPr="00C2208A">
        <w:rPr>
          <w:b w:val="0"/>
          <w:iCs/>
          <w:sz w:val="20"/>
          <w:szCs w:val="20"/>
          <w:lang w:val="en-US"/>
        </w:rPr>
        <w:t>The experiment used chemicals such as a 3% solution of the active dye, a surfactant offered by the “Pulcra” company, soap solution, sodium carbonate, sodium hydroxide, sodium silicate, and hydrogen peroxide.</w:t>
      </w:r>
    </w:p>
    <w:p w14:paraId="2C9C7C95" w14:textId="77777777" w:rsidR="00764093" w:rsidRPr="00C2208A" w:rsidRDefault="00764093" w:rsidP="00C2208A">
      <w:pPr>
        <w:spacing w:after="0" w:line="240" w:lineRule="auto"/>
        <w:ind w:firstLine="284"/>
        <w:jc w:val="both"/>
        <w:rPr>
          <w:b w:val="0"/>
          <w:iCs/>
          <w:sz w:val="20"/>
          <w:szCs w:val="20"/>
          <w:lang w:val="en-US"/>
        </w:rPr>
      </w:pPr>
      <w:r w:rsidRPr="00C2208A">
        <w:rPr>
          <w:b w:val="0"/>
          <w:iCs/>
          <w:sz w:val="20"/>
          <w:szCs w:val="20"/>
          <w:lang w:val="en-US"/>
        </w:rPr>
        <w:t>Hydrogen peroxide – 2.0</w:t>
      </w:r>
    </w:p>
    <w:p w14:paraId="0A642764" w14:textId="77777777" w:rsidR="00764093" w:rsidRPr="00C2208A" w:rsidRDefault="00764093" w:rsidP="00C2208A">
      <w:pPr>
        <w:spacing w:after="0" w:line="240" w:lineRule="auto"/>
        <w:ind w:firstLine="284"/>
        <w:jc w:val="both"/>
        <w:rPr>
          <w:b w:val="0"/>
          <w:iCs/>
          <w:sz w:val="20"/>
          <w:szCs w:val="20"/>
          <w:lang w:val="en-US"/>
        </w:rPr>
      </w:pPr>
      <w:r w:rsidRPr="00C2208A">
        <w:rPr>
          <w:b w:val="0"/>
          <w:iCs/>
          <w:sz w:val="20"/>
          <w:szCs w:val="20"/>
          <w:lang w:val="en-US"/>
        </w:rPr>
        <w:t>Sodium hydroxide – 3.0</w:t>
      </w:r>
    </w:p>
    <w:p w14:paraId="3F47D0D7" w14:textId="77777777" w:rsidR="00764093" w:rsidRPr="00C2208A" w:rsidRDefault="00764093" w:rsidP="00C2208A">
      <w:pPr>
        <w:spacing w:after="0" w:line="240" w:lineRule="auto"/>
        <w:ind w:firstLine="284"/>
        <w:jc w:val="both"/>
        <w:rPr>
          <w:b w:val="0"/>
          <w:iCs/>
          <w:sz w:val="20"/>
          <w:szCs w:val="20"/>
          <w:lang w:val="en-US"/>
        </w:rPr>
      </w:pPr>
      <w:r w:rsidRPr="00C2208A">
        <w:rPr>
          <w:b w:val="0"/>
          <w:iCs/>
          <w:sz w:val="20"/>
          <w:szCs w:val="20"/>
          <w:lang w:val="en-US"/>
        </w:rPr>
        <w:t>Sodium silicate (d=1.44) – 15.0</w:t>
      </w:r>
    </w:p>
    <w:p w14:paraId="412393B5" w14:textId="77777777" w:rsidR="00764093"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Saturator</w:t>
      </w:r>
      <w:r w:rsidR="00764093" w:rsidRPr="00C2208A">
        <w:rPr>
          <w:b w:val="0"/>
          <w:iCs/>
          <w:sz w:val="20"/>
          <w:szCs w:val="20"/>
          <w:lang w:val="en-US"/>
        </w:rPr>
        <w:t xml:space="preserve"> SFM - 0.5</w:t>
      </w:r>
    </w:p>
    <w:p w14:paraId="0CE66B29" w14:textId="77777777" w:rsidR="00764093" w:rsidRPr="00C2208A" w:rsidRDefault="00764093" w:rsidP="00C2208A">
      <w:pPr>
        <w:spacing w:after="0" w:line="240" w:lineRule="auto"/>
        <w:ind w:firstLine="284"/>
        <w:jc w:val="both"/>
        <w:rPr>
          <w:b w:val="0"/>
          <w:iCs/>
          <w:sz w:val="20"/>
          <w:szCs w:val="20"/>
          <w:lang w:val="en-US"/>
        </w:rPr>
      </w:pPr>
      <w:r w:rsidRPr="00C2208A">
        <w:rPr>
          <w:b w:val="0"/>
          <w:iCs/>
          <w:sz w:val="20"/>
          <w:szCs w:val="20"/>
          <w:lang w:val="en-US"/>
        </w:rPr>
        <w:t>Then the samples are washed in boiling and cold water.</w:t>
      </w:r>
    </w:p>
    <w:p w14:paraId="7EA9C6A7" w14:textId="77777777" w:rsidR="001C12C1"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Samples of bleached cotton fiber fabric were continuously dyed with an active dye in a solution with the following composition, g/l:</w:t>
      </w:r>
    </w:p>
    <w:p w14:paraId="5236EECD" w14:textId="77777777" w:rsidR="001C12C1"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Colourist material – 5.0</w:t>
      </w:r>
    </w:p>
    <w:p w14:paraId="20740B50" w14:textId="77777777" w:rsidR="001C12C1"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Sodium bicarbonate- 10.0</w:t>
      </w:r>
    </w:p>
    <w:p w14:paraId="1EE2B190" w14:textId="77777777" w:rsidR="001C12C1"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Urea – 200.0</w:t>
      </w:r>
    </w:p>
    <w:p w14:paraId="79C2AF4F" w14:textId="77777777" w:rsidR="001C12C1"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Saturator SFM – 1.0</w:t>
      </w:r>
    </w:p>
    <w:p w14:paraId="3CCC6D46" w14:textId="77777777" w:rsidR="00FC7CB0" w:rsidRPr="00C2208A" w:rsidRDefault="001C12C1" w:rsidP="00C2208A">
      <w:pPr>
        <w:spacing w:after="0" w:line="240" w:lineRule="auto"/>
        <w:ind w:firstLine="284"/>
        <w:jc w:val="both"/>
        <w:rPr>
          <w:b w:val="0"/>
          <w:iCs/>
          <w:sz w:val="20"/>
          <w:szCs w:val="20"/>
          <w:lang w:val="en-US"/>
        </w:rPr>
      </w:pPr>
      <w:r w:rsidRPr="00C2208A">
        <w:rPr>
          <w:b w:val="0"/>
          <w:iCs/>
          <w:sz w:val="20"/>
          <w:szCs w:val="20"/>
          <w:lang w:val="en-US"/>
        </w:rPr>
        <w:t>dyed and the dyeing process technology was carried out as follows:</w:t>
      </w:r>
    </w:p>
    <w:p w14:paraId="653CDB53" w14:textId="64C338A9" w:rsidR="00FC7CB0" w:rsidRPr="00C2208A" w:rsidRDefault="00FC7CB0" w:rsidP="00C2208A">
      <w:pPr>
        <w:spacing w:after="0" w:line="240" w:lineRule="auto"/>
        <w:ind w:firstLine="284"/>
        <w:jc w:val="both"/>
        <w:rPr>
          <w:b w:val="0"/>
          <w:iCs/>
          <w:sz w:val="20"/>
          <w:szCs w:val="20"/>
          <w:lang w:val="en-US"/>
        </w:rPr>
      </w:pPr>
      <w:r w:rsidRPr="00C2208A">
        <w:rPr>
          <w:iCs/>
          <w:sz w:val="20"/>
          <w:szCs w:val="20"/>
          <w:lang w:val="en-US"/>
        </w:rPr>
        <w:t>Soaking-compression-drying-heat treatment.</w:t>
      </w:r>
      <w:r w:rsidR="00C2208A">
        <w:rPr>
          <w:iCs/>
          <w:sz w:val="20"/>
          <w:szCs w:val="20"/>
          <w:lang w:val="en-US"/>
        </w:rPr>
        <w:t xml:space="preserve"> </w:t>
      </w:r>
      <w:r w:rsidRPr="00C2208A">
        <w:rPr>
          <w:b w:val="0"/>
          <w:iCs/>
          <w:sz w:val="20"/>
          <w:szCs w:val="20"/>
          <w:lang w:val="en-US"/>
        </w:rPr>
        <w:t>Then, the fire-resistant property was given. The fire-resistant property was given based on the</w:t>
      </w:r>
      <w:r w:rsidR="00C2208A">
        <w:rPr>
          <w:b w:val="0"/>
          <w:iCs/>
          <w:sz w:val="20"/>
          <w:szCs w:val="20"/>
          <w:lang w:val="en-US"/>
        </w:rPr>
        <w:t xml:space="preserve"> following sequence.</w:t>
      </w:r>
    </w:p>
    <w:p w14:paraId="205B66A7" w14:textId="2AA564ED" w:rsidR="00FC7CB0" w:rsidRPr="00C2208A" w:rsidRDefault="00FC7CB0" w:rsidP="00C2208A">
      <w:pPr>
        <w:tabs>
          <w:tab w:val="left" w:pos="3660"/>
        </w:tabs>
        <w:spacing w:after="0" w:line="240" w:lineRule="auto"/>
        <w:ind w:firstLine="284"/>
        <w:jc w:val="both"/>
        <w:rPr>
          <w:b w:val="0"/>
          <w:sz w:val="20"/>
          <w:szCs w:val="20"/>
          <w:lang w:val="en-US"/>
        </w:rPr>
      </w:pPr>
      <w:r w:rsidRPr="00C2208A">
        <w:rPr>
          <w:sz w:val="20"/>
          <w:szCs w:val="20"/>
          <w:lang w:val="en-US"/>
        </w:rPr>
        <w:t>Soaking-compression-drying-heat treatment.</w:t>
      </w:r>
      <w:r w:rsidR="00C2208A">
        <w:rPr>
          <w:sz w:val="20"/>
          <w:szCs w:val="20"/>
          <w:lang w:val="en-US"/>
        </w:rPr>
        <w:t xml:space="preserve"> </w:t>
      </w:r>
      <w:r w:rsidRPr="00C2208A">
        <w:rPr>
          <w:b w:val="0"/>
          <w:sz w:val="20"/>
          <w:szCs w:val="20"/>
          <w:lang w:val="en-US"/>
        </w:rPr>
        <w:t>The fire resistance properties of the obtained samples were tested and their physicochemical properties were studied.</w:t>
      </w:r>
    </w:p>
    <w:p w14:paraId="6D7DD6C1" w14:textId="77777777" w:rsidR="006C6821" w:rsidRPr="00C2208A" w:rsidRDefault="006C6821" w:rsidP="00C2208A">
      <w:pPr>
        <w:spacing w:after="0" w:line="240" w:lineRule="auto"/>
        <w:ind w:firstLine="284"/>
        <w:jc w:val="both"/>
        <w:rPr>
          <w:b w:val="0"/>
          <w:sz w:val="20"/>
          <w:szCs w:val="20"/>
          <w:lang w:val="en-US"/>
        </w:rPr>
      </w:pPr>
      <w:r w:rsidRPr="00C2208A">
        <w:rPr>
          <w:b w:val="0"/>
          <w:sz w:val="20"/>
          <w:szCs w:val="20"/>
          <w:lang w:val="en-US"/>
        </w:rPr>
        <w:t>To give the samples fire-resistant properties, 5x20 cm long samples were prepared. The samples were soaked in a solution with a modulus of 30 (relative to dry mass) for 3 minutes. They were dried in a drying cabinet for 10 minutes at a temperature of 90-100 0С. After the drying process, thermal treatment was carried out at a temperature of 140 0С for 2 minutes.</w:t>
      </w:r>
    </w:p>
    <w:p w14:paraId="0FA48BE6" w14:textId="77777777" w:rsidR="004B0BE6" w:rsidRPr="00C2208A" w:rsidRDefault="004B0BE6" w:rsidP="00C2208A">
      <w:pPr>
        <w:spacing w:after="0" w:line="240" w:lineRule="auto"/>
        <w:ind w:firstLine="284"/>
        <w:jc w:val="both"/>
        <w:rPr>
          <w:b w:val="0"/>
          <w:sz w:val="20"/>
          <w:szCs w:val="20"/>
          <w:lang w:val="en-US"/>
        </w:rPr>
      </w:pPr>
      <w:r w:rsidRPr="00C2208A">
        <w:rPr>
          <w:b w:val="0"/>
          <w:i/>
          <w:sz w:val="20"/>
          <w:szCs w:val="20"/>
          <w:lang w:val="en-US"/>
        </w:rPr>
        <w:t>Determination of the fire resistance of samples.</w:t>
      </w:r>
      <w:r w:rsidRPr="00C2208A">
        <w:rPr>
          <w:sz w:val="20"/>
          <w:szCs w:val="20"/>
          <w:lang w:val="en-US"/>
        </w:rPr>
        <w:t xml:space="preserve"> </w:t>
      </w:r>
      <w:r w:rsidRPr="00C2208A">
        <w:rPr>
          <w:b w:val="0"/>
          <w:sz w:val="20"/>
          <w:szCs w:val="20"/>
          <w:lang w:val="en-US"/>
        </w:rPr>
        <w:t>5 elementary samples measuring 5x20 cm are cut. Elementary samples are kept for 24 hours in standard atmospheric conditions. The level of alcohol in the laboratory alcohol burner is checked. The flame height should be 40-50 mm. The upper narrow end (edge) of the elementary sample is clamped with tweezers. The lower end of the sample is held 20 mm in the flame and at the same time the stopwatch is started. The sample is kept in the flame for 20 seconds. After the specified exposure time in the flame, the sample is removed from the fire zone. After the sample is removed from the open flame, the residual combustion and burning duration are determined. The following results are recorded in the test report:</w:t>
      </w:r>
    </w:p>
    <w:p w14:paraId="3697ABAE" w14:textId="77777777" w:rsidR="004B0BE6" w:rsidRPr="00C2208A" w:rsidRDefault="004B0BE6" w:rsidP="00C2208A">
      <w:pPr>
        <w:tabs>
          <w:tab w:val="left" w:pos="3660"/>
        </w:tabs>
        <w:spacing w:after="0" w:line="240" w:lineRule="auto"/>
        <w:ind w:firstLine="284"/>
        <w:jc w:val="both"/>
        <w:rPr>
          <w:b w:val="0"/>
          <w:sz w:val="20"/>
          <w:szCs w:val="20"/>
          <w:lang w:val="en-US"/>
        </w:rPr>
      </w:pPr>
      <w:r w:rsidRPr="00C2208A">
        <w:rPr>
          <w:b w:val="0"/>
          <w:sz w:val="20"/>
          <w:szCs w:val="20"/>
          <w:lang w:val="en-US"/>
        </w:rPr>
        <w:t>- residual burning time of the sample, s;</w:t>
      </w:r>
    </w:p>
    <w:p w14:paraId="73A203BB" w14:textId="7751BBA6" w:rsidR="004B0BE6" w:rsidRPr="00C2208A" w:rsidRDefault="004B0BE6" w:rsidP="00C2208A">
      <w:pPr>
        <w:tabs>
          <w:tab w:val="left" w:pos="3660"/>
        </w:tabs>
        <w:spacing w:after="0" w:line="240" w:lineRule="auto"/>
        <w:ind w:firstLine="284"/>
        <w:jc w:val="both"/>
        <w:rPr>
          <w:b w:val="0"/>
          <w:sz w:val="20"/>
          <w:szCs w:val="20"/>
          <w:lang w:val="en-US"/>
        </w:rPr>
      </w:pPr>
      <w:r w:rsidRPr="00C2208A">
        <w:rPr>
          <w:b w:val="0"/>
          <w:sz w:val="20"/>
          <w:szCs w:val="20"/>
          <w:lang w:val="en-US"/>
        </w:rPr>
        <w:t>- length of the burned area of the sample, cm;</w:t>
      </w:r>
    </w:p>
    <w:p w14:paraId="29760EC0" w14:textId="1CB91F73" w:rsidR="00FC7CB0" w:rsidRPr="00C2208A" w:rsidRDefault="004B0BE6" w:rsidP="00C2208A">
      <w:pPr>
        <w:tabs>
          <w:tab w:val="left" w:pos="3660"/>
        </w:tabs>
        <w:spacing w:after="0" w:line="240" w:lineRule="auto"/>
        <w:ind w:firstLine="284"/>
        <w:jc w:val="both"/>
        <w:rPr>
          <w:b w:val="0"/>
          <w:sz w:val="20"/>
          <w:szCs w:val="20"/>
          <w:lang w:val="en-US"/>
        </w:rPr>
      </w:pPr>
      <w:r w:rsidRPr="00C2208A">
        <w:rPr>
          <w:b w:val="0"/>
          <w:sz w:val="20"/>
          <w:szCs w:val="20"/>
          <w:lang w:val="en-US"/>
        </w:rPr>
        <w:t>- other characteristics of the test process (hole formation, melting of the sample material, etc.).</w:t>
      </w:r>
    </w:p>
    <w:p w14:paraId="3120B24B" w14:textId="761D9439" w:rsidR="004B0BE6" w:rsidRPr="00C2208A" w:rsidRDefault="004B0BE6" w:rsidP="00C2208A">
      <w:pPr>
        <w:spacing w:after="0" w:line="240" w:lineRule="auto"/>
        <w:ind w:firstLine="284"/>
        <w:jc w:val="both"/>
        <w:rPr>
          <w:b w:val="0"/>
          <w:sz w:val="20"/>
          <w:szCs w:val="20"/>
          <w:lang w:val="en-US"/>
        </w:rPr>
      </w:pPr>
      <w:r w:rsidRPr="00C2208A">
        <w:rPr>
          <w:b w:val="0"/>
          <w:i/>
          <w:sz w:val="20"/>
          <w:szCs w:val="20"/>
          <w:lang w:val="en-US"/>
        </w:rPr>
        <w:t>Determination of color quality indicators of dyed samples.</w:t>
      </w:r>
      <w:r w:rsidRPr="00C2208A">
        <w:rPr>
          <w:b w:val="0"/>
          <w:sz w:val="20"/>
          <w:szCs w:val="20"/>
          <w:lang w:val="en-US"/>
        </w:rPr>
        <w:t xml:space="preserve"> The color quality indicators of dyed samples were determined in the scientific laboratory of “Kor-Uz Textile Technopark” using an X-Rite Ci 7800 laboratory spectrophotometer (Korea) under D65 standard radiation according to the method presented in.</w:t>
      </w:r>
    </w:p>
    <w:p w14:paraId="4E64B938" w14:textId="17F92AD8" w:rsidR="004B0BE6" w:rsidRPr="00C2208A" w:rsidRDefault="004B0BE6" w:rsidP="00C2208A">
      <w:pPr>
        <w:spacing w:after="0" w:line="240" w:lineRule="auto"/>
        <w:ind w:firstLine="284"/>
        <w:jc w:val="both"/>
        <w:rPr>
          <w:b w:val="0"/>
          <w:sz w:val="20"/>
          <w:szCs w:val="20"/>
          <w:lang w:val="en-US"/>
        </w:rPr>
      </w:pPr>
      <w:r w:rsidRPr="00C2208A">
        <w:rPr>
          <w:b w:val="0"/>
          <w:sz w:val="20"/>
          <w:szCs w:val="20"/>
          <w:lang w:val="en-US"/>
        </w:rPr>
        <w:t>I</w:t>
      </w:r>
      <w:r w:rsidR="00CE6259" w:rsidRPr="00C2208A">
        <w:rPr>
          <w:b w:val="0"/>
          <w:sz w:val="20"/>
          <w:szCs w:val="20"/>
          <w:lang w:val="en-US"/>
        </w:rPr>
        <w:t>Q</w:t>
      </w:r>
      <w:r w:rsidRPr="00C2208A">
        <w:rPr>
          <w:b w:val="0"/>
          <w:sz w:val="20"/>
          <w:szCs w:val="20"/>
          <w:lang w:val="en-US"/>
        </w:rPr>
        <w:t xml:space="preserve"> spectrometer analysis of flame retardant-treated samples was measured on a Nicolet iS50 far-infrared sbiopolymerometer in the range of 450–4000 sm</w:t>
      </w:r>
      <w:r w:rsidRPr="00C2208A">
        <w:rPr>
          <w:b w:val="0"/>
          <w:sz w:val="20"/>
          <w:szCs w:val="20"/>
          <w:vertAlign w:val="superscript"/>
          <w:lang w:val="en-US"/>
        </w:rPr>
        <w:t>-1</w:t>
      </w:r>
      <w:r w:rsidR="00686907" w:rsidRPr="00C2208A">
        <w:rPr>
          <w:b w:val="0"/>
          <w:sz w:val="20"/>
          <w:szCs w:val="20"/>
          <w:lang w:val="en-US"/>
        </w:rPr>
        <w:t>.</w:t>
      </w:r>
    </w:p>
    <w:p w14:paraId="0922683F" w14:textId="77777777" w:rsidR="00686907" w:rsidRPr="00C2208A" w:rsidRDefault="00686907" w:rsidP="00C2208A">
      <w:pPr>
        <w:spacing w:after="0" w:line="240" w:lineRule="auto"/>
        <w:ind w:firstLine="284"/>
        <w:jc w:val="both"/>
        <w:rPr>
          <w:b w:val="0"/>
          <w:sz w:val="20"/>
          <w:szCs w:val="20"/>
          <w:lang w:val="en-US"/>
        </w:rPr>
      </w:pPr>
      <w:r w:rsidRPr="00C2208A">
        <w:rPr>
          <w:b w:val="0"/>
          <w:i/>
          <w:sz w:val="20"/>
          <w:szCs w:val="20"/>
          <w:lang w:val="en-US"/>
        </w:rPr>
        <w:t>Determination of physical and mechanical properties of fibrous materials.</w:t>
      </w:r>
      <w:r w:rsidRPr="00C2208A">
        <w:rPr>
          <w:b w:val="0"/>
          <w:sz w:val="20"/>
          <w:szCs w:val="20"/>
          <w:lang w:val="en-US"/>
        </w:rPr>
        <w:t xml:space="preserve"> Samples measuring 300x50 mm are prepared for testing. Tensile strength and elongation at break are determined on the “AG-1” tensile tester at 25±30 and 60±5% humidity. The tester is calibrated before testing the sample.</w:t>
      </w:r>
    </w:p>
    <w:p w14:paraId="0805F6A2" w14:textId="571E70F6" w:rsidR="00DE00A5" w:rsidRPr="00C2208A" w:rsidRDefault="00C2208A" w:rsidP="00C2208A">
      <w:pPr>
        <w:spacing w:before="240" w:after="240" w:line="240" w:lineRule="auto"/>
        <w:jc w:val="center"/>
        <w:rPr>
          <w:iCs/>
          <w:sz w:val="24"/>
          <w:szCs w:val="20"/>
          <w:lang w:val="en-US"/>
        </w:rPr>
      </w:pPr>
      <w:r w:rsidRPr="00C2208A">
        <w:rPr>
          <w:iCs/>
          <w:sz w:val="24"/>
          <w:szCs w:val="20"/>
          <w:lang w:val="en-US"/>
        </w:rPr>
        <w:t>EXPERIMENT</w:t>
      </w:r>
      <w:r>
        <w:rPr>
          <w:iCs/>
          <w:sz w:val="24"/>
          <w:szCs w:val="20"/>
          <w:lang w:val="en-US"/>
        </w:rPr>
        <w:t>AL PART AND ANALYSIS OF RESULTS</w:t>
      </w:r>
    </w:p>
    <w:p w14:paraId="67D34BBD" w14:textId="7EF507FF" w:rsidR="00DE00A5" w:rsidRPr="00C2208A" w:rsidRDefault="00DE00A5" w:rsidP="00C2208A">
      <w:pPr>
        <w:spacing w:after="0" w:line="240" w:lineRule="auto"/>
        <w:ind w:firstLine="284"/>
        <w:jc w:val="both"/>
        <w:rPr>
          <w:b w:val="0"/>
          <w:sz w:val="20"/>
          <w:szCs w:val="20"/>
          <w:lang w:val="en-US"/>
        </w:rPr>
      </w:pPr>
      <w:r w:rsidRPr="00C2208A">
        <w:rPr>
          <w:b w:val="0"/>
          <w:sz w:val="20"/>
          <w:szCs w:val="20"/>
          <w:lang w:val="en-US"/>
        </w:rPr>
        <w:t>A 100% cotton raw yarn was bleached and dyed continuously with an active dye using the above dye solution and the technological sequence. The dyed samples were treated with a 50% flame retardant solution (prepared by diluting in distilled water at room temperature) to impart flame retardant properties. The color intensity, flame retardancy, and quality parameters of the obtained samples were determined.</w:t>
      </w:r>
    </w:p>
    <w:p w14:paraId="300D75EA" w14:textId="77777777" w:rsidR="00E913E5" w:rsidRDefault="00E913E5" w:rsidP="00C2208A">
      <w:pPr>
        <w:spacing w:after="0" w:line="240" w:lineRule="auto"/>
        <w:ind w:firstLine="284"/>
        <w:jc w:val="both"/>
        <w:rPr>
          <w:b w:val="0"/>
          <w:sz w:val="20"/>
          <w:szCs w:val="20"/>
          <w:lang w:val="en-US"/>
        </w:rPr>
      </w:pPr>
      <w:r w:rsidRPr="00C2208A">
        <w:rPr>
          <w:b w:val="0"/>
          <w:sz w:val="20"/>
          <w:szCs w:val="20"/>
          <w:lang w:val="en-US"/>
        </w:rPr>
        <w:t>The color intensity of samples dyed in a continuous process and given fire-resistant properties is presented in the table below.</w:t>
      </w:r>
    </w:p>
    <w:p w14:paraId="45E06A47" w14:textId="77777777" w:rsidR="00C2208A" w:rsidRPr="00C2208A" w:rsidRDefault="00C2208A" w:rsidP="00C2208A">
      <w:pPr>
        <w:spacing w:after="0" w:line="240" w:lineRule="auto"/>
        <w:ind w:firstLine="284"/>
        <w:jc w:val="both"/>
        <w:rPr>
          <w:b w:val="0"/>
          <w:sz w:val="20"/>
          <w:szCs w:val="20"/>
          <w:lang w:val="en-US"/>
        </w:rPr>
      </w:pPr>
    </w:p>
    <w:p w14:paraId="0D76F32E" w14:textId="6373F2D4" w:rsidR="00E913E5" w:rsidRPr="00C2208A" w:rsidRDefault="00C2208A" w:rsidP="005C63B5">
      <w:pPr>
        <w:spacing w:before="120" w:after="120" w:line="240" w:lineRule="auto"/>
        <w:jc w:val="center"/>
        <w:rPr>
          <w:b w:val="0"/>
          <w:sz w:val="18"/>
          <w:szCs w:val="20"/>
          <w:lang w:val="en-US"/>
        </w:rPr>
      </w:pPr>
      <w:r w:rsidRPr="00C2208A">
        <w:rPr>
          <w:sz w:val="18"/>
          <w:szCs w:val="20"/>
          <w:lang w:val="en-US"/>
        </w:rPr>
        <w:t xml:space="preserve">TABLE 2. </w:t>
      </w:r>
      <w:r w:rsidR="00E913E5" w:rsidRPr="00C2208A">
        <w:rPr>
          <w:b w:val="0"/>
          <w:sz w:val="18"/>
          <w:szCs w:val="20"/>
          <w:lang w:val="en-US"/>
        </w:rPr>
        <w:t>Color quality indicators of samples</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585"/>
        <w:gridCol w:w="940"/>
        <w:gridCol w:w="846"/>
        <w:gridCol w:w="949"/>
        <w:gridCol w:w="1040"/>
        <w:gridCol w:w="846"/>
        <w:gridCol w:w="992"/>
      </w:tblGrid>
      <w:tr w:rsidR="00E913E5" w:rsidRPr="00C2208A" w14:paraId="723EDD36" w14:textId="77777777" w:rsidTr="00C2208A">
        <w:trPr>
          <w:jc w:val="center"/>
        </w:trPr>
        <w:tc>
          <w:tcPr>
            <w:tcW w:w="1723" w:type="dxa"/>
            <w:vMerge w:val="restart"/>
            <w:vAlign w:val="center"/>
          </w:tcPr>
          <w:p w14:paraId="275BE149"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Name</w:t>
            </w:r>
          </w:p>
        </w:tc>
        <w:tc>
          <w:tcPr>
            <w:tcW w:w="1585" w:type="dxa"/>
            <w:vMerge w:val="restart"/>
            <w:vAlign w:val="center"/>
          </w:tcPr>
          <w:p w14:paraId="0ADE827E"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Samples</w:t>
            </w:r>
          </w:p>
        </w:tc>
        <w:tc>
          <w:tcPr>
            <w:tcW w:w="5613" w:type="dxa"/>
            <w:gridSpan w:val="6"/>
            <w:vAlign w:val="center"/>
          </w:tcPr>
          <w:p w14:paraId="1540CE81"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Color characteristics, K/S</w:t>
            </w:r>
          </w:p>
        </w:tc>
      </w:tr>
      <w:tr w:rsidR="00E913E5" w:rsidRPr="00C2208A" w14:paraId="2514FF1B" w14:textId="77777777" w:rsidTr="00C2208A">
        <w:trPr>
          <w:jc w:val="center"/>
        </w:trPr>
        <w:tc>
          <w:tcPr>
            <w:tcW w:w="1723" w:type="dxa"/>
            <w:vMerge/>
            <w:tcBorders>
              <w:bottom w:val="single" w:sz="4" w:space="0" w:color="auto"/>
            </w:tcBorders>
            <w:vAlign w:val="center"/>
          </w:tcPr>
          <w:p w14:paraId="70B96337" w14:textId="77777777" w:rsidR="00E913E5" w:rsidRPr="00C2208A" w:rsidRDefault="00E913E5" w:rsidP="00C2208A">
            <w:pPr>
              <w:jc w:val="center"/>
              <w:rPr>
                <w:rFonts w:ascii="Times New Roman" w:hAnsi="Times New Roman" w:cs="Times New Roman"/>
                <w:sz w:val="20"/>
                <w:szCs w:val="20"/>
              </w:rPr>
            </w:pPr>
          </w:p>
        </w:tc>
        <w:tc>
          <w:tcPr>
            <w:tcW w:w="1585" w:type="dxa"/>
            <w:vMerge/>
            <w:tcBorders>
              <w:bottom w:val="single" w:sz="4" w:space="0" w:color="auto"/>
            </w:tcBorders>
            <w:vAlign w:val="center"/>
          </w:tcPr>
          <w:p w14:paraId="132025E7" w14:textId="77777777" w:rsidR="00E913E5" w:rsidRPr="00C2208A" w:rsidRDefault="00E913E5" w:rsidP="00C2208A">
            <w:pPr>
              <w:jc w:val="center"/>
              <w:rPr>
                <w:rFonts w:ascii="Times New Roman" w:hAnsi="Times New Roman" w:cs="Times New Roman"/>
                <w:b/>
                <w:bCs/>
                <w:sz w:val="20"/>
                <w:szCs w:val="20"/>
                <w:lang w:val="en-US"/>
              </w:rPr>
            </w:pPr>
          </w:p>
        </w:tc>
        <w:tc>
          <w:tcPr>
            <w:tcW w:w="940" w:type="dxa"/>
            <w:tcBorders>
              <w:bottom w:val="single" w:sz="4" w:space="0" w:color="auto"/>
            </w:tcBorders>
            <w:vAlign w:val="center"/>
          </w:tcPr>
          <w:p w14:paraId="535AB834"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R</w:t>
            </w:r>
          </w:p>
        </w:tc>
        <w:tc>
          <w:tcPr>
            <w:tcW w:w="846" w:type="dxa"/>
            <w:tcBorders>
              <w:bottom w:val="single" w:sz="4" w:space="0" w:color="auto"/>
            </w:tcBorders>
            <w:vAlign w:val="center"/>
          </w:tcPr>
          <w:p w14:paraId="5A597FF3" w14:textId="77777777" w:rsidR="00E913E5" w:rsidRPr="00C2208A" w:rsidRDefault="00E913E5" w:rsidP="00C2208A">
            <w:pPr>
              <w:jc w:val="center"/>
              <w:rPr>
                <w:rFonts w:ascii="Times New Roman" w:hAnsi="Times New Roman" w:cs="Times New Roman"/>
                <w:b/>
                <w:bCs/>
                <w:sz w:val="20"/>
                <w:szCs w:val="20"/>
                <w:vertAlign w:val="superscript"/>
                <w:lang w:val="en-US"/>
              </w:rPr>
            </w:pPr>
            <w:r w:rsidRPr="00C2208A">
              <w:rPr>
                <w:rFonts w:ascii="Times New Roman" w:hAnsi="Times New Roman" w:cs="Times New Roman"/>
                <w:b/>
                <w:bCs/>
                <w:sz w:val="20"/>
                <w:szCs w:val="20"/>
                <w:lang w:val="en-US"/>
              </w:rPr>
              <w:t>L</w:t>
            </w:r>
            <w:r w:rsidRPr="00C2208A">
              <w:rPr>
                <w:rFonts w:ascii="Times New Roman" w:hAnsi="Times New Roman" w:cs="Times New Roman"/>
                <w:b/>
                <w:bCs/>
                <w:sz w:val="20"/>
                <w:szCs w:val="20"/>
                <w:vertAlign w:val="superscript"/>
                <w:lang w:val="en-US"/>
              </w:rPr>
              <w:t>*</w:t>
            </w:r>
          </w:p>
        </w:tc>
        <w:tc>
          <w:tcPr>
            <w:tcW w:w="949" w:type="dxa"/>
            <w:tcBorders>
              <w:bottom w:val="single" w:sz="4" w:space="0" w:color="auto"/>
            </w:tcBorders>
            <w:vAlign w:val="center"/>
          </w:tcPr>
          <w:p w14:paraId="368E7E0C" w14:textId="77777777" w:rsidR="00E913E5" w:rsidRPr="00C2208A" w:rsidRDefault="00E913E5" w:rsidP="00C2208A">
            <w:pPr>
              <w:jc w:val="center"/>
              <w:rPr>
                <w:rFonts w:ascii="Times New Roman" w:hAnsi="Times New Roman" w:cs="Times New Roman"/>
                <w:b/>
                <w:bCs/>
                <w:sz w:val="20"/>
                <w:szCs w:val="20"/>
                <w:vertAlign w:val="superscript"/>
                <w:lang w:val="en-US"/>
              </w:rPr>
            </w:pPr>
            <w:r w:rsidRPr="00C2208A">
              <w:rPr>
                <w:rFonts w:ascii="Times New Roman" w:hAnsi="Times New Roman" w:cs="Times New Roman"/>
                <w:b/>
                <w:bCs/>
                <w:sz w:val="20"/>
                <w:szCs w:val="20"/>
                <w:lang w:val="en-US"/>
              </w:rPr>
              <w:t>a</w:t>
            </w:r>
            <w:r w:rsidRPr="00C2208A">
              <w:rPr>
                <w:rFonts w:ascii="Times New Roman" w:hAnsi="Times New Roman" w:cs="Times New Roman"/>
                <w:b/>
                <w:bCs/>
                <w:sz w:val="20"/>
                <w:szCs w:val="20"/>
                <w:vertAlign w:val="superscript"/>
                <w:lang w:val="en-US"/>
              </w:rPr>
              <w:t>*</w:t>
            </w:r>
          </w:p>
        </w:tc>
        <w:tc>
          <w:tcPr>
            <w:tcW w:w="1040" w:type="dxa"/>
            <w:tcBorders>
              <w:bottom w:val="single" w:sz="4" w:space="0" w:color="auto"/>
            </w:tcBorders>
            <w:vAlign w:val="center"/>
          </w:tcPr>
          <w:p w14:paraId="13865400" w14:textId="77777777" w:rsidR="00E913E5" w:rsidRPr="00C2208A" w:rsidRDefault="00E913E5" w:rsidP="00C2208A">
            <w:pPr>
              <w:jc w:val="center"/>
              <w:rPr>
                <w:rFonts w:ascii="Times New Roman" w:hAnsi="Times New Roman" w:cs="Times New Roman"/>
                <w:b/>
                <w:bCs/>
                <w:sz w:val="20"/>
                <w:szCs w:val="20"/>
                <w:vertAlign w:val="superscript"/>
                <w:lang w:val="en-US"/>
              </w:rPr>
            </w:pPr>
            <w:r w:rsidRPr="00C2208A">
              <w:rPr>
                <w:rFonts w:ascii="Times New Roman" w:hAnsi="Times New Roman" w:cs="Times New Roman"/>
                <w:b/>
                <w:bCs/>
                <w:sz w:val="20"/>
                <w:szCs w:val="20"/>
                <w:lang w:val="en-US"/>
              </w:rPr>
              <w:t>b</w:t>
            </w:r>
            <w:r w:rsidRPr="00C2208A">
              <w:rPr>
                <w:rFonts w:ascii="Times New Roman" w:hAnsi="Times New Roman" w:cs="Times New Roman"/>
                <w:b/>
                <w:bCs/>
                <w:sz w:val="20"/>
                <w:szCs w:val="20"/>
                <w:vertAlign w:val="superscript"/>
                <w:lang w:val="en-US"/>
              </w:rPr>
              <w:t>*</w:t>
            </w:r>
          </w:p>
        </w:tc>
        <w:tc>
          <w:tcPr>
            <w:tcW w:w="846" w:type="dxa"/>
            <w:tcBorders>
              <w:bottom w:val="single" w:sz="4" w:space="0" w:color="auto"/>
            </w:tcBorders>
            <w:vAlign w:val="center"/>
          </w:tcPr>
          <w:p w14:paraId="23513BF9"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C</w:t>
            </w:r>
            <w:r w:rsidRPr="00C2208A">
              <w:rPr>
                <w:rFonts w:ascii="Times New Roman" w:hAnsi="Times New Roman" w:cs="Times New Roman"/>
                <w:b/>
                <w:bCs/>
                <w:sz w:val="20"/>
                <w:szCs w:val="20"/>
                <w:vertAlign w:val="superscript"/>
                <w:lang w:val="en-US"/>
              </w:rPr>
              <w:t>*</w:t>
            </w:r>
          </w:p>
        </w:tc>
        <w:tc>
          <w:tcPr>
            <w:tcW w:w="992" w:type="dxa"/>
            <w:tcBorders>
              <w:bottom w:val="single" w:sz="4" w:space="0" w:color="auto"/>
            </w:tcBorders>
            <w:vAlign w:val="center"/>
          </w:tcPr>
          <w:p w14:paraId="7E768D3B"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h</w:t>
            </w:r>
            <w:r w:rsidRPr="00C2208A">
              <w:rPr>
                <w:rFonts w:ascii="Times New Roman" w:hAnsi="Times New Roman" w:cs="Times New Roman"/>
                <w:b/>
                <w:bCs/>
                <w:sz w:val="20"/>
                <w:szCs w:val="20"/>
                <w:vertAlign w:val="superscript"/>
                <w:lang w:val="en-US"/>
              </w:rPr>
              <w:t>*</w:t>
            </w:r>
          </w:p>
        </w:tc>
      </w:tr>
      <w:tr w:rsidR="00E913E5" w:rsidRPr="00C2208A" w14:paraId="025FECA2" w14:textId="77777777" w:rsidTr="00C2208A">
        <w:trPr>
          <w:jc w:val="center"/>
        </w:trPr>
        <w:tc>
          <w:tcPr>
            <w:tcW w:w="1723" w:type="dxa"/>
            <w:vMerge w:val="restart"/>
            <w:tcBorders>
              <w:top w:val="single" w:sz="4" w:space="0" w:color="auto"/>
              <w:bottom w:val="nil"/>
            </w:tcBorders>
            <w:vAlign w:val="center"/>
          </w:tcPr>
          <w:p w14:paraId="318B6D3A"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Sample 1</w:t>
            </w:r>
          </w:p>
        </w:tc>
        <w:tc>
          <w:tcPr>
            <w:tcW w:w="1585" w:type="dxa"/>
            <w:vMerge w:val="restart"/>
            <w:tcBorders>
              <w:top w:val="single" w:sz="4" w:space="0" w:color="auto"/>
              <w:bottom w:val="nil"/>
            </w:tcBorders>
            <w:vAlign w:val="center"/>
          </w:tcPr>
          <w:p w14:paraId="4CEA094F" w14:textId="77777777" w:rsidR="00E913E5" w:rsidRPr="00C2208A" w:rsidRDefault="00E913E5" w:rsidP="00C2208A">
            <w:pPr>
              <w:jc w:val="center"/>
              <w:rPr>
                <w:rFonts w:ascii="Times New Roman" w:hAnsi="Times New Roman" w:cs="Times New Roman"/>
                <w:b/>
                <w:bCs/>
                <w:sz w:val="20"/>
                <w:szCs w:val="20"/>
                <w:lang w:val="en-US"/>
              </w:rPr>
            </w:pPr>
            <w:r w:rsidRPr="00C2208A">
              <w:rPr>
                <w:noProof/>
                <w:sz w:val="20"/>
                <w:szCs w:val="20"/>
                <w:lang w:eastAsia="ru-RU"/>
              </w:rPr>
              <w:drawing>
                <wp:inline distT="0" distB="0" distL="0" distR="0" wp14:anchorId="4C054CB8" wp14:editId="025D1533">
                  <wp:extent cx="608965" cy="400050"/>
                  <wp:effectExtent l="0" t="0" r="635" b="0"/>
                  <wp:docPr id="474011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11946" name=""/>
                          <pic:cNvPicPr/>
                        </pic:nvPicPr>
                        <pic:blipFill>
                          <a:blip r:embed="rId6"/>
                          <a:stretch>
                            <a:fillRect/>
                          </a:stretch>
                        </pic:blipFill>
                        <pic:spPr>
                          <a:xfrm>
                            <a:off x="0" y="0"/>
                            <a:ext cx="617503" cy="405659"/>
                          </a:xfrm>
                          <a:prstGeom prst="rect">
                            <a:avLst/>
                          </a:prstGeom>
                        </pic:spPr>
                      </pic:pic>
                    </a:graphicData>
                  </a:graphic>
                </wp:inline>
              </w:drawing>
            </w:r>
          </w:p>
        </w:tc>
        <w:tc>
          <w:tcPr>
            <w:tcW w:w="5613" w:type="dxa"/>
            <w:gridSpan w:val="6"/>
            <w:tcBorders>
              <w:top w:val="single" w:sz="4" w:space="0" w:color="auto"/>
              <w:bottom w:val="nil"/>
            </w:tcBorders>
            <w:vAlign w:val="center"/>
          </w:tcPr>
          <w:p w14:paraId="4974013A" w14:textId="77777777" w:rsidR="00E913E5" w:rsidRPr="00C2208A" w:rsidRDefault="00E913E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6.12</w:t>
            </w:r>
          </w:p>
        </w:tc>
      </w:tr>
      <w:tr w:rsidR="00E913E5" w:rsidRPr="00C2208A" w14:paraId="7C61AAD0" w14:textId="77777777" w:rsidTr="00C2208A">
        <w:trPr>
          <w:trHeight w:val="323"/>
          <w:jc w:val="center"/>
        </w:trPr>
        <w:tc>
          <w:tcPr>
            <w:tcW w:w="1723" w:type="dxa"/>
            <w:vMerge/>
            <w:tcBorders>
              <w:top w:val="nil"/>
            </w:tcBorders>
            <w:vAlign w:val="center"/>
          </w:tcPr>
          <w:p w14:paraId="3505BF2B" w14:textId="77777777" w:rsidR="00E913E5" w:rsidRPr="00C2208A" w:rsidRDefault="00E913E5" w:rsidP="00C2208A">
            <w:pPr>
              <w:jc w:val="center"/>
              <w:rPr>
                <w:rFonts w:ascii="Times New Roman" w:hAnsi="Times New Roman" w:cs="Times New Roman"/>
                <w:sz w:val="20"/>
                <w:szCs w:val="20"/>
                <w:lang w:val="en-US"/>
              </w:rPr>
            </w:pPr>
          </w:p>
        </w:tc>
        <w:tc>
          <w:tcPr>
            <w:tcW w:w="1585" w:type="dxa"/>
            <w:vMerge/>
            <w:tcBorders>
              <w:top w:val="nil"/>
            </w:tcBorders>
            <w:vAlign w:val="center"/>
          </w:tcPr>
          <w:p w14:paraId="3883B6EE" w14:textId="77777777" w:rsidR="00E913E5" w:rsidRPr="00C2208A" w:rsidRDefault="00E913E5" w:rsidP="00C2208A">
            <w:pPr>
              <w:jc w:val="center"/>
              <w:rPr>
                <w:rFonts w:ascii="Times New Roman" w:hAnsi="Times New Roman" w:cs="Times New Roman"/>
                <w:sz w:val="20"/>
                <w:szCs w:val="20"/>
                <w:lang w:val="en-US"/>
              </w:rPr>
            </w:pPr>
          </w:p>
        </w:tc>
        <w:tc>
          <w:tcPr>
            <w:tcW w:w="940" w:type="dxa"/>
            <w:tcBorders>
              <w:top w:val="nil"/>
            </w:tcBorders>
            <w:vAlign w:val="center"/>
          </w:tcPr>
          <w:p w14:paraId="300D9EEE"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7.06</w:t>
            </w:r>
          </w:p>
        </w:tc>
        <w:tc>
          <w:tcPr>
            <w:tcW w:w="846" w:type="dxa"/>
            <w:tcBorders>
              <w:top w:val="nil"/>
            </w:tcBorders>
            <w:vAlign w:val="center"/>
          </w:tcPr>
          <w:p w14:paraId="1596DB78"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44.63</w:t>
            </w:r>
          </w:p>
        </w:tc>
        <w:tc>
          <w:tcPr>
            <w:tcW w:w="949" w:type="dxa"/>
            <w:tcBorders>
              <w:top w:val="nil"/>
            </w:tcBorders>
            <w:vAlign w:val="center"/>
          </w:tcPr>
          <w:p w14:paraId="576E3740"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-1.91</w:t>
            </w:r>
          </w:p>
        </w:tc>
        <w:tc>
          <w:tcPr>
            <w:tcW w:w="1040" w:type="dxa"/>
            <w:tcBorders>
              <w:top w:val="nil"/>
            </w:tcBorders>
            <w:vAlign w:val="center"/>
          </w:tcPr>
          <w:p w14:paraId="3A4A75FB"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-33.80</w:t>
            </w:r>
          </w:p>
        </w:tc>
        <w:tc>
          <w:tcPr>
            <w:tcW w:w="846" w:type="dxa"/>
            <w:tcBorders>
              <w:top w:val="nil"/>
            </w:tcBorders>
            <w:vAlign w:val="center"/>
          </w:tcPr>
          <w:p w14:paraId="559CEEF5"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33.85</w:t>
            </w:r>
          </w:p>
        </w:tc>
        <w:tc>
          <w:tcPr>
            <w:tcW w:w="992" w:type="dxa"/>
            <w:tcBorders>
              <w:top w:val="nil"/>
            </w:tcBorders>
            <w:vAlign w:val="center"/>
          </w:tcPr>
          <w:p w14:paraId="0087FF81"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266.76</w:t>
            </w:r>
          </w:p>
        </w:tc>
      </w:tr>
      <w:tr w:rsidR="00E913E5" w:rsidRPr="00C2208A" w14:paraId="4C9D6B32" w14:textId="77777777" w:rsidTr="00C2208A">
        <w:trPr>
          <w:jc w:val="center"/>
        </w:trPr>
        <w:tc>
          <w:tcPr>
            <w:tcW w:w="1723" w:type="dxa"/>
            <w:vMerge w:val="restart"/>
            <w:vAlign w:val="center"/>
          </w:tcPr>
          <w:p w14:paraId="49E2DB2F"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Sample 2</w:t>
            </w:r>
          </w:p>
        </w:tc>
        <w:tc>
          <w:tcPr>
            <w:tcW w:w="1585" w:type="dxa"/>
            <w:vMerge w:val="restart"/>
            <w:vAlign w:val="center"/>
          </w:tcPr>
          <w:p w14:paraId="1EFF7590" w14:textId="77777777" w:rsidR="00E913E5" w:rsidRPr="00C2208A" w:rsidRDefault="00E913E5" w:rsidP="00C2208A">
            <w:pPr>
              <w:jc w:val="center"/>
              <w:rPr>
                <w:rFonts w:ascii="Times New Roman" w:hAnsi="Times New Roman" w:cs="Times New Roman"/>
                <w:sz w:val="20"/>
                <w:szCs w:val="20"/>
                <w:lang w:val="en-US"/>
              </w:rPr>
            </w:pPr>
            <w:r w:rsidRPr="00C2208A">
              <w:rPr>
                <w:noProof/>
                <w:sz w:val="20"/>
                <w:szCs w:val="20"/>
                <w:lang w:eastAsia="ru-RU"/>
              </w:rPr>
              <w:drawing>
                <wp:inline distT="0" distB="0" distL="0" distR="0" wp14:anchorId="4802FDA6" wp14:editId="35C9A505">
                  <wp:extent cx="609488" cy="371475"/>
                  <wp:effectExtent l="0" t="0" r="635" b="0"/>
                  <wp:docPr id="1903791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91152" name=""/>
                          <pic:cNvPicPr/>
                        </pic:nvPicPr>
                        <pic:blipFill>
                          <a:blip r:embed="rId7"/>
                          <a:stretch>
                            <a:fillRect/>
                          </a:stretch>
                        </pic:blipFill>
                        <pic:spPr>
                          <a:xfrm>
                            <a:off x="0" y="0"/>
                            <a:ext cx="623179" cy="379819"/>
                          </a:xfrm>
                          <a:prstGeom prst="rect">
                            <a:avLst/>
                          </a:prstGeom>
                        </pic:spPr>
                      </pic:pic>
                    </a:graphicData>
                  </a:graphic>
                </wp:inline>
              </w:drawing>
            </w:r>
          </w:p>
        </w:tc>
        <w:tc>
          <w:tcPr>
            <w:tcW w:w="5613" w:type="dxa"/>
            <w:gridSpan w:val="6"/>
            <w:vAlign w:val="center"/>
          </w:tcPr>
          <w:p w14:paraId="494DE6D6" w14:textId="77777777" w:rsidR="00E913E5" w:rsidRPr="00C2208A" w:rsidRDefault="00E913E5" w:rsidP="00C2208A">
            <w:pPr>
              <w:jc w:val="center"/>
              <w:rPr>
                <w:rFonts w:ascii="Times New Roman" w:eastAsia="Calibri" w:hAnsi="Times New Roman" w:cs="Times New Roman"/>
                <w:sz w:val="20"/>
                <w:szCs w:val="20"/>
                <w:lang w:val="en-US"/>
                <w14:ligatures w14:val="none"/>
              </w:rPr>
            </w:pPr>
            <w:r w:rsidRPr="00C2208A">
              <w:rPr>
                <w:rFonts w:ascii="Times New Roman" w:hAnsi="Times New Roman" w:cs="Times New Roman"/>
                <w:b/>
                <w:bCs/>
                <w:sz w:val="20"/>
                <w:szCs w:val="20"/>
                <w:lang w:val="en-US"/>
              </w:rPr>
              <w:t>1.92</w:t>
            </w:r>
          </w:p>
        </w:tc>
      </w:tr>
      <w:tr w:rsidR="00E913E5" w:rsidRPr="00C2208A" w14:paraId="4880CF27" w14:textId="77777777" w:rsidTr="00C2208A">
        <w:trPr>
          <w:trHeight w:val="319"/>
          <w:jc w:val="center"/>
        </w:trPr>
        <w:tc>
          <w:tcPr>
            <w:tcW w:w="1723" w:type="dxa"/>
            <w:vMerge/>
            <w:vAlign w:val="center"/>
          </w:tcPr>
          <w:p w14:paraId="4E2633A1" w14:textId="77777777" w:rsidR="00E913E5" w:rsidRPr="00C2208A" w:rsidRDefault="00E913E5" w:rsidP="00C2208A">
            <w:pPr>
              <w:jc w:val="center"/>
              <w:rPr>
                <w:rFonts w:ascii="Times New Roman" w:hAnsi="Times New Roman" w:cs="Times New Roman"/>
                <w:sz w:val="20"/>
                <w:szCs w:val="20"/>
                <w:lang w:val="en-US"/>
              </w:rPr>
            </w:pPr>
          </w:p>
        </w:tc>
        <w:tc>
          <w:tcPr>
            <w:tcW w:w="1585" w:type="dxa"/>
            <w:vMerge/>
            <w:vAlign w:val="center"/>
          </w:tcPr>
          <w:p w14:paraId="2A9798DB" w14:textId="77777777" w:rsidR="00E913E5" w:rsidRPr="00C2208A" w:rsidRDefault="00E913E5" w:rsidP="00C2208A">
            <w:pPr>
              <w:jc w:val="center"/>
              <w:rPr>
                <w:rFonts w:ascii="Times New Roman" w:hAnsi="Times New Roman" w:cs="Times New Roman"/>
                <w:sz w:val="20"/>
                <w:szCs w:val="20"/>
                <w:lang w:val="en-US"/>
              </w:rPr>
            </w:pPr>
          </w:p>
        </w:tc>
        <w:tc>
          <w:tcPr>
            <w:tcW w:w="940" w:type="dxa"/>
            <w:vAlign w:val="center"/>
          </w:tcPr>
          <w:p w14:paraId="14CFDC95"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17.65</w:t>
            </w:r>
          </w:p>
        </w:tc>
        <w:tc>
          <w:tcPr>
            <w:tcW w:w="846" w:type="dxa"/>
            <w:vAlign w:val="center"/>
          </w:tcPr>
          <w:p w14:paraId="054DFD80"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59.80</w:t>
            </w:r>
          </w:p>
        </w:tc>
        <w:tc>
          <w:tcPr>
            <w:tcW w:w="949" w:type="dxa"/>
            <w:vAlign w:val="center"/>
          </w:tcPr>
          <w:p w14:paraId="1C02C1E9"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-3.70</w:t>
            </w:r>
          </w:p>
        </w:tc>
        <w:tc>
          <w:tcPr>
            <w:tcW w:w="1040" w:type="dxa"/>
            <w:vAlign w:val="center"/>
          </w:tcPr>
          <w:p w14:paraId="30D5DA24"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-31.78</w:t>
            </w:r>
          </w:p>
        </w:tc>
        <w:tc>
          <w:tcPr>
            <w:tcW w:w="846" w:type="dxa"/>
            <w:vAlign w:val="center"/>
          </w:tcPr>
          <w:p w14:paraId="171E7065"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32.00</w:t>
            </w:r>
          </w:p>
        </w:tc>
        <w:tc>
          <w:tcPr>
            <w:tcW w:w="992" w:type="dxa"/>
            <w:vAlign w:val="center"/>
          </w:tcPr>
          <w:p w14:paraId="05CA99F4"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263.36</w:t>
            </w:r>
          </w:p>
        </w:tc>
      </w:tr>
      <w:tr w:rsidR="00E913E5" w:rsidRPr="00C2208A" w14:paraId="3A10BE1D" w14:textId="77777777" w:rsidTr="00C2208A">
        <w:trPr>
          <w:jc w:val="center"/>
        </w:trPr>
        <w:tc>
          <w:tcPr>
            <w:tcW w:w="1723" w:type="dxa"/>
            <w:vMerge w:val="restart"/>
            <w:vAlign w:val="center"/>
          </w:tcPr>
          <w:p w14:paraId="1097D6C6"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Sample 3</w:t>
            </w:r>
          </w:p>
        </w:tc>
        <w:tc>
          <w:tcPr>
            <w:tcW w:w="1585" w:type="dxa"/>
            <w:vMerge w:val="restart"/>
            <w:vAlign w:val="center"/>
          </w:tcPr>
          <w:p w14:paraId="2C1727F9" w14:textId="77777777" w:rsidR="00E913E5" w:rsidRPr="00C2208A" w:rsidRDefault="00E913E5" w:rsidP="00C2208A">
            <w:pPr>
              <w:jc w:val="center"/>
              <w:rPr>
                <w:rFonts w:ascii="Times New Roman" w:hAnsi="Times New Roman" w:cs="Times New Roman"/>
                <w:sz w:val="20"/>
                <w:szCs w:val="20"/>
                <w:lang w:val="en-US"/>
              </w:rPr>
            </w:pPr>
            <w:r w:rsidRPr="00C2208A">
              <w:rPr>
                <w:noProof/>
                <w:sz w:val="20"/>
                <w:szCs w:val="20"/>
                <w:lang w:eastAsia="ru-RU"/>
              </w:rPr>
              <w:drawing>
                <wp:inline distT="0" distB="0" distL="0" distR="0" wp14:anchorId="13CC87E3" wp14:editId="2885C57D">
                  <wp:extent cx="609600" cy="371345"/>
                  <wp:effectExtent l="0" t="0" r="0" b="0"/>
                  <wp:docPr id="1437703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03372" name=""/>
                          <pic:cNvPicPr/>
                        </pic:nvPicPr>
                        <pic:blipFill>
                          <a:blip r:embed="rId8"/>
                          <a:stretch>
                            <a:fillRect/>
                          </a:stretch>
                        </pic:blipFill>
                        <pic:spPr>
                          <a:xfrm flipV="1">
                            <a:off x="0" y="0"/>
                            <a:ext cx="632620" cy="385368"/>
                          </a:xfrm>
                          <a:prstGeom prst="rect">
                            <a:avLst/>
                          </a:prstGeom>
                        </pic:spPr>
                      </pic:pic>
                    </a:graphicData>
                  </a:graphic>
                </wp:inline>
              </w:drawing>
            </w:r>
          </w:p>
        </w:tc>
        <w:tc>
          <w:tcPr>
            <w:tcW w:w="5613" w:type="dxa"/>
            <w:gridSpan w:val="6"/>
            <w:vAlign w:val="center"/>
          </w:tcPr>
          <w:p w14:paraId="0F653E39" w14:textId="77777777" w:rsidR="00E913E5" w:rsidRPr="00C2208A" w:rsidRDefault="00E913E5" w:rsidP="00C2208A">
            <w:pPr>
              <w:jc w:val="center"/>
              <w:rPr>
                <w:rFonts w:ascii="Times New Roman" w:eastAsia="Calibri" w:hAnsi="Times New Roman" w:cs="Times New Roman"/>
                <w:sz w:val="20"/>
                <w:szCs w:val="20"/>
                <w:lang w:val="en-US"/>
                <w14:ligatures w14:val="none"/>
              </w:rPr>
            </w:pPr>
            <w:r w:rsidRPr="00C2208A">
              <w:rPr>
                <w:rFonts w:ascii="Times New Roman" w:hAnsi="Times New Roman" w:cs="Times New Roman"/>
                <w:b/>
                <w:bCs/>
                <w:sz w:val="20"/>
                <w:szCs w:val="20"/>
                <w:lang w:val="en-US"/>
              </w:rPr>
              <w:t>4.36</w:t>
            </w:r>
          </w:p>
        </w:tc>
      </w:tr>
      <w:tr w:rsidR="00E913E5" w:rsidRPr="00C2208A" w14:paraId="39C503DB" w14:textId="77777777" w:rsidTr="00C2208A">
        <w:trPr>
          <w:trHeight w:val="299"/>
          <w:jc w:val="center"/>
        </w:trPr>
        <w:tc>
          <w:tcPr>
            <w:tcW w:w="1723" w:type="dxa"/>
            <w:vMerge/>
            <w:vAlign w:val="center"/>
          </w:tcPr>
          <w:p w14:paraId="2F5A3B39" w14:textId="77777777" w:rsidR="00E913E5" w:rsidRPr="00C2208A" w:rsidRDefault="00E913E5" w:rsidP="00C2208A">
            <w:pPr>
              <w:jc w:val="center"/>
              <w:rPr>
                <w:rFonts w:ascii="Times New Roman" w:hAnsi="Times New Roman" w:cs="Times New Roman"/>
                <w:sz w:val="20"/>
                <w:szCs w:val="20"/>
                <w:lang w:val="en-US"/>
              </w:rPr>
            </w:pPr>
          </w:p>
        </w:tc>
        <w:tc>
          <w:tcPr>
            <w:tcW w:w="1585" w:type="dxa"/>
            <w:vMerge/>
            <w:vAlign w:val="center"/>
          </w:tcPr>
          <w:p w14:paraId="339EC7A2" w14:textId="77777777" w:rsidR="00E913E5" w:rsidRPr="00C2208A" w:rsidRDefault="00E913E5" w:rsidP="00C2208A">
            <w:pPr>
              <w:jc w:val="center"/>
              <w:rPr>
                <w:rFonts w:ascii="Times New Roman" w:hAnsi="Times New Roman" w:cs="Times New Roman"/>
                <w:sz w:val="20"/>
                <w:szCs w:val="20"/>
                <w:lang w:val="en-US"/>
              </w:rPr>
            </w:pPr>
          </w:p>
        </w:tc>
        <w:tc>
          <w:tcPr>
            <w:tcW w:w="940" w:type="dxa"/>
            <w:vAlign w:val="center"/>
          </w:tcPr>
          <w:p w14:paraId="6D5D6817"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9.41</w:t>
            </w:r>
          </w:p>
        </w:tc>
        <w:tc>
          <w:tcPr>
            <w:tcW w:w="846" w:type="dxa"/>
            <w:vAlign w:val="center"/>
          </w:tcPr>
          <w:p w14:paraId="336F3D2E"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eastAsia="Calibri" w:hAnsi="Times New Roman" w:cs="Times New Roman"/>
                <w:sz w:val="20"/>
                <w:szCs w:val="20"/>
                <w:lang w:val="en-US"/>
                <w14:ligatures w14:val="none"/>
              </w:rPr>
              <w:t>45.98</w:t>
            </w:r>
          </w:p>
        </w:tc>
        <w:tc>
          <w:tcPr>
            <w:tcW w:w="949" w:type="dxa"/>
            <w:vAlign w:val="center"/>
          </w:tcPr>
          <w:p w14:paraId="4D8AED3E"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-4.33</w:t>
            </w:r>
          </w:p>
        </w:tc>
        <w:tc>
          <w:tcPr>
            <w:tcW w:w="1040" w:type="dxa"/>
            <w:vAlign w:val="center"/>
          </w:tcPr>
          <w:p w14:paraId="65BC5410"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-24.77</w:t>
            </w:r>
          </w:p>
        </w:tc>
        <w:tc>
          <w:tcPr>
            <w:tcW w:w="846" w:type="dxa"/>
            <w:vAlign w:val="center"/>
          </w:tcPr>
          <w:p w14:paraId="04F1E346"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25.15</w:t>
            </w:r>
          </w:p>
        </w:tc>
        <w:tc>
          <w:tcPr>
            <w:tcW w:w="992" w:type="dxa"/>
            <w:vAlign w:val="center"/>
          </w:tcPr>
          <w:p w14:paraId="4EA8B8C4"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eastAsia="Calibri" w:hAnsi="Times New Roman" w:cs="Times New Roman"/>
                <w:sz w:val="20"/>
                <w:szCs w:val="20"/>
                <w:lang w:val="en-US"/>
                <w14:ligatures w14:val="none"/>
              </w:rPr>
              <w:t>260.09</w:t>
            </w:r>
          </w:p>
        </w:tc>
      </w:tr>
      <w:tr w:rsidR="00E913E5" w:rsidRPr="00C2208A" w14:paraId="345E94BC" w14:textId="77777777" w:rsidTr="00C2208A">
        <w:trPr>
          <w:jc w:val="center"/>
        </w:trPr>
        <w:tc>
          <w:tcPr>
            <w:tcW w:w="1723" w:type="dxa"/>
            <w:vMerge w:val="restart"/>
            <w:vAlign w:val="center"/>
          </w:tcPr>
          <w:p w14:paraId="5631BB6E"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Sample 4</w:t>
            </w:r>
          </w:p>
        </w:tc>
        <w:tc>
          <w:tcPr>
            <w:tcW w:w="1585" w:type="dxa"/>
            <w:vMerge w:val="restart"/>
            <w:vAlign w:val="center"/>
          </w:tcPr>
          <w:p w14:paraId="4CF040C1" w14:textId="77777777" w:rsidR="00E913E5" w:rsidRPr="00C2208A" w:rsidRDefault="00E913E5" w:rsidP="00C2208A">
            <w:pPr>
              <w:jc w:val="center"/>
              <w:rPr>
                <w:rFonts w:ascii="Times New Roman" w:hAnsi="Times New Roman" w:cs="Times New Roman"/>
                <w:sz w:val="20"/>
                <w:szCs w:val="20"/>
                <w:lang w:val="en-US"/>
              </w:rPr>
            </w:pPr>
            <w:r w:rsidRPr="00C2208A">
              <w:rPr>
                <w:noProof/>
                <w:sz w:val="20"/>
                <w:szCs w:val="20"/>
                <w:lang w:eastAsia="ru-RU"/>
              </w:rPr>
              <w:drawing>
                <wp:inline distT="0" distB="0" distL="0" distR="0" wp14:anchorId="2EF624D4" wp14:editId="33EF9961">
                  <wp:extent cx="600075" cy="352420"/>
                  <wp:effectExtent l="0" t="0" r="0" b="0"/>
                  <wp:docPr id="321954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54916" name=""/>
                          <pic:cNvPicPr/>
                        </pic:nvPicPr>
                        <pic:blipFill>
                          <a:blip r:embed="rId9"/>
                          <a:stretch>
                            <a:fillRect/>
                          </a:stretch>
                        </pic:blipFill>
                        <pic:spPr>
                          <a:xfrm flipV="1">
                            <a:off x="0" y="0"/>
                            <a:ext cx="620768" cy="364573"/>
                          </a:xfrm>
                          <a:prstGeom prst="rect">
                            <a:avLst/>
                          </a:prstGeom>
                        </pic:spPr>
                      </pic:pic>
                    </a:graphicData>
                  </a:graphic>
                </wp:inline>
              </w:drawing>
            </w:r>
          </w:p>
        </w:tc>
        <w:tc>
          <w:tcPr>
            <w:tcW w:w="5613" w:type="dxa"/>
            <w:gridSpan w:val="6"/>
            <w:vAlign w:val="center"/>
          </w:tcPr>
          <w:p w14:paraId="37F10521" w14:textId="77777777" w:rsidR="00E913E5" w:rsidRPr="00C2208A" w:rsidRDefault="00E913E5" w:rsidP="00C2208A">
            <w:pPr>
              <w:jc w:val="center"/>
              <w:rPr>
                <w:rFonts w:ascii="Times New Roman" w:eastAsia="Calibri" w:hAnsi="Times New Roman" w:cs="Times New Roman"/>
                <w:sz w:val="20"/>
                <w:szCs w:val="20"/>
                <w:lang w:val="en-US"/>
                <w14:ligatures w14:val="none"/>
              </w:rPr>
            </w:pPr>
            <w:r w:rsidRPr="00C2208A">
              <w:rPr>
                <w:rFonts w:ascii="Times New Roman" w:hAnsi="Times New Roman" w:cs="Times New Roman"/>
                <w:b/>
                <w:bCs/>
                <w:sz w:val="20"/>
                <w:szCs w:val="20"/>
                <w:lang w:val="en-US"/>
              </w:rPr>
              <w:t>2.35</w:t>
            </w:r>
          </w:p>
        </w:tc>
      </w:tr>
      <w:tr w:rsidR="00E913E5" w:rsidRPr="00C2208A" w14:paraId="5CD084D8" w14:textId="77777777" w:rsidTr="00C2208A">
        <w:trPr>
          <w:trHeight w:val="265"/>
          <w:jc w:val="center"/>
        </w:trPr>
        <w:tc>
          <w:tcPr>
            <w:tcW w:w="1723" w:type="dxa"/>
            <w:vMerge/>
            <w:vAlign w:val="center"/>
          </w:tcPr>
          <w:p w14:paraId="2B7CD0A8" w14:textId="77777777" w:rsidR="00E913E5" w:rsidRPr="00C2208A" w:rsidRDefault="00E913E5" w:rsidP="00C2208A">
            <w:pPr>
              <w:jc w:val="center"/>
              <w:rPr>
                <w:rFonts w:ascii="Times New Roman" w:hAnsi="Times New Roman" w:cs="Times New Roman"/>
                <w:sz w:val="20"/>
                <w:szCs w:val="20"/>
                <w:lang w:val="en-US"/>
              </w:rPr>
            </w:pPr>
          </w:p>
        </w:tc>
        <w:tc>
          <w:tcPr>
            <w:tcW w:w="1585" w:type="dxa"/>
            <w:vMerge/>
            <w:vAlign w:val="center"/>
          </w:tcPr>
          <w:p w14:paraId="6E5D8722" w14:textId="77777777" w:rsidR="00E913E5" w:rsidRPr="00C2208A" w:rsidRDefault="00E913E5" w:rsidP="00C2208A">
            <w:pPr>
              <w:jc w:val="center"/>
              <w:rPr>
                <w:rFonts w:ascii="Times New Roman" w:hAnsi="Times New Roman" w:cs="Times New Roman"/>
                <w:sz w:val="20"/>
                <w:szCs w:val="20"/>
                <w:lang w:val="en-US"/>
              </w:rPr>
            </w:pPr>
          </w:p>
        </w:tc>
        <w:tc>
          <w:tcPr>
            <w:tcW w:w="940" w:type="dxa"/>
            <w:vAlign w:val="center"/>
          </w:tcPr>
          <w:p w14:paraId="151615D8"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15.29</w:t>
            </w:r>
          </w:p>
        </w:tc>
        <w:tc>
          <w:tcPr>
            <w:tcW w:w="846" w:type="dxa"/>
            <w:vAlign w:val="center"/>
          </w:tcPr>
          <w:p w14:paraId="0B50C7EE"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55.12</w:t>
            </w:r>
          </w:p>
        </w:tc>
        <w:tc>
          <w:tcPr>
            <w:tcW w:w="949" w:type="dxa"/>
            <w:vAlign w:val="center"/>
          </w:tcPr>
          <w:p w14:paraId="35129B60"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-3.70</w:t>
            </w:r>
          </w:p>
        </w:tc>
        <w:tc>
          <w:tcPr>
            <w:tcW w:w="1040" w:type="dxa"/>
            <w:vAlign w:val="center"/>
          </w:tcPr>
          <w:p w14:paraId="25DF8845"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-24.63</w:t>
            </w:r>
          </w:p>
        </w:tc>
        <w:tc>
          <w:tcPr>
            <w:tcW w:w="846" w:type="dxa"/>
            <w:vAlign w:val="center"/>
          </w:tcPr>
          <w:p w14:paraId="0B7B831B" w14:textId="77777777" w:rsidR="00E913E5" w:rsidRPr="00C2208A" w:rsidRDefault="00E913E5" w:rsidP="00C2208A">
            <w:pPr>
              <w:jc w:val="center"/>
              <w:rPr>
                <w:rFonts w:ascii="Times New Roman" w:hAnsi="Times New Roman" w:cs="Times New Roman"/>
                <w:sz w:val="20"/>
                <w:szCs w:val="20"/>
                <w:lang w:val="en-US"/>
              </w:rPr>
            </w:pPr>
            <w:r w:rsidRPr="00C2208A">
              <w:rPr>
                <w:rFonts w:ascii="Times New Roman" w:hAnsi="Times New Roman" w:cs="Times New Roman"/>
                <w:sz w:val="20"/>
                <w:szCs w:val="20"/>
                <w:lang w:val="en-US"/>
              </w:rPr>
              <w:t>24.91</w:t>
            </w:r>
          </w:p>
        </w:tc>
        <w:tc>
          <w:tcPr>
            <w:tcW w:w="992" w:type="dxa"/>
            <w:vAlign w:val="center"/>
          </w:tcPr>
          <w:p w14:paraId="1C615397" w14:textId="77777777" w:rsidR="00E913E5" w:rsidRPr="00C2208A" w:rsidRDefault="00E913E5" w:rsidP="00C2208A">
            <w:pPr>
              <w:jc w:val="center"/>
              <w:rPr>
                <w:rFonts w:ascii="Times New Roman" w:hAnsi="Times New Roman" w:cs="Times New Roman"/>
                <w:sz w:val="20"/>
                <w:szCs w:val="20"/>
              </w:rPr>
            </w:pPr>
            <w:r w:rsidRPr="00C2208A">
              <w:rPr>
                <w:rFonts w:ascii="Times New Roman" w:eastAsia="Calibri" w:hAnsi="Times New Roman" w:cs="Times New Roman"/>
                <w:sz w:val="20"/>
                <w:szCs w:val="20"/>
                <w:lang w:val="en-US"/>
                <w14:ligatures w14:val="none"/>
              </w:rPr>
              <w:t>261.46</w:t>
            </w:r>
          </w:p>
        </w:tc>
      </w:tr>
    </w:tbl>
    <w:p w14:paraId="72379178" w14:textId="77777777" w:rsidR="00C2208A" w:rsidRDefault="00C2208A" w:rsidP="00C2208A">
      <w:pPr>
        <w:spacing w:after="0" w:line="240" w:lineRule="auto"/>
        <w:ind w:firstLine="284"/>
        <w:jc w:val="both"/>
        <w:rPr>
          <w:b w:val="0"/>
          <w:sz w:val="20"/>
          <w:szCs w:val="20"/>
          <w:lang w:val="en-US"/>
        </w:rPr>
      </w:pPr>
    </w:p>
    <w:p w14:paraId="46854D20" w14:textId="77777777" w:rsidR="00E913E5" w:rsidRPr="00C2208A" w:rsidRDefault="00E913E5" w:rsidP="00C2208A">
      <w:pPr>
        <w:spacing w:after="0" w:line="240" w:lineRule="auto"/>
        <w:ind w:firstLine="284"/>
        <w:jc w:val="both"/>
        <w:rPr>
          <w:b w:val="0"/>
          <w:sz w:val="20"/>
          <w:szCs w:val="20"/>
          <w:lang w:val="en-US"/>
        </w:rPr>
      </w:pPr>
      <w:r w:rsidRPr="00C2208A">
        <w:rPr>
          <w:b w:val="0"/>
          <w:sz w:val="20"/>
          <w:szCs w:val="20"/>
          <w:lang w:val="en-US"/>
        </w:rPr>
        <w:t>1 - sample dyed with an active dye in a continuous method, 2 - sample dyed with an active dye in a continuous method and washed in method No. 1, 3 - sample dyed with an active dye in a continuous method and treated with a flame retardant solution, 4 - sample dyed with an active dye in a continuous method and washed in method No. 1 after treatment with a flame retardant solution.</w:t>
      </w:r>
    </w:p>
    <w:p w14:paraId="02ECABBB" w14:textId="31224FD1" w:rsidR="00E159F2" w:rsidRPr="00C2208A" w:rsidRDefault="00E159F2" w:rsidP="00C2208A">
      <w:pPr>
        <w:spacing w:after="0" w:line="240" w:lineRule="auto"/>
        <w:ind w:firstLine="284"/>
        <w:jc w:val="both"/>
        <w:rPr>
          <w:b w:val="0"/>
          <w:sz w:val="20"/>
          <w:szCs w:val="20"/>
          <w:lang w:val="en-US"/>
        </w:rPr>
      </w:pPr>
      <w:r w:rsidRPr="00C2208A">
        <w:rPr>
          <w:b w:val="0"/>
          <w:sz w:val="20"/>
          <w:szCs w:val="20"/>
          <w:lang w:val="en-US"/>
        </w:rPr>
        <w:t>The results of spectrocolorimetric analysis show that unsaturated (C*) colors were formed in sample 3 treated with antiperine solution. From the results, we can see that C* - color is unsaturated and h* - col</w:t>
      </w:r>
      <w:r w:rsidR="00C2208A">
        <w:rPr>
          <w:b w:val="0"/>
          <w:sz w:val="20"/>
          <w:szCs w:val="20"/>
          <w:lang w:val="en-US"/>
        </w:rPr>
        <w:t xml:space="preserve">or does not reach high values </w:t>
      </w:r>
      <w:r w:rsidRPr="00C2208A">
        <w:rPr>
          <w:b w:val="0"/>
          <w:sz w:val="20"/>
          <w:szCs w:val="20"/>
          <w:lang w:val="en-US"/>
        </w:rPr>
        <w:t>in sample -, while in sample 1 these indicators are high. The chemicals contained in the flame retardant react with the dye molecules, causing the color to fade. As a result, the color changes, becomes dull. However, when samples washed by method No. 1, that is, samples 2 and 4, are compared, the k/s indicators in sample 4 treated with antiperine are 45% higher.</w:t>
      </w:r>
    </w:p>
    <w:p w14:paraId="6EEDC976" w14:textId="60879D5D" w:rsidR="005C63B5" w:rsidRDefault="00E159F2" w:rsidP="000010E0">
      <w:pPr>
        <w:spacing w:after="0" w:line="240" w:lineRule="auto"/>
        <w:ind w:firstLine="284"/>
        <w:jc w:val="both"/>
        <w:rPr>
          <w:sz w:val="18"/>
          <w:szCs w:val="20"/>
          <w:lang w:val="en-US"/>
        </w:rPr>
      </w:pPr>
      <w:r w:rsidRPr="00C2208A">
        <w:rPr>
          <w:b w:val="0"/>
          <w:sz w:val="20"/>
          <w:szCs w:val="20"/>
          <w:lang w:val="en-US"/>
        </w:rPr>
        <w:t>The fire resistance properties of samples 3 and 4 treated with flame retardant were tested and the results obtained are presented in the table below.</w:t>
      </w:r>
    </w:p>
    <w:p w14:paraId="3871D6D1" w14:textId="5476DC49" w:rsidR="008B4B7F" w:rsidRPr="00C2208A" w:rsidRDefault="00C2208A" w:rsidP="005C63B5">
      <w:pPr>
        <w:spacing w:before="120" w:after="120" w:line="240" w:lineRule="auto"/>
        <w:jc w:val="center"/>
        <w:rPr>
          <w:b w:val="0"/>
          <w:sz w:val="18"/>
          <w:szCs w:val="20"/>
          <w:lang w:val="en-US"/>
        </w:rPr>
      </w:pPr>
      <w:r w:rsidRPr="00C2208A">
        <w:rPr>
          <w:sz w:val="18"/>
          <w:szCs w:val="20"/>
          <w:lang w:val="en-US"/>
        </w:rPr>
        <w:t>TABLE 3.</w:t>
      </w:r>
      <w:r w:rsidRPr="00C2208A">
        <w:rPr>
          <w:b w:val="0"/>
          <w:sz w:val="18"/>
          <w:szCs w:val="20"/>
          <w:lang w:val="en-US"/>
        </w:rPr>
        <w:t xml:space="preserve"> </w:t>
      </w:r>
      <w:r w:rsidR="008B4B7F" w:rsidRPr="00C2208A">
        <w:rPr>
          <w:b w:val="0"/>
          <w:sz w:val="18"/>
          <w:szCs w:val="20"/>
          <w:lang w:val="en-US"/>
        </w:rPr>
        <w:t>Fire resistance properties of flame retardant treated samples</w:t>
      </w:r>
    </w:p>
    <w:tbl>
      <w:tblPr>
        <w:tblW w:w="9399" w:type="dxa"/>
        <w:jc w:val="center"/>
        <w:tblBorders>
          <w:top w:val="single" w:sz="4" w:space="0" w:color="auto"/>
          <w:bottom w:val="single" w:sz="4" w:space="0" w:color="auto"/>
        </w:tblBorders>
        <w:tblLayout w:type="fixed"/>
        <w:tblLook w:val="04A0" w:firstRow="1" w:lastRow="0" w:firstColumn="1" w:lastColumn="0" w:noHBand="0" w:noVBand="1"/>
      </w:tblPr>
      <w:tblGrid>
        <w:gridCol w:w="1139"/>
        <w:gridCol w:w="1449"/>
        <w:gridCol w:w="1927"/>
        <w:gridCol w:w="1701"/>
        <w:gridCol w:w="1722"/>
        <w:gridCol w:w="1461"/>
      </w:tblGrid>
      <w:tr w:rsidR="008B4B7F" w:rsidRPr="00C2208A" w14:paraId="3F78D2D8" w14:textId="77777777" w:rsidTr="00C2208A">
        <w:trPr>
          <w:jc w:val="center"/>
        </w:trPr>
        <w:tc>
          <w:tcPr>
            <w:tcW w:w="1139" w:type="dxa"/>
            <w:vMerge w:val="restart"/>
            <w:vAlign w:val="center"/>
          </w:tcPr>
          <w:p w14:paraId="024AEF77"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Cs/>
                <w:sz w:val="20"/>
                <w:szCs w:val="20"/>
                <w:lang w:val="uz-Cyrl-UZ" w:eastAsia="ru-RU"/>
              </w:rPr>
              <w:t>N</w:t>
            </w:r>
            <w:r w:rsidRPr="00C2208A">
              <w:rPr>
                <w:rFonts w:eastAsia="Times New Roman"/>
                <w:bCs/>
                <w:sz w:val="20"/>
                <w:szCs w:val="20"/>
                <w:lang w:val="en-US" w:eastAsia="ru-RU"/>
              </w:rPr>
              <w:t>ame</w:t>
            </w:r>
          </w:p>
        </w:tc>
        <w:tc>
          <w:tcPr>
            <w:tcW w:w="1449" w:type="dxa"/>
            <w:vMerge w:val="restart"/>
            <w:vAlign w:val="center"/>
          </w:tcPr>
          <w:p w14:paraId="0FD14C0D"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Cs/>
                <w:sz w:val="20"/>
                <w:szCs w:val="20"/>
                <w:lang w:val="en-US" w:eastAsia="ru-RU"/>
              </w:rPr>
              <w:t>Flame retardant concentration, %</w:t>
            </w:r>
          </w:p>
        </w:tc>
        <w:tc>
          <w:tcPr>
            <w:tcW w:w="6811" w:type="dxa"/>
            <w:gridSpan w:val="4"/>
            <w:vAlign w:val="center"/>
          </w:tcPr>
          <w:p w14:paraId="6B5F3B74" w14:textId="77777777" w:rsidR="008B4B7F" w:rsidRPr="00C2208A" w:rsidRDefault="008B4B7F" w:rsidP="00C2208A">
            <w:pPr>
              <w:spacing w:after="0" w:line="240" w:lineRule="auto"/>
              <w:jc w:val="center"/>
              <w:rPr>
                <w:rFonts w:eastAsia="Times New Roman"/>
                <w:b w:val="0"/>
                <w:bCs/>
                <w:sz w:val="20"/>
                <w:szCs w:val="20"/>
                <w:lang w:val="uz-Cyrl-UZ" w:eastAsia="ru-RU"/>
              </w:rPr>
            </w:pPr>
            <w:r w:rsidRPr="00C2208A">
              <w:rPr>
                <w:rFonts w:eastAsia="Times New Roman"/>
                <w:bCs/>
                <w:sz w:val="20"/>
                <w:szCs w:val="20"/>
                <w:lang w:val="uz-Cyrl-UZ" w:eastAsia="ru-RU"/>
              </w:rPr>
              <w:t>Fire resistance indicators</w:t>
            </w:r>
          </w:p>
        </w:tc>
      </w:tr>
      <w:tr w:rsidR="008B4B7F" w:rsidRPr="00211220" w14:paraId="73C1C43D" w14:textId="77777777" w:rsidTr="00C2208A">
        <w:trPr>
          <w:jc w:val="center"/>
        </w:trPr>
        <w:tc>
          <w:tcPr>
            <w:tcW w:w="1139" w:type="dxa"/>
            <w:vMerge/>
            <w:tcBorders>
              <w:bottom w:val="single" w:sz="4" w:space="0" w:color="auto"/>
            </w:tcBorders>
            <w:vAlign w:val="center"/>
          </w:tcPr>
          <w:p w14:paraId="193D6C22" w14:textId="77777777" w:rsidR="008B4B7F" w:rsidRPr="00C2208A" w:rsidRDefault="008B4B7F" w:rsidP="00C2208A">
            <w:pPr>
              <w:spacing w:after="0" w:line="240" w:lineRule="auto"/>
              <w:jc w:val="center"/>
              <w:rPr>
                <w:rFonts w:eastAsia="Times New Roman"/>
                <w:b w:val="0"/>
                <w:bCs/>
                <w:sz w:val="20"/>
                <w:szCs w:val="20"/>
                <w:lang w:val="uz-Cyrl-UZ" w:eastAsia="ru-RU"/>
              </w:rPr>
            </w:pPr>
          </w:p>
        </w:tc>
        <w:tc>
          <w:tcPr>
            <w:tcW w:w="1449" w:type="dxa"/>
            <w:vMerge/>
            <w:tcBorders>
              <w:bottom w:val="single" w:sz="4" w:space="0" w:color="auto"/>
            </w:tcBorders>
            <w:vAlign w:val="center"/>
          </w:tcPr>
          <w:p w14:paraId="646A08A6" w14:textId="77777777" w:rsidR="008B4B7F" w:rsidRPr="00C2208A" w:rsidRDefault="008B4B7F" w:rsidP="00C2208A">
            <w:pPr>
              <w:spacing w:after="0" w:line="240" w:lineRule="auto"/>
              <w:jc w:val="center"/>
              <w:rPr>
                <w:rFonts w:eastAsia="Times New Roman"/>
                <w:b w:val="0"/>
                <w:bCs/>
                <w:sz w:val="20"/>
                <w:szCs w:val="20"/>
                <w:lang w:eastAsia="ru-RU"/>
              </w:rPr>
            </w:pPr>
          </w:p>
        </w:tc>
        <w:tc>
          <w:tcPr>
            <w:tcW w:w="1927" w:type="dxa"/>
            <w:tcBorders>
              <w:bottom w:val="single" w:sz="4" w:space="0" w:color="auto"/>
            </w:tcBorders>
            <w:vAlign w:val="center"/>
          </w:tcPr>
          <w:p w14:paraId="52DAC044" w14:textId="77777777" w:rsidR="008B4B7F" w:rsidRPr="00C2208A" w:rsidRDefault="008B4B7F" w:rsidP="00C2208A">
            <w:pPr>
              <w:spacing w:after="0" w:line="240" w:lineRule="auto"/>
              <w:jc w:val="center"/>
              <w:rPr>
                <w:rFonts w:eastAsia="Times New Roman"/>
                <w:b w:val="0"/>
                <w:bCs/>
                <w:sz w:val="20"/>
                <w:szCs w:val="20"/>
                <w:lang w:val="uz-Cyrl-UZ" w:eastAsia="ru-RU"/>
              </w:rPr>
            </w:pPr>
            <w:r w:rsidRPr="00C2208A">
              <w:rPr>
                <w:rFonts w:eastAsia="Times New Roman"/>
                <w:bCs/>
                <w:sz w:val="20"/>
                <w:szCs w:val="20"/>
                <w:lang w:val="en-US" w:eastAsia="ru-RU"/>
              </w:rPr>
              <w:t>The time of holding the samples in the fire, sec.</w:t>
            </w:r>
          </w:p>
        </w:tc>
        <w:tc>
          <w:tcPr>
            <w:tcW w:w="1701" w:type="dxa"/>
            <w:tcBorders>
              <w:bottom w:val="single" w:sz="4" w:space="0" w:color="auto"/>
            </w:tcBorders>
            <w:vAlign w:val="center"/>
          </w:tcPr>
          <w:p w14:paraId="2D0EC320"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Cs/>
                <w:color w:val="202124"/>
                <w:sz w:val="20"/>
                <w:szCs w:val="20"/>
                <w:lang w:val="uz-Latn-UZ"/>
              </w:rPr>
              <w:t>residual burning time of the sample, s</w:t>
            </w:r>
          </w:p>
        </w:tc>
        <w:tc>
          <w:tcPr>
            <w:tcW w:w="1722" w:type="dxa"/>
            <w:tcBorders>
              <w:bottom w:val="single" w:sz="4" w:space="0" w:color="auto"/>
            </w:tcBorders>
            <w:vAlign w:val="center"/>
          </w:tcPr>
          <w:p w14:paraId="2A6074F9" w14:textId="64889A3C" w:rsidR="008B4B7F" w:rsidRPr="00C2208A" w:rsidRDefault="00C2208A" w:rsidP="00C2208A">
            <w:pPr>
              <w:spacing w:after="0" w:line="240" w:lineRule="auto"/>
              <w:jc w:val="center"/>
              <w:rPr>
                <w:rFonts w:eastAsia="Times New Roman"/>
                <w:b w:val="0"/>
                <w:bCs/>
                <w:sz w:val="20"/>
                <w:szCs w:val="20"/>
                <w:lang w:val="en-US" w:eastAsia="ru-RU"/>
              </w:rPr>
            </w:pPr>
            <w:r w:rsidRPr="00C2208A">
              <w:rPr>
                <w:rFonts w:eastAsia="Times New Roman"/>
                <w:bCs/>
                <w:color w:val="202124"/>
                <w:sz w:val="20"/>
                <w:szCs w:val="20"/>
                <w:lang w:val="uz-Latn-UZ"/>
              </w:rPr>
              <w:t>length of the burned area of the sample, cm;</w:t>
            </w:r>
          </w:p>
        </w:tc>
        <w:tc>
          <w:tcPr>
            <w:tcW w:w="1461" w:type="dxa"/>
            <w:tcBorders>
              <w:bottom w:val="single" w:sz="4" w:space="0" w:color="auto"/>
            </w:tcBorders>
            <w:vAlign w:val="center"/>
          </w:tcPr>
          <w:p w14:paraId="51743FD6" w14:textId="211C1099" w:rsidR="008B4B7F" w:rsidRPr="00C2208A" w:rsidRDefault="00C2208A" w:rsidP="00C2208A">
            <w:pPr>
              <w:spacing w:after="0" w:line="240" w:lineRule="auto"/>
              <w:jc w:val="center"/>
              <w:rPr>
                <w:rFonts w:eastAsia="Times New Roman"/>
                <w:b w:val="0"/>
                <w:bCs/>
                <w:sz w:val="20"/>
                <w:szCs w:val="20"/>
                <w:lang w:val="uz-Cyrl-UZ" w:eastAsia="ru-RU"/>
              </w:rPr>
            </w:pPr>
            <w:r w:rsidRPr="00C2208A">
              <w:rPr>
                <w:rFonts w:eastAsia="Times New Roman"/>
                <w:bCs/>
                <w:color w:val="202124"/>
                <w:sz w:val="20"/>
                <w:szCs w:val="20"/>
                <w:lang w:val="uz-Latn-UZ"/>
              </w:rPr>
              <w:t>other features of the testing process</w:t>
            </w:r>
          </w:p>
        </w:tc>
      </w:tr>
      <w:tr w:rsidR="008B4B7F" w:rsidRPr="00C2208A" w14:paraId="3BD08E64" w14:textId="77777777" w:rsidTr="00C2208A">
        <w:trPr>
          <w:jc w:val="center"/>
        </w:trPr>
        <w:tc>
          <w:tcPr>
            <w:tcW w:w="1139" w:type="dxa"/>
            <w:tcBorders>
              <w:top w:val="single" w:sz="4" w:space="0" w:color="auto"/>
              <w:bottom w:val="nil"/>
            </w:tcBorders>
          </w:tcPr>
          <w:p w14:paraId="6B924DA5" w14:textId="6D0EC0F3" w:rsidR="008B4B7F" w:rsidRPr="00C2208A" w:rsidRDefault="00C2208A" w:rsidP="00C2208A">
            <w:pPr>
              <w:spacing w:after="0" w:line="240" w:lineRule="auto"/>
              <w:jc w:val="center"/>
              <w:rPr>
                <w:rFonts w:eastAsia="Times New Roman"/>
                <w:bCs/>
                <w:sz w:val="20"/>
                <w:szCs w:val="20"/>
                <w:lang w:val="en-US" w:eastAsia="ru-RU"/>
              </w:rPr>
            </w:pPr>
            <w:r>
              <w:rPr>
                <w:sz w:val="20"/>
                <w:szCs w:val="20"/>
                <w:lang w:val="en-US"/>
              </w:rPr>
              <w:t>Sample 3</w:t>
            </w:r>
          </w:p>
        </w:tc>
        <w:tc>
          <w:tcPr>
            <w:tcW w:w="1449" w:type="dxa"/>
            <w:tcBorders>
              <w:top w:val="single" w:sz="4" w:space="0" w:color="auto"/>
              <w:bottom w:val="nil"/>
            </w:tcBorders>
            <w:vAlign w:val="center"/>
          </w:tcPr>
          <w:p w14:paraId="66B9ABF3"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50</w:t>
            </w:r>
          </w:p>
        </w:tc>
        <w:tc>
          <w:tcPr>
            <w:tcW w:w="1927" w:type="dxa"/>
            <w:tcBorders>
              <w:top w:val="single" w:sz="4" w:space="0" w:color="auto"/>
              <w:bottom w:val="nil"/>
            </w:tcBorders>
            <w:vAlign w:val="center"/>
          </w:tcPr>
          <w:p w14:paraId="7C06709A"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20</w:t>
            </w:r>
          </w:p>
        </w:tc>
        <w:tc>
          <w:tcPr>
            <w:tcW w:w="1701" w:type="dxa"/>
            <w:tcBorders>
              <w:top w:val="single" w:sz="4" w:space="0" w:color="auto"/>
              <w:bottom w:val="nil"/>
            </w:tcBorders>
          </w:tcPr>
          <w:p w14:paraId="1E1AB04B" w14:textId="77777777" w:rsidR="008B4B7F" w:rsidRPr="00C2208A" w:rsidRDefault="008B4B7F" w:rsidP="00C2208A">
            <w:pPr>
              <w:spacing w:after="0" w:line="240" w:lineRule="auto"/>
              <w:jc w:val="center"/>
              <w:rPr>
                <w:b w:val="0"/>
                <w:sz w:val="20"/>
                <w:szCs w:val="20"/>
                <w:lang w:val="en-US"/>
              </w:rPr>
            </w:pPr>
            <w:r w:rsidRPr="00C2208A">
              <w:rPr>
                <w:b w:val="0"/>
                <w:sz w:val="20"/>
                <w:szCs w:val="20"/>
                <w:lang w:val="en-US"/>
              </w:rPr>
              <w:t>0</w:t>
            </w:r>
          </w:p>
        </w:tc>
        <w:tc>
          <w:tcPr>
            <w:tcW w:w="1722" w:type="dxa"/>
            <w:tcBorders>
              <w:top w:val="single" w:sz="4" w:space="0" w:color="auto"/>
              <w:bottom w:val="nil"/>
            </w:tcBorders>
            <w:vAlign w:val="center"/>
          </w:tcPr>
          <w:p w14:paraId="00E9F9E7"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2,5</w:t>
            </w:r>
          </w:p>
        </w:tc>
        <w:tc>
          <w:tcPr>
            <w:tcW w:w="1461" w:type="dxa"/>
            <w:tcBorders>
              <w:top w:val="single" w:sz="4" w:space="0" w:color="auto"/>
              <w:bottom w:val="nil"/>
            </w:tcBorders>
            <w:vAlign w:val="center"/>
          </w:tcPr>
          <w:p w14:paraId="2B24BF6D" w14:textId="77777777" w:rsidR="008B4B7F" w:rsidRPr="00C2208A" w:rsidRDefault="008B4B7F" w:rsidP="00C2208A">
            <w:pPr>
              <w:spacing w:after="0" w:line="240" w:lineRule="auto"/>
              <w:jc w:val="center"/>
              <w:rPr>
                <w:rFonts w:eastAsia="Times New Roman"/>
                <w:b w:val="0"/>
                <w:sz w:val="20"/>
                <w:szCs w:val="20"/>
                <w:lang w:val="uz-Cyrl-UZ" w:eastAsia="ru-RU"/>
              </w:rPr>
            </w:pPr>
            <w:r w:rsidRPr="00C2208A">
              <w:rPr>
                <w:rFonts w:eastAsia="Times New Roman"/>
                <w:b w:val="0"/>
                <w:sz w:val="20"/>
                <w:szCs w:val="20"/>
                <w:lang w:val="uz-Cyrl-UZ" w:eastAsia="ru-RU"/>
              </w:rPr>
              <w:t>-</w:t>
            </w:r>
          </w:p>
        </w:tc>
      </w:tr>
      <w:tr w:rsidR="008B4B7F" w:rsidRPr="00C2208A" w14:paraId="1DF8AD35" w14:textId="77777777" w:rsidTr="00C2208A">
        <w:trPr>
          <w:jc w:val="center"/>
        </w:trPr>
        <w:tc>
          <w:tcPr>
            <w:tcW w:w="1139" w:type="dxa"/>
            <w:tcBorders>
              <w:top w:val="nil"/>
            </w:tcBorders>
          </w:tcPr>
          <w:p w14:paraId="4AF376D8" w14:textId="7733A30A" w:rsidR="008B4B7F" w:rsidRPr="00C2208A" w:rsidRDefault="00C2208A" w:rsidP="00C2208A">
            <w:pPr>
              <w:spacing w:after="0" w:line="240" w:lineRule="auto"/>
              <w:jc w:val="center"/>
              <w:rPr>
                <w:rFonts w:eastAsia="Times New Roman"/>
                <w:bCs/>
                <w:sz w:val="20"/>
                <w:szCs w:val="20"/>
                <w:lang w:val="en-US" w:eastAsia="ru-RU"/>
              </w:rPr>
            </w:pPr>
            <w:r>
              <w:rPr>
                <w:sz w:val="20"/>
                <w:szCs w:val="20"/>
                <w:lang w:val="en-US"/>
              </w:rPr>
              <w:t>Sample 4</w:t>
            </w:r>
          </w:p>
        </w:tc>
        <w:tc>
          <w:tcPr>
            <w:tcW w:w="1449" w:type="dxa"/>
            <w:tcBorders>
              <w:top w:val="nil"/>
            </w:tcBorders>
            <w:vAlign w:val="center"/>
          </w:tcPr>
          <w:p w14:paraId="79231CD3"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50</w:t>
            </w:r>
          </w:p>
        </w:tc>
        <w:tc>
          <w:tcPr>
            <w:tcW w:w="1927" w:type="dxa"/>
            <w:tcBorders>
              <w:top w:val="nil"/>
            </w:tcBorders>
            <w:vAlign w:val="center"/>
          </w:tcPr>
          <w:p w14:paraId="5315BB1E"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20</w:t>
            </w:r>
          </w:p>
        </w:tc>
        <w:tc>
          <w:tcPr>
            <w:tcW w:w="1701" w:type="dxa"/>
            <w:tcBorders>
              <w:top w:val="nil"/>
            </w:tcBorders>
          </w:tcPr>
          <w:p w14:paraId="03B86078" w14:textId="77777777" w:rsidR="008B4B7F" w:rsidRPr="00C2208A" w:rsidRDefault="008B4B7F" w:rsidP="00C2208A">
            <w:pPr>
              <w:spacing w:after="0" w:line="240" w:lineRule="auto"/>
              <w:jc w:val="center"/>
              <w:rPr>
                <w:rFonts w:eastAsia="Times New Roman"/>
                <w:b w:val="0"/>
                <w:sz w:val="20"/>
                <w:szCs w:val="20"/>
                <w:lang w:val="en-US" w:eastAsia="ru-RU"/>
              </w:rPr>
            </w:pPr>
            <w:r w:rsidRPr="00C2208A">
              <w:rPr>
                <w:rFonts w:eastAsia="Times New Roman"/>
                <w:b w:val="0"/>
                <w:sz w:val="20"/>
                <w:szCs w:val="20"/>
                <w:lang w:val="en-US" w:eastAsia="ru-RU"/>
              </w:rPr>
              <w:t>0</w:t>
            </w:r>
          </w:p>
        </w:tc>
        <w:tc>
          <w:tcPr>
            <w:tcW w:w="1722" w:type="dxa"/>
            <w:tcBorders>
              <w:top w:val="nil"/>
            </w:tcBorders>
            <w:vAlign w:val="center"/>
          </w:tcPr>
          <w:p w14:paraId="535984A7" w14:textId="77777777" w:rsidR="008B4B7F" w:rsidRPr="00C2208A" w:rsidRDefault="008B4B7F" w:rsidP="00C2208A">
            <w:pPr>
              <w:spacing w:after="0" w:line="240" w:lineRule="auto"/>
              <w:jc w:val="center"/>
              <w:rPr>
                <w:rFonts w:eastAsia="Times New Roman"/>
                <w:b w:val="0"/>
                <w:bCs/>
                <w:sz w:val="20"/>
                <w:szCs w:val="20"/>
                <w:lang w:val="en-US" w:eastAsia="ru-RU"/>
              </w:rPr>
            </w:pPr>
            <w:r w:rsidRPr="00C2208A">
              <w:rPr>
                <w:rFonts w:eastAsia="Times New Roman"/>
                <w:b w:val="0"/>
                <w:bCs/>
                <w:sz w:val="20"/>
                <w:szCs w:val="20"/>
                <w:lang w:val="en-US" w:eastAsia="ru-RU"/>
              </w:rPr>
              <w:t>5</w:t>
            </w:r>
          </w:p>
        </w:tc>
        <w:tc>
          <w:tcPr>
            <w:tcW w:w="1461" w:type="dxa"/>
            <w:tcBorders>
              <w:top w:val="nil"/>
            </w:tcBorders>
            <w:vAlign w:val="center"/>
          </w:tcPr>
          <w:p w14:paraId="2C42E930" w14:textId="77777777" w:rsidR="008B4B7F" w:rsidRPr="00C2208A" w:rsidRDefault="008B4B7F" w:rsidP="00C2208A">
            <w:pPr>
              <w:spacing w:after="0" w:line="240" w:lineRule="auto"/>
              <w:jc w:val="center"/>
              <w:rPr>
                <w:rFonts w:eastAsia="Times New Roman"/>
                <w:b w:val="0"/>
                <w:sz w:val="20"/>
                <w:szCs w:val="20"/>
                <w:lang w:val="en-US" w:eastAsia="ru-RU"/>
              </w:rPr>
            </w:pPr>
            <w:r w:rsidRPr="00C2208A">
              <w:rPr>
                <w:rFonts w:eastAsia="Times New Roman"/>
                <w:b w:val="0"/>
                <w:sz w:val="20"/>
                <w:szCs w:val="20"/>
                <w:lang w:val="en-US" w:eastAsia="ru-RU"/>
              </w:rPr>
              <w:t>-</w:t>
            </w:r>
          </w:p>
        </w:tc>
      </w:tr>
    </w:tbl>
    <w:p w14:paraId="36ED6A1B" w14:textId="5D95F241" w:rsidR="008E6D45" w:rsidRPr="00C2208A" w:rsidRDefault="008E6D45" w:rsidP="00C2208A">
      <w:pPr>
        <w:spacing w:after="0" w:line="240" w:lineRule="auto"/>
        <w:ind w:firstLine="284"/>
        <w:jc w:val="both"/>
        <w:rPr>
          <w:b w:val="0"/>
          <w:sz w:val="20"/>
          <w:szCs w:val="20"/>
          <w:lang w:val="en-US"/>
        </w:rPr>
      </w:pPr>
      <w:r w:rsidRPr="00C2208A">
        <w:rPr>
          <w:b w:val="0"/>
          <w:sz w:val="20"/>
          <w:szCs w:val="20"/>
          <w:lang w:val="en-US"/>
        </w:rPr>
        <w:t>The data in the table above show that the samples have high fire resistance properties. In sample 3, the burned area of the sample was 2.5 cm, and in sample 4, it was 5 cm. Considering that sample 4 was dyed with an active dye in a continuous method and washed in method No. 1 after treatment in a flame retardant solution, the sample retained its fire resistance properties even after washing. This indicator complies with the requirements of GOST 11209-2014.</w:t>
      </w:r>
    </w:p>
    <w:p w14:paraId="4D0C4CAC" w14:textId="77777777" w:rsidR="008E6D45" w:rsidRDefault="008E6D45" w:rsidP="00C2208A">
      <w:pPr>
        <w:spacing w:after="0" w:line="240" w:lineRule="auto"/>
        <w:ind w:firstLine="284"/>
        <w:jc w:val="both"/>
        <w:rPr>
          <w:b w:val="0"/>
          <w:sz w:val="20"/>
          <w:szCs w:val="20"/>
          <w:lang w:val="en-US"/>
        </w:rPr>
      </w:pPr>
      <w:r w:rsidRPr="00C2208A">
        <w:rPr>
          <w:b w:val="0"/>
          <w:sz w:val="20"/>
          <w:szCs w:val="20"/>
          <w:lang w:val="en-US"/>
        </w:rPr>
        <w:t>Below, Figure 1 shows the results obtained after testing the fire resistance properties of flame retardant-treated samples.</w:t>
      </w:r>
    </w:p>
    <w:p w14:paraId="1302BE2E" w14:textId="77777777" w:rsidR="00C2208A" w:rsidRPr="00C2208A" w:rsidRDefault="00C2208A" w:rsidP="00C2208A">
      <w:pPr>
        <w:spacing w:after="0" w:line="240" w:lineRule="auto"/>
        <w:ind w:firstLine="284"/>
        <w:jc w:val="both"/>
        <w:rPr>
          <w:b w:val="0"/>
          <w:sz w:val="20"/>
          <w:szCs w:val="20"/>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694"/>
      </w:tblGrid>
      <w:tr w:rsidR="008E6D45" w:rsidRPr="00C2208A" w14:paraId="64D2E347" w14:textId="77777777" w:rsidTr="00F01FBA">
        <w:trPr>
          <w:trHeight w:val="3166"/>
          <w:jc w:val="center"/>
        </w:trPr>
        <w:tc>
          <w:tcPr>
            <w:tcW w:w="3118" w:type="dxa"/>
          </w:tcPr>
          <w:p w14:paraId="7CEC9391" w14:textId="77777777" w:rsidR="008E6D45" w:rsidRPr="00C2208A" w:rsidRDefault="008E6D45" w:rsidP="00C2208A">
            <w:pPr>
              <w:jc w:val="center"/>
              <w:rPr>
                <w:rFonts w:ascii="Times New Roman" w:hAnsi="Times New Roman" w:cs="Times New Roman"/>
                <w:b/>
                <w:bCs/>
                <w:sz w:val="20"/>
                <w:szCs w:val="20"/>
                <w:lang w:val="en-US"/>
              </w:rPr>
            </w:pPr>
            <w:r w:rsidRPr="00C2208A">
              <w:rPr>
                <w:bCs/>
                <w:noProof/>
                <w:sz w:val="20"/>
                <w:szCs w:val="20"/>
                <w:lang w:eastAsia="ru-RU"/>
              </w:rPr>
              <w:drawing>
                <wp:inline distT="0" distB="0" distL="0" distR="0" wp14:anchorId="09DBF934" wp14:editId="56F406FF">
                  <wp:extent cx="1205865" cy="1857983"/>
                  <wp:effectExtent l="0" t="0" r="0" b="9525"/>
                  <wp:docPr id="1994983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3242" name=""/>
                          <pic:cNvPicPr/>
                        </pic:nvPicPr>
                        <pic:blipFill>
                          <a:blip r:embed="rId10"/>
                          <a:stretch>
                            <a:fillRect/>
                          </a:stretch>
                        </pic:blipFill>
                        <pic:spPr>
                          <a:xfrm>
                            <a:off x="0" y="0"/>
                            <a:ext cx="1245604" cy="1919212"/>
                          </a:xfrm>
                          <a:prstGeom prst="rect">
                            <a:avLst/>
                          </a:prstGeom>
                        </pic:spPr>
                      </pic:pic>
                    </a:graphicData>
                  </a:graphic>
                </wp:inline>
              </w:drawing>
            </w:r>
          </w:p>
          <w:p w14:paraId="1AE628ED" w14:textId="77777777" w:rsidR="008E6D45" w:rsidRPr="00C2208A" w:rsidRDefault="008E6D4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a)</w:t>
            </w:r>
          </w:p>
        </w:tc>
        <w:tc>
          <w:tcPr>
            <w:tcW w:w="2694" w:type="dxa"/>
          </w:tcPr>
          <w:p w14:paraId="05450522" w14:textId="77777777" w:rsidR="008E6D45" w:rsidRPr="00C2208A" w:rsidRDefault="008E6D45" w:rsidP="00C2208A">
            <w:pPr>
              <w:jc w:val="center"/>
              <w:rPr>
                <w:rFonts w:ascii="Times New Roman" w:hAnsi="Times New Roman" w:cs="Times New Roman"/>
                <w:b/>
                <w:bCs/>
                <w:sz w:val="20"/>
                <w:szCs w:val="20"/>
                <w:lang w:val="en-US"/>
              </w:rPr>
            </w:pPr>
            <w:r w:rsidRPr="00C2208A">
              <w:rPr>
                <w:bCs/>
                <w:noProof/>
                <w:sz w:val="20"/>
                <w:szCs w:val="20"/>
                <w:lang w:eastAsia="ru-RU"/>
              </w:rPr>
              <w:drawing>
                <wp:inline distT="0" distB="0" distL="0" distR="0" wp14:anchorId="6ABD4CEF" wp14:editId="7B3D6707">
                  <wp:extent cx="1156711" cy="1876425"/>
                  <wp:effectExtent l="0" t="0" r="5715" b="0"/>
                  <wp:docPr id="2028767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7036" name=""/>
                          <pic:cNvPicPr/>
                        </pic:nvPicPr>
                        <pic:blipFill>
                          <a:blip r:embed="rId11"/>
                          <a:stretch>
                            <a:fillRect/>
                          </a:stretch>
                        </pic:blipFill>
                        <pic:spPr>
                          <a:xfrm>
                            <a:off x="0" y="0"/>
                            <a:ext cx="1157249" cy="1877298"/>
                          </a:xfrm>
                          <a:prstGeom prst="rect">
                            <a:avLst/>
                          </a:prstGeom>
                        </pic:spPr>
                      </pic:pic>
                    </a:graphicData>
                  </a:graphic>
                </wp:inline>
              </w:drawing>
            </w:r>
          </w:p>
          <w:p w14:paraId="43E289F2" w14:textId="77777777" w:rsidR="008E6D45" w:rsidRPr="00C2208A" w:rsidRDefault="008E6D45" w:rsidP="00C2208A">
            <w:pPr>
              <w:jc w:val="center"/>
              <w:rPr>
                <w:rFonts w:ascii="Times New Roman" w:hAnsi="Times New Roman" w:cs="Times New Roman"/>
                <w:b/>
                <w:bCs/>
                <w:sz w:val="20"/>
                <w:szCs w:val="20"/>
                <w:lang w:val="en-US"/>
              </w:rPr>
            </w:pPr>
            <w:r w:rsidRPr="00C2208A">
              <w:rPr>
                <w:rFonts w:ascii="Times New Roman" w:hAnsi="Times New Roman" w:cs="Times New Roman"/>
                <w:b/>
                <w:bCs/>
                <w:sz w:val="20"/>
                <w:szCs w:val="20"/>
                <w:lang w:val="en-US"/>
              </w:rPr>
              <w:t>b)</w:t>
            </w:r>
          </w:p>
        </w:tc>
      </w:tr>
    </w:tbl>
    <w:p w14:paraId="179BA2CB" w14:textId="1565E57E" w:rsidR="008E6D45" w:rsidRPr="00F01FBA" w:rsidRDefault="00F01FBA" w:rsidP="00F01FBA">
      <w:pPr>
        <w:spacing w:before="120" w:after="0" w:line="240" w:lineRule="auto"/>
        <w:jc w:val="center"/>
        <w:rPr>
          <w:b w:val="0"/>
          <w:sz w:val="18"/>
          <w:szCs w:val="20"/>
          <w:lang w:val="en-US"/>
        </w:rPr>
      </w:pPr>
      <w:r w:rsidRPr="00F01FBA">
        <w:rPr>
          <w:bCs/>
          <w:sz w:val="18"/>
          <w:szCs w:val="20"/>
          <w:lang w:val="en-US"/>
        </w:rPr>
        <w:t>FIGURE 1.</w:t>
      </w:r>
      <w:r w:rsidRPr="00F01FBA">
        <w:rPr>
          <w:sz w:val="18"/>
          <w:szCs w:val="20"/>
          <w:lang w:val="en-US"/>
        </w:rPr>
        <w:t xml:space="preserve"> </w:t>
      </w:r>
      <w:r w:rsidRPr="00F01FBA">
        <w:rPr>
          <w:b w:val="0"/>
          <w:bCs/>
          <w:sz w:val="18"/>
          <w:szCs w:val="20"/>
          <w:lang w:val="en-US"/>
        </w:rPr>
        <w:t>a) Sample 3 - Continuously dyed sample treated with flame retardant solution, b) Sample 4 - Continuously dyed sample treated with flame retardant solution and washed using method No. 1</w:t>
      </w:r>
    </w:p>
    <w:p w14:paraId="4609F61F" w14:textId="77777777" w:rsidR="00F01FBA" w:rsidRDefault="00F01FBA" w:rsidP="00C2208A">
      <w:pPr>
        <w:spacing w:after="0" w:line="240" w:lineRule="auto"/>
        <w:ind w:firstLine="708"/>
        <w:rPr>
          <w:b w:val="0"/>
          <w:sz w:val="20"/>
          <w:szCs w:val="20"/>
          <w:lang w:val="en-US"/>
        </w:rPr>
      </w:pPr>
    </w:p>
    <w:p w14:paraId="48C0F8D9" w14:textId="77777777" w:rsidR="00114C51" w:rsidRDefault="00114C51" w:rsidP="00F01FBA">
      <w:pPr>
        <w:spacing w:after="0" w:line="240" w:lineRule="auto"/>
        <w:ind w:firstLine="284"/>
        <w:rPr>
          <w:b w:val="0"/>
          <w:sz w:val="20"/>
          <w:szCs w:val="20"/>
          <w:lang w:val="en-US"/>
        </w:rPr>
      </w:pPr>
      <w:r w:rsidRPr="00C2208A">
        <w:rPr>
          <w:b w:val="0"/>
          <w:sz w:val="20"/>
          <w:szCs w:val="20"/>
          <w:lang w:val="en-US"/>
        </w:rPr>
        <w:t>In the next step, the physical and mechanical properties of the samples were tested, and the results are presented in the table below.</w:t>
      </w:r>
    </w:p>
    <w:p w14:paraId="0121D10B" w14:textId="77777777" w:rsidR="00F01FBA" w:rsidRPr="00C2208A" w:rsidRDefault="00F01FBA" w:rsidP="00F01FBA">
      <w:pPr>
        <w:spacing w:after="0" w:line="240" w:lineRule="auto"/>
        <w:ind w:firstLine="284"/>
        <w:rPr>
          <w:b w:val="0"/>
          <w:sz w:val="20"/>
          <w:szCs w:val="20"/>
          <w:lang w:val="en-US"/>
        </w:rPr>
      </w:pPr>
    </w:p>
    <w:p w14:paraId="547E3E2C" w14:textId="773E6B4D" w:rsidR="00114C51" w:rsidRPr="00F01FBA" w:rsidRDefault="00F01FBA" w:rsidP="005C63B5">
      <w:pPr>
        <w:spacing w:before="120" w:after="120" w:line="240" w:lineRule="auto"/>
        <w:jc w:val="center"/>
        <w:rPr>
          <w:b w:val="0"/>
          <w:sz w:val="18"/>
          <w:szCs w:val="20"/>
          <w:lang w:val="en-US"/>
        </w:rPr>
      </w:pPr>
      <w:r w:rsidRPr="00F01FBA">
        <w:rPr>
          <w:sz w:val="18"/>
          <w:szCs w:val="20"/>
          <w:lang w:val="en-US"/>
        </w:rPr>
        <w:t>TABLE 4.</w:t>
      </w:r>
      <w:r w:rsidRPr="00F01FBA">
        <w:rPr>
          <w:b w:val="0"/>
          <w:sz w:val="18"/>
          <w:szCs w:val="20"/>
          <w:lang w:val="en-US"/>
        </w:rPr>
        <w:t xml:space="preserve"> </w:t>
      </w:r>
      <w:r w:rsidR="00114C51" w:rsidRPr="00F01FBA">
        <w:rPr>
          <w:b w:val="0"/>
          <w:sz w:val="18"/>
          <w:szCs w:val="20"/>
          <w:lang w:val="en-US"/>
        </w:rPr>
        <w:t>Physical and mechanical properties of samples</w:t>
      </w:r>
    </w:p>
    <w:tbl>
      <w:tblPr>
        <w:tblW w:w="8418" w:type="dxa"/>
        <w:jc w:val="center"/>
        <w:tblBorders>
          <w:top w:val="single" w:sz="4" w:space="0" w:color="auto"/>
          <w:bottom w:val="single" w:sz="4" w:space="0" w:color="auto"/>
        </w:tblBorders>
        <w:tblLayout w:type="fixed"/>
        <w:tblLook w:val="04A0" w:firstRow="1" w:lastRow="0" w:firstColumn="1" w:lastColumn="0" w:noHBand="0" w:noVBand="1"/>
      </w:tblPr>
      <w:tblGrid>
        <w:gridCol w:w="1787"/>
        <w:gridCol w:w="1669"/>
        <w:gridCol w:w="1560"/>
        <w:gridCol w:w="1701"/>
        <w:gridCol w:w="1701"/>
      </w:tblGrid>
      <w:tr w:rsidR="00114C51" w:rsidRPr="00C2208A" w14:paraId="105EEE0B" w14:textId="77777777" w:rsidTr="00F01FBA">
        <w:trPr>
          <w:trHeight w:val="175"/>
          <w:jc w:val="center"/>
        </w:trPr>
        <w:tc>
          <w:tcPr>
            <w:tcW w:w="1787" w:type="dxa"/>
            <w:vMerge w:val="restart"/>
            <w:vAlign w:val="center"/>
          </w:tcPr>
          <w:p w14:paraId="0A2410B4" w14:textId="77777777" w:rsidR="00114C51" w:rsidRPr="00C2208A" w:rsidRDefault="00114C51" w:rsidP="00C2208A">
            <w:pPr>
              <w:spacing w:after="0" w:line="240" w:lineRule="auto"/>
              <w:jc w:val="center"/>
              <w:rPr>
                <w:rFonts w:eastAsia="Times New Roman"/>
                <w:b w:val="0"/>
                <w:bCs/>
                <w:sz w:val="20"/>
                <w:szCs w:val="20"/>
                <w:lang w:val="en-US" w:eastAsia="ru-RU"/>
              </w:rPr>
            </w:pPr>
            <w:r w:rsidRPr="00C2208A">
              <w:rPr>
                <w:rFonts w:eastAsia="Times New Roman"/>
                <w:bCs/>
                <w:sz w:val="20"/>
                <w:szCs w:val="20"/>
                <w:lang w:val="uz-Cyrl-UZ" w:eastAsia="ru-RU"/>
              </w:rPr>
              <w:t>N</w:t>
            </w:r>
            <w:r w:rsidRPr="00C2208A">
              <w:rPr>
                <w:rFonts w:eastAsia="Times New Roman"/>
                <w:bCs/>
                <w:sz w:val="20"/>
                <w:szCs w:val="20"/>
                <w:lang w:val="en-US" w:eastAsia="ru-RU"/>
              </w:rPr>
              <w:t>ame</w:t>
            </w:r>
          </w:p>
        </w:tc>
        <w:tc>
          <w:tcPr>
            <w:tcW w:w="3229" w:type="dxa"/>
            <w:gridSpan w:val="2"/>
          </w:tcPr>
          <w:p w14:paraId="24A18064" w14:textId="77777777" w:rsidR="00114C51" w:rsidRPr="00C2208A" w:rsidRDefault="00114C51" w:rsidP="00C2208A">
            <w:pPr>
              <w:spacing w:after="0" w:line="240" w:lineRule="auto"/>
              <w:jc w:val="center"/>
              <w:rPr>
                <w:rFonts w:eastAsia="Times New Roman"/>
                <w:b w:val="0"/>
                <w:bCs/>
                <w:sz w:val="20"/>
                <w:szCs w:val="20"/>
                <w:lang w:val="en-US" w:eastAsia="ru-RU"/>
              </w:rPr>
            </w:pPr>
            <w:r w:rsidRPr="00C2208A">
              <w:rPr>
                <w:rFonts w:eastAsia="Times New Roman"/>
                <w:bCs/>
                <w:sz w:val="20"/>
                <w:szCs w:val="20"/>
                <w:lang w:val="en-US" w:eastAsia="ru-RU"/>
              </w:rPr>
              <w:t xml:space="preserve">Breaking load, N </w:t>
            </w:r>
          </w:p>
        </w:tc>
        <w:tc>
          <w:tcPr>
            <w:tcW w:w="3402" w:type="dxa"/>
            <w:gridSpan w:val="2"/>
          </w:tcPr>
          <w:p w14:paraId="62C73C3D" w14:textId="77777777" w:rsidR="00114C51" w:rsidRPr="00C2208A" w:rsidRDefault="00672BBA" w:rsidP="00C2208A">
            <w:pPr>
              <w:spacing w:after="0" w:line="240" w:lineRule="auto"/>
              <w:jc w:val="center"/>
              <w:rPr>
                <w:rFonts w:eastAsia="Times New Roman"/>
                <w:b w:val="0"/>
                <w:bCs/>
                <w:sz w:val="20"/>
                <w:szCs w:val="20"/>
                <w:lang w:val="en-US" w:eastAsia="ru-RU"/>
              </w:rPr>
            </w:pPr>
            <w:r w:rsidRPr="00C2208A">
              <w:rPr>
                <w:rFonts w:eastAsia="Times New Roman"/>
                <w:bCs/>
                <w:sz w:val="20"/>
                <w:szCs w:val="20"/>
                <w:lang w:val="en-US" w:eastAsia="ru-RU"/>
              </w:rPr>
              <w:t>Elongation at break, Ɛр, %</w:t>
            </w:r>
          </w:p>
        </w:tc>
      </w:tr>
      <w:tr w:rsidR="00114C51" w:rsidRPr="00C2208A" w14:paraId="7D31CC89" w14:textId="77777777" w:rsidTr="00F01FBA">
        <w:trPr>
          <w:trHeight w:val="179"/>
          <w:jc w:val="center"/>
        </w:trPr>
        <w:tc>
          <w:tcPr>
            <w:tcW w:w="1787" w:type="dxa"/>
            <w:vMerge/>
            <w:tcBorders>
              <w:bottom w:val="single" w:sz="4" w:space="0" w:color="auto"/>
            </w:tcBorders>
            <w:vAlign w:val="center"/>
          </w:tcPr>
          <w:p w14:paraId="24DED578" w14:textId="77777777" w:rsidR="00114C51" w:rsidRPr="00C2208A" w:rsidRDefault="00114C51" w:rsidP="00C2208A">
            <w:pPr>
              <w:spacing w:after="0" w:line="240" w:lineRule="auto"/>
              <w:jc w:val="center"/>
              <w:rPr>
                <w:rFonts w:eastAsia="Times New Roman"/>
                <w:b w:val="0"/>
                <w:bCs/>
                <w:sz w:val="20"/>
                <w:szCs w:val="20"/>
                <w:lang w:val="uz-Cyrl-UZ" w:eastAsia="ru-RU"/>
              </w:rPr>
            </w:pPr>
          </w:p>
        </w:tc>
        <w:tc>
          <w:tcPr>
            <w:tcW w:w="1669" w:type="dxa"/>
            <w:tcBorders>
              <w:bottom w:val="single" w:sz="4" w:space="0" w:color="auto"/>
            </w:tcBorders>
          </w:tcPr>
          <w:p w14:paraId="13B01C49" w14:textId="77777777" w:rsidR="00114C51" w:rsidRPr="00C2208A" w:rsidRDefault="00672BBA" w:rsidP="00C2208A">
            <w:pPr>
              <w:spacing w:after="0" w:line="240" w:lineRule="auto"/>
              <w:jc w:val="center"/>
              <w:rPr>
                <w:rFonts w:eastAsia="Times New Roman"/>
                <w:sz w:val="20"/>
                <w:szCs w:val="20"/>
                <w:lang w:val="en-US" w:eastAsia="ru-RU"/>
              </w:rPr>
            </w:pPr>
            <w:r w:rsidRPr="00C2208A">
              <w:rPr>
                <w:rFonts w:eastAsia="Times New Roman"/>
                <w:sz w:val="20"/>
                <w:szCs w:val="20"/>
                <w:lang w:val="en-US" w:eastAsia="ru-RU"/>
              </w:rPr>
              <w:t>By length</w:t>
            </w:r>
          </w:p>
        </w:tc>
        <w:tc>
          <w:tcPr>
            <w:tcW w:w="1560" w:type="dxa"/>
            <w:tcBorders>
              <w:bottom w:val="single" w:sz="4" w:space="0" w:color="auto"/>
            </w:tcBorders>
          </w:tcPr>
          <w:p w14:paraId="6639DF21" w14:textId="77777777" w:rsidR="00114C51" w:rsidRPr="00C2208A" w:rsidRDefault="00672BBA" w:rsidP="00C2208A">
            <w:pPr>
              <w:spacing w:after="0" w:line="240" w:lineRule="auto"/>
              <w:jc w:val="center"/>
              <w:rPr>
                <w:rFonts w:eastAsia="Times New Roman"/>
                <w:sz w:val="20"/>
                <w:szCs w:val="20"/>
                <w:lang w:val="en-US" w:eastAsia="ru-RU"/>
              </w:rPr>
            </w:pPr>
            <w:r w:rsidRPr="00C2208A">
              <w:rPr>
                <w:rFonts w:eastAsia="Times New Roman"/>
                <w:sz w:val="20"/>
                <w:szCs w:val="20"/>
                <w:lang w:val="en-US" w:eastAsia="ru-RU"/>
              </w:rPr>
              <w:t>By width</w:t>
            </w:r>
          </w:p>
        </w:tc>
        <w:tc>
          <w:tcPr>
            <w:tcW w:w="1701" w:type="dxa"/>
            <w:tcBorders>
              <w:bottom w:val="single" w:sz="4" w:space="0" w:color="auto"/>
            </w:tcBorders>
          </w:tcPr>
          <w:p w14:paraId="5531E12F" w14:textId="77777777" w:rsidR="00114C51" w:rsidRPr="00C2208A" w:rsidRDefault="00672BBA" w:rsidP="00C2208A">
            <w:pPr>
              <w:spacing w:after="0" w:line="240" w:lineRule="auto"/>
              <w:jc w:val="center"/>
              <w:rPr>
                <w:rFonts w:eastAsia="Times New Roman"/>
                <w:sz w:val="20"/>
                <w:szCs w:val="20"/>
                <w:lang w:val="en-US" w:eastAsia="ru-RU"/>
              </w:rPr>
            </w:pPr>
            <w:r w:rsidRPr="00C2208A">
              <w:rPr>
                <w:rFonts w:eastAsia="Times New Roman"/>
                <w:sz w:val="20"/>
                <w:szCs w:val="20"/>
                <w:lang w:val="en-US" w:eastAsia="ru-RU"/>
              </w:rPr>
              <w:t>By length</w:t>
            </w:r>
          </w:p>
        </w:tc>
        <w:tc>
          <w:tcPr>
            <w:tcW w:w="1701" w:type="dxa"/>
            <w:tcBorders>
              <w:bottom w:val="single" w:sz="4" w:space="0" w:color="auto"/>
            </w:tcBorders>
          </w:tcPr>
          <w:p w14:paraId="7598AD00" w14:textId="77777777" w:rsidR="00114C51" w:rsidRPr="00C2208A" w:rsidRDefault="00672BBA" w:rsidP="00C2208A">
            <w:pPr>
              <w:spacing w:after="0" w:line="240" w:lineRule="auto"/>
              <w:jc w:val="center"/>
              <w:rPr>
                <w:rFonts w:eastAsia="Times New Roman"/>
                <w:sz w:val="20"/>
                <w:szCs w:val="20"/>
                <w:lang w:val="en-US" w:eastAsia="ru-RU"/>
              </w:rPr>
            </w:pPr>
            <w:r w:rsidRPr="00C2208A">
              <w:rPr>
                <w:rFonts w:eastAsia="Times New Roman"/>
                <w:sz w:val="20"/>
                <w:szCs w:val="20"/>
                <w:lang w:val="en-US" w:eastAsia="ru-RU"/>
              </w:rPr>
              <w:t>By width</w:t>
            </w:r>
          </w:p>
        </w:tc>
      </w:tr>
      <w:tr w:rsidR="00114C51" w:rsidRPr="00C2208A" w14:paraId="0836519C" w14:textId="77777777" w:rsidTr="00F01FBA">
        <w:trPr>
          <w:jc w:val="center"/>
        </w:trPr>
        <w:tc>
          <w:tcPr>
            <w:tcW w:w="1787" w:type="dxa"/>
            <w:tcBorders>
              <w:top w:val="single" w:sz="4" w:space="0" w:color="auto"/>
              <w:bottom w:val="nil"/>
            </w:tcBorders>
          </w:tcPr>
          <w:p w14:paraId="7A80A791" w14:textId="77777777" w:rsidR="00114C51" w:rsidRPr="00C2208A" w:rsidRDefault="00672BBA" w:rsidP="00C2208A">
            <w:pPr>
              <w:spacing w:after="0" w:line="240" w:lineRule="auto"/>
              <w:jc w:val="center"/>
              <w:rPr>
                <w:rFonts w:eastAsia="Times New Roman"/>
                <w:b w:val="0"/>
                <w:bCs/>
                <w:sz w:val="20"/>
                <w:szCs w:val="20"/>
                <w:lang w:val="uz-Cyrl-UZ" w:eastAsia="ru-RU"/>
              </w:rPr>
            </w:pPr>
            <w:r w:rsidRPr="00C2208A">
              <w:rPr>
                <w:sz w:val="20"/>
                <w:szCs w:val="20"/>
                <w:lang w:val="en-US"/>
              </w:rPr>
              <w:t>Sample 1</w:t>
            </w:r>
          </w:p>
        </w:tc>
        <w:tc>
          <w:tcPr>
            <w:tcW w:w="1669" w:type="dxa"/>
            <w:tcBorders>
              <w:top w:val="single" w:sz="4" w:space="0" w:color="auto"/>
              <w:bottom w:val="nil"/>
            </w:tcBorders>
          </w:tcPr>
          <w:p w14:paraId="34A952FF"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571,8</w:t>
            </w:r>
          </w:p>
        </w:tc>
        <w:tc>
          <w:tcPr>
            <w:tcW w:w="1560" w:type="dxa"/>
            <w:tcBorders>
              <w:top w:val="single" w:sz="4" w:space="0" w:color="auto"/>
              <w:bottom w:val="nil"/>
            </w:tcBorders>
          </w:tcPr>
          <w:p w14:paraId="5EE1DB13"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126,2</w:t>
            </w:r>
          </w:p>
        </w:tc>
        <w:tc>
          <w:tcPr>
            <w:tcW w:w="1701" w:type="dxa"/>
            <w:tcBorders>
              <w:top w:val="single" w:sz="4" w:space="0" w:color="auto"/>
              <w:bottom w:val="nil"/>
            </w:tcBorders>
          </w:tcPr>
          <w:p w14:paraId="199E4AF6"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46,57</w:t>
            </w:r>
          </w:p>
        </w:tc>
        <w:tc>
          <w:tcPr>
            <w:tcW w:w="1701" w:type="dxa"/>
            <w:tcBorders>
              <w:top w:val="single" w:sz="4" w:space="0" w:color="auto"/>
              <w:bottom w:val="nil"/>
            </w:tcBorders>
          </w:tcPr>
          <w:p w14:paraId="68AE77C9"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20,91</w:t>
            </w:r>
          </w:p>
        </w:tc>
      </w:tr>
      <w:tr w:rsidR="00114C51" w:rsidRPr="00C2208A" w14:paraId="23BAD620" w14:textId="77777777" w:rsidTr="00F01FBA">
        <w:trPr>
          <w:jc w:val="center"/>
        </w:trPr>
        <w:tc>
          <w:tcPr>
            <w:tcW w:w="1787" w:type="dxa"/>
            <w:tcBorders>
              <w:top w:val="nil"/>
            </w:tcBorders>
          </w:tcPr>
          <w:p w14:paraId="26E57D41" w14:textId="77777777" w:rsidR="00114C51" w:rsidRPr="00C2208A" w:rsidRDefault="00672BBA" w:rsidP="00C2208A">
            <w:pPr>
              <w:spacing w:after="0" w:line="240" w:lineRule="auto"/>
              <w:jc w:val="center"/>
              <w:rPr>
                <w:rFonts w:eastAsia="Times New Roman"/>
                <w:b w:val="0"/>
                <w:bCs/>
                <w:sz w:val="20"/>
                <w:szCs w:val="20"/>
                <w:lang w:val="uz-Cyrl-UZ" w:eastAsia="ru-RU"/>
              </w:rPr>
            </w:pPr>
            <w:r w:rsidRPr="00C2208A">
              <w:rPr>
                <w:sz w:val="20"/>
                <w:szCs w:val="20"/>
                <w:lang w:val="en-US"/>
              </w:rPr>
              <w:t>Sample 2</w:t>
            </w:r>
          </w:p>
        </w:tc>
        <w:tc>
          <w:tcPr>
            <w:tcW w:w="1669" w:type="dxa"/>
            <w:tcBorders>
              <w:top w:val="nil"/>
            </w:tcBorders>
          </w:tcPr>
          <w:p w14:paraId="4D02E733"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319,6</w:t>
            </w:r>
          </w:p>
        </w:tc>
        <w:tc>
          <w:tcPr>
            <w:tcW w:w="1560" w:type="dxa"/>
            <w:tcBorders>
              <w:top w:val="nil"/>
            </w:tcBorders>
          </w:tcPr>
          <w:p w14:paraId="036C7F66"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257,8</w:t>
            </w:r>
          </w:p>
        </w:tc>
        <w:tc>
          <w:tcPr>
            <w:tcW w:w="1701" w:type="dxa"/>
            <w:tcBorders>
              <w:top w:val="nil"/>
            </w:tcBorders>
          </w:tcPr>
          <w:p w14:paraId="746026CC"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46,25</w:t>
            </w:r>
          </w:p>
        </w:tc>
        <w:tc>
          <w:tcPr>
            <w:tcW w:w="1701" w:type="dxa"/>
            <w:tcBorders>
              <w:top w:val="nil"/>
            </w:tcBorders>
          </w:tcPr>
          <w:p w14:paraId="27BD4989" w14:textId="77777777" w:rsidR="00114C51" w:rsidRPr="00F01FBA" w:rsidRDefault="00114C51" w:rsidP="00C2208A">
            <w:pPr>
              <w:spacing w:after="0" w:line="240" w:lineRule="auto"/>
              <w:jc w:val="center"/>
              <w:rPr>
                <w:rFonts w:eastAsia="Times New Roman"/>
                <w:b w:val="0"/>
                <w:sz w:val="20"/>
                <w:szCs w:val="20"/>
                <w:lang w:val="en-US" w:eastAsia="ru-RU"/>
              </w:rPr>
            </w:pPr>
            <w:r w:rsidRPr="00F01FBA">
              <w:rPr>
                <w:rFonts w:eastAsia="Times New Roman"/>
                <w:b w:val="0"/>
                <w:sz w:val="20"/>
                <w:szCs w:val="20"/>
                <w:lang w:val="en-US" w:eastAsia="ru-RU"/>
              </w:rPr>
              <w:t>25,91</w:t>
            </w:r>
          </w:p>
        </w:tc>
      </w:tr>
      <w:tr w:rsidR="00114C51" w:rsidRPr="00C2208A" w14:paraId="5DA92B7F" w14:textId="77777777" w:rsidTr="00F01FBA">
        <w:trPr>
          <w:jc w:val="center"/>
        </w:trPr>
        <w:tc>
          <w:tcPr>
            <w:tcW w:w="1787" w:type="dxa"/>
          </w:tcPr>
          <w:p w14:paraId="51B55CCB" w14:textId="77777777" w:rsidR="00114C51" w:rsidRPr="00C2208A" w:rsidRDefault="00672BBA" w:rsidP="00C2208A">
            <w:pPr>
              <w:spacing w:after="0" w:line="240" w:lineRule="auto"/>
              <w:jc w:val="center"/>
              <w:rPr>
                <w:rFonts w:eastAsia="Times New Roman"/>
                <w:bCs/>
                <w:sz w:val="20"/>
                <w:szCs w:val="20"/>
                <w:lang w:val="en-US" w:eastAsia="ru-RU"/>
              </w:rPr>
            </w:pPr>
            <w:r w:rsidRPr="00C2208A">
              <w:rPr>
                <w:sz w:val="20"/>
                <w:szCs w:val="20"/>
                <w:lang w:val="en-US"/>
              </w:rPr>
              <w:t>Sample 3</w:t>
            </w:r>
          </w:p>
        </w:tc>
        <w:tc>
          <w:tcPr>
            <w:tcW w:w="1669" w:type="dxa"/>
          </w:tcPr>
          <w:p w14:paraId="35B5C96A"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148,6</w:t>
            </w:r>
          </w:p>
        </w:tc>
        <w:tc>
          <w:tcPr>
            <w:tcW w:w="1560" w:type="dxa"/>
          </w:tcPr>
          <w:p w14:paraId="19FCB00B"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70,7</w:t>
            </w:r>
          </w:p>
        </w:tc>
        <w:tc>
          <w:tcPr>
            <w:tcW w:w="1701" w:type="dxa"/>
          </w:tcPr>
          <w:p w14:paraId="0DFA42E2"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20,93</w:t>
            </w:r>
          </w:p>
        </w:tc>
        <w:tc>
          <w:tcPr>
            <w:tcW w:w="1701" w:type="dxa"/>
          </w:tcPr>
          <w:p w14:paraId="54E48402"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12,89</w:t>
            </w:r>
          </w:p>
        </w:tc>
      </w:tr>
      <w:tr w:rsidR="00114C51" w:rsidRPr="00C2208A" w14:paraId="38931350" w14:textId="77777777" w:rsidTr="00F01FBA">
        <w:trPr>
          <w:jc w:val="center"/>
        </w:trPr>
        <w:tc>
          <w:tcPr>
            <w:tcW w:w="1787" w:type="dxa"/>
          </w:tcPr>
          <w:p w14:paraId="3DF6A11F" w14:textId="77777777" w:rsidR="00114C51" w:rsidRPr="00C2208A" w:rsidRDefault="00672BBA" w:rsidP="00C2208A">
            <w:pPr>
              <w:spacing w:after="0" w:line="240" w:lineRule="auto"/>
              <w:jc w:val="center"/>
              <w:rPr>
                <w:rFonts w:eastAsia="Times New Roman"/>
                <w:bCs/>
                <w:sz w:val="20"/>
                <w:szCs w:val="20"/>
                <w:lang w:val="en-US" w:eastAsia="ru-RU"/>
              </w:rPr>
            </w:pPr>
            <w:r w:rsidRPr="00C2208A">
              <w:rPr>
                <w:sz w:val="20"/>
                <w:szCs w:val="20"/>
                <w:lang w:val="en-US"/>
              </w:rPr>
              <w:t>Sample 4</w:t>
            </w:r>
          </w:p>
        </w:tc>
        <w:tc>
          <w:tcPr>
            <w:tcW w:w="1669" w:type="dxa"/>
          </w:tcPr>
          <w:p w14:paraId="398FF103"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256,8</w:t>
            </w:r>
          </w:p>
        </w:tc>
        <w:tc>
          <w:tcPr>
            <w:tcW w:w="1560" w:type="dxa"/>
          </w:tcPr>
          <w:p w14:paraId="621DD641"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127,5</w:t>
            </w:r>
          </w:p>
        </w:tc>
        <w:tc>
          <w:tcPr>
            <w:tcW w:w="1701" w:type="dxa"/>
          </w:tcPr>
          <w:p w14:paraId="2DB17779"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50,58</w:t>
            </w:r>
          </w:p>
        </w:tc>
        <w:tc>
          <w:tcPr>
            <w:tcW w:w="1701" w:type="dxa"/>
          </w:tcPr>
          <w:p w14:paraId="0C411A1A" w14:textId="77777777" w:rsidR="00114C51" w:rsidRPr="00F01FBA" w:rsidRDefault="00114C51" w:rsidP="00C2208A">
            <w:pPr>
              <w:spacing w:after="0" w:line="240" w:lineRule="auto"/>
              <w:jc w:val="center"/>
              <w:rPr>
                <w:rFonts w:eastAsia="Times New Roman"/>
                <w:b w:val="0"/>
                <w:bCs/>
                <w:sz w:val="20"/>
                <w:szCs w:val="20"/>
                <w:lang w:val="en-US" w:eastAsia="ru-RU"/>
              </w:rPr>
            </w:pPr>
            <w:r w:rsidRPr="00F01FBA">
              <w:rPr>
                <w:rFonts w:eastAsia="Times New Roman"/>
                <w:b w:val="0"/>
                <w:bCs/>
                <w:sz w:val="20"/>
                <w:szCs w:val="20"/>
                <w:lang w:val="en-US" w:eastAsia="ru-RU"/>
              </w:rPr>
              <w:t>21,41</w:t>
            </w:r>
          </w:p>
        </w:tc>
      </w:tr>
    </w:tbl>
    <w:p w14:paraId="7D58C2EB" w14:textId="77777777" w:rsidR="00114C51" w:rsidRPr="00C2208A" w:rsidRDefault="00114C51" w:rsidP="00F01FBA">
      <w:pPr>
        <w:spacing w:after="0" w:line="240" w:lineRule="auto"/>
        <w:ind w:firstLine="284"/>
        <w:jc w:val="both"/>
        <w:rPr>
          <w:b w:val="0"/>
          <w:sz w:val="20"/>
          <w:szCs w:val="20"/>
          <w:lang w:val="en-US"/>
        </w:rPr>
      </w:pPr>
    </w:p>
    <w:p w14:paraId="1B1DE589" w14:textId="70CB576C" w:rsidR="00307BC6" w:rsidRPr="00C2208A" w:rsidRDefault="00307BC6" w:rsidP="00F01FBA">
      <w:pPr>
        <w:spacing w:after="0" w:line="240" w:lineRule="auto"/>
        <w:ind w:firstLine="284"/>
        <w:jc w:val="both"/>
        <w:rPr>
          <w:b w:val="0"/>
          <w:sz w:val="20"/>
          <w:szCs w:val="20"/>
          <w:lang w:val="en-US"/>
        </w:rPr>
      </w:pPr>
      <w:r w:rsidRPr="00C2208A">
        <w:rPr>
          <w:b w:val="0"/>
          <w:sz w:val="20"/>
          <w:szCs w:val="20"/>
          <w:lang w:val="en-US"/>
        </w:rPr>
        <w:t>According to the results of the table above, the values of the breaking load and elongation at break in the samples treated with flame retardant decreased. This is explained by the fact that the flame retardant formed a film on the surface of the fabric. Also, these values were slightly higher in the washed samples. This is because the chemicals in the flame retardant that give it flame retardant properties indicate partial stability to washing.</w:t>
      </w:r>
    </w:p>
    <w:p w14:paraId="537BE8FE" w14:textId="30A757CB" w:rsidR="00F33B0B" w:rsidRDefault="00F33B0B" w:rsidP="00F01FBA">
      <w:pPr>
        <w:spacing w:after="0" w:line="240" w:lineRule="auto"/>
        <w:ind w:firstLine="284"/>
        <w:jc w:val="both"/>
        <w:rPr>
          <w:b w:val="0"/>
          <w:sz w:val="20"/>
          <w:szCs w:val="20"/>
          <w:lang w:val="en-US"/>
        </w:rPr>
      </w:pPr>
      <w:r w:rsidRPr="00C2208A">
        <w:rPr>
          <w:b w:val="0"/>
          <w:sz w:val="20"/>
          <w:szCs w:val="20"/>
          <w:lang w:val="en-US"/>
        </w:rPr>
        <w:t>To investigate the cause of the interaction between the dye and flame retardant in the painted and flame-retardant samples, I</w:t>
      </w:r>
      <w:r w:rsidR="00307BC6" w:rsidRPr="00C2208A">
        <w:rPr>
          <w:b w:val="0"/>
          <w:sz w:val="20"/>
          <w:szCs w:val="20"/>
          <w:lang w:val="en-US"/>
        </w:rPr>
        <w:t>Q</w:t>
      </w:r>
      <w:r w:rsidRPr="00C2208A">
        <w:rPr>
          <w:b w:val="0"/>
          <w:sz w:val="20"/>
          <w:szCs w:val="20"/>
          <w:lang w:val="en-US"/>
        </w:rPr>
        <w:t xml:space="preserve"> spectroscopic analysis of samples 1 and 3 was performed (</w:t>
      </w:r>
      <w:r w:rsidR="00F01FBA">
        <w:rPr>
          <w:b w:val="0"/>
          <w:sz w:val="20"/>
          <w:szCs w:val="20"/>
          <w:lang w:val="en-US"/>
        </w:rPr>
        <w:t xml:space="preserve">see </w:t>
      </w:r>
      <w:r w:rsidRPr="00C2208A">
        <w:rPr>
          <w:b w:val="0"/>
          <w:sz w:val="20"/>
          <w:szCs w:val="20"/>
          <w:lang w:val="en-US"/>
        </w:rPr>
        <w:t>Figure 2).</w:t>
      </w:r>
    </w:p>
    <w:p w14:paraId="54F18438" w14:textId="77777777" w:rsidR="00F01FBA" w:rsidRPr="00C2208A" w:rsidRDefault="00F01FBA" w:rsidP="00F01FBA">
      <w:pPr>
        <w:spacing w:after="0" w:line="240" w:lineRule="auto"/>
        <w:ind w:firstLine="284"/>
        <w:jc w:val="both"/>
        <w:rPr>
          <w:b w:val="0"/>
          <w:sz w:val="20"/>
          <w:szCs w:val="20"/>
          <w:lang w:val="en-US"/>
        </w:rPr>
      </w:pPr>
      <w:r w:rsidRPr="00C2208A">
        <w:rPr>
          <w:sz w:val="20"/>
          <w:szCs w:val="20"/>
          <w:lang w:val="en-US"/>
        </w:rPr>
        <w:t>Figure 2 (a) Spectra typical of the sample – dyed cotton fiber fabric</w:t>
      </w:r>
      <w:r w:rsidRPr="00C2208A">
        <w:rPr>
          <w:b w:val="0"/>
          <w:sz w:val="20"/>
          <w:szCs w:val="20"/>
          <w:lang w:val="en-US"/>
        </w:rPr>
        <w:t>. In the spectrum (a), the main peaks characteristic of cellulose were observed: a broad peak in the range of 3300–3500 cm</w:t>
      </w:r>
      <w:r w:rsidRPr="00C2208A">
        <w:rPr>
          <w:rFonts w:ascii="Cambria Math" w:hAnsi="Cambria Math" w:cs="Cambria Math"/>
          <w:b w:val="0"/>
          <w:sz w:val="20"/>
          <w:szCs w:val="20"/>
          <w:lang w:val="en-US"/>
        </w:rPr>
        <w:t>⁻</w:t>
      </w:r>
      <w:r w:rsidRPr="00C2208A">
        <w:rPr>
          <w:b w:val="0"/>
          <w:sz w:val="20"/>
          <w:szCs w:val="20"/>
          <w:lang w:val="en-US"/>
        </w:rPr>
        <w:t>¹ is the stretching vibration of the O–H bonds in cellulose. A peak at ~2900 cm</w:t>
      </w:r>
      <w:r w:rsidRPr="00C2208A">
        <w:rPr>
          <w:rFonts w:ascii="Cambria Math" w:hAnsi="Cambria Math" w:cs="Cambria Math"/>
          <w:b w:val="0"/>
          <w:sz w:val="20"/>
          <w:szCs w:val="20"/>
          <w:lang w:val="en-US"/>
        </w:rPr>
        <w:t>⁻</w:t>
      </w:r>
      <w:r w:rsidRPr="00C2208A">
        <w:rPr>
          <w:b w:val="0"/>
          <w:sz w:val="20"/>
          <w:szCs w:val="20"/>
          <w:lang w:val="en-US"/>
        </w:rPr>
        <w:t>¹ is the vibration of the C–H bond. The range of 1000–1200 cm</w:t>
      </w:r>
      <w:r w:rsidRPr="00C2208A">
        <w:rPr>
          <w:rFonts w:ascii="Cambria Math" w:hAnsi="Cambria Math" w:cs="Cambria Math"/>
          <w:b w:val="0"/>
          <w:sz w:val="20"/>
          <w:szCs w:val="20"/>
          <w:lang w:val="en-US"/>
        </w:rPr>
        <w:t>⁻</w:t>
      </w:r>
      <w:r w:rsidRPr="00C2208A">
        <w:rPr>
          <w:b w:val="0"/>
          <w:sz w:val="20"/>
          <w:szCs w:val="20"/>
          <w:lang w:val="en-US"/>
        </w:rPr>
        <w:t>¹ is the vibrations of the –C–O–C and C–O bonds, which are characteristic of the polysaccharide structure of the cellulose molecule. An intense peak at ~899 cm</w:t>
      </w:r>
      <w:r w:rsidRPr="00C2208A">
        <w:rPr>
          <w:rFonts w:ascii="Cambria Math" w:hAnsi="Cambria Math" w:cs="Cambria Math"/>
          <w:b w:val="0"/>
          <w:sz w:val="20"/>
          <w:szCs w:val="20"/>
          <w:lang w:val="en-US"/>
        </w:rPr>
        <w:t>⁻</w:t>
      </w:r>
      <w:r w:rsidRPr="00C2208A">
        <w:rPr>
          <w:b w:val="0"/>
          <w:sz w:val="20"/>
          <w:szCs w:val="20"/>
          <w:lang w:val="en-US"/>
        </w:rPr>
        <w:t>¹ confirms the presence of a β-glycosidic bond in cellulose. Also, the observation of aromatic ring vibrations of the active dye in the range of 1600–1500 cm</w:t>
      </w:r>
      <w:r w:rsidRPr="00C2208A">
        <w:rPr>
          <w:rFonts w:ascii="Cambria Math" w:hAnsi="Cambria Math" w:cs="Cambria Math"/>
          <w:b w:val="0"/>
          <w:sz w:val="20"/>
          <w:szCs w:val="20"/>
          <w:lang w:val="en-US"/>
        </w:rPr>
        <w:t>⁻</w:t>
      </w:r>
      <w:r w:rsidRPr="00C2208A">
        <w:rPr>
          <w:b w:val="0"/>
          <w:sz w:val="20"/>
          <w:szCs w:val="20"/>
          <w:lang w:val="en-US"/>
        </w:rPr>
        <w:t>¹ indicates the successful attachment of the dye molecules to the fiber.</w:t>
      </w:r>
    </w:p>
    <w:p w14:paraId="1664579E" w14:textId="77777777" w:rsidR="00F01FBA" w:rsidRPr="00C2208A" w:rsidRDefault="00F01FBA" w:rsidP="00F01FBA">
      <w:pPr>
        <w:spacing w:after="0" w:line="240" w:lineRule="auto"/>
        <w:ind w:firstLine="284"/>
        <w:jc w:val="both"/>
        <w:rPr>
          <w:b w:val="0"/>
          <w:sz w:val="20"/>
          <w:szCs w:val="20"/>
          <w:lang w:val="en-US"/>
        </w:rPr>
      </w:pPr>
      <w:r w:rsidRPr="00C2208A">
        <w:rPr>
          <w:sz w:val="20"/>
          <w:szCs w:val="20"/>
          <w:lang w:val="en-US"/>
        </w:rPr>
        <w:t>Figure 2 (b) Spectra typical of sample – dye + flame retardant treated cotton fiber.</w:t>
      </w:r>
      <w:r w:rsidRPr="00C2208A">
        <w:rPr>
          <w:b w:val="0"/>
          <w:sz w:val="20"/>
          <w:szCs w:val="20"/>
          <w:lang w:val="en-US"/>
        </w:rPr>
        <w:t xml:space="preserve"> In spectrum (b), although the above peaks are preserved, a number of new intense peaks have appeared and the existing ones have been significantly enhanced. This indicates that the flame retardant has chemically bonded to the fiber.</w:t>
      </w:r>
    </w:p>
    <w:p w14:paraId="0C347ECF" w14:textId="77777777" w:rsidR="00F01FBA" w:rsidRPr="00C2208A" w:rsidRDefault="00F01FBA" w:rsidP="00F01FBA">
      <w:pPr>
        <w:spacing w:after="0" w:line="240" w:lineRule="auto"/>
        <w:ind w:firstLine="284"/>
        <w:jc w:val="both"/>
        <w:rPr>
          <w:b w:val="0"/>
          <w:sz w:val="20"/>
          <w:szCs w:val="20"/>
          <w:lang w:val="en-US"/>
        </w:rPr>
      </w:pPr>
    </w:p>
    <w:p w14:paraId="53A64691" w14:textId="77777777" w:rsidR="00F33B0B" w:rsidRPr="00C2208A" w:rsidRDefault="00F33B0B" w:rsidP="00F01FBA">
      <w:pPr>
        <w:spacing w:after="0" w:line="240" w:lineRule="auto"/>
        <w:jc w:val="center"/>
        <w:rPr>
          <w:sz w:val="20"/>
          <w:szCs w:val="20"/>
          <w:lang w:val="en-US"/>
        </w:rPr>
      </w:pPr>
      <w:r w:rsidRPr="00C2208A">
        <w:rPr>
          <w:noProof/>
          <w:sz w:val="20"/>
          <w:szCs w:val="20"/>
          <w:lang w:eastAsia="ru-RU"/>
        </w:rPr>
        <w:drawing>
          <wp:inline distT="0" distB="0" distL="0" distR="0" wp14:anchorId="7DA6818F" wp14:editId="4180BB18">
            <wp:extent cx="3903260" cy="2303454"/>
            <wp:effectExtent l="0" t="0" r="2540" b="1905"/>
            <wp:docPr id="4269508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19047" cy="2312770"/>
                    </a:xfrm>
                    <a:prstGeom prst="rect">
                      <a:avLst/>
                    </a:prstGeom>
                    <a:noFill/>
                    <a:ln>
                      <a:noFill/>
                    </a:ln>
                  </pic:spPr>
                </pic:pic>
              </a:graphicData>
            </a:graphic>
          </wp:inline>
        </w:drawing>
      </w:r>
    </w:p>
    <w:p w14:paraId="2CEE10E7" w14:textId="752E4858" w:rsidR="00F33B0B" w:rsidRPr="00F01FBA" w:rsidRDefault="00F01FBA" w:rsidP="005C63B5">
      <w:pPr>
        <w:spacing w:before="120" w:after="120" w:line="240" w:lineRule="auto"/>
        <w:jc w:val="center"/>
        <w:rPr>
          <w:b w:val="0"/>
          <w:sz w:val="18"/>
          <w:szCs w:val="20"/>
          <w:lang w:val="en-US"/>
        </w:rPr>
      </w:pPr>
      <w:r w:rsidRPr="00F01FBA">
        <w:rPr>
          <w:sz w:val="18"/>
          <w:szCs w:val="20"/>
          <w:lang w:val="en-US"/>
        </w:rPr>
        <w:t xml:space="preserve">FIGURE </w:t>
      </w:r>
      <w:r w:rsidR="00F33B0B" w:rsidRPr="00F01FBA">
        <w:rPr>
          <w:sz w:val="18"/>
          <w:szCs w:val="20"/>
          <w:lang w:val="en-US"/>
        </w:rPr>
        <w:t>2.</w:t>
      </w:r>
      <w:r w:rsidR="00F33B0B" w:rsidRPr="00F01FBA">
        <w:rPr>
          <w:b w:val="0"/>
          <w:sz w:val="18"/>
          <w:szCs w:val="20"/>
          <w:lang w:val="en-US"/>
        </w:rPr>
        <w:t xml:space="preserve"> I</w:t>
      </w:r>
      <w:r w:rsidR="00307BC6" w:rsidRPr="00F01FBA">
        <w:rPr>
          <w:b w:val="0"/>
          <w:sz w:val="18"/>
          <w:szCs w:val="20"/>
          <w:lang w:val="en-US"/>
        </w:rPr>
        <w:t>Q</w:t>
      </w:r>
      <w:r w:rsidR="00F33B0B" w:rsidRPr="00F01FBA">
        <w:rPr>
          <w:b w:val="0"/>
          <w:sz w:val="18"/>
          <w:szCs w:val="20"/>
          <w:lang w:val="en-US"/>
        </w:rPr>
        <w:t xml:space="preserve"> spectra of the samples. a) Sample 1 was dyed with a continuous active dye, b) Sample 3 was dyed with a continuous active dye and treated with a flame retardant solution.</w:t>
      </w:r>
    </w:p>
    <w:p w14:paraId="64D28F1C" w14:textId="77777777" w:rsidR="000B585F" w:rsidRPr="00C2208A" w:rsidRDefault="000B585F" w:rsidP="00F01FBA">
      <w:pPr>
        <w:spacing w:after="0" w:line="240" w:lineRule="auto"/>
        <w:ind w:firstLine="284"/>
        <w:jc w:val="both"/>
        <w:rPr>
          <w:b w:val="0"/>
          <w:sz w:val="20"/>
          <w:szCs w:val="20"/>
          <w:lang w:val="en-US"/>
        </w:rPr>
      </w:pPr>
      <w:r w:rsidRPr="00C2208A">
        <w:rPr>
          <w:b w:val="0"/>
          <w:sz w:val="20"/>
          <w:szCs w:val="20"/>
          <w:lang w:val="en-US"/>
        </w:rPr>
        <w:t>Main changes: The range of 3300–3500 cm</w:t>
      </w:r>
      <w:r w:rsidRPr="00C2208A">
        <w:rPr>
          <w:rFonts w:ascii="Cambria Math" w:hAnsi="Cambria Math" w:cs="Cambria Math"/>
          <w:b w:val="0"/>
          <w:sz w:val="20"/>
          <w:szCs w:val="20"/>
          <w:lang w:val="en-US"/>
        </w:rPr>
        <w:t>⁻</w:t>
      </w:r>
      <w:r w:rsidRPr="00C2208A">
        <w:rPr>
          <w:b w:val="0"/>
          <w:sz w:val="20"/>
          <w:szCs w:val="20"/>
          <w:lang w:val="en-US"/>
        </w:rPr>
        <w:t>¹ has expanded. This is due to the additional hydroxyl or phosphorus groups in the flame retardant. A strong peak around 1660–1670 cm</w:t>
      </w:r>
      <w:r w:rsidRPr="00C2208A">
        <w:rPr>
          <w:rFonts w:ascii="Cambria Math" w:hAnsi="Cambria Math" w:cs="Cambria Math"/>
          <w:b w:val="0"/>
          <w:sz w:val="20"/>
          <w:szCs w:val="20"/>
          <w:lang w:val="en-US"/>
        </w:rPr>
        <w:t>⁻</w:t>
      </w:r>
      <w:r w:rsidRPr="00C2208A">
        <w:rPr>
          <w:b w:val="0"/>
          <w:sz w:val="20"/>
          <w:szCs w:val="20"/>
          <w:lang w:val="en-US"/>
        </w:rPr>
        <w:t>¹. This region corresponds to the vibration of the P=O bond. This peak is clearly visible when using phosphorus flame retardants. Setaflam PNF is a phosphorus (p), nitrogen N-containing, halogen-free flame retardant. It is chemically and physically bonded to cellulose. Therefore, new P-O-C, P=O, P-O-H, N-H vibrations have appeared in the FTIR spectrum. This is explained by the intense peaks in the range of 1200–1000 cm</w:t>
      </w:r>
      <w:r w:rsidRPr="00C2208A">
        <w:rPr>
          <w:rFonts w:ascii="Cambria Math" w:hAnsi="Cambria Math" w:cs="Cambria Math"/>
          <w:b w:val="0"/>
          <w:sz w:val="20"/>
          <w:szCs w:val="20"/>
          <w:lang w:val="en-US"/>
        </w:rPr>
        <w:t>⁻</w:t>
      </w:r>
      <w:r w:rsidRPr="00C2208A">
        <w:rPr>
          <w:b w:val="0"/>
          <w:sz w:val="20"/>
          <w:szCs w:val="20"/>
          <w:lang w:val="en-US"/>
        </w:rPr>
        <w:t>¹. Vibrations of the P–O–C, P–O, P=O and N-H bonds are observed in this region. The increase in the peaks indicates that the flame retardant is bound to cellulose through covalent or hydrogen bonds. The decrease in the peak at 899–903 cm</w:t>
      </w:r>
      <w:r w:rsidRPr="00C2208A">
        <w:rPr>
          <w:rFonts w:ascii="Cambria Math" w:hAnsi="Cambria Math" w:cs="Cambria Math"/>
          <w:b w:val="0"/>
          <w:sz w:val="20"/>
          <w:szCs w:val="20"/>
          <w:lang w:val="en-US"/>
        </w:rPr>
        <w:t>⁻</w:t>
      </w:r>
      <w:r w:rsidRPr="00C2208A">
        <w:rPr>
          <w:b w:val="0"/>
          <w:sz w:val="20"/>
          <w:szCs w:val="20"/>
          <w:lang w:val="en-US"/>
        </w:rPr>
        <w:t>¹ indicates that the β-glycosidic bonds of cellulose have been partially changed. This is explained by the fact that the flame retardant has reacted with some parts of the cellulose chain. The appearance of new phosphorus vibrational peaks in the flame retardant-treated sample, as well as the decrease in the intensity of some chemical bonds of cellulose, indicates that a chemical interaction has occurred between the flame retardant and cellulose. Also, the aromatic dye peaks are preserved, indicating that the flame retardant has not damaged the dyed fiber.</w:t>
      </w:r>
    </w:p>
    <w:p w14:paraId="7CC8FF4F" w14:textId="77777777" w:rsidR="00065767" w:rsidRPr="00C2208A" w:rsidRDefault="00065767" w:rsidP="00F01FBA">
      <w:pPr>
        <w:spacing w:after="0" w:line="240" w:lineRule="auto"/>
        <w:ind w:firstLine="284"/>
        <w:jc w:val="both"/>
        <w:rPr>
          <w:b w:val="0"/>
          <w:sz w:val="20"/>
          <w:szCs w:val="20"/>
          <w:lang w:val="en-US"/>
        </w:rPr>
      </w:pPr>
      <w:r w:rsidRPr="00C2208A">
        <w:rPr>
          <w:b w:val="0"/>
          <w:sz w:val="20"/>
          <w:szCs w:val="20"/>
          <w:lang w:val="en-US"/>
        </w:rPr>
        <w:t>Phosphorus-nitrogen compounds (PNF) are used as fire retardants that are part of polymeric materials. The substances that make up PNF are ammonium phosphates, which react with the materials to form a layer. This layer protects the surface of the material from fire. PNF-based fire retardants are very effective because they have a mechanism to stop the fire and prevent the material from burning. PNF (phosphorus-nitrogen compounds) are added to polymeric materials. During the combustion process, they react with each other to form a layer on the surface of the material. The resulting layer protects against fire and prevents the material from burning. This layer reduces thermal conductivity and prevents the material from decomposing. The mechanism of stopping the combustion process occurs by stopping combustion reactions in the gas phase by forming non-combustible NH3 gas.</w:t>
      </w:r>
    </w:p>
    <w:p w14:paraId="45F7673F" w14:textId="20BE748E" w:rsidR="00065767" w:rsidRPr="00C2208A" w:rsidRDefault="00C2208A" w:rsidP="00C2208A">
      <w:pPr>
        <w:spacing w:before="240" w:after="240" w:line="240" w:lineRule="auto"/>
        <w:jc w:val="center"/>
        <w:rPr>
          <w:iCs/>
          <w:sz w:val="24"/>
          <w:szCs w:val="20"/>
          <w:lang w:val="en-US"/>
        </w:rPr>
      </w:pPr>
      <w:r w:rsidRPr="00C2208A">
        <w:rPr>
          <w:iCs/>
          <w:sz w:val="24"/>
          <w:szCs w:val="20"/>
          <w:lang w:val="en-US"/>
        </w:rPr>
        <w:t>CONCLUSION</w:t>
      </w:r>
    </w:p>
    <w:p w14:paraId="3F40A4F1" w14:textId="77777777" w:rsidR="00065767" w:rsidRPr="00C2208A" w:rsidRDefault="00065767" w:rsidP="00F01FBA">
      <w:pPr>
        <w:spacing w:after="0" w:line="240" w:lineRule="auto"/>
        <w:ind w:firstLine="284"/>
        <w:jc w:val="both"/>
        <w:rPr>
          <w:b w:val="0"/>
          <w:sz w:val="20"/>
          <w:szCs w:val="20"/>
          <w:lang w:val="en-US"/>
        </w:rPr>
      </w:pPr>
      <w:r w:rsidRPr="00C2208A">
        <w:rPr>
          <w:b w:val="0"/>
          <w:sz w:val="20"/>
          <w:szCs w:val="20"/>
          <w:lang w:val="en-US"/>
        </w:rPr>
        <w:t>The experiments show that the flame resistance of cotton fabric treated with flame retardant was 2.5 cm and 5 cm after washing. This indicates an increase in fire resistance and meets the requirements of GOST. However, this process had a certain effect on the dyeing process. Scientific studies show that the active groups (–NH</w:t>
      </w:r>
      <w:r w:rsidRPr="00C2208A">
        <w:rPr>
          <w:rFonts w:ascii="Cambria Math" w:hAnsi="Cambria Math" w:cs="Cambria Math"/>
          <w:b w:val="0"/>
          <w:sz w:val="20"/>
          <w:szCs w:val="20"/>
          <w:lang w:val="en-US"/>
        </w:rPr>
        <w:t>₂</w:t>
      </w:r>
      <w:r w:rsidRPr="00C2208A">
        <w:rPr>
          <w:b w:val="0"/>
          <w:sz w:val="20"/>
          <w:szCs w:val="20"/>
          <w:lang w:val="en-US"/>
        </w:rPr>
        <w:t>, –PO</w:t>
      </w:r>
      <w:r w:rsidRPr="00C2208A">
        <w:rPr>
          <w:rFonts w:ascii="Cambria Math" w:hAnsi="Cambria Math" w:cs="Cambria Math"/>
          <w:b w:val="0"/>
          <w:sz w:val="20"/>
          <w:szCs w:val="20"/>
          <w:lang w:val="en-US"/>
        </w:rPr>
        <w:t>₄</w:t>
      </w:r>
      <w:r w:rsidRPr="00C2208A">
        <w:rPr>
          <w:b w:val="0"/>
          <w:sz w:val="20"/>
          <w:szCs w:val="20"/>
          <w:lang w:val="en-US"/>
        </w:rPr>
        <w:t>, –OH) in the dyestuff and flame retardant interacted with each other chemically. As a result: The color of the fabric becomes dull, but the FTIR analysis showed that the aromatic ring vibrations of the active dye in the range of 1600–1500 cm</w:t>
      </w:r>
      <w:r w:rsidRPr="00C2208A">
        <w:rPr>
          <w:rFonts w:ascii="Cambria Math" w:hAnsi="Cambria Math" w:cs="Cambria Math"/>
          <w:b w:val="0"/>
          <w:sz w:val="20"/>
          <w:szCs w:val="20"/>
          <w:lang w:val="en-US"/>
        </w:rPr>
        <w:t>⁻</w:t>
      </w:r>
      <w:r w:rsidRPr="00C2208A">
        <w:rPr>
          <w:b w:val="0"/>
          <w:sz w:val="20"/>
          <w:szCs w:val="20"/>
          <w:lang w:val="en-US"/>
        </w:rPr>
        <w:t>¹ indicated the successful binding of the dye molecules to the fiber. Also, the fact that the aromatic dye peaks were preserved after treatment with flame retardant indicates that the flame retardant did not damage the dyed fiber. The active coloring agent can be used together with Setaflan PNF flame retardant. This can prevent problems such as paint failure, uneven coloration, and reduced adhesion.</w:t>
      </w:r>
    </w:p>
    <w:p w14:paraId="2E048F36" w14:textId="77777777" w:rsidR="00065767" w:rsidRPr="00C2208A" w:rsidRDefault="0089147D" w:rsidP="00F01FBA">
      <w:pPr>
        <w:spacing w:after="0" w:line="240" w:lineRule="auto"/>
        <w:ind w:firstLine="284"/>
        <w:jc w:val="both"/>
        <w:rPr>
          <w:b w:val="0"/>
          <w:sz w:val="20"/>
          <w:szCs w:val="20"/>
          <w:lang w:val="en-US"/>
        </w:rPr>
      </w:pPr>
      <w:r w:rsidRPr="00C2208A">
        <w:rPr>
          <w:b w:val="0"/>
          <w:sz w:val="20"/>
          <w:szCs w:val="20"/>
          <w:lang w:val="en-US"/>
        </w:rPr>
        <w:t>When an ammonium phosphate-based flame retardant was applied to cotton fabric dyed with an active dye, the flame resistance of the samples increased and the color intensity decreased. However, the dye and the part of the antiperine attached to the fiber remained.</w:t>
      </w:r>
    </w:p>
    <w:p w14:paraId="3DF1EAD0" w14:textId="60BF247F" w:rsidR="00484C60" w:rsidRPr="00C2208A" w:rsidRDefault="00C2208A" w:rsidP="00C2208A">
      <w:pPr>
        <w:spacing w:before="240" w:after="240" w:line="240" w:lineRule="auto"/>
        <w:jc w:val="center"/>
        <w:rPr>
          <w:iCs/>
          <w:sz w:val="24"/>
          <w:szCs w:val="20"/>
          <w:lang w:val="en-US"/>
        </w:rPr>
      </w:pPr>
      <w:r w:rsidRPr="00C2208A">
        <w:rPr>
          <w:iCs/>
          <w:sz w:val="24"/>
          <w:szCs w:val="20"/>
          <w:lang w:val="en-US"/>
        </w:rPr>
        <w:t>REFERENCES</w:t>
      </w:r>
    </w:p>
    <w:p w14:paraId="20C89615" w14:textId="5C3E0B3E"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Abou-Okeil, A., El-Sawy, S., &amp; Abdel-Mohdy, F. (2012). Flame retardant cotton fabrics treated with organophosphorus polymer. Carbohydrate Polymers, 92(2), 2293–2298. </w:t>
      </w:r>
      <w:hyperlink r:id="rId14" w:history="1">
        <w:r w:rsidRPr="000010E0">
          <w:rPr>
            <w:rStyle w:val="a7"/>
            <w:b w:val="0"/>
            <w:color w:val="000000" w:themeColor="text1"/>
            <w:sz w:val="20"/>
            <w:szCs w:val="20"/>
            <w:u w:val="none"/>
            <w:lang w:val="en-US"/>
          </w:rPr>
          <w:t>https://doi.org/10.1016/j.carbpol.2012.12.008</w:t>
        </w:r>
      </w:hyperlink>
      <w:r w:rsidRPr="000010E0">
        <w:rPr>
          <w:b w:val="0"/>
          <w:color w:val="000000" w:themeColor="text1"/>
          <w:sz w:val="20"/>
          <w:szCs w:val="20"/>
          <w:lang w:val="en-US"/>
        </w:rPr>
        <w:t xml:space="preserve"> </w:t>
      </w:r>
    </w:p>
    <w:p w14:paraId="4A32609F" w14:textId="6C085202"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Cheng XW, Guan JP, Yang XH et al (2019) A bio-resourced phytic acid/chitosan polyelectrolyte complex for the flame retardant treatment of wool fabric. J Clean Prod 223:342–349. </w:t>
      </w:r>
      <w:hyperlink r:id="rId15" w:history="1">
        <w:r w:rsidRPr="000010E0">
          <w:rPr>
            <w:rStyle w:val="a7"/>
            <w:b w:val="0"/>
            <w:color w:val="000000" w:themeColor="text1"/>
            <w:sz w:val="20"/>
            <w:szCs w:val="20"/>
            <w:u w:val="none"/>
            <w:lang w:val="en-US"/>
          </w:rPr>
          <w:t>https://doi.org/10.1016/j.jclepro.2019.03.157</w:t>
        </w:r>
      </w:hyperlink>
      <w:r w:rsidRPr="000010E0">
        <w:rPr>
          <w:b w:val="0"/>
          <w:color w:val="000000" w:themeColor="text1"/>
          <w:sz w:val="20"/>
          <w:szCs w:val="20"/>
          <w:lang w:val="en-US"/>
        </w:rPr>
        <w:t xml:space="preserve"> </w:t>
      </w:r>
    </w:p>
    <w:p w14:paraId="09B1880F" w14:textId="310F08D5"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Carosio F, Fontaine G, Alongi J, Bourbigot S (2015) Starch-based layer by layer assembly: efficient and sustainable approach to cotton fire protection. ACS Appl Mater Interfaces 7:12158–12167. </w:t>
      </w:r>
      <w:hyperlink r:id="rId16" w:history="1">
        <w:r w:rsidRPr="000010E0">
          <w:rPr>
            <w:rStyle w:val="a7"/>
            <w:b w:val="0"/>
            <w:color w:val="000000" w:themeColor="text1"/>
            <w:sz w:val="20"/>
            <w:szCs w:val="20"/>
            <w:u w:val="none"/>
            <w:lang w:val="en-US"/>
          </w:rPr>
          <w:t>https://doi.org/10.1021/acsami.5b02507</w:t>
        </w:r>
      </w:hyperlink>
      <w:r w:rsidRPr="000010E0">
        <w:rPr>
          <w:b w:val="0"/>
          <w:color w:val="000000" w:themeColor="text1"/>
          <w:sz w:val="20"/>
          <w:szCs w:val="20"/>
          <w:lang w:val="en-US"/>
        </w:rPr>
        <w:t xml:space="preserve"> </w:t>
      </w:r>
    </w:p>
    <w:p w14:paraId="7ABD682F" w14:textId="2A72B9F8"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Carosio F, Di Blasio A, Alongi J, Malucelli G (2013) Green DNA-based flame retardant coatings assembled through layer by layer. Polymer (guildf) 54:5148–5153. </w:t>
      </w:r>
      <w:hyperlink r:id="rId17" w:history="1">
        <w:r w:rsidRPr="000010E0">
          <w:rPr>
            <w:rStyle w:val="a7"/>
            <w:b w:val="0"/>
            <w:color w:val="000000" w:themeColor="text1"/>
            <w:sz w:val="20"/>
            <w:szCs w:val="20"/>
            <w:u w:val="none"/>
            <w:lang w:val="en-US"/>
          </w:rPr>
          <w:t>https://doi.org/10.1016/j.polymer.2013.07.029</w:t>
        </w:r>
      </w:hyperlink>
      <w:r w:rsidRPr="000010E0">
        <w:rPr>
          <w:b w:val="0"/>
          <w:color w:val="000000" w:themeColor="text1"/>
          <w:sz w:val="20"/>
          <w:szCs w:val="20"/>
          <w:lang w:val="en-US"/>
        </w:rPr>
        <w:t xml:space="preserve"> </w:t>
      </w:r>
    </w:p>
    <w:p w14:paraId="4F52D0E1" w14:textId="242013E6"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Braun U, Bahr H, Sturm H, Schartel B (2008) Flame retardancy mechanisms of metal phosphinates and metal phosphinates in combination with melamine cyanurate in glass-fiber reinforced poly (1, 4-butylene terephthalate ): the influence of metal cation. Polym Adv Technol. </w:t>
      </w:r>
      <w:hyperlink r:id="rId18" w:history="1">
        <w:r w:rsidRPr="000010E0">
          <w:rPr>
            <w:rStyle w:val="a7"/>
            <w:b w:val="0"/>
            <w:color w:val="000000" w:themeColor="text1"/>
            <w:sz w:val="20"/>
            <w:szCs w:val="20"/>
            <w:u w:val="none"/>
            <w:lang w:val="en-US"/>
          </w:rPr>
          <w:t>https://doi.org/10.1002/pat.1147</w:t>
        </w:r>
      </w:hyperlink>
      <w:r w:rsidRPr="000010E0">
        <w:rPr>
          <w:b w:val="0"/>
          <w:color w:val="000000" w:themeColor="text1"/>
          <w:sz w:val="20"/>
          <w:szCs w:val="20"/>
          <w:lang w:val="en-US"/>
        </w:rPr>
        <w:t xml:space="preserve"> </w:t>
      </w:r>
    </w:p>
    <w:p w14:paraId="372420AE" w14:textId="7691D781"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Xu, F., Zhong, L., Xu, Y. et al. Highly efficient flame-retardant and soft cotton fabric prepared by a novel reactive flame retardant. Cellulose 26, 4225–4240 (2019). </w:t>
      </w:r>
      <w:hyperlink r:id="rId19" w:history="1">
        <w:r w:rsidRPr="000010E0">
          <w:rPr>
            <w:rStyle w:val="a7"/>
            <w:b w:val="0"/>
            <w:color w:val="000000" w:themeColor="text1"/>
            <w:sz w:val="20"/>
            <w:szCs w:val="20"/>
            <w:u w:val="none"/>
            <w:lang w:val="en-US"/>
          </w:rPr>
          <w:t>https://doi.org/10.1007/s10570-019-02374-4</w:t>
        </w:r>
      </w:hyperlink>
      <w:r w:rsidRPr="000010E0">
        <w:rPr>
          <w:b w:val="0"/>
          <w:color w:val="000000" w:themeColor="text1"/>
          <w:sz w:val="20"/>
          <w:szCs w:val="20"/>
          <w:lang w:val="en-US"/>
        </w:rPr>
        <w:t xml:space="preserve"> </w:t>
      </w:r>
    </w:p>
    <w:p w14:paraId="00067DFE" w14:textId="03EF3481"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Bergbreiter DE, Tao G, Franchina JG, Sussman L (2001) Polyvalent hydrogen-bonding functionalization of ultrathin hyperbranched films on polyethylene and gold. Macromolecules 34:3018–3023. </w:t>
      </w:r>
      <w:hyperlink r:id="rId20" w:history="1">
        <w:r w:rsidRPr="000010E0">
          <w:rPr>
            <w:rStyle w:val="a7"/>
            <w:b w:val="0"/>
            <w:color w:val="000000" w:themeColor="text1"/>
            <w:sz w:val="20"/>
            <w:szCs w:val="20"/>
            <w:u w:val="none"/>
            <w:lang w:val="en-US"/>
          </w:rPr>
          <w:t>https://doi.org/10.1021/ma000873d</w:t>
        </w:r>
      </w:hyperlink>
      <w:r w:rsidRPr="000010E0">
        <w:rPr>
          <w:b w:val="0"/>
          <w:color w:val="000000" w:themeColor="text1"/>
          <w:sz w:val="20"/>
          <w:szCs w:val="20"/>
          <w:lang w:val="en-US"/>
        </w:rPr>
        <w:t xml:space="preserve"> </w:t>
      </w:r>
    </w:p>
    <w:p w14:paraId="141C3764" w14:textId="4D56CF5D"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Annalisa C, Francesca B, Giulio M et al (2016) DNA-chitosan crosslinking and photografting to cotton fabrics to improve washing fastness of the fire-resistant finishing. Cellulose 23:3963–3984. </w:t>
      </w:r>
      <w:hyperlink r:id="rId21" w:history="1">
        <w:r w:rsidRPr="000010E0">
          <w:rPr>
            <w:rStyle w:val="a7"/>
            <w:b w:val="0"/>
            <w:color w:val="000000" w:themeColor="text1"/>
            <w:sz w:val="20"/>
            <w:szCs w:val="20"/>
            <w:u w:val="none"/>
            <w:lang w:val="en-US"/>
          </w:rPr>
          <w:t>https://doi.org/10.1007/s10570-016-1067-y</w:t>
        </w:r>
      </w:hyperlink>
      <w:r w:rsidRPr="000010E0">
        <w:rPr>
          <w:b w:val="0"/>
          <w:color w:val="000000" w:themeColor="text1"/>
          <w:sz w:val="20"/>
          <w:szCs w:val="20"/>
          <w:lang w:val="en-US"/>
        </w:rPr>
        <w:t xml:space="preserve"> </w:t>
      </w:r>
    </w:p>
    <w:p w14:paraId="165E0731" w14:textId="1CBC5BD0" w:rsidR="00421F94"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Korabayev, S., Ergashev, O., Mahsudov, S. A., &amp; Mamatova, S. (2024). Exploring common technical issues in modern technology. BIO Web of Conferences, 145, 03016. </w:t>
      </w:r>
      <w:hyperlink r:id="rId22" w:history="1">
        <w:r w:rsidRPr="000010E0">
          <w:rPr>
            <w:rStyle w:val="a7"/>
            <w:b w:val="0"/>
            <w:color w:val="000000" w:themeColor="text1"/>
            <w:sz w:val="20"/>
            <w:szCs w:val="20"/>
            <w:u w:val="none"/>
            <w:lang w:val="en-US"/>
          </w:rPr>
          <w:t>https://doi.org/10.1051/bioconf/202414503016</w:t>
        </w:r>
      </w:hyperlink>
      <w:r w:rsidRPr="000010E0">
        <w:rPr>
          <w:b w:val="0"/>
          <w:color w:val="000000" w:themeColor="text1"/>
          <w:sz w:val="20"/>
          <w:szCs w:val="20"/>
          <w:lang w:val="en-US"/>
        </w:rPr>
        <w:t xml:space="preserve"> </w:t>
      </w:r>
    </w:p>
    <w:p w14:paraId="1985C110" w14:textId="2235786C"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Alongi J, Carletto RA, Bosco F et al (2014) Caseins and hydrophobins as novel green flame retardants for cotton fabrics. Polym Degrad Stab 99:111–117. </w:t>
      </w:r>
      <w:hyperlink r:id="rId23" w:history="1">
        <w:r w:rsidRPr="000010E0">
          <w:rPr>
            <w:rStyle w:val="a7"/>
            <w:b w:val="0"/>
            <w:color w:val="000000" w:themeColor="text1"/>
            <w:sz w:val="20"/>
            <w:szCs w:val="20"/>
            <w:u w:val="none"/>
            <w:lang w:val="en-US"/>
          </w:rPr>
          <w:t>https://doi.org/10.1016/j.polymdegradstab.2013.11.016</w:t>
        </w:r>
      </w:hyperlink>
      <w:r w:rsidRPr="000010E0">
        <w:rPr>
          <w:b w:val="0"/>
          <w:color w:val="000000" w:themeColor="text1"/>
          <w:sz w:val="20"/>
          <w:szCs w:val="20"/>
          <w:lang w:val="en-US"/>
        </w:rPr>
        <w:t xml:space="preserve"> </w:t>
      </w:r>
    </w:p>
    <w:p w14:paraId="3B4C39C1" w14:textId="20BAF5EA" w:rsidR="00484C60"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Abou-Okeil A, El-Sawy SM, Abdel-Mohdy FA (2013) Flame retardant cotton fabrics treated with organophosphorus polymer. Carbohydr Polym 92:2293–2298. </w:t>
      </w:r>
      <w:hyperlink r:id="rId24" w:history="1">
        <w:r w:rsidRPr="000010E0">
          <w:rPr>
            <w:rStyle w:val="a7"/>
            <w:b w:val="0"/>
            <w:color w:val="000000" w:themeColor="text1"/>
            <w:sz w:val="20"/>
            <w:szCs w:val="20"/>
            <w:u w:val="none"/>
            <w:lang w:val="en-US"/>
          </w:rPr>
          <w:t>https://doi.org/10.1016/j.carbpol.2012.12.008</w:t>
        </w:r>
      </w:hyperlink>
      <w:r w:rsidRPr="000010E0">
        <w:rPr>
          <w:b w:val="0"/>
          <w:color w:val="000000" w:themeColor="text1"/>
          <w:sz w:val="20"/>
          <w:szCs w:val="20"/>
          <w:lang w:val="en-US"/>
        </w:rPr>
        <w:t xml:space="preserve"> </w:t>
      </w:r>
    </w:p>
    <w:p w14:paraId="54E8D41B" w14:textId="28753B25" w:rsidR="00421F94" w:rsidRPr="000010E0" w:rsidRDefault="00421F94" w:rsidP="00421F94">
      <w:pPr>
        <w:pStyle w:val="a6"/>
        <w:numPr>
          <w:ilvl w:val="0"/>
          <w:numId w:val="2"/>
        </w:numPr>
        <w:spacing w:line="240" w:lineRule="auto"/>
        <w:ind w:left="426" w:hanging="426"/>
        <w:rPr>
          <w:b w:val="0"/>
          <w:color w:val="000000" w:themeColor="text1"/>
          <w:sz w:val="20"/>
          <w:szCs w:val="20"/>
          <w:lang w:val="en-US"/>
        </w:rPr>
      </w:pPr>
      <w:r w:rsidRPr="000010E0">
        <w:rPr>
          <w:b w:val="0"/>
          <w:color w:val="000000" w:themeColor="text1"/>
          <w:sz w:val="20"/>
          <w:szCs w:val="20"/>
          <w:lang w:val="en-US"/>
        </w:rPr>
        <w:t xml:space="preserve">Hassan, H., Ur Rehman, Z., &amp; Koo, B. H. (2024). Eco-Friendly Fire-Retardant Coating on Cotton Using Layer by Layer Deposition Technique. Molecules, 29(24), 5976. </w:t>
      </w:r>
      <w:hyperlink r:id="rId25" w:history="1">
        <w:r w:rsidRPr="000010E0">
          <w:rPr>
            <w:rStyle w:val="a7"/>
            <w:b w:val="0"/>
            <w:color w:val="000000" w:themeColor="text1"/>
            <w:sz w:val="20"/>
            <w:szCs w:val="20"/>
            <w:u w:val="none"/>
            <w:lang w:val="en-US"/>
          </w:rPr>
          <w:t>https://doi.org/10.3390/molecules29245976</w:t>
        </w:r>
      </w:hyperlink>
      <w:r w:rsidRPr="000010E0">
        <w:rPr>
          <w:b w:val="0"/>
          <w:color w:val="000000" w:themeColor="text1"/>
          <w:sz w:val="20"/>
          <w:szCs w:val="20"/>
          <w:lang w:val="en-US"/>
        </w:rPr>
        <w:t xml:space="preserve"> </w:t>
      </w:r>
    </w:p>
    <w:p w14:paraId="31FFE74F" w14:textId="77777777" w:rsidR="00421F94" w:rsidRPr="000010E0" w:rsidRDefault="00421F94"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Fu, C., Xu, X., Yin, G., Xu, B., Li, P., Ai, B., Zhai, Z., Gao, F., Zhai, J., &amp; Wang, D. (2022). Surface engineering for cellulose as a boosted Layer-by-Layer assembly: Excellent flame retardancy and improved durability with introduction of bio-based “molecular glue.” Applied Surface Science, 585, 152550. </w:t>
      </w:r>
      <w:hyperlink r:id="rId26" w:history="1">
        <w:r w:rsidRPr="000010E0">
          <w:rPr>
            <w:rStyle w:val="a7"/>
            <w:b w:val="0"/>
            <w:color w:val="000000" w:themeColor="text1"/>
            <w:sz w:val="20"/>
            <w:szCs w:val="20"/>
            <w:u w:val="none"/>
            <w:lang w:val="en-US"/>
          </w:rPr>
          <w:t>https://doi.org/10.1016/j.apsusc.2022.152550</w:t>
        </w:r>
      </w:hyperlink>
      <w:r w:rsidRPr="000010E0">
        <w:rPr>
          <w:b w:val="0"/>
          <w:color w:val="000000" w:themeColor="text1"/>
          <w:sz w:val="20"/>
          <w:szCs w:val="20"/>
          <w:lang w:val="en-US"/>
        </w:rPr>
        <w:t xml:space="preserve"> </w:t>
      </w:r>
    </w:p>
    <w:p w14:paraId="0D77F0A0" w14:textId="77777777" w:rsidR="00421F94" w:rsidRPr="000010E0" w:rsidRDefault="005C63B5"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He, P., Dong, C., Chen, X., Wang, P., Lu, Z., Jiang, Z., Liu, Y., &amp; Zhu, P. (2020). Flame retardant finishing and dyeing of cotton fabric in one bath. AATCC Journal of Research, 7(4), 9–14. </w:t>
      </w:r>
      <w:hyperlink r:id="rId27" w:history="1">
        <w:r w:rsidRPr="000010E0">
          <w:rPr>
            <w:rStyle w:val="a7"/>
            <w:b w:val="0"/>
            <w:color w:val="000000" w:themeColor="text1"/>
            <w:sz w:val="20"/>
            <w:szCs w:val="20"/>
            <w:u w:val="none"/>
            <w:lang w:val="en-US"/>
          </w:rPr>
          <w:t>https://doi.org/10.14504/ajr.7.4.2</w:t>
        </w:r>
      </w:hyperlink>
    </w:p>
    <w:p w14:paraId="1397239E" w14:textId="30AA39CB" w:rsidR="005C63B5" w:rsidRPr="000010E0" w:rsidRDefault="005C63B5" w:rsidP="00421F94">
      <w:pPr>
        <w:pStyle w:val="a6"/>
        <w:numPr>
          <w:ilvl w:val="0"/>
          <w:numId w:val="2"/>
        </w:numPr>
        <w:spacing w:after="0" w:line="240" w:lineRule="auto"/>
        <w:ind w:left="426" w:hanging="426"/>
        <w:jc w:val="both"/>
        <w:rPr>
          <w:b w:val="0"/>
          <w:color w:val="000000" w:themeColor="text1"/>
          <w:sz w:val="20"/>
          <w:szCs w:val="20"/>
          <w:lang w:val="en-US"/>
        </w:rPr>
      </w:pPr>
      <w:r w:rsidRPr="000010E0">
        <w:rPr>
          <w:b w:val="0"/>
          <w:color w:val="000000" w:themeColor="text1"/>
          <w:sz w:val="20"/>
          <w:szCs w:val="20"/>
          <w:lang w:val="en-US"/>
        </w:rPr>
        <w:t xml:space="preserve">Liu, Y., Zhao, W., Yu, X., Zhang, J., Ren, Y., Liu, X., Qu, H., &amp; Wang, J. (2022). Preparation of dyeing, flame retardant and anti-dripping polyethylene terephthalate fibers based on natural sodium copper chlorophyll dyeing and intercalation of phosphorylated sucrose fatty acid ester. Composites Part B Engineering, 245, 110194. </w:t>
      </w:r>
      <w:hyperlink r:id="rId28" w:history="1">
        <w:r w:rsidRPr="000010E0">
          <w:rPr>
            <w:rStyle w:val="a7"/>
            <w:b w:val="0"/>
            <w:color w:val="000000" w:themeColor="text1"/>
            <w:sz w:val="20"/>
            <w:szCs w:val="20"/>
            <w:u w:val="none"/>
            <w:lang w:val="en-US"/>
          </w:rPr>
          <w:t>https://doi.org/10.1016/j.compositesb.2022.110194</w:t>
        </w:r>
      </w:hyperlink>
      <w:r w:rsidRPr="000010E0">
        <w:rPr>
          <w:b w:val="0"/>
          <w:color w:val="000000" w:themeColor="text1"/>
          <w:sz w:val="20"/>
          <w:szCs w:val="20"/>
          <w:lang w:val="en-US"/>
        </w:rPr>
        <w:t xml:space="preserve"> </w:t>
      </w:r>
    </w:p>
    <w:sectPr w:rsidR="005C63B5" w:rsidRPr="000010E0" w:rsidSect="00211220">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031B"/>
    <w:multiLevelType w:val="hybridMultilevel"/>
    <w:tmpl w:val="1BF2973E"/>
    <w:lvl w:ilvl="0" w:tplc="FD8476C0">
      <w:start w:val="1"/>
      <w:numFmt w:val="decimal"/>
      <w:lvlText w:val="%1."/>
      <w:lvlJc w:val="left"/>
      <w:pPr>
        <w:ind w:left="1623" w:hanging="91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78702BCF"/>
    <w:multiLevelType w:val="hybridMultilevel"/>
    <w:tmpl w:val="A8C63B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C2D"/>
    <w:rsid w:val="000010E0"/>
    <w:rsid w:val="00065767"/>
    <w:rsid w:val="000B585F"/>
    <w:rsid w:val="00114C51"/>
    <w:rsid w:val="001C12C1"/>
    <w:rsid w:val="00211220"/>
    <w:rsid w:val="002472F8"/>
    <w:rsid w:val="00307BC6"/>
    <w:rsid w:val="00421F94"/>
    <w:rsid w:val="00484C60"/>
    <w:rsid w:val="004B0BE6"/>
    <w:rsid w:val="005C20C8"/>
    <w:rsid w:val="005C63B5"/>
    <w:rsid w:val="0060417D"/>
    <w:rsid w:val="00672713"/>
    <w:rsid w:val="00672BBA"/>
    <w:rsid w:val="00686907"/>
    <w:rsid w:val="0069206D"/>
    <w:rsid w:val="00692728"/>
    <w:rsid w:val="006C6821"/>
    <w:rsid w:val="0073222B"/>
    <w:rsid w:val="00764093"/>
    <w:rsid w:val="007B2D12"/>
    <w:rsid w:val="00840E58"/>
    <w:rsid w:val="0089147D"/>
    <w:rsid w:val="008B4B7F"/>
    <w:rsid w:val="008E6D45"/>
    <w:rsid w:val="009853A4"/>
    <w:rsid w:val="00A81929"/>
    <w:rsid w:val="00B65C2D"/>
    <w:rsid w:val="00B81A51"/>
    <w:rsid w:val="00C2208A"/>
    <w:rsid w:val="00C72D82"/>
    <w:rsid w:val="00CE6259"/>
    <w:rsid w:val="00D13B10"/>
    <w:rsid w:val="00D80232"/>
    <w:rsid w:val="00D93DD1"/>
    <w:rsid w:val="00DE00A5"/>
    <w:rsid w:val="00E159F2"/>
    <w:rsid w:val="00E54527"/>
    <w:rsid w:val="00E65B36"/>
    <w:rsid w:val="00E913E5"/>
    <w:rsid w:val="00F01FBA"/>
    <w:rsid w:val="00F33B0B"/>
    <w:rsid w:val="00FA66FA"/>
    <w:rsid w:val="00FC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88A0"/>
  <w15:docId w15:val="{00EB0412-F7E1-4E91-962B-262D8F45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0232"/>
    <w:pPr>
      <w:spacing w:after="0" w:line="240" w:lineRule="auto"/>
    </w:pPr>
    <w:rPr>
      <w:rFonts w:asciiTheme="minorHAnsi" w:hAnsiTheme="minorHAnsi" w:cstheme="minorBidi"/>
      <w:b w:val="0"/>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913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13E5"/>
    <w:rPr>
      <w:rFonts w:ascii="Tahoma" w:hAnsi="Tahoma" w:cs="Tahoma"/>
      <w:sz w:val="16"/>
      <w:szCs w:val="16"/>
    </w:rPr>
  </w:style>
  <w:style w:type="paragraph" w:styleId="a6">
    <w:name w:val="List Paragraph"/>
    <w:basedOn w:val="a"/>
    <w:uiPriority w:val="34"/>
    <w:qFormat/>
    <w:rsid w:val="00F01FBA"/>
    <w:pPr>
      <w:ind w:left="720"/>
      <w:contextualSpacing/>
    </w:pPr>
  </w:style>
  <w:style w:type="character" w:styleId="a7">
    <w:name w:val="Hyperlink"/>
    <w:basedOn w:val="a0"/>
    <w:uiPriority w:val="99"/>
    <w:unhideWhenUsed/>
    <w:rsid w:val="005C63B5"/>
    <w:rPr>
      <w:color w:val="0000FF" w:themeColor="hyperlink"/>
      <w:u w:val="single"/>
    </w:rPr>
  </w:style>
  <w:style w:type="character" w:styleId="a8">
    <w:name w:val="Unresolved Mention"/>
    <w:basedOn w:val="a0"/>
    <w:uiPriority w:val="99"/>
    <w:semiHidden/>
    <w:unhideWhenUsed/>
    <w:rsid w:val="005C6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87600">
      <w:bodyDiv w:val="1"/>
      <w:marLeft w:val="0"/>
      <w:marRight w:val="0"/>
      <w:marTop w:val="0"/>
      <w:marBottom w:val="0"/>
      <w:divBdr>
        <w:top w:val="none" w:sz="0" w:space="0" w:color="auto"/>
        <w:left w:val="none" w:sz="0" w:space="0" w:color="auto"/>
        <w:bottom w:val="none" w:sz="0" w:space="0" w:color="auto"/>
        <w:right w:val="none" w:sz="0" w:space="0" w:color="auto"/>
      </w:divBdr>
      <w:divsChild>
        <w:div w:id="1110665920">
          <w:marLeft w:val="0"/>
          <w:marRight w:val="0"/>
          <w:marTop w:val="0"/>
          <w:marBottom w:val="0"/>
          <w:divBdr>
            <w:top w:val="none" w:sz="0" w:space="0" w:color="auto"/>
            <w:left w:val="none" w:sz="0" w:space="0" w:color="auto"/>
            <w:bottom w:val="none" w:sz="0" w:space="0" w:color="auto"/>
            <w:right w:val="none" w:sz="0" w:space="0" w:color="auto"/>
          </w:divBdr>
          <w:divsChild>
            <w:div w:id="364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doi.org/10.1002/pat.1147" TargetMode="External"/><Relationship Id="rId26" Type="http://schemas.openxmlformats.org/officeDocument/2006/relationships/hyperlink" Target="https://doi.org/10.1016/j.apsusc.2022.152550" TargetMode="External"/><Relationship Id="rId3" Type="http://schemas.openxmlformats.org/officeDocument/2006/relationships/styles" Target="styles.xml"/><Relationship Id="rId21" Type="http://schemas.openxmlformats.org/officeDocument/2006/relationships/hyperlink" Target="https://doi.org/10.1007/s10570-016-1067-y"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polymer.2013.07.029" TargetMode="External"/><Relationship Id="rId25" Type="http://schemas.openxmlformats.org/officeDocument/2006/relationships/hyperlink" Target="https://doi.org/10.3390/molecules29245976" TargetMode="External"/><Relationship Id="rId2" Type="http://schemas.openxmlformats.org/officeDocument/2006/relationships/numbering" Target="numbering.xml"/><Relationship Id="rId16" Type="http://schemas.openxmlformats.org/officeDocument/2006/relationships/hyperlink" Target="https://doi.org/10.1021/acsami.5b02507" TargetMode="External"/><Relationship Id="rId20" Type="http://schemas.openxmlformats.org/officeDocument/2006/relationships/hyperlink" Target="https://doi.org/10.1021/ma000873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carbpol.2012.12.008" TargetMode="External"/><Relationship Id="rId5" Type="http://schemas.openxmlformats.org/officeDocument/2006/relationships/webSettings" Target="webSettings.xml"/><Relationship Id="rId15" Type="http://schemas.openxmlformats.org/officeDocument/2006/relationships/hyperlink" Target="https://doi.org/10.1016/j.jclepro.2019.03.157" TargetMode="External"/><Relationship Id="rId23" Type="http://schemas.openxmlformats.org/officeDocument/2006/relationships/hyperlink" Target="https://doi.org/10.1016/j.polymdegradstab.2013.11.016" TargetMode="External"/><Relationship Id="rId28" Type="http://schemas.openxmlformats.org/officeDocument/2006/relationships/hyperlink" Target="https://doi.org/10.1016/j.compositesb.2022.110194" TargetMode="External"/><Relationship Id="rId10" Type="http://schemas.openxmlformats.org/officeDocument/2006/relationships/image" Target="media/image5.png"/><Relationship Id="rId19" Type="http://schemas.openxmlformats.org/officeDocument/2006/relationships/hyperlink" Target="https://doi.org/10.1007/s10570-019-02374-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16/j.carbpol.2012.12.008" TargetMode="External"/><Relationship Id="rId22" Type="http://schemas.openxmlformats.org/officeDocument/2006/relationships/hyperlink" Target="https://doi.org/10.1051/bioconf/202414503016" TargetMode="External"/><Relationship Id="rId27" Type="http://schemas.openxmlformats.org/officeDocument/2006/relationships/hyperlink" Target="https://doi.org/10.14504/ajr.7.4.2"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7087-FA63-4026-953B-6C1BE2A1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3090</Words>
  <Characters>17616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dcterms:created xsi:type="dcterms:W3CDTF">2026-01-09T07:30:00Z</dcterms:created>
  <dcterms:modified xsi:type="dcterms:W3CDTF">2026-01-09T07:30:00Z</dcterms:modified>
</cp:coreProperties>
</file>