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ADBB" w14:textId="178BAAAE" w:rsidR="009A57D1" w:rsidRPr="00EA410F" w:rsidRDefault="00EA410F" w:rsidP="00EA410F">
      <w:pPr>
        <w:pStyle w:val="a3"/>
        <w:spacing w:before="1200" w:beforeAutospacing="0" w:after="0" w:afterAutospacing="0"/>
        <w:jc w:val="center"/>
        <w:rPr>
          <w:rStyle w:val="a4"/>
          <w:sz w:val="36"/>
          <w:szCs w:val="36"/>
          <w:lang w:val="en-US"/>
        </w:rPr>
      </w:pPr>
      <w:r w:rsidRPr="00EA410F">
        <w:rPr>
          <w:rStyle w:val="a4"/>
          <w:sz w:val="36"/>
          <w:szCs w:val="36"/>
          <w:lang w:val="en-US"/>
        </w:rPr>
        <w:t xml:space="preserve">Chromatographic–Mass Spectrometric Study </w:t>
      </w:r>
      <w:r>
        <w:rPr>
          <w:rStyle w:val="a4"/>
          <w:sz w:val="36"/>
          <w:szCs w:val="36"/>
          <w:lang w:val="en-US"/>
        </w:rPr>
        <w:t>o</w:t>
      </w:r>
      <w:r w:rsidRPr="00EA410F">
        <w:rPr>
          <w:rStyle w:val="a4"/>
          <w:sz w:val="36"/>
          <w:szCs w:val="36"/>
          <w:lang w:val="en-US"/>
        </w:rPr>
        <w:t xml:space="preserve">f Heavy Hexane Used </w:t>
      </w:r>
      <w:r>
        <w:rPr>
          <w:rStyle w:val="a4"/>
          <w:sz w:val="36"/>
          <w:szCs w:val="36"/>
          <w:lang w:val="en-US"/>
        </w:rPr>
        <w:t>i</w:t>
      </w:r>
      <w:r w:rsidRPr="00EA410F">
        <w:rPr>
          <w:rStyle w:val="a4"/>
          <w:sz w:val="36"/>
          <w:szCs w:val="36"/>
          <w:lang w:val="en-US"/>
        </w:rPr>
        <w:t xml:space="preserve">n </w:t>
      </w:r>
      <w:r>
        <w:rPr>
          <w:rStyle w:val="a4"/>
          <w:sz w:val="36"/>
          <w:szCs w:val="36"/>
          <w:lang w:val="en-US"/>
        </w:rPr>
        <w:t>t</w:t>
      </w:r>
      <w:r w:rsidRPr="00EA410F">
        <w:rPr>
          <w:rStyle w:val="a4"/>
          <w:sz w:val="36"/>
          <w:szCs w:val="36"/>
          <w:lang w:val="en-US"/>
        </w:rPr>
        <w:t>he Polyethylene Production Process</w:t>
      </w:r>
    </w:p>
    <w:p w14:paraId="6FA1D5EB" w14:textId="77777777" w:rsidR="009A57D1" w:rsidRPr="0063609F" w:rsidRDefault="009A57D1" w:rsidP="00EA410F">
      <w:pPr>
        <w:pStyle w:val="a3"/>
        <w:spacing w:before="0" w:beforeAutospacing="0" w:after="0" w:afterAutospacing="0"/>
        <w:jc w:val="center"/>
        <w:rPr>
          <w:lang w:val="en-US"/>
        </w:rPr>
      </w:pPr>
    </w:p>
    <w:p w14:paraId="6C8F318A" w14:textId="0E4D61C0" w:rsidR="00EA410F" w:rsidRDefault="009A57D1" w:rsidP="00EA410F">
      <w:pPr>
        <w:pStyle w:val="a3"/>
        <w:spacing w:before="0" w:beforeAutospacing="0" w:after="0" w:afterAutospacing="0"/>
        <w:jc w:val="center"/>
        <w:rPr>
          <w:i/>
          <w:lang w:val="en-US"/>
        </w:rPr>
      </w:pPr>
      <w:proofErr w:type="spellStart"/>
      <w:r w:rsidRPr="00EA410F">
        <w:rPr>
          <w:rStyle w:val="a4"/>
          <w:b w:val="0"/>
          <w:bCs w:val="0"/>
          <w:sz w:val="28"/>
          <w:szCs w:val="28"/>
          <w:lang w:val="en-US"/>
        </w:rPr>
        <w:t>Behruz</w:t>
      </w:r>
      <w:proofErr w:type="spellEnd"/>
      <w:r w:rsidRPr="00EA410F">
        <w:rPr>
          <w:rStyle w:val="a4"/>
          <w:b w:val="0"/>
          <w:bCs w:val="0"/>
          <w:sz w:val="28"/>
          <w:szCs w:val="28"/>
          <w:lang w:val="en-US"/>
        </w:rPr>
        <w:t xml:space="preserve"> </w:t>
      </w:r>
      <w:proofErr w:type="spellStart"/>
      <w:r w:rsidRPr="00EA410F">
        <w:rPr>
          <w:rStyle w:val="a4"/>
          <w:b w:val="0"/>
          <w:bCs w:val="0"/>
          <w:sz w:val="28"/>
          <w:szCs w:val="28"/>
          <w:lang w:val="en-US"/>
        </w:rPr>
        <w:t>Mansurov</w:t>
      </w:r>
      <w:r w:rsidR="00EA410F" w:rsidRPr="00EA410F">
        <w:rPr>
          <w:rStyle w:val="a4"/>
          <w:b w:val="0"/>
          <w:bCs w:val="0"/>
          <w:sz w:val="28"/>
          <w:szCs w:val="28"/>
          <w:vertAlign w:val="superscript"/>
          <w:lang w:val="en-US"/>
        </w:rPr>
        <w:t>a</w:t>
      </w:r>
      <w:proofErr w:type="spellEnd"/>
      <w:r w:rsidR="00EA410F" w:rsidRPr="00EA410F">
        <w:rPr>
          <w:rStyle w:val="a4"/>
          <w:b w:val="0"/>
          <w:bCs w:val="0"/>
          <w:sz w:val="28"/>
          <w:szCs w:val="28"/>
          <w:vertAlign w:val="superscript"/>
          <w:lang w:val="en-US"/>
        </w:rPr>
        <w:t>)</w:t>
      </w:r>
      <w:r w:rsidR="00EA410F" w:rsidRPr="00EA410F">
        <w:rPr>
          <w:rStyle w:val="a4"/>
          <w:b w:val="0"/>
          <w:bCs w:val="0"/>
          <w:sz w:val="28"/>
          <w:szCs w:val="28"/>
          <w:lang w:val="en-US"/>
        </w:rPr>
        <w:t xml:space="preserve">, </w:t>
      </w:r>
      <w:r w:rsidR="00EA410F" w:rsidRPr="00EA410F">
        <w:rPr>
          <w:rStyle w:val="a4"/>
          <w:b w:val="0"/>
          <w:bCs w:val="0"/>
          <w:sz w:val="28"/>
          <w:szCs w:val="28"/>
          <w:lang w:val="en-US"/>
        </w:rPr>
        <w:t xml:space="preserve">Ruslan </w:t>
      </w:r>
      <w:proofErr w:type="spellStart"/>
      <w:r w:rsidR="00EA410F" w:rsidRPr="00EA410F">
        <w:rPr>
          <w:rStyle w:val="a4"/>
          <w:b w:val="0"/>
          <w:bCs w:val="0"/>
          <w:sz w:val="28"/>
          <w:szCs w:val="28"/>
          <w:lang w:val="en-US"/>
        </w:rPr>
        <w:t>Khaitov</w:t>
      </w:r>
      <w:proofErr w:type="spellEnd"/>
      <w:r w:rsidRPr="00EA410F">
        <w:rPr>
          <w:b/>
          <w:bCs/>
          <w:sz w:val="28"/>
          <w:szCs w:val="28"/>
          <w:lang w:val="en-US"/>
        </w:rPr>
        <w:br/>
      </w:r>
    </w:p>
    <w:p w14:paraId="0F5B7D23" w14:textId="77777777" w:rsidR="00EA410F" w:rsidRPr="00EA410F" w:rsidRDefault="009A57D1" w:rsidP="00EA410F">
      <w:pPr>
        <w:pStyle w:val="a3"/>
        <w:spacing w:before="0" w:beforeAutospacing="0" w:after="0" w:afterAutospacing="0"/>
        <w:jc w:val="center"/>
        <w:rPr>
          <w:i/>
          <w:sz w:val="22"/>
          <w:szCs w:val="22"/>
          <w:lang w:val="en-US"/>
        </w:rPr>
      </w:pPr>
      <w:r w:rsidRPr="00EA410F">
        <w:rPr>
          <w:i/>
          <w:sz w:val="22"/>
          <w:szCs w:val="22"/>
          <w:lang w:val="en-US"/>
        </w:rPr>
        <w:t>Bukhara State Technical University</w:t>
      </w:r>
      <w:r w:rsidR="00EA410F" w:rsidRPr="00EA410F">
        <w:rPr>
          <w:i/>
          <w:sz w:val="22"/>
          <w:szCs w:val="22"/>
          <w:lang w:val="en-US"/>
        </w:rPr>
        <w:t>, Bukhara, Uzbekistan</w:t>
      </w:r>
    </w:p>
    <w:p w14:paraId="66DDDD45" w14:textId="77777777" w:rsidR="00EA410F" w:rsidRPr="00EA410F" w:rsidRDefault="00EA410F" w:rsidP="00EA410F">
      <w:pPr>
        <w:pStyle w:val="a3"/>
        <w:spacing w:before="0" w:beforeAutospacing="0" w:after="0" w:afterAutospacing="0"/>
        <w:jc w:val="center"/>
        <w:rPr>
          <w:i/>
          <w:sz w:val="22"/>
          <w:szCs w:val="22"/>
          <w:vertAlign w:val="superscript"/>
          <w:lang w:val="en-US"/>
        </w:rPr>
      </w:pPr>
    </w:p>
    <w:p w14:paraId="61217EC6" w14:textId="57A1B730" w:rsidR="009A57D1" w:rsidRDefault="00EA410F" w:rsidP="00EA410F">
      <w:pPr>
        <w:pStyle w:val="a3"/>
        <w:spacing w:before="0" w:beforeAutospacing="0" w:after="0" w:afterAutospacing="0"/>
        <w:jc w:val="center"/>
        <w:rPr>
          <w:i/>
          <w:lang w:val="en-US"/>
        </w:rPr>
      </w:pPr>
      <w:proofErr w:type="gramStart"/>
      <w:r w:rsidRPr="00EA410F">
        <w:rPr>
          <w:i/>
          <w:sz w:val="22"/>
          <w:szCs w:val="22"/>
          <w:vertAlign w:val="superscript"/>
          <w:lang w:val="en-US"/>
        </w:rPr>
        <w:t>a)</w:t>
      </w:r>
      <w:r w:rsidRPr="00EA410F">
        <w:rPr>
          <w:i/>
          <w:sz w:val="22"/>
          <w:szCs w:val="22"/>
          <w:lang w:val="en-US"/>
        </w:rPr>
        <w:t>Corresponding</w:t>
      </w:r>
      <w:proofErr w:type="gramEnd"/>
      <w:r w:rsidRPr="00EA410F">
        <w:rPr>
          <w:i/>
          <w:sz w:val="22"/>
          <w:szCs w:val="22"/>
          <w:lang w:val="en-US"/>
        </w:rPr>
        <w:t xml:space="preserve"> author: </w:t>
      </w:r>
      <w:r w:rsidRPr="00EA410F">
        <w:rPr>
          <w:i/>
          <w:sz w:val="22"/>
          <w:szCs w:val="22"/>
          <w:lang w:val="en-US"/>
        </w:rPr>
        <w:t>bexa130050693@gmail.com</w:t>
      </w:r>
      <w:r w:rsidR="009A57D1" w:rsidRPr="0063609F">
        <w:rPr>
          <w:i/>
          <w:lang w:val="en-US"/>
        </w:rPr>
        <w:br/>
      </w:r>
    </w:p>
    <w:p w14:paraId="4CC8A6E8" w14:textId="65599C58" w:rsidR="009A57D1" w:rsidRPr="00EA410F" w:rsidRDefault="009A57D1" w:rsidP="00EA410F">
      <w:pPr>
        <w:pStyle w:val="a3"/>
        <w:spacing w:before="0" w:beforeAutospacing="0" w:after="0" w:afterAutospacing="0"/>
        <w:ind w:left="360" w:right="180"/>
        <w:jc w:val="both"/>
        <w:rPr>
          <w:sz w:val="18"/>
          <w:szCs w:val="18"/>
          <w:lang w:val="en-US"/>
        </w:rPr>
      </w:pPr>
      <w:r w:rsidRPr="00EA410F">
        <w:rPr>
          <w:rStyle w:val="a4"/>
          <w:sz w:val="18"/>
          <w:szCs w:val="18"/>
          <w:lang w:val="en-US"/>
        </w:rPr>
        <w:t>Abstract</w:t>
      </w:r>
      <w:r w:rsidR="00EA410F" w:rsidRPr="00EA410F">
        <w:rPr>
          <w:rStyle w:val="a4"/>
          <w:sz w:val="18"/>
          <w:szCs w:val="18"/>
          <w:lang w:val="en-US"/>
        </w:rPr>
        <w:t xml:space="preserve">. </w:t>
      </w:r>
      <w:r w:rsidRPr="00EA410F">
        <w:rPr>
          <w:sz w:val="18"/>
          <w:szCs w:val="18"/>
          <w:lang w:val="en-US"/>
        </w:rPr>
        <w:t>This study presents a chromatographic–mass spectrometric investigation of heavy hexane used in the polyethylene production process. The analysis revealed that the spent sample contains no residual original hexane, with the majority of the composition comprising high-molecular-weight hydrocarbons and their isomers. Oxidation products and other oxygen-containing compounds were not detected, indicating the stability of the hydrocarbon phase under the given operating conditions. Based on the obtained data, it was decided to purify the spent solvent using adsorption to isolate and preserve the high-paraffin hydrocarbons. The conducted study enables a more rational utilization of hydrocarbon fractions, enhancing the efficiency of processing and the cost-effectiveness of the polyethylene production process.</w:t>
      </w:r>
    </w:p>
    <w:p w14:paraId="48B7DF88" w14:textId="77777777" w:rsidR="009A57D1" w:rsidRPr="0037438C" w:rsidRDefault="009A57D1" w:rsidP="00EA410F">
      <w:pPr>
        <w:pStyle w:val="a3"/>
        <w:spacing w:before="0" w:beforeAutospacing="0" w:after="0" w:afterAutospacing="0"/>
        <w:ind w:left="360" w:right="180"/>
        <w:jc w:val="both"/>
        <w:rPr>
          <w:iCs/>
          <w:sz w:val="18"/>
          <w:szCs w:val="18"/>
          <w:lang w:val="en-US"/>
        </w:rPr>
      </w:pPr>
      <w:r w:rsidRPr="00EA410F">
        <w:rPr>
          <w:rStyle w:val="a4"/>
          <w:sz w:val="18"/>
          <w:szCs w:val="18"/>
          <w:lang w:val="en-US"/>
        </w:rPr>
        <w:t>Keywords:</w:t>
      </w:r>
      <w:r w:rsidRPr="00EA410F">
        <w:rPr>
          <w:sz w:val="18"/>
          <w:szCs w:val="18"/>
          <w:lang w:val="en-US"/>
        </w:rPr>
        <w:t xml:space="preserve"> </w:t>
      </w:r>
      <w:r w:rsidRPr="0037438C">
        <w:rPr>
          <w:iCs/>
          <w:sz w:val="18"/>
          <w:szCs w:val="18"/>
          <w:lang w:val="en-US"/>
        </w:rPr>
        <w:t>heavy hexane, high-molecular-weight paraffinic hydrocarbons, gas chromatography–mass spectrometry, helium, retention time, adsorption, zeolite.</w:t>
      </w:r>
    </w:p>
    <w:p w14:paraId="510748A9" w14:textId="77777777" w:rsidR="009A57D1" w:rsidRPr="0063609F" w:rsidRDefault="009A57D1" w:rsidP="00EA410F">
      <w:pPr>
        <w:pStyle w:val="a3"/>
        <w:spacing w:before="0" w:beforeAutospacing="0" w:after="0" w:afterAutospacing="0"/>
        <w:ind w:firstLine="708"/>
        <w:rPr>
          <w:i/>
          <w:lang w:val="en-US"/>
        </w:rPr>
      </w:pPr>
    </w:p>
    <w:p w14:paraId="2E157DB8" w14:textId="384D2F04" w:rsidR="00EA410F" w:rsidRPr="00EA410F" w:rsidRDefault="00EA410F" w:rsidP="00EA410F">
      <w:pPr>
        <w:pStyle w:val="a3"/>
        <w:spacing w:before="0" w:beforeAutospacing="0" w:after="0" w:afterAutospacing="0"/>
        <w:jc w:val="center"/>
        <w:rPr>
          <w:lang w:val="en-US"/>
        </w:rPr>
      </w:pPr>
      <w:r w:rsidRPr="00EA410F">
        <w:rPr>
          <w:rStyle w:val="a4"/>
          <w:lang w:val="en-US"/>
        </w:rPr>
        <w:t>INTRODUCTION</w:t>
      </w:r>
    </w:p>
    <w:p w14:paraId="6962CD94" w14:textId="77777777" w:rsidR="00EA410F" w:rsidRDefault="00EA410F" w:rsidP="00EA410F">
      <w:pPr>
        <w:pStyle w:val="a3"/>
        <w:spacing w:before="0" w:beforeAutospacing="0" w:after="0" w:afterAutospacing="0"/>
        <w:ind w:firstLine="708"/>
        <w:jc w:val="both"/>
        <w:rPr>
          <w:sz w:val="20"/>
          <w:szCs w:val="20"/>
          <w:lang w:val="en-US"/>
        </w:rPr>
      </w:pPr>
    </w:p>
    <w:p w14:paraId="1F7B5696" w14:textId="24303B61"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In the technological scheme for the production of high-density polyethylene at SP LLC “</w:t>
      </w:r>
      <w:proofErr w:type="spellStart"/>
      <w:r w:rsidRPr="00EA410F">
        <w:rPr>
          <w:sz w:val="20"/>
          <w:szCs w:val="20"/>
          <w:lang w:val="en-US"/>
        </w:rPr>
        <w:t>Uz-Kor</w:t>
      </w:r>
      <w:proofErr w:type="spellEnd"/>
      <w:r w:rsidRPr="00EA410F">
        <w:rPr>
          <w:sz w:val="20"/>
          <w:szCs w:val="20"/>
          <w:lang w:val="en-US"/>
        </w:rPr>
        <w:t xml:space="preserve"> Gas Chemical,” the use of high-purity 98% hexane plays a crucial role. This hydrocarbon functions as an organic solvent necessary for the preparation of the catalyst system—facilitating its transport, dispersion, and transition into a suspension state. Due to its physicochemical properties, hexane ensures the stability of the reaction medium and promotes uniform polymerization processes [1].</w:t>
      </w:r>
    </w:p>
    <w:p w14:paraId="59B56E24"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However, as a result of repeated use and exposure to technological factors, the composition of the solvent undergoes significant changes. The spent hexane loses its original properties, transforming into a mixture of high-molecular-weight hydrocarbons and their isomers. These changes necessitate a detailed study of its component composition to determine the possibilities for further use or processing.</w:t>
      </w:r>
    </w:p>
    <w:p w14:paraId="204F3704"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One of the most informative methods for analyzing the composition of such hydrocarbon systems is gas chromatography–mass spectrometry (GC–MS), which allows for the detailed identification of individual components and the determination of their nature. The obtained results can serve as a basis for selecting rational purification methods, in particular adsorption-based technologies aimed at isolating valuable high-paraffin compounds and minimizing waste [2–4].</w:t>
      </w:r>
    </w:p>
    <w:p w14:paraId="19FE696D"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Thus, the study of spent hexane using chromatographic–mass spectrometric analysis represents a relevant task that contributes to enhancing the efficiency and environmental sustainability of polyethylene production processes.</w:t>
      </w:r>
    </w:p>
    <w:p w14:paraId="7CB0C2EE" w14:textId="77777777" w:rsidR="00EA410F" w:rsidRDefault="00EA410F" w:rsidP="00EA410F">
      <w:pPr>
        <w:pStyle w:val="a3"/>
        <w:spacing w:before="0" w:beforeAutospacing="0" w:after="0" w:afterAutospacing="0"/>
        <w:ind w:firstLine="708"/>
        <w:jc w:val="both"/>
        <w:rPr>
          <w:rStyle w:val="a4"/>
          <w:sz w:val="20"/>
          <w:szCs w:val="20"/>
          <w:lang w:val="en-US"/>
        </w:rPr>
      </w:pPr>
    </w:p>
    <w:p w14:paraId="51EF7123" w14:textId="29335D48" w:rsidR="00EA410F" w:rsidRPr="00EA410F" w:rsidRDefault="00EA410F" w:rsidP="00EA410F">
      <w:pPr>
        <w:pStyle w:val="a3"/>
        <w:spacing w:before="0" w:beforeAutospacing="0" w:after="0" w:afterAutospacing="0"/>
        <w:jc w:val="center"/>
        <w:rPr>
          <w:b/>
          <w:lang w:val="en-US"/>
        </w:rPr>
      </w:pPr>
      <w:r w:rsidRPr="00EA410F">
        <w:rPr>
          <w:rStyle w:val="a4"/>
          <w:lang w:val="en-US"/>
        </w:rPr>
        <w:t>METHODS</w:t>
      </w:r>
    </w:p>
    <w:p w14:paraId="0B5562E4" w14:textId="77777777" w:rsidR="00EA410F" w:rsidRDefault="00EA410F" w:rsidP="00EA410F">
      <w:pPr>
        <w:pStyle w:val="a3"/>
        <w:spacing w:before="0" w:beforeAutospacing="0" w:after="0" w:afterAutospacing="0"/>
        <w:ind w:firstLine="708"/>
        <w:jc w:val="both"/>
        <w:rPr>
          <w:b/>
          <w:sz w:val="20"/>
          <w:szCs w:val="20"/>
          <w:lang w:val="en-US"/>
        </w:rPr>
      </w:pPr>
    </w:p>
    <w:p w14:paraId="501F2D53" w14:textId="69D429D3"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The object of the study was spent hexane generated during the high-density polyethylene production process at SP LLC “</w:t>
      </w:r>
      <w:proofErr w:type="spellStart"/>
      <w:r w:rsidRPr="00EA410F">
        <w:rPr>
          <w:sz w:val="20"/>
          <w:szCs w:val="20"/>
          <w:lang w:val="en-US"/>
        </w:rPr>
        <w:t>Uz-Kor</w:t>
      </w:r>
      <w:proofErr w:type="spellEnd"/>
      <w:r w:rsidRPr="00EA410F">
        <w:rPr>
          <w:sz w:val="20"/>
          <w:szCs w:val="20"/>
          <w:lang w:val="en-US"/>
        </w:rPr>
        <w:t xml:space="preserve"> Gas Chemical.” The annual volume of this waste reaches approximately 90,000 tons, highlighting the relevance of analyzing and potentially recycling it.</w:t>
      </w:r>
    </w:p>
    <w:p w14:paraId="571AA1DE"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 xml:space="preserve">To determine the individual component composition and assess the degree of solvent degradation, gas chromatography–mass spectrometry (GC–MS) was employed. Analysis was conducted using an Agilent 7890B/5977A GC–MS system (or an equivalent instrument, with the exact model specified if necessary). A </w:t>
      </w:r>
      <w:r w:rsidRPr="00EA410F">
        <w:rPr>
          <w:sz w:val="20"/>
          <w:szCs w:val="20"/>
          <w:lang w:val="en-US"/>
        </w:rPr>
        <w:lastRenderedPageBreak/>
        <w:t xml:space="preserve">capillary column with a non-polar stationary phase, HP-5MS type, 30 m in length, 0.25 mm internal diameter, and 0.25 </w:t>
      </w:r>
      <w:r w:rsidRPr="00EA410F">
        <w:rPr>
          <w:sz w:val="20"/>
          <w:szCs w:val="20"/>
        </w:rPr>
        <w:t>μ</w:t>
      </w:r>
      <w:r w:rsidRPr="00EA410F">
        <w:rPr>
          <w:sz w:val="20"/>
          <w:szCs w:val="20"/>
          <w:lang w:val="en-US"/>
        </w:rPr>
        <w:t>m film thickness, was used. Helium was employed as the carr</w:t>
      </w:r>
      <w:r w:rsidR="00CD50F3" w:rsidRPr="00EA410F">
        <w:rPr>
          <w:sz w:val="20"/>
          <w:szCs w:val="20"/>
          <w:lang w:val="en-US"/>
        </w:rPr>
        <w:t>ier gas at a flow rate of 1.0 ml</w:t>
      </w:r>
      <w:r w:rsidRPr="00EA410F">
        <w:rPr>
          <w:sz w:val="20"/>
          <w:szCs w:val="20"/>
          <w:lang w:val="en-US"/>
        </w:rPr>
        <w:t xml:space="preserve">/min. The column temperature program ranged from 40°C (held for 3 min) to 280°C at a heating rate of 10°C/min. The injection volume was 1 </w:t>
      </w:r>
      <w:r w:rsidRPr="00EA410F">
        <w:rPr>
          <w:sz w:val="20"/>
          <w:szCs w:val="20"/>
        </w:rPr>
        <w:t>μ</w:t>
      </w:r>
      <w:r w:rsidRPr="00EA410F">
        <w:rPr>
          <w:sz w:val="20"/>
          <w:szCs w:val="20"/>
          <w:lang w:val="en-US"/>
        </w:rPr>
        <w:t>L, with the injector operated in split mode at a ratio of 1:20. Detection was carried out over a mass range of m/z = 20–550. Compound identification was performed using the NIST mass spectral library and by comparison with reference standards [5].</w:t>
      </w:r>
    </w:p>
    <w:p w14:paraId="313FACEB" w14:textId="77777777" w:rsidR="00EA410F" w:rsidRDefault="00EA410F" w:rsidP="00EA410F">
      <w:pPr>
        <w:spacing w:after="0"/>
        <w:ind w:firstLine="709"/>
        <w:jc w:val="both"/>
        <w:rPr>
          <w:rStyle w:val="a4"/>
          <w:rFonts w:cs="Times New Roman"/>
          <w:sz w:val="20"/>
          <w:szCs w:val="20"/>
          <w:lang w:val="en-US"/>
        </w:rPr>
      </w:pPr>
    </w:p>
    <w:p w14:paraId="126B916A" w14:textId="3D72DFEB" w:rsidR="00EA410F" w:rsidRPr="00EA410F" w:rsidRDefault="00EA410F" w:rsidP="00EA410F">
      <w:pPr>
        <w:spacing w:after="0"/>
        <w:jc w:val="center"/>
        <w:rPr>
          <w:rStyle w:val="a4"/>
          <w:rFonts w:cs="Times New Roman"/>
          <w:sz w:val="24"/>
          <w:szCs w:val="24"/>
          <w:lang w:val="en-US"/>
        </w:rPr>
      </w:pPr>
      <w:r w:rsidRPr="00EA410F">
        <w:rPr>
          <w:rStyle w:val="a4"/>
          <w:rFonts w:cs="Times New Roman"/>
          <w:sz w:val="24"/>
          <w:szCs w:val="24"/>
          <w:lang w:val="en-US"/>
        </w:rPr>
        <w:t>RESULTS AND DISCUSSION</w:t>
      </w:r>
    </w:p>
    <w:p w14:paraId="4090E21A" w14:textId="77777777" w:rsidR="00EA410F" w:rsidRDefault="00EA410F" w:rsidP="00EA410F">
      <w:pPr>
        <w:spacing w:after="0"/>
        <w:ind w:firstLine="709"/>
        <w:jc w:val="both"/>
        <w:rPr>
          <w:rStyle w:val="a4"/>
          <w:rFonts w:cs="Times New Roman"/>
          <w:sz w:val="20"/>
          <w:szCs w:val="20"/>
          <w:lang w:val="en-US"/>
        </w:rPr>
      </w:pPr>
    </w:p>
    <w:p w14:paraId="33C09DE3" w14:textId="43B6380B" w:rsidR="00F12C76" w:rsidRPr="00EA410F" w:rsidRDefault="009A57D1" w:rsidP="00EA410F">
      <w:pPr>
        <w:spacing w:after="0"/>
        <w:ind w:firstLine="709"/>
        <w:jc w:val="both"/>
        <w:rPr>
          <w:rFonts w:cs="Times New Roman"/>
          <w:sz w:val="20"/>
          <w:szCs w:val="20"/>
          <w:lang w:val="en-US"/>
        </w:rPr>
      </w:pPr>
      <w:r w:rsidRPr="00EA410F">
        <w:rPr>
          <w:rFonts w:cs="Times New Roman"/>
          <w:sz w:val="20"/>
          <w:szCs w:val="20"/>
          <w:lang w:val="en-US"/>
        </w:rPr>
        <w:t>The analysis results are presented as follows: the chromatogram is shown in Figure 1, while the qualitative and quantitative composition of the spent heavy hexane is summarized in Table 1, reflecting the changes in the chemical composition of the spent hexane. Particular attention was paid to the identification of high-molecular-weight hydrocarbons, their isomers, and potential products of thermal or catalytic transformation.</w:t>
      </w:r>
    </w:p>
    <w:p w14:paraId="7F75D7F1" w14:textId="77777777" w:rsidR="009A57D1" w:rsidRPr="00EA410F" w:rsidRDefault="009A57D1" w:rsidP="00EA410F">
      <w:pPr>
        <w:spacing w:after="0"/>
        <w:jc w:val="center"/>
        <w:rPr>
          <w:rFonts w:cs="Times New Roman"/>
          <w:sz w:val="20"/>
          <w:szCs w:val="20"/>
          <w:lang w:val="en-US"/>
        </w:rPr>
      </w:pPr>
      <w:r w:rsidRPr="00EA410F">
        <w:rPr>
          <w:rFonts w:cs="Times New Roman"/>
          <w:noProof/>
          <w:sz w:val="20"/>
          <w:szCs w:val="20"/>
          <w:lang w:eastAsia="ru-RU"/>
        </w:rPr>
        <w:drawing>
          <wp:inline distT="0" distB="0" distL="0" distR="0" wp14:anchorId="18CEBC37" wp14:editId="53B4CCE8">
            <wp:extent cx="5520668" cy="573786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6655" cy="5754476"/>
                    </a:xfrm>
                    <a:prstGeom prst="rect">
                      <a:avLst/>
                    </a:prstGeom>
                  </pic:spPr>
                </pic:pic>
              </a:graphicData>
            </a:graphic>
          </wp:inline>
        </w:drawing>
      </w:r>
    </w:p>
    <w:p w14:paraId="66EA2784" w14:textId="768CCFF8" w:rsidR="009A57D1" w:rsidRPr="00EA410F" w:rsidRDefault="00EA410F" w:rsidP="00EA410F">
      <w:pPr>
        <w:spacing w:before="100" w:beforeAutospacing="1" w:after="100" w:afterAutospacing="1"/>
        <w:jc w:val="center"/>
        <w:rPr>
          <w:rFonts w:eastAsia="Times New Roman" w:cs="Times New Roman"/>
          <w:sz w:val="18"/>
          <w:szCs w:val="18"/>
          <w:lang w:val="en-US" w:eastAsia="ru-RU"/>
        </w:rPr>
      </w:pPr>
      <w:r w:rsidRPr="00EA410F">
        <w:rPr>
          <w:rFonts w:eastAsia="Times New Roman" w:cs="Times New Roman"/>
          <w:b/>
          <w:bCs/>
          <w:sz w:val="18"/>
          <w:szCs w:val="18"/>
          <w:lang w:val="en-US" w:eastAsia="ru-RU"/>
        </w:rPr>
        <w:t xml:space="preserve">FIGURE </w:t>
      </w:r>
      <w:r w:rsidR="009A57D1" w:rsidRPr="00EA410F">
        <w:rPr>
          <w:rFonts w:eastAsia="Times New Roman" w:cs="Times New Roman"/>
          <w:b/>
          <w:bCs/>
          <w:sz w:val="18"/>
          <w:szCs w:val="18"/>
          <w:lang w:val="en-US" w:eastAsia="ru-RU"/>
        </w:rPr>
        <w:t>1.</w:t>
      </w:r>
      <w:r w:rsidR="009A57D1" w:rsidRPr="00EA410F">
        <w:rPr>
          <w:rFonts w:eastAsia="Times New Roman" w:cs="Times New Roman"/>
          <w:sz w:val="18"/>
          <w:szCs w:val="18"/>
          <w:lang w:val="en-US" w:eastAsia="ru-RU"/>
        </w:rPr>
        <w:t xml:space="preserve"> </w:t>
      </w:r>
      <w:r w:rsidR="009A57D1" w:rsidRPr="00EA410F">
        <w:rPr>
          <w:rFonts w:eastAsia="Times New Roman" w:cs="Times New Roman"/>
          <w:bCs/>
          <w:sz w:val="18"/>
          <w:szCs w:val="18"/>
          <w:lang w:val="en-US" w:eastAsia="ru-RU"/>
        </w:rPr>
        <w:t>Chromatogram of spent heavy hexane</w:t>
      </w:r>
    </w:p>
    <w:p w14:paraId="1960566E" w14:textId="58AF4C6D" w:rsidR="009A57D1" w:rsidRPr="00EA410F" w:rsidRDefault="00EA410F" w:rsidP="00EA410F">
      <w:pPr>
        <w:spacing w:before="100" w:beforeAutospacing="1" w:after="100" w:afterAutospacing="1"/>
        <w:jc w:val="center"/>
        <w:rPr>
          <w:rFonts w:eastAsia="Times New Roman" w:cs="Times New Roman"/>
          <w:b/>
          <w:sz w:val="18"/>
          <w:szCs w:val="18"/>
          <w:lang w:val="en-US" w:eastAsia="ru-RU"/>
        </w:rPr>
      </w:pPr>
      <w:r w:rsidRPr="00EA410F">
        <w:rPr>
          <w:rFonts w:eastAsia="Times New Roman" w:cs="Times New Roman"/>
          <w:b/>
          <w:bCs/>
          <w:sz w:val="18"/>
          <w:szCs w:val="18"/>
          <w:lang w:val="en-US" w:eastAsia="ru-RU"/>
        </w:rPr>
        <w:t xml:space="preserve">TABLE </w:t>
      </w:r>
      <w:r w:rsidR="009A57D1" w:rsidRPr="00EA410F">
        <w:rPr>
          <w:rFonts w:eastAsia="Times New Roman" w:cs="Times New Roman"/>
          <w:b/>
          <w:bCs/>
          <w:sz w:val="18"/>
          <w:szCs w:val="18"/>
          <w:lang w:val="en-US" w:eastAsia="ru-RU"/>
        </w:rPr>
        <w:t>1</w:t>
      </w:r>
      <w:r w:rsidR="0063609F" w:rsidRPr="00EA410F">
        <w:rPr>
          <w:rFonts w:eastAsia="Times New Roman" w:cs="Times New Roman"/>
          <w:b/>
          <w:bCs/>
          <w:sz w:val="18"/>
          <w:szCs w:val="18"/>
          <w:lang w:val="en-US" w:eastAsia="ru-RU"/>
        </w:rPr>
        <w:t>.</w:t>
      </w:r>
      <w:r w:rsidRPr="00EA410F">
        <w:rPr>
          <w:rFonts w:eastAsia="Times New Roman" w:cs="Times New Roman"/>
          <w:b/>
          <w:bCs/>
          <w:sz w:val="18"/>
          <w:szCs w:val="18"/>
          <w:lang w:val="en-US" w:eastAsia="ru-RU"/>
        </w:rPr>
        <w:t xml:space="preserve"> </w:t>
      </w:r>
      <w:r w:rsidR="009A57D1" w:rsidRPr="00EA410F">
        <w:rPr>
          <w:rFonts w:eastAsia="Times New Roman" w:cs="Times New Roman"/>
          <w:bCs/>
          <w:sz w:val="18"/>
          <w:szCs w:val="18"/>
          <w:lang w:val="en-US" w:eastAsia="ru-RU"/>
        </w:rPr>
        <w:t>Qualitative and quantitative composition of spent heavy hexane</w:t>
      </w:r>
    </w:p>
    <w:tbl>
      <w:tblPr>
        <w:tblStyle w:val="a6"/>
        <w:tblW w:w="0" w:type="auto"/>
        <w:jc w:val="center"/>
        <w:tblLayout w:type="fixed"/>
        <w:tblLook w:val="04A0" w:firstRow="1" w:lastRow="0" w:firstColumn="1" w:lastColumn="0" w:noHBand="0" w:noVBand="1"/>
      </w:tblPr>
      <w:tblGrid>
        <w:gridCol w:w="704"/>
        <w:gridCol w:w="3969"/>
        <w:gridCol w:w="2268"/>
      </w:tblGrid>
      <w:tr w:rsidR="00CD50F3" w:rsidRPr="00EA410F" w14:paraId="02D6027B" w14:textId="77777777" w:rsidTr="007F5E43">
        <w:trPr>
          <w:jc w:val="center"/>
        </w:trPr>
        <w:tc>
          <w:tcPr>
            <w:tcW w:w="704" w:type="dxa"/>
          </w:tcPr>
          <w:p w14:paraId="1FE07AA0" w14:textId="77777777" w:rsidR="00CD50F3" w:rsidRPr="00EA410F" w:rsidRDefault="00CD50F3" w:rsidP="00EA410F">
            <w:pPr>
              <w:ind w:firstLine="22"/>
              <w:jc w:val="center"/>
              <w:rPr>
                <w:rFonts w:cs="Times New Roman"/>
                <w:b/>
                <w:bCs/>
                <w:sz w:val="20"/>
                <w:szCs w:val="20"/>
              </w:rPr>
            </w:pPr>
            <w:r w:rsidRPr="00EA410F">
              <w:rPr>
                <w:rFonts w:cs="Times New Roman"/>
                <w:b/>
                <w:bCs/>
                <w:sz w:val="20"/>
                <w:szCs w:val="20"/>
              </w:rPr>
              <w:t>№</w:t>
            </w:r>
          </w:p>
        </w:tc>
        <w:tc>
          <w:tcPr>
            <w:tcW w:w="3969" w:type="dxa"/>
            <w:vAlign w:val="center"/>
          </w:tcPr>
          <w:p w14:paraId="01CD1C9A" w14:textId="77777777" w:rsidR="00CD50F3" w:rsidRPr="00EA410F" w:rsidRDefault="00CD50F3" w:rsidP="00EA410F">
            <w:pPr>
              <w:jc w:val="center"/>
              <w:rPr>
                <w:rFonts w:cs="Times New Roman"/>
                <w:b/>
                <w:sz w:val="20"/>
                <w:szCs w:val="20"/>
              </w:rPr>
            </w:pPr>
            <w:proofErr w:type="spellStart"/>
            <w:r w:rsidRPr="00EA410F">
              <w:rPr>
                <w:rFonts w:eastAsia="Times New Roman" w:cs="Times New Roman"/>
                <w:b/>
                <w:bCs/>
                <w:sz w:val="20"/>
                <w:szCs w:val="20"/>
                <w:lang w:eastAsia="ru-RU"/>
              </w:rPr>
              <w:t>Component</w:t>
            </w:r>
            <w:proofErr w:type="spellEnd"/>
            <w:r w:rsidRPr="00EA410F">
              <w:rPr>
                <w:rFonts w:eastAsia="Times New Roman" w:cs="Times New Roman"/>
                <w:b/>
                <w:bCs/>
                <w:sz w:val="20"/>
                <w:szCs w:val="20"/>
                <w:lang w:eastAsia="ru-RU"/>
              </w:rPr>
              <w:t xml:space="preserve"> Name</w:t>
            </w:r>
          </w:p>
        </w:tc>
        <w:tc>
          <w:tcPr>
            <w:tcW w:w="2268" w:type="dxa"/>
            <w:vAlign w:val="center"/>
          </w:tcPr>
          <w:p w14:paraId="34CEF692" w14:textId="77777777" w:rsidR="00CD50F3" w:rsidRPr="00EA410F" w:rsidRDefault="00CD50F3" w:rsidP="00EA410F">
            <w:pPr>
              <w:jc w:val="center"/>
              <w:rPr>
                <w:rFonts w:cs="Times New Roman"/>
                <w:b/>
                <w:sz w:val="20"/>
                <w:szCs w:val="20"/>
                <w:lang w:val="en-US"/>
              </w:rPr>
            </w:pPr>
            <w:proofErr w:type="spellStart"/>
            <w:r w:rsidRPr="00EA410F">
              <w:rPr>
                <w:rFonts w:eastAsia="Times New Roman" w:cs="Times New Roman"/>
                <w:b/>
                <w:bCs/>
                <w:sz w:val="20"/>
                <w:szCs w:val="20"/>
                <w:lang w:eastAsia="ru-RU"/>
              </w:rPr>
              <w:t>Amount</w:t>
            </w:r>
            <w:proofErr w:type="spellEnd"/>
            <w:r w:rsidRPr="00EA410F">
              <w:rPr>
                <w:rFonts w:eastAsia="Times New Roman" w:cs="Times New Roman"/>
                <w:b/>
                <w:bCs/>
                <w:sz w:val="20"/>
                <w:szCs w:val="20"/>
                <w:lang w:eastAsia="ru-RU"/>
              </w:rPr>
              <w:t>, %</w:t>
            </w:r>
          </w:p>
        </w:tc>
      </w:tr>
      <w:tr w:rsidR="00CD50F3" w:rsidRPr="00EA410F" w14:paraId="73DC409A" w14:textId="77777777" w:rsidTr="007F5E43">
        <w:trPr>
          <w:jc w:val="center"/>
        </w:trPr>
        <w:tc>
          <w:tcPr>
            <w:tcW w:w="704" w:type="dxa"/>
          </w:tcPr>
          <w:p w14:paraId="6729DF14" w14:textId="77777777" w:rsidR="00CD50F3" w:rsidRPr="00EA410F" w:rsidRDefault="00CD50F3" w:rsidP="00EA410F">
            <w:pPr>
              <w:jc w:val="center"/>
              <w:rPr>
                <w:rFonts w:cs="Times New Roman"/>
                <w:bCs/>
                <w:sz w:val="20"/>
                <w:szCs w:val="20"/>
              </w:rPr>
            </w:pPr>
            <w:r w:rsidRPr="00EA410F">
              <w:rPr>
                <w:rFonts w:cs="Times New Roman"/>
                <w:bCs/>
                <w:sz w:val="20"/>
                <w:szCs w:val="20"/>
              </w:rPr>
              <w:t>1.</w:t>
            </w:r>
          </w:p>
        </w:tc>
        <w:tc>
          <w:tcPr>
            <w:tcW w:w="3969" w:type="dxa"/>
            <w:vAlign w:val="center"/>
          </w:tcPr>
          <w:p w14:paraId="4C5FFD86"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Pentane</w:t>
            </w:r>
            <w:proofErr w:type="spellEnd"/>
          </w:p>
        </w:tc>
        <w:tc>
          <w:tcPr>
            <w:tcW w:w="2268" w:type="dxa"/>
          </w:tcPr>
          <w:p w14:paraId="198DE6CF" w14:textId="77777777" w:rsidR="00CD50F3" w:rsidRPr="00EA410F" w:rsidRDefault="00CD50F3" w:rsidP="00EA410F">
            <w:pPr>
              <w:jc w:val="center"/>
              <w:rPr>
                <w:rFonts w:cs="Times New Roman"/>
                <w:sz w:val="20"/>
                <w:szCs w:val="20"/>
              </w:rPr>
            </w:pPr>
            <w:r w:rsidRPr="00EA410F">
              <w:rPr>
                <w:rFonts w:cs="Times New Roman"/>
                <w:sz w:val="20"/>
                <w:szCs w:val="20"/>
              </w:rPr>
              <w:t>1,80</w:t>
            </w:r>
          </w:p>
        </w:tc>
      </w:tr>
      <w:tr w:rsidR="00CD50F3" w:rsidRPr="00EA410F" w14:paraId="111BE1F1" w14:textId="77777777" w:rsidTr="007F5E43">
        <w:trPr>
          <w:jc w:val="center"/>
        </w:trPr>
        <w:tc>
          <w:tcPr>
            <w:tcW w:w="704" w:type="dxa"/>
          </w:tcPr>
          <w:p w14:paraId="63A756FE" w14:textId="77777777" w:rsidR="00CD50F3" w:rsidRPr="00EA410F" w:rsidRDefault="00CD50F3" w:rsidP="00EA410F">
            <w:pPr>
              <w:jc w:val="center"/>
              <w:rPr>
                <w:rFonts w:cs="Times New Roman"/>
                <w:bCs/>
                <w:sz w:val="20"/>
                <w:szCs w:val="20"/>
              </w:rPr>
            </w:pPr>
            <w:r w:rsidRPr="00EA410F">
              <w:rPr>
                <w:rFonts w:cs="Times New Roman"/>
                <w:bCs/>
                <w:sz w:val="20"/>
                <w:szCs w:val="20"/>
              </w:rPr>
              <w:t>2.</w:t>
            </w:r>
          </w:p>
        </w:tc>
        <w:tc>
          <w:tcPr>
            <w:tcW w:w="3969" w:type="dxa"/>
            <w:vAlign w:val="center"/>
          </w:tcPr>
          <w:p w14:paraId="25C142A4" w14:textId="77777777" w:rsidR="00CD50F3" w:rsidRPr="00EA410F" w:rsidRDefault="00CD50F3" w:rsidP="00EA410F">
            <w:pPr>
              <w:rPr>
                <w:rFonts w:cs="Times New Roman"/>
                <w:sz w:val="20"/>
                <w:szCs w:val="20"/>
                <w:lang w:val="en-US"/>
              </w:rPr>
            </w:pPr>
            <w:r w:rsidRPr="00EA410F">
              <w:rPr>
                <w:rFonts w:eastAsia="Times New Roman" w:cs="Times New Roman"/>
                <w:sz w:val="20"/>
                <w:szCs w:val="20"/>
                <w:lang w:eastAsia="ru-RU"/>
              </w:rPr>
              <w:t xml:space="preserve">2-Ethyl </w:t>
            </w:r>
            <w:proofErr w:type="spellStart"/>
            <w:r w:rsidRPr="00EA410F">
              <w:rPr>
                <w:rFonts w:eastAsia="Times New Roman" w:cs="Times New Roman"/>
                <w:sz w:val="20"/>
                <w:szCs w:val="20"/>
                <w:lang w:eastAsia="ru-RU"/>
              </w:rPr>
              <w:t>oxetane</w:t>
            </w:r>
            <w:proofErr w:type="spellEnd"/>
          </w:p>
        </w:tc>
        <w:tc>
          <w:tcPr>
            <w:tcW w:w="2268" w:type="dxa"/>
          </w:tcPr>
          <w:p w14:paraId="0226446E" w14:textId="77777777" w:rsidR="00CD50F3" w:rsidRPr="00EA410F" w:rsidRDefault="00CD50F3" w:rsidP="00EA410F">
            <w:pPr>
              <w:jc w:val="center"/>
              <w:rPr>
                <w:rFonts w:cs="Times New Roman"/>
                <w:sz w:val="20"/>
                <w:szCs w:val="20"/>
              </w:rPr>
            </w:pPr>
            <w:r w:rsidRPr="00EA410F">
              <w:rPr>
                <w:rFonts w:cs="Times New Roman"/>
                <w:sz w:val="20"/>
                <w:szCs w:val="20"/>
              </w:rPr>
              <w:t>8,02</w:t>
            </w:r>
          </w:p>
        </w:tc>
      </w:tr>
      <w:tr w:rsidR="00CD50F3" w:rsidRPr="00EA410F" w14:paraId="307B3631" w14:textId="77777777" w:rsidTr="007F5E43">
        <w:trPr>
          <w:jc w:val="center"/>
        </w:trPr>
        <w:tc>
          <w:tcPr>
            <w:tcW w:w="704" w:type="dxa"/>
          </w:tcPr>
          <w:p w14:paraId="75B793F2" w14:textId="77777777" w:rsidR="00CD50F3" w:rsidRPr="00EA410F" w:rsidRDefault="00CD50F3" w:rsidP="00EA410F">
            <w:pPr>
              <w:jc w:val="center"/>
              <w:rPr>
                <w:rFonts w:cs="Times New Roman"/>
                <w:bCs/>
                <w:sz w:val="20"/>
                <w:szCs w:val="20"/>
              </w:rPr>
            </w:pPr>
            <w:r w:rsidRPr="00EA410F">
              <w:rPr>
                <w:rFonts w:cs="Times New Roman"/>
                <w:bCs/>
                <w:sz w:val="20"/>
                <w:szCs w:val="20"/>
              </w:rPr>
              <w:t>3.</w:t>
            </w:r>
          </w:p>
        </w:tc>
        <w:tc>
          <w:tcPr>
            <w:tcW w:w="3969" w:type="dxa"/>
            <w:vAlign w:val="center"/>
          </w:tcPr>
          <w:p w14:paraId="1EB3A101"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Cyclopentane</w:t>
            </w:r>
            <w:proofErr w:type="spellEnd"/>
          </w:p>
        </w:tc>
        <w:tc>
          <w:tcPr>
            <w:tcW w:w="2268" w:type="dxa"/>
          </w:tcPr>
          <w:p w14:paraId="6C346107" w14:textId="77777777" w:rsidR="00CD50F3" w:rsidRPr="00EA410F" w:rsidRDefault="00CD50F3" w:rsidP="00EA410F">
            <w:pPr>
              <w:jc w:val="center"/>
              <w:rPr>
                <w:rFonts w:cs="Times New Roman"/>
                <w:sz w:val="20"/>
                <w:szCs w:val="20"/>
              </w:rPr>
            </w:pPr>
            <w:r w:rsidRPr="00EA410F">
              <w:rPr>
                <w:rFonts w:cs="Times New Roman"/>
                <w:sz w:val="20"/>
                <w:szCs w:val="20"/>
              </w:rPr>
              <w:t>1,82</w:t>
            </w:r>
          </w:p>
        </w:tc>
      </w:tr>
      <w:tr w:rsidR="00CD50F3" w:rsidRPr="00EA410F" w14:paraId="13A480BC" w14:textId="77777777" w:rsidTr="007F5E43">
        <w:trPr>
          <w:jc w:val="center"/>
        </w:trPr>
        <w:tc>
          <w:tcPr>
            <w:tcW w:w="704" w:type="dxa"/>
          </w:tcPr>
          <w:p w14:paraId="01DAB7F7" w14:textId="77777777" w:rsidR="00CD50F3" w:rsidRPr="00EA410F" w:rsidRDefault="00CD50F3" w:rsidP="00EA410F">
            <w:pPr>
              <w:jc w:val="center"/>
              <w:rPr>
                <w:rFonts w:cs="Times New Roman"/>
                <w:bCs/>
                <w:sz w:val="20"/>
                <w:szCs w:val="20"/>
              </w:rPr>
            </w:pPr>
            <w:r w:rsidRPr="00EA410F">
              <w:rPr>
                <w:rFonts w:cs="Times New Roman"/>
                <w:bCs/>
                <w:sz w:val="20"/>
                <w:szCs w:val="20"/>
              </w:rPr>
              <w:t>4.</w:t>
            </w:r>
          </w:p>
        </w:tc>
        <w:tc>
          <w:tcPr>
            <w:tcW w:w="3969" w:type="dxa"/>
            <w:vAlign w:val="center"/>
          </w:tcPr>
          <w:p w14:paraId="3ED0411E"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Cyclohexane</w:t>
            </w:r>
            <w:proofErr w:type="spellEnd"/>
          </w:p>
        </w:tc>
        <w:tc>
          <w:tcPr>
            <w:tcW w:w="2268" w:type="dxa"/>
          </w:tcPr>
          <w:p w14:paraId="565EF331" w14:textId="77777777" w:rsidR="00CD50F3" w:rsidRPr="00EA410F" w:rsidRDefault="00CD50F3" w:rsidP="00EA410F">
            <w:pPr>
              <w:jc w:val="center"/>
              <w:rPr>
                <w:rFonts w:cs="Times New Roman"/>
                <w:sz w:val="20"/>
                <w:szCs w:val="20"/>
              </w:rPr>
            </w:pPr>
            <w:r w:rsidRPr="00EA410F">
              <w:rPr>
                <w:rFonts w:cs="Times New Roman"/>
                <w:sz w:val="20"/>
                <w:szCs w:val="20"/>
              </w:rPr>
              <w:t>1,54</w:t>
            </w:r>
          </w:p>
        </w:tc>
      </w:tr>
      <w:tr w:rsidR="00CD50F3" w:rsidRPr="00EA410F" w14:paraId="687FA470" w14:textId="77777777" w:rsidTr="007F5E43">
        <w:trPr>
          <w:jc w:val="center"/>
        </w:trPr>
        <w:tc>
          <w:tcPr>
            <w:tcW w:w="704" w:type="dxa"/>
          </w:tcPr>
          <w:p w14:paraId="28EB6F49" w14:textId="77777777" w:rsidR="00CD50F3" w:rsidRPr="00EA410F" w:rsidRDefault="00CD50F3" w:rsidP="00EA410F">
            <w:pPr>
              <w:jc w:val="center"/>
              <w:rPr>
                <w:rFonts w:cs="Times New Roman"/>
                <w:bCs/>
                <w:sz w:val="20"/>
                <w:szCs w:val="20"/>
              </w:rPr>
            </w:pPr>
            <w:r w:rsidRPr="00EA410F">
              <w:rPr>
                <w:rFonts w:cs="Times New Roman"/>
                <w:bCs/>
                <w:sz w:val="20"/>
                <w:szCs w:val="20"/>
              </w:rPr>
              <w:t>5.</w:t>
            </w:r>
          </w:p>
        </w:tc>
        <w:tc>
          <w:tcPr>
            <w:tcW w:w="3969" w:type="dxa"/>
            <w:vAlign w:val="center"/>
          </w:tcPr>
          <w:p w14:paraId="6B1905D4"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Hexane</w:t>
            </w:r>
            <w:proofErr w:type="spellEnd"/>
          </w:p>
        </w:tc>
        <w:tc>
          <w:tcPr>
            <w:tcW w:w="2268" w:type="dxa"/>
          </w:tcPr>
          <w:p w14:paraId="3A018CB4" w14:textId="77777777" w:rsidR="00CD50F3" w:rsidRPr="00EA410F" w:rsidRDefault="00CD50F3" w:rsidP="00EA410F">
            <w:pPr>
              <w:jc w:val="center"/>
              <w:rPr>
                <w:rFonts w:cs="Times New Roman"/>
                <w:sz w:val="20"/>
                <w:szCs w:val="20"/>
              </w:rPr>
            </w:pPr>
            <w:r w:rsidRPr="00EA410F">
              <w:rPr>
                <w:rFonts w:cs="Times New Roman"/>
                <w:sz w:val="20"/>
                <w:szCs w:val="20"/>
              </w:rPr>
              <w:t>0,34</w:t>
            </w:r>
          </w:p>
        </w:tc>
      </w:tr>
      <w:tr w:rsidR="00CD50F3" w:rsidRPr="00EA410F" w14:paraId="2279F5BC" w14:textId="77777777" w:rsidTr="007F5E43">
        <w:trPr>
          <w:jc w:val="center"/>
        </w:trPr>
        <w:tc>
          <w:tcPr>
            <w:tcW w:w="704" w:type="dxa"/>
          </w:tcPr>
          <w:p w14:paraId="03D44EBB" w14:textId="77777777" w:rsidR="00CD50F3" w:rsidRPr="00EA410F" w:rsidRDefault="00CD50F3" w:rsidP="00EA410F">
            <w:pPr>
              <w:jc w:val="center"/>
              <w:rPr>
                <w:rFonts w:cs="Times New Roman"/>
                <w:bCs/>
                <w:sz w:val="20"/>
                <w:szCs w:val="20"/>
              </w:rPr>
            </w:pPr>
            <w:r w:rsidRPr="00EA410F">
              <w:rPr>
                <w:rFonts w:cs="Times New Roman"/>
                <w:bCs/>
                <w:sz w:val="20"/>
                <w:szCs w:val="20"/>
              </w:rPr>
              <w:t>6.</w:t>
            </w:r>
          </w:p>
        </w:tc>
        <w:tc>
          <w:tcPr>
            <w:tcW w:w="3969" w:type="dxa"/>
            <w:vAlign w:val="center"/>
          </w:tcPr>
          <w:p w14:paraId="02DD20F2"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Heptane</w:t>
            </w:r>
            <w:proofErr w:type="spellEnd"/>
          </w:p>
        </w:tc>
        <w:tc>
          <w:tcPr>
            <w:tcW w:w="2268" w:type="dxa"/>
          </w:tcPr>
          <w:p w14:paraId="7845A28D" w14:textId="77777777" w:rsidR="00CD50F3" w:rsidRPr="00EA410F" w:rsidRDefault="00CD50F3" w:rsidP="00EA410F">
            <w:pPr>
              <w:jc w:val="center"/>
              <w:rPr>
                <w:rFonts w:cs="Times New Roman"/>
                <w:sz w:val="20"/>
                <w:szCs w:val="20"/>
              </w:rPr>
            </w:pPr>
            <w:r w:rsidRPr="00EA410F">
              <w:rPr>
                <w:rFonts w:cs="Times New Roman"/>
                <w:sz w:val="20"/>
                <w:szCs w:val="20"/>
              </w:rPr>
              <w:t>1,08</w:t>
            </w:r>
          </w:p>
        </w:tc>
      </w:tr>
      <w:tr w:rsidR="00CD50F3" w:rsidRPr="00EA410F" w14:paraId="32F7ABF8" w14:textId="77777777" w:rsidTr="007F5E43">
        <w:trPr>
          <w:jc w:val="center"/>
        </w:trPr>
        <w:tc>
          <w:tcPr>
            <w:tcW w:w="704" w:type="dxa"/>
          </w:tcPr>
          <w:p w14:paraId="3BD4F71A" w14:textId="77777777" w:rsidR="00CD50F3" w:rsidRPr="00EA410F" w:rsidRDefault="00CD50F3" w:rsidP="00EA410F">
            <w:pPr>
              <w:jc w:val="center"/>
              <w:rPr>
                <w:rFonts w:cs="Times New Roman"/>
                <w:bCs/>
                <w:sz w:val="20"/>
                <w:szCs w:val="20"/>
              </w:rPr>
            </w:pPr>
            <w:r w:rsidRPr="00EA410F">
              <w:rPr>
                <w:rFonts w:cs="Times New Roman"/>
                <w:bCs/>
                <w:sz w:val="20"/>
                <w:szCs w:val="20"/>
              </w:rPr>
              <w:t>7.</w:t>
            </w:r>
          </w:p>
        </w:tc>
        <w:tc>
          <w:tcPr>
            <w:tcW w:w="3969" w:type="dxa"/>
            <w:vAlign w:val="center"/>
          </w:tcPr>
          <w:p w14:paraId="7418770F"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Octane</w:t>
            </w:r>
            <w:proofErr w:type="spellEnd"/>
          </w:p>
        </w:tc>
        <w:tc>
          <w:tcPr>
            <w:tcW w:w="2268" w:type="dxa"/>
          </w:tcPr>
          <w:p w14:paraId="699C79C0" w14:textId="77777777" w:rsidR="00CD50F3" w:rsidRPr="00EA410F" w:rsidRDefault="00CD50F3" w:rsidP="00EA410F">
            <w:pPr>
              <w:jc w:val="center"/>
              <w:rPr>
                <w:rFonts w:cs="Times New Roman"/>
                <w:sz w:val="20"/>
                <w:szCs w:val="20"/>
              </w:rPr>
            </w:pPr>
            <w:r w:rsidRPr="00EA410F">
              <w:rPr>
                <w:rFonts w:cs="Times New Roman"/>
                <w:sz w:val="20"/>
                <w:szCs w:val="20"/>
              </w:rPr>
              <w:t>31,67</w:t>
            </w:r>
          </w:p>
        </w:tc>
      </w:tr>
      <w:tr w:rsidR="00CD50F3" w:rsidRPr="00EA410F" w14:paraId="73A3DA19" w14:textId="77777777" w:rsidTr="007F5E43">
        <w:trPr>
          <w:jc w:val="center"/>
        </w:trPr>
        <w:tc>
          <w:tcPr>
            <w:tcW w:w="704" w:type="dxa"/>
          </w:tcPr>
          <w:p w14:paraId="628D0E2D" w14:textId="77777777" w:rsidR="00CD50F3" w:rsidRPr="00EA410F" w:rsidRDefault="00CD50F3" w:rsidP="00EA410F">
            <w:pPr>
              <w:jc w:val="center"/>
              <w:rPr>
                <w:rFonts w:cs="Times New Roman"/>
                <w:bCs/>
                <w:sz w:val="20"/>
                <w:szCs w:val="20"/>
              </w:rPr>
            </w:pPr>
            <w:r w:rsidRPr="00EA410F">
              <w:rPr>
                <w:rFonts w:cs="Times New Roman"/>
                <w:bCs/>
                <w:sz w:val="20"/>
                <w:szCs w:val="20"/>
              </w:rPr>
              <w:t>8.</w:t>
            </w:r>
          </w:p>
        </w:tc>
        <w:tc>
          <w:tcPr>
            <w:tcW w:w="3969" w:type="dxa"/>
            <w:vAlign w:val="center"/>
          </w:tcPr>
          <w:p w14:paraId="5865C051"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Nonane</w:t>
            </w:r>
            <w:proofErr w:type="spellEnd"/>
          </w:p>
        </w:tc>
        <w:tc>
          <w:tcPr>
            <w:tcW w:w="2268" w:type="dxa"/>
          </w:tcPr>
          <w:p w14:paraId="528FD9D0" w14:textId="77777777" w:rsidR="00CD50F3" w:rsidRPr="00EA410F" w:rsidRDefault="00CD50F3" w:rsidP="00EA410F">
            <w:pPr>
              <w:jc w:val="center"/>
              <w:rPr>
                <w:rFonts w:cs="Times New Roman"/>
                <w:sz w:val="20"/>
                <w:szCs w:val="20"/>
              </w:rPr>
            </w:pPr>
            <w:r w:rsidRPr="00EA410F">
              <w:rPr>
                <w:rFonts w:cs="Times New Roman"/>
                <w:sz w:val="20"/>
                <w:szCs w:val="20"/>
              </w:rPr>
              <w:t>0,63</w:t>
            </w:r>
          </w:p>
        </w:tc>
      </w:tr>
      <w:tr w:rsidR="00CD50F3" w:rsidRPr="00EA410F" w14:paraId="606563F6" w14:textId="77777777" w:rsidTr="007F5E43">
        <w:trPr>
          <w:jc w:val="center"/>
        </w:trPr>
        <w:tc>
          <w:tcPr>
            <w:tcW w:w="704" w:type="dxa"/>
          </w:tcPr>
          <w:p w14:paraId="6FF2F39B" w14:textId="77777777" w:rsidR="00CD50F3" w:rsidRPr="00EA410F" w:rsidRDefault="00CD50F3" w:rsidP="00EA410F">
            <w:pPr>
              <w:jc w:val="center"/>
              <w:rPr>
                <w:rFonts w:cs="Times New Roman"/>
                <w:bCs/>
                <w:sz w:val="20"/>
                <w:szCs w:val="20"/>
              </w:rPr>
            </w:pPr>
            <w:r w:rsidRPr="00EA410F">
              <w:rPr>
                <w:rFonts w:cs="Times New Roman"/>
                <w:bCs/>
                <w:sz w:val="20"/>
                <w:szCs w:val="20"/>
              </w:rPr>
              <w:t>9.</w:t>
            </w:r>
          </w:p>
        </w:tc>
        <w:tc>
          <w:tcPr>
            <w:tcW w:w="3969" w:type="dxa"/>
            <w:vAlign w:val="center"/>
          </w:tcPr>
          <w:p w14:paraId="56786B55" w14:textId="77777777" w:rsidR="00CD50F3" w:rsidRPr="00EA410F" w:rsidRDefault="00CD50F3" w:rsidP="00EA410F">
            <w:pPr>
              <w:rPr>
                <w:rFonts w:cs="Times New Roman"/>
                <w:sz w:val="20"/>
                <w:szCs w:val="20"/>
              </w:rPr>
            </w:pPr>
            <w:r w:rsidRPr="00EA410F">
              <w:rPr>
                <w:rFonts w:eastAsia="Times New Roman" w:cs="Times New Roman"/>
                <w:sz w:val="20"/>
                <w:szCs w:val="20"/>
                <w:lang w:eastAsia="ru-RU"/>
              </w:rPr>
              <w:t>1-Decene</w:t>
            </w:r>
          </w:p>
        </w:tc>
        <w:tc>
          <w:tcPr>
            <w:tcW w:w="2268" w:type="dxa"/>
          </w:tcPr>
          <w:p w14:paraId="64BA769D" w14:textId="77777777" w:rsidR="00CD50F3" w:rsidRPr="00EA410F" w:rsidRDefault="00CD50F3" w:rsidP="00EA410F">
            <w:pPr>
              <w:jc w:val="center"/>
              <w:rPr>
                <w:rFonts w:cs="Times New Roman"/>
                <w:sz w:val="20"/>
                <w:szCs w:val="20"/>
              </w:rPr>
            </w:pPr>
            <w:r w:rsidRPr="00EA410F">
              <w:rPr>
                <w:rFonts w:cs="Times New Roman"/>
                <w:sz w:val="20"/>
                <w:szCs w:val="20"/>
              </w:rPr>
              <w:t>0,04</w:t>
            </w:r>
          </w:p>
        </w:tc>
      </w:tr>
      <w:tr w:rsidR="00CD50F3" w:rsidRPr="00EA410F" w14:paraId="2C49333A" w14:textId="77777777" w:rsidTr="007F5E43">
        <w:trPr>
          <w:jc w:val="center"/>
        </w:trPr>
        <w:tc>
          <w:tcPr>
            <w:tcW w:w="704" w:type="dxa"/>
          </w:tcPr>
          <w:p w14:paraId="2CB8C908" w14:textId="77777777" w:rsidR="00CD50F3" w:rsidRPr="00EA410F" w:rsidRDefault="00CD50F3" w:rsidP="00EA410F">
            <w:pPr>
              <w:jc w:val="center"/>
              <w:rPr>
                <w:rFonts w:cs="Times New Roman"/>
                <w:bCs/>
                <w:sz w:val="20"/>
                <w:szCs w:val="20"/>
              </w:rPr>
            </w:pPr>
            <w:r w:rsidRPr="00EA410F">
              <w:rPr>
                <w:rFonts w:cs="Times New Roman"/>
                <w:bCs/>
                <w:sz w:val="20"/>
                <w:szCs w:val="20"/>
              </w:rPr>
              <w:t>10.</w:t>
            </w:r>
          </w:p>
        </w:tc>
        <w:tc>
          <w:tcPr>
            <w:tcW w:w="3969" w:type="dxa"/>
            <w:vAlign w:val="center"/>
          </w:tcPr>
          <w:p w14:paraId="48050AA0"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Decane</w:t>
            </w:r>
            <w:proofErr w:type="spellEnd"/>
          </w:p>
        </w:tc>
        <w:tc>
          <w:tcPr>
            <w:tcW w:w="2268" w:type="dxa"/>
          </w:tcPr>
          <w:p w14:paraId="04758A59" w14:textId="77777777" w:rsidR="00CD50F3" w:rsidRPr="00EA410F" w:rsidRDefault="00CD50F3" w:rsidP="00EA410F">
            <w:pPr>
              <w:jc w:val="center"/>
              <w:rPr>
                <w:rFonts w:cs="Times New Roman"/>
                <w:sz w:val="20"/>
                <w:szCs w:val="20"/>
              </w:rPr>
            </w:pPr>
            <w:r w:rsidRPr="00EA410F">
              <w:rPr>
                <w:rFonts w:cs="Times New Roman"/>
                <w:sz w:val="20"/>
                <w:szCs w:val="20"/>
              </w:rPr>
              <w:t>30,65</w:t>
            </w:r>
          </w:p>
        </w:tc>
      </w:tr>
      <w:tr w:rsidR="00CD50F3" w:rsidRPr="00EA410F" w14:paraId="1244A53B" w14:textId="77777777" w:rsidTr="007F5E43">
        <w:trPr>
          <w:jc w:val="center"/>
        </w:trPr>
        <w:tc>
          <w:tcPr>
            <w:tcW w:w="704" w:type="dxa"/>
          </w:tcPr>
          <w:p w14:paraId="0F3F0912" w14:textId="77777777" w:rsidR="00CD50F3" w:rsidRPr="00EA410F" w:rsidRDefault="00CD50F3" w:rsidP="00EA410F">
            <w:pPr>
              <w:jc w:val="center"/>
              <w:rPr>
                <w:rFonts w:cs="Times New Roman"/>
                <w:bCs/>
                <w:sz w:val="20"/>
                <w:szCs w:val="20"/>
              </w:rPr>
            </w:pPr>
            <w:r w:rsidRPr="00EA410F">
              <w:rPr>
                <w:rFonts w:cs="Times New Roman"/>
                <w:bCs/>
                <w:sz w:val="20"/>
                <w:szCs w:val="20"/>
              </w:rPr>
              <w:t>11.</w:t>
            </w:r>
          </w:p>
        </w:tc>
        <w:tc>
          <w:tcPr>
            <w:tcW w:w="3969" w:type="dxa"/>
            <w:vAlign w:val="center"/>
          </w:tcPr>
          <w:p w14:paraId="004BB895"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Undecane</w:t>
            </w:r>
            <w:proofErr w:type="spellEnd"/>
          </w:p>
        </w:tc>
        <w:tc>
          <w:tcPr>
            <w:tcW w:w="2268" w:type="dxa"/>
          </w:tcPr>
          <w:p w14:paraId="73F4D2B7" w14:textId="77777777" w:rsidR="00CD50F3" w:rsidRPr="00EA410F" w:rsidRDefault="00CD50F3" w:rsidP="00EA410F">
            <w:pPr>
              <w:jc w:val="center"/>
              <w:rPr>
                <w:rFonts w:cs="Times New Roman"/>
                <w:sz w:val="20"/>
                <w:szCs w:val="20"/>
              </w:rPr>
            </w:pPr>
            <w:r w:rsidRPr="00EA410F">
              <w:rPr>
                <w:rFonts w:cs="Times New Roman"/>
                <w:sz w:val="20"/>
                <w:szCs w:val="20"/>
              </w:rPr>
              <w:t>0,11</w:t>
            </w:r>
          </w:p>
        </w:tc>
      </w:tr>
      <w:tr w:rsidR="00CD50F3" w:rsidRPr="00EA410F" w14:paraId="3625FE86" w14:textId="77777777" w:rsidTr="007F5E43">
        <w:trPr>
          <w:jc w:val="center"/>
        </w:trPr>
        <w:tc>
          <w:tcPr>
            <w:tcW w:w="704" w:type="dxa"/>
          </w:tcPr>
          <w:p w14:paraId="6E8375C3" w14:textId="77777777" w:rsidR="00CD50F3" w:rsidRPr="00EA410F" w:rsidRDefault="00CD50F3" w:rsidP="00EA410F">
            <w:pPr>
              <w:jc w:val="center"/>
              <w:rPr>
                <w:rFonts w:cs="Times New Roman"/>
                <w:bCs/>
                <w:sz w:val="20"/>
                <w:szCs w:val="20"/>
              </w:rPr>
            </w:pPr>
            <w:r w:rsidRPr="00EA410F">
              <w:rPr>
                <w:rFonts w:cs="Times New Roman"/>
                <w:bCs/>
                <w:sz w:val="20"/>
                <w:szCs w:val="20"/>
              </w:rPr>
              <w:t>12.</w:t>
            </w:r>
          </w:p>
        </w:tc>
        <w:tc>
          <w:tcPr>
            <w:tcW w:w="3969" w:type="dxa"/>
            <w:vAlign w:val="center"/>
          </w:tcPr>
          <w:p w14:paraId="4449B5EC" w14:textId="77777777" w:rsidR="00CD50F3" w:rsidRPr="00EA410F" w:rsidRDefault="00CD50F3" w:rsidP="00EA410F">
            <w:pPr>
              <w:rPr>
                <w:rFonts w:cs="Times New Roman"/>
                <w:sz w:val="20"/>
                <w:szCs w:val="20"/>
              </w:rPr>
            </w:pPr>
            <w:r w:rsidRPr="00EA410F">
              <w:rPr>
                <w:rFonts w:eastAsia="Times New Roman" w:cs="Times New Roman"/>
                <w:sz w:val="20"/>
                <w:szCs w:val="20"/>
                <w:lang w:eastAsia="ru-RU"/>
              </w:rPr>
              <w:t xml:space="preserve">2,6-Dimethyl </w:t>
            </w:r>
            <w:proofErr w:type="spellStart"/>
            <w:r w:rsidRPr="00EA410F">
              <w:rPr>
                <w:rFonts w:eastAsia="Times New Roman" w:cs="Times New Roman"/>
                <w:sz w:val="20"/>
                <w:szCs w:val="20"/>
                <w:lang w:eastAsia="ru-RU"/>
              </w:rPr>
              <w:t>decane</w:t>
            </w:r>
            <w:proofErr w:type="spellEnd"/>
          </w:p>
        </w:tc>
        <w:tc>
          <w:tcPr>
            <w:tcW w:w="2268" w:type="dxa"/>
          </w:tcPr>
          <w:p w14:paraId="5AD4F0C8" w14:textId="77777777" w:rsidR="00CD50F3" w:rsidRPr="00EA410F" w:rsidRDefault="00CD50F3" w:rsidP="00EA410F">
            <w:pPr>
              <w:jc w:val="center"/>
              <w:rPr>
                <w:rFonts w:cs="Times New Roman"/>
                <w:sz w:val="20"/>
                <w:szCs w:val="20"/>
              </w:rPr>
            </w:pPr>
            <w:r w:rsidRPr="00EA410F">
              <w:rPr>
                <w:rFonts w:cs="Times New Roman"/>
                <w:sz w:val="20"/>
                <w:szCs w:val="20"/>
              </w:rPr>
              <w:t>0,21</w:t>
            </w:r>
          </w:p>
        </w:tc>
      </w:tr>
      <w:tr w:rsidR="00CD50F3" w:rsidRPr="00EA410F" w14:paraId="3870DAE6" w14:textId="77777777" w:rsidTr="007F5E43">
        <w:trPr>
          <w:jc w:val="center"/>
        </w:trPr>
        <w:tc>
          <w:tcPr>
            <w:tcW w:w="704" w:type="dxa"/>
          </w:tcPr>
          <w:p w14:paraId="6AA23AA9" w14:textId="77777777" w:rsidR="00CD50F3" w:rsidRPr="00EA410F" w:rsidRDefault="00CD50F3" w:rsidP="00EA410F">
            <w:pPr>
              <w:jc w:val="center"/>
              <w:rPr>
                <w:rFonts w:cs="Times New Roman"/>
                <w:bCs/>
                <w:sz w:val="20"/>
                <w:szCs w:val="20"/>
              </w:rPr>
            </w:pPr>
            <w:r w:rsidRPr="00EA410F">
              <w:rPr>
                <w:rFonts w:cs="Times New Roman"/>
                <w:bCs/>
                <w:sz w:val="20"/>
                <w:szCs w:val="20"/>
              </w:rPr>
              <w:t>13.</w:t>
            </w:r>
          </w:p>
        </w:tc>
        <w:tc>
          <w:tcPr>
            <w:tcW w:w="3969" w:type="dxa"/>
            <w:vAlign w:val="center"/>
          </w:tcPr>
          <w:p w14:paraId="6CB15962"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Dodecane</w:t>
            </w:r>
            <w:proofErr w:type="spellEnd"/>
          </w:p>
        </w:tc>
        <w:tc>
          <w:tcPr>
            <w:tcW w:w="2268" w:type="dxa"/>
          </w:tcPr>
          <w:p w14:paraId="6ABEE555" w14:textId="77777777" w:rsidR="00CD50F3" w:rsidRPr="00EA410F" w:rsidRDefault="00CD50F3" w:rsidP="00EA410F">
            <w:pPr>
              <w:jc w:val="center"/>
              <w:rPr>
                <w:rFonts w:cs="Times New Roman"/>
                <w:sz w:val="20"/>
                <w:szCs w:val="20"/>
              </w:rPr>
            </w:pPr>
            <w:r w:rsidRPr="00EA410F">
              <w:rPr>
                <w:rFonts w:cs="Times New Roman"/>
                <w:sz w:val="20"/>
                <w:szCs w:val="20"/>
              </w:rPr>
              <w:t>15,01</w:t>
            </w:r>
          </w:p>
        </w:tc>
      </w:tr>
      <w:tr w:rsidR="00CD50F3" w:rsidRPr="00EA410F" w14:paraId="4899C261" w14:textId="77777777" w:rsidTr="007F5E43">
        <w:trPr>
          <w:jc w:val="center"/>
        </w:trPr>
        <w:tc>
          <w:tcPr>
            <w:tcW w:w="704" w:type="dxa"/>
          </w:tcPr>
          <w:p w14:paraId="5C8A8E68" w14:textId="77777777" w:rsidR="00CD50F3" w:rsidRPr="00EA410F" w:rsidRDefault="00CD50F3" w:rsidP="00EA410F">
            <w:pPr>
              <w:jc w:val="center"/>
              <w:rPr>
                <w:rFonts w:cs="Times New Roman"/>
                <w:bCs/>
                <w:sz w:val="20"/>
                <w:szCs w:val="20"/>
              </w:rPr>
            </w:pPr>
            <w:r w:rsidRPr="00EA410F">
              <w:rPr>
                <w:rFonts w:cs="Times New Roman"/>
                <w:bCs/>
                <w:sz w:val="20"/>
                <w:szCs w:val="20"/>
              </w:rPr>
              <w:t>14.</w:t>
            </w:r>
          </w:p>
        </w:tc>
        <w:tc>
          <w:tcPr>
            <w:tcW w:w="3969" w:type="dxa"/>
            <w:vAlign w:val="center"/>
          </w:tcPr>
          <w:p w14:paraId="4A86185A"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Tridecane</w:t>
            </w:r>
            <w:proofErr w:type="spellEnd"/>
          </w:p>
        </w:tc>
        <w:tc>
          <w:tcPr>
            <w:tcW w:w="2268" w:type="dxa"/>
          </w:tcPr>
          <w:p w14:paraId="1561161B" w14:textId="77777777" w:rsidR="00CD50F3" w:rsidRPr="00EA410F" w:rsidRDefault="00CD50F3" w:rsidP="00EA410F">
            <w:pPr>
              <w:jc w:val="center"/>
              <w:rPr>
                <w:rFonts w:cs="Times New Roman"/>
                <w:sz w:val="20"/>
                <w:szCs w:val="20"/>
              </w:rPr>
            </w:pPr>
            <w:r w:rsidRPr="00EA410F">
              <w:rPr>
                <w:rFonts w:cs="Times New Roman"/>
                <w:sz w:val="20"/>
                <w:szCs w:val="20"/>
              </w:rPr>
              <w:t>0,16</w:t>
            </w:r>
          </w:p>
        </w:tc>
      </w:tr>
      <w:tr w:rsidR="00CD50F3" w:rsidRPr="00EA410F" w14:paraId="29596B64" w14:textId="77777777" w:rsidTr="007F5E43">
        <w:trPr>
          <w:jc w:val="center"/>
        </w:trPr>
        <w:tc>
          <w:tcPr>
            <w:tcW w:w="704" w:type="dxa"/>
          </w:tcPr>
          <w:p w14:paraId="4DC2E266" w14:textId="77777777" w:rsidR="00CD50F3" w:rsidRPr="00EA410F" w:rsidRDefault="00CD50F3" w:rsidP="00EA410F">
            <w:pPr>
              <w:jc w:val="center"/>
              <w:rPr>
                <w:rFonts w:cs="Times New Roman"/>
                <w:bCs/>
                <w:sz w:val="20"/>
                <w:szCs w:val="20"/>
              </w:rPr>
            </w:pPr>
            <w:r w:rsidRPr="00EA410F">
              <w:rPr>
                <w:rFonts w:cs="Times New Roman"/>
                <w:bCs/>
                <w:sz w:val="20"/>
                <w:szCs w:val="20"/>
              </w:rPr>
              <w:t>15.</w:t>
            </w:r>
          </w:p>
        </w:tc>
        <w:tc>
          <w:tcPr>
            <w:tcW w:w="3969" w:type="dxa"/>
            <w:vAlign w:val="center"/>
          </w:tcPr>
          <w:p w14:paraId="487430C1"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Cyclotetradecane</w:t>
            </w:r>
            <w:proofErr w:type="spellEnd"/>
          </w:p>
        </w:tc>
        <w:tc>
          <w:tcPr>
            <w:tcW w:w="2268" w:type="dxa"/>
          </w:tcPr>
          <w:p w14:paraId="2C7F43D1" w14:textId="77777777" w:rsidR="00CD50F3" w:rsidRPr="00EA410F" w:rsidRDefault="00CD50F3" w:rsidP="00EA410F">
            <w:pPr>
              <w:jc w:val="center"/>
              <w:rPr>
                <w:rFonts w:cs="Times New Roman"/>
                <w:sz w:val="20"/>
                <w:szCs w:val="20"/>
              </w:rPr>
            </w:pPr>
            <w:r w:rsidRPr="00EA410F">
              <w:rPr>
                <w:rFonts w:cs="Times New Roman"/>
                <w:sz w:val="20"/>
                <w:szCs w:val="20"/>
              </w:rPr>
              <w:t>0,03</w:t>
            </w:r>
          </w:p>
        </w:tc>
      </w:tr>
      <w:tr w:rsidR="00CD50F3" w:rsidRPr="00EA410F" w14:paraId="6C7E7196" w14:textId="77777777" w:rsidTr="007F5E43">
        <w:trPr>
          <w:jc w:val="center"/>
        </w:trPr>
        <w:tc>
          <w:tcPr>
            <w:tcW w:w="704" w:type="dxa"/>
          </w:tcPr>
          <w:p w14:paraId="66799339" w14:textId="77777777" w:rsidR="00CD50F3" w:rsidRPr="00EA410F" w:rsidRDefault="00CD50F3" w:rsidP="00EA410F">
            <w:pPr>
              <w:jc w:val="center"/>
              <w:rPr>
                <w:rFonts w:cs="Times New Roman"/>
                <w:bCs/>
                <w:sz w:val="20"/>
                <w:szCs w:val="20"/>
              </w:rPr>
            </w:pPr>
            <w:r w:rsidRPr="00EA410F">
              <w:rPr>
                <w:rFonts w:cs="Times New Roman"/>
                <w:bCs/>
                <w:sz w:val="20"/>
                <w:szCs w:val="20"/>
              </w:rPr>
              <w:t>16.</w:t>
            </w:r>
          </w:p>
        </w:tc>
        <w:tc>
          <w:tcPr>
            <w:tcW w:w="3969" w:type="dxa"/>
            <w:vAlign w:val="center"/>
          </w:tcPr>
          <w:p w14:paraId="6111DEE0"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Tetradecane</w:t>
            </w:r>
            <w:proofErr w:type="spellEnd"/>
          </w:p>
        </w:tc>
        <w:tc>
          <w:tcPr>
            <w:tcW w:w="2268" w:type="dxa"/>
          </w:tcPr>
          <w:p w14:paraId="05A02A2B" w14:textId="77777777" w:rsidR="00CD50F3" w:rsidRPr="00EA410F" w:rsidRDefault="00CD50F3" w:rsidP="00EA410F">
            <w:pPr>
              <w:jc w:val="center"/>
              <w:rPr>
                <w:rFonts w:cs="Times New Roman"/>
                <w:sz w:val="20"/>
                <w:szCs w:val="20"/>
              </w:rPr>
            </w:pPr>
            <w:r w:rsidRPr="00EA410F">
              <w:rPr>
                <w:rFonts w:cs="Times New Roman"/>
                <w:sz w:val="20"/>
                <w:szCs w:val="20"/>
              </w:rPr>
              <w:t>4,65</w:t>
            </w:r>
          </w:p>
        </w:tc>
      </w:tr>
      <w:tr w:rsidR="00CD50F3" w:rsidRPr="00EA410F" w14:paraId="5324248C" w14:textId="77777777" w:rsidTr="007F5E43">
        <w:trPr>
          <w:jc w:val="center"/>
        </w:trPr>
        <w:tc>
          <w:tcPr>
            <w:tcW w:w="704" w:type="dxa"/>
          </w:tcPr>
          <w:p w14:paraId="49D869A6" w14:textId="77777777" w:rsidR="00CD50F3" w:rsidRPr="00EA410F" w:rsidRDefault="00CD50F3" w:rsidP="00EA410F">
            <w:pPr>
              <w:jc w:val="center"/>
              <w:rPr>
                <w:rFonts w:cs="Times New Roman"/>
                <w:bCs/>
                <w:sz w:val="20"/>
                <w:szCs w:val="20"/>
              </w:rPr>
            </w:pPr>
            <w:r w:rsidRPr="00EA410F">
              <w:rPr>
                <w:rFonts w:cs="Times New Roman"/>
                <w:bCs/>
                <w:sz w:val="20"/>
                <w:szCs w:val="20"/>
              </w:rPr>
              <w:t>17.</w:t>
            </w:r>
          </w:p>
        </w:tc>
        <w:tc>
          <w:tcPr>
            <w:tcW w:w="3969" w:type="dxa"/>
            <w:vAlign w:val="center"/>
          </w:tcPr>
          <w:p w14:paraId="0E59DD59"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Pentadecane</w:t>
            </w:r>
            <w:proofErr w:type="spellEnd"/>
          </w:p>
        </w:tc>
        <w:tc>
          <w:tcPr>
            <w:tcW w:w="2268" w:type="dxa"/>
          </w:tcPr>
          <w:p w14:paraId="288D6338" w14:textId="77777777" w:rsidR="00CD50F3" w:rsidRPr="00EA410F" w:rsidRDefault="00CD50F3" w:rsidP="00EA410F">
            <w:pPr>
              <w:jc w:val="center"/>
              <w:rPr>
                <w:rFonts w:cs="Times New Roman"/>
                <w:sz w:val="20"/>
                <w:szCs w:val="20"/>
              </w:rPr>
            </w:pPr>
            <w:r w:rsidRPr="00EA410F">
              <w:rPr>
                <w:rFonts w:cs="Times New Roman"/>
                <w:sz w:val="20"/>
                <w:szCs w:val="20"/>
              </w:rPr>
              <w:t>0,02</w:t>
            </w:r>
          </w:p>
        </w:tc>
      </w:tr>
      <w:tr w:rsidR="00CD50F3" w:rsidRPr="00EA410F" w14:paraId="782EDF26" w14:textId="77777777" w:rsidTr="007F5E43">
        <w:trPr>
          <w:jc w:val="center"/>
        </w:trPr>
        <w:tc>
          <w:tcPr>
            <w:tcW w:w="704" w:type="dxa"/>
          </w:tcPr>
          <w:p w14:paraId="2C9AFA75" w14:textId="77777777" w:rsidR="00CD50F3" w:rsidRPr="00EA410F" w:rsidRDefault="00CD50F3" w:rsidP="00EA410F">
            <w:pPr>
              <w:jc w:val="center"/>
              <w:rPr>
                <w:rFonts w:cs="Times New Roman"/>
                <w:bCs/>
                <w:sz w:val="20"/>
                <w:szCs w:val="20"/>
              </w:rPr>
            </w:pPr>
            <w:r w:rsidRPr="00EA410F">
              <w:rPr>
                <w:rFonts w:cs="Times New Roman"/>
                <w:bCs/>
                <w:sz w:val="20"/>
                <w:szCs w:val="20"/>
              </w:rPr>
              <w:t>18.</w:t>
            </w:r>
          </w:p>
        </w:tc>
        <w:tc>
          <w:tcPr>
            <w:tcW w:w="3969" w:type="dxa"/>
            <w:vAlign w:val="center"/>
          </w:tcPr>
          <w:p w14:paraId="50872E0C"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Hexadecane</w:t>
            </w:r>
            <w:proofErr w:type="spellEnd"/>
          </w:p>
        </w:tc>
        <w:tc>
          <w:tcPr>
            <w:tcW w:w="2268" w:type="dxa"/>
          </w:tcPr>
          <w:p w14:paraId="6CFE7080" w14:textId="77777777" w:rsidR="00CD50F3" w:rsidRPr="00EA410F" w:rsidRDefault="00CD50F3" w:rsidP="00EA410F">
            <w:pPr>
              <w:jc w:val="center"/>
              <w:rPr>
                <w:rFonts w:cs="Times New Roman"/>
                <w:sz w:val="20"/>
                <w:szCs w:val="20"/>
              </w:rPr>
            </w:pPr>
            <w:r w:rsidRPr="00EA410F">
              <w:rPr>
                <w:rFonts w:cs="Times New Roman"/>
                <w:sz w:val="20"/>
                <w:szCs w:val="20"/>
              </w:rPr>
              <w:t>1,73</w:t>
            </w:r>
          </w:p>
        </w:tc>
      </w:tr>
      <w:tr w:rsidR="00CD50F3" w:rsidRPr="00EA410F" w14:paraId="440A51F5" w14:textId="77777777" w:rsidTr="007F5E43">
        <w:trPr>
          <w:jc w:val="center"/>
        </w:trPr>
        <w:tc>
          <w:tcPr>
            <w:tcW w:w="704" w:type="dxa"/>
          </w:tcPr>
          <w:p w14:paraId="3933B05D" w14:textId="77777777" w:rsidR="00CD50F3" w:rsidRPr="00EA410F" w:rsidRDefault="00CD50F3" w:rsidP="00EA410F">
            <w:pPr>
              <w:jc w:val="center"/>
              <w:rPr>
                <w:rFonts w:cs="Times New Roman"/>
                <w:bCs/>
                <w:sz w:val="20"/>
                <w:szCs w:val="20"/>
              </w:rPr>
            </w:pPr>
            <w:r w:rsidRPr="00EA410F">
              <w:rPr>
                <w:rFonts w:cs="Times New Roman"/>
                <w:bCs/>
                <w:sz w:val="20"/>
                <w:szCs w:val="20"/>
              </w:rPr>
              <w:t>19.</w:t>
            </w:r>
          </w:p>
        </w:tc>
        <w:tc>
          <w:tcPr>
            <w:tcW w:w="3969" w:type="dxa"/>
            <w:vAlign w:val="center"/>
          </w:tcPr>
          <w:p w14:paraId="0F01A77F"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Heptadecane</w:t>
            </w:r>
            <w:proofErr w:type="spellEnd"/>
          </w:p>
        </w:tc>
        <w:tc>
          <w:tcPr>
            <w:tcW w:w="2268" w:type="dxa"/>
          </w:tcPr>
          <w:p w14:paraId="4D836018" w14:textId="77777777" w:rsidR="00CD50F3" w:rsidRPr="00EA410F" w:rsidRDefault="00CD50F3" w:rsidP="00EA410F">
            <w:pPr>
              <w:jc w:val="center"/>
              <w:rPr>
                <w:rFonts w:cs="Times New Roman"/>
                <w:sz w:val="20"/>
                <w:szCs w:val="20"/>
              </w:rPr>
            </w:pPr>
            <w:r w:rsidRPr="00EA410F">
              <w:rPr>
                <w:rFonts w:cs="Times New Roman"/>
                <w:sz w:val="20"/>
                <w:szCs w:val="20"/>
              </w:rPr>
              <w:t>0,49</w:t>
            </w:r>
          </w:p>
        </w:tc>
      </w:tr>
      <w:tr w:rsidR="00CD50F3" w:rsidRPr="00EA410F" w14:paraId="605B0EC5" w14:textId="77777777" w:rsidTr="007F5E43">
        <w:trPr>
          <w:jc w:val="center"/>
        </w:trPr>
        <w:tc>
          <w:tcPr>
            <w:tcW w:w="4673" w:type="dxa"/>
            <w:gridSpan w:val="2"/>
          </w:tcPr>
          <w:p w14:paraId="5AF70AA8" w14:textId="77777777" w:rsidR="00CD50F3" w:rsidRPr="00EA410F" w:rsidRDefault="00CD50F3" w:rsidP="00EA410F">
            <w:pPr>
              <w:rPr>
                <w:rFonts w:cs="Times New Roman"/>
                <w:b/>
                <w:bCs/>
                <w:sz w:val="20"/>
                <w:szCs w:val="20"/>
              </w:rPr>
            </w:pPr>
            <w:r w:rsidRPr="00EA410F">
              <w:rPr>
                <w:rFonts w:eastAsia="Times New Roman" w:cs="Times New Roman"/>
                <w:b/>
                <w:bCs/>
                <w:sz w:val="20"/>
                <w:szCs w:val="20"/>
                <w:lang w:eastAsia="ru-RU"/>
              </w:rPr>
              <w:t>Total</w:t>
            </w:r>
            <w:r w:rsidRPr="00EA410F">
              <w:rPr>
                <w:rFonts w:cs="Times New Roman"/>
                <w:b/>
                <w:bCs/>
                <w:sz w:val="20"/>
                <w:szCs w:val="20"/>
              </w:rPr>
              <w:t>:</w:t>
            </w:r>
          </w:p>
        </w:tc>
        <w:tc>
          <w:tcPr>
            <w:tcW w:w="2268" w:type="dxa"/>
          </w:tcPr>
          <w:p w14:paraId="5260A306" w14:textId="77777777" w:rsidR="00CD50F3" w:rsidRPr="00EA410F" w:rsidRDefault="00CD50F3" w:rsidP="00EA410F">
            <w:pPr>
              <w:jc w:val="center"/>
              <w:rPr>
                <w:rFonts w:cs="Times New Roman"/>
                <w:b/>
                <w:bCs/>
                <w:sz w:val="20"/>
                <w:szCs w:val="20"/>
              </w:rPr>
            </w:pPr>
            <w:r w:rsidRPr="00EA410F">
              <w:rPr>
                <w:rFonts w:cs="Times New Roman"/>
                <w:b/>
                <w:bCs/>
                <w:sz w:val="20"/>
                <w:szCs w:val="20"/>
              </w:rPr>
              <w:t>100</w:t>
            </w:r>
          </w:p>
        </w:tc>
      </w:tr>
    </w:tbl>
    <w:p w14:paraId="2052837F" w14:textId="77777777" w:rsidR="00CD50F3" w:rsidRPr="00EA410F" w:rsidRDefault="00CD50F3" w:rsidP="00EA410F">
      <w:pPr>
        <w:pStyle w:val="a3"/>
        <w:spacing w:before="0" w:beforeAutospacing="0" w:after="0" w:afterAutospacing="0"/>
        <w:ind w:firstLine="708"/>
        <w:jc w:val="both"/>
        <w:rPr>
          <w:sz w:val="20"/>
          <w:szCs w:val="20"/>
          <w:lang w:val="en-US"/>
        </w:rPr>
      </w:pPr>
    </w:p>
    <w:p w14:paraId="188B5024"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Chromatographic–mass spectrometric analysis of the spent hexane used in the polyethylene production process revealed a complete absence of the original hexane (0.34%) and a predominance of high-molecular-weight hydrocarbons and their isomers. This indicates a substantial transformation of the hydrocarbon composition of the solvent as a result of repeated interaction with the catalyst system and the process media.</w:t>
      </w:r>
    </w:p>
    <w:p w14:paraId="338E46FA"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 xml:space="preserve">To isolate and concentrate the heavy paraffinic hydrocarbons from the spent solvent, adsorption purification was performed using </w:t>
      </w:r>
      <w:proofErr w:type="spellStart"/>
      <w:r w:rsidRPr="00EA410F">
        <w:rPr>
          <w:sz w:val="20"/>
          <w:szCs w:val="20"/>
          <w:lang w:val="en-US"/>
        </w:rPr>
        <w:t>CaA</w:t>
      </w:r>
      <w:proofErr w:type="spellEnd"/>
      <w:r w:rsidRPr="00EA410F">
        <w:rPr>
          <w:sz w:val="20"/>
          <w:szCs w:val="20"/>
          <w:lang w:val="en-US"/>
        </w:rPr>
        <w:t>-type zeolite (5 Å). This adsorbent possesses a well-developed porous structure and high selectivity toward normal alkanes, making it effective for the separation of paraffinic hydrocarbons [6</w:t>
      </w:r>
      <w:r w:rsidR="0063609F" w:rsidRPr="00EA410F">
        <w:rPr>
          <w:sz w:val="20"/>
          <w:szCs w:val="20"/>
          <w:lang w:val="en-US"/>
        </w:rPr>
        <w:t>-8</w:t>
      </w:r>
      <w:r w:rsidRPr="00EA410F">
        <w:rPr>
          <w:sz w:val="20"/>
          <w:szCs w:val="20"/>
          <w:lang w:val="en-US"/>
        </w:rPr>
        <w:t>].</w:t>
      </w:r>
    </w:p>
    <w:p w14:paraId="7445ACC0"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The experiments were carried out by passing 100–120 mL of the sample through 25–30 g of zeolite at a flow rate of 1 drop/sec. After the adsorbent became saturated, it was regenerated using ethanol. The paraffinic hydrocarbons were then extracted from the saturated zeolite by dissolving them in ethanol. Subsequently, the paraffinic hydrocarbons dissolved in ethanol were separated by washing the ethanol with warm purified water.</w:t>
      </w:r>
    </w:p>
    <w:p w14:paraId="300129FA" w14:textId="77777777" w:rsidR="009A57D1" w:rsidRPr="00EA410F" w:rsidRDefault="009A57D1" w:rsidP="00EA410F">
      <w:pPr>
        <w:pStyle w:val="a3"/>
        <w:spacing w:before="0" w:beforeAutospacing="0" w:after="0" w:afterAutospacing="0"/>
        <w:ind w:firstLine="708"/>
        <w:rPr>
          <w:sz w:val="20"/>
          <w:szCs w:val="20"/>
          <w:lang w:val="en-US"/>
        </w:rPr>
      </w:pPr>
      <w:r w:rsidRPr="00EA410F">
        <w:rPr>
          <w:sz w:val="20"/>
          <w:szCs w:val="20"/>
          <w:lang w:val="en-US"/>
        </w:rPr>
        <w:t>Results from a subsequent chromatographic–mass spectrometric analysis (Figure 2, Table 2) demonstrated that the composition of the analyzed sample had significantly changed following adsorption treatment.</w:t>
      </w:r>
    </w:p>
    <w:p w14:paraId="37B428C6" w14:textId="77777777" w:rsidR="009A57D1" w:rsidRPr="00EA410F" w:rsidRDefault="009A57D1" w:rsidP="00EA410F">
      <w:pPr>
        <w:spacing w:after="0"/>
        <w:jc w:val="both"/>
        <w:rPr>
          <w:rFonts w:cs="Times New Roman"/>
          <w:sz w:val="20"/>
          <w:szCs w:val="20"/>
          <w:lang w:val="en-US"/>
        </w:rPr>
      </w:pPr>
      <w:r w:rsidRPr="00EA410F">
        <w:rPr>
          <w:rFonts w:cs="Times New Roman"/>
          <w:noProof/>
          <w:sz w:val="20"/>
          <w:szCs w:val="20"/>
          <w:lang w:eastAsia="ru-RU"/>
        </w:rPr>
        <w:drawing>
          <wp:inline distT="0" distB="0" distL="0" distR="0" wp14:anchorId="6DEAF42C" wp14:editId="69A62A0D">
            <wp:extent cx="5939790" cy="228981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2289810"/>
                    </a:xfrm>
                    <a:prstGeom prst="rect">
                      <a:avLst/>
                    </a:prstGeom>
                  </pic:spPr>
                </pic:pic>
              </a:graphicData>
            </a:graphic>
          </wp:inline>
        </w:drawing>
      </w:r>
    </w:p>
    <w:p w14:paraId="158CFC50" w14:textId="760221DA" w:rsidR="009A57D1" w:rsidRPr="00EA410F" w:rsidRDefault="00EA410F" w:rsidP="00EA410F">
      <w:pPr>
        <w:spacing w:after="0"/>
        <w:jc w:val="center"/>
        <w:rPr>
          <w:rFonts w:eastAsia="Times New Roman" w:cs="Times New Roman"/>
          <w:b/>
          <w:sz w:val="18"/>
          <w:szCs w:val="18"/>
          <w:lang w:val="en-US" w:eastAsia="ru-RU"/>
        </w:rPr>
      </w:pPr>
      <w:r w:rsidRPr="00EA410F">
        <w:rPr>
          <w:rFonts w:eastAsia="Times New Roman" w:cs="Times New Roman"/>
          <w:b/>
          <w:bCs/>
          <w:sz w:val="18"/>
          <w:szCs w:val="18"/>
          <w:lang w:val="en-US" w:eastAsia="ru-RU"/>
        </w:rPr>
        <w:t xml:space="preserve">FIGURE </w:t>
      </w:r>
      <w:r w:rsidR="009A57D1" w:rsidRPr="00EA410F">
        <w:rPr>
          <w:rFonts w:eastAsia="Times New Roman" w:cs="Times New Roman"/>
          <w:b/>
          <w:bCs/>
          <w:sz w:val="18"/>
          <w:szCs w:val="18"/>
          <w:lang w:val="en-US" w:eastAsia="ru-RU"/>
        </w:rPr>
        <w:t>2.</w:t>
      </w:r>
      <w:r w:rsidR="009A57D1" w:rsidRPr="00EA410F">
        <w:rPr>
          <w:rFonts w:eastAsia="Times New Roman" w:cs="Times New Roman"/>
          <w:sz w:val="18"/>
          <w:szCs w:val="18"/>
          <w:lang w:val="en-US" w:eastAsia="ru-RU"/>
        </w:rPr>
        <w:t xml:space="preserve"> </w:t>
      </w:r>
      <w:r w:rsidR="009A57D1" w:rsidRPr="00EA410F">
        <w:rPr>
          <w:rFonts w:eastAsia="Times New Roman" w:cs="Times New Roman"/>
          <w:bCs/>
          <w:sz w:val="18"/>
          <w:szCs w:val="18"/>
          <w:lang w:val="en-US" w:eastAsia="ru-RU"/>
        </w:rPr>
        <w:t>Chromatogram of paraffinic hydrocarbons isolated from spent heavy hexane</w:t>
      </w:r>
    </w:p>
    <w:p w14:paraId="099A6935" w14:textId="49EBDED9" w:rsidR="009A57D1" w:rsidRPr="00EA410F" w:rsidRDefault="00EA410F" w:rsidP="00EA410F">
      <w:pPr>
        <w:spacing w:after="0"/>
        <w:jc w:val="center"/>
        <w:rPr>
          <w:rFonts w:eastAsia="Times New Roman" w:cs="Times New Roman"/>
          <w:bCs/>
          <w:sz w:val="18"/>
          <w:szCs w:val="18"/>
          <w:lang w:val="en-US" w:eastAsia="ru-RU"/>
        </w:rPr>
      </w:pPr>
      <w:r w:rsidRPr="00EA410F">
        <w:rPr>
          <w:rFonts w:eastAsia="Times New Roman" w:cs="Times New Roman"/>
          <w:b/>
          <w:bCs/>
          <w:sz w:val="18"/>
          <w:szCs w:val="18"/>
          <w:lang w:val="en-US" w:eastAsia="ru-RU"/>
        </w:rPr>
        <w:t xml:space="preserve">TABLE </w:t>
      </w:r>
      <w:r w:rsidR="009A57D1" w:rsidRPr="00EA410F">
        <w:rPr>
          <w:rFonts w:eastAsia="Times New Roman" w:cs="Times New Roman"/>
          <w:b/>
          <w:bCs/>
          <w:sz w:val="18"/>
          <w:szCs w:val="18"/>
          <w:lang w:val="en-US" w:eastAsia="ru-RU"/>
        </w:rPr>
        <w:t>2</w:t>
      </w:r>
      <w:r w:rsidRPr="00EA410F">
        <w:rPr>
          <w:rFonts w:eastAsia="Times New Roman" w:cs="Times New Roman"/>
          <w:b/>
          <w:bCs/>
          <w:sz w:val="18"/>
          <w:szCs w:val="18"/>
          <w:lang w:val="en-US" w:eastAsia="ru-RU"/>
        </w:rPr>
        <w:t xml:space="preserve">. </w:t>
      </w:r>
      <w:r w:rsidR="009A57D1" w:rsidRPr="00EA410F">
        <w:rPr>
          <w:rFonts w:eastAsia="Times New Roman" w:cs="Times New Roman"/>
          <w:bCs/>
          <w:sz w:val="18"/>
          <w:szCs w:val="18"/>
          <w:lang w:val="en-US" w:eastAsia="ru-RU"/>
        </w:rPr>
        <w:t>Qualitative and quantitative composition of paraffinic hydrocarbons isolated from spent heavy hexane</w:t>
      </w:r>
    </w:p>
    <w:p w14:paraId="78D11A52" w14:textId="77777777" w:rsidR="00EA410F" w:rsidRPr="00EA410F" w:rsidRDefault="00EA410F" w:rsidP="00EA410F">
      <w:pPr>
        <w:spacing w:after="0"/>
        <w:jc w:val="center"/>
        <w:rPr>
          <w:rFonts w:eastAsia="Times New Roman" w:cs="Times New Roman"/>
          <w:b/>
          <w:sz w:val="20"/>
          <w:szCs w:val="20"/>
          <w:lang w:val="en-US" w:eastAsia="ru-RU"/>
        </w:rPr>
      </w:pPr>
    </w:p>
    <w:tbl>
      <w:tblPr>
        <w:tblStyle w:val="a6"/>
        <w:tblW w:w="0" w:type="auto"/>
        <w:jc w:val="center"/>
        <w:tblLayout w:type="fixed"/>
        <w:tblLook w:val="04A0" w:firstRow="1" w:lastRow="0" w:firstColumn="1" w:lastColumn="0" w:noHBand="0" w:noVBand="1"/>
      </w:tblPr>
      <w:tblGrid>
        <w:gridCol w:w="704"/>
        <w:gridCol w:w="3969"/>
        <w:gridCol w:w="2268"/>
      </w:tblGrid>
      <w:tr w:rsidR="00CD50F3" w:rsidRPr="00EA410F" w14:paraId="43FDB67C" w14:textId="77777777" w:rsidTr="007F5E43">
        <w:trPr>
          <w:jc w:val="center"/>
        </w:trPr>
        <w:tc>
          <w:tcPr>
            <w:tcW w:w="704" w:type="dxa"/>
          </w:tcPr>
          <w:p w14:paraId="03C2CA8F" w14:textId="77777777" w:rsidR="00CD50F3" w:rsidRPr="00EA410F" w:rsidRDefault="00CD50F3" w:rsidP="00EA410F">
            <w:pPr>
              <w:ind w:firstLine="22"/>
              <w:jc w:val="center"/>
              <w:rPr>
                <w:rFonts w:cs="Times New Roman"/>
                <w:b/>
                <w:bCs/>
                <w:sz w:val="20"/>
                <w:szCs w:val="20"/>
              </w:rPr>
            </w:pPr>
            <w:r w:rsidRPr="00EA410F">
              <w:rPr>
                <w:rFonts w:cs="Times New Roman"/>
                <w:b/>
                <w:bCs/>
                <w:sz w:val="20"/>
                <w:szCs w:val="20"/>
              </w:rPr>
              <w:t>№</w:t>
            </w:r>
          </w:p>
        </w:tc>
        <w:tc>
          <w:tcPr>
            <w:tcW w:w="3969" w:type="dxa"/>
            <w:vAlign w:val="center"/>
          </w:tcPr>
          <w:p w14:paraId="62E17B2E" w14:textId="77777777" w:rsidR="00CD50F3" w:rsidRPr="00EA410F" w:rsidRDefault="00CD50F3" w:rsidP="00EA410F">
            <w:pPr>
              <w:jc w:val="center"/>
              <w:rPr>
                <w:rFonts w:cs="Times New Roman"/>
                <w:b/>
                <w:sz w:val="20"/>
                <w:szCs w:val="20"/>
              </w:rPr>
            </w:pPr>
            <w:proofErr w:type="spellStart"/>
            <w:r w:rsidRPr="00EA410F">
              <w:rPr>
                <w:rFonts w:eastAsia="Times New Roman" w:cs="Times New Roman"/>
                <w:b/>
                <w:bCs/>
                <w:sz w:val="20"/>
                <w:szCs w:val="20"/>
                <w:lang w:eastAsia="ru-RU"/>
              </w:rPr>
              <w:t>Component</w:t>
            </w:r>
            <w:proofErr w:type="spellEnd"/>
            <w:r w:rsidRPr="00EA410F">
              <w:rPr>
                <w:rFonts w:eastAsia="Times New Roman" w:cs="Times New Roman"/>
                <w:b/>
                <w:bCs/>
                <w:sz w:val="20"/>
                <w:szCs w:val="20"/>
                <w:lang w:eastAsia="ru-RU"/>
              </w:rPr>
              <w:t xml:space="preserve"> Name</w:t>
            </w:r>
          </w:p>
        </w:tc>
        <w:tc>
          <w:tcPr>
            <w:tcW w:w="2268" w:type="dxa"/>
            <w:vAlign w:val="center"/>
          </w:tcPr>
          <w:p w14:paraId="7F3F8C7E" w14:textId="77777777" w:rsidR="00CD50F3" w:rsidRPr="00EA410F" w:rsidRDefault="00CD50F3" w:rsidP="00EA410F">
            <w:pPr>
              <w:jc w:val="center"/>
              <w:rPr>
                <w:rFonts w:cs="Times New Roman"/>
                <w:b/>
                <w:sz w:val="20"/>
                <w:szCs w:val="20"/>
                <w:lang w:val="en-US"/>
              </w:rPr>
            </w:pPr>
            <w:proofErr w:type="spellStart"/>
            <w:r w:rsidRPr="00EA410F">
              <w:rPr>
                <w:rFonts w:eastAsia="Times New Roman" w:cs="Times New Roman"/>
                <w:b/>
                <w:bCs/>
                <w:sz w:val="20"/>
                <w:szCs w:val="20"/>
                <w:lang w:eastAsia="ru-RU"/>
              </w:rPr>
              <w:t>Amount</w:t>
            </w:r>
            <w:proofErr w:type="spellEnd"/>
            <w:r w:rsidRPr="00EA410F">
              <w:rPr>
                <w:rFonts w:eastAsia="Times New Roman" w:cs="Times New Roman"/>
                <w:b/>
                <w:bCs/>
                <w:sz w:val="20"/>
                <w:szCs w:val="20"/>
                <w:lang w:eastAsia="ru-RU"/>
              </w:rPr>
              <w:t>, %</w:t>
            </w:r>
          </w:p>
        </w:tc>
      </w:tr>
      <w:tr w:rsidR="00CD50F3" w:rsidRPr="00EA410F" w14:paraId="52A9ECD8" w14:textId="77777777" w:rsidTr="007F5E43">
        <w:trPr>
          <w:jc w:val="center"/>
        </w:trPr>
        <w:tc>
          <w:tcPr>
            <w:tcW w:w="704" w:type="dxa"/>
          </w:tcPr>
          <w:p w14:paraId="774E7E7F" w14:textId="77777777" w:rsidR="00CD50F3" w:rsidRPr="00EA410F" w:rsidRDefault="00CD50F3" w:rsidP="00EA410F">
            <w:pPr>
              <w:jc w:val="center"/>
              <w:rPr>
                <w:rFonts w:cs="Times New Roman"/>
                <w:bCs/>
                <w:sz w:val="20"/>
                <w:szCs w:val="20"/>
              </w:rPr>
            </w:pPr>
            <w:r w:rsidRPr="00EA410F">
              <w:rPr>
                <w:rFonts w:cs="Times New Roman"/>
                <w:bCs/>
                <w:sz w:val="20"/>
                <w:szCs w:val="20"/>
              </w:rPr>
              <w:t>1.</w:t>
            </w:r>
          </w:p>
        </w:tc>
        <w:tc>
          <w:tcPr>
            <w:tcW w:w="3969" w:type="dxa"/>
            <w:vAlign w:val="center"/>
          </w:tcPr>
          <w:p w14:paraId="1957CAF8" w14:textId="77777777" w:rsidR="00CD50F3" w:rsidRPr="00EA410F" w:rsidRDefault="00CD50F3" w:rsidP="00EA410F">
            <w:pPr>
              <w:rPr>
                <w:rFonts w:cs="Times New Roman"/>
                <w:sz w:val="20"/>
                <w:szCs w:val="20"/>
                <w:lang w:val="uz-Cyrl-UZ"/>
              </w:rPr>
            </w:pPr>
            <w:proofErr w:type="spellStart"/>
            <w:r w:rsidRPr="00EA410F">
              <w:rPr>
                <w:rFonts w:eastAsia="Times New Roman" w:cs="Times New Roman"/>
                <w:sz w:val="20"/>
                <w:szCs w:val="20"/>
                <w:lang w:eastAsia="ru-RU"/>
              </w:rPr>
              <w:t>Hexane</w:t>
            </w:r>
            <w:proofErr w:type="spellEnd"/>
          </w:p>
        </w:tc>
        <w:tc>
          <w:tcPr>
            <w:tcW w:w="2268" w:type="dxa"/>
          </w:tcPr>
          <w:p w14:paraId="5812573F"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3,24</w:t>
            </w:r>
          </w:p>
        </w:tc>
      </w:tr>
      <w:tr w:rsidR="00CD50F3" w:rsidRPr="00EA410F" w14:paraId="72669D9A" w14:textId="77777777" w:rsidTr="007F5E43">
        <w:trPr>
          <w:jc w:val="center"/>
        </w:trPr>
        <w:tc>
          <w:tcPr>
            <w:tcW w:w="704" w:type="dxa"/>
          </w:tcPr>
          <w:p w14:paraId="5BEFF5F4" w14:textId="77777777" w:rsidR="00CD50F3" w:rsidRPr="00EA410F" w:rsidRDefault="00CD50F3" w:rsidP="00EA410F">
            <w:pPr>
              <w:jc w:val="center"/>
              <w:rPr>
                <w:rFonts w:cs="Times New Roman"/>
                <w:bCs/>
                <w:sz w:val="20"/>
                <w:szCs w:val="20"/>
              </w:rPr>
            </w:pPr>
            <w:r w:rsidRPr="00EA410F">
              <w:rPr>
                <w:rFonts w:cs="Times New Roman"/>
                <w:bCs/>
                <w:sz w:val="20"/>
                <w:szCs w:val="20"/>
              </w:rPr>
              <w:t>2.</w:t>
            </w:r>
          </w:p>
        </w:tc>
        <w:tc>
          <w:tcPr>
            <w:tcW w:w="3969" w:type="dxa"/>
            <w:vAlign w:val="center"/>
          </w:tcPr>
          <w:p w14:paraId="1FBB8987" w14:textId="77777777" w:rsidR="00CD50F3" w:rsidRPr="00EA410F" w:rsidRDefault="00CD50F3" w:rsidP="00EA410F">
            <w:pPr>
              <w:rPr>
                <w:rFonts w:cs="Times New Roman"/>
                <w:sz w:val="20"/>
                <w:szCs w:val="20"/>
                <w:lang w:val="uz-Cyrl-UZ"/>
              </w:rPr>
            </w:pPr>
            <w:proofErr w:type="spellStart"/>
            <w:r w:rsidRPr="00EA410F">
              <w:rPr>
                <w:rFonts w:eastAsia="Times New Roman" w:cs="Times New Roman"/>
                <w:sz w:val="20"/>
                <w:szCs w:val="20"/>
                <w:lang w:eastAsia="ru-RU"/>
              </w:rPr>
              <w:t>Heptane</w:t>
            </w:r>
            <w:proofErr w:type="spellEnd"/>
          </w:p>
        </w:tc>
        <w:tc>
          <w:tcPr>
            <w:tcW w:w="2268" w:type="dxa"/>
          </w:tcPr>
          <w:p w14:paraId="7897CB7E"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3,28</w:t>
            </w:r>
          </w:p>
        </w:tc>
      </w:tr>
      <w:tr w:rsidR="00CD50F3" w:rsidRPr="00EA410F" w14:paraId="27BB7F7E" w14:textId="77777777" w:rsidTr="007F5E43">
        <w:trPr>
          <w:jc w:val="center"/>
        </w:trPr>
        <w:tc>
          <w:tcPr>
            <w:tcW w:w="704" w:type="dxa"/>
          </w:tcPr>
          <w:p w14:paraId="65B90E76" w14:textId="77777777" w:rsidR="00CD50F3" w:rsidRPr="00EA410F" w:rsidRDefault="00CD50F3" w:rsidP="00EA410F">
            <w:pPr>
              <w:jc w:val="center"/>
              <w:rPr>
                <w:rFonts w:cs="Times New Roman"/>
                <w:bCs/>
                <w:sz w:val="20"/>
                <w:szCs w:val="20"/>
              </w:rPr>
            </w:pPr>
            <w:r w:rsidRPr="00EA410F">
              <w:rPr>
                <w:rFonts w:cs="Times New Roman"/>
                <w:bCs/>
                <w:sz w:val="20"/>
                <w:szCs w:val="20"/>
              </w:rPr>
              <w:t>3.</w:t>
            </w:r>
          </w:p>
        </w:tc>
        <w:tc>
          <w:tcPr>
            <w:tcW w:w="3969" w:type="dxa"/>
            <w:vAlign w:val="center"/>
          </w:tcPr>
          <w:p w14:paraId="076CA5E7"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Octane</w:t>
            </w:r>
            <w:proofErr w:type="spellEnd"/>
          </w:p>
        </w:tc>
        <w:tc>
          <w:tcPr>
            <w:tcW w:w="2268" w:type="dxa"/>
          </w:tcPr>
          <w:p w14:paraId="6E254B02"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11,36</w:t>
            </w:r>
          </w:p>
        </w:tc>
      </w:tr>
      <w:tr w:rsidR="00CD50F3" w:rsidRPr="00EA410F" w14:paraId="017EF6F5" w14:textId="77777777" w:rsidTr="007F5E43">
        <w:trPr>
          <w:jc w:val="center"/>
        </w:trPr>
        <w:tc>
          <w:tcPr>
            <w:tcW w:w="704" w:type="dxa"/>
          </w:tcPr>
          <w:p w14:paraId="5F16D0AD" w14:textId="77777777" w:rsidR="00CD50F3" w:rsidRPr="00EA410F" w:rsidRDefault="00CD50F3" w:rsidP="00EA410F">
            <w:pPr>
              <w:jc w:val="center"/>
              <w:rPr>
                <w:rFonts w:cs="Times New Roman"/>
                <w:bCs/>
                <w:sz w:val="20"/>
                <w:szCs w:val="20"/>
              </w:rPr>
            </w:pPr>
            <w:r w:rsidRPr="00EA410F">
              <w:rPr>
                <w:rFonts w:cs="Times New Roman"/>
                <w:bCs/>
                <w:sz w:val="20"/>
                <w:szCs w:val="20"/>
              </w:rPr>
              <w:t>4.</w:t>
            </w:r>
          </w:p>
        </w:tc>
        <w:tc>
          <w:tcPr>
            <w:tcW w:w="3969" w:type="dxa"/>
            <w:vAlign w:val="center"/>
          </w:tcPr>
          <w:p w14:paraId="095056C4"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Nonane</w:t>
            </w:r>
            <w:proofErr w:type="spellEnd"/>
          </w:p>
        </w:tc>
        <w:tc>
          <w:tcPr>
            <w:tcW w:w="2268" w:type="dxa"/>
          </w:tcPr>
          <w:p w14:paraId="6A1D4F7A"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9,13</w:t>
            </w:r>
          </w:p>
        </w:tc>
      </w:tr>
      <w:tr w:rsidR="00CD50F3" w:rsidRPr="00EA410F" w14:paraId="2159EBAC" w14:textId="77777777" w:rsidTr="007F5E43">
        <w:trPr>
          <w:jc w:val="center"/>
        </w:trPr>
        <w:tc>
          <w:tcPr>
            <w:tcW w:w="704" w:type="dxa"/>
          </w:tcPr>
          <w:p w14:paraId="7ED4BD3D" w14:textId="77777777" w:rsidR="00CD50F3" w:rsidRPr="00EA410F" w:rsidRDefault="00CD50F3" w:rsidP="00EA410F">
            <w:pPr>
              <w:jc w:val="center"/>
              <w:rPr>
                <w:rFonts w:cs="Times New Roman"/>
                <w:bCs/>
                <w:sz w:val="20"/>
                <w:szCs w:val="20"/>
              </w:rPr>
            </w:pPr>
            <w:r w:rsidRPr="00EA410F">
              <w:rPr>
                <w:rFonts w:cs="Times New Roman"/>
                <w:bCs/>
                <w:sz w:val="20"/>
                <w:szCs w:val="20"/>
              </w:rPr>
              <w:t>5.</w:t>
            </w:r>
          </w:p>
        </w:tc>
        <w:tc>
          <w:tcPr>
            <w:tcW w:w="3969" w:type="dxa"/>
            <w:vAlign w:val="center"/>
          </w:tcPr>
          <w:p w14:paraId="426CBBC1"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Decane</w:t>
            </w:r>
            <w:proofErr w:type="spellEnd"/>
          </w:p>
        </w:tc>
        <w:tc>
          <w:tcPr>
            <w:tcW w:w="2268" w:type="dxa"/>
          </w:tcPr>
          <w:p w14:paraId="606BC463"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13,43</w:t>
            </w:r>
          </w:p>
        </w:tc>
      </w:tr>
      <w:tr w:rsidR="00CD50F3" w:rsidRPr="00EA410F" w14:paraId="6E17819F" w14:textId="77777777" w:rsidTr="007F5E43">
        <w:trPr>
          <w:jc w:val="center"/>
        </w:trPr>
        <w:tc>
          <w:tcPr>
            <w:tcW w:w="704" w:type="dxa"/>
          </w:tcPr>
          <w:p w14:paraId="11B2F9EF" w14:textId="77777777" w:rsidR="00CD50F3" w:rsidRPr="00EA410F" w:rsidRDefault="00CD50F3" w:rsidP="00EA410F">
            <w:pPr>
              <w:jc w:val="center"/>
              <w:rPr>
                <w:rFonts w:cs="Times New Roman"/>
                <w:bCs/>
                <w:sz w:val="20"/>
                <w:szCs w:val="20"/>
              </w:rPr>
            </w:pPr>
            <w:r w:rsidRPr="00EA410F">
              <w:rPr>
                <w:rFonts w:cs="Times New Roman"/>
                <w:bCs/>
                <w:sz w:val="20"/>
                <w:szCs w:val="20"/>
              </w:rPr>
              <w:t>6.</w:t>
            </w:r>
          </w:p>
        </w:tc>
        <w:tc>
          <w:tcPr>
            <w:tcW w:w="3969" w:type="dxa"/>
            <w:vAlign w:val="center"/>
          </w:tcPr>
          <w:p w14:paraId="1A2AEE23"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Undecane</w:t>
            </w:r>
            <w:proofErr w:type="spellEnd"/>
          </w:p>
        </w:tc>
        <w:tc>
          <w:tcPr>
            <w:tcW w:w="2268" w:type="dxa"/>
          </w:tcPr>
          <w:p w14:paraId="7BFE83E9" w14:textId="77777777" w:rsidR="00CD50F3" w:rsidRPr="00EA410F" w:rsidRDefault="00CD50F3" w:rsidP="00EA410F">
            <w:pPr>
              <w:jc w:val="center"/>
              <w:rPr>
                <w:rFonts w:cs="Times New Roman"/>
                <w:sz w:val="20"/>
                <w:szCs w:val="20"/>
              </w:rPr>
            </w:pPr>
            <w:r w:rsidRPr="00EA410F">
              <w:rPr>
                <w:rFonts w:cs="Times New Roman"/>
                <w:sz w:val="20"/>
                <w:szCs w:val="20"/>
                <w:lang w:val="uz-Cyrl-UZ"/>
              </w:rPr>
              <w:t>8,45</w:t>
            </w:r>
          </w:p>
        </w:tc>
      </w:tr>
      <w:tr w:rsidR="00CD50F3" w:rsidRPr="00EA410F" w14:paraId="50C783CA" w14:textId="77777777" w:rsidTr="007F5E43">
        <w:trPr>
          <w:jc w:val="center"/>
        </w:trPr>
        <w:tc>
          <w:tcPr>
            <w:tcW w:w="704" w:type="dxa"/>
          </w:tcPr>
          <w:p w14:paraId="16D493E5" w14:textId="77777777" w:rsidR="00CD50F3" w:rsidRPr="00EA410F" w:rsidRDefault="00CD50F3" w:rsidP="00EA410F">
            <w:pPr>
              <w:jc w:val="center"/>
              <w:rPr>
                <w:rFonts w:cs="Times New Roman"/>
                <w:bCs/>
                <w:sz w:val="20"/>
                <w:szCs w:val="20"/>
              </w:rPr>
            </w:pPr>
            <w:r w:rsidRPr="00EA410F">
              <w:rPr>
                <w:rFonts w:cs="Times New Roman"/>
                <w:bCs/>
                <w:sz w:val="20"/>
                <w:szCs w:val="20"/>
              </w:rPr>
              <w:t>7.</w:t>
            </w:r>
          </w:p>
        </w:tc>
        <w:tc>
          <w:tcPr>
            <w:tcW w:w="3969" w:type="dxa"/>
            <w:vAlign w:val="center"/>
          </w:tcPr>
          <w:p w14:paraId="743A77A7"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Dodecane</w:t>
            </w:r>
            <w:proofErr w:type="spellEnd"/>
          </w:p>
        </w:tc>
        <w:tc>
          <w:tcPr>
            <w:tcW w:w="2268" w:type="dxa"/>
          </w:tcPr>
          <w:p w14:paraId="020D3C1B"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13,11</w:t>
            </w:r>
          </w:p>
        </w:tc>
      </w:tr>
      <w:tr w:rsidR="00CD50F3" w:rsidRPr="00EA410F" w14:paraId="69843FD4" w14:textId="77777777" w:rsidTr="007F5E43">
        <w:trPr>
          <w:jc w:val="center"/>
        </w:trPr>
        <w:tc>
          <w:tcPr>
            <w:tcW w:w="704" w:type="dxa"/>
          </w:tcPr>
          <w:p w14:paraId="1117CE21" w14:textId="77777777" w:rsidR="00CD50F3" w:rsidRPr="00EA410F" w:rsidRDefault="00CD50F3" w:rsidP="00EA410F">
            <w:pPr>
              <w:jc w:val="center"/>
              <w:rPr>
                <w:rFonts w:cs="Times New Roman"/>
                <w:bCs/>
                <w:sz w:val="20"/>
                <w:szCs w:val="20"/>
              </w:rPr>
            </w:pPr>
            <w:r w:rsidRPr="00EA410F">
              <w:rPr>
                <w:rFonts w:cs="Times New Roman"/>
                <w:bCs/>
                <w:sz w:val="20"/>
                <w:szCs w:val="20"/>
              </w:rPr>
              <w:t>8.</w:t>
            </w:r>
          </w:p>
        </w:tc>
        <w:tc>
          <w:tcPr>
            <w:tcW w:w="3969" w:type="dxa"/>
            <w:vAlign w:val="center"/>
          </w:tcPr>
          <w:p w14:paraId="594B8820"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Tridecane</w:t>
            </w:r>
            <w:proofErr w:type="spellEnd"/>
          </w:p>
        </w:tc>
        <w:tc>
          <w:tcPr>
            <w:tcW w:w="2268" w:type="dxa"/>
          </w:tcPr>
          <w:p w14:paraId="41B2200C"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5,57</w:t>
            </w:r>
          </w:p>
        </w:tc>
      </w:tr>
      <w:tr w:rsidR="00CD50F3" w:rsidRPr="00EA410F" w14:paraId="7208A0F8" w14:textId="77777777" w:rsidTr="007F5E43">
        <w:trPr>
          <w:jc w:val="center"/>
        </w:trPr>
        <w:tc>
          <w:tcPr>
            <w:tcW w:w="704" w:type="dxa"/>
          </w:tcPr>
          <w:p w14:paraId="11918F32" w14:textId="77777777" w:rsidR="00CD50F3" w:rsidRPr="00EA410F" w:rsidRDefault="00CD50F3" w:rsidP="00EA410F">
            <w:pPr>
              <w:jc w:val="center"/>
              <w:rPr>
                <w:rFonts w:cs="Times New Roman"/>
                <w:bCs/>
                <w:sz w:val="20"/>
                <w:szCs w:val="20"/>
              </w:rPr>
            </w:pPr>
            <w:r w:rsidRPr="00EA410F">
              <w:rPr>
                <w:rFonts w:cs="Times New Roman"/>
                <w:bCs/>
                <w:sz w:val="20"/>
                <w:szCs w:val="20"/>
              </w:rPr>
              <w:t>9.</w:t>
            </w:r>
          </w:p>
        </w:tc>
        <w:tc>
          <w:tcPr>
            <w:tcW w:w="3969" w:type="dxa"/>
            <w:vAlign w:val="center"/>
          </w:tcPr>
          <w:p w14:paraId="182F2937" w14:textId="77777777" w:rsidR="00CD50F3" w:rsidRPr="00EA410F" w:rsidRDefault="00CD50F3" w:rsidP="00EA410F">
            <w:pPr>
              <w:rPr>
                <w:rFonts w:cs="Times New Roman"/>
                <w:sz w:val="20"/>
                <w:szCs w:val="20"/>
                <w:lang w:val="en-US"/>
              </w:rPr>
            </w:pPr>
            <w:proofErr w:type="spellStart"/>
            <w:r w:rsidRPr="00EA410F">
              <w:rPr>
                <w:rFonts w:eastAsia="Times New Roman" w:cs="Times New Roman"/>
                <w:sz w:val="20"/>
                <w:szCs w:val="20"/>
                <w:lang w:eastAsia="ru-RU"/>
              </w:rPr>
              <w:t>Tetradecane</w:t>
            </w:r>
            <w:proofErr w:type="spellEnd"/>
          </w:p>
        </w:tc>
        <w:tc>
          <w:tcPr>
            <w:tcW w:w="2268" w:type="dxa"/>
          </w:tcPr>
          <w:p w14:paraId="644CD15C"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12,44</w:t>
            </w:r>
          </w:p>
        </w:tc>
      </w:tr>
      <w:tr w:rsidR="00CD50F3" w:rsidRPr="00EA410F" w14:paraId="519F0F93" w14:textId="77777777" w:rsidTr="007F5E43">
        <w:trPr>
          <w:jc w:val="center"/>
        </w:trPr>
        <w:tc>
          <w:tcPr>
            <w:tcW w:w="704" w:type="dxa"/>
          </w:tcPr>
          <w:p w14:paraId="50142F2C" w14:textId="77777777" w:rsidR="00CD50F3" w:rsidRPr="00EA410F" w:rsidRDefault="00CD50F3" w:rsidP="00EA410F">
            <w:pPr>
              <w:jc w:val="center"/>
              <w:rPr>
                <w:rFonts w:cs="Times New Roman"/>
                <w:bCs/>
                <w:sz w:val="20"/>
                <w:szCs w:val="20"/>
              </w:rPr>
            </w:pPr>
            <w:r w:rsidRPr="00EA410F">
              <w:rPr>
                <w:rFonts w:cs="Times New Roman"/>
                <w:bCs/>
                <w:sz w:val="20"/>
                <w:szCs w:val="20"/>
              </w:rPr>
              <w:t>10.</w:t>
            </w:r>
          </w:p>
        </w:tc>
        <w:tc>
          <w:tcPr>
            <w:tcW w:w="3969" w:type="dxa"/>
            <w:vAlign w:val="center"/>
          </w:tcPr>
          <w:p w14:paraId="3162862C"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Pentadecane</w:t>
            </w:r>
            <w:proofErr w:type="spellEnd"/>
          </w:p>
        </w:tc>
        <w:tc>
          <w:tcPr>
            <w:tcW w:w="2268" w:type="dxa"/>
          </w:tcPr>
          <w:p w14:paraId="2BC221FF"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5,01</w:t>
            </w:r>
          </w:p>
        </w:tc>
      </w:tr>
      <w:tr w:rsidR="00CD50F3" w:rsidRPr="00EA410F" w14:paraId="5771F3A1" w14:textId="77777777" w:rsidTr="007F5E43">
        <w:trPr>
          <w:jc w:val="center"/>
        </w:trPr>
        <w:tc>
          <w:tcPr>
            <w:tcW w:w="704" w:type="dxa"/>
          </w:tcPr>
          <w:p w14:paraId="5E254F5F" w14:textId="77777777" w:rsidR="00CD50F3" w:rsidRPr="00EA410F" w:rsidRDefault="00CD50F3" w:rsidP="00EA410F">
            <w:pPr>
              <w:jc w:val="center"/>
              <w:rPr>
                <w:rFonts w:cs="Times New Roman"/>
                <w:bCs/>
                <w:sz w:val="20"/>
                <w:szCs w:val="20"/>
                <w:lang w:val="uz-Cyrl-UZ"/>
              </w:rPr>
            </w:pPr>
            <w:r w:rsidRPr="00EA410F">
              <w:rPr>
                <w:rFonts w:cs="Times New Roman"/>
                <w:bCs/>
                <w:sz w:val="20"/>
                <w:szCs w:val="20"/>
                <w:lang w:val="uz-Cyrl-UZ"/>
              </w:rPr>
              <w:t>11.</w:t>
            </w:r>
          </w:p>
        </w:tc>
        <w:tc>
          <w:tcPr>
            <w:tcW w:w="3969" w:type="dxa"/>
            <w:vAlign w:val="center"/>
          </w:tcPr>
          <w:p w14:paraId="5862C89A"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Hexadecane</w:t>
            </w:r>
            <w:proofErr w:type="spellEnd"/>
          </w:p>
        </w:tc>
        <w:tc>
          <w:tcPr>
            <w:tcW w:w="2268" w:type="dxa"/>
          </w:tcPr>
          <w:p w14:paraId="60B694A9"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10,46</w:t>
            </w:r>
          </w:p>
        </w:tc>
      </w:tr>
      <w:tr w:rsidR="00CD50F3" w:rsidRPr="00EA410F" w14:paraId="1604507E" w14:textId="77777777" w:rsidTr="007F5E43">
        <w:trPr>
          <w:jc w:val="center"/>
        </w:trPr>
        <w:tc>
          <w:tcPr>
            <w:tcW w:w="704" w:type="dxa"/>
          </w:tcPr>
          <w:p w14:paraId="499C5854" w14:textId="77777777" w:rsidR="00CD50F3" w:rsidRPr="00EA410F" w:rsidRDefault="00CD50F3" w:rsidP="00EA410F">
            <w:pPr>
              <w:jc w:val="center"/>
              <w:rPr>
                <w:rFonts w:cs="Times New Roman"/>
                <w:bCs/>
                <w:sz w:val="20"/>
                <w:szCs w:val="20"/>
                <w:lang w:val="uz-Cyrl-UZ"/>
              </w:rPr>
            </w:pPr>
            <w:r w:rsidRPr="00EA410F">
              <w:rPr>
                <w:rFonts w:cs="Times New Roman"/>
                <w:bCs/>
                <w:sz w:val="20"/>
                <w:szCs w:val="20"/>
                <w:lang w:val="uz-Cyrl-UZ"/>
              </w:rPr>
              <w:t>12.</w:t>
            </w:r>
          </w:p>
        </w:tc>
        <w:tc>
          <w:tcPr>
            <w:tcW w:w="3969" w:type="dxa"/>
            <w:vAlign w:val="center"/>
          </w:tcPr>
          <w:p w14:paraId="0DF57D7D" w14:textId="77777777" w:rsidR="00CD50F3" w:rsidRPr="00EA410F" w:rsidRDefault="00CD50F3" w:rsidP="00EA410F">
            <w:pPr>
              <w:rPr>
                <w:rFonts w:cs="Times New Roman"/>
                <w:sz w:val="20"/>
                <w:szCs w:val="20"/>
              </w:rPr>
            </w:pPr>
            <w:proofErr w:type="spellStart"/>
            <w:r w:rsidRPr="00EA410F">
              <w:rPr>
                <w:rFonts w:eastAsia="Times New Roman" w:cs="Times New Roman"/>
                <w:sz w:val="20"/>
                <w:szCs w:val="20"/>
                <w:lang w:eastAsia="ru-RU"/>
              </w:rPr>
              <w:t>Heptadecane</w:t>
            </w:r>
            <w:proofErr w:type="spellEnd"/>
          </w:p>
        </w:tc>
        <w:tc>
          <w:tcPr>
            <w:tcW w:w="2268" w:type="dxa"/>
          </w:tcPr>
          <w:p w14:paraId="1DDBD843" w14:textId="77777777" w:rsidR="00CD50F3" w:rsidRPr="00EA410F" w:rsidRDefault="00CD50F3" w:rsidP="00EA410F">
            <w:pPr>
              <w:jc w:val="center"/>
              <w:rPr>
                <w:rFonts w:cs="Times New Roman"/>
                <w:sz w:val="20"/>
                <w:szCs w:val="20"/>
                <w:lang w:val="uz-Cyrl-UZ"/>
              </w:rPr>
            </w:pPr>
            <w:r w:rsidRPr="00EA410F">
              <w:rPr>
                <w:rFonts w:cs="Times New Roman"/>
                <w:sz w:val="20"/>
                <w:szCs w:val="20"/>
                <w:lang w:val="uz-Cyrl-UZ"/>
              </w:rPr>
              <w:t>4,52</w:t>
            </w:r>
          </w:p>
        </w:tc>
      </w:tr>
      <w:tr w:rsidR="00CD50F3" w:rsidRPr="00EA410F" w14:paraId="4BB018DE" w14:textId="77777777" w:rsidTr="007F5E43">
        <w:trPr>
          <w:jc w:val="center"/>
        </w:trPr>
        <w:tc>
          <w:tcPr>
            <w:tcW w:w="4673" w:type="dxa"/>
            <w:gridSpan w:val="2"/>
          </w:tcPr>
          <w:p w14:paraId="3E90B68F" w14:textId="77777777" w:rsidR="00CD50F3" w:rsidRPr="00EA410F" w:rsidRDefault="00CD50F3" w:rsidP="00EA410F">
            <w:pPr>
              <w:rPr>
                <w:rFonts w:cs="Times New Roman"/>
                <w:b/>
                <w:bCs/>
                <w:sz w:val="20"/>
                <w:szCs w:val="20"/>
              </w:rPr>
            </w:pPr>
            <w:r w:rsidRPr="00EA410F">
              <w:rPr>
                <w:rFonts w:eastAsia="Times New Roman" w:cs="Times New Roman"/>
                <w:b/>
                <w:bCs/>
                <w:sz w:val="20"/>
                <w:szCs w:val="20"/>
                <w:lang w:eastAsia="ru-RU"/>
              </w:rPr>
              <w:t>Total</w:t>
            </w:r>
            <w:r w:rsidRPr="00EA410F">
              <w:rPr>
                <w:rFonts w:cs="Times New Roman"/>
                <w:b/>
                <w:bCs/>
                <w:sz w:val="20"/>
                <w:szCs w:val="20"/>
              </w:rPr>
              <w:t>:</w:t>
            </w:r>
          </w:p>
        </w:tc>
        <w:tc>
          <w:tcPr>
            <w:tcW w:w="2268" w:type="dxa"/>
          </w:tcPr>
          <w:p w14:paraId="50B85C0C" w14:textId="77777777" w:rsidR="00CD50F3" w:rsidRPr="00EA410F" w:rsidRDefault="00CD50F3" w:rsidP="00EA410F">
            <w:pPr>
              <w:jc w:val="center"/>
              <w:rPr>
                <w:rFonts w:cs="Times New Roman"/>
                <w:b/>
                <w:bCs/>
                <w:sz w:val="20"/>
                <w:szCs w:val="20"/>
              </w:rPr>
            </w:pPr>
            <w:r w:rsidRPr="00EA410F">
              <w:rPr>
                <w:rFonts w:cs="Times New Roman"/>
                <w:b/>
                <w:bCs/>
                <w:sz w:val="20"/>
                <w:szCs w:val="20"/>
              </w:rPr>
              <w:t>100</w:t>
            </w:r>
          </w:p>
        </w:tc>
      </w:tr>
    </w:tbl>
    <w:p w14:paraId="3DB6D4B1" w14:textId="77777777" w:rsidR="00CD50F3" w:rsidRPr="00EA410F" w:rsidRDefault="00CD50F3" w:rsidP="00EA410F">
      <w:pPr>
        <w:pStyle w:val="a3"/>
        <w:spacing w:before="0" w:beforeAutospacing="0" w:after="0" w:afterAutospacing="0"/>
        <w:rPr>
          <w:sz w:val="20"/>
          <w:szCs w:val="20"/>
          <w:lang w:val="en-US"/>
        </w:rPr>
      </w:pPr>
    </w:p>
    <w:p w14:paraId="2A0A4E30" w14:textId="7777777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 xml:space="preserve">Thus, adsorption purification using </w:t>
      </w:r>
      <w:proofErr w:type="spellStart"/>
      <w:r w:rsidRPr="00EA410F">
        <w:rPr>
          <w:sz w:val="20"/>
          <w:szCs w:val="20"/>
          <w:lang w:val="en-US"/>
        </w:rPr>
        <w:t>CaA</w:t>
      </w:r>
      <w:proofErr w:type="spellEnd"/>
      <w:r w:rsidRPr="00EA410F">
        <w:rPr>
          <w:sz w:val="20"/>
          <w:szCs w:val="20"/>
          <w:lang w:val="en-US"/>
        </w:rPr>
        <w:t>-type zeolite (5 Å) has demonstrated its effectiveness as a method for the selective isolation of paraffinic hydrocarbons from spent hexane. The obtained results confirm the feasibility of further utilizing the purified fraction as a valuable hydrocarbon feedstock and highlight the potential of adsorption-based methods for the regeneration and reuse of organic solvents in petrochemical processes.</w:t>
      </w:r>
    </w:p>
    <w:p w14:paraId="15D9194F" w14:textId="77777777" w:rsidR="0037438C" w:rsidRPr="0037438C" w:rsidRDefault="0037438C" w:rsidP="00EA410F">
      <w:pPr>
        <w:pStyle w:val="a3"/>
        <w:spacing w:before="0" w:beforeAutospacing="0" w:after="0" w:afterAutospacing="0"/>
        <w:jc w:val="center"/>
        <w:rPr>
          <w:rStyle w:val="a4"/>
          <w:lang w:val="en-US"/>
        </w:rPr>
      </w:pPr>
    </w:p>
    <w:p w14:paraId="4272010D" w14:textId="44AC9968" w:rsidR="00EA410F" w:rsidRPr="0037438C" w:rsidRDefault="0037438C" w:rsidP="00EA410F">
      <w:pPr>
        <w:pStyle w:val="a3"/>
        <w:spacing w:before="0" w:beforeAutospacing="0" w:after="0" w:afterAutospacing="0"/>
        <w:jc w:val="center"/>
        <w:rPr>
          <w:rStyle w:val="a4"/>
          <w:lang w:val="en-US"/>
        </w:rPr>
      </w:pPr>
      <w:r w:rsidRPr="0037438C">
        <w:rPr>
          <w:rStyle w:val="a4"/>
          <w:lang w:val="en-US"/>
        </w:rPr>
        <w:t>CONCLUSION</w:t>
      </w:r>
    </w:p>
    <w:p w14:paraId="2C85FCFB" w14:textId="77777777" w:rsidR="0037438C" w:rsidRDefault="0037438C" w:rsidP="00EA410F">
      <w:pPr>
        <w:pStyle w:val="a3"/>
        <w:spacing w:before="0" w:beforeAutospacing="0" w:after="0" w:afterAutospacing="0"/>
        <w:jc w:val="center"/>
        <w:rPr>
          <w:b/>
          <w:sz w:val="20"/>
          <w:szCs w:val="20"/>
          <w:lang w:val="en-US"/>
        </w:rPr>
      </w:pPr>
    </w:p>
    <w:p w14:paraId="686650A4" w14:textId="4DF17067" w:rsidR="009A57D1" w:rsidRPr="00EA410F" w:rsidRDefault="009A57D1" w:rsidP="00EA410F">
      <w:pPr>
        <w:pStyle w:val="a3"/>
        <w:spacing w:before="0" w:beforeAutospacing="0" w:after="0" w:afterAutospacing="0"/>
        <w:ind w:firstLine="708"/>
        <w:jc w:val="both"/>
        <w:rPr>
          <w:sz w:val="20"/>
          <w:szCs w:val="20"/>
          <w:lang w:val="en-US"/>
        </w:rPr>
      </w:pPr>
      <w:r w:rsidRPr="00EA410F">
        <w:rPr>
          <w:sz w:val="20"/>
          <w:szCs w:val="20"/>
          <w:lang w:val="en-US"/>
        </w:rPr>
        <w:t xml:space="preserve">Chromatographic–mass spectrometric analysis of the spent heavy hexane used in the high-density polyethylene production process revealed the absence of the original hexane and a predominance of high-molecular-weight hydrocarbons and their isomers. To isolate these compounds, adsorption purification was carried out using </w:t>
      </w:r>
      <w:proofErr w:type="spellStart"/>
      <w:r w:rsidRPr="00EA410F">
        <w:rPr>
          <w:sz w:val="20"/>
          <w:szCs w:val="20"/>
          <w:lang w:val="en-US"/>
        </w:rPr>
        <w:t>CaA</w:t>
      </w:r>
      <w:proofErr w:type="spellEnd"/>
      <w:r w:rsidRPr="00EA410F">
        <w:rPr>
          <w:sz w:val="20"/>
          <w:szCs w:val="20"/>
          <w:lang w:val="en-US"/>
        </w:rPr>
        <w:t>-type zeolite (5 Å), which proved highly effective: the purified fraction contained paraffinic hydrocarbons ranging from C6 to C17. The results confirm the potential for the repeated use of hydrocarbon fractions and the appropriateness of applying adsorption-based methods in the processing of hexane-containing wastes.</w:t>
      </w:r>
    </w:p>
    <w:p w14:paraId="38308F2D" w14:textId="5A0A5FDD" w:rsidR="009A57D1" w:rsidRPr="0037438C" w:rsidRDefault="0037438C" w:rsidP="00EA410F">
      <w:pPr>
        <w:spacing w:before="100" w:beforeAutospacing="1" w:after="100" w:afterAutospacing="1"/>
        <w:jc w:val="center"/>
        <w:rPr>
          <w:rFonts w:eastAsia="Times New Roman" w:cs="Times New Roman"/>
          <w:sz w:val="24"/>
          <w:szCs w:val="24"/>
          <w:lang w:val="en-US" w:eastAsia="ru-RU"/>
        </w:rPr>
      </w:pPr>
      <w:r w:rsidRPr="0037438C">
        <w:rPr>
          <w:rFonts w:eastAsia="Times New Roman" w:cs="Times New Roman"/>
          <w:b/>
          <w:bCs/>
          <w:sz w:val="24"/>
          <w:szCs w:val="24"/>
          <w:lang w:val="en-US" w:eastAsia="ru-RU"/>
        </w:rPr>
        <w:t>REFERENCES</w:t>
      </w:r>
    </w:p>
    <w:p w14:paraId="39F184E5" w14:textId="262843B9" w:rsidR="009A57D1" w:rsidRPr="0037438C" w:rsidRDefault="009A57D1" w:rsidP="0037438C">
      <w:pPr>
        <w:pStyle w:val="a9"/>
        <w:numPr>
          <w:ilvl w:val="0"/>
          <w:numId w:val="2"/>
        </w:numPr>
        <w:spacing w:before="100" w:beforeAutospacing="1" w:after="100" w:afterAutospacing="1"/>
        <w:rPr>
          <w:rFonts w:eastAsia="Times New Roman" w:cs="Times New Roman"/>
          <w:sz w:val="20"/>
          <w:szCs w:val="20"/>
          <w:lang w:eastAsia="ru-RU"/>
        </w:rPr>
      </w:pPr>
      <w:proofErr w:type="spellStart"/>
      <w:r w:rsidRPr="0037438C">
        <w:rPr>
          <w:rFonts w:eastAsia="Times New Roman" w:cs="Times New Roman"/>
          <w:sz w:val="20"/>
          <w:szCs w:val="20"/>
          <w:lang w:val="en-US" w:eastAsia="ru-RU"/>
        </w:rPr>
        <w:t>Uz-KorGas</w:t>
      </w:r>
      <w:proofErr w:type="spellEnd"/>
      <w:r w:rsidRPr="0037438C">
        <w:rPr>
          <w:rFonts w:eastAsia="Times New Roman" w:cs="Times New Roman"/>
          <w:sz w:val="20"/>
          <w:szCs w:val="20"/>
          <w:lang w:val="en-US" w:eastAsia="ru-RU"/>
        </w:rPr>
        <w:t xml:space="preserve"> Chemical LLC. </w:t>
      </w:r>
      <w:r w:rsidRPr="0037438C">
        <w:rPr>
          <w:rFonts w:eastAsia="Times New Roman" w:cs="Times New Roman"/>
          <w:i/>
          <w:iCs/>
          <w:sz w:val="20"/>
          <w:szCs w:val="20"/>
          <w:lang w:val="en-US" w:eastAsia="ru-RU"/>
        </w:rPr>
        <w:t>Technological Regulations for High-Density Polyethylene Production.</w:t>
      </w:r>
      <w:r w:rsidRPr="0037438C">
        <w:rPr>
          <w:rFonts w:eastAsia="Times New Roman" w:cs="Times New Roman"/>
          <w:sz w:val="20"/>
          <w:szCs w:val="20"/>
          <w:lang w:val="en-US" w:eastAsia="ru-RU"/>
        </w:rPr>
        <w:t xml:space="preserve"> </w:t>
      </w:r>
      <w:proofErr w:type="spellStart"/>
      <w:r w:rsidRPr="0037438C">
        <w:rPr>
          <w:rFonts w:eastAsia="Times New Roman" w:cs="Times New Roman"/>
          <w:sz w:val="20"/>
          <w:szCs w:val="20"/>
          <w:lang w:eastAsia="ru-RU"/>
        </w:rPr>
        <w:t>Karakalpakstan</w:t>
      </w:r>
      <w:proofErr w:type="spellEnd"/>
      <w:r w:rsidRPr="0037438C">
        <w:rPr>
          <w:rFonts w:eastAsia="Times New Roman" w:cs="Times New Roman"/>
          <w:sz w:val="20"/>
          <w:szCs w:val="20"/>
          <w:lang w:eastAsia="ru-RU"/>
        </w:rPr>
        <w:t>, 2022.</w:t>
      </w:r>
    </w:p>
    <w:p w14:paraId="01840CFA" w14:textId="40008A1C" w:rsidR="0063609F" w:rsidRPr="0037438C" w:rsidRDefault="0063609F" w:rsidP="0037438C">
      <w:pPr>
        <w:pStyle w:val="a9"/>
        <w:numPr>
          <w:ilvl w:val="0"/>
          <w:numId w:val="2"/>
        </w:numPr>
        <w:jc w:val="both"/>
        <w:rPr>
          <w:rFonts w:cs="Times New Roman"/>
          <w:sz w:val="20"/>
          <w:szCs w:val="20"/>
          <w:lang w:val="en-US"/>
        </w:rPr>
      </w:pPr>
      <w:proofErr w:type="spellStart"/>
      <w:r w:rsidRPr="0037438C">
        <w:rPr>
          <w:rFonts w:cs="Times New Roman"/>
          <w:sz w:val="20"/>
          <w:szCs w:val="20"/>
          <w:lang w:val="en-US"/>
        </w:rPr>
        <w:t>Kurbanov</w:t>
      </w:r>
      <w:proofErr w:type="spellEnd"/>
      <w:r w:rsidRPr="0037438C">
        <w:rPr>
          <w:rFonts w:cs="Times New Roman"/>
          <w:sz w:val="20"/>
          <w:szCs w:val="20"/>
          <w:lang w:val="en-US"/>
        </w:rPr>
        <w:t xml:space="preserve"> F. P. et al. Investigation of the degree of inhibitor protection relative to conditions at different depths //AIP Conference Proceedings. – AIP Publishing LLC, 2025. – Т. 3304. – №. 1. – С. 040081.</w:t>
      </w:r>
    </w:p>
    <w:p w14:paraId="41F286BF" w14:textId="600B7812" w:rsidR="0063609F" w:rsidRPr="0037438C" w:rsidRDefault="0063609F" w:rsidP="0037438C">
      <w:pPr>
        <w:pStyle w:val="a9"/>
        <w:numPr>
          <w:ilvl w:val="0"/>
          <w:numId w:val="2"/>
        </w:numPr>
        <w:jc w:val="both"/>
        <w:rPr>
          <w:rFonts w:cs="Times New Roman"/>
          <w:sz w:val="20"/>
          <w:szCs w:val="20"/>
          <w:lang w:val="en-US"/>
        </w:rPr>
      </w:pPr>
      <w:proofErr w:type="spellStart"/>
      <w:r w:rsidRPr="0037438C">
        <w:rPr>
          <w:rFonts w:cs="Times New Roman"/>
          <w:sz w:val="20"/>
          <w:szCs w:val="20"/>
          <w:lang w:val="en-US"/>
        </w:rPr>
        <w:t>Niyozov</w:t>
      </w:r>
      <w:proofErr w:type="spellEnd"/>
      <w:r w:rsidRPr="0037438C">
        <w:rPr>
          <w:rFonts w:cs="Times New Roman"/>
          <w:sz w:val="20"/>
          <w:szCs w:val="20"/>
          <w:lang w:val="en-US"/>
        </w:rPr>
        <w:t xml:space="preserve"> E. et al. Investigation of physicochemical properties of guanidine-based corrosion inhibitor //E3S Web of Conferences. – EDP Sciences, 2024. – Т. 587. – С. 03004.</w:t>
      </w:r>
    </w:p>
    <w:p w14:paraId="10282282" w14:textId="7B81331D" w:rsidR="0063609F" w:rsidRPr="0037438C" w:rsidRDefault="009A57D1" w:rsidP="0037438C">
      <w:pPr>
        <w:pStyle w:val="a9"/>
        <w:numPr>
          <w:ilvl w:val="0"/>
          <w:numId w:val="2"/>
        </w:numPr>
        <w:jc w:val="both"/>
        <w:rPr>
          <w:rFonts w:cs="Times New Roman"/>
          <w:sz w:val="20"/>
          <w:szCs w:val="20"/>
          <w:lang w:val="en-US"/>
        </w:rPr>
      </w:pPr>
      <w:r w:rsidRPr="0037438C">
        <w:rPr>
          <w:rFonts w:eastAsia="Times New Roman" w:cs="Times New Roman"/>
          <w:sz w:val="20"/>
          <w:szCs w:val="20"/>
          <w:lang w:val="en-US" w:eastAsia="ru-RU"/>
        </w:rPr>
        <w:t xml:space="preserve">Lurie, A.A. </w:t>
      </w:r>
      <w:r w:rsidRPr="0037438C">
        <w:rPr>
          <w:rFonts w:eastAsia="Times New Roman" w:cs="Times New Roman"/>
          <w:i/>
          <w:iCs/>
          <w:sz w:val="20"/>
          <w:szCs w:val="20"/>
          <w:lang w:val="en-US" w:eastAsia="ru-RU"/>
        </w:rPr>
        <w:t>Gas Chromatography in the Analysis of Organic Compounds.</w:t>
      </w:r>
      <w:r w:rsidRPr="0037438C">
        <w:rPr>
          <w:rFonts w:eastAsia="Times New Roman" w:cs="Times New Roman"/>
          <w:sz w:val="20"/>
          <w:szCs w:val="20"/>
          <w:lang w:val="en-US" w:eastAsia="ru-RU"/>
        </w:rPr>
        <w:t xml:space="preserve"> Moscow: </w:t>
      </w:r>
      <w:proofErr w:type="spellStart"/>
      <w:r w:rsidRPr="0037438C">
        <w:rPr>
          <w:rFonts w:eastAsia="Times New Roman" w:cs="Times New Roman"/>
          <w:sz w:val="20"/>
          <w:szCs w:val="20"/>
          <w:lang w:val="en-US" w:eastAsia="ru-RU"/>
        </w:rPr>
        <w:t>Khimiya</w:t>
      </w:r>
      <w:proofErr w:type="spellEnd"/>
      <w:r w:rsidRPr="0037438C">
        <w:rPr>
          <w:rFonts w:eastAsia="Times New Roman" w:cs="Times New Roman"/>
          <w:sz w:val="20"/>
          <w:szCs w:val="20"/>
          <w:lang w:val="en-US" w:eastAsia="ru-RU"/>
        </w:rPr>
        <w:t>, 1989. 432 pp.</w:t>
      </w:r>
    </w:p>
    <w:p w14:paraId="6EC0A15A" w14:textId="6BD61243" w:rsidR="0063609F" w:rsidRPr="0037438C" w:rsidRDefault="009A57D1" w:rsidP="0037438C">
      <w:pPr>
        <w:pStyle w:val="a9"/>
        <w:numPr>
          <w:ilvl w:val="0"/>
          <w:numId w:val="2"/>
        </w:numPr>
        <w:jc w:val="both"/>
        <w:rPr>
          <w:rFonts w:cs="Times New Roman"/>
          <w:sz w:val="20"/>
          <w:szCs w:val="20"/>
          <w:lang w:val="en-US"/>
        </w:rPr>
      </w:pPr>
      <w:r w:rsidRPr="0037438C">
        <w:rPr>
          <w:rFonts w:eastAsia="Times New Roman" w:cs="Times New Roman"/>
          <w:sz w:val="20"/>
          <w:szCs w:val="20"/>
          <w:lang w:val="en-US" w:eastAsia="ru-RU"/>
        </w:rPr>
        <w:t xml:space="preserve">Kiselev, A.V., </w:t>
      </w:r>
      <w:proofErr w:type="spellStart"/>
      <w:r w:rsidRPr="0037438C">
        <w:rPr>
          <w:rFonts w:eastAsia="Times New Roman" w:cs="Times New Roman"/>
          <w:sz w:val="20"/>
          <w:szCs w:val="20"/>
          <w:lang w:val="en-US" w:eastAsia="ru-RU"/>
        </w:rPr>
        <w:t>Yashin</w:t>
      </w:r>
      <w:proofErr w:type="spellEnd"/>
      <w:r w:rsidRPr="0037438C">
        <w:rPr>
          <w:rFonts w:eastAsia="Times New Roman" w:cs="Times New Roman"/>
          <w:sz w:val="20"/>
          <w:szCs w:val="20"/>
          <w:lang w:val="en-US" w:eastAsia="ru-RU"/>
        </w:rPr>
        <w:t xml:space="preserve">, Y.I. </w:t>
      </w:r>
      <w:r w:rsidRPr="0037438C">
        <w:rPr>
          <w:rFonts w:eastAsia="Times New Roman" w:cs="Times New Roman"/>
          <w:i/>
          <w:iCs/>
          <w:sz w:val="20"/>
          <w:szCs w:val="20"/>
          <w:lang w:val="en-US" w:eastAsia="ru-RU"/>
        </w:rPr>
        <w:t>Gas Adsorption and Gas Chromatography.</w:t>
      </w:r>
      <w:r w:rsidRPr="0037438C">
        <w:rPr>
          <w:rFonts w:eastAsia="Times New Roman" w:cs="Times New Roman"/>
          <w:sz w:val="20"/>
          <w:szCs w:val="20"/>
          <w:lang w:val="en-US" w:eastAsia="ru-RU"/>
        </w:rPr>
        <w:t xml:space="preserve"> Moscow: </w:t>
      </w:r>
      <w:proofErr w:type="spellStart"/>
      <w:r w:rsidRPr="0037438C">
        <w:rPr>
          <w:rFonts w:eastAsia="Times New Roman" w:cs="Times New Roman"/>
          <w:sz w:val="20"/>
          <w:szCs w:val="20"/>
          <w:lang w:val="en-US" w:eastAsia="ru-RU"/>
        </w:rPr>
        <w:t>Khimiya</w:t>
      </w:r>
      <w:proofErr w:type="spellEnd"/>
      <w:r w:rsidRPr="0037438C">
        <w:rPr>
          <w:rFonts w:eastAsia="Times New Roman" w:cs="Times New Roman"/>
          <w:sz w:val="20"/>
          <w:szCs w:val="20"/>
          <w:lang w:val="en-US" w:eastAsia="ru-RU"/>
        </w:rPr>
        <w:t>, 1990. 480 pp.</w:t>
      </w:r>
    </w:p>
    <w:p w14:paraId="6EFAE883" w14:textId="1DFFB28B" w:rsidR="0063609F" w:rsidRPr="0037438C" w:rsidRDefault="009A57D1" w:rsidP="0037438C">
      <w:pPr>
        <w:pStyle w:val="a9"/>
        <w:numPr>
          <w:ilvl w:val="0"/>
          <w:numId w:val="2"/>
        </w:numPr>
        <w:jc w:val="both"/>
        <w:rPr>
          <w:rFonts w:cs="Times New Roman"/>
          <w:sz w:val="20"/>
          <w:szCs w:val="20"/>
          <w:lang w:val="en-US"/>
        </w:rPr>
      </w:pPr>
      <w:proofErr w:type="spellStart"/>
      <w:r w:rsidRPr="0037438C">
        <w:rPr>
          <w:rFonts w:eastAsia="Times New Roman" w:cs="Times New Roman"/>
          <w:sz w:val="20"/>
          <w:szCs w:val="20"/>
          <w:lang w:val="en-US" w:eastAsia="ru-RU"/>
        </w:rPr>
        <w:t>Rebinder</w:t>
      </w:r>
      <w:proofErr w:type="spellEnd"/>
      <w:r w:rsidRPr="0037438C">
        <w:rPr>
          <w:rFonts w:eastAsia="Times New Roman" w:cs="Times New Roman"/>
          <w:sz w:val="20"/>
          <w:szCs w:val="20"/>
          <w:lang w:val="en-US" w:eastAsia="ru-RU"/>
        </w:rPr>
        <w:t xml:space="preserve">, P.A., </w:t>
      </w:r>
      <w:proofErr w:type="spellStart"/>
      <w:r w:rsidRPr="0037438C">
        <w:rPr>
          <w:rFonts w:eastAsia="Times New Roman" w:cs="Times New Roman"/>
          <w:sz w:val="20"/>
          <w:szCs w:val="20"/>
          <w:lang w:val="en-US" w:eastAsia="ru-RU"/>
        </w:rPr>
        <w:t>Yashin</w:t>
      </w:r>
      <w:proofErr w:type="spellEnd"/>
      <w:r w:rsidRPr="0037438C">
        <w:rPr>
          <w:rFonts w:eastAsia="Times New Roman" w:cs="Times New Roman"/>
          <w:sz w:val="20"/>
          <w:szCs w:val="20"/>
          <w:lang w:val="en-US" w:eastAsia="ru-RU"/>
        </w:rPr>
        <w:t xml:space="preserve">, Y.I. </w:t>
      </w:r>
      <w:r w:rsidRPr="0037438C">
        <w:rPr>
          <w:rFonts w:eastAsia="Times New Roman" w:cs="Times New Roman"/>
          <w:i/>
          <w:iCs/>
          <w:sz w:val="20"/>
          <w:szCs w:val="20"/>
          <w:lang w:val="en-US" w:eastAsia="ru-RU"/>
        </w:rPr>
        <w:t>Physicochemical Methods for the Analysis of Organic Substances.</w:t>
      </w:r>
      <w:r w:rsidRPr="0037438C">
        <w:rPr>
          <w:rFonts w:eastAsia="Times New Roman" w:cs="Times New Roman"/>
          <w:sz w:val="20"/>
          <w:szCs w:val="20"/>
          <w:lang w:val="en-US" w:eastAsia="ru-RU"/>
        </w:rPr>
        <w:t xml:space="preserve"> Moscow: </w:t>
      </w:r>
      <w:proofErr w:type="spellStart"/>
      <w:r w:rsidRPr="0037438C">
        <w:rPr>
          <w:rFonts w:eastAsia="Times New Roman" w:cs="Times New Roman"/>
          <w:sz w:val="20"/>
          <w:szCs w:val="20"/>
          <w:lang w:val="en-US" w:eastAsia="ru-RU"/>
        </w:rPr>
        <w:t>Nauka</w:t>
      </w:r>
      <w:proofErr w:type="spellEnd"/>
      <w:r w:rsidRPr="0037438C">
        <w:rPr>
          <w:rFonts w:eastAsia="Times New Roman" w:cs="Times New Roman"/>
          <w:sz w:val="20"/>
          <w:szCs w:val="20"/>
          <w:lang w:val="en-US" w:eastAsia="ru-RU"/>
        </w:rPr>
        <w:t>, 1998. 352 pp.</w:t>
      </w:r>
    </w:p>
    <w:p w14:paraId="2AB6DC4F" w14:textId="1E9C2F7E" w:rsidR="0063609F" w:rsidRPr="0037438C" w:rsidRDefault="009A57D1" w:rsidP="0037438C">
      <w:pPr>
        <w:pStyle w:val="a9"/>
        <w:numPr>
          <w:ilvl w:val="0"/>
          <w:numId w:val="2"/>
        </w:numPr>
        <w:jc w:val="both"/>
        <w:rPr>
          <w:rFonts w:cs="Times New Roman"/>
          <w:sz w:val="20"/>
          <w:szCs w:val="20"/>
          <w:lang w:val="en-US"/>
        </w:rPr>
      </w:pPr>
      <w:r w:rsidRPr="0037438C">
        <w:rPr>
          <w:rFonts w:eastAsia="Times New Roman" w:cs="Times New Roman"/>
          <w:sz w:val="20"/>
          <w:szCs w:val="20"/>
          <w:lang w:val="en-US" w:eastAsia="ru-RU"/>
        </w:rPr>
        <w:t xml:space="preserve">ASTM D5134-20. </w:t>
      </w:r>
      <w:r w:rsidRPr="0037438C">
        <w:rPr>
          <w:rFonts w:eastAsia="Times New Roman" w:cs="Times New Roman"/>
          <w:i/>
          <w:iCs/>
          <w:sz w:val="20"/>
          <w:szCs w:val="20"/>
          <w:lang w:val="en-US" w:eastAsia="ru-RU"/>
        </w:rPr>
        <w:t xml:space="preserve">Standard Test Method for Detailed Hydrocarbon Analysis (DHA) of Petroleum </w:t>
      </w:r>
      <w:proofErr w:type="spellStart"/>
      <w:r w:rsidRPr="0037438C">
        <w:rPr>
          <w:rFonts w:eastAsia="Times New Roman" w:cs="Times New Roman"/>
          <w:i/>
          <w:iCs/>
          <w:sz w:val="20"/>
          <w:szCs w:val="20"/>
          <w:lang w:val="en-US" w:eastAsia="ru-RU"/>
        </w:rPr>
        <w:t>Naphthas</w:t>
      </w:r>
      <w:proofErr w:type="spellEnd"/>
      <w:r w:rsidRPr="0037438C">
        <w:rPr>
          <w:rFonts w:eastAsia="Times New Roman" w:cs="Times New Roman"/>
          <w:i/>
          <w:iCs/>
          <w:sz w:val="20"/>
          <w:szCs w:val="20"/>
          <w:lang w:val="en-US" w:eastAsia="ru-RU"/>
        </w:rPr>
        <w:t xml:space="preserve"> through n-Nonane by Gas Chromatography.</w:t>
      </w:r>
      <w:r w:rsidRPr="0037438C">
        <w:rPr>
          <w:rFonts w:eastAsia="Times New Roman" w:cs="Times New Roman"/>
          <w:sz w:val="20"/>
          <w:szCs w:val="20"/>
          <w:lang w:val="en-US" w:eastAsia="ru-RU"/>
        </w:rPr>
        <w:t xml:space="preserve"> ASTM International, 2020.</w:t>
      </w:r>
    </w:p>
    <w:p w14:paraId="442E79C6" w14:textId="10212894" w:rsidR="009A57D1" w:rsidRPr="0037438C" w:rsidRDefault="009A57D1" w:rsidP="0037438C">
      <w:pPr>
        <w:pStyle w:val="a9"/>
        <w:numPr>
          <w:ilvl w:val="0"/>
          <w:numId w:val="2"/>
        </w:numPr>
        <w:jc w:val="both"/>
        <w:rPr>
          <w:rFonts w:cs="Times New Roman"/>
          <w:sz w:val="20"/>
          <w:szCs w:val="20"/>
          <w:lang w:val="en-US"/>
        </w:rPr>
      </w:pPr>
      <w:proofErr w:type="spellStart"/>
      <w:r w:rsidRPr="0037438C">
        <w:rPr>
          <w:rFonts w:eastAsia="Times New Roman" w:cs="Times New Roman"/>
          <w:sz w:val="20"/>
          <w:szCs w:val="20"/>
          <w:lang w:val="en-US" w:eastAsia="ru-RU"/>
        </w:rPr>
        <w:t>Ikramov</w:t>
      </w:r>
      <w:proofErr w:type="spellEnd"/>
      <w:r w:rsidRPr="0037438C">
        <w:rPr>
          <w:rFonts w:eastAsia="Times New Roman" w:cs="Times New Roman"/>
          <w:sz w:val="20"/>
          <w:szCs w:val="20"/>
          <w:lang w:val="en-US" w:eastAsia="ru-RU"/>
        </w:rPr>
        <w:t xml:space="preserve">, </w:t>
      </w:r>
      <w:proofErr w:type="spellStart"/>
      <w:r w:rsidRPr="0037438C">
        <w:rPr>
          <w:rFonts w:eastAsia="Times New Roman" w:cs="Times New Roman"/>
          <w:sz w:val="20"/>
          <w:szCs w:val="20"/>
          <w:lang w:val="en-US" w:eastAsia="ru-RU"/>
        </w:rPr>
        <w:t>U.Kh</w:t>
      </w:r>
      <w:proofErr w:type="spellEnd"/>
      <w:r w:rsidRPr="0037438C">
        <w:rPr>
          <w:rFonts w:eastAsia="Times New Roman" w:cs="Times New Roman"/>
          <w:sz w:val="20"/>
          <w:szCs w:val="20"/>
          <w:lang w:val="en-US" w:eastAsia="ru-RU"/>
        </w:rPr>
        <w:t xml:space="preserve">., </w:t>
      </w:r>
      <w:proofErr w:type="spellStart"/>
      <w:r w:rsidRPr="0037438C">
        <w:rPr>
          <w:rFonts w:eastAsia="Times New Roman" w:cs="Times New Roman"/>
          <w:sz w:val="20"/>
          <w:szCs w:val="20"/>
          <w:lang w:val="en-US" w:eastAsia="ru-RU"/>
        </w:rPr>
        <w:t>Khodzhaev</w:t>
      </w:r>
      <w:proofErr w:type="spellEnd"/>
      <w:r w:rsidRPr="0037438C">
        <w:rPr>
          <w:rFonts w:eastAsia="Times New Roman" w:cs="Times New Roman"/>
          <w:sz w:val="20"/>
          <w:szCs w:val="20"/>
          <w:lang w:val="en-US" w:eastAsia="ru-RU"/>
        </w:rPr>
        <w:t xml:space="preserve">, F.F. </w:t>
      </w:r>
      <w:r w:rsidRPr="0037438C">
        <w:rPr>
          <w:rFonts w:eastAsia="Times New Roman" w:cs="Times New Roman"/>
          <w:i/>
          <w:iCs/>
          <w:sz w:val="20"/>
          <w:szCs w:val="20"/>
          <w:lang w:val="en-US" w:eastAsia="ru-RU"/>
        </w:rPr>
        <w:t>Zeolite Adsorbents and Their Application in Petroleum Refining.</w:t>
      </w:r>
      <w:r w:rsidRPr="0037438C">
        <w:rPr>
          <w:rFonts w:eastAsia="Times New Roman" w:cs="Times New Roman"/>
          <w:sz w:val="20"/>
          <w:szCs w:val="20"/>
          <w:lang w:val="en-US" w:eastAsia="ru-RU"/>
        </w:rPr>
        <w:t xml:space="preserve"> Tashkent: Fan, 2018. 224 pp.</w:t>
      </w:r>
    </w:p>
    <w:p w14:paraId="655569F5" w14:textId="77777777" w:rsidR="009A57D1" w:rsidRPr="00EA410F" w:rsidRDefault="009A57D1" w:rsidP="00EA410F">
      <w:pPr>
        <w:spacing w:after="0"/>
        <w:ind w:firstLine="709"/>
        <w:jc w:val="both"/>
        <w:rPr>
          <w:rFonts w:cs="Times New Roman"/>
          <w:sz w:val="20"/>
          <w:szCs w:val="20"/>
          <w:lang w:val="en-US"/>
        </w:rPr>
      </w:pPr>
    </w:p>
    <w:sectPr w:rsidR="009A57D1" w:rsidRPr="00EA410F" w:rsidSect="00EA410F">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24D9D"/>
    <w:multiLevelType w:val="multilevel"/>
    <w:tmpl w:val="713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0B0CE4"/>
    <w:multiLevelType w:val="hybridMultilevel"/>
    <w:tmpl w:val="564CF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7D1"/>
    <w:rsid w:val="001D7938"/>
    <w:rsid w:val="0037438C"/>
    <w:rsid w:val="0063609F"/>
    <w:rsid w:val="006C0B77"/>
    <w:rsid w:val="008242FF"/>
    <w:rsid w:val="00870751"/>
    <w:rsid w:val="00922C48"/>
    <w:rsid w:val="0097533D"/>
    <w:rsid w:val="009A57D1"/>
    <w:rsid w:val="00B915B7"/>
    <w:rsid w:val="00CD50F3"/>
    <w:rsid w:val="00EA410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04E5"/>
  <w15:docId w15:val="{9E4B2786-4CFF-44A4-A28B-1EC7FD1D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57D1"/>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9A57D1"/>
    <w:rPr>
      <w:b/>
      <w:bCs/>
    </w:rPr>
  </w:style>
  <w:style w:type="character" w:styleId="a5">
    <w:name w:val="Emphasis"/>
    <w:basedOn w:val="a0"/>
    <w:uiPriority w:val="20"/>
    <w:qFormat/>
    <w:rsid w:val="009A57D1"/>
    <w:rPr>
      <w:i/>
      <w:iCs/>
    </w:rPr>
  </w:style>
  <w:style w:type="table" w:styleId="a6">
    <w:name w:val="Table Grid"/>
    <w:basedOn w:val="a1"/>
    <w:uiPriority w:val="59"/>
    <w:rsid w:val="00CD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7938"/>
    <w:pPr>
      <w:spacing w:after="0"/>
    </w:pPr>
    <w:rPr>
      <w:rFonts w:ascii="Tahoma" w:hAnsi="Tahoma" w:cs="Tahoma"/>
      <w:sz w:val="16"/>
      <w:szCs w:val="16"/>
    </w:rPr>
  </w:style>
  <w:style w:type="character" w:customStyle="1" w:styleId="a8">
    <w:name w:val="Текст выноски Знак"/>
    <w:basedOn w:val="a0"/>
    <w:link w:val="a7"/>
    <w:uiPriority w:val="99"/>
    <w:semiHidden/>
    <w:rsid w:val="001D7938"/>
    <w:rPr>
      <w:rFonts w:ascii="Tahoma" w:hAnsi="Tahoma" w:cs="Tahoma"/>
      <w:sz w:val="16"/>
      <w:szCs w:val="16"/>
    </w:rPr>
  </w:style>
  <w:style w:type="paragraph" w:styleId="a9">
    <w:name w:val="List Paragraph"/>
    <w:basedOn w:val="a"/>
    <w:uiPriority w:val="34"/>
    <w:qFormat/>
    <w:rsid w:val="00636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803">
      <w:bodyDiv w:val="1"/>
      <w:marLeft w:val="0"/>
      <w:marRight w:val="0"/>
      <w:marTop w:val="0"/>
      <w:marBottom w:val="0"/>
      <w:divBdr>
        <w:top w:val="none" w:sz="0" w:space="0" w:color="auto"/>
        <w:left w:val="none" w:sz="0" w:space="0" w:color="auto"/>
        <w:bottom w:val="none" w:sz="0" w:space="0" w:color="auto"/>
        <w:right w:val="none" w:sz="0" w:space="0" w:color="auto"/>
      </w:divBdr>
    </w:div>
    <w:div w:id="520972586">
      <w:bodyDiv w:val="1"/>
      <w:marLeft w:val="0"/>
      <w:marRight w:val="0"/>
      <w:marTop w:val="0"/>
      <w:marBottom w:val="0"/>
      <w:divBdr>
        <w:top w:val="none" w:sz="0" w:space="0" w:color="auto"/>
        <w:left w:val="none" w:sz="0" w:space="0" w:color="auto"/>
        <w:bottom w:val="none" w:sz="0" w:space="0" w:color="auto"/>
        <w:right w:val="none" w:sz="0" w:space="0" w:color="auto"/>
      </w:divBdr>
    </w:div>
    <w:div w:id="891114496">
      <w:bodyDiv w:val="1"/>
      <w:marLeft w:val="0"/>
      <w:marRight w:val="0"/>
      <w:marTop w:val="0"/>
      <w:marBottom w:val="0"/>
      <w:divBdr>
        <w:top w:val="none" w:sz="0" w:space="0" w:color="auto"/>
        <w:left w:val="none" w:sz="0" w:space="0" w:color="auto"/>
        <w:bottom w:val="none" w:sz="0" w:space="0" w:color="auto"/>
        <w:right w:val="none" w:sz="0" w:space="0" w:color="auto"/>
      </w:divBdr>
    </w:div>
    <w:div w:id="935526551">
      <w:bodyDiv w:val="1"/>
      <w:marLeft w:val="0"/>
      <w:marRight w:val="0"/>
      <w:marTop w:val="0"/>
      <w:marBottom w:val="0"/>
      <w:divBdr>
        <w:top w:val="none" w:sz="0" w:space="0" w:color="auto"/>
        <w:left w:val="none" w:sz="0" w:space="0" w:color="auto"/>
        <w:bottom w:val="none" w:sz="0" w:space="0" w:color="auto"/>
        <w:right w:val="none" w:sz="0" w:space="0" w:color="auto"/>
      </w:divBdr>
    </w:div>
    <w:div w:id="1082799138">
      <w:bodyDiv w:val="1"/>
      <w:marLeft w:val="0"/>
      <w:marRight w:val="0"/>
      <w:marTop w:val="0"/>
      <w:marBottom w:val="0"/>
      <w:divBdr>
        <w:top w:val="none" w:sz="0" w:space="0" w:color="auto"/>
        <w:left w:val="none" w:sz="0" w:space="0" w:color="auto"/>
        <w:bottom w:val="none" w:sz="0" w:space="0" w:color="auto"/>
        <w:right w:val="none" w:sz="0" w:space="0" w:color="auto"/>
      </w:divBdr>
    </w:div>
    <w:div w:id="1623489071">
      <w:bodyDiv w:val="1"/>
      <w:marLeft w:val="0"/>
      <w:marRight w:val="0"/>
      <w:marTop w:val="0"/>
      <w:marBottom w:val="0"/>
      <w:divBdr>
        <w:top w:val="none" w:sz="0" w:space="0" w:color="auto"/>
        <w:left w:val="none" w:sz="0" w:space="0" w:color="auto"/>
        <w:bottom w:val="none" w:sz="0" w:space="0" w:color="auto"/>
        <w:right w:val="none" w:sz="0" w:space="0" w:color="auto"/>
      </w:divBdr>
      <w:divsChild>
        <w:div w:id="1163157536">
          <w:marLeft w:val="0"/>
          <w:marRight w:val="0"/>
          <w:marTop w:val="0"/>
          <w:marBottom w:val="0"/>
          <w:divBdr>
            <w:top w:val="none" w:sz="0" w:space="0" w:color="auto"/>
            <w:left w:val="none" w:sz="0" w:space="0" w:color="auto"/>
            <w:bottom w:val="none" w:sz="0" w:space="0" w:color="auto"/>
            <w:right w:val="none" w:sz="0" w:space="0" w:color="auto"/>
          </w:divBdr>
          <w:divsChild>
            <w:div w:id="11150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4736">
      <w:bodyDiv w:val="1"/>
      <w:marLeft w:val="0"/>
      <w:marRight w:val="0"/>
      <w:marTop w:val="0"/>
      <w:marBottom w:val="0"/>
      <w:divBdr>
        <w:top w:val="none" w:sz="0" w:space="0" w:color="auto"/>
        <w:left w:val="none" w:sz="0" w:space="0" w:color="auto"/>
        <w:bottom w:val="none" w:sz="0" w:space="0" w:color="auto"/>
        <w:right w:val="none" w:sz="0" w:space="0" w:color="auto"/>
      </w:divBdr>
    </w:div>
    <w:div w:id="2050951041">
      <w:bodyDiv w:val="1"/>
      <w:marLeft w:val="0"/>
      <w:marRight w:val="0"/>
      <w:marTop w:val="0"/>
      <w:marBottom w:val="0"/>
      <w:divBdr>
        <w:top w:val="none" w:sz="0" w:space="0" w:color="auto"/>
        <w:left w:val="none" w:sz="0" w:space="0" w:color="auto"/>
        <w:bottom w:val="none" w:sz="0" w:space="0" w:color="auto"/>
        <w:right w:val="none" w:sz="0" w:space="0" w:color="auto"/>
      </w:divBdr>
      <w:divsChild>
        <w:div w:id="683095741">
          <w:marLeft w:val="0"/>
          <w:marRight w:val="0"/>
          <w:marTop w:val="0"/>
          <w:marBottom w:val="0"/>
          <w:divBdr>
            <w:top w:val="none" w:sz="0" w:space="0" w:color="auto"/>
            <w:left w:val="none" w:sz="0" w:space="0" w:color="auto"/>
            <w:bottom w:val="none" w:sz="0" w:space="0" w:color="auto"/>
            <w:right w:val="none" w:sz="0" w:space="0" w:color="auto"/>
          </w:divBdr>
          <w:divsChild>
            <w:div w:id="3290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1351</Words>
  <Characters>7706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2026-01-27T05:59:00Z</dcterms:created>
  <dcterms:modified xsi:type="dcterms:W3CDTF">2026-01-27T05:59:00Z</dcterms:modified>
</cp:coreProperties>
</file>