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31B110" w14:textId="79D8BCCF" w:rsidR="007567AF" w:rsidRPr="00075EA6" w:rsidRDefault="007567AF" w:rsidP="007567AF">
      <w:pPr>
        <w:pStyle w:val="PaperTitle"/>
        <w:spacing w:before="0"/>
        <w:rPr>
          <w:b w:val="0"/>
          <w:bCs/>
          <w:sz w:val="24"/>
          <w:szCs w:val="24"/>
        </w:rPr>
      </w:pPr>
      <w:bookmarkStart w:id="0" w:name="_Hlk214293219"/>
      <w:bookmarkStart w:id="1" w:name="_Hlk214292595"/>
      <w:bookmarkStart w:id="2" w:name="_Hlk214293229"/>
      <w:bookmarkStart w:id="3" w:name="_Hlk214306146"/>
      <w:r w:rsidRPr="007567AF">
        <w:t>Physical Simulation to Evaluate the Impact of Nano Perovskite and 18F-FDG Medical Dye as Intravenous Carriers for Doxorubicin</w:t>
      </w:r>
      <w:bookmarkEnd w:id="0"/>
    </w:p>
    <w:bookmarkEnd w:id="1"/>
    <w:bookmarkEnd w:id="2"/>
    <w:bookmarkEnd w:id="3"/>
    <w:p w14:paraId="67E626F5" w14:textId="33CEA921" w:rsidR="00C74E28" w:rsidRPr="007567AF" w:rsidRDefault="0004625E" w:rsidP="007567AF">
      <w:pPr>
        <w:pStyle w:val="AuthorName"/>
        <w:rPr>
          <w:vertAlign w:val="superscript"/>
          <w:lang w:bidi="ar-IQ"/>
        </w:rPr>
      </w:pPr>
      <w:r w:rsidRPr="007567AF">
        <w:rPr>
          <w:lang w:bidi="ar-IQ"/>
        </w:rPr>
        <w:t>Shaymaa A. Jaber</w:t>
      </w:r>
      <w:r w:rsidR="00C13478" w:rsidRPr="007567AF">
        <w:rPr>
          <w:vertAlign w:val="superscript"/>
          <w:lang w:bidi="ar-IQ"/>
        </w:rPr>
        <w:t>1,</w:t>
      </w:r>
      <w:r w:rsidR="007567AF" w:rsidRPr="007567AF">
        <w:rPr>
          <w:vertAlign w:val="superscript"/>
          <w:lang w:bidi="ar-IQ"/>
        </w:rPr>
        <w:t xml:space="preserve"> </w:t>
      </w:r>
      <w:r w:rsidR="00C13478" w:rsidRPr="007567AF">
        <w:rPr>
          <w:vertAlign w:val="superscript"/>
          <w:lang w:bidi="ar-IQ"/>
        </w:rPr>
        <w:t>a)</w:t>
      </w:r>
      <w:r w:rsidR="00C13478" w:rsidRPr="007567AF">
        <w:rPr>
          <w:lang w:bidi="ar-IQ"/>
        </w:rPr>
        <w:t xml:space="preserve">, </w:t>
      </w:r>
      <w:r w:rsidR="00220F03" w:rsidRPr="007567AF">
        <w:rPr>
          <w:lang w:bidi="ar-IQ"/>
        </w:rPr>
        <w:t>Ali N</w:t>
      </w:r>
      <w:r w:rsidR="00FE2694" w:rsidRPr="007567AF">
        <w:rPr>
          <w:lang w:bidi="ar-IQ"/>
        </w:rPr>
        <w:t>aji</w:t>
      </w:r>
      <w:r w:rsidR="00220F03" w:rsidRPr="007567AF">
        <w:rPr>
          <w:lang w:bidi="ar-IQ"/>
        </w:rPr>
        <w:t xml:space="preserve"> Saleh</w:t>
      </w:r>
      <w:r w:rsidR="00220F03" w:rsidRPr="007567AF">
        <w:rPr>
          <w:vertAlign w:val="superscript"/>
          <w:lang w:bidi="ar-IQ"/>
        </w:rPr>
        <w:t>2,</w:t>
      </w:r>
      <w:r w:rsidR="007567AF" w:rsidRPr="007567AF">
        <w:rPr>
          <w:vertAlign w:val="superscript"/>
          <w:lang w:bidi="ar-IQ"/>
        </w:rPr>
        <w:t xml:space="preserve"> </w:t>
      </w:r>
      <w:r w:rsidR="00220F03" w:rsidRPr="007567AF">
        <w:rPr>
          <w:vertAlign w:val="superscript"/>
          <w:lang w:bidi="ar-IQ"/>
        </w:rPr>
        <w:t>b)</w:t>
      </w:r>
      <w:r w:rsidR="00220F03" w:rsidRPr="007567AF">
        <w:rPr>
          <w:lang w:bidi="ar-IQ"/>
        </w:rPr>
        <w:t xml:space="preserve"> </w:t>
      </w:r>
      <w:r w:rsidR="007567AF" w:rsidRPr="007567AF">
        <w:rPr>
          <w:lang w:bidi="ar-IQ"/>
        </w:rPr>
        <w:t xml:space="preserve">and </w:t>
      </w:r>
      <w:r w:rsidRPr="007567AF">
        <w:rPr>
          <w:lang w:bidi="ar-IQ"/>
        </w:rPr>
        <w:t>Bahjat B. Kadhim</w:t>
      </w:r>
      <w:r w:rsidR="00220F03" w:rsidRPr="007567AF">
        <w:rPr>
          <w:vertAlign w:val="superscript"/>
          <w:lang w:bidi="ar-IQ"/>
        </w:rPr>
        <w:t>3</w:t>
      </w:r>
      <w:r w:rsidR="00D2114C" w:rsidRPr="007567AF">
        <w:rPr>
          <w:vertAlign w:val="superscript"/>
          <w:lang w:bidi="ar-IQ"/>
        </w:rPr>
        <w:t>,</w:t>
      </w:r>
      <w:r w:rsidR="007567AF" w:rsidRPr="007567AF">
        <w:rPr>
          <w:vertAlign w:val="superscript"/>
          <w:lang w:bidi="ar-IQ"/>
        </w:rPr>
        <w:t xml:space="preserve"> </w:t>
      </w:r>
      <w:r w:rsidR="00220F03" w:rsidRPr="007567AF">
        <w:rPr>
          <w:vertAlign w:val="superscript"/>
          <w:lang w:bidi="ar-IQ"/>
        </w:rPr>
        <w:t>c</w:t>
      </w:r>
      <w:r w:rsidR="00C74E28" w:rsidRPr="007567AF">
        <w:rPr>
          <w:vertAlign w:val="superscript"/>
          <w:lang w:bidi="ar-IQ"/>
        </w:rPr>
        <w:t>)</w:t>
      </w:r>
    </w:p>
    <w:p w14:paraId="7BAE945E" w14:textId="3694F7F2" w:rsidR="002C5628" w:rsidRDefault="0004625E" w:rsidP="002C5628">
      <w:pPr>
        <w:pStyle w:val="AuthorAffiliation"/>
        <w:shd w:val="clear" w:color="auto" w:fill="FFFFFF" w:themeFill="background1"/>
        <w:rPr>
          <w:lang w:bidi="ar-IQ"/>
        </w:rPr>
      </w:pPr>
      <w:r>
        <w:rPr>
          <w:vertAlign w:val="superscript"/>
          <w:lang w:bidi="ar-IQ"/>
        </w:rPr>
        <w:t>1</w:t>
      </w:r>
      <w:r w:rsidR="002C5628" w:rsidRPr="001A0749">
        <w:rPr>
          <w:lang w:bidi="ar-IQ"/>
        </w:rPr>
        <w:t>Department of Physics, College of Science, Sumer University, I</w:t>
      </w:r>
      <w:r w:rsidR="005C29EB">
        <w:rPr>
          <w:lang w:bidi="ar-IQ"/>
        </w:rPr>
        <w:t>raq</w:t>
      </w:r>
      <w:r w:rsidR="004D7869">
        <w:rPr>
          <w:lang w:bidi="ar-IQ"/>
        </w:rPr>
        <w:t>.</w:t>
      </w:r>
    </w:p>
    <w:p w14:paraId="742BA065" w14:textId="3FEC74CB" w:rsidR="00C66A45" w:rsidRDefault="00C66A45" w:rsidP="00C66A45">
      <w:pPr>
        <w:pStyle w:val="AuthorAffiliation"/>
        <w:shd w:val="clear" w:color="auto" w:fill="FFFFFF" w:themeFill="background1"/>
        <w:rPr>
          <w:lang w:bidi="ar-IQ"/>
        </w:rPr>
      </w:pPr>
      <w:r>
        <w:rPr>
          <w:vertAlign w:val="superscript"/>
          <w:lang w:bidi="ar-IQ"/>
        </w:rPr>
        <w:t>2</w:t>
      </w:r>
      <w:r w:rsidRPr="00C66A45">
        <w:rPr>
          <w:lang w:bidi="ar-IQ"/>
        </w:rPr>
        <w:t>Rector assistant office for scientific affairs, Al-</w:t>
      </w:r>
      <w:proofErr w:type="spellStart"/>
      <w:r w:rsidRPr="00C66A45">
        <w:rPr>
          <w:lang w:bidi="ar-IQ"/>
        </w:rPr>
        <w:t>iraqia</w:t>
      </w:r>
      <w:proofErr w:type="spellEnd"/>
      <w:r w:rsidRPr="00C66A45">
        <w:rPr>
          <w:lang w:bidi="ar-IQ"/>
        </w:rPr>
        <w:t xml:space="preserve"> university, </w:t>
      </w:r>
      <w:r w:rsidR="005C29EB" w:rsidRPr="001A0749">
        <w:rPr>
          <w:lang w:bidi="ar-IQ"/>
        </w:rPr>
        <w:t>I</w:t>
      </w:r>
      <w:r w:rsidR="005C29EB">
        <w:rPr>
          <w:lang w:bidi="ar-IQ"/>
        </w:rPr>
        <w:t>raq</w:t>
      </w:r>
      <w:r w:rsidR="004D7869">
        <w:rPr>
          <w:lang w:bidi="ar-IQ"/>
        </w:rPr>
        <w:t>.</w:t>
      </w:r>
    </w:p>
    <w:p w14:paraId="737EE43D" w14:textId="02B004F0" w:rsidR="002C5628" w:rsidRDefault="00E25C32" w:rsidP="00917881">
      <w:pPr>
        <w:pStyle w:val="AuthorAffiliation"/>
        <w:shd w:val="clear" w:color="auto" w:fill="FFFFFF" w:themeFill="background1"/>
        <w:rPr>
          <w:lang w:bidi="ar-IQ"/>
        </w:rPr>
      </w:pPr>
      <w:r>
        <w:rPr>
          <w:vertAlign w:val="superscript"/>
          <w:lang w:bidi="ar-IQ"/>
        </w:rPr>
        <w:t>3</w:t>
      </w:r>
      <w:r w:rsidR="002C5628" w:rsidRPr="001A0749">
        <w:rPr>
          <w:lang w:bidi="ar-IQ"/>
        </w:rPr>
        <w:t xml:space="preserve">Department of Physics, College of Science, </w:t>
      </w:r>
      <w:proofErr w:type="spellStart"/>
      <w:r w:rsidR="002C5628" w:rsidRPr="001A0749">
        <w:rPr>
          <w:lang w:bidi="ar-IQ"/>
        </w:rPr>
        <w:t>Mustansiriyah</w:t>
      </w:r>
      <w:proofErr w:type="spellEnd"/>
      <w:r w:rsidR="002C5628" w:rsidRPr="001A0749">
        <w:rPr>
          <w:lang w:bidi="ar-IQ"/>
        </w:rPr>
        <w:t xml:space="preserve"> University, </w:t>
      </w:r>
      <w:r w:rsidR="005C29EB" w:rsidRPr="001A0749">
        <w:rPr>
          <w:lang w:bidi="ar-IQ"/>
        </w:rPr>
        <w:t>I</w:t>
      </w:r>
      <w:r w:rsidR="005C29EB">
        <w:rPr>
          <w:lang w:bidi="ar-IQ"/>
        </w:rPr>
        <w:t>raq</w:t>
      </w:r>
      <w:r w:rsidR="004D7869">
        <w:rPr>
          <w:lang w:bidi="ar-IQ"/>
        </w:rPr>
        <w:t>.</w:t>
      </w:r>
    </w:p>
    <w:p w14:paraId="45BEBC2C" w14:textId="77777777" w:rsidR="00C13478" w:rsidRPr="005254E7" w:rsidRDefault="00C13478" w:rsidP="002C5628">
      <w:pPr>
        <w:pStyle w:val="AuthorAffiliation"/>
        <w:shd w:val="clear" w:color="auto" w:fill="FFFFFF" w:themeFill="background1"/>
        <w:rPr>
          <w:iCs/>
          <w:lang w:bidi="ar-IQ"/>
        </w:rPr>
      </w:pPr>
    </w:p>
    <w:p w14:paraId="0B4072AB" w14:textId="228D642F" w:rsidR="004D7869" w:rsidRPr="005254E7" w:rsidRDefault="004D7869" w:rsidP="004D7869">
      <w:pPr>
        <w:pStyle w:val="AuthorEmail"/>
        <w:rPr>
          <w:i/>
          <w:iCs/>
        </w:rPr>
      </w:pPr>
      <w:r w:rsidRPr="005254E7">
        <w:rPr>
          <w:i/>
          <w:iCs/>
          <w:vertAlign w:val="superscript"/>
        </w:rPr>
        <w:t>a)</w:t>
      </w:r>
      <w:r w:rsidRPr="005254E7">
        <w:rPr>
          <w:i/>
          <w:iCs/>
        </w:rPr>
        <w:t xml:space="preserve"> Corresponding author:</w:t>
      </w:r>
      <w:r w:rsidRPr="005254E7">
        <w:rPr>
          <w:rFonts w:hint="cs"/>
          <w:i/>
          <w:iCs/>
          <w:rtl/>
        </w:rPr>
        <w:t xml:space="preserve"> </w:t>
      </w:r>
      <w:hyperlink r:id="rId9" w:history="1">
        <w:r w:rsidRPr="005254E7">
          <w:rPr>
            <w:rStyle w:val="Hyperlink"/>
            <w:i/>
            <w:iCs/>
            <w:color w:val="auto"/>
            <w:u w:val="none"/>
          </w:rPr>
          <w:t>shimaa.aziz@uos.edu.iq</w:t>
        </w:r>
      </w:hyperlink>
    </w:p>
    <w:p w14:paraId="0DBAF410" w14:textId="336DD42C" w:rsidR="00220F03" w:rsidRPr="005254E7" w:rsidRDefault="00C66A45" w:rsidP="00C13478">
      <w:pPr>
        <w:pStyle w:val="AuthorEmail"/>
        <w:rPr>
          <w:i/>
          <w:iCs/>
        </w:rPr>
      </w:pPr>
      <w:bookmarkStart w:id="4" w:name="_Hlk201980636"/>
      <w:r w:rsidRPr="005254E7">
        <w:rPr>
          <w:i/>
          <w:iCs/>
          <w:vertAlign w:val="superscript"/>
        </w:rPr>
        <w:t xml:space="preserve">b) </w:t>
      </w:r>
      <w:r w:rsidRPr="005254E7">
        <w:rPr>
          <w:i/>
          <w:iCs/>
        </w:rPr>
        <w:t>ali.n.saleh@aliraqia.edu.iq</w:t>
      </w:r>
    </w:p>
    <w:p w14:paraId="1009D97C" w14:textId="000C98C6" w:rsidR="00C74E28" w:rsidRDefault="00220F03" w:rsidP="00FE2694">
      <w:pPr>
        <w:pStyle w:val="AuthorEmail"/>
        <w:rPr>
          <w:i/>
          <w:iCs/>
        </w:rPr>
      </w:pPr>
      <w:r w:rsidRPr="005254E7">
        <w:rPr>
          <w:i/>
          <w:iCs/>
          <w:vertAlign w:val="superscript"/>
        </w:rPr>
        <w:t>c</w:t>
      </w:r>
      <w:r w:rsidR="004D7869" w:rsidRPr="005254E7">
        <w:rPr>
          <w:i/>
          <w:iCs/>
          <w:vertAlign w:val="superscript"/>
        </w:rPr>
        <w:t>)</w:t>
      </w:r>
      <w:r w:rsidR="004D7869" w:rsidRPr="005254E7">
        <w:rPr>
          <w:i/>
          <w:iCs/>
        </w:rPr>
        <w:t>sci.phy.bbk@uomustansiriyah.edu.iq</w:t>
      </w:r>
      <w:bookmarkStart w:id="5" w:name="_Hlk175467755"/>
    </w:p>
    <w:p w14:paraId="0BCBA829" w14:textId="77777777" w:rsidR="00E11F37" w:rsidRPr="005254E7" w:rsidRDefault="00E11F37" w:rsidP="00FE2694">
      <w:pPr>
        <w:pStyle w:val="AuthorEmail"/>
        <w:rPr>
          <w:i/>
          <w:iCs/>
        </w:rPr>
      </w:pPr>
    </w:p>
    <w:bookmarkEnd w:id="4"/>
    <w:bookmarkEnd w:id="5"/>
    <w:p w14:paraId="43B64BD6" w14:textId="389663D1" w:rsidR="002C6241" w:rsidRPr="00006A62" w:rsidRDefault="00C74E28" w:rsidP="00E25C32">
      <w:pPr>
        <w:pStyle w:val="Abstract"/>
        <w:spacing w:before="120" w:after="120"/>
        <w:rPr>
          <w:rFonts w:asciiTheme="majorBidi" w:eastAsia="Calibri" w:hAnsiTheme="majorBidi" w:cstheme="majorBidi"/>
          <w:b/>
          <w:bCs/>
          <w:rtl/>
          <w:lang w:bidi="ar-IQ"/>
        </w:rPr>
      </w:pPr>
      <w:r w:rsidRPr="00006A62">
        <w:rPr>
          <w:rFonts w:asciiTheme="majorBidi" w:eastAsia="Calibri" w:hAnsiTheme="majorBidi" w:cstheme="majorBidi"/>
          <w:b/>
          <w:bCs/>
        </w:rPr>
        <w:t>Abstract</w:t>
      </w:r>
      <w:r w:rsidRPr="00006A62">
        <w:rPr>
          <w:rFonts w:asciiTheme="majorBidi" w:eastAsia="Calibri" w:hAnsiTheme="majorBidi" w:cstheme="majorBidi"/>
        </w:rPr>
        <w:t>:</w:t>
      </w:r>
      <w:r w:rsidR="002C6241" w:rsidRPr="00006A62">
        <w:rPr>
          <w:rFonts w:asciiTheme="majorBidi" w:eastAsia="Calibri" w:hAnsiTheme="majorBidi" w:cstheme="majorBidi"/>
          <w:rtl/>
          <w:lang w:bidi="ar-IQ"/>
        </w:rPr>
        <w:t xml:space="preserve"> </w:t>
      </w:r>
      <w:r w:rsidR="0004625E" w:rsidRPr="00006A62">
        <w:rPr>
          <w:rFonts w:asciiTheme="majorBidi" w:eastAsia="Calibri" w:hAnsiTheme="majorBidi" w:cstheme="majorBidi"/>
        </w:rPr>
        <w:t xml:space="preserve">The study involved enhancing the targeted delivery of the breast cancer </w:t>
      </w:r>
      <w:r w:rsidR="00964297">
        <w:rPr>
          <w:rFonts w:asciiTheme="majorBidi" w:eastAsia="Calibri" w:hAnsiTheme="majorBidi" w:cstheme="majorBidi"/>
        </w:rPr>
        <w:t>medicament</w:t>
      </w:r>
      <w:r w:rsidR="0004625E" w:rsidRPr="00006A62">
        <w:rPr>
          <w:rFonts w:asciiTheme="majorBidi" w:eastAsia="Calibri" w:hAnsiTheme="majorBidi" w:cstheme="majorBidi"/>
        </w:rPr>
        <w:t xml:space="preserve"> doxorubicin using two new </w:t>
      </w:r>
      <w:proofErr w:type="spellStart"/>
      <w:r w:rsidR="0004625E" w:rsidRPr="00006A62">
        <w:rPr>
          <w:rFonts w:asciiTheme="majorBidi" w:eastAsia="Calibri" w:hAnsiTheme="majorBidi" w:cstheme="majorBidi"/>
        </w:rPr>
        <w:t>nanosystems</w:t>
      </w:r>
      <w:proofErr w:type="spellEnd"/>
      <w:r w:rsidR="0004625E" w:rsidRPr="00006A62">
        <w:rPr>
          <w:rFonts w:asciiTheme="majorBidi" w:eastAsia="Calibri" w:hAnsiTheme="majorBidi" w:cstheme="majorBidi"/>
        </w:rPr>
        <w:t>: a molecular imaging probe (</w:t>
      </w:r>
      <w:r w:rsidR="00006A62" w:rsidRPr="00006A62">
        <w:rPr>
          <w:rFonts w:asciiTheme="majorBidi" w:eastAsia="Calibri" w:hAnsiTheme="majorBidi" w:cstheme="majorBidi"/>
          <w:vertAlign w:val="superscript"/>
        </w:rPr>
        <w:t>18</w:t>
      </w:r>
      <w:r w:rsidR="0004625E" w:rsidRPr="00006A62">
        <w:rPr>
          <w:rFonts w:asciiTheme="majorBidi" w:eastAsia="Calibri" w:hAnsiTheme="majorBidi" w:cstheme="majorBidi"/>
        </w:rPr>
        <w:t xml:space="preserve">F-FDG) and </w:t>
      </w:r>
      <w:r w:rsidR="00FE2694">
        <w:rPr>
          <w:rFonts w:asciiTheme="majorBidi" w:eastAsia="Calibri" w:hAnsiTheme="majorBidi" w:cstheme="majorBidi"/>
        </w:rPr>
        <w:t xml:space="preserve">nano </w:t>
      </w:r>
      <w:r w:rsidR="0004625E" w:rsidRPr="00006A62">
        <w:rPr>
          <w:rFonts w:asciiTheme="majorBidi" w:eastAsia="Calibri" w:hAnsiTheme="majorBidi" w:cstheme="majorBidi"/>
        </w:rPr>
        <w:t>perovskite (</w:t>
      </w:r>
      <w:proofErr w:type="spellStart"/>
      <w:r w:rsidR="0004625E" w:rsidRPr="00006A62">
        <w:rPr>
          <w:rFonts w:asciiTheme="majorBidi" w:eastAsia="Calibri" w:hAnsiTheme="majorBidi" w:cstheme="majorBidi"/>
        </w:rPr>
        <w:t>CaTiO</w:t>
      </w:r>
      <w:proofErr w:type="spellEnd"/>
      <w:proofErr w:type="gramStart"/>
      <w:r w:rsidR="0004625E" w:rsidRPr="00006A62">
        <w:rPr>
          <w:rFonts w:ascii="Cambria Math" w:eastAsia="Calibri" w:hAnsi="Cambria Math" w:cs="Cambria Math"/>
        </w:rPr>
        <w:t>₃</w:t>
      </w:r>
      <w:r w:rsidR="0004625E" w:rsidRPr="00006A62">
        <w:rPr>
          <w:rFonts w:asciiTheme="majorBidi" w:eastAsia="Calibri" w:hAnsiTheme="majorBidi" w:cstheme="majorBidi"/>
        </w:rPr>
        <w:t>)</w:t>
      </w:r>
      <w:r w:rsidR="0004625E" w:rsidRPr="00006A62">
        <w:rPr>
          <w:rFonts w:ascii="Cambria Math" w:eastAsia="Calibri" w:hAnsi="Cambria Math" w:cs="Cambria Math"/>
        </w:rPr>
        <w:t>₂</w:t>
      </w:r>
      <w:proofErr w:type="gramEnd"/>
      <w:r w:rsidR="0004625E" w:rsidRPr="00006A62">
        <w:rPr>
          <w:rFonts w:asciiTheme="majorBidi" w:eastAsia="Calibri" w:hAnsiTheme="majorBidi" w:cstheme="majorBidi"/>
        </w:rPr>
        <w:t xml:space="preserve">. Molecular simulations and </w:t>
      </w:r>
      <w:r w:rsidR="00964297">
        <w:rPr>
          <w:rFonts w:asciiTheme="majorBidi" w:eastAsia="Calibri" w:hAnsiTheme="majorBidi" w:cstheme="majorBidi"/>
        </w:rPr>
        <w:t xml:space="preserve">density functional theory </w:t>
      </w:r>
      <w:r w:rsidR="0004625E" w:rsidRPr="00006A62">
        <w:rPr>
          <w:rFonts w:asciiTheme="majorBidi" w:eastAsia="Calibri" w:hAnsiTheme="majorBidi" w:cstheme="majorBidi"/>
        </w:rPr>
        <w:t xml:space="preserve">were employed to investigate the interaction of the </w:t>
      </w:r>
      <w:r w:rsidR="00964297" w:rsidRPr="00964297">
        <w:rPr>
          <w:rFonts w:asciiTheme="majorBidi" w:eastAsia="Calibri" w:hAnsiTheme="majorBidi" w:cstheme="majorBidi"/>
        </w:rPr>
        <w:t>medicament</w:t>
      </w:r>
      <w:r w:rsidR="0004625E" w:rsidRPr="00006A62">
        <w:rPr>
          <w:rFonts w:asciiTheme="majorBidi" w:eastAsia="Calibri" w:hAnsiTheme="majorBidi" w:cstheme="majorBidi"/>
        </w:rPr>
        <w:t xml:space="preserve"> with proteins in cancer cells and blood. The results indicated that the </w:t>
      </w:r>
      <w:r w:rsidR="00FE2694">
        <w:rPr>
          <w:rFonts w:asciiTheme="majorBidi" w:eastAsia="Calibri" w:hAnsiTheme="majorBidi" w:cstheme="majorBidi"/>
        </w:rPr>
        <w:t>medicament</w:t>
      </w:r>
      <w:r w:rsidR="0004625E" w:rsidRPr="00006A62">
        <w:rPr>
          <w:rFonts w:asciiTheme="majorBidi" w:eastAsia="Calibri" w:hAnsiTheme="majorBidi" w:cstheme="majorBidi"/>
        </w:rPr>
        <w:t xml:space="preserve">, when </w:t>
      </w:r>
      <w:r w:rsidR="00FE2694">
        <w:rPr>
          <w:rFonts w:asciiTheme="majorBidi" w:eastAsia="Calibri" w:hAnsiTheme="majorBidi" w:cstheme="majorBidi"/>
        </w:rPr>
        <w:t>docked</w:t>
      </w:r>
      <w:r w:rsidR="0004625E" w:rsidRPr="00006A62">
        <w:rPr>
          <w:rFonts w:asciiTheme="majorBidi" w:eastAsia="Calibri" w:hAnsiTheme="majorBidi" w:cstheme="majorBidi"/>
        </w:rPr>
        <w:t xml:space="preserve"> with </w:t>
      </w:r>
      <w:r w:rsidR="00006A62" w:rsidRPr="00006A62">
        <w:rPr>
          <w:rFonts w:asciiTheme="majorBidi" w:eastAsia="Calibri" w:hAnsiTheme="majorBidi" w:cstheme="majorBidi"/>
          <w:vertAlign w:val="superscript"/>
        </w:rPr>
        <w:t>18</w:t>
      </w:r>
      <w:r w:rsidR="0004625E" w:rsidRPr="00006A62">
        <w:rPr>
          <w:rFonts w:asciiTheme="majorBidi" w:eastAsia="Calibri" w:hAnsiTheme="majorBidi" w:cstheme="majorBidi"/>
        </w:rPr>
        <w:t xml:space="preserve">F-FDG, could promote selectivity and stability, decrease structural deformation, and thus improve therapeutic efficacy. </w:t>
      </w:r>
      <w:r w:rsidR="00FE2694">
        <w:rPr>
          <w:rFonts w:asciiTheme="majorBidi" w:eastAsia="Calibri" w:hAnsiTheme="majorBidi" w:cstheme="majorBidi"/>
        </w:rPr>
        <w:t>Nano p</w:t>
      </w:r>
      <w:r w:rsidR="0004625E" w:rsidRPr="00006A62">
        <w:rPr>
          <w:rFonts w:asciiTheme="majorBidi" w:eastAsia="Calibri" w:hAnsiTheme="majorBidi" w:cstheme="majorBidi"/>
        </w:rPr>
        <w:t xml:space="preserve">erovskite offered high electronic stability but decreased </w:t>
      </w:r>
      <w:proofErr w:type="spellStart"/>
      <w:r w:rsidR="0004625E" w:rsidRPr="00006A62">
        <w:rPr>
          <w:rFonts w:asciiTheme="majorBidi" w:eastAsia="Calibri" w:hAnsiTheme="majorBidi" w:cstheme="majorBidi"/>
        </w:rPr>
        <w:t>biorelease</w:t>
      </w:r>
      <w:proofErr w:type="spellEnd"/>
      <w:r w:rsidR="0004625E" w:rsidRPr="00006A62">
        <w:rPr>
          <w:rFonts w:asciiTheme="majorBidi" w:eastAsia="Calibri" w:hAnsiTheme="majorBidi" w:cstheme="majorBidi"/>
        </w:rPr>
        <w:t xml:space="preserve">. Optical spectra further indicated no discernible absorption in the visible region, implying its safety for intravenous delivery. These results indicate that </w:t>
      </w:r>
      <w:r w:rsidR="00FE2694">
        <w:rPr>
          <w:rFonts w:asciiTheme="majorBidi" w:eastAsia="Calibri" w:hAnsiTheme="majorBidi" w:cstheme="majorBidi"/>
        </w:rPr>
        <w:t xml:space="preserve">nano </w:t>
      </w:r>
      <w:r w:rsidR="0004625E" w:rsidRPr="00006A62">
        <w:rPr>
          <w:rFonts w:asciiTheme="majorBidi" w:eastAsia="Calibri" w:hAnsiTheme="majorBidi" w:cstheme="majorBidi"/>
        </w:rPr>
        <w:t xml:space="preserve">perovskite is perhaps a permanent carrier, while </w:t>
      </w:r>
      <w:r w:rsidR="00006A62" w:rsidRPr="00006A62">
        <w:rPr>
          <w:rFonts w:asciiTheme="majorBidi" w:eastAsia="Calibri" w:hAnsiTheme="majorBidi" w:cstheme="majorBidi"/>
          <w:vertAlign w:val="superscript"/>
        </w:rPr>
        <w:t>18</w:t>
      </w:r>
      <w:r w:rsidR="0004625E" w:rsidRPr="00006A62">
        <w:rPr>
          <w:rFonts w:asciiTheme="majorBidi" w:eastAsia="Calibri" w:hAnsiTheme="majorBidi" w:cstheme="majorBidi"/>
        </w:rPr>
        <w:t xml:space="preserve">F-FDG can achieve delivery of </w:t>
      </w:r>
      <w:r w:rsidR="00FE2694" w:rsidRPr="00FE2694">
        <w:rPr>
          <w:rFonts w:asciiTheme="majorBidi" w:eastAsia="Calibri" w:hAnsiTheme="majorBidi" w:cstheme="majorBidi"/>
        </w:rPr>
        <w:t>medicament</w:t>
      </w:r>
      <w:r w:rsidR="0004625E" w:rsidRPr="00006A62">
        <w:rPr>
          <w:rFonts w:asciiTheme="majorBidi" w:eastAsia="Calibri" w:hAnsiTheme="majorBidi" w:cstheme="majorBidi"/>
        </w:rPr>
        <w:t xml:space="preserve"> accurately if the </w:t>
      </w:r>
      <w:r w:rsidR="00964297" w:rsidRPr="00964297">
        <w:rPr>
          <w:rFonts w:asciiTheme="majorBidi" w:eastAsia="Calibri" w:hAnsiTheme="majorBidi" w:cstheme="majorBidi"/>
        </w:rPr>
        <w:t>medicament</w:t>
      </w:r>
      <w:r w:rsidR="0004625E" w:rsidRPr="00006A62">
        <w:rPr>
          <w:rFonts w:asciiTheme="majorBidi" w:eastAsia="Calibri" w:hAnsiTheme="majorBidi" w:cstheme="majorBidi"/>
        </w:rPr>
        <w:t xml:space="preserve"> release rate is manageable</w:t>
      </w:r>
      <w:r w:rsidR="00006A62" w:rsidRPr="00006A62">
        <w:rPr>
          <w:rFonts w:asciiTheme="majorBidi" w:eastAsia="Calibri" w:hAnsiTheme="majorBidi" w:cstheme="majorBidi"/>
        </w:rPr>
        <w:t>.</w:t>
      </w:r>
    </w:p>
    <w:p w14:paraId="14DD4027" w14:textId="7D54EB5B" w:rsidR="00F61670" w:rsidRPr="00F61670" w:rsidRDefault="00C74E28" w:rsidP="00E25C32">
      <w:pPr>
        <w:pStyle w:val="Abstract"/>
        <w:spacing w:before="120" w:after="120"/>
        <w:rPr>
          <w:rFonts w:eastAsia="Calibri"/>
        </w:rPr>
      </w:pPr>
      <w:r w:rsidRPr="00504C8D">
        <w:rPr>
          <w:rFonts w:eastAsia="Calibri"/>
          <w:b/>
          <w:bCs/>
          <w:i/>
          <w:iCs/>
        </w:rPr>
        <w:t>Keywords</w:t>
      </w:r>
      <w:r w:rsidRPr="00504C8D">
        <w:rPr>
          <w:rFonts w:eastAsia="Calibri"/>
        </w:rPr>
        <w:t xml:space="preserve">: </w:t>
      </w:r>
      <w:r w:rsidR="00FE2694">
        <w:rPr>
          <w:rFonts w:eastAsia="Calibri"/>
        </w:rPr>
        <w:t>Nano p</w:t>
      </w:r>
      <w:r w:rsidR="0004625E" w:rsidRPr="0004625E">
        <w:rPr>
          <w:rFonts w:eastAsia="Calibri"/>
        </w:rPr>
        <w:t>erovskites (CaTiO</w:t>
      </w:r>
      <w:r w:rsidR="0004625E" w:rsidRPr="0004625E">
        <w:rPr>
          <w:rFonts w:eastAsia="Calibri"/>
          <w:vertAlign w:val="subscript"/>
        </w:rPr>
        <w:t>3</w:t>
      </w:r>
      <w:r w:rsidR="0004625E" w:rsidRPr="0004625E">
        <w:rPr>
          <w:rFonts w:eastAsia="Calibri"/>
        </w:rPr>
        <w:t>)</w:t>
      </w:r>
      <w:r w:rsidR="0004625E" w:rsidRPr="0004625E">
        <w:rPr>
          <w:rFonts w:eastAsia="Calibri"/>
          <w:vertAlign w:val="subscript"/>
        </w:rPr>
        <w:t>2,</w:t>
      </w:r>
      <w:r w:rsidR="0004625E" w:rsidRPr="0004625E">
        <w:rPr>
          <w:rFonts w:eastAsia="Calibri"/>
        </w:rPr>
        <w:t xml:space="preserve"> Breast cancer, Doxorubicin, DFT</w:t>
      </w:r>
      <w:r w:rsidR="00FE2694">
        <w:rPr>
          <w:rFonts w:eastAsia="Calibri"/>
        </w:rPr>
        <w:t xml:space="preserve">, </w:t>
      </w:r>
      <w:r w:rsidR="00640AFB">
        <w:rPr>
          <w:rFonts w:eastAsia="Calibri"/>
        </w:rPr>
        <w:t>docking, carriers</w:t>
      </w:r>
      <w:r w:rsidR="0004625E" w:rsidRPr="0004625E">
        <w:rPr>
          <w:rFonts w:eastAsia="Calibri"/>
        </w:rPr>
        <w:t>.</w:t>
      </w:r>
    </w:p>
    <w:p w14:paraId="5594E992" w14:textId="3B35B64A" w:rsidR="00C74E28" w:rsidRDefault="00C74E28" w:rsidP="00055D4E">
      <w:pPr>
        <w:pStyle w:val="Heading1"/>
        <w:rPr>
          <w:rFonts w:eastAsia="Calibri"/>
        </w:rPr>
      </w:pPr>
      <w:r w:rsidRPr="00504C8D">
        <w:rPr>
          <w:rFonts w:eastAsia="Calibri"/>
        </w:rPr>
        <w:t>Introduction</w:t>
      </w:r>
    </w:p>
    <w:p w14:paraId="5077A655" w14:textId="222D2F53" w:rsidR="0004625E" w:rsidRPr="0004625E" w:rsidRDefault="0004625E" w:rsidP="007F27A0">
      <w:pPr>
        <w:pStyle w:val="Paragraph"/>
        <w:rPr>
          <w:rFonts w:eastAsia="Calibri"/>
          <w:lang w:bidi="ar-IQ"/>
        </w:rPr>
      </w:pPr>
      <w:r w:rsidRPr="0004625E">
        <w:rPr>
          <w:rFonts w:eastAsia="Calibri"/>
          <w:lang w:bidi="ar-IQ"/>
        </w:rPr>
        <w:t xml:space="preserve">Breast cancer is one of the most frequent cancers in women over the world and a challenge to medicine and research, because incidence continues growing up and it's hard to control relapses. Although classical chemotherapy regimens work and doxorubicin has been for long time a poster child of this, it is problematic especially due to uninformed accumulation of the </w:t>
      </w:r>
      <w:r w:rsidR="00964297" w:rsidRPr="00964297">
        <w:rPr>
          <w:rFonts w:eastAsia="Calibri"/>
          <w:lang w:bidi="ar-IQ"/>
        </w:rPr>
        <w:t>medicament</w:t>
      </w:r>
      <w:r w:rsidRPr="0004625E">
        <w:rPr>
          <w:rFonts w:eastAsia="Calibri"/>
          <w:lang w:bidi="ar-IQ"/>
        </w:rPr>
        <w:t xml:space="preserve"> in the body leading to cardiac complications and side effects limiting the effective application in clinics that would eventually deteriorate patients’ life quality </w:t>
      </w:r>
      <w:r w:rsidRPr="0004625E">
        <w:rPr>
          <w:rFonts w:eastAsia="Calibri"/>
          <w:lang w:bidi="ar-IQ"/>
        </w:rPr>
        <w:fldChar w:fldCharType="begin"/>
      </w:r>
      <w:r w:rsidRPr="0004625E">
        <w:rPr>
          <w:rFonts w:eastAsia="Calibri"/>
          <w:lang w:bidi="ar-IQ"/>
        </w:rPr>
        <w:instrText xml:space="preserve"> ADDIN EN.CITE &lt;EndNote&gt;&lt;Cite&gt;&lt;Author&gt;Razavi&lt;/Author&gt;&lt;Year&gt;2024&lt;/Year&gt;&lt;RecNum&gt;1&lt;/RecNum&gt;&lt;DisplayText&gt;[1]&lt;/DisplayText&gt;&lt;record&gt;&lt;rec-number&gt;1&lt;/rec-number&gt;&lt;foreign-keys&gt;&lt;key app="EN" db-id="dtd0evvrgapxsee5dftvzdfgxdav9ez5awtt" timestamp="1757745174"&gt;1&lt;/key&gt;&lt;/foreign-keys&gt;&lt;ref-type name="Journal Article"&gt;17&lt;/ref-type&gt;&lt;contributors&gt;&lt;authors&gt;&lt;author&gt;Razavi, Malihe Sadat&lt;/author&gt;&lt;author&gt;Ahmadi, Fatemeh&lt;/author&gt;&lt;author&gt;Ebrahimnejad, Pedram&lt;/author&gt;&lt;author&gt;Akbarzadeh, Abolfazl&lt;/author&gt;&lt;author&gt;Farokhrou, Masoud&lt;/author&gt;&lt;author&gt;Nokhodchi, Ali&lt;/author&gt;&lt;/authors&gt;&lt;/contributors&gt;&lt;titles&gt;&lt;title&gt;Harnessing nanotechnology for optimized herbal cancer treatment: A comprehensive review of nanoscale drug delivery systems&lt;/title&gt;&lt;secondary-title&gt;Pharmaceutical Sciences&lt;/secondary-title&gt;&lt;/titles&gt;&lt;periodical&gt;&lt;full-title&gt;Pharmaceutical Sciences&lt;/full-title&gt;&lt;/periodical&gt;&lt;pages&gt;153-186&lt;/pages&gt;&lt;volume&gt;30&lt;/volume&gt;&lt;number&gt;2&lt;/number&gt;&lt;dates&gt;&lt;year&gt;2024&lt;/year&gt;&lt;/dates&gt;&lt;isbn&gt;1735-403X&lt;/isbn&gt;&lt;urls&gt;&lt;/urls&gt;&lt;/record&gt;&lt;/Cite&gt;&lt;/EndNote&gt;</w:instrText>
      </w:r>
      <w:r w:rsidRPr="0004625E">
        <w:rPr>
          <w:rFonts w:eastAsia="Calibri"/>
          <w:lang w:bidi="ar-IQ"/>
        </w:rPr>
        <w:fldChar w:fldCharType="separate"/>
      </w:r>
      <w:r w:rsidRPr="0004625E">
        <w:rPr>
          <w:rFonts w:eastAsia="Calibri"/>
          <w:lang w:bidi="ar-IQ"/>
        </w:rPr>
        <w:t>[1]</w:t>
      </w:r>
      <w:r w:rsidRPr="0004625E">
        <w:rPr>
          <w:rFonts w:eastAsia="Calibri"/>
          <w:lang w:bidi="ar-IQ"/>
        </w:rPr>
        <w:fldChar w:fldCharType="end"/>
      </w:r>
      <w:r w:rsidRPr="0004625E">
        <w:rPr>
          <w:rFonts w:eastAsia="Calibri"/>
          <w:lang w:bidi="ar-IQ"/>
        </w:rPr>
        <w:t xml:space="preserve"> .The need for new systems that would allow targeted and safe in vivo administration of this drug is thus emphasized.</w:t>
      </w:r>
    </w:p>
    <w:p w14:paraId="1934F368" w14:textId="77777777" w:rsidR="0004625E" w:rsidRPr="0004625E" w:rsidRDefault="0004625E" w:rsidP="007F27A0">
      <w:pPr>
        <w:pStyle w:val="Paragraph"/>
        <w:rPr>
          <w:rFonts w:eastAsia="Calibri"/>
          <w:lang w:bidi="ar-IQ"/>
        </w:rPr>
      </w:pPr>
      <w:r w:rsidRPr="003E38BD">
        <w:rPr>
          <w:rFonts w:eastAsia="Calibri"/>
          <w:vertAlign w:val="superscript"/>
          <w:lang w:bidi="ar-IQ"/>
        </w:rPr>
        <w:t>18</w:t>
      </w:r>
      <w:r w:rsidRPr="0004625E">
        <w:rPr>
          <w:rFonts w:eastAsia="Calibri"/>
          <w:lang w:bidi="ar-IQ"/>
        </w:rPr>
        <w:t xml:space="preserve">F-FDG Contrast has become one of the most significant molecular imaging agents currently used in clinical practice, which can be applied to diagnose cancer and visualize cells with high metabolic activity using positron emission tomography (PET) </w:t>
      </w:r>
      <w:r w:rsidRPr="0004625E">
        <w:rPr>
          <w:rFonts w:eastAsia="Calibri"/>
          <w:lang w:bidi="ar-IQ"/>
        </w:rPr>
        <w:fldChar w:fldCharType="begin"/>
      </w:r>
      <w:r w:rsidRPr="0004625E">
        <w:rPr>
          <w:rFonts w:eastAsia="Calibri"/>
          <w:lang w:bidi="ar-IQ"/>
        </w:rPr>
        <w:instrText xml:space="preserve"> ADDIN EN.CITE &lt;EndNote&gt;&lt;Cite&gt;&lt;Author&gt;Shen&lt;/Author&gt;&lt;Year&gt;2021&lt;/Year&gt;&lt;RecNum&gt;2&lt;/RecNum&gt;&lt;DisplayText&gt;[2, 3]&lt;/DisplayText&gt;&lt;record&gt;&lt;rec-number&gt;2&lt;/rec-number&gt;&lt;foreign-keys&gt;&lt;key app="EN" db-id="dtd0evvrgapxsee5dftvzdfgxdav9ez5awtt" timestamp="1757745253"&gt;2&lt;/key&gt;&lt;/foreign-keys&gt;&lt;ref-type name="Journal Article"&gt;17&lt;/ref-type&gt;&lt;contributors&gt;&lt;authors&gt;&lt;author&gt;Shen, Kai&lt;/author&gt;&lt;author&gt;Liu, Bo&lt;/author&gt;&lt;author&gt;Zhou, Xiang&lt;/author&gt;&lt;author&gt;Ji, Yiyi&lt;/author&gt;&lt;author&gt;Chen, Lei&lt;/author&gt;&lt;author&gt;Wang, Qi&lt;/author&gt;&lt;author&gt;Xue, Wei&lt;/author&gt;&lt;/authors&gt;&lt;/contributors&gt;&lt;titles&gt;&lt;title&gt;The evolving role of 18F-FDG PET/CT in diagnosis and prognosis prediction in progressive prostate cancer&lt;/title&gt;&lt;secondary-title&gt;Frontiers in oncology&lt;/secondary-title&gt;&lt;/titles&gt;&lt;periodical&gt;&lt;full-title&gt;Frontiers in oncology&lt;/full-title&gt;&lt;/periodical&gt;&lt;pages&gt;683793&lt;/pages&gt;&lt;volume&gt;11&lt;/volume&gt;&lt;dates&gt;&lt;year&gt;2021&lt;/year&gt;&lt;/dates&gt;&lt;isbn&gt;2234-943X&lt;/isbn&gt;&lt;urls&gt;&lt;/urls&gt;&lt;/record&gt;&lt;/Cite&gt;&lt;Cite&gt;&lt;Author&gt;Fletcher&lt;/Author&gt;&lt;Year&gt;2008&lt;/Year&gt;&lt;RecNum&gt;3&lt;/RecNum&gt;&lt;record&gt;&lt;rec-number&gt;3&lt;/rec-number&gt;&lt;foreign-keys&gt;&lt;key app="EN" db-id="dtd0evvrgapxsee5dftvzdfgxdav9ez5awtt" timestamp="1757745287"&gt;3&lt;/key&gt;&lt;/foreign-keys&gt;&lt;ref-type name="Journal Article"&gt;17&lt;/ref-type&gt;&lt;contributors&gt;&lt;authors&gt;&lt;author&gt;Fletcher, James W&lt;/author&gt;&lt;author&gt;Djulbegovic, Benjamin&lt;/author&gt;&lt;author&gt;Soares, Heloisa P&lt;/author&gt;&lt;author&gt;Siegel, Barry A&lt;/author&gt;&lt;author&gt;Lowe, Val J&lt;/author&gt;&lt;author&gt;Lyman, Gary H&lt;/author&gt;&lt;author&gt;Coleman, R Edward&lt;/author&gt;&lt;author&gt;Wahl, Richard&lt;/author&gt;&lt;author&gt;Paschold, John Christopher&lt;/author&gt;&lt;author&gt;Avril, Norbert&lt;/author&gt;&lt;/authors&gt;&lt;/contributors&gt;&lt;titles&gt;&lt;title&gt;Recommendations on the use of 18F-FDG PET in oncology&lt;/title&gt;&lt;secondary-title&gt;Journal of Nuclear Medicine&lt;/secondary-title&gt;&lt;/titles&gt;&lt;periodical&gt;&lt;full-title&gt;Journal of Nuclear Medicine&lt;/full-title&gt;&lt;/periodical&gt;&lt;pages&gt;480-508&lt;/pages&gt;&lt;volume&gt;49&lt;/volume&gt;&lt;number&gt;3&lt;/number&gt;&lt;dates&gt;&lt;year&gt;2008&lt;/year&gt;&lt;/dates&gt;&lt;isbn&gt;0161-5505&lt;/isbn&gt;&lt;urls&gt;&lt;/urls&gt;&lt;/record&gt;&lt;/Cite&gt;&lt;/EndNote&gt;</w:instrText>
      </w:r>
      <w:r w:rsidRPr="0004625E">
        <w:rPr>
          <w:rFonts w:eastAsia="Calibri"/>
          <w:lang w:bidi="ar-IQ"/>
        </w:rPr>
        <w:fldChar w:fldCharType="separate"/>
      </w:r>
      <w:r w:rsidRPr="0004625E">
        <w:rPr>
          <w:rFonts w:eastAsia="Calibri"/>
          <w:lang w:bidi="ar-IQ"/>
        </w:rPr>
        <w:t>[2, 3]</w:t>
      </w:r>
      <w:r w:rsidRPr="0004625E">
        <w:rPr>
          <w:rFonts w:eastAsia="Calibri"/>
          <w:lang w:bidi="ar-IQ"/>
        </w:rPr>
        <w:fldChar w:fldCharType="end"/>
      </w:r>
      <w:r w:rsidRPr="0004625E">
        <w:rPr>
          <w:rFonts w:eastAsia="Calibri"/>
          <w:lang w:bidi="ar-IQ"/>
        </w:rPr>
        <w:t xml:space="preserve">. This routine clinical use proves that the contrast agents could specifically enhanced the distribution of the glucose into tumor cells by imaging increased glucose uptake, for example Warburg effect </w:t>
      </w:r>
      <w:r w:rsidRPr="0004625E">
        <w:rPr>
          <w:rFonts w:eastAsia="Calibri"/>
          <w:lang w:bidi="ar-IQ"/>
        </w:rPr>
        <w:fldChar w:fldCharType="begin"/>
      </w:r>
      <w:r w:rsidRPr="0004625E">
        <w:rPr>
          <w:rFonts w:eastAsia="Calibri"/>
          <w:lang w:bidi="ar-IQ"/>
        </w:rPr>
        <w:instrText xml:space="preserve"> ADDIN EN.CITE &lt;EndNote&gt;&lt;Cite&gt;&lt;Author&gt;Ben-Haim&lt;/Author&gt;&lt;Year&gt;2009&lt;/Year&gt;&lt;RecNum&gt;4&lt;/RecNum&gt;&lt;DisplayText&gt;[4, 5]&lt;/DisplayText&gt;&lt;record&gt;&lt;rec-number&gt;4&lt;/rec-number&gt;&lt;foreign-keys&gt;&lt;key app="EN" db-id="dtd0evvrgapxsee5dftvzdfgxdav9ez5awtt" timestamp="1757745322"&gt;4&lt;/key&gt;&lt;/foreign-keys&gt;&lt;ref-type name="Journal Article"&gt;17&lt;/ref-type&gt;&lt;contributors&gt;&lt;authors&gt;&lt;author&gt;Ben-Haim, Simona&lt;/author&gt;&lt;author&gt;Ell, Peter&lt;/author&gt;&lt;/authors&gt;&lt;/contributors&gt;&lt;titles&gt;&lt;title&gt;18F-FDG PET and PET/CT in the evaluation of cancer treatment response&lt;/title&gt;&lt;secondary-title&gt;Journal of Nuclear Medicine&lt;/secondary-title&gt;&lt;/titles&gt;&lt;periodical&gt;&lt;full-title&gt;Journal of Nuclear Medicine&lt;/full-title&gt;&lt;/periodical&gt;&lt;pages&gt;88-99&lt;/pages&gt;&lt;volume&gt;50&lt;/volume&gt;&lt;number&gt;1&lt;/number&gt;&lt;dates&gt;&lt;year&gt;2009&lt;/year&gt;&lt;/dates&gt;&lt;isbn&gt;0161-5505&lt;/isbn&gt;&lt;urls&gt;&lt;/urls&gt;&lt;/record&gt;&lt;/Cite&gt;&lt;Cite&gt;&lt;Author&gt;Sivakumaran&lt;/Author&gt;&lt;Year&gt;2024&lt;/Year&gt;&lt;RecNum&gt;8&lt;/RecNum&gt;&lt;record&gt;&lt;rec-number&gt;8&lt;/rec-number&gt;&lt;foreign-keys&gt;&lt;key app="EN" db-id="dtd0evvrgapxsee5dftvzdfgxdav9ez5awtt" timestamp="1757745590"&gt;8&lt;/key&gt;&lt;/foreign-keys&gt;&lt;ref-type name="Journal Article"&gt;17&lt;/ref-type&gt;&lt;contributors&gt;&lt;authors&gt;&lt;author&gt;Sivakumaran, Tharani&lt;/author&gt;&lt;author&gt;Cardin, Anthony&lt;/author&gt;&lt;author&gt;Callahan, Jason&lt;/author&gt;&lt;author&gt;Wong, Hui-li&lt;/author&gt;&lt;author&gt;Tothill, Richard W&lt;/author&gt;&lt;author&gt;Hicks, Rodney J&lt;/author&gt;&lt;author&gt;Mileshkin, Linda R&lt;/author&gt;&lt;/authors&gt;&lt;/contributors&gt;&lt;titles&gt;&lt;title&gt;Evaluating the Utility of 18F-FDG PET/CT in Cancer of Unknown Primary&lt;/title&gt;&lt;secondary-title&gt;Journal of Nuclear Medicine&lt;/secondary-title&gt;&lt;/titles&gt;&lt;periodical&gt;&lt;full-title&gt;Journal of Nuclear Medicine&lt;/full-title&gt;&lt;/periodical&gt;&lt;pages&gt;1557-1563&lt;/pages&gt;&lt;volume&gt;65&lt;/volume&gt;&lt;number&gt;10&lt;/number&gt;&lt;dates&gt;&lt;year&gt;2024&lt;/year&gt;&lt;/dates&gt;&lt;isbn&gt;0161-5505&lt;/isbn&gt;&lt;urls&gt;&lt;/urls&gt;&lt;/record&gt;&lt;/Cite&gt;&lt;/EndNote&gt;</w:instrText>
      </w:r>
      <w:r w:rsidRPr="0004625E">
        <w:rPr>
          <w:rFonts w:eastAsia="Calibri"/>
          <w:lang w:bidi="ar-IQ"/>
        </w:rPr>
        <w:fldChar w:fldCharType="separate"/>
      </w:r>
      <w:r w:rsidRPr="0004625E">
        <w:rPr>
          <w:rFonts w:eastAsia="Calibri"/>
          <w:lang w:bidi="ar-IQ"/>
        </w:rPr>
        <w:t>[4, 5]</w:t>
      </w:r>
      <w:r w:rsidRPr="0004625E">
        <w:rPr>
          <w:rFonts w:eastAsia="Calibri"/>
          <w:lang w:bidi="ar-IQ"/>
        </w:rPr>
        <w:fldChar w:fldCharType="end"/>
      </w:r>
      <w:r w:rsidRPr="0004625E">
        <w:rPr>
          <w:rFonts w:eastAsia="Calibri"/>
          <w:lang w:bidi="ar-IQ"/>
        </w:rPr>
        <w:t>. Herein, we took this idea a step further by using the dye not only as a detection probe but also as drug carrier for delivering drugs to cancer cells, offering a new prospect for the development of targeted therapy.</w:t>
      </w:r>
    </w:p>
    <w:p w14:paraId="1F6A9F2C" w14:textId="77777777" w:rsidR="0004625E" w:rsidRPr="0004625E" w:rsidRDefault="0004625E" w:rsidP="007F27A0">
      <w:pPr>
        <w:pStyle w:val="Paragraph"/>
        <w:rPr>
          <w:rFonts w:eastAsia="Calibri"/>
          <w:lang w:bidi="ar-IQ"/>
        </w:rPr>
      </w:pPr>
      <w:r w:rsidRPr="0004625E">
        <w:rPr>
          <w:rFonts w:eastAsia="Calibri"/>
          <w:lang w:bidi="ar-IQ"/>
        </w:rPr>
        <w:t xml:space="preserve">Lead-free perovskite, on the other hand, has also been developed as potential nanomaterial for its tunable electronic and surface properties. Herein, the crystalline </w:t>
      </w:r>
      <w:r w:rsidRPr="0059550E">
        <w:rPr>
          <w:rFonts w:eastAsia="Calibri"/>
        </w:rPr>
        <w:t>(</w:t>
      </w:r>
      <w:proofErr w:type="spellStart"/>
      <w:r w:rsidRPr="0059550E">
        <w:rPr>
          <w:rFonts w:eastAsia="Calibri"/>
        </w:rPr>
        <w:t>CaTiO</w:t>
      </w:r>
      <w:proofErr w:type="spellEnd"/>
      <w:r w:rsidRPr="0059550E">
        <w:rPr>
          <w:rFonts w:ascii="Cambria Math" w:eastAsia="Calibri" w:hAnsi="Cambria Math" w:cs="Cambria Math"/>
        </w:rPr>
        <w:t>₃</w:t>
      </w:r>
      <w:r w:rsidRPr="0059550E">
        <w:rPr>
          <w:rFonts w:eastAsia="Calibri"/>
        </w:rPr>
        <w:t>)</w:t>
      </w:r>
      <w:r w:rsidRPr="0059550E">
        <w:rPr>
          <w:rFonts w:ascii="Cambria Math" w:eastAsia="Calibri" w:hAnsi="Cambria Math" w:cs="Cambria Math"/>
        </w:rPr>
        <w:t>₂</w:t>
      </w:r>
      <w:r w:rsidRPr="0004625E">
        <w:rPr>
          <w:rFonts w:eastAsia="Calibri"/>
          <w:lang w:bidi="ar-IQ"/>
        </w:rPr>
        <w:t xml:space="preserve"> was selected because of its stability and possible use in drug delivery </w:t>
      </w:r>
      <w:r w:rsidRPr="0004625E">
        <w:rPr>
          <w:rFonts w:eastAsia="Calibri"/>
          <w:lang w:bidi="ar-IQ"/>
        </w:rPr>
        <w:fldChar w:fldCharType="begin"/>
      </w:r>
      <w:r w:rsidRPr="0004625E">
        <w:rPr>
          <w:rFonts w:eastAsia="Calibri"/>
          <w:lang w:bidi="ar-IQ"/>
        </w:rPr>
        <w:instrText xml:space="preserve"> ADDIN EN.CITE &lt;EndNote&gt;&lt;Cite&gt;&lt;Author&gt;Cerón-Urbano&lt;/Author&gt;&lt;Year&gt;2023&lt;/Year&gt;&lt;RecNum&gt;5&lt;/RecNum&gt;&lt;DisplayText&gt;[6]&lt;/DisplayText&gt;&lt;record&gt;&lt;rec-number&gt;5&lt;/rec-number&gt;&lt;foreign-keys&gt;&lt;key app="EN" db-id="dtd0evvrgapxsee5dftvzdfgxdav9ez5awtt" timestamp="1757745388"&gt;5&lt;/key&gt;&lt;/foreign-keys&gt;&lt;ref-type name="Journal Article"&gt;17&lt;/ref-type&gt;&lt;contributors&gt;&lt;authors&gt;&lt;author&gt;Cerón-Urbano, Lizet&lt;/author&gt;&lt;author&gt;Aguilar, Carol J&lt;/author&gt;&lt;author&gt;Diosa, Jesús E&lt;/author&gt;&lt;author&gt;Mosquera-Vargas, Edgar&lt;/author&gt;&lt;/authors&gt;&lt;/contributors&gt;&lt;titles&gt;&lt;title&gt;Nanoparticles of the perovskite-structure CaTiO3 system: the synthesis, characterization, and evaluation of its photocatalytic capacity to degrade emerging pollutants&lt;/title&gt;&lt;secondary-title&gt;Nanomaterials&lt;/secondary-title&gt;&lt;/titles&gt;&lt;periodical&gt;&lt;full-title&gt;Nanomaterials&lt;/full-title&gt;&lt;/periodical&gt;&lt;pages&gt;2967&lt;/pages&gt;&lt;volume&gt;13&lt;/volume&gt;&lt;number&gt;22&lt;/number&gt;&lt;dates&gt;&lt;year&gt;2023&lt;/year&gt;&lt;/dates&gt;&lt;isbn&gt;2079-4991&lt;/isbn&gt;&lt;urls&gt;&lt;/urls&gt;&lt;/record&gt;&lt;/Cite&gt;&lt;/EndNote&gt;</w:instrText>
      </w:r>
      <w:r w:rsidRPr="0004625E">
        <w:rPr>
          <w:rFonts w:eastAsia="Calibri"/>
          <w:lang w:bidi="ar-IQ"/>
        </w:rPr>
        <w:fldChar w:fldCharType="separate"/>
      </w:r>
      <w:r w:rsidRPr="0004625E">
        <w:rPr>
          <w:rFonts w:eastAsia="Calibri"/>
          <w:lang w:bidi="ar-IQ"/>
        </w:rPr>
        <w:t>[6]</w:t>
      </w:r>
      <w:r w:rsidRPr="0004625E">
        <w:rPr>
          <w:rFonts w:eastAsia="Calibri"/>
          <w:lang w:bidi="ar-IQ"/>
        </w:rPr>
        <w:fldChar w:fldCharType="end"/>
      </w:r>
      <w:r w:rsidRPr="0004625E">
        <w:rPr>
          <w:rFonts w:eastAsia="Calibri"/>
          <w:lang w:bidi="ar-IQ"/>
        </w:rPr>
        <w:t xml:space="preserve">. This is the first time that this nanocomposite material </w:t>
      </w:r>
      <w:proofErr w:type="gramStart"/>
      <w:r w:rsidRPr="0004625E">
        <w:rPr>
          <w:rFonts w:eastAsia="Calibri"/>
          <w:lang w:bidi="ar-IQ"/>
        </w:rPr>
        <w:t>was have</w:t>
      </w:r>
      <w:proofErr w:type="gramEnd"/>
      <w:r w:rsidRPr="0004625E">
        <w:rPr>
          <w:rFonts w:eastAsia="Calibri"/>
          <w:lang w:bidi="ar-IQ"/>
        </w:rPr>
        <w:t xml:space="preserve"> been applied as a nanocarrier for intravenous drug release, with emphasis on confirming blood compatibility prior to therapeutic uses.</w:t>
      </w:r>
    </w:p>
    <w:p w14:paraId="58690BE9" w14:textId="468914A2" w:rsidR="0004625E" w:rsidRPr="0004625E" w:rsidRDefault="0004625E" w:rsidP="007F27A0">
      <w:pPr>
        <w:pStyle w:val="Paragraph"/>
        <w:rPr>
          <w:rFonts w:eastAsia="Calibri"/>
          <w:lang w:bidi="ar-IQ"/>
        </w:rPr>
      </w:pPr>
      <w:r w:rsidRPr="0004625E">
        <w:rPr>
          <w:rFonts w:eastAsia="Calibri"/>
          <w:lang w:bidi="ar-IQ"/>
        </w:rPr>
        <w:t xml:space="preserve">Therefore, this theoretical work is based on a double analysis: 1 the </w:t>
      </w:r>
      <w:r w:rsidRPr="003E38BD">
        <w:rPr>
          <w:rFonts w:eastAsia="Calibri"/>
          <w:vertAlign w:val="superscript"/>
          <w:lang w:bidi="ar-IQ"/>
        </w:rPr>
        <w:t>18</w:t>
      </w:r>
      <w:r w:rsidRPr="0004625E">
        <w:rPr>
          <w:rFonts w:eastAsia="Calibri"/>
          <w:lang w:bidi="ar-IQ"/>
        </w:rPr>
        <w:t xml:space="preserve">F-FDG dye acting as a sugar head for improving drug selectivity and target cancer cell and, </w:t>
      </w:r>
      <w:r w:rsidR="0059550E" w:rsidRPr="0059550E">
        <w:rPr>
          <w:rFonts w:eastAsia="Calibri"/>
          <w:lang w:bidi="ar-IQ"/>
        </w:rPr>
        <w:t>(</w:t>
      </w:r>
      <w:proofErr w:type="spellStart"/>
      <w:r w:rsidR="0059550E" w:rsidRPr="0059550E">
        <w:rPr>
          <w:rFonts w:eastAsia="Calibri"/>
          <w:lang w:bidi="ar-IQ"/>
        </w:rPr>
        <w:t>CaTiO</w:t>
      </w:r>
      <w:proofErr w:type="spellEnd"/>
      <w:r w:rsidR="0059550E" w:rsidRPr="0059550E">
        <w:rPr>
          <w:rFonts w:ascii="Cambria Math" w:eastAsia="Calibri" w:hAnsi="Cambria Math" w:cs="Cambria Math"/>
          <w:lang w:bidi="ar-IQ"/>
        </w:rPr>
        <w:t>₃</w:t>
      </w:r>
      <w:r w:rsidR="0059550E" w:rsidRPr="0059550E">
        <w:rPr>
          <w:rFonts w:eastAsia="Calibri"/>
          <w:lang w:bidi="ar-IQ"/>
        </w:rPr>
        <w:t>)</w:t>
      </w:r>
      <w:r w:rsidR="0059550E" w:rsidRPr="0059550E">
        <w:rPr>
          <w:rFonts w:ascii="Cambria Math" w:eastAsia="Calibri" w:hAnsi="Cambria Math" w:cs="Cambria Math"/>
          <w:lang w:bidi="ar-IQ"/>
        </w:rPr>
        <w:t>₂</w:t>
      </w:r>
      <w:r w:rsidRPr="0004625E">
        <w:rPr>
          <w:rFonts w:eastAsia="Calibri"/>
          <w:lang w:bidi="ar-IQ"/>
        </w:rPr>
        <w:t xml:space="preserve"> are simulated to be an ideal nanocarrier that can propose stable and security base for drug transport in circulating blood system </w:t>
      </w:r>
      <w:r w:rsidRPr="0004625E">
        <w:rPr>
          <w:rFonts w:eastAsia="Calibri"/>
          <w:lang w:bidi="ar-IQ"/>
        </w:rPr>
        <w:fldChar w:fldCharType="begin"/>
      </w:r>
      <w:r w:rsidRPr="0004625E">
        <w:rPr>
          <w:rFonts w:eastAsia="Calibri"/>
          <w:lang w:bidi="ar-IQ"/>
        </w:rPr>
        <w:instrText xml:space="preserve"> ADDIN EN.CITE &lt;EndNote&gt;&lt;Cite&gt;&lt;Author&gt;Cerón-Urbano&lt;/Author&gt;&lt;Year&gt;2023&lt;/Year&gt;&lt;RecNum&gt;5&lt;/RecNum&gt;&lt;DisplayText&gt;[6]&lt;/DisplayText&gt;&lt;record&gt;&lt;rec-number&gt;5&lt;/rec-number&gt;&lt;foreign-keys&gt;&lt;key app="EN" db-id="dtd0evvrgapxsee5dftvzdfgxdav9ez5awtt" timestamp="1757745388"&gt;5&lt;/key&gt;&lt;/foreign-keys&gt;&lt;ref-type name="Journal Article"&gt;17&lt;/ref-type&gt;&lt;contributors&gt;&lt;authors&gt;&lt;author&gt;Cerón-Urbano, Lizet&lt;/author&gt;&lt;author&gt;Aguilar, Carol J&lt;/author&gt;&lt;author&gt;Diosa, Jesús E&lt;/author&gt;&lt;author&gt;Mosquera-Vargas, Edgar&lt;/author&gt;&lt;/authors&gt;&lt;/contributors&gt;&lt;titles&gt;&lt;title&gt;Nanoparticles of the perovskite-structure CaTiO3 system: the synthesis, characterization, and evaluation of its photocatalytic capacity to degrade emerging pollutants&lt;/title&gt;&lt;secondary-title&gt;Nanomaterials&lt;/secondary-title&gt;&lt;/titles&gt;&lt;periodical&gt;&lt;full-title&gt;Nanomaterials&lt;/full-title&gt;&lt;/periodical&gt;&lt;pages&gt;2967&lt;/pages&gt;&lt;volume&gt;13&lt;/volume&gt;&lt;number&gt;22&lt;/number&gt;&lt;dates&gt;&lt;year&gt;2023&lt;/year&gt;&lt;/dates&gt;&lt;isbn&gt;2079-4991&lt;/isbn&gt;&lt;urls&gt;&lt;/urls&gt;&lt;/record&gt;&lt;/Cite&gt;&lt;/EndNote&gt;</w:instrText>
      </w:r>
      <w:r w:rsidRPr="0004625E">
        <w:rPr>
          <w:rFonts w:eastAsia="Calibri"/>
          <w:lang w:bidi="ar-IQ"/>
        </w:rPr>
        <w:fldChar w:fldCharType="separate"/>
      </w:r>
      <w:r w:rsidRPr="0004625E">
        <w:rPr>
          <w:rFonts w:eastAsia="Calibri"/>
          <w:lang w:bidi="ar-IQ"/>
        </w:rPr>
        <w:t>[6]</w:t>
      </w:r>
      <w:r w:rsidRPr="0004625E">
        <w:rPr>
          <w:rFonts w:eastAsia="Calibri"/>
          <w:lang w:bidi="ar-IQ"/>
        </w:rPr>
        <w:fldChar w:fldCharType="end"/>
      </w:r>
      <w:r w:rsidRPr="0004625E">
        <w:rPr>
          <w:rFonts w:eastAsia="Calibri"/>
          <w:lang w:bidi="ar-IQ"/>
        </w:rPr>
        <w:t xml:space="preserve">. This is all performed within the framework of thermodynamic analysis and molecular simulations that </w:t>
      </w:r>
      <w:proofErr w:type="gramStart"/>
      <w:r w:rsidRPr="0004625E">
        <w:rPr>
          <w:rFonts w:eastAsia="Calibri"/>
          <w:lang w:bidi="ar-IQ"/>
        </w:rPr>
        <w:t>allows</w:t>
      </w:r>
      <w:proofErr w:type="gramEnd"/>
      <w:r w:rsidRPr="0004625E">
        <w:rPr>
          <w:rFonts w:eastAsia="Calibri"/>
          <w:lang w:bidi="ar-IQ"/>
        </w:rPr>
        <w:t xml:space="preserve"> predictions of stability of structures, strength of binding, drug release, etc., under various conditions.</w:t>
      </w:r>
    </w:p>
    <w:p w14:paraId="50FADAEF" w14:textId="504E176E" w:rsidR="0004625E" w:rsidRPr="0004625E" w:rsidRDefault="0004625E" w:rsidP="007F27A0">
      <w:pPr>
        <w:pStyle w:val="Paragraph"/>
        <w:rPr>
          <w:rFonts w:eastAsia="Calibri"/>
          <w:lang w:bidi="ar-IQ"/>
        </w:rPr>
      </w:pPr>
      <w:r w:rsidRPr="0004625E">
        <w:rPr>
          <w:rFonts w:eastAsia="Calibri"/>
          <w:lang w:bidi="ar-IQ"/>
        </w:rPr>
        <w:t xml:space="preserve">In this spirit, first such approach shall include testing of the </w:t>
      </w:r>
      <w:r w:rsidRPr="003E38BD">
        <w:rPr>
          <w:rFonts w:eastAsia="Calibri"/>
          <w:vertAlign w:val="superscript"/>
          <w:lang w:bidi="ar-IQ"/>
        </w:rPr>
        <w:t>18</w:t>
      </w:r>
      <w:r w:rsidRPr="0004625E">
        <w:rPr>
          <w:rFonts w:eastAsia="Calibri"/>
          <w:lang w:bidi="ar-IQ"/>
        </w:rPr>
        <w:t xml:space="preserve">F-FDG dye and the </w:t>
      </w:r>
      <w:r w:rsidR="0059550E">
        <w:rPr>
          <w:rFonts w:eastAsia="Calibri"/>
          <w:lang w:bidi="ar-IQ"/>
        </w:rPr>
        <w:t xml:space="preserve">nano </w:t>
      </w:r>
      <w:r w:rsidRPr="0004625E">
        <w:rPr>
          <w:rFonts w:eastAsia="Calibri"/>
          <w:lang w:bidi="ar-IQ"/>
        </w:rPr>
        <w:t xml:space="preserve">perovskite </w:t>
      </w:r>
      <w:r w:rsidR="0059550E" w:rsidRPr="0059550E">
        <w:rPr>
          <w:rFonts w:eastAsia="Calibri"/>
          <w:lang w:bidi="ar-IQ"/>
        </w:rPr>
        <w:t>(</w:t>
      </w:r>
      <w:proofErr w:type="spellStart"/>
      <w:r w:rsidR="0059550E" w:rsidRPr="0059550E">
        <w:rPr>
          <w:rFonts w:eastAsia="Calibri"/>
          <w:lang w:bidi="ar-IQ"/>
        </w:rPr>
        <w:t>CaTiO</w:t>
      </w:r>
      <w:proofErr w:type="spellEnd"/>
      <w:r w:rsidR="0059550E" w:rsidRPr="0059550E">
        <w:rPr>
          <w:rFonts w:ascii="Cambria Math" w:eastAsia="Calibri" w:hAnsi="Cambria Math" w:cs="Cambria Math"/>
          <w:lang w:bidi="ar-IQ"/>
        </w:rPr>
        <w:t>₃</w:t>
      </w:r>
      <w:r w:rsidR="0059550E" w:rsidRPr="0059550E">
        <w:rPr>
          <w:rFonts w:eastAsia="Calibri"/>
          <w:lang w:bidi="ar-IQ"/>
        </w:rPr>
        <w:t>)</w:t>
      </w:r>
      <w:r w:rsidR="0059550E" w:rsidRPr="0059550E">
        <w:rPr>
          <w:rFonts w:ascii="Cambria Math" w:eastAsia="Calibri" w:hAnsi="Cambria Math" w:cs="Cambria Math"/>
          <w:lang w:bidi="ar-IQ"/>
        </w:rPr>
        <w:t>₂</w:t>
      </w:r>
      <w:r w:rsidR="0059550E">
        <w:rPr>
          <w:rFonts w:ascii="Cambria Math" w:eastAsia="Calibri" w:hAnsi="Cambria Math" w:cs="Cambria Math"/>
          <w:lang w:bidi="ar-IQ"/>
        </w:rPr>
        <w:t xml:space="preserve"> </w:t>
      </w:r>
      <w:r w:rsidRPr="0004625E">
        <w:rPr>
          <w:rFonts w:eastAsia="Calibri"/>
          <w:lang w:bidi="ar-IQ"/>
        </w:rPr>
        <w:t xml:space="preserve">on blood elements to determine their safety and biocompatibility that is a new, less developed research ethic in the field </w:t>
      </w:r>
      <w:r w:rsidRPr="0004625E">
        <w:rPr>
          <w:rFonts w:eastAsia="Calibri"/>
          <w:lang w:bidi="ar-IQ"/>
        </w:rPr>
        <w:fldChar w:fldCharType="begin"/>
      </w:r>
      <w:r w:rsidRPr="0004625E">
        <w:rPr>
          <w:rFonts w:eastAsia="Calibri"/>
          <w:lang w:bidi="ar-IQ"/>
        </w:rPr>
        <w:instrText xml:space="preserve"> ADDIN EN.CITE &lt;EndNote&gt;&lt;Cite&gt;&lt;Author&gt;Cerón-Urbano&lt;/Author&gt;&lt;Year&gt;2023&lt;/Year&gt;&lt;RecNum&gt;5&lt;/RecNum&gt;&lt;DisplayText&gt;[1, 6]&lt;/DisplayText&gt;&lt;record&gt;&lt;rec-number&gt;5&lt;/rec-number&gt;&lt;foreign-keys&gt;&lt;key app="EN" db-id="dtd0evvrgapxsee5dftvzdfgxdav9ez5awtt" timestamp="1757745388"&gt;5&lt;/key&gt;&lt;/foreign-keys&gt;&lt;ref-type name="Journal Article"&gt;17&lt;/ref-type&gt;&lt;contributors&gt;&lt;authors&gt;&lt;author&gt;Cerón-Urbano, Lizet&lt;/author&gt;&lt;author&gt;Aguilar, Carol J&lt;/author&gt;&lt;author&gt;Diosa, Jesús E&lt;/author&gt;&lt;author&gt;Mosquera-Vargas, Edgar&lt;/author&gt;&lt;/authors&gt;&lt;/contributors&gt;&lt;titles&gt;&lt;title&gt;Nanoparticles of the perovskite-structure CaTiO3 system: the synthesis, characterization, and evaluation of its photocatalytic capacity to degrade emerging pollutants&lt;/title&gt;&lt;secondary-title&gt;Nanomaterials&lt;/secondary-title&gt;&lt;/titles&gt;&lt;periodical&gt;&lt;full-title&gt;Nanomaterials&lt;/full-title&gt;&lt;/periodical&gt;&lt;pages&gt;2967&lt;/pages&gt;&lt;volume&gt;13&lt;/volume&gt;&lt;number&gt;22&lt;/number&gt;&lt;dates&gt;&lt;year&gt;2023&lt;/year&gt;&lt;/dates&gt;&lt;isbn&gt;2079-4991&lt;/isbn&gt;&lt;urls&gt;&lt;/urls&gt;&lt;/record&gt;&lt;/Cite&gt;&lt;Cite&gt;&lt;Author&gt;Razavi&lt;/Author&gt;&lt;Year&gt;2024&lt;/Year&gt;&lt;RecNum&gt;6&lt;/RecNum&gt;&lt;record&gt;&lt;rec-number&gt;6&lt;/rec-number&gt;&lt;foreign-keys&gt;&lt;key app="EN" db-id="dtd0evvrgapxsee5dftvzdfgxdav9ez5awtt" timestamp="1757745440"&gt;6&lt;/key&gt;&lt;/foreign-keys&gt;&lt;ref-type name="Journal Article"&gt;17&lt;/ref-type&gt;&lt;contributors&gt;&lt;authors&gt;&lt;author&gt;Razavi, Malihe Sadat&lt;/author&gt;&lt;author&gt;Ahmadi, Fatemeh&lt;/author&gt;&lt;author&gt;Ebrahimnejad, Pedram&lt;/author&gt;&lt;author&gt;Akbarzadeh, Abolfazl&lt;/author&gt;&lt;author&gt;Farokhrou, Masoud&lt;/author&gt;&lt;author&gt;Nokhodchi, Ali&lt;/author&gt;&lt;/authors&gt;&lt;/contributors&gt;&lt;titles&gt;&lt;title&gt;Harnessing nanotechnology for optimized herbal cancer treatment: A comprehensive review of nanoscale drug delivery systems&lt;/title&gt;&lt;secondary-title&gt;Pharmaceutical Sciences&lt;/secondary-title&gt;&lt;/titles&gt;&lt;periodical&gt;&lt;full-title&gt;Pharmaceutical Sciences&lt;/full-title&gt;&lt;/periodical&gt;&lt;pages&gt;153-186&lt;/pages&gt;&lt;volume&gt;30&lt;/volume&gt;&lt;number&gt;2&lt;/number&gt;&lt;dates&gt;&lt;year&gt;2024&lt;/year&gt;&lt;/dates&gt;&lt;isbn&gt;1735-403X&lt;/isbn&gt;&lt;urls&gt;&lt;/urls&gt;&lt;/record&gt;&lt;/Cite&gt;&lt;/EndNote&gt;</w:instrText>
      </w:r>
      <w:r w:rsidRPr="0004625E">
        <w:rPr>
          <w:rFonts w:eastAsia="Calibri"/>
          <w:lang w:bidi="ar-IQ"/>
        </w:rPr>
        <w:fldChar w:fldCharType="separate"/>
      </w:r>
      <w:r w:rsidRPr="0004625E">
        <w:rPr>
          <w:rFonts w:eastAsia="Calibri"/>
          <w:lang w:bidi="ar-IQ"/>
        </w:rPr>
        <w:t>[1, 6]</w:t>
      </w:r>
      <w:r w:rsidRPr="0004625E">
        <w:rPr>
          <w:rFonts w:eastAsia="Calibri"/>
          <w:lang w:bidi="ar-IQ"/>
        </w:rPr>
        <w:fldChar w:fldCharType="end"/>
      </w:r>
      <w:r w:rsidRPr="0004625E">
        <w:rPr>
          <w:rFonts w:eastAsia="Calibri"/>
          <w:lang w:bidi="ar-IQ"/>
        </w:rPr>
        <w:t xml:space="preserve">. In this light, we seek to create a theoretical model that docks two independent systems: a drug that docks with </w:t>
      </w:r>
      <w:r w:rsidRPr="003E38BD">
        <w:rPr>
          <w:rFonts w:eastAsia="Calibri"/>
          <w:vertAlign w:val="superscript"/>
          <w:lang w:bidi="ar-IQ"/>
        </w:rPr>
        <w:t>18</w:t>
      </w:r>
      <w:r w:rsidRPr="0004625E">
        <w:rPr>
          <w:rFonts w:eastAsia="Calibri"/>
          <w:lang w:bidi="ar-IQ"/>
        </w:rPr>
        <w:t xml:space="preserve">F-FDG dye when docked through the cancer model, and one docking with </w:t>
      </w:r>
      <w:r w:rsidR="0059550E">
        <w:rPr>
          <w:rFonts w:eastAsia="Calibri"/>
          <w:lang w:bidi="ar-IQ"/>
        </w:rPr>
        <w:t xml:space="preserve">nano </w:t>
      </w:r>
      <w:r w:rsidRPr="0004625E">
        <w:rPr>
          <w:rFonts w:eastAsia="Calibri"/>
          <w:lang w:bidi="ar-IQ"/>
        </w:rPr>
        <w:t xml:space="preserve">perovskite when docked against the </w:t>
      </w:r>
      <w:r w:rsidRPr="0004625E">
        <w:rPr>
          <w:rFonts w:eastAsia="Calibri"/>
          <w:lang w:bidi="ar-IQ"/>
        </w:rPr>
        <w:lastRenderedPageBreak/>
        <w:t xml:space="preserve">cancer. It is performed from the point of thermodynamic studies and molecular simulation, to estimate stability, </w:t>
      </w:r>
      <w:r w:rsidR="0059550E">
        <w:rPr>
          <w:rFonts w:eastAsia="Calibri"/>
          <w:lang w:bidi="ar-IQ"/>
        </w:rPr>
        <w:t>dock</w:t>
      </w:r>
      <w:r w:rsidRPr="0004625E">
        <w:rPr>
          <w:rFonts w:eastAsia="Calibri"/>
          <w:lang w:bidi="ar-IQ"/>
        </w:rPr>
        <w:t xml:space="preserve">ing strength and behavior of drug release, </w:t>
      </w:r>
      <w:proofErr w:type="gramStart"/>
      <w:r w:rsidRPr="0004625E">
        <w:rPr>
          <w:rFonts w:eastAsia="Calibri"/>
          <w:lang w:bidi="ar-IQ"/>
        </w:rPr>
        <w:t>in order to</w:t>
      </w:r>
      <w:proofErr w:type="gramEnd"/>
      <w:r w:rsidRPr="0004625E">
        <w:rPr>
          <w:rFonts w:eastAsia="Calibri"/>
          <w:lang w:bidi="ar-IQ"/>
        </w:rPr>
        <w:t xml:space="preserve"> find whether one of two systems is more prospective for further application as injected drug.</w:t>
      </w:r>
    </w:p>
    <w:p w14:paraId="6A63CDE1" w14:textId="5BAC8D47" w:rsidR="00E81F9A" w:rsidRPr="00E81F9A" w:rsidRDefault="0059550E" w:rsidP="0059550E">
      <w:pPr>
        <w:pStyle w:val="Heading1"/>
        <w:rPr>
          <w:rFonts w:eastAsia="Calibri"/>
          <w:rtl/>
          <w:lang w:bidi="ar-IQ"/>
        </w:rPr>
      </w:pPr>
      <w:r>
        <w:rPr>
          <w:rFonts w:eastAsia="Calibri"/>
          <w:bCs/>
          <w:lang w:bidi="ar-IQ"/>
        </w:rPr>
        <w:t xml:space="preserve">Materials AND </w:t>
      </w:r>
      <w:bookmarkStart w:id="6" w:name="_Hlk210401936"/>
      <w:r w:rsidR="00C74E28" w:rsidRPr="00504C8D">
        <w:rPr>
          <w:rFonts w:eastAsia="Calibri"/>
          <w:lang w:bidi="ar-IQ"/>
        </w:rPr>
        <w:t>Methods</w:t>
      </w:r>
    </w:p>
    <w:bookmarkEnd w:id="6"/>
    <w:p w14:paraId="37BBE705" w14:textId="41A69AED" w:rsidR="00E81F9A" w:rsidRPr="00E81F9A" w:rsidRDefault="00E81F9A" w:rsidP="007F27A0">
      <w:pPr>
        <w:pStyle w:val="Paragraph"/>
        <w:rPr>
          <w:rFonts w:eastAsia="Calibri"/>
          <w:lang w:bidi="ar-IQ"/>
        </w:rPr>
      </w:pPr>
      <w:r w:rsidRPr="00E81F9A">
        <w:rPr>
          <w:rFonts w:eastAsia="Calibri"/>
          <w:lang w:bidi="ar-IQ"/>
        </w:rPr>
        <w:t xml:space="preserve">This study used a series of ethically prepared molecular models of known origin. Doxorubicin (DOX) was depicted in its protonated form at physiological pH (7.4) according </w:t>
      </w:r>
      <w:r w:rsidR="00751CD5">
        <w:rPr>
          <w:rFonts w:eastAsia="Calibri"/>
          <w:lang w:bidi="ar-IQ"/>
        </w:rPr>
        <w:t xml:space="preserve">to </w:t>
      </w:r>
      <w:r w:rsidRPr="00E81F9A">
        <w:rPr>
          <w:rFonts w:eastAsia="Calibri"/>
          <w:lang w:bidi="ar-IQ"/>
        </w:rPr>
        <w:t xml:space="preserve">PubChem compound 31703. The dye was a non-radioactive glucose analogue (2-DG, </w:t>
      </w:r>
      <w:proofErr w:type="spellStart"/>
      <w:r w:rsidRPr="00E81F9A">
        <w:rPr>
          <w:rFonts w:eastAsia="Calibri"/>
          <w:lang w:bidi="ar-IQ"/>
        </w:rPr>
        <w:t>pubchem</w:t>
      </w:r>
      <w:proofErr w:type="spellEnd"/>
      <w:r w:rsidRPr="00E81F9A">
        <w:rPr>
          <w:rFonts w:eastAsia="Calibri"/>
          <w:lang w:bidi="ar-IQ"/>
        </w:rPr>
        <w:t xml:space="preserve"> CID: 5950) which played the role of sugar head in theoretical one.</w:t>
      </w:r>
    </w:p>
    <w:p w14:paraId="48EB4549" w14:textId="72375894" w:rsidR="00E81F9A" w:rsidRDefault="00E81F9A" w:rsidP="007F27A0">
      <w:pPr>
        <w:pStyle w:val="Paragraph"/>
        <w:rPr>
          <w:rFonts w:eastAsia="Calibri"/>
          <w:lang w:bidi="ar-IQ"/>
        </w:rPr>
      </w:pPr>
      <w:r w:rsidRPr="00E81F9A">
        <w:rPr>
          <w:rFonts w:eastAsia="Calibri"/>
          <w:lang w:bidi="ar-IQ"/>
        </w:rPr>
        <w:t xml:space="preserve">A lead-free perovskite cluster </w:t>
      </w:r>
      <w:r w:rsidR="0059550E" w:rsidRPr="0059550E">
        <w:rPr>
          <w:rFonts w:eastAsia="Calibri"/>
          <w:lang w:bidi="ar-IQ"/>
        </w:rPr>
        <w:t>(</w:t>
      </w:r>
      <w:proofErr w:type="spellStart"/>
      <w:r w:rsidR="0059550E" w:rsidRPr="0059550E">
        <w:rPr>
          <w:rFonts w:eastAsia="Calibri"/>
          <w:lang w:bidi="ar-IQ"/>
        </w:rPr>
        <w:t>CaTiO</w:t>
      </w:r>
      <w:proofErr w:type="spellEnd"/>
      <w:r w:rsidR="0059550E" w:rsidRPr="0059550E">
        <w:rPr>
          <w:rFonts w:ascii="Cambria Math" w:eastAsia="Calibri" w:hAnsi="Cambria Math" w:cs="Cambria Math"/>
          <w:lang w:bidi="ar-IQ"/>
        </w:rPr>
        <w:t>₃</w:t>
      </w:r>
      <w:r w:rsidR="0059550E" w:rsidRPr="0059550E">
        <w:rPr>
          <w:rFonts w:eastAsia="Calibri"/>
          <w:lang w:bidi="ar-IQ"/>
        </w:rPr>
        <w:t>)</w:t>
      </w:r>
      <w:r w:rsidR="0059550E" w:rsidRPr="0059550E">
        <w:rPr>
          <w:rFonts w:ascii="Cambria Math" w:eastAsia="Calibri" w:hAnsi="Cambria Math" w:cs="Cambria Math"/>
          <w:lang w:bidi="ar-IQ"/>
        </w:rPr>
        <w:t>₂</w:t>
      </w:r>
      <w:r w:rsidR="0059550E">
        <w:rPr>
          <w:rFonts w:eastAsia="Calibri"/>
          <w:lang w:bidi="ar-IQ"/>
        </w:rPr>
        <w:t xml:space="preserve"> </w:t>
      </w:r>
      <w:r w:rsidRPr="00E81F9A">
        <w:rPr>
          <w:rFonts w:eastAsia="Calibri"/>
          <w:lang w:bidi="ar-IQ"/>
        </w:rPr>
        <w:t xml:space="preserve">was used as the nanocarrier, published from </w:t>
      </w:r>
      <w:r w:rsidRPr="00E81F9A">
        <w:rPr>
          <w:rFonts w:eastAsia="Calibri"/>
          <w:lang w:bidi="ar-IQ"/>
        </w:rPr>
        <w:fldChar w:fldCharType="begin"/>
      </w:r>
      <w:r w:rsidRPr="00E81F9A">
        <w:rPr>
          <w:rFonts w:eastAsia="Calibri"/>
          <w:lang w:bidi="ar-IQ"/>
        </w:rPr>
        <w:instrText xml:space="preserve"> ADDIN EN.CITE &lt;EndNote&gt;&lt;Cite&gt;&lt;Author&gt;Zhou&lt;/Author&gt;&lt;Year&gt;2024&lt;/Year&gt;&lt;RecNum&gt;9&lt;/RecNum&gt;&lt;DisplayText&gt;[7]&lt;/DisplayText&gt;&lt;record&gt;&lt;rec-number&gt;9&lt;/rec-number&gt;&lt;foreign-keys&gt;&lt;key app="EN" db-id="dtd0evvrgapxsee5dftvzdfgxdav9ez5awtt" timestamp="1757747556"&gt;9&lt;/key&gt;&lt;/foreign-keys&gt;&lt;ref-type name="Journal Article"&gt;17&lt;/ref-type&gt;&lt;contributors&gt;&lt;authors&gt;&lt;author&gt;Zhou, Chongyang&lt;/author&gt;&lt;author&gt;Guo, Weibin&lt;/author&gt;&lt;author&gt;Fan, Jiayao&lt;/author&gt;&lt;author&gt;Shi, Naien&lt;/author&gt;&lt;author&gt;Zhao, Yi&lt;/author&gt;&lt;author&gt;Yang, Xu&lt;/author&gt;&lt;author&gt;Ding, Zhen&lt;/author&gt;&lt;author&gt;Han, Min&lt;/author&gt;&lt;author&gt;Huang, Wei&lt;/author&gt;&lt;/authors&gt;&lt;/contributors&gt;&lt;titles&gt;&lt;title&gt;Recent advances and future perspectives of Ruddlesden–Popper perovskite oxides electrolytes for all‐solid‐state batteries&lt;/title&gt;&lt;secondary-title&gt;InfoMat&lt;/secondary-title&gt;&lt;/titles&gt;&lt;periodical&gt;&lt;full-title&gt;InfoMat&lt;/full-title&gt;&lt;/periodical&gt;&lt;pages&gt;e12563&lt;/pages&gt;&lt;volume&gt;6&lt;/volume&gt;&lt;number&gt;8&lt;/number&gt;&lt;dates&gt;&lt;year&gt;2024&lt;/year&gt;&lt;/dates&gt;&lt;isbn&gt;2567-3165&lt;/isbn&gt;&lt;urls&gt;&lt;/urls&gt;&lt;/record&gt;&lt;/Cite&gt;&lt;/EndNote&gt;</w:instrText>
      </w:r>
      <w:r w:rsidRPr="00E81F9A">
        <w:rPr>
          <w:rFonts w:eastAsia="Calibri"/>
          <w:lang w:bidi="ar-IQ"/>
        </w:rPr>
        <w:fldChar w:fldCharType="separate"/>
      </w:r>
      <w:r w:rsidRPr="00E81F9A">
        <w:rPr>
          <w:rFonts w:eastAsia="Calibri"/>
          <w:lang w:bidi="ar-IQ"/>
        </w:rPr>
        <w:t>[7]</w:t>
      </w:r>
      <w:r w:rsidRPr="00E81F9A">
        <w:rPr>
          <w:rFonts w:eastAsia="Calibri"/>
          <w:lang w:bidi="ar-IQ"/>
        </w:rPr>
        <w:fldChar w:fldCharType="end"/>
      </w:r>
      <w:r w:rsidRPr="00E81F9A">
        <w:rPr>
          <w:rFonts w:eastAsia="Calibri"/>
          <w:lang w:bidi="ar-IQ"/>
        </w:rPr>
        <w:t xml:space="preserve">, and then underwent geometric optimization before being incorporated into the calculations. The cancer model was constructed using Gaussian software by combining two progesterone molecules (PubChem CID: 5994) to serve as a hypothetical drug binding site. Finally, the crystal structure of deoxyhemoglobin was adopted from the source </w:t>
      </w:r>
      <w:r w:rsidRPr="00E81F9A">
        <w:rPr>
          <w:rFonts w:eastAsia="Calibri"/>
          <w:lang w:bidi="ar-IQ"/>
        </w:rPr>
        <w:fldChar w:fldCharType="begin"/>
      </w:r>
      <w:r w:rsidRPr="00E81F9A">
        <w:rPr>
          <w:rFonts w:eastAsia="Calibri"/>
          <w:lang w:bidi="ar-IQ"/>
        </w:rPr>
        <w:instrText xml:space="preserve"> ADDIN EN.CITE &lt;EndNote&gt;&lt;Cite&gt;&lt;Author&gt;Jaber&lt;/Author&gt;&lt;Year&gt;2025&lt;/Year&gt;&lt;RecNum&gt;2&lt;/RecNum&gt;&lt;DisplayText&gt;[8]&lt;/DisplayText&gt;&lt;record&gt;&lt;rec-number&gt;2&lt;/rec-number&gt;&lt;foreign-keys&gt;&lt;key app="EN" db-id="w2zaxav5rs2t9nex55gvwwvmzzet52ztprd9" timestamp="1757778343"&gt;2&lt;/key&gt;&lt;/foreign-keys&gt;&lt;ref-type name="Conference Proceedings"&gt;10&lt;/ref-type&gt;&lt;contributors&gt;&lt;authors&gt;&lt;author&gt;Jaber, Shaymaa A&lt;/author&gt;&lt;author&gt;Kadhim, Bahjat B&lt;/author&gt;&lt;author&gt;Mohi, Ali Taher&lt;/author&gt;&lt;/authors&gt;&lt;/contributors&gt;&lt;titles&gt;&lt;title&gt;Simulation of interaction energy and thermodynamics properties of developed nano drug docking with glucose for the diabetes treatment&lt;/title&gt;&lt;secondary-title&gt;AIP Conference Proceedings&lt;/secondary-title&gt;&lt;/titles&gt;&lt;pages&gt;040020&lt;/pages&gt;&lt;volume&gt;3321&lt;/volume&gt;&lt;number&gt;1&lt;/number&gt;&lt;dates&gt;&lt;year&gt;2025&lt;/year&gt;&lt;/dates&gt;&lt;publisher&gt;AIP Publishing LLC&lt;/publisher&gt;&lt;isbn&gt;0094-243X&lt;/isbn&gt;&lt;urls&gt;&lt;/urls&gt;&lt;/record&gt;&lt;/Cite&gt;&lt;/EndNote&gt;</w:instrText>
      </w:r>
      <w:r w:rsidRPr="00E81F9A">
        <w:rPr>
          <w:rFonts w:eastAsia="Calibri"/>
          <w:lang w:bidi="ar-IQ"/>
        </w:rPr>
        <w:fldChar w:fldCharType="separate"/>
      </w:r>
      <w:r w:rsidRPr="00E81F9A">
        <w:rPr>
          <w:rFonts w:eastAsia="Calibri"/>
          <w:lang w:bidi="ar-IQ"/>
        </w:rPr>
        <w:t>[8]</w:t>
      </w:r>
      <w:r w:rsidRPr="00E81F9A">
        <w:rPr>
          <w:rFonts w:eastAsia="Calibri"/>
          <w:lang w:bidi="ar-IQ"/>
        </w:rPr>
        <w:fldChar w:fldCharType="end"/>
      </w:r>
      <w:r w:rsidRPr="00E81F9A">
        <w:rPr>
          <w:rFonts w:eastAsia="Calibri"/>
          <w:lang w:bidi="ar-IQ"/>
        </w:rPr>
        <w:t xml:space="preserve"> to study the interactions related to blood safety.</w:t>
      </w:r>
    </w:p>
    <w:p w14:paraId="5007BD75" w14:textId="6DC8E85D" w:rsidR="00E81F9A" w:rsidRPr="00E81F9A" w:rsidRDefault="00E81F9A" w:rsidP="007F27A0">
      <w:pPr>
        <w:pStyle w:val="Paragraph"/>
        <w:rPr>
          <w:rFonts w:eastAsia="Calibri"/>
          <w:lang w:bidi="ar-IQ"/>
        </w:rPr>
      </w:pPr>
      <w:r w:rsidRPr="00E81F9A">
        <w:rPr>
          <w:rFonts w:eastAsia="Calibri"/>
          <w:lang w:bidi="ar-IQ"/>
        </w:rPr>
        <w:t xml:space="preserve">All molecular models were initially free in geometry optimized for achieving the most stable as well as realistic conditions prior to initiation of docking studies. Next, the initial structure of the dye (18F-FDG) and nanocarrier </w:t>
      </w:r>
      <w:proofErr w:type="gramStart"/>
      <w:r w:rsidRPr="00E81F9A">
        <w:rPr>
          <w:rFonts w:eastAsia="Calibri"/>
          <w:lang w:bidi="ar-IQ"/>
        </w:rPr>
        <w:t>was</w:t>
      </w:r>
      <w:proofErr w:type="gramEnd"/>
      <w:r w:rsidRPr="00E81F9A">
        <w:rPr>
          <w:rFonts w:eastAsia="Calibri"/>
          <w:lang w:bidi="ar-IQ"/>
        </w:rPr>
        <w:t xml:space="preserve"> also modelled with deoxyhemoglobin to analyze if these materials are biocompatible and safe in a blood medium. The van der Waals docking between the models were weak as depicted on Figures (1) and (2).</w:t>
      </w:r>
    </w:p>
    <w:p w14:paraId="53FC0F8A" w14:textId="3EA24557" w:rsidR="00E81F9A" w:rsidRPr="00E81F9A" w:rsidRDefault="00E81F9A" w:rsidP="007F27A0">
      <w:pPr>
        <w:pStyle w:val="Paragraph"/>
        <w:rPr>
          <w:rFonts w:eastAsia="Calibri"/>
          <w:lang w:bidi="ar-IQ"/>
        </w:rPr>
      </w:pPr>
      <w:r w:rsidRPr="00E81F9A">
        <w:rPr>
          <w:rFonts w:eastAsia="Calibri"/>
          <w:lang w:bidi="ar-IQ"/>
        </w:rPr>
        <w:t>After initially confirming the safety of the materials, we proceeded to construct the cancer model Cancer</w:t>
      </w:r>
      <w:r w:rsidRPr="00E81F9A">
        <w:rPr>
          <w:rFonts w:eastAsia="Calibri"/>
          <w:rtl/>
          <w:lang w:bidi="ar-IQ"/>
        </w:rPr>
        <w:t xml:space="preserve"> </w:t>
      </w:r>
      <w:r w:rsidRPr="00E81F9A">
        <w:rPr>
          <w:rFonts w:eastAsia="Calibri"/>
          <w:lang w:bidi="ar-IQ"/>
        </w:rPr>
        <w:t>by docking the drug doxorubicin with it to form a reference model representing the tumor docking site, as shown in Figure (3). Based on this reference model, a second docking was performed, where the dye (</w:t>
      </w:r>
      <w:r w:rsidRPr="003E38BD">
        <w:rPr>
          <w:rFonts w:eastAsia="Calibri"/>
          <w:vertAlign w:val="superscript"/>
          <w:lang w:bidi="ar-IQ"/>
        </w:rPr>
        <w:t>18</w:t>
      </w:r>
      <w:r w:rsidRPr="00E81F9A">
        <w:rPr>
          <w:rFonts w:eastAsia="Calibri"/>
          <w:lang w:bidi="ar-IQ"/>
        </w:rPr>
        <w:t xml:space="preserve">F-FDG) was docked with the cancer-associated drug, as shown in Figure (4). This was followed by a third docking, where the perovskite </w:t>
      </w:r>
      <w:r w:rsidR="00436F1A" w:rsidRPr="00436F1A">
        <w:rPr>
          <w:rFonts w:eastAsia="Calibri"/>
          <w:lang w:bidi="ar-IQ"/>
        </w:rPr>
        <w:t>(</w:t>
      </w:r>
      <w:proofErr w:type="spellStart"/>
      <w:r w:rsidR="00436F1A" w:rsidRPr="00436F1A">
        <w:rPr>
          <w:rFonts w:eastAsia="Calibri"/>
          <w:lang w:bidi="ar-IQ"/>
        </w:rPr>
        <w:t>CaTiO</w:t>
      </w:r>
      <w:proofErr w:type="spellEnd"/>
      <w:proofErr w:type="gramStart"/>
      <w:r w:rsidR="00436F1A" w:rsidRPr="00436F1A">
        <w:rPr>
          <w:rFonts w:ascii="Cambria Math" w:eastAsia="Calibri" w:hAnsi="Cambria Math" w:cs="Cambria Math"/>
          <w:lang w:bidi="ar-IQ"/>
        </w:rPr>
        <w:t>₃</w:t>
      </w:r>
      <w:r w:rsidR="00436F1A" w:rsidRPr="00436F1A">
        <w:rPr>
          <w:rFonts w:eastAsia="Calibri"/>
          <w:lang w:bidi="ar-IQ"/>
        </w:rPr>
        <w:t>)</w:t>
      </w:r>
      <w:r w:rsidR="00436F1A" w:rsidRPr="00436F1A">
        <w:rPr>
          <w:rFonts w:ascii="Cambria Math" w:eastAsia="Calibri" w:hAnsi="Cambria Math" w:cs="Cambria Math"/>
          <w:lang w:bidi="ar-IQ"/>
        </w:rPr>
        <w:t>₂</w:t>
      </w:r>
      <w:proofErr w:type="gramEnd"/>
      <w:r w:rsidR="00436F1A">
        <w:rPr>
          <w:rFonts w:eastAsia="Calibri"/>
          <w:lang w:bidi="ar-IQ"/>
        </w:rPr>
        <w:t xml:space="preserve"> </w:t>
      </w:r>
      <w:r w:rsidRPr="00E81F9A">
        <w:rPr>
          <w:rFonts w:eastAsia="Calibri"/>
          <w:lang w:bidi="ar-IQ"/>
        </w:rPr>
        <w:t>was docked with the cancer-associated drug, as shown in Figure (5).</w:t>
      </w:r>
    </w:p>
    <w:p w14:paraId="4FC15C8B" w14:textId="668E8597" w:rsidR="00E81F9A" w:rsidRDefault="00E81F9A" w:rsidP="007F27A0">
      <w:pPr>
        <w:pStyle w:val="Paragraph"/>
        <w:rPr>
          <w:rFonts w:eastAsia="Calibri"/>
          <w:lang w:bidi="ar-IQ"/>
        </w:rPr>
      </w:pPr>
      <w:r w:rsidRPr="00E81F9A">
        <w:rPr>
          <w:rFonts w:eastAsia="Calibri"/>
          <w:lang w:bidi="ar-IQ"/>
        </w:rPr>
        <w:t>These steps enabled a comparative evaluation of the efficacy of both the dye and perovskite in enhancing drug targeting to cancer, in addition to determining their potential future use as promising intravenous drug delivery systems.</w:t>
      </w:r>
    </w:p>
    <w:p w14:paraId="2B24956A" w14:textId="77777777" w:rsidR="003D135D" w:rsidRDefault="003D135D" w:rsidP="007F27A0">
      <w:pPr>
        <w:pStyle w:val="Paragraph"/>
        <w:rPr>
          <w:rFonts w:eastAsia="Calibri"/>
          <w:lang w:bidi="ar-IQ"/>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6"/>
      </w:tblGrid>
      <w:tr w:rsidR="00B950AD" w14:paraId="3050AE30" w14:textId="77777777" w:rsidTr="0018477B">
        <w:trPr>
          <w:jc w:val="center"/>
        </w:trPr>
        <w:tc>
          <w:tcPr>
            <w:tcW w:w="7479" w:type="dxa"/>
          </w:tcPr>
          <w:p w14:paraId="7BC78545" w14:textId="341882D3" w:rsidR="00B950AD" w:rsidRDefault="00B950AD" w:rsidP="00436F1A">
            <w:pPr>
              <w:pStyle w:val="Paragraph"/>
              <w:ind w:firstLine="0"/>
              <w:rPr>
                <w:rFonts w:eastAsia="Calibri"/>
                <w:lang w:bidi="ar-IQ"/>
              </w:rPr>
            </w:pPr>
            <w:r>
              <w:rPr>
                <w:noProof/>
              </w:rPr>
              <mc:AlternateContent>
                <mc:Choice Requires="wps">
                  <w:drawing>
                    <wp:inline distT="0" distB="0" distL="0" distR="0" wp14:anchorId="2B5F95B8" wp14:editId="4A9EC68C">
                      <wp:extent cx="4645660" cy="1737995"/>
                      <wp:effectExtent l="0" t="0" r="21590" b="14605"/>
                      <wp:docPr id="1079066731" name="Text Box 1079066731"/>
                      <wp:cNvGraphicFramePr/>
                      <a:graphic xmlns:a="http://schemas.openxmlformats.org/drawingml/2006/main">
                        <a:graphicData uri="http://schemas.microsoft.com/office/word/2010/wordprocessingShape">
                          <wps:wsp>
                            <wps:cNvSpPr txBox="1"/>
                            <wps:spPr>
                              <a:xfrm>
                                <a:off x="0" y="0"/>
                                <a:ext cx="4645660" cy="1737995"/>
                              </a:xfrm>
                              <a:prstGeom prst="rect">
                                <a:avLst/>
                              </a:prstGeom>
                              <a:noFill/>
                              <a:ln w="6350">
                                <a:solidFill>
                                  <a:prstClr val="black"/>
                                </a:solidFill>
                              </a:ln>
                              <a:effectLst/>
                            </wps:spPr>
                            <wps:txbx>
                              <w:txbxContent>
                                <w:p w14:paraId="53CB90B8" w14:textId="77777777" w:rsidR="00B950AD" w:rsidRPr="008C58EA" w:rsidRDefault="00B950AD" w:rsidP="00B950AD">
                                  <w:pPr>
                                    <w:pStyle w:val="Figure"/>
                                    <w:rPr>
                                      <w:rFonts w:eastAsia="Calibri"/>
                                      <w:sz w:val="18"/>
                                      <w:szCs w:val="18"/>
                                      <w:lang w:bidi="ar-IQ"/>
                                    </w:rPr>
                                  </w:pPr>
                                  <w:r w:rsidRPr="008C58EA">
                                    <w:rPr>
                                      <w:rFonts w:eastAsia="Calibri"/>
                                      <w:noProof/>
                                      <w:kern w:val="2"/>
                                      <w:sz w:val="18"/>
                                      <w:szCs w:val="18"/>
                                      <w:rtl/>
                                      <w14:ligatures w14:val="standardContextual"/>
                                    </w:rPr>
                                    <w:drawing>
                                      <wp:inline distT="0" distB="0" distL="0" distR="0" wp14:anchorId="437BB917" wp14:editId="7C787474">
                                        <wp:extent cx="4324865" cy="1647568"/>
                                        <wp:effectExtent l="0" t="0" r="0" b="0"/>
                                        <wp:docPr id="14428041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49038" name="Picture 198049038"/>
                                                <pic:cNvPicPr/>
                                              </pic:nvPicPr>
                                              <pic:blipFill>
                                                <a:blip r:embed="rId10">
                                                  <a:extLst>
                                                    <a:ext uri="{28A0092B-C50C-407E-A947-70E740481C1C}">
                                                      <a14:useLocalDpi xmlns:a14="http://schemas.microsoft.com/office/drawing/2010/main" val="0"/>
                                                    </a:ext>
                                                  </a:extLst>
                                                </a:blip>
                                                <a:stretch>
                                                  <a:fillRect/>
                                                </a:stretch>
                                              </pic:blipFill>
                                              <pic:spPr>
                                                <a:xfrm>
                                                  <a:off x="0" y="0"/>
                                                  <a:ext cx="4333078" cy="165069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inline>
                  </w:drawing>
                </mc:Choice>
                <mc:Fallback>
                  <w:pict>
                    <v:shapetype w14:anchorId="2B5F95B8" id="_x0000_t202" coordsize="21600,21600" o:spt="202" path="m,l,21600r21600,l21600,xe">
                      <v:stroke joinstyle="miter"/>
                      <v:path gradientshapeok="t" o:connecttype="rect"/>
                    </v:shapetype>
                    <v:shape id="Text Box 1079066731" o:spid="_x0000_s1026" type="#_x0000_t202" style="width:365.8pt;height:1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" filled="f" strokeweight=".5pt">
                      <v:textbox>
                        <w:txbxContent>
                          <w:p w14:paraId="53CB90B8" w14:textId="77777777" w:rsidR="00B950AD" w:rsidRPr="008C58EA" w:rsidRDefault="00B950AD" w:rsidP="00B950AD">
                            <w:pPr>
                              <w:pStyle w:val="Figure"/>
                              <w:rPr>
                                <w:rFonts w:eastAsia="Calibri"/>
                                <w:sz w:val="18"/>
                                <w:szCs w:val="18"/>
                                <w:lang w:bidi="ar-IQ"/>
                              </w:rPr>
                            </w:pPr>
                            <w:r w:rsidRPr="008C58EA">
                              <w:rPr>
                                <w:rFonts w:eastAsia="Calibri"/>
                                <w:noProof/>
                                <w:kern w:val="2"/>
                                <w:sz w:val="18"/>
                                <w:szCs w:val="18"/>
                                <w:rtl/>
                                <w14:ligatures w14:val="standardContextual"/>
                              </w:rPr>
                              <w:drawing>
                                <wp:inline distT="0" distB="0" distL="0" distR="0" wp14:anchorId="437BB917" wp14:editId="7C787474">
                                  <wp:extent cx="4324865" cy="1647568"/>
                                  <wp:effectExtent l="0" t="0" r="0" b="0"/>
                                  <wp:docPr id="14428041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49038" name="Picture 198049038"/>
                                          <pic:cNvPicPr/>
                                        </pic:nvPicPr>
                                        <pic:blipFill>
                                          <a:blip r:embed="rId11">
                                            <a:extLst>
                                              <a:ext uri="{28A0092B-C50C-407E-A947-70E740481C1C}">
                                                <a14:useLocalDpi xmlns:a14="http://schemas.microsoft.com/office/drawing/2010/main" val="0"/>
                                              </a:ext>
                                            </a:extLst>
                                          </a:blip>
                                          <a:stretch>
                                            <a:fillRect/>
                                          </a:stretch>
                                        </pic:blipFill>
                                        <pic:spPr>
                                          <a:xfrm>
                                            <a:off x="0" y="0"/>
                                            <a:ext cx="4333078" cy="1650697"/>
                                          </a:xfrm>
                                          <a:prstGeom prst="rect">
                                            <a:avLst/>
                                          </a:prstGeom>
                                        </pic:spPr>
                                      </pic:pic>
                                    </a:graphicData>
                                  </a:graphic>
                                </wp:inline>
                              </w:drawing>
                            </w:r>
                          </w:p>
                        </w:txbxContent>
                      </v:textbox>
                      <w10:anchorlock/>
                    </v:shape>
                  </w:pict>
                </mc:Fallback>
              </mc:AlternateContent>
            </w:r>
          </w:p>
        </w:tc>
      </w:tr>
    </w:tbl>
    <w:p w14:paraId="4A34557C" w14:textId="273C921E" w:rsidR="008C58EA" w:rsidRDefault="008C58EA" w:rsidP="00E25C32">
      <w:pPr>
        <w:pStyle w:val="FigureCaption"/>
        <w:spacing w:before="0"/>
        <w:rPr>
          <w:rFonts w:asciiTheme="majorBidi" w:eastAsia="Calibri" w:hAnsiTheme="majorBidi" w:cstheme="majorBidi"/>
          <w:lang w:bidi="ar-IQ"/>
        </w:rPr>
      </w:pPr>
      <w:r w:rsidRPr="00570DD7">
        <w:rPr>
          <w:rFonts w:asciiTheme="majorBidi" w:eastAsia="MS Mincho" w:hAnsiTheme="majorBidi" w:cstheme="majorBidi"/>
          <w:b/>
          <w:bCs/>
          <w:szCs w:val="18"/>
        </w:rPr>
        <w:t>FIGURE 1.</w:t>
      </w:r>
      <w:r w:rsidRPr="00570DD7">
        <w:rPr>
          <w:rFonts w:asciiTheme="majorBidi" w:eastAsia="Calibri" w:hAnsiTheme="majorBidi" w:cstheme="majorBidi"/>
          <w:b/>
          <w:bCs/>
        </w:rPr>
        <w:t xml:space="preserve"> </w:t>
      </w:r>
      <w:r w:rsidRPr="008C58EA">
        <w:rPr>
          <w:rFonts w:asciiTheme="majorBidi" w:eastAsia="Calibri" w:hAnsiTheme="majorBidi" w:cstheme="majorBidi"/>
        </w:rPr>
        <w:t>Optimal geometric representation of the dye (</w:t>
      </w:r>
      <w:r w:rsidRPr="00D72E7E">
        <w:rPr>
          <w:rFonts w:asciiTheme="majorBidi" w:eastAsia="Calibri" w:hAnsiTheme="majorBidi" w:cstheme="majorBidi"/>
          <w:vertAlign w:val="superscript"/>
        </w:rPr>
        <w:t>18</w:t>
      </w:r>
      <w:r w:rsidRPr="008C58EA">
        <w:rPr>
          <w:rFonts w:asciiTheme="majorBidi" w:eastAsia="Calibri" w:hAnsiTheme="majorBidi" w:cstheme="majorBidi"/>
        </w:rPr>
        <w:t>F-FDG) docking model with deoxyhemoglobin.</w:t>
      </w:r>
    </w:p>
    <w:p w14:paraId="781C3B15" w14:textId="77777777" w:rsidR="00420C9D" w:rsidRDefault="00420C9D" w:rsidP="00420C9D">
      <w:pPr>
        <w:pStyle w:val="Paragraph"/>
        <w:rPr>
          <w:rFonts w:eastAsia="Calibri"/>
          <w:lang w:bidi="ar-IQ"/>
        </w:rPr>
      </w:pPr>
    </w:p>
    <w:p w14:paraId="2037583C" w14:textId="3FB62504" w:rsidR="00420C9D" w:rsidRPr="00E81F9A" w:rsidRDefault="00420C9D" w:rsidP="007F27A0">
      <w:pPr>
        <w:pStyle w:val="Paragraph"/>
        <w:rPr>
          <w:rFonts w:eastAsia="Calibri"/>
          <w:lang w:bidi="ar-IQ"/>
        </w:rPr>
      </w:pPr>
      <w:r w:rsidRPr="00E81F9A">
        <w:rPr>
          <w:rFonts w:eastAsia="Calibri"/>
          <w:lang w:bidi="ar-IQ"/>
        </w:rPr>
        <w:t>All quantum calculations were performed using Gaussian 16 (Revision C.01) with the Gauss</w:t>
      </w:r>
      <w:r w:rsidRPr="00E81F9A">
        <w:rPr>
          <w:rFonts w:eastAsia="Calibri"/>
          <w:rtl/>
          <w:lang w:bidi="ar-IQ"/>
        </w:rPr>
        <w:t xml:space="preserve"> </w:t>
      </w:r>
      <w:r w:rsidRPr="00E81F9A">
        <w:rPr>
          <w:rFonts w:eastAsia="Calibri"/>
          <w:lang w:bidi="ar-IQ"/>
        </w:rPr>
        <w:t>View 6.0.16 interface</w:t>
      </w:r>
      <w:r w:rsidR="00D72E7E">
        <w:rPr>
          <w:rFonts w:eastAsia="Calibri"/>
          <w:lang w:bidi="ar-IQ"/>
        </w:rPr>
        <w:t xml:space="preserve"> </w:t>
      </w:r>
      <w:r w:rsidRPr="00E81F9A">
        <w:rPr>
          <w:rFonts w:eastAsia="Calibri"/>
          <w:lang w:bidi="ar-IQ"/>
        </w:rPr>
        <w:fldChar w:fldCharType="begin"/>
      </w:r>
      <w:r w:rsidRPr="00E81F9A">
        <w:rPr>
          <w:rFonts w:eastAsia="Calibri"/>
          <w:lang w:bidi="ar-IQ"/>
        </w:rPr>
        <w:instrText xml:space="preserve"> ADDIN EN.CITE &lt;EndNote&gt;&lt;Cite&gt;&lt;Author&gt;Chen&lt;/Author&gt;&lt;Year&gt;2025&lt;/Year&gt;&lt;RecNum&gt;1&lt;/RecNum&gt;&lt;DisplayText&gt;[9]&lt;/DisplayText&gt;&lt;record&gt;&lt;rec-number&gt;1&lt;/rec-number&gt;&lt;foreign-keys&gt;&lt;key app="EN" db-id="apx5s0rd7wvfd3esfatpsrduxaf009ewddfr" timestamp="1757753325"&gt;1&lt;/key&gt;&lt;/foreign-keys&gt;&lt;ref-type name="Journal Article"&gt;17&lt;/ref-type&gt;&lt;contributors&gt;&lt;authors&gt;&lt;author&gt;Chen, Yilei&lt;/author&gt;&lt;/authors&gt;&lt;/contributors&gt;&lt;titles&gt;&lt;title&gt;Unraveling the influence mechanisms of different substituents on the chemical activity of N-heterocyclic phosphines via theoretical calculations&lt;/title&gt;&lt;secondary-title&gt;Journal of Molecular Modeling&lt;/secondary-title&gt;&lt;/titles&gt;&lt;periodical&gt;&lt;full-title&gt;Journal of Molecular Modeling&lt;/full-title&gt;&lt;/periodical&gt;&lt;pages&gt;166&lt;/pages&gt;&lt;volume&gt;31&lt;/volume&gt;&lt;number&gt;6&lt;/number&gt;&lt;dates&gt;&lt;year&gt;2025&lt;/year&gt;&lt;/dates&gt;&lt;isbn&gt;1610-2940&lt;/isbn&gt;&lt;urls&gt;&lt;/urls&gt;&lt;/record&gt;&lt;/Cite&gt;&lt;/EndNote&gt;</w:instrText>
      </w:r>
      <w:r w:rsidRPr="00E81F9A">
        <w:rPr>
          <w:rFonts w:eastAsia="Calibri"/>
          <w:lang w:bidi="ar-IQ"/>
        </w:rPr>
        <w:fldChar w:fldCharType="separate"/>
      </w:r>
      <w:r w:rsidRPr="00E81F9A">
        <w:rPr>
          <w:rFonts w:eastAsia="Calibri"/>
          <w:lang w:bidi="ar-IQ"/>
        </w:rPr>
        <w:t>[9]</w:t>
      </w:r>
      <w:r w:rsidRPr="00E81F9A">
        <w:rPr>
          <w:rFonts w:eastAsia="Calibri"/>
          <w:lang w:bidi="ar-IQ"/>
        </w:rPr>
        <w:fldChar w:fldCharType="end"/>
      </w:r>
      <w:r w:rsidRPr="00E81F9A">
        <w:rPr>
          <w:rFonts w:eastAsia="Calibri"/>
          <w:lang w:bidi="ar-IQ"/>
        </w:rPr>
        <w:t xml:space="preserve">. The molecular models (doxorubicin, the dye 2-DG/FDG, and the </w:t>
      </w:r>
      <w:r>
        <w:rPr>
          <w:rFonts w:eastAsia="Calibri"/>
          <w:lang w:bidi="ar-IQ"/>
        </w:rPr>
        <w:t xml:space="preserve">nano </w:t>
      </w:r>
      <w:r w:rsidRPr="00E81F9A">
        <w:rPr>
          <w:rFonts w:eastAsia="Calibri"/>
          <w:lang w:bidi="ar-IQ"/>
        </w:rPr>
        <w:t xml:space="preserve">perovskite cluster </w:t>
      </w:r>
      <w:r w:rsidRPr="00436F1A">
        <w:rPr>
          <w:rFonts w:eastAsia="Calibri"/>
          <w:lang w:bidi="ar-IQ"/>
        </w:rPr>
        <w:t>(</w:t>
      </w:r>
      <w:proofErr w:type="spellStart"/>
      <w:r w:rsidRPr="00436F1A">
        <w:rPr>
          <w:rFonts w:eastAsia="Calibri"/>
          <w:lang w:bidi="ar-IQ"/>
        </w:rPr>
        <w:t>CaTiO</w:t>
      </w:r>
      <w:proofErr w:type="spellEnd"/>
      <w:r w:rsidRPr="00436F1A">
        <w:rPr>
          <w:rFonts w:ascii="Cambria Math" w:eastAsia="Calibri" w:hAnsi="Cambria Math" w:cs="Cambria Math"/>
          <w:lang w:bidi="ar-IQ"/>
        </w:rPr>
        <w:t>₃</w:t>
      </w:r>
      <w:r w:rsidRPr="00436F1A">
        <w:rPr>
          <w:rFonts w:eastAsia="Calibri"/>
          <w:lang w:bidi="ar-IQ"/>
        </w:rPr>
        <w:t>)</w:t>
      </w:r>
      <w:r w:rsidRPr="00436F1A">
        <w:rPr>
          <w:rFonts w:ascii="Cambria Math" w:eastAsia="Calibri" w:hAnsi="Cambria Math" w:cs="Cambria Math"/>
          <w:lang w:bidi="ar-IQ"/>
        </w:rPr>
        <w:t>₂</w:t>
      </w:r>
      <w:r w:rsidRPr="00E81F9A">
        <w:rPr>
          <w:rFonts w:eastAsia="Calibri"/>
          <w:lang w:bidi="ar-IQ"/>
        </w:rPr>
        <w:t xml:space="preserve"> were subjected to initial geometric optimization using DFT/B3LYP with the SDD basis set (Stuttgart/Dresden) </w:t>
      </w:r>
      <w:r w:rsidRPr="00E81F9A">
        <w:rPr>
          <w:rFonts w:eastAsia="Calibri"/>
          <w:lang w:bidi="ar-IQ"/>
        </w:rPr>
        <w:fldChar w:fldCharType="begin"/>
      </w:r>
      <w:r w:rsidRPr="00E81F9A">
        <w:rPr>
          <w:rFonts w:eastAsia="Calibri"/>
          <w:lang w:bidi="ar-IQ"/>
        </w:rPr>
        <w:instrText xml:space="preserve"> ADDIN EN.CITE &lt;EndNote&gt;&lt;Cite&gt;&lt;Author&gt;Jensen&lt;/Author&gt;&lt;Year&gt;2017&lt;/Year&gt;&lt;RecNum&gt;2&lt;/RecNum&gt;&lt;DisplayText&gt;[10]&lt;/DisplayText&gt;&lt;record&gt;&lt;rec-number&gt;2&lt;/rec-number&gt;&lt;foreign-keys&gt;&lt;key app="EN" db-id="apx5s0rd7wvfd3esfatpsrduxaf009ewddfr" timestamp="1757753368"&gt;2&lt;/key&gt;&lt;/foreign-keys&gt;&lt;ref-type name="Book"&gt;6&lt;/ref-type&gt;&lt;contributors&gt;&lt;authors&gt;&lt;author&gt;Jensen, Frank&lt;/author&gt;&lt;/authors&gt;&lt;/contributors&gt;&lt;titles&gt;&lt;title&gt;Introduction to computational chemistry&lt;/title&gt;&lt;/titles&gt;&lt;dates&gt;&lt;year&gt;2017&lt;/year&gt;&lt;/dates&gt;&lt;publisher&gt;John wiley &amp;amp; sons&lt;/publisher&gt;&lt;isbn&gt;1118825993&lt;/isbn&gt;&lt;urls&gt;&lt;/urls&gt;&lt;/record&gt;&lt;/Cite&gt;&lt;/EndNote&gt;</w:instrText>
      </w:r>
      <w:r w:rsidRPr="00E81F9A">
        <w:rPr>
          <w:rFonts w:eastAsia="Calibri"/>
          <w:lang w:bidi="ar-IQ"/>
        </w:rPr>
        <w:fldChar w:fldCharType="separate"/>
      </w:r>
      <w:r w:rsidRPr="00E81F9A">
        <w:rPr>
          <w:rFonts w:eastAsia="Calibri"/>
          <w:lang w:bidi="ar-IQ"/>
        </w:rPr>
        <w:t>[10]</w:t>
      </w:r>
      <w:r w:rsidRPr="00E81F9A">
        <w:rPr>
          <w:rFonts w:eastAsia="Calibri"/>
          <w:lang w:bidi="ar-IQ"/>
        </w:rPr>
        <w:fldChar w:fldCharType="end"/>
      </w:r>
      <w:r w:rsidRPr="00E81F9A">
        <w:rPr>
          <w:rFonts w:eastAsia="Calibri"/>
          <w:lang w:bidi="ar-IQ"/>
        </w:rPr>
        <w:t>.</w:t>
      </w:r>
    </w:p>
    <w:p w14:paraId="0640BC4F" w14:textId="77777777" w:rsidR="00420C9D" w:rsidRPr="00E81F9A" w:rsidRDefault="00420C9D" w:rsidP="00420C9D">
      <w:pPr>
        <w:pStyle w:val="Paragraph"/>
        <w:ind w:firstLine="0"/>
        <w:rPr>
          <w:rFonts w:eastAsia="Calibri"/>
          <w:lang w:bidi="ar-IQ"/>
        </w:rPr>
      </w:pPr>
      <w:r w:rsidRPr="00E81F9A">
        <w:rPr>
          <w:rFonts w:eastAsia="Calibri"/>
          <w:lang w:bidi="ar-IQ"/>
        </w:rPr>
        <w:t xml:space="preserve">The SDD basis set was chosen for two main reasons: first, the model size increases after docking, and second, computational cost. SDD provides acceptable accuracy with the inclusion of Effective Core Potentials (ECPs) for heavy atoms such as Ca and Ti, which reduces the number of electrons calculated explicitly and significantly reduces computation time </w:t>
      </w:r>
      <w:r w:rsidRPr="00E81F9A">
        <w:rPr>
          <w:rFonts w:eastAsia="Calibri"/>
          <w:lang w:bidi="ar-IQ"/>
        </w:rPr>
        <w:fldChar w:fldCharType="begin"/>
      </w:r>
      <w:r w:rsidRPr="00E81F9A">
        <w:rPr>
          <w:rFonts w:eastAsia="Calibri"/>
          <w:lang w:bidi="ar-IQ"/>
        </w:rPr>
        <w:instrText xml:space="preserve"> ADDIN EN.CITE &lt;EndNote&gt;&lt;Cite&gt;&lt;Author&gt;Mahmoudi&lt;/Author&gt;&lt;Year&gt;2021&lt;/Year&gt;&lt;RecNum&gt;3&lt;/RecNum&gt;&lt;DisplayText&gt;[11]&lt;/DisplayText&gt;&lt;record&gt;&lt;rec-number&gt;3&lt;/rec-number&gt;&lt;foreign-keys&gt;&lt;key app="EN" db-id="apx5s0rd7wvfd3esfatpsrduxaf009ewddfr" timestamp="1757753554"&gt;3&lt;/key&gt;&lt;/foreign-keys&gt;&lt;ref-type name="Journal Article"&gt;17&lt;/ref-type&gt;&lt;contributors&gt;&lt;authors&gt;&lt;author&gt;Mahmoudi, Samira&lt;/author&gt;&lt;author&gt;Dehkordi, Mehrdad Mohammadpour&lt;/author&gt;&lt;author&gt;Asgarshamsi, Mohammad Hossein&lt;/author&gt;&lt;/authors&gt;&lt;/contributors&gt;&lt;titles&gt;&lt;title&gt;Density functional theory studies of the antioxidants—a review&lt;/title&gt;&lt;secondary-title&gt;Journal of Molecular Modeling&lt;/secondary-title&gt;&lt;/titles&gt;&lt;periodical&gt;&lt;full-title&gt;Journal of Molecular Modeling&lt;/full-title&gt;&lt;/periodical&gt;&lt;pages&gt;271&lt;/pages&gt;&lt;volume&gt;27&lt;/volume&gt;&lt;number&gt;9&lt;/number&gt;&lt;dates&gt;&lt;year&gt;2021&lt;/year&gt;&lt;/dates&gt;&lt;isbn&gt;1610-2940&lt;/isbn&gt;&lt;urls&gt;&lt;/urls&gt;&lt;/record&gt;&lt;/Cite&gt;&lt;/EndNote&gt;</w:instrText>
      </w:r>
      <w:r w:rsidRPr="00E81F9A">
        <w:rPr>
          <w:rFonts w:eastAsia="Calibri"/>
          <w:lang w:bidi="ar-IQ"/>
        </w:rPr>
        <w:fldChar w:fldCharType="separate"/>
      </w:r>
      <w:r w:rsidRPr="00E81F9A">
        <w:rPr>
          <w:rFonts w:eastAsia="Calibri"/>
          <w:lang w:bidi="ar-IQ"/>
        </w:rPr>
        <w:t>[11]</w:t>
      </w:r>
      <w:r w:rsidRPr="00E81F9A">
        <w:rPr>
          <w:rFonts w:eastAsia="Calibri"/>
          <w:lang w:bidi="ar-IQ"/>
        </w:rPr>
        <w:fldChar w:fldCharType="end"/>
      </w:r>
      <w:r w:rsidRPr="00E81F9A">
        <w:rPr>
          <w:rFonts w:eastAsia="Calibri"/>
          <w:lang w:bidi="ar-IQ"/>
        </w:rPr>
        <w:t>. This achieves a suitable balance between accuracy and time cost, making it suitable for this type of theoretical study</w:t>
      </w:r>
      <w:r>
        <w:rPr>
          <w:rFonts w:eastAsia="Calibri"/>
          <w:lang w:bidi="ar-IQ"/>
        </w:rPr>
        <w:t xml:space="preserve"> </w:t>
      </w:r>
      <w:r w:rsidRPr="00E81F9A">
        <w:rPr>
          <w:rFonts w:eastAsia="Calibri"/>
          <w:lang w:bidi="ar-IQ"/>
        </w:rPr>
        <w:fldChar w:fldCharType="begin"/>
      </w:r>
      <w:r w:rsidRPr="00E81F9A">
        <w:rPr>
          <w:rFonts w:eastAsia="Calibri"/>
          <w:lang w:bidi="ar-IQ"/>
        </w:rPr>
        <w:instrText xml:space="preserve"> ADDIN EN.CITE &lt;EndNote&gt;&lt;Cite&gt;&lt;Author&gt;Jensen&lt;/Author&gt;&lt;Year&gt;2017&lt;/Year&gt;&lt;RecNum&gt;2&lt;/RecNum&gt;&lt;DisplayText&gt;[10]&lt;/DisplayText&gt;&lt;record&gt;&lt;rec-number&gt;2&lt;/rec-number&gt;&lt;foreign-keys&gt;&lt;key app="EN" db-id="apx5s0rd7wvfd3esfatpsrduxaf009ewddfr" timestamp="1757753368"&gt;2&lt;/key&gt;&lt;/foreign-keys&gt;&lt;ref-type name="Book"&gt;6&lt;/ref-type&gt;&lt;contributors&gt;&lt;authors&gt;&lt;author&gt;Jensen, Frank&lt;/author&gt;&lt;/authors&gt;&lt;/contributors&gt;&lt;titles&gt;&lt;title&gt;Introduction to computational chemistry&lt;/title&gt;&lt;/titles&gt;&lt;dates&gt;&lt;year&gt;2017&lt;/year&gt;&lt;/dates&gt;&lt;publisher&gt;John wiley &amp;amp; sons&lt;/publisher&gt;&lt;isbn&gt;1118825993&lt;/isbn&gt;&lt;urls&gt;&lt;/urls&gt;&lt;/record&gt;&lt;/Cite&gt;&lt;/EndNote&gt;</w:instrText>
      </w:r>
      <w:r w:rsidRPr="00E81F9A">
        <w:rPr>
          <w:rFonts w:eastAsia="Calibri"/>
          <w:lang w:bidi="ar-IQ"/>
        </w:rPr>
        <w:fldChar w:fldCharType="separate"/>
      </w:r>
      <w:r w:rsidRPr="00E81F9A">
        <w:rPr>
          <w:rFonts w:eastAsia="Calibri"/>
          <w:lang w:bidi="ar-IQ"/>
        </w:rPr>
        <w:t>[10]</w:t>
      </w:r>
      <w:r w:rsidRPr="00E81F9A">
        <w:rPr>
          <w:rFonts w:eastAsia="Calibri"/>
          <w:lang w:bidi="ar-IQ"/>
        </w:rPr>
        <w:fldChar w:fldCharType="end"/>
      </w:r>
      <w:r w:rsidRPr="00E81F9A">
        <w:rPr>
          <w:rFonts w:eastAsia="Calibri"/>
          <w:lang w:bidi="ar-IQ"/>
        </w:rPr>
        <w:t xml:space="preserve"> </w:t>
      </w:r>
      <w:r w:rsidRPr="00E81F9A">
        <w:rPr>
          <w:rFonts w:eastAsia="Calibri" w:hint="cs"/>
          <w:rtl/>
          <w:lang w:bidi="ar-IQ"/>
        </w:rPr>
        <w:t>.</w:t>
      </w:r>
    </w:p>
    <w:p w14:paraId="3AD8DEF0" w14:textId="77777777" w:rsidR="00420C9D" w:rsidRPr="00E81F9A" w:rsidRDefault="00420C9D" w:rsidP="007F27A0">
      <w:pPr>
        <w:pStyle w:val="Paragraph"/>
        <w:rPr>
          <w:rFonts w:eastAsia="Calibri"/>
          <w:rtl/>
          <w:lang w:bidi="ar-IQ"/>
        </w:rPr>
      </w:pPr>
      <w:r>
        <w:rPr>
          <w:rFonts w:eastAsia="Calibri"/>
          <w:lang w:bidi="ar-IQ"/>
        </w:rPr>
        <w:t>T</w:t>
      </w:r>
      <w:r w:rsidRPr="00E81F9A">
        <w:rPr>
          <w:rFonts w:eastAsia="Calibri"/>
          <w:lang w:bidi="ar-IQ"/>
        </w:rPr>
        <w:t xml:space="preserve">he optical properties of the </w:t>
      </w:r>
      <w:r>
        <w:rPr>
          <w:rFonts w:eastAsia="Calibri"/>
          <w:lang w:bidi="ar-IQ"/>
        </w:rPr>
        <w:t>docking</w:t>
      </w:r>
      <w:r w:rsidRPr="00E81F9A">
        <w:rPr>
          <w:rFonts w:eastAsia="Calibri"/>
          <w:lang w:bidi="ar-IQ"/>
        </w:rPr>
        <w:t xml:space="preserve"> of the dye (</w:t>
      </w:r>
      <w:bookmarkStart w:id="7" w:name="_Hlk208665529"/>
      <w:r w:rsidRPr="003E38BD">
        <w:rPr>
          <w:rFonts w:eastAsia="Calibri"/>
          <w:vertAlign w:val="superscript"/>
          <w:lang w:bidi="ar-IQ"/>
        </w:rPr>
        <w:t>18</w:t>
      </w:r>
      <w:r w:rsidRPr="00E81F9A">
        <w:rPr>
          <w:rFonts w:eastAsia="Calibri"/>
          <w:lang w:bidi="ar-IQ"/>
        </w:rPr>
        <w:t>F-FDG</w:t>
      </w:r>
      <w:bookmarkEnd w:id="7"/>
      <w:r w:rsidRPr="00E81F9A">
        <w:rPr>
          <w:rFonts w:eastAsia="Calibri"/>
          <w:lang w:bidi="ar-IQ"/>
        </w:rPr>
        <w:t xml:space="preserve">) and the </w:t>
      </w:r>
      <w:r>
        <w:rPr>
          <w:rFonts w:eastAsia="Calibri"/>
          <w:lang w:bidi="ar-IQ"/>
        </w:rPr>
        <w:t xml:space="preserve">nano </w:t>
      </w:r>
      <w:r w:rsidRPr="00E81F9A">
        <w:rPr>
          <w:rFonts w:eastAsia="Calibri"/>
          <w:lang w:bidi="ar-IQ"/>
        </w:rPr>
        <w:t xml:space="preserve">perovskite </w:t>
      </w:r>
      <w:r w:rsidRPr="00436F1A">
        <w:rPr>
          <w:rFonts w:eastAsia="Calibri"/>
          <w:lang w:bidi="ar-IQ"/>
        </w:rPr>
        <w:t>(</w:t>
      </w:r>
      <w:proofErr w:type="spellStart"/>
      <w:r w:rsidRPr="00436F1A">
        <w:rPr>
          <w:rFonts w:eastAsia="Calibri"/>
          <w:lang w:bidi="ar-IQ"/>
        </w:rPr>
        <w:t>CaTiO</w:t>
      </w:r>
      <w:proofErr w:type="spellEnd"/>
      <w:proofErr w:type="gramStart"/>
      <w:r w:rsidRPr="00436F1A">
        <w:rPr>
          <w:rFonts w:ascii="Cambria Math" w:eastAsia="Calibri" w:hAnsi="Cambria Math" w:cs="Cambria Math"/>
          <w:lang w:bidi="ar-IQ"/>
        </w:rPr>
        <w:t>₃</w:t>
      </w:r>
      <w:r w:rsidRPr="00436F1A">
        <w:rPr>
          <w:rFonts w:eastAsia="Calibri"/>
          <w:lang w:bidi="ar-IQ"/>
        </w:rPr>
        <w:t>)</w:t>
      </w:r>
      <w:r w:rsidRPr="00436F1A">
        <w:rPr>
          <w:rFonts w:ascii="Cambria Math" w:eastAsia="Calibri" w:hAnsi="Cambria Math" w:cs="Cambria Math"/>
          <w:lang w:bidi="ar-IQ"/>
        </w:rPr>
        <w:t>₂</w:t>
      </w:r>
      <w:proofErr w:type="gramEnd"/>
      <w:r>
        <w:rPr>
          <w:rFonts w:eastAsia="Calibri"/>
          <w:lang w:bidi="ar-IQ"/>
        </w:rPr>
        <w:t xml:space="preserve"> </w:t>
      </w:r>
      <w:r w:rsidRPr="00E81F9A">
        <w:rPr>
          <w:rFonts w:eastAsia="Calibri"/>
          <w:lang w:bidi="ar-IQ"/>
        </w:rPr>
        <w:t>with the cancer</w:t>
      </w:r>
      <w:r>
        <w:rPr>
          <w:rFonts w:eastAsia="Calibri"/>
          <w:lang w:bidi="ar-IQ"/>
        </w:rPr>
        <w:t xml:space="preserve"> </w:t>
      </w:r>
      <w:r w:rsidRPr="00E81F9A">
        <w:rPr>
          <w:rFonts w:eastAsia="Calibri"/>
          <w:lang w:bidi="ar-IQ"/>
        </w:rPr>
        <w:t>-</w:t>
      </w:r>
      <w:r>
        <w:rPr>
          <w:rFonts w:eastAsia="Calibri"/>
          <w:lang w:bidi="ar-IQ"/>
        </w:rPr>
        <w:t xml:space="preserve"> docking</w:t>
      </w:r>
      <w:r w:rsidRPr="00E81F9A">
        <w:rPr>
          <w:rFonts w:eastAsia="Calibri"/>
          <w:lang w:bidi="ar-IQ"/>
        </w:rPr>
        <w:t xml:space="preserve"> drug were </w:t>
      </w:r>
      <w:proofErr w:type="spellStart"/>
      <w:r>
        <w:rPr>
          <w:rFonts w:eastAsia="Calibri"/>
          <w:lang w:bidi="ar-IQ"/>
        </w:rPr>
        <w:t>computat</w:t>
      </w:r>
      <w:r w:rsidRPr="00E81F9A">
        <w:rPr>
          <w:rFonts w:eastAsia="Calibri"/>
          <w:lang w:bidi="ar-IQ"/>
        </w:rPr>
        <w:t>ed</w:t>
      </w:r>
      <w:proofErr w:type="spellEnd"/>
      <w:r w:rsidRPr="00E81F9A">
        <w:rPr>
          <w:rFonts w:eastAsia="Calibri"/>
          <w:lang w:bidi="ar-IQ"/>
        </w:rPr>
        <w:t xml:space="preserve"> using TD-DFT. The UV-Vis absorption spectrum showed the absence of strong transitions in the visible range (400–700 nm), a prerequisite for </w:t>
      </w:r>
      <w:proofErr w:type="spellStart"/>
      <w:r w:rsidRPr="00E81F9A">
        <w:rPr>
          <w:rFonts w:eastAsia="Calibri"/>
          <w:lang w:bidi="ar-IQ"/>
        </w:rPr>
        <w:t>photosafety</w:t>
      </w:r>
      <w:proofErr w:type="spellEnd"/>
      <w:r w:rsidRPr="00E81F9A">
        <w:rPr>
          <w:rFonts w:eastAsia="Calibri"/>
          <w:lang w:bidi="ar-IQ"/>
        </w:rPr>
        <w:t xml:space="preserve"> in clinical applications</w:t>
      </w:r>
      <w:r w:rsidRPr="00E81F9A">
        <w:rPr>
          <w:rFonts w:eastAsia="Calibri"/>
          <w:lang w:bidi="ar-IQ"/>
        </w:rPr>
        <w:fldChar w:fldCharType="begin"/>
      </w:r>
      <w:r w:rsidRPr="00E81F9A">
        <w:rPr>
          <w:rFonts w:eastAsia="Calibri"/>
          <w:lang w:bidi="ar-IQ"/>
        </w:rPr>
        <w:instrText xml:space="preserve"> ADDIN EN.CITE &lt;EndNote&gt;&lt;Cite&gt;&lt;Author&gt;Sathish&lt;/Author&gt;&lt;Year&gt;2021&lt;/Year&gt;&lt;RecNum&gt;1&lt;/RecNum&gt;&lt;DisplayText&gt;[12]&lt;/DisplayText&gt;&lt;record&gt;&lt;rec-number&gt;1&lt;/rec-number&gt;&lt;foreign-keys&gt;&lt;key app="EN" db-id="pedv9wdebsaw53eaeduvz9e2evv0zptrdw2s" timestamp="1757757042"&gt;1&lt;/key&gt;&lt;/foreign-keys&gt;&lt;ref-type name="Journal Article"&gt;17&lt;/ref-type&gt;&lt;contributors&gt;&lt;authors&gt;&lt;author&gt;Sathish, M&lt;/author&gt;&lt;author&gt;Rajasekaran, L&lt;/author&gt;&lt;author&gt;Shanthi, D&lt;/author&gt;&lt;author&gt;Kanagathara, N&lt;/author&gt;&lt;author&gt;Sarala, S&lt;/author&gt;&lt;author&gt;Muthu, S&lt;/author&gt;&lt;/authors&gt;&lt;/contributors&gt;&lt;titles&gt;&lt;title&gt;Spectroscopic (FT-IR, FT-Raman, UV-Vis) molecular structure, electronic, molecular docking, and thermodynamic investigations of indole-3-carboxylic acid by DFT method&lt;/title&gt;&lt;secondary-title&gt;Journal of Molecular Structure&lt;/secondary-title&gt;&lt;/titles&gt;&lt;periodical&gt;&lt;full-title&gt;Journal of Molecular Structure&lt;/full-title&gt;&lt;/periodical&gt;&lt;pages&gt;130182&lt;/pages&gt;&lt;volume&gt;1234&lt;/volume&gt;&lt;dates&gt;&lt;year&gt;2021&lt;/year&gt;&lt;/dates&gt;&lt;isbn&gt;0022-2860&lt;/isbn&gt;&lt;urls&gt;&lt;/urls&gt;&lt;/record&gt;&lt;/Cite&gt;&lt;/EndNote&gt;</w:instrText>
      </w:r>
      <w:r w:rsidRPr="00E81F9A">
        <w:rPr>
          <w:rFonts w:eastAsia="Calibri"/>
          <w:lang w:bidi="ar-IQ"/>
        </w:rPr>
        <w:fldChar w:fldCharType="separate"/>
      </w:r>
      <w:r w:rsidRPr="00E81F9A">
        <w:rPr>
          <w:rFonts w:eastAsia="Calibri"/>
          <w:lang w:bidi="ar-IQ"/>
        </w:rPr>
        <w:t>[12]</w:t>
      </w:r>
      <w:r w:rsidRPr="00E81F9A">
        <w:rPr>
          <w:rFonts w:eastAsia="Calibri"/>
          <w:lang w:bidi="ar-IQ"/>
        </w:rPr>
        <w:fldChar w:fldCharType="end"/>
      </w:r>
      <w:r w:rsidRPr="00E81F9A">
        <w:rPr>
          <w:rFonts w:eastAsia="Calibri"/>
          <w:lang w:bidi="ar-IQ"/>
        </w:rPr>
        <w:t xml:space="preserve">. Infrared (IR) and Raman spectra were also </w:t>
      </w:r>
      <w:proofErr w:type="spellStart"/>
      <w:r>
        <w:rPr>
          <w:rFonts w:eastAsia="Calibri"/>
          <w:lang w:bidi="ar-IQ"/>
        </w:rPr>
        <w:t>comput</w:t>
      </w:r>
      <w:r w:rsidRPr="00E81F9A">
        <w:rPr>
          <w:rFonts w:eastAsia="Calibri"/>
          <w:lang w:bidi="ar-IQ"/>
        </w:rPr>
        <w:t>ated</w:t>
      </w:r>
      <w:proofErr w:type="spellEnd"/>
      <w:r w:rsidRPr="00E81F9A">
        <w:rPr>
          <w:rFonts w:eastAsia="Calibri"/>
          <w:lang w:bidi="ar-IQ"/>
        </w:rPr>
        <w:t xml:space="preserve"> to verify the stability of the structures and the absence of imaginary frequencies, proving that they are located at a minimum point on the potential energy surface</w:t>
      </w:r>
      <w:r>
        <w:rPr>
          <w:rFonts w:eastAsia="Calibri"/>
          <w:lang w:bidi="ar-IQ"/>
        </w:rPr>
        <w:t xml:space="preserve"> </w:t>
      </w:r>
      <w:r w:rsidRPr="00E81F9A">
        <w:rPr>
          <w:rFonts w:eastAsia="Calibri"/>
          <w:lang w:bidi="ar-IQ"/>
        </w:rPr>
        <w:fldChar w:fldCharType="begin"/>
      </w:r>
      <w:r w:rsidRPr="00E81F9A">
        <w:rPr>
          <w:rFonts w:eastAsia="Calibri"/>
          <w:lang w:bidi="ar-IQ"/>
        </w:rPr>
        <w:instrText xml:space="preserve"> ADDIN EN.CITE &lt;EndNote&gt;&lt;Cite&gt;&lt;Author&gt;Rahman&lt;/Author&gt;&lt;Year&gt;2025&lt;/Year&gt;&lt;RecNum&gt;2&lt;/RecNum&gt;&lt;DisplayText&gt;[13, 14]&lt;/DisplayText&gt;&lt;record&gt;&lt;rec-number&gt;2&lt;/rec-number&gt;&lt;foreign-keys&gt;&lt;key app="EN" db-id="pedv9wdebsaw53eaeduvz9e2evv0zptrdw2s" timestamp="1757757191"&gt;2&lt;/key&gt;&lt;/foreign-keys&gt;&lt;ref-type name="Journal Article"&gt;17&lt;/ref-type&gt;&lt;contributors&gt;&lt;authors&gt;&lt;author&gt;Rahman, Md Arifur&lt;/author&gt;&lt;author&gt;Rejve, SM&lt;/author&gt;&lt;author&gt;Niloy, Md Ruhul Amin&lt;/author&gt;&lt;author&gt;Afsari, Mim&lt;/author&gt;&lt;author&gt;Sawon, Umma Hany&lt;/author&gt;&lt;author&gt;Akter, Fahima&lt;/author&gt;&lt;author&gt;Miah, Rafi Ahmed&lt;/author&gt;&lt;author&gt;Hasan, Md Byzed&lt;/author&gt;&lt;author&gt;Uzzaman, Monir&lt;/author&gt;&lt;/authors&gt;&lt;/contributors&gt;&lt;titles&gt;&lt;title&gt;Thermochemical, spectral and biological activity prediction of some methylpyridine derivatives: a computational approach&lt;/title&gt;&lt;secondary-title&gt;Discover Chemistry&lt;/secondary-title&gt;&lt;/titles&gt;&lt;periodical&gt;&lt;full-title&gt;Discover Chemistry&lt;/full-title&gt;&lt;/periodical&gt;&lt;pages&gt;1-18&lt;/pages&gt;&lt;volume&gt;2&lt;/volume&gt;&lt;number&gt;1&lt;/number&gt;&lt;dates&gt;&lt;year&gt;2025&lt;/year&gt;&lt;/dates&gt;&lt;isbn&gt;3005-1193&lt;/isbn&gt;&lt;urls&gt;&lt;/urls&gt;&lt;/record&gt;&lt;/Cite&gt;&lt;Cite&gt;&lt;Author&gt;Mahdavifar&lt;/Author&gt;&lt;Year&gt;2014&lt;/Year&gt;&lt;RecNum&gt;3&lt;/RecNum&gt;&lt;record&gt;&lt;rec-number&gt;3&lt;/rec-number&gt;&lt;foreign-keys&gt;&lt;key app="EN" db-id="pedv9wdebsaw53eaeduvz9e2evv0zptrdw2s" timestamp="1757757240"&gt;3&lt;/key&gt;&lt;/foreign-keys&gt;&lt;ref-type name="Journal Article"&gt;17&lt;/ref-type&gt;&lt;contributors&gt;&lt;authors&gt;&lt;author&gt;Mahdavifar, Zabiollah&lt;/author&gt;&lt;author&gt;Moridzadeh, Rezvan&lt;/author&gt;&lt;/authors&gt;&lt;/contributors&gt;&lt;titles&gt;&lt;title&gt;Theoretical prediction of encapsulation and adsorption of platinum-anticancer drugs into single walled boron nitride and carbon nanotubes&lt;/title&gt;&lt;secondary-title&gt;Journal of Inclusion Phenomena and Macrocyclic Chemistry&lt;/secondary-title&gt;&lt;/titles&gt;&lt;periodical&gt;&lt;full-title&gt;Journal of Inclusion Phenomena and Macrocyclic Chemistry&lt;/full-title&gt;&lt;/periodical&gt;&lt;pages&gt;443-457&lt;/pages&gt;&lt;volume&gt;79&lt;/volume&gt;&lt;number&gt;3&lt;/number&gt;&lt;dates&gt;&lt;year&gt;2014&lt;/year&gt;&lt;/dates&gt;&lt;isbn&gt;1388-3127&lt;/isbn&gt;&lt;urls&gt;&lt;/urls&gt;&lt;/record&gt;&lt;/Cite&gt;&lt;/EndNote&gt;</w:instrText>
      </w:r>
      <w:r w:rsidRPr="00E81F9A">
        <w:rPr>
          <w:rFonts w:eastAsia="Calibri"/>
          <w:lang w:bidi="ar-IQ"/>
        </w:rPr>
        <w:fldChar w:fldCharType="separate"/>
      </w:r>
      <w:r w:rsidRPr="00E81F9A">
        <w:rPr>
          <w:rFonts w:eastAsia="Calibri"/>
          <w:lang w:bidi="ar-IQ"/>
        </w:rPr>
        <w:t>[13, 14]</w:t>
      </w:r>
      <w:r w:rsidRPr="00E81F9A">
        <w:rPr>
          <w:rFonts w:eastAsia="Calibri"/>
          <w:lang w:bidi="ar-IQ"/>
        </w:rPr>
        <w:fldChar w:fldCharType="end"/>
      </w:r>
      <w:r w:rsidRPr="00E81F9A">
        <w:rPr>
          <w:rFonts w:eastAsia="Calibri"/>
          <w:lang w:bidi="ar-IQ"/>
        </w:rPr>
        <w:t xml:space="preserve"> .</w:t>
      </w:r>
    </w:p>
    <w:p w14:paraId="2AA913FD" w14:textId="677DE5C4" w:rsidR="00420C9D" w:rsidRDefault="00420C9D" w:rsidP="007F27A0">
      <w:pPr>
        <w:pStyle w:val="Paragraph"/>
        <w:rPr>
          <w:rFonts w:eastAsia="Calibri"/>
          <w:lang w:bidi="ar-IQ"/>
        </w:rPr>
      </w:pPr>
      <w:r w:rsidRPr="00E81F9A">
        <w:rPr>
          <w:rFonts w:eastAsia="Calibri"/>
          <w:lang w:bidi="ar-IQ"/>
        </w:rPr>
        <w:t xml:space="preserve">In addition, the thermodynamic properties were </w:t>
      </w:r>
      <w:proofErr w:type="spellStart"/>
      <w:r>
        <w:rPr>
          <w:rFonts w:eastAsia="Calibri"/>
          <w:lang w:bidi="ar-IQ"/>
        </w:rPr>
        <w:t>comput</w:t>
      </w:r>
      <w:r w:rsidRPr="00E81F9A">
        <w:rPr>
          <w:rFonts w:eastAsia="Calibri"/>
          <w:lang w:bidi="ar-IQ"/>
        </w:rPr>
        <w:t>ated</w:t>
      </w:r>
      <w:proofErr w:type="spellEnd"/>
      <w:r w:rsidRPr="00E81F9A">
        <w:rPr>
          <w:rFonts w:eastAsia="Calibri"/>
          <w:lang w:bidi="ar-IQ"/>
        </w:rPr>
        <w:t xml:space="preserve"> by calculating the free energy (ΔG), enthalpy (ΔH), and entropy (ΔS), according to equations previously applied in similar studies</w:t>
      </w:r>
      <w:r>
        <w:rPr>
          <w:rFonts w:eastAsia="Calibri"/>
          <w:lang w:bidi="ar-IQ"/>
        </w:rPr>
        <w:t xml:space="preserve"> </w:t>
      </w:r>
      <w:r w:rsidRPr="00E81F9A">
        <w:rPr>
          <w:rFonts w:eastAsia="Calibri"/>
          <w:lang w:bidi="ar-IQ"/>
        </w:rPr>
        <w:fldChar w:fldCharType="begin"/>
      </w:r>
      <w:r w:rsidRPr="00E81F9A">
        <w:rPr>
          <w:rFonts w:eastAsia="Calibri"/>
          <w:lang w:bidi="ar-IQ"/>
        </w:rPr>
        <w:instrText xml:space="preserve"> ADDIN EN.CITE &lt;EndNote&gt;&lt;Cite&gt;&lt;Author&gt;Mahdavifar&lt;/Author&gt;&lt;Year&gt;2014&lt;/Year&gt;&lt;RecNum&gt;3&lt;/RecNum&gt;&lt;DisplayText&gt;[14, 15]&lt;/DisplayText&gt;&lt;record&gt;&lt;rec-number&gt;3&lt;/rec-number&gt;&lt;foreign-keys&gt;&lt;key app="EN" db-id="pedv9wdebsaw53eaeduvz9e2evv0zptrdw2s" timestamp="1757757240"&gt;3&lt;/key&gt;&lt;/foreign-keys&gt;&lt;ref-type name="Journal Article"&gt;17&lt;/ref-type&gt;&lt;contributors&gt;&lt;authors&gt;&lt;author&gt;Mahdavifar, Zabiollah&lt;/author&gt;&lt;author&gt;Moridzadeh, Rezvan&lt;/author&gt;&lt;/authors&gt;&lt;/contributors&gt;&lt;titles&gt;&lt;title&gt;Theoretical prediction of encapsulation and adsorption of platinum-anticancer drugs into single walled boron nitride and carbon nanotubes&lt;/title&gt;&lt;secondary-title&gt;Journal of Inclusion Phenomena and Macrocyclic Chemistry&lt;/secondary-title&gt;&lt;/titles&gt;&lt;periodical&gt;&lt;full-title&gt;Journal of Inclusion Phenomena and Macrocyclic Chemistry&lt;/full-title&gt;&lt;/periodical&gt;&lt;pages&gt;443-457&lt;/pages&gt;&lt;volume&gt;79&lt;/volume&gt;&lt;number&gt;3&lt;/number&gt;&lt;dates&gt;&lt;year&gt;2014&lt;/year&gt;&lt;/dates&gt;&lt;isbn&gt;1388-3127&lt;/isbn&gt;&lt;urls&gt;&lt;/urls&gt;&lt;/record&gt;&lt;/Cite&gt;&lt;Cite&gt;&lt;Author&gt;Jaber&lt;/Author&gt;&lt;Year&gt;2024&lt;/Year&gt;&lt;RecNum&gt;4&lt;/RecNum&gt;&lt;record&gt;&lt;rec-number&gt;4&lt;/rec-number&gt;&lt;foreign-keys&gt;&lt;key app="EN" db-id="pedv9wdebsaw53eaeduvz9e2evv0zptrdw2s" timestamp="1757757305"&gt;4&lt;/key&gt;&lt;/foreign-keys&gt;&lt;ref-type name="Conference Proceedings"&gt;10&lt;/ref-type&gt;&lt;contributors&gt;&lt;authors&gt;&lt;author&gt;Jaber, Shimaa A&lt;/author&gt;&lt;author&gt;Kadhim, Bahjat B&lt;/author&gt;&lt;author&gt;Mohi, Ali Taher&lt;/author&gt;&lt;/authors&gt;&lt;/contributors&gt;&lt;titles&gt;&lt;title&gt;Simulation investigations of thermodynamic properties for silica nanoparticles and voxelotor docking effect with hemoglobin for sickle cell disease&lt;/title&gt;&lt;secondary-title&gt;AIP Conference Proceedings&lt;/secondary-title&gt;&lt;/titles&gt;&lt;pages&gt;110006&lt;/pages&gt;&lt;volume&gt;3229&lt;/volume&gt;&lt;number&gt;1&lt;/number&gt;&lt;dates&gt;&lt;year&gt;2024&lt;/year&gt;&lt;/dates&gt;&lt;publisher&gt;AIP Publishing LLC&lt;/publisher&gt;&lt;isbn&gt;0094-243X&lt;/isbn&gt;&lt;urls&gt;&lt;/urls&gt;&lt;/record&gt;&lt;/Cite&gt;&lt;/EndNote&gt;</w:instrText>
      </w:r>
      <w:r w:rsidRPr="00E81F9A">
        <w:rPr>
          <w:rFonts w:eastAsia="Calibri"/>
          <w:lang w:bidi="ar-IQ"/>
        </w:rPr>
        <w:fldChar w:fldCharType="separate"/>
      </w:r>
      <w:r w:rsidRPr="00E81F9A">
        <w:rPr>
          <w:rFonts w:eastAsia="Calibri"/>
          <w:lang w:bidi="ar-IQ"/>
        </w:rPr>
        <w:t>[14, 15]</w:t>
      </w:r>
      <w:r w:rsidRPr="00E81F9A">
        <w:rPr>
          <w:rFonts w:eastAsia="Calibri"/>
          <w:lang w:bidi="ar-IQ"/>
        </w:rPr>
        <w:fldChar w:fldCharType="end"/>
      </w:r>
      <w:r w:rsidRPr="00E81F9A">
        <w:rPr>
          <w:rFonts w:eastAsia="Calibri"/>
          <w:lang w:bidi="ar-IQ"/>
        </w:rPr>
        <w:t xml:space="preserve">. Binding and adsorption </w:t>
      </w:r>
      <w:r w:rsidRPr="00E81F9A">
        <w:rPr>
          <w:rFonts w:eastAsia="Calibri"/>
          <w:lang w:bidi="ar-IQ"/>
        </w:rPr>
        <w:lastRenderedPageBreak/>
        <w:t>energies were also calculated to determine the strength of the drug-carrier/dye interaction, while dissociation and mixing energies were calculated to estimate the stability of the formed complexes, based on equations used in previously published studies</w:t>
      </w:r>
      <w:r>
        <w:rPr>
          <w:rFonts w:eastAsia="Calibri"/>
          <w:lang w:bidi="ar-IQ"/>
        </w:rPr>
        <w:t xml:space="preserve"> </w:t>
      </w:r>
      <w:r w:rsidRPr="00E81F9A">
        <w:rPr>
          <w:rFonts w:eastAsia="Calibri"/>
          <w:lang w:bidi="ar-IQ"/>
        </w:rPr>
        <w:fldChar w:fldCharType="begin"/>
      </w:r>
      <w:r w:rsidRPr="00E81F9A">
        <w:rPr>
          <w:rFonts w:eastAsia="Calibri"/>
          <w:lang w:bidi="ar-IQ"/>
        </w:rPr>
        <w:instrText xml:space="preserve"> ADDIN EN.CITE &lt;EndNote&gt;&lt;Cite&gt;&lt;Author&gt;Mahdavifar&lt;/Author&gt;&lt;Year&gt;2014&lt;/Year&gt;&lt;RecNum&gt;3&lt;/RecNum&gt;&lt;DisplayText&gt;[14]&lt;/DisplayText&gt;&lt;record&gt;&lt;rec-number&gt;3&lt;/rec-number&gt;&lt;foreign-keys&gt;&lt;key app="EN" db-id="pedv9wdebsaw53eaeduvz9e2evv0zptrdw2s" timestamp="1757757240"&gt;3&lt;/key&gt;&lt;/foreign-keys&gt;&lt;ref-type name="Journal Article"&gt;17&lt;/ref-type&gt;&lt;contributors&gt;&lt;authors&gt;&lt;author&gt;Mahdavifar, Zabiollah&lt;/author&gt;&lt;author&gt;Moridzadeh, Rezvan&lt;/author&gt;&lt;/authors&gt;&lt;/contributors&gt;&lt;titles&gt;&lt;title&gt;Theoretical prediction of encapsulation and adsorption of platinum-anticancer drugs into single walled boron nitride and carbon nanotubes&lt;/title&gt;&lt;secondary-title&gt;Journal of Inclusion Phenomena and Macrocyclic Chemistry&lt;/secondary-title&gt;&lt;/titles&gt;&lt;periodical&gt;&lt;full-title&gt;Journal of Inclusion Phenomena and Macrocyclic Chemistry&lt;/full-title&gt;&lt;/periodical&gt;&lt;pages&gt;443-457&lt;/pages&gt;&lt;volume&gt;79&lt;/volume&gt;&lt;number&gt;3&lt;/number&gt;&lt;dates&gt;&lt;year&gt;2014&lt;/year&gt;&lt;/dates&gt;&lt;isbn&gt;1388-3127&lt;/isbn&gt;&lt;urls&gt;&lt;/urls&gt;&lt;/record&gt;&lt;/Cite&gt;&lt;/EndNote&gt;</w:instrText>
      </w:r>
      <w:r w:rsidRPr="00E81F9A">
        <w:rPr>
          <w:rFonts w:eastAsia="Calibri"/>
          <w:lang w:bidi="ar-IQ"/>
        </w:rPr>
        <w:fldChar w:fldCharType="separate"/>
      </w:r>
      <w:r w:rsidRPr="00E81F9A">
        <w:rPr>
          <w:rFonts w:eastAsia="Calibri"/>
          <w:lang w:bidi="ar-IQ"/>
        </w:rPr>
        <w:t>[14]</w:t>
      </w:r>
      <w:r w:rsidRPr="00E81F9A">
        <w:rPr>
          <w:rFonts w:eastAsia="Calibri"/>
          <w:lang w:bidi="ar-IQ"/>
        </w:rPr>
        <w:fldChar w:fldCharType="end"/>
      </w:r>
      <w:r w:rsidRPr="00E81F9A">
        <w:rPr>
          <w:rFonts w:eastAsia="Calibri"/>
          <w:lang w:bidi="ar-IQ"/>
        </w:rPr>
        <w:t>.</w:t>
      </w:r>
      <w:r>
        <w:rPr>
          <w:rFonts w:eastAsia="Calibri"/>
          <w:lang w:bidi="ar-IQ"/>
        </w:rPr>
        <w:t xml:space="preserve"> </w:t>
      </w:r>
      <w:r w:rsidRPr="00E81F9A">
        <w:rPr>
          <w:rFonts w:eastAsia="Calibri"/>
          <w:lang w:bidi="ar-IQ"/>
        </w:rPr>
        <w:t xml:space="preserve">These integrated calculations (optical, vibrational, thermodynamic, and binding) provided a comprehensive characterization of the studied structures to identify the potential of the </w:t>
      </w:r>
      <w:r>
        <w:rPr>
          <w:rFonts w:eastAsia="Calibri"/>
          <w:lang w:bidi="ar-IQ"/>
        </w:rPr>
        <w:t>nano</w:t>
      </w:r>
      <w:r w:rsidRPr="00E81F9A">
        <w:rPr>
          <w:rFonts w:eastAsia="Calibri"/>
          <w:lang w:bidi="ar-IQ"/>
        </w:rPr>
        <w:t xml:space="preserve"> perovskite as promising carriers for intravenous drug delivery, while ensuring stability and biological safety.</w:t>
      </w:r>
    </w:p>
    <w:p w14:paraId="4BA974FB" w14:textId="77777777" w:rsidR="00372B21" w:rsidRDefault="00372B21" w:rsidP="00372B21">
      <w:pPr>
        <w:pStyle w:val="Paragraph"/>
        <w:ind w:firstLine="0"/>
        <w:rPr>
          <w:rFonts w:eastAsia="Calibri"/>
          <w:lang w:bidi="ar-IQ"/>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46"/>
      </w:tblGrid>
      <w:tr w:rsidR="00372B21" w14:paraId="2BF373A5" w14:textId="77777777" w:rsidTr="0018477B">
        <w:trPr>
          <w:jc w:val="center"/>
        </w:trPr>
        <w:tc>
          <w:tcPr>
            <w:tcW w:w="7423" w:type="dxa"/>
          </w:tcPr>
          <w:p w14:paraId="5D7D5359" w14:textId="49147B00" w:rsidR="00372B21" w:rsidRDefault="00372B21" w:rsidP="00372B21">
            <w:pPr>
              <w:pStyle w:val="Paragraph"/>
              <w:ind w:firstLine="0"/>
              <w:rPr>
                <w:rFonts w:eastAsia="Calibri"/>
                <w:lang w:bidi="ar-IQ"/>
              </w:rPr>
            </w:pPr>
            <w:r>
              <w:rPr>
                <w:noProof/>
              </w:rPr>
              <mc:AlternateContent>
                <mc:Choice Requires="wps">
                  <w:drawing>
                    <wp:inline distT="0" distB="0" distL="0" distR="0" wp14:anchorId="31BF77E8" wp14:editId="611846E7">
                      <wp:extent cx="4563110" cy="1470660"/>
                      <wp:effectExtent l="0" t="0" r="27940" b="15240"/>
                      <wp:docPr id="872497477" name="Text Box 872497477"/>
                      <wp:cNvGraphicFramePr/>
                      <a:graphic xmlns:a="http://schemas.openxmlformats.org/drawingml/2006/main">
                        <a:graphicData uri="http://schemas.microsoft.com/office/word/2010/wordprocessingShape">
                          <wps:wsp>
                            <wps:cNvSpPr txBox="1"/>
                            <wps:spPr>
                              <a:xfrm>
                                <a:off x="0" y="0"/>
                                <a:ext cx="4563110" cy="1470660"/>
                              </a:xfrm>
                              <a:prstGeom prst="rect">
                                <a:avLst/>
                              </a:prstGeom>
                              <a:noFill/>
                              <a:ln w="6350">
                                <a:solidFill>
                                  <a:prstClr val="black"/>
                                </a:solidFill>
                              </a:ln>
                              <a:effectLst/>
                            </wps:spPr>
                            <wps:txbx>
                              <w:txbxContent>
                                <w:p w14:paraId="7C1B0A23" w14:textId="77777777" w:rsidR="00372B21" w:rsidRPr="00DB7990" w:rsidRDefault="00372B21" w:rsidP="00372B21">
                                  <w:pPr>
                                    <w:pStyle w:val="Figure"/>
                                    <w:rPr>
                                      <w:rFonts w:eastAsia="Calibri"/>
                                      <w:lang w:bidi="ar-IQ"/>
                                    </w:rPr>
                                  </w:pPr>
                                  <w:r w:rsidRPr="008C58EA">
                                    <w:rPr>
                                      <w:rFonts w:eastAsia="Calibri"/>
                                      <w:noProof/>
                                      <w:kern w:val="2"/>
                                      <w:sz w:val="24"/>
                                      <w:szCs w:val="24"/>
                                      <w:rtl/>
                                      <w14:ligatures w14:val="standardContextual"/>
                                    </w:rPr>
                                    <w:drawing>
                                      <wp:inline distT="0" distB="0" distL="0" distR="0" wp14:anchorId="3460D155" wp14:editId="5F6BF27E">
                                        <wp:extent cx="4135395" cy="1416908"/>
                                        <wp:effectExtent l="0" t="0" r="0" b="0"/>
                                        <wp:docPr id="4992128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408978" name="Picture 1838408978"/>
                                                <pic:cNvPicPr/>
                                              </pic:nvPicPr>
                                              <pic:blipFill>
                                                <a:blip r:embed="rId12">
                                                  <a:extLst>
                                                    <a:ext uri="{28A0092B-C50C-407E-A947-70E740481C1C}">
                                                      <a14:useLocalDpi xmlns:a14="http://schemas.microsoft.com/office/drawing/2010/main" val="0"/>
                                                    </a:ext>
                                                  </a:extLst>
                                                </a:blip>
                                                <a:stretch>
                                                  <a:fillRect/>
                                                </a:stretch>
                                              </pic:blipFill>
                                              <pic:spPr>
                                                <a:xfrm>
                                                  <a:off x="0" y="0"/>
                                                  <a:ext cx="4135395" cy="141690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inline>
                  </w:drawing>
                </mc:Choice>
                <mc:Fallback>
                  <w:pict>
                    <v:shape w14:anchorId="31BF77E8" id="Text Box 872497477" o:spid="_x0000_s1027" type="#_x0000_t202" style="width:359.3pt;height:11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" filled="f" strokeweight=".5pt">
                      <v:textbox>
                        <w:txbxContent>
                          <w:p w14:paraId="7C1B0A23" w14:textId="77777777" w:rsidR="00372B21" w:rsidRPr="00DB7990" w:rsidRDefault="00372B21" w:rsidP="00372B21">
                            <w:pPr>
                              <w:pStyle w:val="Figure"/>
                              <w:rPr>
                                <w:rFonts w:eastAsia="Calibri"/>
                                <w:lang w:bidi="ar-IQ"/>
                              </w:rPr>
                            </w:pPr>
                            <w:r w:rsidRPr="008C58EA">
                              <w:rPr>
                                <w:rFonts w:eastAsia="Calibri"/>
                                <w:noProof/>
                                <w:kern w:val="2"/>
                                <w:sz w:val="24"/>
                                <w:szCs w:val="24"/>
                                <w:rtl/>
                                <w14:ligatures w14:val="standardContextual"/>
                              </w:rPr>
                              <w:drawing>
                                <wp:inline distT="0" distB="0" distL="0" distR="0" wp14:anchorId="3460D155" wp14:editId="5F6BF27E">
                                  <wp:extent cx="4135395" cy="1416908"/>
                                  <wp:effectExtent l="0" t="0" r="0" b="0"/>
                                  <wp:docPr id="4992128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408978" name="Picture 1838408978"/>
                                          <pic:cNvPicPr/>
                                        </pic:nvPicPr>
                                        <pic:blipFill>
                                          <a:blip r:embed="rId13">
                                            <a:extLst>
                                              <a:ext uri="{28A0092B-C50C-407E-A947-70E740481C1C}">
                                                <a14:useLocalDpi xmlns:a14="http://schemas.microsoft.com/office/drawing/2010/main" val="0"/>
                                              </a:ext>
                                            </a:extLst>
                                          </a:blip>
                                          <a:stretch>
                                            <a:fillRect/>
                                          </a:stretch>
                                        </pic:blipFill>
                                        <pic:spPr>
                                          <a:xfrm>
                                            <a:off x="0" y="0"/>
                                            <a:ext cx="4135395" cy="1416908"/>
                                          </a:xfrm>
                                          <a:prstGeom prst="rect">
                                            <a:avLst/>
                                          </a:prstGeom>
                                        </pic:spPr>
                                      </pic:pic>
                                    </a:graphicData>
                                  </a:graphic>
                                </wp:inline>
                              </w:drawing>
                            </w:r>
                          </w:p>
                        </w:txbxContent>
                      </v:textbox>
                      <w10:anchorlock/>
                    </v:shape>
                  </w:pict>
                </mc:Fallback>
              </mc:AlternateContent>
            </w:r>
          </w:p>
        </w:tc>
      </w:tr>
    </w:tbl>
    <w:p w14:paraId="4C74AEB2" w14:textId="5F0720CB" w:rsidR="008C58EA" w:rsidRDefault="008C58EA" w:rsidP="00E25C32">
      <w:pPr>
        <w:pStyle w:val="FigureCaption"/>
        <w:spacing w:before="0"/>
        <w:rPr>
          <w:rFonts w:asciiTheme="majorBidi" w:eastAsia="Calibri" w:hAnsiTheme="majorBidi" w:cstheme="majorBidi"/>
          <w:lang w:bidi="ar-IQ"/>
        </w:rPr>
      </w:pPr>
      <w:r w:rsidRPr="00570DD7">
        <w:rPr>
          <w:rFonts w:asciiTheme="majorBidi" w:eastAsia="MS Mincho" w:hAnsiTheme="majorBidi" w:cstheme="majorBidi"/>
          <w:b/>
          <w:bCs/>
          <w:szCs w:val="18"/>
        </w:rPr>
        <w:t xml:space="preserve">FIGURE </w:t>
      </w:r>
      <w:r>
        <w:rPr>
          <w:rFonts w:asciiTheme="majorBidi" w:eastAsia="MS Mincho" w:hAnsiTheme="majorBidi" w:cstheme="majorBidi" w:hint="cs"/>
          <w:b/>
          <w:bCs/>
          <w:szCs w:val="18"/>
          <w:rtl/>
        </w:rPr>
        <w:t>2</w:t>
      </w:r>
      <w:r w:rsidRPr="00570DD7">
        <w:rPr>
          <w:rFonts w:asciiTheme="majorBidi" w:eastAsia="MS Mincho" w:hAnsiTheme="majorBidi" w:cstheme="majorBidi"/>
          <w:b/>
          <w:bCs/>
          <w:szCs w:val="18"/>
        </w:rPr>
        <w:t>.</w:t>
      </w:r>
      <w:r w:rsidRPr="00570DD7">
        <w:rPr>
          <w:rFonts w:asciiTheme="majorBidi" w:eastAsia="Calibri" w:hAnsiTheme="majorBidi" w:cstheme="majorBidi"/>
          <w:b/>
          <w:bCs/>
        </w:rPr>
        <w:t xml:space="preserve"> </w:t>
      </w:r>
      <w:r w:rsidRPr="008C58EA">
        <w:rPr>
          <w:rFonts w:asciiTheme="majorBidi" w:eastAsia="Calibri" w:hAnsiTheme="majorBidi" w:cstheme="majorBidi"/>
        </w:rPr>
        <w:t xml:space="preserve">Optimal geometric representation of the </w:t>
      </w:r>
      <w:r w:rsidR="00436F1A">
        <w:rPr>
          <w:rFonts w:asciiTheme="majorBidi" w:eastAsia="Calibri" w:hAnsiTheme="majorBidi" w:cstheme="majorBidi"/>
        </w:rPr>
        <w:t xml:space="preserve">nano </w:t>
      </w:r>
      <w:r w:rsidRPr="008C58EA">
        <w:rPr>
          <w:rFonts w:asciiTheme="majorBidi" w:eastAsia="Calibri" w:hAnsiTheme="majorBidi" w:cstheme="majorBidi"/>
        </w:rPr>
        <w:t xml:space="preserve">perovskite </w:t>
      </w:r>
      <w:r w:rsidR="00436F1A" w:rsidRPr="00436F1A">
        <w:rPr>
          <w:rFonts w:asciiTheme="majorBidi" w:eastAsia="Calibri" w:hAnsiTheme="majorBidi" w:cstheme="majorBidi"/>
        </w:rPr>
        <w:t>(</w:t>
      </w:r>
      <w:proofErr w:type="spellStart"/>
      <w:r w:rsidR="00436F1A" w:rsidRPr="00436F1A">
        <w:rPr>
          <w:rFonts w:asciiTheme="majorBidi" w:eastAsia="Calibri" w:hAnsiTheme="majorBidi" w:cstheme="majorBidi"/>
        </w:rPr>
        <w:t>CaTiO</w:t>
      </w:r>
      <w:proofErr w:type="spellEnd"/>
      <w:proofErr w:type="gramStart"/>
      <w:r w:rsidR="00436F1A" w:rsidRPr="00436F1A">
        <w:rPr>
          <w:rFonts w:ascii="Cambria Math" w:eastAsia="Calibri" w:hAnsi="Cambria Math" w:cs="Cambria Math"/>
        </w:rPr>
        <w:t>₃</w:t>
      </w:r>
      <w:r w:rsidR="00436F1A" w:rsidRPr="00436F1A">
        <w:rPr>
          <w:rFonts w:asciiTheme="majorBidi" w:eastAsia="Calibri" w:hAnsiTheme="majorBidi" w:cstheme="majorBidi"/>
        </w:rPr>
        <w:t>)</w:t>
      </w:r>
      <w:r w:rsidR="00436F1A" w:rsidRPr="00436F1A">
        <w:rPr>
          <w:rFonts w:ascii="Cambria Math" w:eastAsia="Calibri" w:hAnsi="Cambria Math" w:cs="Cambria Math"/>
        </w:rPr>
        <w:t>₂</w:t>
      </w:r>
      <w:proofErr w:type="gramEnd"/>
      <w:r w:rsidR="00436F1A">
        <w:rPr>
          <w:rFonts w:asciiTheme="majorBidi" w:eastAsia="Calibri" w:hAnsiTheme="majorBidi" w:cstheme="majorBidi"/>
        </w:rPr>
        <w:t xml:space="preserve"> </w:t>
      </w:r>
      <w:r w:rsidRPr="008C58EA">
        <w:rPr>
          <w:rFonts w:asciiTheme="majorBidi" w:eastAsia="Calibri" w:hAnsiTheme="majorBidi" w:cstheme="majorBidi"/>
        </w:rPr>
        <w:t>docking model with deoxyhemoglobin.</w:t>
      </w:r>
      <w:r w:rsidRPr="0039083B">
        <w:rPr>
          <w:rFonts w:asciiTheme="majorBidi" w:eastAsia="Calibri" w:hAnsiTheme="majorBidi" w:cstheme="majorBidi"/>
        </w:rPr>
        <w:t xml:space="preserve"> </w:t>
      </w:r>
    </w:p>
    <w:p w14:paraId="0910631B" w14:textId="77777777" w:rsidR="00372B21" w:rsidRDefault="00372B21" w:rsidP="00E81F9A">
      <w:pPr>
        <w:pStyle w:val="Paragraph"/>
        <w:rPr>
          <w:rFonts w:eastAsia="Calibri"/>
          <w:lang w:bidi="ar-IQ"/>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86"/>
      </w:tblGrid>
      <w:tr w:rsidR="00372B21" w14:paraId="6B0F3805" w14:textId="77777777" w:rsidTr="0018477B">
        <w:trPr>
          <w:jc w:val="center"/>
        </w:trPr>
        <w:tc>
          <w:tcPr>
            <w:tcW w:w="7282" w:type="dxa"/>
          </w:tcPr>
          <w:p w14:paraId="3F9FA87A" w14:textId="5F9987A3" w:rsidR="00372B21" w:rsidRDefault="00372B21" w:rsidP="00E81F9A">
            <w:pPr>
              <w:pStyle w:val="Paragraph"/>
              <w:ind w:firstLine="0"/>
              <w:rPr>
                <w:rFonts w:eastAsia="Calibri"/>
                <w:lang w:bidi="ar-IQ"/>
              </w:rPr>
            </w:pPr>
            <w:r>
              <w:rPr>
                <w:noProof/>
              </w:rPr>
              <mc:AlternateContent>
                <mc:Choice Requires="wps">
                  <w:drawing>
                    <wp:inline distT="0" distB="0" distL="0" distR="0" wp14:anchorId="1FF56A8F" wp14:editId="57139772">
                      <wp:extent cx="4538980" cy="1516380"/>
                      <wp:effectExtent l="0" t="0" r="13970" b="26670"/>
                      <wp:docPr id="466580395" name="Text Box 466580395"/>
                      <wp:cNvGraphicFramePr/>
                      <a:graphic xmlns:a="http://schemas.openxmlformats.org/drawingml/2006/main">
                        <a:graphicData uri="http://schemas.microsoft.com/office/word/2010/wordprocessingShape">
                          <wps:wsp>
                            <wps:cNvSpPr txBox="1"/>
                            <wps:spPr>
                              <a:xfrm>
                                <a:off x="0" y="0"/>
                                <a:ext cx="4538980" cy="1516380"/>
                              </a:xfrm>
                              <a:prstGeom prst="rect">
                                <a:avLst/>
                              </a:prstGeom>
                              <a:noFill/>
                              <a:ln w="6350">
                                <a:solidFill>
                                  <a:prstClr val="black"/>
                                </a:solidFill>
                              </a:ln>
                              <a:effectLst/>
                            </wps:spPr>
                            <wps:txbx>
                              <w:txbxContent>
                                <w:p w14:paraId="5644EEA9" w14:textId="77777777" w:rsidR="00372B21" w:rsidRPr="00DB7990" w:rsidRDefault="00372B21" w:rsidP="00372B21">
                                  <w:pPr>
                                    <w:pStyle w:val="Figure"/>
                                    <w:rPr>
                                      <w:rFonts w:eastAsia="Calibri"/>
                                      <w:lang w:bidi="ar-IQ"/>
                                    </w:rPr>
                                  </w:pPr>
                                  <w:r w:rsidRPr="008C58EA">
                                    <w:rPr>
                                      <w:rFonts w:eastAsia="Calibri"/>
                                      <w:noProof/>
                                      <w:kern w:val="2"/>
                                      <w:sz w:val="24"/>
                                      <w:szCs w:val="24"/>
                                      <w:rtl/>
                                      <w14:ligatures w14:val="standardContextual"/>
                                    </w:rPr>
                                    <w:drawing>
                                      <wp:inline distT="0" distB="0" distL="0" distR="0" wp14:anchorId="2D84A2C9" wp14:editId="19494B27">
                                        <wp:extent cx="4171357" cy="1363980"/>
                                        <wp:effectExtent l="0" t="0" r="635" b="7620"/>
                                        <wp:docPr id="11885324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493177" name="Picture 1235493177"/>
                                                <pic:cNvPicPr/>
                                              </pic:nvPicPr>
                                              <pic:blipFill>
                                                <a:blip r:embed="rId14">
                                                  <a:extLst>
                                                    <a:ext uri="{28A0092B-C50C-407E-A947-70E740481C1C}">
                                                      <a14:useLocalDpi xmlns:a14="http://schemas.microsoft.com/office/drawing/2010/main" val="0"/>
                                                    </a:ext>
                                                  </a:extLst>
                                                </a:blip>
                                                <a:stretch>
                                                  <a:fillRect/>
                                                </a:stretch>
                                              </pic:blipFill>
                                              <pic:spPr>
                                                <a:xfrm>
                                                  <a:off x="0" y="0"/>
                                                  <a:ext cx="4178665" cy="13663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inline>
                  </w:drawing>
                </mc:Choice>
                <mc:Fallback>
                  <w:pict>
                    <v:shape w14:anchorId="1FF56A8F" id="Text Box 466580395" o:spid="_x0000_s1028" type="#_x0000_t202" style="width:357.4pt;height:11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" filled="f" strokeweight=".5pt">
                      <v:textbox>
                        <w:txbxContent>
                          <w:p w14:paraId="5644EEA9" w14:textId="77777777" w:rsidR="00372B21" w:rsidRPr="00DB7990" w:rsidRDefault="00372B21" w:rsidP="00372B21">
                            <w:pPr>
                              <w:pStyle w:val="Figure"/>
                              <w:rPr>
                                <w:rFonts w:eastAsia="Calibri"/>
                                <w:lang w:bidi="ar-IQ"/>
                              </w:rPr>
                            </w:pPr>
                            <w:r w:rsidRPr="008C58EA">
                              <w:rPr>
                                <w:rFonts w:eastAsia="Calibri"/>
                                <w:noProof/>
                                <w:kern w:val="2"/>
                                <w:sz w:val="24"/>
                                <w:szCs w:val="24"/>
                                <w:rtl/>
                                <w14:ligatures w14:val="standardContextual"/>
                              </w:rPr>
                              <w:drawing>
                                <wp:inline distT="0" distB="0" distL="0" distR="0" wp14:anchorId="2D84A2C9" wp14:editId="19494B27">
                                  <wp:extent cx="4171357" cy="1363980"/>
                                  <wp:effectExtent l="0" t="0" r="635" b="7620"/>
                                  <wp:docPr id="11885324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493177" name="Picture 1235493177"/>
                                          <pic:cNvPicPr/>
                                        </pic:nvPicPr>
                                        <pic:blipFill>
                                          <a:blip r:embed="rId15">
                                            <a:extLst>
                                              <a:ext uri="{28A0092B-C50C-407E-A947-70E740481C1C}">
                                                <a14:useLocalDpi xmlns:a14="http://schemas.microsoft.com/office/drawing/2010/main" val="0"/>
                                              </a:ext>
                                            </a:extLst>
                                          </a:blip>
                                          <a:stretch>
                                            <a:fillRect/>
                                          </a:stretch>
                                        </pic:blipFill>
                                        <pic:spPr>
                                          <a:xfrm>
                                            <a:off x="0" y="0"/>
                                            <a:ext cx="4178665" cy="1366370"/>
                                          </a:xfrm>
                                          <a:prstGeom prst="rect">
                                            <a:avLst/>
                                          </a:prstGeom>
                                        </pic:spPr>
                                      </pic:pic>
                                    </a:graphicData>
                                  </a:graphic>
                                </wp:inline>
                              </w:drawing>
                            </w:r>
                          </w:p>
                        </w:txbxContent>
                      </v:textbox>
                      <w10:anchorlock/>
                    </v:shape>
                  </w:pict>
                </mc:Fallback>
              </mc:AlternateContent>
            </w:r>
          </w:p>
        </w:tc>
      </w:tr>
    </w:tbl>
    <w:p w14:paraId="0EF8B3B9" w14:textId="765F43BA" w:rsidR="008C58EA" w:rsidRDefault="008C58EA" w:rsidP="00E11F37">
      <w:pPr>
        <w:pStyle w:val="FigureCaption"/>
        <w:spacing w:before="0"/>
        <w:rPr>
          <w:rFonts w:asciiTheme="majorBidi" w:eastAsia="Calibri" w:hAnsiTheme="majorBidi" w:cstheme="majorBidi"/>
          <w:lang w:val="en-GB" w:bidi="ar-IQ"/>
        </w:rPr>
      </w:pPr>
      <w:r w:rsidRPr="00570DD7">
        <w:rPr>
          <w:rFonts w:asciiTheme="majorBidi" w:eastAsia="MS Mincho" w:hAnsiTheme="majorBidi" w:cstheme="majorBidi"/>
          <w:b/>
          <w:bCs/>
          <w:szCs w:val="18"/>
        </w:rPr>
        <w:t xml:space="preserve">FIGURE </w:t>
      </w:r>
      <w:r>
        <w:rPr>
          <w:rFonts w:asciiTheme="majorBidi" w:eastAsia="MS Mincho" w:hAnsiTheme="majorBidi" w:cstheme="majorBidi" w:hint="cs"/>
          <w:b/>
          <w:bCs/>
          <w:szCs w:val="18"/>
          <w:rtl/>
        </w:rPr>
        <w:t>3</w:t>
      </w:r>
      <w:r w:rsidRPr="00570DD7">
        <w:rPr>
          <w:rFonts w:asciiTheme="majorBidi" w:eastAsia="MS Mincho" w:hAnsiTheme="majorBidi" w:cstheme="majorBidi"/>
          <w:b/>
          <w:bCs/>
          <w:szCs w:val="18"/>
        </w:rPr>
        <w:t>.</w:t>
      </w:r>
      <w:r w:rsidR="00D72E7E">
        <w:rPr>
          <w:rFonts w:asciiTheme="majorBidi" w:eastAsia="Calibri" w:hAnsiTheme="majorBidi" w:cstheme="majorBidi"/>
        </w:rPr>
        <w:t xml:space="preserve"> </w:t>
      </w:r>
      <w:r w:rsidRPr="008C58EA">
        <w:rPr>
          <w:rFonts w:asciiTheme="majorBidi" w:eastAsia="Calibri" w:hAnsiTheme="majorBidi" w:cstheme="majorBidi"/>
        </w:rPr>
        <w:t>Optimized geometric representation of the cancer docking model with doxorubicin</w:t>
      </w:r>
      <w:r w:rsidRPr="008C58EA">
        <w:rPr>
          <w:rFonts w:asciiTheme="majorBidi" w:eastAsia="Calibri" w:hAnsiTheme="majorBidi" w:cstheme="majorBidi" w:hint="cs"/>
          <w:rtl/>
          <w:lang w:bidi="ar-IQ"/>
        </w:rPr>
        <w:t>.</w:t>
      </w:r>
    </w:p>
    <w:p w14:paraId="201A556C" w14:textId="77777777" w:rsidR="00372B21" w:rsidRDefault="00372B21" w:rsidP="00372B21">
      <w:pPr>
        <w:pStyle w:val="Paragraph"/>
        <w:rPr>
          <w:rFonts w:eastAsia="Calibri"/>
          <w:lang w:val="en-GB" w:bidi="ar-IQ"/>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6"/>
      </w:tblGrid>
      <w:tr w:rsidR="00372B21" w14:paraId="2E0FB227" w14:textId="77777777" w:rsidTr="0018477B">
        <w:trPr>
          <w:jc w:val="center"/>
        </w:trPr>
        <w:tc>
          <w:tcPr>
            <w:tcW w:w="7479" w:type="dxa"/>
          </w:tcPr>
          <w:p w14:paraId="6210801D" w14:textId="59F3F55A" w:rsidR="00372B21" w:rsidRDefault="00372B21" w:rsidP="00372B21">
            <w:pPr>
              <w:pStyle w:val="Paragraph"/>
              <w:ind w:firstLine="0"/>
              <w:rPr>
                <w:rFonts w:eastAsia="Calibri"/>
                <w:lang w:val="en-GB" w:bidi="ar-IQ"/>
              </w:rPr>
            </w:pPr>
            <w:r>
              <w:rPr>
                <w:noProof/>
              </w:rPr>
              <mc:AlternateContent>
                <mc:Choice Requires="wps">
                  <w:drawing>
                    <wp:inline distT="0" distB="0" distL="0" distR="0" wp14:anchorId="7F186E16" wp14:editId="154574AC">
                      <wp:extent cx="4640580" cy="1577340"/>
                      <wp:effectExtent l="0" t="0" r="26670" b="22860"/>
                      <wp:docPr id="1670947963" name="Text Box 1670947963"/>
                      <wp:cNvGraphicFramePr/>
                      <a:graphic xmlns:a="http://schemas.openxmlformats.org/drawingml/2006/main">
                        <a:graphicData uri="http://schemas.microsoft.com/office/word/2010/wordprocessingShape">
                          <wps:wsp>
                            <wps:cNvSpPr txBox="1"/>
                            <wps:spPr>
                              <a:xfrm>
                                <a:off x="0" y="0"/>
                                <a:ext cx="4640580" cy="1577340"/>
                              </a:xfrm>
                              <a:prstGeom prst="rect">
                                <a:avLst/>
                              </a:prstGeom>
                              <a:noFill/>
                              <a:ln w="6350">
                                <a:solidFill>
                                  <a:prstClr val="black"/>
                                </a:solidFill>
                              </a:ln>
                              <a:effectLst/>
                            </wps:spPr>
                            <wps:txbx>
                              <w:txbxContent>
                                <w:p w14:paraId="61F68F35" w14:textId="77777777" w:rsidR="00372B21" w:rsidRPr="00DB7990" w:rsidRDefault="00372B21" w:rsidP="00E11F37">
                                  <w:pPr>
                                    <w:pStyle w:val="Figure"/>
                                    <w:rPr>
                                      <w:rFonts w:eastAsia="Calibri"/>
                                      <w:lang w:bidi="ar-IQ"/>
                                    </w:rPr>
                                  </w:pPr>
                                  <w:r w:rsidRPr="008C58EA">
                                    <w:rPr>
                                      <w:rFonts w:eastAsia="Calibri"/>
                                      <w:noProof/>
                                      <w:kern w:val="2"/>
                                      <w:sz w:val="24"/>
                                      <w:szCs w:val="24"/>
                                      <w:rtl/>
                                      <w14:ligatures w14:val="standardContextual"/>
                                    </w:rPr>
                                    <w:drawing>
                                      <wp:inline distT="0" distB="0" distL="0" distR="0" wp14:anchorId="4AE0D445" wp14:editId="235EA22C">
                                        <wp:extent cx="4080510" cy="1384485"/>
                                        <wp:effectExtent l="0" t="0" r="0" b="6350"/>
                                        <wp:docPr id="10269295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153048" name="Picture 1684153048"/>
                                                <pic:cNvPicPr/>
                                              </pic:nvPicPr>
                                              <pic:blipFill>
                                                <a:blip r:embed="rId16">
                                                  <a:extLst>
                                                    <a:ext uri="{28A0092B-C50C-407E-A947-70E740481C1C}">
                                                      <a14:useLocalDpi xmlns:a14="http://schemas.microsoft.com/office/drawing/2010/main" val="0"/>
                                                    </a:ext>
                                                  </a:extLst>
                                                </a:blip>
                                                <a:stretch>
                                                  <a:fillRect/>
                                                </a:stretch>
                                              </pic:blipFill>
                                              <pic:spPr>
                                                <a:xfrm>
                                                  <a:off x="0" y="0"/>
                                                  <a:ext cx="4093126" cy="138876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inline>
                  </w:drawing>
                </mc:Choice>
                <mc:Fallback>
                  <w:pict>
                    <v:shape w14:anchorId="7F186E16" id="Text Box 1670947963" o:spid="_x0000_s1029" type="#_x0000_t202" style="width:365.4pt;height:1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" filled="f" strokeweight=".5pt">
                      <v:textbox>
                        <w:txbxContent>
                          <w:p w14:paraId="61F68F35" w14:textId="77777777" w:rsidR="00372B21" w:rsidRPr="00DB7990" w:rsidRDefault="00372B21" w:rsidP="00E11F37">
                            <w:pPr>
                              <w:pStyle w:val="Figure"/>
                              <w:rPr>
                                <w:rFonts w:eastAsia="Calibri"/>
                                <w:lang w:bidi="ar-IQ"/>
                              </w:rPr>
                            </w:pPr>
                            <w:r w:rsidRPr="008C58EA">
                              <w:rPr>
                                <w:rFonts w:eastAsia="Calibri"/>
                                <w:noProof/>
                                <w:kern w:val="2"/>
                                <w:sz w:val="24"/>
                                <w:szCs w:val="24"/>
                                <w:rtl/>
                                <w14:ligatures w14:val="standardContextual"/>
                              </w:rPr>
                              <w:drawing>
                                <wp:inline distT="0" distB="0" distL="0" distR="0" wp14:anchorId="4AE0D445" wp14:editId="235EA22C">
                                  <wp:extent cx="4080510" cy="1384485"/>
                                  <wp:effectExtent l="0" t="0" r="0" b="6350"/>
                                  <wp:docPr id="10269295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153048" name="Picture 1684153048"/>
                                          <pic:cNvPicPr/>
                                        </pic:nvPicPr>
                                        <pic:blipFill>
                                          <a:blip r:embed="rId17">
                                            <a:extLst>
                                              <a:ext uri="{28A0092B-C50C-407E-A947-70E740481C1C}">
                                                <a14:useLocalDpi xmlns:a14="http://schemas.microsoft.com/office/drawing/2010/main" val="0"/>
                                              </a:ext>
                                            </a:extLst>
                                          </a:blip>
                                          <a:stretch>
                                            <a:fillRect/>
                                          </a:stretch>
                                        </pic:blipFill>
                                        <pic:spPr>
                                          <a:xfrm>
                                            <a:off x="0" y="0"/>
                                            <a:ext cx="4093126" cy="1388766"/>
                                          </a:xfrm>
                                          <a:prstGeom prst="rect">
                                            <a:avLst/>
                                          </a:prstGeom>
                                        </pic:spPr>
                                      </pic:pic>
                                    </a:graphicData>
                                  </a:graphic>
                                </wp:inline>
                              </w:drawing>
                            </w:r>
                          </w:p>
                        </w:txbxContent>
                      </v:textbox>
                      <w10:anchorlock/>
                    </v:shape>
                  </w:pict>
                </mc:Fallback>
              </mc:AlternateContent>
            </w:r>
          </w:p>
        </w:tc>
      </w:tr>
    </w:tbl>
    <w:p w14:paraId="38C41760" w14:textId="2B08EA14" w:rsidR="008C58EA" w:rsidRDefault="008C58EA" w:rsidP="00E25C32">
      <w:pPr>
        <w:pStyle w:val="FigureCaption"/>
        <w:spacing w:before="0"/>
        <w:rPr>
          <w:rFonts w:asciiTheme="majorBidi" w:eastAsia="Calibri" w:hAnsiTheme="majorBidi" w:cstheme="majorBidi"/>
          <w:rtl/>
        </w:rPr>
      </w:pPr>
      <w:r w:rsidRPr="00570DD7">
        <w:rPr>
          <w:rFonts w:asciiTheme="majorBidi" w:eastAsia="MS Mincho" w:hAnsiTheme="majorBidi" w:cstheme="majorBidi"/>
          <w:b/>
          <w:bCs/>
          <w:szCs w:val="18"/>
        </w:rPr>
        <w:t xml:space="preserve">FIGURE </w:t>
      </w:r>
      <w:r>
        <w:rPr>
          <w:rFonts w:asciiTheme="majorBidi" w:eastAsia="MS Mincho" w:hAnsiTheme="majorBidi" w:cstheme="majorBidi" w:hint="cs"/>
          <w:b/>
          <w:bCs/>
          <w:szCs w:val="18"/>
          <w:rtl/>
        </w:rPr>
        <w:t>4</w:t>
      </w:r>
      <w:r w:rsidRPr="00570DD7">
        <w:rPr>
          <w:rFonts w:asciiTheme="majorBidi" w:eastAsia="MS Mincho" w:hAnsiTheme="majorBidi" w:cstheme="majorBidi"/>
          <w:b/>
          <w:bCs/>
          <w:szCs w:val="18"/>
        </w:rPr>
        <w:t>.</w:t>
      </w:r>
      <w:r w:rsidRPr="00570DD7">
        <w:rPr>
          <w:rFonts w:asciiTheme="majorBidi" w:eastAsia="Calibri" w:hAnsiTheme="majorBidi" w:cstheme="majorBidi"/>
          <w:b/>
          <w:bCs/>
        </w:rPr>
        <w:t xml:space="preserve"> </w:t>
      </w:r>
      <w:r w:rsidRPr="008C58EA">
        <w:rPr>
          <w:rFonts w:asciiTheme="majorBidi" w:eastAsia="Calibri" w:hAnsiTheme="majorBidi" w:cstheme="majorBidi"/>
        </w:rPr>
        <w:t>Optimal geometric representation of the docking model of cancer docking with doxorubicin and the dye (</w:t>
      </w:r>
      <w:r w:rsidRPr="008C58EA">
        <w:rPr>
          <w:rFonts w:asciiTheme="majorBidi" w:eastAsia="Calibri" w:hAnsiTheme="majorBidi" w:cstheme="majorBidi"/>
          <w:vertAlign w:val="superscript"/>
        </w:rPr>
        <w:t>18</w:t>
      </w:r>
      <w:r w:rsidRPr="008C58EA">
        <w:rPr>
          <w:rFonts w:asciiTheme="majorBidi" w:eastAsia="Calibri" w:hAnsiTheme="majorBidi" w:cstheme="majorBidi"/>
        </w:rPr>
        <w:t>F-FDG).</w:t>
      </w:r>
    </w:p>
    <w:p w14:paraId="00E9B06A" w14:textId="77777777" w:rsidR="008C58EA" w:rsidRDefault="008C58EA" w:rsidP="00372B21">
      <w:pPr>
        <w:pStyle w:val="Paragraph"/>
        <w:ind w:firstLine="0"/>
        <w:rPr>
          <w:rFonts w:eastAsia="Calibri"/>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6"/>
      </w:tblGrid>
      <w:tr w:rsidR="00372B21" w14:paraId="3CD07F59" w14:textId="77777777" w:rsidTr="0018477B">
        <w:trPr>
          <w:jc w:val="center"/>
        </w:trPr>
        <w:tc>
          <w:tcPr>
            <w:tcW w:w="7479" w:type="dxa"/>
          </w:tcPr>
          <w:p w14:paraId="5E96087D" w14:textId="15C90338" w:rsidR="00372B21" w:rsidRDefault="00372B21" w:rsidP="00372B21">
            <w:pPr>
              <w:pStyle w:val="Paragraph"/>
              <w:ind w:firstLine="0"/>
              <w:rPr>
                <w:rFonts w:eastAsia="Calibri"/>
              </w:rPr>
            </w:pPr>
            <w:r>
              <w:rPr>
                <w:noProof/>
              </w:rPr>
              <mc:AlternateContent>
                <mc:Choice Requires="wps">
                  <w:drawing>
                    <wp:inline distT="0" distB="0" distL="0" distR="0" wp14:anchorId="5B8D4380" wp14:editId="76AE2B6D">
                      <wp:extent cx="4640580" cy="1356360"/>
                      <wp:effectExtent l="0" t="0" r="26670" b="15240"/>
                      <wp:docPr id="714294455" name="Text Box 714294455"/>
                      <wp:cNvGraphicFramePr/>
                      <a:graphic xmlns:a="http://schemas.openxmlformats.org/drawingml/2006/main">
                        <a:graphicData uri="http://schemas.microsoft.com/office/word/2010/wordprocessingShape">
                          <wps:wsp>
                            <wps:cNvSpPr txBox="1"/>
                            <wps:spPr>
                              <a:xfrm>
                                <a:off x="0" y="0"/>
                                <a:ext cx="4640580" cy="1356360"/>
                              </a:xfrm>
                              <a:prstGeom prst="rect">
                                <a:avLst/>
                              </a:prstGeom>
                              <a:noFill/>
                              <a:ln w="6350">
                                <a:solidFill>
                                  <a:prstClr val="black"/>
                                </a:solidFill>
                              </a:ln>
                              <a:effectLst/>
                            </wps:spPr>
                            <wps:txbx>
                              <w:txbxContent>
                                <w:p w14:paraId="6BE1B623" w14:textId="77777777" w:rsidR="00372B21" w:rsidRPr="00DB7990" w:rsidRDefault="00372B21" w:rsidP="00E11F37">
                                  <w:pPr>
                                    <w:pStyle w:val="Figure"/>
                                    <w:rPr>
                                      <w:rFonts w:eastAsia="Calibri"/>
                                      <w:lang w:bidi="ar-IQ"/>
                                    </w:rPr>
                                  </w:pPr>
                                  <w:r w:rsidRPr="008C58EA">
                                    <w:rPr>
                                      <w:rFonts w:eastAsia="Calibri"/>
                                      <w:noProof/>
                                      <w:kern w:val="2"/>
                                      <w:sz w:val="24"/>
                                      <w:szCs w:val="24"/>
                                      <w:rtl/>
                                      <w14:ligatures w14:val="standardContextual"/>
                                    </w:rPr>
                                    <w:drawing>
                                      <wp:inline distT="0" distB="0" distL="0" distR="0" wp14:anchorId="4D154D2F" wp14:editId="334E5223">
                                        <wp:extent cx="3934398" cy="1294451"/>
                                        <wp:effectExtent l="0" t="0" r="0" b="1270"/>
                                        <wp:docPr id="12342894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550732" name="Picture 956550732"/>
                                                <pic:cNvPicPr/>
                                              </pic:nvPicPr>
                                              <pic:blipFill>
                                                <a:blip r:embed="rId18">
                                                  <a:extLst>
                                                    <a:ext uri="{28A0092B-C50C-407E-A947-70E740481C1C}">
                                                      <a14:useLocalDpi xmlns:a14="http://schemas.microsoft.com/office/drawing/2010/main" val="0"/>
                                                    </a:ext>
                                                  </a:extLst>
                                                </a:blip>
                                                <a:stretch>
                                                  <a:fillRect/>
                                                </a:stretch>
                                              </pic:blipFill>
                                              <pic:spPr>
                                                <a:xfrm>
                                                  <a:off x="0" y="0"/>
                                                  <a:ext cx="3956011" cy="13015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inline>
                  </w:drawing>
                </mc:Choice>
                <mc:Fallback>
                  <w:pict>
                    <v:shape w14:anchorId="5B8D4380" id="Text Box 714294455" o:spid="_x0000_s1030" type="#_x0000_t202" style="width:365.4pt;height:10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" filled="f" strokeweight=".5pt">
                      <v:textbox>
                        <w:txbxContent>
                          <w:p w14:paraId="6BE1B623" w14:textId="77777777" w:rsidR="00372B21" w:rsidRPr="00DB7990" w:rsidRDefault="00372B21" w:rsidP="00E11F37">
                            <w:pPr>
                              <w:pStyle w:val="Figure"/>
                              <w:rPr>
                                <w:rFonts w:eastAsia="Calibri"/>
                                <w:lang w:bidi="ar-IQ"/>
                              </w:rPr>
                            </w:pPr>
                            <w:r w:rsidRPr="008C58EA">
                              <w:rPr>
                                <w:rFonts w:eastAsia="Calibri"/>
                                <w:noProof/>
                                <w:kern w:val="2"/>
                                <w:sz w:val="24"/>
                                <w:szCs w:val="24"/>
                                <w:rtl/>
                                <w14:ligatures w14:val="standardContextual"/>
                              </w:rPr>
                              <w:drawing>
                                <wp:inline distT="0" distB="0" distL="0" distR="0" wp14:anchorId="4D154D2F" wp14:editId="334E5223">
                                  <wp:extent cx="3934398" cy="1294451"/>
                                  <wp:effectExtent l="0" t="0" r="0" b="1270"/>
                                  <wp:docPr id="12342894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550732" name="Picture 956550732"/>
                                          <pic:cNvPicPr/>
                                        </pic:nvPicPr>
                                        <pic:blipFill>
                                          <a:blip r:embed="rId19">
                                            <a:extLst>
                                              <a:ext uri="{28A0092B-C50C-407E-A947-70E740481C1C}">
                                                <a14:useLocalDpi xmlns:a14="http://schemas.microsoft.com/office/drawing/2010/main" val="0"/>
                                              </a:ext>
                                            </a:extLst>
                                          </a:blip>
                                          <a:stretch>
                                            <a:fillRect/>
                                          </a:stretch>
                                        </pic:blipFill>
                                        <pic:spPr>
                                          <a:xfrm>
                                            <a:off x="0" y="0"/>
                                            <a:ext cx="3956011" cy="1301562"/>
                                          </a:xfrm>
                                          <a:prstGeom prst="rect">
                                            <a:avLst/>
                                          </a:prstGeom>
                                        </pic:spPr>
                                      </pic:pic>
                                    </a:graphicData>
                                  </a:graphic>
                                </wp:inline>
                              </w:drawing>
                            </w:r>
                          </w:p>
                        </w:txbxContent>
                      </v:textbox>
                      <w10:anchorlock/>
                    </v:shape>
                  </w:pict>
                </mc:Fallback>
              </mc:AlternateContent>
            </w:r>
          </w:p>
        </w:tc>
      </w:tr>
    </w:tbl>
    <w:p w14:paraId="2536C2F3" w14:textId="4868C520" w:rsidR="008C58EA" w:rsidRPr="008C58EA" w:rsidRDefault="008C58EA" w:rsidP="00E11F37">
      <w:pPr>
        <w:pStyle w:val="FigureCaption"/>
        <w:spacing w:before="0"/>
        <w:rPr>
          <w:rFonts w:asciiTheme="majorBidi" w:eastAsia="Calibri" w:hAnsiTheme="majorBidi" w:cstheme="majorBidi"/>
          <w:rtl/>
        </w:rPr>
      </w:pPr>
      <w:r w:rsidRPr="00570DD7">
        <w:rPr>
          <w:rFonts w:asciiTheme="majorBidi" w:eastAsia="MS Mincho" w:hAnsiTheme="majorBidi" w:cstheme="majorBidi"/>
          <w:b/>
          <w:bCs/>
          <w:szCs w:val="18"/>
        </w:rPr>
        <w:t xml:space="preserve">FIGURE </w:t>
      </w:r>
      <w:r>
        <w:rPr>
          <w:rFonts w:asciiTheme="majorBidi" w:eastAsia="MS Mincho" w:hAnsiTheme="majorBidi" w:cstheme="majorBidi" w:hint="cs"/>
          <w:b/>
          <w:bCs/>
          <w:szCs w:val="18"/>
          <w:rtl/>
        </w:rPr>
        <w:t>5</w:t>
      </w:r>
      <w:r w:rsidRPr="00570DD7">
        <w:rPr>
          <w:rFonts w:asciiTheme="majorBidi" w:eastAsia="MS Mincho" w:hAnsiTheme="majorBidi" w:cstheme="majorBidi"/>
          <w:b/>
          <w:bCs/>
          <w:szCs w:val="18"/>
        </w:rPr>
        <w:t>.</w:t>
      </w:r>
      <w:r w:rsidR="00D72E7E">
        <w:rPr>
          <w:rFonts w:asciiTheme="majorBidi" w:eastAsia="MS Mincho" w:hAnsiTheme="majorBidi" w:cstheme="majorBidi"/>
          <w:b/>
          <w:bCs/>
          <w:szCs w:val="18"/>
        </w:rPr>
        <w:t xml:space="preserve"> </w:t>
      </w:r>
      <w:r w:rsidRPr="008C58EA">
        <w:rPr>
          <w:rFonts w:asciiTheme="majorBidi" w:eastAsia="Calibri" w:hAnsiTheme="majorBidi" w:cstheme="majorBidi"/>
        </w:rPr>
        <w:t xml:space="preserve">Optimal geometric representation of the docking model of cancer docking with doxorubicin and the </w:t>
      </w:r>
      <w:r w:rsidR="00436F1A">
        <w:rPr>
          <w:rFonts w:asciiTheme="majorBidi" w:eastAsia="Calibri" w:hAnsiTheme="majorBidi" w:cstheme="majorBidi"/>
        </w:rPr>
        <w:t xml:space="preserve">nano </w:t>
      </w:r>
      <w:r w:rsidR="00436F1A" w:rsidRPr="00436F1A">
        <w:rPr>
          <w:rFonts w:asciiTheme="majorBidi" w:eastAsia="Calibri" w:hAnsiTheme="majorBidi" w:cstheme="majorBidi"/>
        </w:rPr>
        <w:t>(</w:t>
      </w:r>
      <w:proofErr w:type="spellStart"/>
      <w:r w:rsidR="00436F1A" w:rsidRPr="00436F1A">
        <w:rPr>
          <w:rFonts w:asciiTheme="majorBidi" w:eastAsia="Calibri" w:hAnsiTheme="majorBidi" w:cstheme="majorBidi"/>
        </w:rPr>
        <w:t>CaTiO</w:t>
      </w:r>
      <w:proofErr w:type="spellEnd"/>
      <w:proofErr w:type="gramStart"/>
      <w:r w:rsidR="00436F1A" w:rsidRPr="00436F1A">
        <w:rPr>
          <w:rFonts w:ascii="Cambria Math" w:eastAsia="Calibri" w:hAnsi="Cambria Math" w:cs="Cambria Math"/>
        </w:rPr>
        <w:t>₃</w:t>
      </w:r>
      <w:r w:rsidR="00436F1A" w:rsidRPr="00436F1A">
        <w:rPr>
          <w:rFonts w:asciiTheme="majorBidi" w:eastAsia="Calibri" w:hAnsiTheme="majorBidi" w:cstheme="majorBidi"/>
        </w:rPr>
        <w:t>)</w:t>
      </w:r>
      <w:r w:rsidR="00436F1A" w:rsidRPr="00436F1A">
        <w:rPr>
          <w:rFonts w:ascii="Cambria Math" w:eastAsia="Calibri" w:hAnsi="Cambria Math" w:cs="Cambria Math"/>
        </w:rPr>
        <w:t>₂</w:t>
      </w:r>
      <w:proofErr w:type="gramEnd"/>
      <w:r w:rsidRPr="008C58EA">
        <w:rPr>
          <w:rFonts w:asciiTheme="majorBidi" w:eastAsia="Calibri" w:hAnsiTheme="majorBidi" w:cstheme="majorBidi"/>
        </w:rPr>
        <w:t>.</w:t>
      </w:r>
      <w:r>
        <w:rPr>
          <w:rFonts w:asciiTheme="majorBidi" w:eastAsia="Calibri" w:hAnsiTheme="majorBidi" w:cstheme="majorBidi" w:hint="cs"/>
          <w:rtl/>
        </w:rPr>
        <w:t xml:space="preserve"> </w:t>
      </w:r>
    </w:p>
    <w:p w14:paraId="58ACA441" w14:textId="49410B25" w:rsidR="00C74E28" w:rsidRPr="00164057" w:rsidRDefault="00C74E28" w:rsidP="00A07449">
      <w:pPr>
        <w:pStyle w:val="Heading1"/>
        <w:rPr>
          <w:rFonts w:eastAsia="Calibri"/>
          <w:lang w:bidi="ar-IQ"/>
        </w:rPr>
      </w:pPr>
      <w:r w:rsidRPr="00164057">
        <w:rPr>
          <w:rFonts w:eastAsia="Calibri"/>
          <w:lang w:bidi="ar-IQ"/>
        </w:rPr>
        <w:lastRenderedPageBreak/>
        <w:t>Results and Discussion</w:t>
      </w:r>
    </w:p>
    <w:p w14:paraId="271873F2" w14:textId="2EC0BC02" w:rsidR="00B76A69" w:rsidRPr="00B76A69" w:rsidRDefault="00C56BB0" w:rsidP="005B50CD">
      <w:pPr>
        <w:pStyle w:val="Paragraph"/>
        <w:rPr>
          <w:rFonts w:asciiTheme="majorBidi" w:eastAsia="Calibri" w:hAnsiTheme="majorBidi" w:cstheme="majorBidi"/>
          <w:lang w:bidi="ar-IQ"/>
        </w:rPr>
      </w:pPr>
      <w:r>
        <w:rPr>
          <w:rFonts w:asciiTheme="majorBidi" w:eastAsia="Calibri" w:hAnsiTheme="majorBidi" w:cstheme="majorBidi"/>
          <w:lang w:bidi="ar-IQ"/>
        </w:rPr>
        <w:t>F</w:t>
      </w:r>
      <w:r w:rsidR="00B76A69" w:rsidRPr="00B76A69">
        <w:rPr>
          <w:rFonts w:asciiTheme="majorBidi" w:eastAsia="Calibri" w:hAnsiTheme="majorBidi" w:cstheme="majorBidi"/>
          <w:lang w:bidi="ar-IQ"/>
        </w:rPr>
        <w:t xml:space="preserve">igure </w:t>
      </w:r>
      <w:r>
        <w:rPr>
          <w:rFonts w:asciiTheme="majorBidi" w:eastAsia="Calibri" w:hAnsiTheme="majorBidi" w:cstheme="majorBidi"/>
          <w:lang w:val="en-GB" w:bidi="ar-IQ"/>
        </w:rPr>
        <w:t>6</w:t>
      </w:r>
      <w:r>
        <w:rPr>
          <w:rFonts w:asciiTheme="majorBidi" w:eastAsia="Calibri" w:hAnsiTheme="majorBidi" w:cstheme="majorBidi"/>
          <w:lang w:bidi="ar-IQ"/>
        </w:rPr>
        <w:t xml:space="preserve"> </w:t>
      </w:r>
      <w:r w:rsidR="00B76A69" w:rsidRPr="00B76A69">
        <w:rPr>
          <w:rFonts w:asciiTheme="majorBidi" w:eastAsia="Calibri" w:hAnsiTheme="majorBidi" w:cstheme="majorBidi"/>
          <w:lang w:bidi="ar-IQ"/>
        </w:rPr>
        <w:t xml:space="preserve">shows a major absorption peak in the </w:t>
      </w:r>
      <w:r>
        <w:rPr>
          <w:rFonts w:asciiTheme="majorBidi" w:eastAsia="Calibri" w:hAnsiTheme="majorBidi" w:cstheme="majorBidi"/>
          <w:lang w:bidi="ar-IQ"/>
        </w:rPr>
        <w:t xml:space="preserve">near infrared </w:t>
      </w:r>
      <w:r w:rsidR="00B76A69" w:rsidRPr="00B76A69">
        <w:rPr>
          <w:rFonts w:asciiTheme="majorBidi" w:eastAsia="Calibri" w:hAnsiTheme="majorBidi" w:cstheme="majorBidi"/>
          <w:lang w:bidi="ar-IQ"/>
        </w:rPr>
        <w:t xml:space="preserve">NIR (wavelengths above the visible) range, with no significant peaks between </w:t>
      </w:r>
      <w:r>
        <w:rPr>
          <w:rFonts w:asciiTheme="majorBidi" w:eastAsia="Calibri" w:hAnsiTheme="majorBidi" w:cstheme="majorBidi"/>
          <w:lang w:bidi="ar-IQ"/>
        </w:rPr>
        <w:t>(</w:t>
      </w:r>
      <w:r w:rsidR="00B76A69" w:rsidRPr="00B76A69">
        <w:rPr>
          <w:rFonts w:asciiTheme="majorBidi" w:eastAsia="Calibri" w:hAnsiTheme="majorBidi" w:cstheme="majorBidi"/>
          <w:lang w:bidi="ar-IQ"/>
        </w:rPr>
        <w:t>400–700</w:t>
      </w:r>
      <w:r>
        <w:rPr>
          <w:rFonts w:asciiTheme="majorBidi" w:eastAsia="Calibri" w:hAnsiTheme="majorBidi" w:cstheme="majorBidi"/>
          <w:lang w:bidi="ar-IQ"/>
        </w:rPr>
        <w:t>)</w:t>
      </w:r>
      <w:r w:rsidR="00B76A69" w:rsidRPr="00B76A69">
        <w:rPr>
          <w:rFonts w:asciiTheme="majorBidi" w:eastAsia="Calibri" w:hAnsiTheme="majorBidi" w:cstheme="majorBidi"/>
          <w:lang w:bidi="ar-IQ"/>
        </w:rPr>
        <w:t xml:space="preserve"> nm. This transparency in the visible range implies low photosensitivity and meets safety requirements for intravenous injection; no photosensitization or generation of reactive oxygen species is expected under normal clinical lighting</w:t>
      </w:r>
      <w:r>
        <w:rPr>
          <w:rFonts w:asciiTheme="majorBidi" w:eastAsia="Calibri" w:hAnsiTheme="majorBidi" w:cstheme="majorBidi"/>
          <w:lang w:bidi="ar-IQ"/>
        </w:rPr>
        <w:t xml:space="preserve"> </w:t>
      </w:r>
      <w:r w:rsidR="00B76A69" w:rsidRPr="00B76A69">
        <w:rPr>
          <w:rFonts w:asciiTheme="majorBidi" w:eastAsia="Calibri" w:hAnsiTheme="majorBidi" w:cstheme="majorBidi"/>
          <w:lang w:bidi="ar-IQ"/>
        </w:rPr>
        <w:fldChar w:fldCharType="begin"/>
      </w:r>
      <w:r w:rsidR="00B76A69" w:rsidRPr="00B76A69">
        <w:rPr>
          <w:rFonts w:asciiTheme="majorBidi" w:eastAsia="Calibri" w:hAnsiTheme="majorBidi" w:cstheme="majorBidi"/>
          <w:lang w:bidi="ar-IQ"/>
        </w:rPr>
        <w:instrText xml:space="preserve"> ADDIN EN.CITE &lt;EndNote&gt;&lt;Cite&gt;&lt;Author&gt;Gayathri&lt;/Author&gt;&lt;Year&gt;2024&lt;/Year&gt;&lt;RecNum&gt;2&lt;/RecNum&gt;&lt;DisplayText&gt;[16, 17]&lt;/DisplayText&gt;&lt;record&gt;&lt;rec-number&gt;2&lt;/rec-number&gt;&lt;foreign-keys&gt;&lt;key app="EN" db-id="ftfpwx9072pte8e55zhppzxtrvd29adze5v5" timestamp="1757791532"&gt;2&lt;/key&gt;&lt;/foreign-keys&gt;&lt;ref-type name="Journal Article"&gt;17&lt;/ref-type&gt;&lt;contributors&gt;&lt;authors&gt;&lt;author&gt;Gayathri, K&lt;/author&gt;&lt;author&gt;Vidya, R&lt;/author&gt;&lt;/authors&gt;&lt;/contributors&gt;&lt;titles&gt;&lt;title&gt;Carbon nanomaterials as carriers for the anti-cancer drug doxorubicin: a review on theoretical and experimental studies&lt;/title&gt;&lt;secondary-title&gt;Nanoscale Advances&lt;/secondary-title&gt;&lt;/titles&gt;&lt;periodical&gt;&lt;full-title&gt;Nanoscale Advances&lt;/full-title&gt;&lt;/periodical&gt;&lt;pages&gt;3992-4014&lt;/pages&gt;&lt;volume&gt;6&lt;/volume&gt;&lt;number&gt;16&lt;/number&gt;&lt;dates&gt;&lt;year&gt;2024&lt;/year&gt;&lt;/dates&gt;&lt;urls&gt;&lt;/urls&gt;&lt;/record&gt;&lt;/Cite&gt;&lt;Cite&gt;&lt;Author&gt;Maisuradze&lt;/Author&gt;&lt;Year&gt;2024&lt;/Year&gt;&lt;RecNum&gt;1&lt;/RecNum&gt;&lt;record&gt;&lt;rec-number&gt;1&lt;/rec-number&gt;&lt;foreign-keys&gt;&lt;key app="EN" db-id="ftfpwx9072pte8e55zhppzxtrvd29adze5v5" timestamp="1757782897"&gt;1&lt;/key&gt;&lt;/foreign-keys&gt;&lt;ref-type name="Journal Article"&gt;17&lt;/ref-type&gt;&lt;contributors&gt;&lt;authors&gt;&lt;author&gt;Maisuradze, Nino&lt;/author&gt;&lt;author&gt;Kekutia, Shalva&lt;/author&gt;&lt;author&gt;Markhulia, Jano&lt;/author&gt;&lt;author&gt;Tsertsvadze, Tamar&lt;/author&gt;&lt;author&gt;Mikelashvili, Vladimer&lt;/author&gt;&lt;author&gt;Saneblidze, Liana&lt;/author&gt;&lt;author&gt;Chkhaidze, Nikoloz&lt;/author&gt;&lt;author&gt;Horváth, Zsolt Endre&lt;/author&gt;&lt;author&gt;Almásy, László&lt;/author&gt;&lt;author&gt;Mitskevichi, Nunu&lt;/author&gt;&lt;/authors&gt;&lt;/contributors&gt;&lt;titles&gt;&lt;title&gt;Characteristics and Antitumor Activity of Doxorubicin-Loaded Multifunctional Iron Oxide Nanoparticles in MEC1 and RM1 Cell Lines&lt;/title&gt;&lt;secondary-title&gt;Journal of Functional Biomaterials&lt;/secondary-title&gt;&lt;/titles&gt;&lt;periodical&gt;&lt;full-title&gt;Journal of Functional Biomaterials&lt;/full-title&gt;&lt;/periodical&gt;&lt;pages&gt;364&lt;/pages&gt;&lt;volume&gt;15&lt;/volume&gt;&lt;number&gt;12&lt;/number&gt;&lt;dates&gt;&lt;year&gt;2024&lt;/year&gt;&lt;/dates&gt;&lt;isbn&gt;2079-4983&lt;/isbn&gt;&lt;urls&gt;&lt;/urls&gt;&lt;/record&gt;&lt;/Cite&gt;&lt;/EndNote&gt;</w:instrText>
      </w:r>
      <w:r w:rsidR="00B76A69" w:rsidRPr="00B76A69">
        <w:rPr>
          <w:rFonts w:asciiTheme="majorBidi" w:eastAsia="Calibri" w:hAnsiTheme="majorBidi" w:cstheme="majorBidi"/>
          <w:lang w:bidi="ar-IQ"/>
        </w:rPr>
        <w:fldChar w:fldCharType="separate"/>
      </w:r>
      <w:r w:rsidR="00B76A69" w:rsidRPr="00B76A69">
        <w:rPr>
          <w:rFonts w:asciiTheme="majorBidi" w:eastAsia="Calibri" w:hAnsiTheme="majorBidi" w:cstheme="majorBidi"/>
          <w:lang w:bidi="ar-IQ"/>
        </w:rPr>
        <w:t>[16, 17]</w:t>
      </w:r>
      <w:r w:rsidR="00B76A69" w:rsidRPr="00B76A69">
        <w:rPr>
          <w:rFonts w:asciiTheme="majorBidi" w:eastAsia="Calibri" w:hAnsiTheme="majorBidi" w:cstheme="majorBidi"/>
          <w:lang w:bidi="ar-IQ"/>
        </w:rPr>
        <w:fldChar w:fldCharType="end"/>
      </w:r>
      <w:r w:rsidR="00B76A69" w:rsidRPr="00B76A69">
        <w:rPr>
          <w:rFonts w:asciiTheme="majorBidi" w:eastAsia="Calibri" w:hAnsiTheme="majorBidi" w:cstheme="majorBidi"/>
          <w:lang w:bidi="ar-IQ"/>
        </w:rPr>
        <w:t>. The shift in absorption away from the visible range is also a favorable behavior for the function of the glycoprotein</w:t>
      </w:r>
      <w:r w:rsidR="00DC5D17">
        <w:rPr>
          <w:rFonts w:asciiTheme="majorBidi" w:eastAsia="Calibri" w:hAnsiTheme="majorBidi" w:cstheme="majorBidi"/>
          <w:lang w:bidi="ar-IQ"/>
        </w:rPr>
        <w:t xml:space="preserve"> (FDG)</w:t>
      </w:r>
      <w:r w:rsidR="00B76A69" w:rsidRPr="00B76A69">
        <w:rPr>
          <w:rFonts w:asciiTheme="majorBidi" w:eastAsia="Calibri" w:hAnsiTheme="majorBidi" w:cstheme="majorBidi"/>
          <w:lang w:bidi="ar-IQ"/>
        </w:rPr>
        <w:t>, as its role is focused on metabolic guidance to target cells with high glucose consumption rather than photoreaction</w:t>
      </w:r>
      <w:r w:rsidR="00DC5D17">
        <w:rPr>
          <w:rFonts w:asciiTheme="majorBidi" w:eastAsia="Calibri" w:hAnsiTheme="majorBidi" w:cstheme="majorBidi"/>
          <w:lang w:bidi="ar-IQ"/>
        </w:rPr>
        <w:t xml:space="preserve"> </w:t>
      </w:r>
      <w:r w:rsidR="00B76A69" w:rsidRPr="00B76A69">
        <w:rPr>
          <w:rFonts w:asciiTheme="majorBidi" w:eastAsia="Calibri" w:hAnsiTheme="majorBidi" w:cstheme="majorBidi"/>
          <w:lang w:bidi="ar-IQ"/>
        </w:rPr>
        <w:fldChar w:fldCharType="begin"/>
      </w:r>
      <w:r w:rsidR="00B76A69" w:rsidRPr="00B76A69">
        <w:rPr>
          <w:rFonts w:asciiTheme="majorBidi" w:eastAsia="Calibri" w:hAnsiTheme="majorBidi" w:cstheme="majorBidi"/>
          <w:lang w:bidi="ar-IQ"/>
        </w:rPr>
        <w:instrText xml:space="preserve"> ADDIN EN.CITE &lt;EndNote&gt;&lt;Cite&gt;&lt;Author&gt;Gayathri&lt;/Author&gt;&lt;Year&gt;2024&lt;/Year&gt;&lt;RecNum&gt;2&lt;/RecNum&gt;&lt;DisplayText&gt;[16]&lt;/DisplayText&gt;&lt;record&gt;&lt;rec-number&gt;2&lt;/rec-number&gt;&lt;foreign-keys&gt;&lt;key app="EN" db-id="ftfpwx9072pte8e55zhppzxtrvd29adze5v5" timestamp="1757791532"&gt;2&lt;/key&gt;&lt;/foreign-keys&gt;&lt;ref-type name="Journal Article"&gt;17&lt;/ref-type&gt;&lt;contributors&gt;&lt;authors&gt;&lt;author&gt;Gayathri, K&lt;/author&gt;&lt;author&gt;Vidya, R&lt;/author&gt;&lt;/authors&gt;&lt;/contributors&gt;&lt;titles&gt;&lt;title&gt;Carbon nanomaterials as carriers for the anti-cancer drug doxorubicin: a review on theoretical and experimental studies&lt;/title&gt;&lt;secondary-title&gt;Nanoscale Advances&lt;/secondary-title&gt;&lt;/titles&gt;&lt;periodical&gt;&lt;full-title&gt;Nanoscale Advances&lt;/full-title&gt;&lt;/periodical&gt;&lt;pages&gt;3992-4014&lt;/pages&gt;&lt;volume&gt;6&lt;/volume&gt;&lt;number&gt;16&lt;/number&gt;&lt;dates&gt;&lt;year&gt;2024&lt;/year&gt;&lt;/dates&gt;&lt;urls&gt;&lt;/urls&gt;&lt;/record&gt;&lt;/Cite&gt;&lt;/EndNote&gt;</w:instrText>
      </w:r>
      <w:r w:rsidR="00B76A69" w:rsidRPr="00B76A69">
        <w:rPr>
          <w:rFonts w:asciiTheme="majorBidi" w:eastAsia="Calibri" w:hAnsiTheme="majorBidi" w:cstheme="majorBidi"/>
          <w:lang w:bidi="ar-IQ"/>
        </w:rPr>
        <w:fldChar w:fldCharType="separate"/>
      </w:r>
      <w:r w:rsidR="00B76A69" w:rsidRPr="00B76A69">
        <w:rPr>
          <w:rFonts w:asciiTheme="majorBidi" w:eastAsia="Calibri" w:hAnsiTheme="majorBidi" w:cstheme="majorBidi"/>
          <w:lang w:bidi="ar-IQ"/>
        </w:rPr>
        <w:t>[16]</w:t>
      </w:r>
      <w:r w:rsidR="00B76A69" w:rsidRPr="00B76A69">
        <w:rPr>
          <w:rFonts w:asciiTheme="majorBidi" w:eastAsia="Calibri" w:hAnsiTheme="majorBidi" w:cstheme="majorBidi"/>
          <w:lang w:bidi="ar-IQ"/>
        </w:rPr>
        <w:fldChar w:fldCharType="end"/>
      </w:r>
      <w:r w:rsidR="00B76A69" w:rsidRPr="00B76A69">
        <w:rPr>
          <w:rFonts w:asciiTheme="majorBidi" w:eastAsia="Calibri" w:hAnsiTheme="majorBidi" w:cstheme="majorBidi"/>
          <w:lang w:bidi="ar-IQ"/>
        </w:rPr>
        <w:t>.</w:t>
      </w:r>
    </w:p>
    <w:p w14:paraId="7024E473" w14:textId="78BC6DDE" w:rsidR="00B76A69" w:rsidRPr="00B76A69" w:rsidRDefault="00B76A69" w:rsidP="005B50CD">
      <w:pPr>
        <w:pStyle w:val="Paragraph"/>
        <w:rPr>
          <w:rFonts w:asciiTheme="majorBidi" w:eastAsia="Calibri" w:hAnsiTheme="majorBidi" w:cstheme="majorBidi"/>
          <w:lang w:bidi="ar-IQ"/>
        </w:rPr>
      </w:pPr>
      <w:r w:rsidRPr="00B76A69">
        <w:rPr>
          <w:rFonts w:asciiTheme="majorBidi" w:eastAsia="Calibri" w:hAnsiTheme="majorBidi" w:cstheme="majorBidi"/>
          <w:lang w:bidi="ar-IQ"/>
        </w:rPr>
        <w:t xml:space="preserve">Figure </w:t>
      </w:r>
      <w:proofErr w:type="gramStart"/>
      <w:r w:rsidRPr="00B76A69">
        <w:rPr>
          <w:rFonts w:asciiTheme="majorBidi" w:eastAsia="Calibri" w:hAnsiTheme="majorBidi" w:cstheme="majorBidi" w:hint="cs"/>
          <w:rtl/>
          <w:lang w:bidi="ar-IQ"/>
        </w:rPr>
        <w:t>7</w:t>
      </w:r>
      <w:r w:rsidR="00C56BB0">
        <w:rPr>
          <w:rFonts w:asciiTheme="majorBidi" w:eastAsia="Calibri" w:hAnsiTheme="majorBidi" w:cstheme="majorBidi"/>
          <w:lang w:val="en-GB" w:bidi="ar-IQ"/>
        </w:rPr>
        <w:t xml:space="preserve"> </w:t>
      </w:r>
      <w:r w:rsidRPr="00B76A69">
        <w:rPr>
          <w:rFonts w:asciiTheme="majorBidi" w:eastAsia="Calibri" w:hAnsiTheme="majorBidi" w:cstheme="majorBidi"/>
          <w:rtl/>
          <w:lang w:bidi="ar-IQ"/>
        </w:rPr>
        <w:t xml:space="preserve"> </w:t>
      </w:r>
      <w:r w:rsidRPr="00B76A69">
        <w:rPr>
          <w:rFonts w:asciiTheme="majorBidi" w:eastAsia="Calibri" w:hAnsiTheme="majorBidi" w:cstheme="majorBidi"/>
          <w:lang w:bidi="ar-IQ"/>
        </w:rPr>
        <w:t>shows</w:t>
      </w:r>
      <w:proofErr w:type="gramEnd"/>
      <w:r w:rsidRPr="00B76A69">
        <w:rPr>
          <w:rFonts w:asciiTheme="majorBidi" w:eastAsia="Calibri" w:hAnsiTheme="majorBidi" w:cstheme="majorBidi"/>
          <w:lang w:bidi="ar-IQ"/>
        </w:rPr>
        <w:t xml:space="preserve"> the electron density spectrum showing the distribution of occupied and empty (virtual) states, with a clear energy gap between their edges; this indicates electronic stability and reduces the likelihood of unwanted transitions under biological conditions. Additional levels are also observed near the edge due to the incorporation of FDG, which explains the peak observed in Fi</w:t>
      </w:r>
      <w:r w:rsidR="005B50CD">
        <w:rPr>
          <w:rFonts w:asciiTheme="majorBidi" w:eastAsia="Calibri" w:hAnsiTheme="majorBidi" w:cstheme="majorBidi"/>
          <w:lang w:bidi="ar-IQ"/>
        </w:rPr>
        <w:t>g.</w:t>
      </w:r>
      <w:r w:rsidR="00C56BB0">
        <w:rPr>
          <w:rFonts w:asciiTheme="majorBidi" w:eastAsia="Calibri" w:hAnsiTheme="majorBidi" w:cstheme="majorBidi" w:hint="cs"/>
          <w:rtl/>
          <w:lang w:bidi="ar-IQ"/>
        </w:rPr>
        <w:t xml:space="preserve">7 </w:t>
      </w:r>
      <w:r w:rsidR="00C56BB0">
        <w:rPr>
          <w:rFonts w:asciiTheme="majorBidi" w:eastAsia="Calibri" w:hAnsiTheme="majorBidi" w:cstheme="majorBidi"/>
          <w:lang w:bidi="ar-IQ"/>
        </w:rPr>
        <w:t xml:space="preserve"> </w:t>
      </w:r>
      <w:r w:rsidRPr="00B76A69">
        <w:rPr>
          <w:rFonts w:asciiTheme="majorBidi" w:eastAsia="Calibri" w:hAnsiTheme="majorBidi" w:cstheme="majorBidi"/>
          <w:lang w:bidi="ar-IQ"/>
        </w:rPr>
        <w:t xml:space="preserve">without compromising the transparency of the fluorescence or destabilizing the overall system </w:t>
      </w:r>
      <w:r w:rsidRPr="00B76A69">
        <w:rPr>
          <w:rFonts w:asciiTheme="majorBidi" w:eastAsia="Calibri" w:hAnsiTheme="majorBidi" w:cstheme="majorBidi"/>
          <w:lang w:bidi="ar-IQ"/>
        </w:rPr>
        <w:fldChar w:fldCharType="begin"/>
      </w:r>
      <w:r w:rsidRPr="00B76A69">
        <w:rPr>
          <w:rFonts w:asciiTheme="majorBidi" w:eastAsia="Calibri" w:hAnsiTheme="majorBidi" w:cstheme="majorBidi"/>
          <w:lang w:bidi="ar-IQ"/>
        </w:rPr>
        <w:instrText xml:space="preserve"> ADDIN EN.CITE &lt;EndNote&gt;&lt;Cite&gt;&lt;Author&gt;Chudoba&lt;/Author&gt;&lt;Year&gt;2020&lt;/Year&gt;&lt;RecNum&gt;5&lt;/RecNum&gt;&lt;DisplayText&gt;[18]&lt;/DisplayText&gt;&lt;record&gt;&lt;rec-number&gt;5&lt;/rec-number&gt;&lt;foreign-keys&gt;&lt;key app="EN" db-id="ftfpwx9072pte8e55zhppzxtrvd29adze5v5" timestamp="1757791687"&gt;5&lt;/key&gt;&lt;/foreign-keys&gt;&lt;ref-type name="Journal Article"&gt;17&lt;/ref-type&gt;&lt;contributors&gt;&lt;authors&gt;&lt;author&gt;Chudoba, Dorota&lt;/author&gt;&lt;author&gt;Łudzik, Katarzyna&lt;/author&gt;&lt;author&gt;Jażdżewska, Monika&lt;/author&gt;&lt;author&gt;Wołoszczuk, Sebastian&lt;/author&gt;&lt;/authors&gt;&lt;/contributors&gt;&lt;titles&gt;&lt;title&gt;Kinetic and equilibrium studies of doxorubicin adsorption onto carbon nanotubes&lt;/title&gt;&lt;secondary-title&gt;International Journal of Molecular Sciences&lt;/secondary-title&gt;&lt;/titles&gt;&lt;periodical&gt;&lt;full-title&gt;International Journal of Molecular Sciences&lt;/full-title&gt;&lt;/periodical&gt;&lt;pages&gt;8230&lt;/pages&gt;&lt;volume&gt;21&lt;/volume&gt;&lt;number&gt;21&lt;/number&gt;&lt;dates&gt;&lt;year&gt;2020&lt;/year&gt;&lt;/dates&gt;&lt;isbn&gt;1422-0067&lt;/isbn&gt;&lt;urls&gt;&lt;/urls&gt;&lt;/record&gt;&lt;/Cite&gt;&lt;/EndNote&gt;</w:instrText>
      </w:r>
      <w:r w:rsidRPr="00B76A69">
        <w:rPr>
          <w:rFonts w:asciiTheme="majorBidi" w:eastAsia="Calibri" w:hAnsiTheme="majorBidi" w:cstheme="majorBidi"/>
          <w:lang w:bidi="ar-IQ"/>
        </w:rPr>
        <w:fldChar w:fldCharType="separate"/>
      </w:r>
      <w:r w:rsidRPr="00B76A69">
        <w:rPr>
          <w:rFonts w:asciiTheme="majorBidi" w:eastAsia="Calibri" w:hAnsiTheme="majorBidi" w:cstheme="majorBidi"/>
          <w:lang w:bidi="ar-IQ"/>
        </w:rPr>
        <w:t>[18]</w:t>
      </w:r>
      <w:r w:rsidRPr="00B76A69">
        <w:rPr>
          <w:rFonts w:asciiTheme="majorBidi" w:eastAsia="Calibri" w:hAnsiTheme="majorBidi" w:cstheme="majorBidi"/>
          <w:lang w:bidi="ar-IQ"/>
        </w:rPr>
        <w:fldChar w:fldCharType="end"/>
      </w:r>
      <w:r w:rsidRPr="00B76A69">
        <w:rPr>
          <w:rFonts w:asciiTheme="majorBidi" w:eastAsia="Calibri" w:hAnsiTheme="majorBidi" w:cstheme="majorBidi"/>
          <w:lang w:bidi="ar-IQ"/>
        </w:rPr>
        <w:t>. This pattern (wider gap/higher stability) is practically associated with reducing stochastic redox reactions and enhancing the safety of the delivery system within the blood</w:t>
      </w:r>
      <w:r w:rsidR="00DC5D17">
        <w:rPr>
          <w:rFonts w:asciiTheme="majorBidi" w:eastAsia="Calibri" w:hAnsiTheme="majorBidi" w:cstheme="majorBidi"/>
          <w:lang w:bidi="ar-IQ"/>
        </w:rPr>
        <w:t xml:space="preserve"> </w:t>
      </w:r>
      <w:r w:rsidRPr="00B76A69">
        <w:rPr>
          <w:rFonts w:asciiTheme="majorBidi" w:eastAsia="Calibri" w:hAnsiTheme="majorBidi" w:cstheme="majorBidi"/>
          <w:lang w:bidi="ar-IQ"/>
        </w:rPr>
        <w:fldChar w:fldCharType="begin"/>
      </w:r>
      <w:r w:rsidRPr="00B76A69">
        <w:rPr>
          <w:rFonts w:asciiTheme="majorBidi" w:eastAsia="Calibri" w:hAnsiTheme="majorBidi" w:cstheme="majorBidi"/>
          <w:lang w:bidi="ar-IQ"/>
        </w:rPr>
        <w:instrText xml:space="preserve"> ADDIN EN.CITE &lt;EndNote&gt;&lt;Cite&gt;&lt;Author&gt;Chudoba&lt;/Author&gt;&lt;Year&gt;2020&lt;/Year&gt;&lt;RecNum&gt;5&lt;/RecNum&gt;&lt;DisplayText&gt;[18]&lt;/DisplayText&gt;&lt;record&gt;&lt;rec-number&gt;5&lt;/rec-number&gt;&lt;foreign-keys&gt;&lt;key app="EN" db-id="ftfpwx9072pte8e55zhppzxtrvd29adze5v5" timestamp="1757791687"&gt;5&lt;/key&gt;&lt;/foreign-keys&gt;&lt;ref-type name="Journal Article"&gt;17&lt;/ref-type&gt;&lt;contributors&gt;&lt;authors&gt;&lt;author&gt;Chudoba, Dorota&lt;/author&gt;&lt;author&gt;Łudzik, Katarzyna&lt;/author&gt;&lt;author&gt;Jażdżewska, Monika&lt;/author&gt;&lt;author&gt;Wołoszczuk, Sebastian&lt;/author&gt;&lt;/authors&gt;&lt;/contributors&gt;&lt;titles&gt;&lt;title&gt;Kinetic and equilibrium studies of doxorubicin adsorption onto carbon nanotubes&lt;/title&gt;&lt;secondary-title&gt;International Journal of Molecular Sciences&lt;/secondary-title&gt;&lt;/titles&gt;&lt;periodical&gt;&lt;full-title&gt;International Journal of Molecular Sciences&lt;/full-title&gt;&lt;/periodical&gt;&lt;pages&gt;8230&lt;/pages&gt;&lt;volume&gt;21&lt;/volume&gt;&lt;number&gt;21&lt;/number&gt;&lt;dates&gt;&lt;year&gt;2020&lt;/year&gt;&lt;/dates&gt;&lt;isbn&gt;1422-0067&lt;/isbn&gt;&lt;urls&gt;&lt;/urls&gt;&lt;/record&gt;&lt;/Cite&gt;&lt;/EndNote&gt;</w:instrText>
      </w:r>
      <w:r w:rsidRPr="00B76A69">
        <w:rPr>
          <w:rFonts w:asciiTheme="majorBidi" w:eastAsia="Calibri" w:hAnsiTheme="majorBidi" w:cstheme="majorBidi"/>
          <w:lang w:bidi="ar-IQ"/>
        </w:rPr>
        <w:fldChar w:fldCharType="separate"/>
      </w:r>
      <w:r w:rsidRPr="00B76A69">
        <w:rPr>
          <w:rFonts w:asciiTheme="majorBidi" w:eastAsia="Calibri" w:hAnsiTheme="majorBidi" w:cstheme="majorBidi"/>
          <w:lang w:bidi="ar-IQ"/>
        </w:rPr>
        <w:t>[18]</w:t>
      </w:r>
      <w:r w:rsidRPr="00B76A69">
        <w:rPr>
          <w:rFonts w:asciiTheme="majorBidi" w:eastAsia="Calibri" w:hAnsiTheme="majorBidi" w:cstheme="majorBidi"/>
          <w:lang w:bidi="ar-IQ"/>
        </w:rPr>
        <w:fldChar w:fldCharType="end"/>
      </w:r>
      <w:r w:rsidRPr="00B76A69">
        <w:rPr>
          <w:rFonts w:asciiTheme="majorBidi" w:eastAsia="Calibri" w:hAnsiTheme="majorBidi" w:cstheme="majorBidi"/>
          <w:lang w:bidi="ar-IQ"/>
        </w:rPr>
        <w:t>.</w:t>
      </w:r>
    </w:p>
    <w:p w14:paraId="525D124D" w14:textId="6B207920" w:rsidR="00B76A69" w:rsidRDefault="00B76A69" w:rsidP="005B50CD">
      <w:pPr>
        <w:pStyle w:val="Paragraph"/>
        <w:rPr>
          <w:rFonts w:asciiTheme="majorBidi" w:eastAsia="Calibri" w:hAnsiTheme="majorBidi" w:cstheme="majorBidi"/>
          <w:lang w:bidi="ar-IQ"/>
        </w:rPr>
      </w:pPr>
      <w:r w:rsidRPr="00B76A69">
        <w:rPr>
          <w:rFonts w:asciiTheme="majorBidi" w:eastAsia="Calibri" w:hAnsiTheme="majorBidi" w:cstheme="majorBidi"/>
          <w:lang w:bidi="ar-IQ"/>
        </w:rPr>
        <w:t xml:space="preserve">Binding to the target </w:t>
      </w:r>
      <w:r w:rsidR="00DC5D17">
        <w:rPr>
          <w:rFonts w:asciiTheme="majorBidi" w:eastAsia="Calibri" w:hAnsiTheme="majorBidi" w:cstheme="majorBidi"/>
          <w:lang w:bidi="ar-IQ"/>
        </w:rPr>
        <w:t>c</w:t>
      </w:r>
      <w:r w:rsidRPr="00B76A69">
        <w:rPr>
          <w:rFonts w:asciiTheme="majorBidi" w:eastAsia="Calibri" w:hAnsiTheme="majorBidi" w:cstheme="majorBidi"/>
          <w:lang w:bidi="ar-IQ"/>
        </w:rPr>
        <w:t>ombining the transparency of the fluorescence (Fig</w:t>
      </w:r>
      <w:r w:rsidR="005B50CD">
        <w:rPr>
          <w:rFonts w:asciiTheme="majorBidi" w:eastAsia="Calibri" w:hAnsiTheme="majorBidi" w:cstheme="majorBidi"/>
          <w:lang w:bidi="ar-IQ"/>
        </w:rPr>
        <w:t>.</w:t>
      </w:r>
      <w:r w:rsidRPr="00B76A69">
        <w:rPr>
          <w:rFonts w:asciiTheme="majorBidi" w:eastAsia="Calibri" w:hAnsiTheme="majorBidi" w:cstheme="majorBidi"/>
          <w:lang w:bidi="ar-IQ"/>
        </w:rPr>
        <w:t xml:space="preserve"> 5) with the wide electronic gap (Figure </w:t>
      </w:r>
      <w:r w:rsidRPr="00B76A69">
        <w:rPr>
          <w:rFonts w:asciiTheme="majorBidi" w:eastAsia="Calibri" w:hAnsiTheme="majorBidi" w:cstheme="majorBidi" w:hint="cs"/>
          <w:rtl/>
          <w:lang w:bidi="ar-IQ"/>
        </w:rPr>
        <w:t>6</w:t>
      </w:r>
      <w:r w:rsidRPr="00B76A69">
        <w:rPr>
          <w:rFonts w:asciiTheme="majorBidi" w:eastAsia="Calibri" w:hAnsiTheme="majorBidi" w:cstheme="majorBidi"/>
          <w:lang w:bidi="ar-IQ"/>
        </w:rPr>
        <w:t xml:space="preserve">), </w:t>
      </w:r>
      <w:proofErr w:type="gramStart"/>
      <w:r w:rsidRPr="00B76A69">
        <w:rPr>
          <w:rFonts w:asciiTheme="majorBidi" w:eastAsia="Calibri" w:hAnsiTheme="majorBidi" w:cstheme="majorBidi"/>
          <w:lang w:bidi="ar-IQ"/>
        </w:rPr>
        <w:t>it is clear that the</w:t>
      </w:r>
      <w:proofErr w:type="gramEnd"/>
      <w:r w:rsidRPr="00B76A69">
        <w:rPr>
          <w:rFonts w:asciiTheme="majorBidi" w:eastAsia="Calibri" w:hAnsiTheme="majorBidi" w:cstheme="majorBidi"/>
          <w:lang w:bidi="ar-IQ"/>
        </w:rPr>
        <w:t xml:space="preserve"> Cancer–DOX–FDG system is suitable for safe intravenous delivery: no harmful absorption into the fluorescence, and electronic stability reduces side effects. Functionally, DOX maintains its active structure, while FDG adds selectivity directed through glucose uptake pathways (GLUT/Warburg effect) without introducing unwanted photonic features</w:t>
      </w:r>
      <w:r w:rsidR="00DC5D17">
        <w:rPr>
          <w:rFonts w:asciiTheme="majorBidi" w:eastAsia="Calibri" w:hAnsiTheme="majorBidi" w:cstheme="majorBidi"/>
          <w:lang w:bidi="ar-IQ"/>
        </w:rPr>
        <w:t xml:space="preserve"> </w:t>
      </w:r>
      <w:r w:rsidRPr="00B76A69">
        <w:rPr>
          <w:rFonts w:asciiTheme="majorBidi" w:eastAsia="Calibri" w:hAnsiTheme="majorBidi" w:cstheme="majorBidi"/>
          <w:lang w:bidi="ar-IQ"/>
        </w:rPr>
        <w:fldChar w:fldCharType="begin"/>
      </w:r>
      <w:r w:rsidRPr="00B76A69">
        <w:rPr>
          <w:rFonts w:asciiTheme="majorBidi" w:eastAsia="Calibri" w:hAnsiTheme="majorBidi" w:cstheme="majorBidi"/>
          <w:lang w:bidi="ar-IQ"/>
        </w:rPr>
        <w:instrText xml:space="preserve"> ADDIN EN.CITE &lt;EndNote&gt;&lt;Cite&gt;&lt;Author&gt;Gayathri&lt;/Author&gt;&lt;Year&gt;2024&lt;/Year&gt;&lt;RecNum&gt;2&lt;/RecNum&gt;&lt;DisplayText&gt;[16, 17]&lt;/DisplayText&gt;&lt;record&gt;&lt;rec-number&gt;2&lt;/rec-number&gt;&lt;foreign-keys&gt;&lt;key app="EN" db-id="ftfpwx9072pte8e55zhppzxtrvd29adze5v5" timestamp="1757791532"&gt;2&lt;/key&gt;&lt;/foreign-keys&gt;&lt;ref-type name="Journal Article"&gt;17&lt;/ref-type&gt;&lt;contributors&gt;&lt;authors&gt;&lt;author&gt;Gayathri, K&lt;/author&gt;&lt;author&gt;Vidya, R&lt;/author&gt;&lt;/authors&gt;&lt;/contributors&gt;&lt;titles&gt;&lt;title&gt;Carbon nanomaterials as carriers for the anti-cancer drug doxorubicin: a review on theoretical and experimental studies&lt;/title&gt;&lt;secondary-title&gt;Nanoscale Advances&lt;/secondary-title&gt;&lt;/titles&gt;&lt;periodical&gt;&lt;full-title&gt;Nanoscale Advances&lt;/full-title&gt;&lt;/periodical&gt;&lt;pages&gt;3992-4014&lt;/pages&gt;&lt;volume&gt;6&lt;/volume&gt;&lt;number&gt;16&lt;/number&gt;&lt;dates&gt;&lt;year&gt;2024&lt;/year&gt;&lt;/dates&gt;&lt;urls&gt;&lt;/urls&gt;&lt;/record&gt;&lt;/Cite&gt;&lt;Cite&gt;&lt;Author&gt;Maisuradze&lt;/Author&gt;&lt;Year&gt;2024&lt;/Year&gt;&lt;RecNum&gt;1&lt;/RecNum&gt;&lt;record&gt;&lt;rec-number&gt;1&lt;/rec-number&gt;&lt;foreign-keys&gt;&lt;key app="EN" db-id="ftfpwx9072pte8e55zhppzxtrvd29adze5v5" timestamp="1757782897"&gt;1&lt;/key&gt;&lt;/foreign-keys&gt;&lt;ref-type name="Journal Article"&gt;17&lt;/ref-type&gt;&lt;contributors&gt;&lt;authors&gt;&lt;author&gt;Maisuradze, Nino&lt;/author&gt;&lt;author&gt;Kekutia, Shalva&lt;/author&gt;&lt;author&gt;Markhulia, Jano&lt;/author&gt;&lt;author&gt;Tsertsvadze, Tamar&lt;/author&gt;&lt;author&gt;Mikelashvili, Vladimer&lt;/author&gt;&lt;author&gt;Saneblidze, Liana&lt;/author&gt;&lt;author&gt;Chkhaidze, Nikoloz&lt;/author&gt;&lt;author&gt;Horváth, Zsolt Endre&lt;/author&gt;&lt;author&gt;Almásy, László&lt;/author&gt;&lt;author&gt;Mitskevichi, Nunu&lt;/author&gt;&lt;/authors&gt;&lt;/contributors&gt;&lt;titles&gt;&lt;title&gt;Characteristics and Antitumor Activity of Doxorubicin-Loaded Multifunctional Iron Oxide Nanoparticles in MEC1 and RM1 Cell Lines&lt;/title&gt;&lt;secondary-title&gt;Journal of Functional Biomaterials&lt;/secondary-title&gt;&lt;/titles&gt;&lt;periodical&gt;&lt;full-title&gt;Journal of Functional Biomaterials&lt;/full-title&gt;&lt;/periodical&gt;&lt;pages&gt;364&lt;/pages&gt;&lt;volume&gt;15&lt;/volume&gt;&lt;number&gt;12&lt;/number&gt;&lt;dates&gt;&lt;year&gt;2024&lt;/year&gt;&lt;/dates&gt;&lt;isbn&gt;2079-4983&lt;/isbn&gt;&lt;urls&gt;&lt;/urls&gt;&lt;/record&gt;&lt;/Cite&gt;&lt;/EndNote&gt;</w:instrText>
      </w:r>
      <w:r w:rsidRPr="00B76A69">
        <w:rPr>
          <w:rFonts w:asciiTheme="majorBidi" w:eastAsia="Calibri" w:hAnsiTheme="majorBidi" w:cstheme="majorBidi"/>
          <w:lang w:bidi="ar-IQ"/>
        </w:rPr>
        <w:fldChar w:fldCharType="separate"/>
      </w:r>
      <w:r w:rsidRPr="00B76A69">
        <w:rPr>
          <w:rFonts w:asciiTheme="majorBidi" w:eastAsia="Calibri" w:hAnsiTheme="majorBidi" w:cstheme="majorBidi"/>
          <w:lang w:bidi="ar-IQ"/>
        </w:rPr>
        <w:t>[16, 17]</w:t>
      </w:r>
      <w:r w:rsidRPr="00B76A69">
        <w:rPr>
          <w:rFonts w:asciiTheme="majorBidi" w:eastAsia="Calibri" w:hAnsiTheme="majorBidi" w:cstheme="majorBidi"/>
          <w:lang w:bidi="ar-IQ"/>
        </w:rPr>
        <w:fldChar w:fldCharType="end"/>
      </w:r>
      <w:r w:rsidRPr="00B76A69">
        <w:rPr>
          <w:rFonts w:asciiTheme="majorBidi" w:eastAsia="Calibri" w:hAnsiTheme="majorBidi" w:cstheme="majorBidi"/>
          <w:lang w:bidi="ar-IQ"/>
        </w:rPr>
        <w:t>.</w:t>
      </w:r>
    </w:p>
    <w:p w14:paraId="71711892" w14:textId="77777777" w:rsidR="00565EF7" w:rsidRPr="00B76A69" w:rsidRDefault="00565EF7" w:rsidP="00565EF7">
      <w:pPr>
        <w:pStyle w:val="Paragraph"/>
        <w:ind w:firstLine="0"/>
        <w:rPr>
          <w:rFonts w:asciiTheme="majorBidi" w:eastAsia="Calibri" w:hAnsiTheme="majorBidi" w:cstheme="majorBidi"/>
          <w:lang w:bidi="ar-IQ"/>
        </w:rPr>
      </w:pPr>
    </w:p>
    <w:p w14:paraId="51020C3E" w14:textId="77777777" w:rsidR="002E13A2" w:rsidRDefault="002E13A2" w:rsidP="00B232AE">
      <w:pPr>
        <w:pStyle w:val="FigureCaption"/>
        <w:spacing w:before="0"/>
        <w:rPr>
          <w:rFonts w:asciiTheme="majorBidi" w:eastAsia="MS Mincho" w:hAnsiTheme="majorBidi" w:cstheme="majorBidi"/>
          <w:b/>
          <w:bCs/>
          <w:szCs w:val="18"/>
        </w:rPr>
      </w:pPr>
      <w:bookmarkStart w:id="8" w:name="_Hlk210403717"/>
      <w:r>
        <w:rPr>
          <w:noProof/>
        </w:rPr>
        <w:drawing>
          <wp:inline distT="0" distB="0" distL="0" distR="0" wp14:anchorId="7FF9714B" wp14:editId="0819C0E9">
            <wp:extent cx="4142740" cy="2476500"/>
            <wp:effectExtent l="0" t="0" r="0" b="0"/>
            <wp:docPr id="917116138" name="Picture 1" descr="A graph of a blue and green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116138" name="Picture 1" descr="A graph of a blue and green line&#10;&#10;AI-generated content may be incorrect."/>
                    <pic:cNvPicPr>
                      <a:picLocks noChangeAspect="1"/>
                    </pic:cNvPicPr>
                  </pic:nvPicPr>
                  <pic:blipFill>
                    <a:blip r:embed="rId20"/>
                    <a:stretch>
                      <a:fillRect/>
                    </a:stretch>
                  </pic:blipFill>
                  <pic:spPr>
                    <a:xfrm>
                      <a:off x="0" y="0"/>
                      <a:ext cx="4156201" cy="2484547"/>
                    </a:xfrm>
                    <a:prstGeom prst="rect">
                      <a:avLst/>
                    </a:prstGeom>
                  </pic:spPr>
                </pic:pic>
              </a:graphicData>
            </a:graphic>
          </wp:inline>
        </w:drawing>
      </w:r>
    </w:p>
    <w:p w14:paraId="26C286F6" w14:textId="3595DB12" w:rsidR="008C58EA" w:rsidRDefault="008C58EA" w:rsidP="00B232AE">
      <w:pPr>
        <w:pStyle w:val="FigureCaption"/>
        <w:spacing w:before="0"/>
        <w:rPr>
          <w:rFonts w:asciiTheme="majorBidi" w:eastAsia="Calibri" w:hAnsiTheme="majorBidi" w:cstheme="majorBidi"/>
        </w:rPr>
      </w:pPr>
      <w:r w:rsidRPr="00570DD7">
        <w:rPr>
          <w:rFonts w:asciiTheme="majorBidi" w:eastAsia="MS Mincho" w:hAnsiTheme="majorBidi" w:cstheme="majorBidi"/>
          <w:b/>
          <w:bCs/>
          <w:szCs w:val="18"/>
        </w:rPr>
        <w:t xml:space="preserve">FIGURE </w:t>
      </w:r>
      <w:r w:rsidR="003F5020">
        <w:rPr>
          <w:rFonts w:asciiTheme="majorBidi" w:eastAsia="MS Mincho" w:hAnsiTheme="majorBidi" w:cstheme="majorBidi" w:hint="cs"/>
          <w:b/>
          <w:bCs/>
          <w:szCs w:val="18"/>
          <w:rtl/>
        </w:rPr>
        <w:t>6</w:t>
      </w:r>
      <w:r w:rsidRPr="00570DD7">
        <w:rPr>
          <w:rFonts w:asciiTheme="majorBidi" w:eastAsia="MS Mincho" w:hAnsiTheme="majorBidi" w:cstheme="majorBidi"/>
          <w:b/>
          <w:bCs/>
          <w:szCs w:val="18"/>
        </w:rPr>
        <w:t>.</w:t>
      </w:r>
      <w:r w:rsidR="00DC5D17">
        <w:rPr>
          <w:rFonts w:asciiTheme="majorBidi" w:eastAsia="MS Mincho" w:hAnsiTheme="majorBidi" w:cstheme="majorBidi"/>
          <w:b/>
          <w:bCs/>
          <w:szCs w:val="18"/>
        </w:rPr>
        <w:t xml:space="preserve"> </w:t>
      </w:r>
      <w:r w:rsidR="00803F27">
        <w:rPr>
          <w:rFonts w:asciiTheme="majorBidi" w:eastAsia="Calibri" w:hAnsiTheme="majorBidi" w:cstheme="majorBidi"/>
        </w:rPr>
        <w:t>A</w:t>
      </w:r>
      <w:r w:rsidR="003F5020" w:rsidRPr="003F5020">
        <w:rPr>
          <w:rFonts w:asciiTheme="majorBidi" w:eastAsia="Calibri" w:hAnsiTheme="majorBidi" w:cstheme="majorBidi"/>
        </w:rPr>
        <w:t xml:space="preserve">bsorption spectrum of the docking model of cancer docking with doxorubicin and </w:t>
      </w:r>
      <w:proofErr w:type="gramStart"/>
      <w:r w:rsidR="003F5020" w:rsidRPr="003F5020">
        <w:rPr>
          <w:rFonts w:asciiTheme="majorBidi" w:eastAsia="Calibri" w:hAnsiTheme="majorBidi" w:cstheme="majorBidi"/>
        </w:rPr>
        <w:t>the dye</w:t>
      </w:r>
      <w:proofErr w:type="gramEnd"/>
      <w:r w:rsidR="003F5020" w:rsidRPr="003F5020">
        <w:rPr>
          <w:rFonts w:asciiTheme="majorBidi" w:eastAsia="Calibri" w:hAnsiTheme="majorBidi" w:cstheme="majorBidi"/>
        </w:rPr>
        <w:t xml:space="preserve"> (</w:t>
      </w:r>
      <w:r w:rsidR="003F5020" w:rsidRPr="003E38BD">
        <w:rPr>
          <w:rFonts w:asciiTheme="majorBidi" w:eastAsia="Calibri" w:hAnsiTheme="majorBidi" w:cstheme="majorBidi"/>
          <w:vertAlign w:val="superscript"/>
        </w:rPr>
        <w:t>18</w:t>
      </w:r>
      <w:r w:rsidR="003F5020" w:rsidRPr="003F5020">
        <w:rPr>
          <w:rFonts w:asciiTheme="majorBidi" w:eastAsia="Calibri" w:hAnsiTheme="majorBidi" w:cstheme="majorBidi"/>
        </w:rPr>
        <w:t>F-FDG).</w:t>
      </w:r>
      <w:bookmarkEnd w:id="8"/>
    </w:p>
    <w:p w14:paraId="4AA23FCA" w14:textId="77777777" w:rsidR="00565EF7" w:rsidRDefault="00565EF7" w:rsidP="00565EF7">
      <w:pPr>
        <w:pStyle w:val="Paragraph"/>
        <w:ind w:firstLine="0"/>
        <w:rPr>
          <w:rFonts w:eastAsia="Calibri"/>
        </w:rPr>
      </w:pPr>
    </w:p>
    <w:p w14:paraId="57EDCAB8" w14:textId="77777777" w:rsidR="002E13A2" w:rsidRDefault="002E13A2" w:rsidP="00B232AE">
      <w:pPr>
        <w:pStyle w:val="FigureCaption"/>
        <w:spacing w:before="0"/>
        <w:rPr>
          <w:rFonts w:asciiTheme="majorBidi" w:eastAsia="MS Mincho" w:hAnsiTheme="majorBidi" w:cstheme="majorBidi"/>
          <w:b/>
          <w:bCs/>
          <w:szCs w:val="18"/>
        </w:rPr>
      </w:pPr>
      <w:r>
        <w:rPr>
          <w:noProof/>
        </w:rPr>
        <w:drawing>
          <wp:inline distT="0" distB="0" distL="0" distR="0" wp14:anchorId="7E7A6BC3" wp14:editId="17003326">
            <wp:extent cx="3568065" cy="2019300"/>
            <wp:effectExtent l="0" t="0" r="0" b="0"/>
            <wp:docPr id="1637709766" name="Picture 1" descr="A graph of energy and energ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709766" name="Picture 1" descr="A graph of energy and energy&#10;&#10;AI-generated content may be incorrect."/>
                    <pic:cNvPicPr>
                      <a:picLocks noChangeAspect="1"/>
                    </pic:cNvPicPr>
                  </pic:nvPicPr>
                  <pic:blipFill>
                    <a:blip r:embed="rId21"/>
                    <a:stretch>
                      <a:fillRect/>
                    </a:stretch>
                  </pic:blipFill>
                  <pic:spPr>
                    <a:xfrm>
                      <a:off x="0" y="0"/>
                      <a:ext cx="3580166" cy="2026148"/>
                    </a:xfrm>
                    <a:prstGeom prst="rect">
                      <a:avLst/>
                    </a:prstGeom>
                  </pic:spPr>
                </pic:pic>
              </a:graphicData>
            </a:graphic>
          </wp:inline>
        </w:drawing>
      </w:r>
    </w:p>
    <w:p w14:paraId="325427A1" w14:textId="4BB41DF3" w:rsidR="003F5020" w:rsidRDefault="003F5020" w:rsidP="00B232AE">
      <w:pPr>
        <w:pStyle w:val="FigureCaption"/>
        <w:spacing w:before="0"/>
        <w:rPr>
          <w:rFonts w:asciiTheme="majorBidi" w:eastAsia="Calibri" w:hAnsiTheme="majorBidi" w:cstheme="majorBidi"/>
        </w:rPr>
      </w:pPr>
      <w:r w:rsidRPr="00570DD7">
        <w:rPr>
          <w:rFonts w:asciiTheme="majorBidi" w:eastAsia="MS Mincho" w:hAnsiTheme="majorBidi" w:cstheme="majorBidi"/>
          <w:b/>
          <w:bCs/>
          <w:szCs w:val="18"/>
        </w:rPr>
        <w:t>FIGURE</w:t>
      </w:r>
      <w:r w:rsidR="00DC5D17">
        <w:rPr>
          <w:rFonts w:asciiTheme="majorBidi" w:eastAsia="MS Mincho" w:hAnsiTheme="majorBidi" w:cstheme="majorBidi"/>
          <w:b/>
          <w:bCs/>
          <w:szCs w:val="18"/>
        </w:rPr>
        <w:t xml:space="preserve"> </w:t>
      </w:r>
      <w:r>
        <w:rPr>
          <w:rFonts w:asciiTheme="majorBidi" w:eastAsia="MS Mincho" w:hAnsiTheme="majorBidi" w:cstheme="majorBidi" w:hint="cs"/>
          <w:b/>
          <w:bCs/>
          <w:szCs w:val="18"/>
          <w:rtl/>
        </w:rPr>
        <w:t>7</w:t>
      </w:r>
      <w:r w:rsidR="00DC5D17">
        <w:rPr>
          <w:rFonts w:asciiTheme="majorBidi" w:eastAsia="MS Mincho" w:hAnsiTheme="majorBidi" w:cstheme="majorBidi"/>
          <w:b/>
          <w:bCs/>
          <w:szCs w:val="18"/>
          <w:lang w:val="en-GB"/>
        </w:rPr>
        <w:t>.</w:t>
      </w:r>
      <w:r w:rsidRPr="003F5020">
        <w:rPr>
          <w:rFonts w:asciiTheme="majorBidi" w:eastAsia="Calibri" w:hAnsiTheme="majorBidi" w:cstheme="majorBidi"/>
        </w:rPr>
        <w:t xml:space="preserve"> </w:t>
      </w:r>
      <w:r w:rsidRPr="00B76A69">
        <w:rPr>
          <w:rFonts w:asciiTheme="majorBidi" w:eastAsia="Calibri" w:hAnsiTheme="majorBidi" w:cstheme="majorBidi"/>
        </w:rPr>
        <w:t>Density of states (DOS) spectrum of the docking model of cancer docking with doxorubicin and the dye (</w:t>
      </w:r>
      <w:r w:rsidRPr="003E38BD">
        <w:rPr>
          <w:rFonts w:asciiTheme="majorBidi" w:eastAsia="Calibri" w:hAnsiTheme="majorBidi" w:cstheme="majorBidi"/>
          <w:vertAlign w:val="superscript"/>
        </w:rPr>
        <w:t>18</w:t>
      </w:r>
      <w:r w:rsidRPr="00B76A69">
        <w:rPr>
          <w:rFonts w:asciiTheme="majorBidi" w:eastAsia="Calibri" w:hAnsiTheme="majorBidi" w:cstheme="majorBidi"/>
        </w:rPr>
        <w:t>F-FDG)</w:t>
      </w:r>
      <w:r w:rsidR="00DC5D17">
        <w:rPr>
          <w:rFonts w:asciiTheme="majorBidi" w:eastAsia="Calibri" w:hAnsiTheme="majorBidi" w:cstheme="majorBidi"/>
        </w:rPr>
        <w:t>.</w:t>
      </w:r>
    </w:p>
    <w:p w14:paraId="26C39B98" w14:textId="77777777" w:rsidR="005C29EB" w:rsidRDefault="005C29EB" w:rsidP="00565EF7">
      <w:pPr>
        <w:pStyle w:val="Paragraph"/>
        <w:ind w:firstLine="0"/>
        <w:rPr>
          <w:rFonts w:eastAsia="Calibri"/>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96"/>
      </w:tblGrid>
      <w:tr w:rsidR="00565EF7" w14:paraId="7A507CBF" w14:textId="77777777" w:rsidTr="002E13A2">
        <w:trPr>
          <w:jc w:val="center"/>
        </w:trPr>
        <w:tc>
          <w:tcPr>
            <w:tcW w:w="7296" w:type="dxa"/>
          </w:tcPr>
          <w:p w14:paraId="05A08665" w14:textId="29860B00" w:rsidR="00565EF7" w:rsidRDefault="00565EF7" w:rsidP="00565EF7">
            <w:pPr>
              <w:pStyle w:val="Paragraph"/>
              <w:ind w:firstLine="0"/>
              <w:rPr>
                <w:rFonts w:eastAsia="Calibri"/>
              </w:rPr>
            </w:pPr>
          </w:p>
        </w:tc>
      </w:tr>
    </w:tbl>
    <w:p w14:paraId="176F3B33" w14:textId="77777777" w:rsidR="002E13A2" w:rsidRDefault="002E13A2" w:rsidP="00410E3A">
      <w:pPr>
        <w:pStyle w:val="FigureCaption"/>
        <w:spacing w:before="0"/>
        <w:rPr>
          <w:rFonts w:eastAsia="MS Mincho"/>
          <w:b/>
          <w:bCs/>
          <w:szCs w:val="18"/>
        </w:rPr>
      </w:pPr>
      <w:r>
        <w:rPr>
          <w:noProof/>
        </w:rPr>
        <w:lastRenderedPageBreak/>
        <w:drawing>
          <wp:inline distT="0" distB="0" distL="0" distR="0" wp14:anchorId="252ECDCE" wp14:editId="343C07C5">
            <wp:extent cx="4283675" cy="1425146"/>
            <wp:effectExtent l="0" t="0" r="3175" b="3810"/>
            <wp:docPr id="1936867949" name="Picture 1" descr="A graph of a blue and green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867949" name="Picture 1" descr="A graph of a blue and green line&#10;&#10;AI-generated content may be incorrect."/>
                    <pic:cNvPicPr>
                      <a:picLocks noChangeAspect="1"/>
                    </pic:cNvPicPr>
                  </pic:nvPicPr>
                  <pic:blipFill>
                    <a:blip r:embed="rId22"/>
                    <a:stretch>
                      <a:fillRect/>
                    </a:stretch>
                  </pic:blipFill>
                  <pic:spPr>
                    <a:xfrm>
                      <a:off x="0" y="0"/>
                      <a:ext cx="4288718" cy="1426824"/>
                    </a:xfrm>
                    <a:prstGeom prst="rect">
                      <a:avLst/>
                    </a:prstGeom>
                  </pic:spPr>
                </pic:pic>
              </a:graphicData>
            </a:graphic>
          </wp:inline>
        </w:drawing>
      </w:r>
    </w:p>
    <w:p w14:paraId="5E34CFEA" w14:textId="1660B793" w:rsidR="003F5020" w:rsidRPr="00410E3A" w:rsidRDefault="003F5020" w:rsidP="00410E3A">
      <w:pPr>
        <w:pStyle w:val="FigureCaption"/>
        <w:spacing w:before="0"/>
        <w:rPr>
          <w:rFonts w:eastAsia="Calibri"/>
          <w:szCs w:val="18"/>
        </w:rPr>
      </w:pPr>
      <w:r w:rsidRPr="00410E3A">
        <w:rPr>
          <w:rFonts w:eastAsia="MS Mincho"/>
          <w:b/>
          <w:bCs/>
          <w:szCs w:val="18"/>
        </w:rPr>
        <w:t>FIGURE</w:t>
      </w:r>
      <w:r w:rsidR="00DC5D17" w:rsidRPr="00410E3A">
        <w:rPr>
          <w:rFonts w:eastAsia="MS Mincho"/>
          <w:b/>
          <w:bCs/>
          <w:szCs w:val="18"/>
        </w:rPr>
        <w:t xml:space="preserve"> </w:t>
      </w:r>
      <w:r w:rsidRPr="00410E3A">
        <w:rPr>
          <w:rFonts w:eastAsia="MS Mincho"/>
          <w:b/>
          <w:bCs/>
          <w:szCs w:val="18"/>
          <w:rtl/>
        </w:rPr>
        <w:t>8</w:t>
      </w:r>
      <w:r w:rsidR="00DC5D17" w:rsidRPr="00410E3A">
        <w:rPr>
          <w:rFonts w:eastAsia="Calibri"/>
          <w:szCs w:val="18"/>
        </w:rPr>
        <w:t>.</w:t>
      </w:r>
      <w:r w:rsidRPr="00410E3A">
        <w:rPr>
          <w:rFonts w:eastAsia="Calibri"/>
          <w:szCs w:val="18"/>
        </w:rPr>
        <w:t xml:space="preserve">  </w:t>
      </w:r>
      <w:r w:rsidR="00803F27" w:rsidRPr="00410E3A">
        <w:rPr>
          <w:rFonts w:eastAsia="Calibri"/>
          <w:szCs w:val="18"/>
        </w:rPr>
        <w:t>A</w:t>
      </w:r>
      <w:r w:rsidRPr="00410E3A">
        <w:rPr>
          <w:rFonts w:eastAsia="Calibri"/>
          <w:szCs w:val="18"/>
        </w:rPr>
        <w:t xml:space="preserve">bsorption spectrum of the docking model of cancer docking with doxorubicin and the </w:t>
      </w:r>
      <w:r w:rsidR="00DC5D17" w:rsidRPr="00410E3A">
        <w:rPr>
          <w:rFonts w:eastAsia="Calibri"/>
          <w:szCs w:val="18"/>
        </w:rPr>
        <w:t>nano (</w:t>
      </w:r>
      <w:proofErr w:type="spellStart"/>
      <w:r w:rsidR="00DC5D17" w:rsidRPr="00410E3A">
        <w:rPr>
          <w:rFonts w:eastAsia="Calibri"/>
          <w:szCs w:val="18"/>
        </w:rPr>
        <w:t>CaTiO</w:t>
      </w:r>
      <w:proofErr w:type="spellEnd"/>
      <w:proofErr w:type="gramStart"/>
      <w:r w:rsidR="00DC5D17" w:rsidRPr="00410E3A">
        <w:rPr>
          <w:rFonts w:eastAsia="Calibri"/>
          <w:szCs w:val="18"/>
        </w:rPr>
        <w:t>₃)₂</w:t>
      </w:r>
      <w:proofErr w:type="gramEnd"/>
      <w:r w:rsidRPr="00410E3A">
        <w:rPr>
          <w:rFonts w:eastAsia="Calibri"/>
          <w:szCs w:val="18"/>
        </w:rPr>
        <w:t>.</w:t>
      </w:r>
    </w:p>
    <w:p w14:paraId="045355C6" w14:textId="77777777" w:rsidR="002E13A2" w:rsidRDefault="002E13A2" w:rsidP="00803F27">
      <w:pPr>
        <w:pStyle w:val="FigureCaption"/>
        <w:rPr>
          <w:rFonts w:asciiTheme="majorBidi" w:eastAsia="MS Mincho" w:hAnsiTheme="majorBidi" w:cstheme="majorBidi"/>
          <w:b/>
          <w:bCs/>
          <w:szCs w:val="18"/>
        </w:rPr>
      </w:pPr>
      <w:bookmarkStart w:id="9" w:name="_Hlk210404308"/>
      <w:r>
        <w:rPr>
          <w:noProof/>
        </w:rPr>
        <w:drawing>
          <wp:inline distT="0" distB="0" distL="0" distR="0" wp14:anchorId="6C490A5D" wp14:editId="231C24CB">
            <wp:extent cx="4277258" cy="1507525"/>
            <wp:effectExtent l="0" t="0" r="9525" b="0"/>
            <wp:docPr id="1026978664" name="Picture 1" descr="A graph of energy and energ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978664" name="Picture 1" descr="A graph of energy and energy&#10;&#10;AI-generated content may be incorrect."/>
                    <pic:cNvPicPr>
                      <a:picLocks noChangeAspect="1"/>
                    </pic:cNvPicPr>
                  </pic:nvPicPr>
                  <pic:blipFill>
                    <a:blip r:embed="rId23"/>
                    <a:stretch>
                      <a:fillRect/>
                    </a:stretch>
                  </pic:blipFill>
                  <pic:spPr>
                    <a:xfrm>
                      <a:off x="0" y="0"/>
                      <a:ext cx="4288931" cy="1511639"/>
                    </a:xfrm>
                    <a:prstGeom prst="rect">
                      <a:avLst/>
                    </a:prstGeom>
                  </pic:spPr>
                </pic:pic>
              </a:graphicData>
            </a:graphic>
          </wp:inline>
        </w:drawing>
      </w:r>
    </w:p>
    <w:p w14:paraId="4A59A3B7" w14:textId="213EE13B" w:rsidR="00B76A69" w:rsidRPr="005C29EB" w:rsidRDefault="003F5020" w:rsidP="00803F27">
      <w:pPr>
        <w:pStyle w:val="FigureCaption"/>
        <w:rPr>
          <w:rFonts w:asciiTheme="majorBidi" w:eastAsia="Calibri" w:hAnsiTheme="majorBidi" w:cstheme="majorBidi"/>
          <w:szCs w:val="18"/>
          <w:rtl/>
        </w:rPr>
      </w:pPr>
      <w:r w:rsidRPr="005C29EB">
        <w:rPr>
          <w:rFonts w:asciiTheme="majorBidi" w:eastAsia="MS Mincho" w:hAnsiTheme="majorBidi" w:cstheme="majorBidi"/>
          <w:b/>
          <w:bCs/>
          <w:szCs w:val="18"/>
        </w:rPr>
        <w:t>FIGURE</w:t>
      </w:r>
      <w:r w:rsidR="00DC5D17" w:rsidRPr="005C29EB">
        <w:rPr>
          <w:rFonts w:asciiTheme="majorBidi" w:eastAsia="MS Mincho" w:hAnsiTheme="majorBidi" w:cstheme="majorBidi"/>
          <w:b/>
          <w:bCs/>
          <w:szCs w:val="18"/>
        </w:rPr>
        <w:t xml:space="preserve"> </w:t>
      </w:r>
      <w:r w:rsidRPr="005C29EB">
        <w:rPr>
          <w:rFonts w:asciiTheme="majorBidi" w:eastAsia="MS Mincho" w:hAnsiTheme="majorBidi" w:cstheme="majorBidi" w:hint="cs"/>
          <w:b/>
          <w:bCs/>
          <w:szCs w:val="18"/>
          <w:rtl/>
        </w:rPr>
        <w:t>9</w:t>
      </w:r>
      <w:r w:rsidR="00803F27" w:rsidRPr="005C29EB">
        <w:rPr>
          <w:rFonts w:asciiTheme="majorBidi" w:eastAsia="MS Mincho" w:hAnsiTheme="majorBidi" w:cstheme="majorBidi"/>
          <w:b/>
          <w:bCs/>
          <w:szCs w:val="18"/>
          <w:lang w:val="en-GB"/>
        </w:rPr>
        <w:t>.</w:t>
      </w:r>
      <w:r w:rsidRPr="005C29EB">
        <w:rPr>
          <w:rFonts w:asciiTheme="majorBidi" w:eastAsia="Calibri" w:hAnsiTheme="majorBidi" w:cstheme="majorBidi"/>
          <w:szCs w:val="18"/>
        </w:rPr>
        <w:t xml:space="preserve"> </w:t>
      </w:r>
      <w:r w:rsidRPr="005C29EB">
        <w:rPr>
          <w:rFonts w:asciiTheme="majorBidi" w:eastAsia="Calibri" w:hAnsiTheme="majorBidi" w:cstheme="majorBidi" w:hint="cs"/>
          <w:szCs w:val="18"/>
          <w:rtl/>
        </w:rPr>
        <w:t xml:space="preserve"> </w:t>
      </w:r>
      <w:r w:rsidRPr="005C29EB">
        <w:rPr>
          <w:rFonts w:asciiTheme="majorBidi" w:eastAsia="Calibri" w:hAnsiTheme="majorBidi" w:cstheme="majorBidi"/>
          <w:szCs w:val="18"/>
          <w:lang w:bidi="ar-IQ"/>
        </w:rPr>
        <w:t xml:space="preserve">Density of states spectrum docking model of cancer docking with doxorubicin and </w:t>
      </w:r>
      <w:r w:rsidR="00803F27" w:rsidRPr="005C29EB">
        <w:rPr>
          <w:rFonts w:asciiTheme="majorBidi" w:eastAsia="Calibri" w:hAnsiTheme="majorBidi" w:cstheme="majorBidi"/>
          <w:szCs w:val="18"/>
          <w:lang w:bidi="ar-IQ"/>
        </w:rPr>
        <w:t>nano</w:t>
      </w:r>
      <w:r w:rsidRPr="005C29EB">
        <w:rPr>
          <w:rFonts w:asciiTheme="majorBidi" w:eastAsia="Calibri" w:hAnsiTheme="majorBidi" w:cstheme="majorBidi"/>
          <w:szCs w:val="18"/>
          <w:lang w:bidi="ar-IQ"/>
        </w:rPr>
        <w:t xml:space="preserve"> </w:t>
      </w:r>
      <w:r w:rsidRPr="005C29EB">
        <w:rPr>
          <w:rFonts w:eastAsia="Calibri"/>
          <w:szCs w:val="18"/>
        </w:rPr>
        <w:t>(</w:t>
      </w:r>
      <w:proofErr w:type="spellStart"/>
      <w:r w:rsidRPr="005C29EB">
        <w:rPr>
          <w:rFonts w:eastAsia="Calibri"/>
          <w:szCs w:val="18"/>
        </w:rPr>
        <w:t>CaTiO</w:t>
      </w:r>
      <w:proofErr w:type="spellEnd"/>
      <w:proofErr w:type="gramStart"/>
      <w:r w:rsidRPr="005C29EB">
        <w:rPr>
          <w:rFonts w:ascii="Cambria Math" w:eastAsia="Calibri" w:hAnsi="Cambria Math" w:cs="Cambria Math"/>
          <w:szCs w:val="18"/>
        </w:rPr>
        <w:t>₃</w:t>
      </w:r>
      <w:r w:rsidRPr="005C29EB">
        <w:rPr>
          <w:rFonts w:eastAsia="Calibri"/>
          <w:szCs w:val="18"/>
        </w:rPr>
        <w:t>)</w:t>
      </w:r>
      <w:r w:rsidRPr="005C29EB">
        <w:rPr>
          <w:rFonts w:ascii="Cambria Math" w:eastAsia="Calibri" w:hAnsi="Cambria Math" w:cs="Cambria Math"/>
          <w:szCs w:val="18"/>
        </w:rPr>
        <w:t>₂</w:t>
      </w:r>
      <w:proofErr w:type="gramEnd"/>
      <w:r w:rsidRPr="005C29EB">
        <w:rPr>
          <w:rFonts w:eastAsia="Calibri"/>
          <w:szCs w:val="18"/>
        </w:rPr>
        <w:t>.</w:t>
      </w:r>
      <w:r w:rsidRPr="005C29EB">
        <w:rPr>
          <w:rFonts w:asciiTheme="majorBidi" w:eastAsia="Calibri" w:hAnsiTheme="majorBidi" w:cstheme="majorBidi" w:hint="cs"/>
          <w:szCs w:val="18"/>
          <w:rtl/>
        </w:rPr>
        <w:t xml:space="preserve"> </w:t>
      </w:r>
    </w:p>
    <w:bookmarkEnd w:id="9"/>
    <w:p w14:paraId="7E26C4B1" w14:textId="77777777" w:rsidR="00DC5D17" w:rsidRDefault="00B76A69" w:rsidP="00B76A69">
      <w:pPr>
        <w:pStyle w:val="Paragraph"/>
        <w:rPr>
          <w:rFonts w:asciiTheme="majorBidi" w:eastAsia="Calibri" w:hAnsiTheme="majorBidi" w:cstheme="majorBidi"/>
          <w:lang w:bidi="ar-IQ"/>
        </w:rPr>
      </w:pPr>
      <w:r w:rsidRPr="00B76A69">
        <w:rPr>
          <w:rFonts w:asciiTheme="majorBidi" w:eastAsia="Calibri" w:hAnsiTheme="majorBidi" w:cstheme="majorBidi"/>
          <w:rtl/>
          <w:lang w:bidi="ar-IQ"/>
        </w:rPr>
        <w:t xml:space="preserve">   </w:t>
      </w:r>
    </w:p>
    <w:p w14:paraId="699E767F" w14:textId="68B25D6F" w:rsidR="00490172" w:rsidRPr="00490172" w:rsidRDefault="00490172" w:rsidP="005B50CD">
      <w:pPr>
        <w:pStyle w:val="Paragraph"/>
        <w:rPr>
          <w:rFonts w:asciiTheme="majorBidi" w:eastAsia="Calibri" w:hAnsiTheme="majorBidi" w:cstheme="majorBidi"/>
          <w:lang w:bidi="ar-IQ"/>
        </w:rPr>
      </w:pPr>
      <w:r w:rsidRPr="00490172">
        <w:rPr>
          <w:rFonts w:asciiTheme="majorBidi" w:eastAsia="Calibri" w:hAnsiTheme="majorBidi" w:cstheme="majorBidi"/>
          <w:lang w:bidi="ar-IQ"/>
        </w:rPr>
        <w:t>The spectrum in Fig</w:t>
      </w:r>
      <w:r w:rsidR="005B50CD">
        <w:rPr>
          <w:rFonts w:asciiTheme="majorBidi" w:eastAsia="Calibri" w:hAnsiTheme="majorBidi" w:cstheme="majorBidi"/>
          <w:lang w:bidi="ar-IQ"/>
        </w:rPr>
        <w:t>.</w:t>
      </w:r>
      <w:r w:rsidRPr="00490172">
        <w:rPr>
          <w:rFonts w:asciiTheme="majorBidi" w:eastAsia="Calibri" w:hAnsiTheme="majorBidi" w:cstheme="majorBidi"/>
          <w:lang w:bidi="ar-IQ"/>
        </w:rPr>
        <w:t xml:space="preserve"> 8 shows a strong absorption peak in the near-infrared (NIR) range above 1000 nm, with no significant absorption in the visible range (400–700 nm). This reflects the system's good optical transparency in the visible range, which reduces the potential for adverse photochemical reactions during intravenous use </w:t>
      </w:r>
      <w:r w:rsidRPr="00490172">
        <w:rPr>
          <w:rFonts w:asciiTheme="majorBidi" w:eastAsia="Calibri" w:hAnsiTheme="majorBidi" w:cstheme="majorBidi"/>
          <w:lang w:bidi="ar-IQ"/>
        </w:rPr>
        <w:fldChar w:fldCharType="begin"/>
      </w:r>
      <w:r w:rsidRPr="00490172">
        <w:rPr>
          <w:rFonts w:asciiTheme="majorBidi" w:eastAsia="Calibri" w:hAnsiTheme="majorBidi" w:cstheme="majorBidi"/>
          <w:lang w:bidi="ar-IQ"/>
        </w:rPr>
        <w:instrText xml:space="preserve"> ADDIN EN.CITE &lt;EndNote&gt;&lt;Cite&gt;&lt;Author&gt;Gayathri&lt;/Author&gt;&lt;Year&gt;2024&lt;/Year&gt;&lt;RecNum&gt;2&lt;/RecNum&gt;&lt;DisplayText&gt;[16, 19]&lt;/DisplayText&gt;&lt;record&gt;&lt;rec-number&gt;2&lt;/rec-number&gt;&lt;foreign-keys&gt;&lt;key app="EN" db-id="ftfpwx9072pte8e55zhppzxtrvd29adze5v5" timestamp="1757791532"&gt;2&lt;/key&gt;&lt;/foreign-keys&gt;&lt;ref-type name="Journal Article"&gt;17&lt;/ref-type&gt;&lt;contributors&gt;&lt;authors&gt;&lt;author&gt;Gayathri, K&lt;/author&gt;&lt;author&gt;Vidya, R&lt;/author&gt;&lt;/authors&gt;&lt;/contributors&gt;&lt;titles&gt;&lt;title&gt;Carbon nanomaterials as carriers for the anti-cancer drug doxorubicin: a review on theoretical and experimental studies&lt;/title&gt;&lt;secondary-title&gt;Nanoscale Advances&lt;/secondary-title&gt;&lt;/titles&gt;&lt;periodical&gt;&lt;full-title&gt;Nanoscale Advances&lt;/full-title&gt;&lt;/periodical&gt;&lt;pages&gt;3992-4014&lt;/pages&gt;&lt;volume&gt;6&lt;/volume&gt;&lt;number&gt;16&lt;/number&gt;&lt;dates&gt;&lt;year&gt;2024&lt;/year&gt;&lt;/dates&gt;&lt;urls&gt;&lt;/urls&gt;&lt;/record&gt;&lt;/Cite&gt;&lt;Cite&gt;&lt;Author&gt;Pieper&lt;/Author&gt;&lt;Year&gt;2019&lt;/Year&gt;&lt;RecNum&gt;4&lt;/RecNum&gt;&lt;record&gt;&lt;rec-number&gt;4&lt;/rec-number&gt;&lt;foreign-keys&gt;&lt;key app="EN" db-id="ftfpwx9072pte8e55zhppzxtrvd29adze5v5" timestamp="1757791643"&gt;4&lt;/key&gt;&lt;/foreign-keys&gt;&lt;ref-type name="Journal Article"&gt;17&lt;/ref-type&gt;&lt;contributors&gt;&lt;authors&gt;&lt;author&gt;Pieper, Sebastian&lt;/author&gt;&lt;author&gt;Onafuye, Hannah&lt;/author&gt;&lt;author&gt;Mulac, Dennis&lt;/author&gt;&lt;author&gt;Cinatl Jr, Jindrich&lt;/author&gt;&lt;author&gt;Wass, Mark N&lt;/author&gt;&lt;author&gt;Michaelis, Martin&lt;/author&gt;&lt;author&gt;Langer, Klaus&lt;/author&gt;&lt;/authors&gt;&lt;/contributors&gt;&lt;titles&gt;&lt;title&gt;Incorporation of doxorubicin in different polymer nanoparticles and their anticancer activity&lt;/title&gt;&lt;secondary-title&gt;Beilstein journal of nanotechnology&lt;/secondary-title&gt;&lt;/titles&gt;&lt;periodical&gt;&lt;full-title&gt;Beilstein journal of nanotechnology&lt;/full-title&gt;&lt;/periodical&gt;&lt;pages&gt;2062-2072&lt;/pages&gt;&lt;volume&gt;10&lt;/volume&gt;&lt;number&gt;1&lt;/number&gt;&lt;dates&gt;&lt;year&gt;2019&lt;/year&gt;&lt;/dates&gt;&lt;isbn&gt;2190-4286&lt;/isbn&gt;&lt;urls&gt;&lt;/urls&gt;&lt;/record&gt;&lt;/Cite&gt;&lt;/EndNote&gt;</w:instrText>
      </w:r>
      <w:r w:rsidRPr="00490172">
        <w:rPr>
          <w:rFonts w:asciiTheme="majorBidi" w:eastAsia="Calibri" w:hAnsiTheme="majorBidi" w:cstheme="majorBidi"/>
          <w:lang w:bidi="ar-IQ"/>
        </w:rPr>
        <w:fldChar w:fldCharType="separate"/>
      </w:r>
      <w:r w:rsidRPr="00490172">
        <w:rPr>
          <w:rFonts w:asciiTheme="majorBidi" w:eastAsia="Calibri" w:hAnsiTheme="majorBidi" w:cstheme="majorBidi"/>
          <w:lang w:bidi="ar-IQ"/>
        </w:rPr>
        <w:t>[16, 19]</w:t>
      </w:r>
      <w:r w:rsidRPr="00490172">
        <w:rPr>
          <w:rFonts w:asciiTheme="majorBidi" w:eastAsia="Calibri" w:hAnsiTheme="majorBidi" w:cstheme="majorBidi"/>
          <w:lang w:bidi="ar-IQ"/>
        </w:rPr>
        <w:fldChar w:fldCharType="end"/>
      </w:r>
      <w:r w:rsidRPr="00490172">
        <w:rPr>
          <w:rFonts w:asciiTheme="majorBidi" w:eastAsia="Calibri" w:hAnsiTheme="majorBidi" w:cstheme="majorBidi"/>
          <w:lang w:bidi="ar-IQ"/>
        </w:rPr>
        <w:t xml:space="preserve">. However, the peak was observed to be sharper and more intense compared to the </w:t>
      </w:r>
      <w:smartTag w:uri="urn:schemas-microsoft-com:office:smarttags" w:element="stockticker">
        <w:r w:rsidRPr="00490172">
          <w:rPr>
            <w:rFonts w:asciiTheme="majorBidi" w:eastAsia="Calibri" w:hAnsiTheme="majorBidi" w:cstheme="majorBidi"/>
            <w:lang w:bidi="ar-IQ"/>
          </w:rPr>
          <w:t>FDG</w:t>
        </w:r>
      </w:smartTag>
      <w:r w:rsidRPr="00490172">
        <w:rPr>
          <w:rFonts w:asciiTheme="majorBidi" w:eastAsia="Calibri" w:hAnsiTheme="majorBidi" w:cstheme="majorBidi"/>
          <w:lang w:bidi="ar-IQ"/>
        </w:rPr>
        <w:t xml:space="preserve"> system, suggesting that the nano perovskite exerts a stronger electronic influence on the drug. This may provide additional stability to the complex but may be associated with the potential for drug retention and subsequent difficulty in its release, an observation documented in studies on strongly bound nanocarriers </w:t>
      </w:r>
      <w:r w:rsidRPr="00490172">
        <w:rPr>
          <w:rFonts w:asciiTheme="majorBidi" w:eastAsia="Calibri" w:hAnsiTheme="majorBidi" w:cstheme="majorBidi"/>
          <w:lang w:bidi="ar-IQ"/>
        </w:rPr>
        <w:fldChar w:fldCharType="begin"/>
      </w:r>
      <w:r w:rsidRPr="00490172">
        <w:rPr>
          <w:rFonts w:asciiTheme="majorBidi" w:eastAsia="Calibri" w:hAnsiTheme="majorBidi" w:cstheme="majorBidi"/>
          <w:lang w:bidi="ar-IQ"/>
        </w:rPr>
        <w:instrText xml:space="preserve"> ADDIN EN.CITE &lt;EndNote&gt;&lt;Cite&gt;&lt;Author&gt;Pieper&lt;/Author&gt;&lt;Year&gt;2019&lt;/Year&gt;&lt;RecNum&gt;4&lt;/RecNum&gt;&lt;DisplayText&gt;[18, 19]&lt;/DisplayText&gt;&lt;record&gt;&lt;rec-number&gt;4&lt;/rec-number&gt;&lt;foreign-keys&gt;&lt;key app="EN" db-id="ftfpwx9072pte8e55zhppzxtrvd29adze5v5" timestamp="1757791643"&gt;4&lt;/key&gt;&lt;/foreign-keys&gt;&lt;ref-type name="Journal Article"&gt;17&lt;/ref-type&gt;&lt;contributors&gt;&lt;authors&gt;&lt;author&gt;Pieper, Sebastian&lt;/author&gt;&lt;author&gt;Onafuye, Hannah&lt;/author&gt;&lt;author&gt;Mulac, Dennis&lt;/author&gt;&lt;author&gt;Cinatl Jr, Jindrich&lt;/author&gt;&lt;author&gt;Wass, Mark N&lt;/author&gt;&lt;author&gt;Michaelis, Martin&lt;/author&gt;&lt;author&gt;Langer, Klaus&lt;/author&gt;&lt;/authors&gt;&lt;/contributors&gt;&lt;titles&gt;&lt;title&gt;Incorporation of doxorubicin in different polymer nanoparticles and their anticancer activity&lt;/title&gt;&lt;secondary-title&gt;Beilstein journal of nanotechnology&lt;/secondary-title&gt;&lt;/titles&gt;&lt;periodical&gt;&lt;full-title&gt;Beilstein journal of nanotechnology&lt;/full-title&gt;&lt;/periodical&gt;&lt;pages&gt;2062-2072&lt;/pages&gt;&lt;volume&gt;10&lt;/volume&gt;&lt;number&gt;1&lt;/number&gt;&lt;dates&gt;&lt;year&gt;2019&lt;/year&gt;&lt;/dates&gt;&lt;isbn&gt;2190-4286&lt;/isbn&gt;&lt;urls&gt;&lt;/urls&gt;&lt;/record&gt;&lt;/Cite&gt;&lt;Cite&gt;&lt;Author&gt;Chudoba&lt;/Author&gt;&lt;Year&gt;2020&lt;/Year&gt;&lt;RecNum&gt;5&lt;/RecNum&gt;&lt;record&gt;&lt;rec-number&gt;5&lt;/rec-number&gt;&lt;foreign-keys&gt;&lt;key app="EN" db-id="ftfpwx9072pte8e55zhppzxtrvd29adze5v5" timestamp="1757791687"&gt;5&lt;/key&gt;&lt;/foreign-keys&gt;&lt;ref-type name="Journal Article"&gt;17&lt;/ref-type&gt;&lt;contributors&gt;&lt;authors&gt;&lt;author&gt;Chudoba, Dorota&lt;/author&gt;&lt;author&gt;Łudzik, Katarzyna&lt;/author&gt;&lt;author&gt;Jażdżewska, Monika&lt;/author&gt;&lt;author&gt;Wołoszczuk, Sebastian&lt;/author&gt;&lt;/authors&gt;&lt;/contributors&gt;&lt;titles&gt;&lt;title&gt;Kinetic and equilibrium studies of doxorubicin adsorption onto carbon nanotubes&lt;/title&gt;&lt;secondary-title&gt;International Journal of Molecular Sciences&lt;/secondary-title&gt;&lt;/titles&gt;&lt;periodical&gt;&lt;full-title&gt;International Journal of Molecular Sciences&lt;/full-title&gt;&lt;/periodical&gt;&lt;pages&gt;8230&lt;/pages&gt;&lt;volume&gt;21&lt;/volume&gt;&lt;number&gt;21&lt;/number&gt;&lt;dates&gt;&lt;year&gt;2020&lt;/year&gt;&lt;/dates&gt;&lt;isbn&gt;1422-0067&lt;/isbn&gt;&lt;urls&gt;&lt;/urls&gt;&lt;/record&gt;&lt;/Cite&gt;&lt;/EndNote&gt;</w:instrText>
      </w:r>
      <w:r w:rsidRPr="00490172">
        <w:rPr>
          <w:rFonts w:asciiTheme="majorBidi" w:eastAsia="Calibri" w:hAnsiTheme="majorBidi" w:cstheme="majorBidi"/>
          <w:lang w:bidi="ar-IQ"/>
        </w:rPr>
        <w:fldChar w:fldCharType="separate"/>
      </w:r>
      <w:r w:rsidRPr="00490172">
        <w:rPr>
          <w:rFonts w:asciiTheme="majorBidi" w:eastAsia="Calibri" w:hAnsiTheme="majorBidi" w:cstheme="majorBidi"/>
          <w:lang w:bidi="ar-IQ"/>
        </w:rPr>
        <w:t>[18, 19]</w:t>
      </w:r>
      <w:r w:rsidRPr="00490172">
        <w:rPr>
          <w:rFonts w:asciiTheme="majorBidi" w:eastAsia="Calibri" w:hAnsiTheme="majorBidi" w:cstheme="majorBidi"/>
          <w:lang w:bidi="ar-IQ"/>
        </w:rPr>
        <w:fldChar w:fldCharType="end"/>
      </w:r>
      <w:r w:rsidRPr="00490172">
        <w:rPr>
          <w:rFonts w:asciiTheme="majorBidi" w:eastAsia="Calibri" w:hAnsiTheme="majorBidi" w:cstheme="majorBidi"/>
          <w:lang w:bidi="ar-IQ"/>
        </w:rPr>
        <w:t>.</w:t>
      </w:r>
    </w:p>
    <w:p w14:paraId="4DAD64B4" w14:textId="1213CD14" w:rsidR="00490172" w:rsidRPr="00490172" w:rsidRDefault="00490172" w:rsidP="0031680C">
      <w:pPr>
        <w:pStyle w:val="Paragraph"/>
        <w:rPr>
          <w:rFonts w:asciiTheme="majorBidi" w:eastAsia="Calibri" w:hAnsiTheme="majorBidi" w:cstheme="majorBidi"/>
          <w:rtl/>
          <w:lang w:bidi="ar-IQ"/>
        </w:rPr>
      </w:pPr>
      <w:r w:rsidRPr="00490172">
        <w:rPr>
          <w:rFonts w:asciiTheme="majorBidi" w:eastAsia="Calibri" w:hAnsiTheme="majorBidi" w:cstheme="majorBidi"/>
          <w:lang w:bidi="ar-IQ"/>
        </w:rPr>
        <w:t>The density of the electronic states spectrum in Fig</w:t>
      </w:r>
      <w:r w:rsidR="0031680C">
        <w:rPr>
          <w:rFonts w:asciiTheme="majorBidi" w:eastAsia="Calibri" w:hAnsiTheme="majorBidi" w:cstheme="majorBidi"/>
          <w:lang w:bidi="ar-IQ"/>
        </w:rPr>
        <w:t>.</w:t>
      </w:r>
      <w:r w:rsidRPr="00490172">
        <w:rPr>
          <w:rFonts w:asciiTheme="majorBidi" w:eastAsia="Calibri" w:hAnsiTheme="majorBidi" w:cstheme="majorBidi"/>
          <w:lang w:bidi="ar-IQ"/>
        </w:rPr>
        <w:t xml:space="preserve"> </w:t>
      </w:r>
      <w:proofErr w:type="gramStart"/>
      <w:r w:rsidRPr="00490172">
        <w:rPr>
          <w:rFonts w:asciiTheme="majorBidi" w:eastAsia="Calibri" w:hAnsiTheme="majorBidi" w:cstheme="majorBidi"/>
          <w:lang w:bidi="ar-IQ"/>
        </w:rPr>
        <w:t>9,</w:t>
      </w:r>
      <w:proofErr w:type="gramEnd"/>
      <w:r w:rsidRPr="00490172">
        <w:rPr>
          <w:rFonts w:asciiTheme="majorBidi" w:eastAsia="Calibri" w:hAnsiTheme="majorBidi" w:cstheme="majorBidi"/>
          <w:lang w:bidi="ar-IQ"/>
        </w:rPr>
        <w:t xml:space="preserve"> shows a clear energy gap between occupied and empty orbitals, indicating the system's electronic stability. However, additional levels are observed closer to the gap edge compared to the FDG system, reflecting the contribution of the Ca/Ti–O nano perovskite to modifying the electronic structure of the drug </w:t>
      </w:r>
      <w:r w:rsidRPr="00490172">
        <w:rPr>
          <w:rFonts w:asciiTheme="majorBidi" w:eastAsia="Calibri" w:hAnsiTheme="majorBidi" w:cstheme="majorBidi"/>
          <w:lang w:bidi="ar-IQ"/>
        </w:rPr>
        <w:fldChar w:fldCharType="begin"/>
      </w:r>
      <w:r w:rsidRPr="00490172">
        <w:rPr>
          <w:rFonts w:asciiTheme="majorBidi" w:eastAsia="Calibri" w:hAnsiTheme="majorBidi" w:cstheme="majorBidi"/>
          <w:lang w:bidi="ar-IQ"/>
        </w:rPr>
        <w:instrText xml:space="preserve"> ADDIN EN.CITE &lt;EndNote&gt;&lt;Cite&gt;&lt;Author&gt;Kojima&lt;/Author&gt;&lt;Year&gt;2024&lt;/Year&gt;&lt;RecNum&gt;3&lt;/RecNum&gt;&lt;DisplayText&gt;[20]&lt;/DisplayText&gt;&lt;record&gt;&lt;rec-number&gt;3&lt;/rec-number&gt;&lt;foreign-keys&gt;&lt;key app="EN" db-id="ftfpwx9072pte8e55zhppzxtrvd29adze5v5" timestamp="1757791572"&gt;3&lt;/key&gt;&lt;/foreign-keys&gt;&lt;ref-type name="Journal Article"&gt;17&lt;/ref-type&gt;&lt;contributors&gt;&lt;authors&gt;&lt;author&gt;Kojima, Seiji&lt;/author&gt;&lt;/authors&gt;&lt;/contributors&gt;&lt;titles&gt;&lt;title&gt;Vibrational Spectroscopy of Perovskite Ferroelectrics&lt;/title&gt;&lt;secondary-title&gt;Solids&lt;/secondary-title&gt;&lt;/titles&gt;&lt;periodical&gt;&lt;full-title&gt;Solids&lt;/full-title&gt;&lt;/periodical&gt;&lt;pages&gt;593-616&lt;/pages&gt;&lt;volume&gt;5&lt;/volume&gt;&lt;number&gt;4&lt;/number&gt;&lt;dates&gt;&lt;year&gt;2024&lt;/year&gt;&lt;/dates&gt;&lt;isbn&gt;2673-6497&lt;/isbn&gt;&lt;urls&gt;&lt;/urls&gt;&lt;/record&gt;&lt;/Cite&gt;&lt;/EndNote&gt;</w:instrText>
      </w:r>
      <w:r w:rsidRPr="00490172">
        <w:rPr>
          <w:rFonts w:asciiTheme="majorBidi" w:eastAsia="Calibri" w:hAnsiTheme="majorBidi" w:cstheme="majorBidi"/>
          <w:lang w:bidi="ar-IQ"/>
        </w:rPr>
        <w:fldChar w:fldCharType="separate"/>
      </w:r>
      <w:r w:rsidRPr="00490172">
        <w:rPr>
          <w:rFonts w:asciiTheme="majorBidi" w:eastAsia="Calibri" w:hAnsiTheme="majorBidi" w:cstheme="majorBidi"/>
          <w:lang w:bidi="ar-IQ"/>
        </w:rPr>
        <w:t>[20]</w:t>
      </w:r>
      <w:r w:rsidRPr="00490172">
        <w:rPr>
          <w:rFonts w:asciiTheme="majorBidi" w:eastAsia="Calibri" w:hAnsiTheme="majorBidi" w:cstheme="majorBidi"/>
          <w:lang w:bidi="ar-IQ"/>
        </w:rPr>
        <w:fldChar w:fldCharType="end"/>
      </w:r>
      <w:r w:rsidRPr="00490172">
        <w:rPr>
          <w:rFonts w:asciiTheme="majorBidi" w:eastAsia="Calibri" w:hAnsiTheme="majorBidi" w:cstheme="majorBidi"/>
          <w:lang w:bidi="ar-IQ"/>
        </w:rPr>
        <w:t xml:space="preserve">. This effect may increase the stability of the complex and strengthen the binding, but in return, it increases the cost of </w:t>
      </w:r>
      <w:proofErr w:type="spellStart"/>
      <w:r w:rsidRPr="00490172">
        <w:rPr>
          <w:rFonts w:asciiTheme="majorBidi" w:eastAsia="Calibri" w:hAnsiTheme="majorBidi" w:cstheme="majorBidi"/>
          <w:lang w:bidi="ar-IQ"/>
        </w:rPr>
        <w:t>biorelease</w:t>
      </w:r>
      <w:proofErr w:type="spellEnd"/>
      <w:r w:rsidRPr="00490172">
        <w:rPr>
          <w:rFonts w:asciiTheme="majorBidi" w:eastAsia="Calibri" w:hAnsiTheme="majorBidi" w:cstheme="majorBidi"/>
          <w:lang w:bidi="ar-IQ"/>
        </w:rPr>
        <w:t xml:space="preserve">. Experimentally, studies of the use of oxide perovskites in biomedicine have shown that strong electronic bonds provide high stability but may require catalysts (such as low pH or enzymes) to facilitate release </w:t>
      </w:r>
      <w:r w:rsidRPr="00490172">
        <w:rPr>
          <w:rFonts w:asciiTheme="majorBidi" w:eastAsia="Calibri" w:hAnsiTheme="majorBidi" w:cstheme="majorBidi"/>
          <w:lang w:bidi="ar-IQ"/>
        </w:rPr>
        <w:fldChar w:fldCharType="begin"/>
      </w:r>
      <w:r w:rsidRPr="00490172">
        <w:rPr>
          <w:rFonts w:asciiTheme="majorBidi" w:eastAsia="Calibri" w:hAnsiTheme="majorBidi" w:cstheme="majorBidi"/>
          <w:lang w:bidi="ar-IQ"/>
        </w:rPr>
        <w:instrText xml:space="preserve"> ADDIN EN.CITE &lt;EndNote&gt;&lt;Cite&gt;&lt;Author&gt;Kojima&lt;/Author&gt;&lt;Year&gt;2024&lt;/Year&gt;&lt;RecNum&gt;3&lt;/RecNum&gt;&lt;DisplayText&gt;[20]&lt;/DisplayText&gt;&lt;record&gt;&lt;rec-number&gt;3&lt;/rec-number&gt;&lt;foreign-keys&gt;&lt;key app="EN" db-id="ftfpwx9072pte8e55zhppzxtrvd29adze5v5" timestamp="1757791572"&gt;3&lt;/key&gt;&lt;/foreign-keys&gt;&lt;ref-type name="Journal Article"&gt;17&lt;/ref-type&gt;&lt;contributors&gt;&lt;authors&gt;&lt;author&gt;Kojima, Seiji&lt;/author&gt;&lt;/authors&gt;&lt;/contributors&gt;&lt;titles&gt;&lt;title&gt;Vibrational Spectroscopy of Perovskite Ferroelectrics&lt;/title&gt;&lt;secondary-title&gt;Solids&lt;/secondary-title&gt;&lt;/titles&gt;&lt;periodical&gt;&lt;full-title&gt;Solids&lt;/full-title&gt;&lt;/periodical&gt;&lt;pages&gt;593-616&lt;/pages&gt;&lt;volume&gt;5&lt;/volume&gt;&lt;number&gt;4&lt;/number&gt;&lt;dates&gt;&lt;year&gt;2024&lt;/year&gt;&lt;/dates&gt;&lt;isbn&gt;2673-6497&lt;/isbn&gt;&lt;urls&gt;&lt;/urls&gt;&lt;/record&gt;&lt;/Cite&gt;&lt;/EndNote&gt;</w:instrText>
      </w:r>
      <w:r w:rsidRPr="00490172">
        <w:rPr>
          <w:rFonts w:asciiTheme="majorBidi" w:eastAsia="Calibri" w:hAnsiTheme="majorBidi" w:cstheme="majorBidi"/>
          <w:lang w:bidi="ar-IQ"/>
        </w:rPr>
        <w:fldChar w:fldCharType="separate"/>
      </w:r>
      <w:r w:rsidRPr="00490172">
        <w:rPr>
          <w:rFonts w:asciiTheme="majorBidi" w:eastAsia="Calibri" w:hAnsiTheme="majorBidi" w:cstheme="majorBidi"/>
          <w:lang w:bidi="ar-IQ"/>
        </w:rPr>
        <w:t>[20]</w:t>
      </w:r>
      <w:r w:rsidRPr="00490172">
        <w:rPr>
          <w:rFonts w:asciiTheme="majorBidi" w:eastAsia="Calibri" w:hAnsiTheme="majorBidi" w:cstheme="majorBidi"/>
          <w:lang w:bidi="ar-IQ"/>
        </w:rPr>
        <w:fldChar w:fldCharType="end"/>
      </w:r>
      <w:r w:rsidRPr="00490172">
        <w:rPr>
          <w:rFonts w:asciiTheme="majorBidi" w:eastAsia="Calibri" w:hAnsiTheme="majorBidi" w:cstheme="majorBidi"/>
          <w:lang w:bidi="ar-IQ"/>
        </w:rPr>
        <w:t>.</w:t>
      </w:r>
    </w:p>
    <w:p w14:paraId="01E43C51" w14:textId="6BF1FBAB" w:rsidR="00B76A69" w:rsidRPr="00B76A69" w:rsidRDefault="00B76A69" w:rsidP="005B50CD">
      <w:pPr>
        <w:pStyle w:val="Paragraph"/>
        <w:rPr>
          <w:rFonts w:asciiTheme="majorBidi" w:eastAsia="Calibri" w:hAnsiTheme="majorBidi" w:cstheme="majorBidi"/>
          <w:lang w:bidi="ar-IQ"/>
        </w:rPr>
      </w:pPr>
      <w:r w:rsidRPr="00B76A69">
        <w:rPr>
          <w:rFonts w:asciiTheme="majorBidi" w:eastAsia="Calibri" w:hAnsiTheme="majorBidi" w:cstheme="majorBidi"/>
          <w:lang w:bidi="ar-IQ"/>
        </w:rPr>
        <w:t xml:space="preserve">Figure </w:t>
      </w:r>
      <w:proofErr w:type="gramStart"/>
      <w:r w:rsidRPr="00B76A69">
        <w:rPr>
          <w:rFonts w:asciiTheme="majorBidi" w:eastAsia="Calibri" w:hAnsiTheme="majorBidi" w:cstheme="majorBidi" w:hint="cs"/>
          <w:rtl/>
          <w:lang w:bidi="ar-IQ"/>
        </w:rPr>
        <w:t>10</w:t>
      </w:r>
      <w:r w:rsidRPr="00B76A69">
        <w:rPr>
          <w:rFonts w:asciiTheme="majorBidi" w:eastAsia="Calibri" w:hAnsiTheme="majorBidi" w:cstheme="majorBidi"/>
          <w:rtl/>
          <w:lang w:bidi="ar-IQ"/>
        </w:rPr>
        <w:t xml:space="preserve"> </w:t>
      </w:r>
      <w:r w:rsidR="00DC5D17">
        <w:rPr>
          <w:rFonts w:asciiTheme="majorBidi" w:eastAsia="Calibri" w:hAnsiTheme="majorBidi" w:cstheme="majorBidi"/>
          <w:lang w:bidi="ar-IQ"/>
        </w:rPr>
        <w:t xml:space="preserve"> </w:t>
      </w:r>
      <w:r w:rsidRPr="00B76A69">
        <w:rPr>
          <w:rFonts w:asciiTheme="majorBidi" w:eastAsia="Calibri" w:hAnsiTheme="majorBidi" w:cstheme="majorBidi"/>
          <w:lang w:bidi="ar-IQ"/>
        </w:rPr>
        <w:t>shows</w:t>
      </w:r>
      <w:proofErr w:type="gramEnd"/>
      <w:r w:rsidRPr="00B76A69">
        <w:rPr>
          <w:rFonts w:asciiTheme="majorBidi" w:eastAsia="Calibri" w:hAnsiTheme="majorBidi" w:cstheme="majorBidi"/>
          <w:lang w:bidi="ar-IQ"/>
        </w:rPr>
        <w:t xml:space="preserve"> the IR and Raman spectra of the </w:t>
      </w:r>
      <w:r w:rsidRPr="003E38BD">
        <w:rPr>
          <w:rFonts w:asciiTheme="majorBidi" w:eastAsia="Calibri" w:hAnsiTheme="majorBidi" w:cstheme="majorBidi"/>
          <w:vertAlign w:val="superscript"/>
          <w:lang w:bidi="ar-IQ"/>
        </w:rPr>
        <w:t>18</w:t>
      </w:r>
      <w:r w:rsidRPr="00B76A69">
        <w:rPr>
          <w:rFonts w:asciiTheme="majorBidi" w:eastAsia="Calibri" w:hAnsiTheme="majorBidi" w:cstheme="majorBidi"/>
          <w:lang w:bidi="ar-IQ"/>
        </w:rPr>
        <w:t>F-FDG –Doxorubicin –Cancer docking system, while Fig</w:t>
      </w:r>
      <w:r w:rsidR="0031680C">
        <w:rPr>
          <w:rFonts w:asciiTheme="majorBidi" w:eastAsia="Calibri" w:hAnsiTheme="majorBidi" w:cstheme="majorBidi"/>
          <w:lang w:bidi="ar-IQ"/>
        </w:rPr>
        <w:t>.</w:t>
      </w:r>
      <w:proofErr w:type="gramStart"/>
      <w:r w:rsidRPr="00B76A69">
        <w:rPr>
          <w:rFonts w:asciiTheme="majorBidi" w:eastAsia="Calibri" w:hAnsiTheme="majorBidi" w:cstheme="majorBidi" w:hint="cs"/>
          <w:rtl/>
          <w:lang w:bidi="ar-IQ"/>
        </w:rPr>
        <w:t>11</w:t>
      </w:r>
      <w:r w:rsidRPr="00B76A69">
        <w:rPr>
          <w:rFonts w:asciiTheme="majorBidi" w:eastAsia="Calibri" w:hAnsiTheme="majorBidi" w:cstheme="majorBidi"/>
          <w:rtl/>
          <w:lang w:bidi="ar-IQ"/>
        </w:rPr>
        <w:t xml:space="preserve"> </w:t>
      </w:r>
      <w:r w:rsidR="0031680C">
        <w:rPr>
          <w:rFonts w:asciiTheme="majorBidi" w:eastAsia="Calibri" w:hAnsiTheme="majorBidi" w:cstheme="majorBidi"/>
          <w:lang w:val="en-GB" w:bidi="ar-IQ"/>
        </w:rPr>
        <w:t xml:space="preserve"> </w:t>
      </w:r>
      <w:r w:rsidRPr="00B76A69">
        <w:rPr>
          <w:rFonts w:asciiTheme="majorBidi" w:eastAsia="Calibri" w:hAnsiTheme="majorBidi" w:cstheme="majorBidi"/>
          <w:lang w:bidi="ar-IQ"/>
        </w:rPr>
        <w:t>shows</w:t>
      </w:r>
      <w:proofErr w:type="gramEnd"/>
      <w:r w:rsidRPr="00B76A69">
        <w:rPr>
          <w:rFonts w:asciiTheme="majorBidi" w:eastAsia="Calibri" w:hAnsiTheme="majorBidi" w:cstheme="majorBidi"/>
          <w:lang w:bidi="ar-IQ"/>
        </w:rPr>
        <w:t xml:space="preserve"> the</w:t>
      </w:r>
      <w:r w:rsidR="00DC5D17">
        <w:rPr>
          <w:rFonts w:asciiTheme="majorBidi" w:eastAsia="Calibri" w:hAnsiTheme="majorBidi" w:cstheme="majorBidi"/>
          <w:lang w:bidi="ar-IQ"/>
        </w:rPr>
        <w:t xml:space="preserve"> nano p</w:t>
      </w:r>
      <w:r w:rsidRPr="00B76A69">
        <w:rPr>
          <w:rFonts w:asciiTheme="majorBidi" w:eastAsia="Calibri" w:hAnsiTheme="majorBidi" w:cstheme="majorBidi"/>
          <w:lang w:bidi="ar-IQ"/>
        </w:rPr>
        <w:t xml:space="preserve">erovskite –Doxorubicin –Cancer docking system. Comparing the two spectra, it can be </w:t>
      </w:r>
      <w:proofErr w:type="gramStart"/>
      <w:r w:rsidR="00A40B57" w:rsidRPr="00A40B57">
        <w:rPr>
          <w:rFonts w:asciiTheme="majorBidi" w:eastAsia="Calibri" w:hAnsiTheme="majorBidi" w:cstheme="majorBidi"/>
          <w:lang w:bidi="ar-IQ"/>
        </w:rPr>
        <w:t>understand</w:t>
      </w:r>
      <w:proofErr w:type="gramEnd"/>
      <w:r w:rsidRPr="00B76A69">
        <w:rPr>
          <w:rFonts w:asciiTheme="majorBidi" w:eastAsia="Calibri" w:hAnsiTheme="majorBidi" w:cstheme="majorBidi"/>
          <w:lang w:bidi="ar-IQ"/>
        </w:rPr>
        <w:t xml:space="preserve"> that both demonstrate the absence of chiral frequencies, indicating that the structures are quantum stable (PES minimum). This is consistent with published experimental results for doxorubicin in aqueous solution, which demonstrated agreement between theoretical calculations and experimentally measured vibrational spectra </w:t>
      </w:r>
      <w:r w:rsidRPr="00B76A69">
        <w:rPr>
          <w:rFonts w:asciiTheme="majorBidi" w:eastAsia="Calibri" w:hAnsiTheme="majorBidi" w:cstheme="majorBidi"/>
          <w:lang w:bidi="ar-IQ"/>
        </w:rPr>
        <w:fldChar w:fldCharType="begin"/>
      </w:r>
      <w:r w:rsidRPr="00B76A69">
        <w:rPr>
          <w:rFonts w:asciiTheme="majorBidi" w:eastAsia="Calibri" w:hAnsiTheme="majorBidi" w:cstheme="majorBidi"/>
          <w:lang w:bidi="ar-IQ"/>
        </w:rPr>
        <w:instrText xml:space="preserve"> ADDIN EN.CITE &lt;EndNote&gt;&lt;Cite&gt;&lt;Author&gt;Olszówka&lt;/Author&gt;&lt;Year&gt;2016&lt;/Year&gt;&lt;RecNum&gt;5&lt;/RecNum&gt;&lt;DisplayText&gt;[21]&lt;/DisplayText&gt;&lt;record&gt;&lt;rec-number&gt;5&lt;/rec-number&gt;&lt;foreign-keys&gt;&lt;key app="EN" db-id="pedv9wdebsaw53eaeduvz9e2evv0zptrdw2s" timestamp="1757762080"&gt;5&lt;/key&gt;&lt;/foreign-keys&gt;&lt;ref-type name="Journal Article"&gt;17&lt;/ref-type&gt;&lt;contributors&gt;&lt;authors&gt;&lt;author&gt;Olszówka, Marta&lt;/author&gt;&lt;author&gt;Russo, Rosario&lt;/author&gt;&lt;author&gt;Mancini, Giordano&lt;/author&gt;&lt;author&gt;Cappelli, Chiara&lt;/author&gt;&lt;/authors&gt;&lt;/contributors&gt;&lt;titles&gt;&lt;title&gt;A computational approach to the resonance Raman spectrum of doxorubicin in aqueous solution&lt;/title&gt;&lt;secondary-title&gt;Theoretical Chemistry Accounts&lt;/secondary-title&gt;&lt;/titles&gt;&lt;periodical&gt;&lt;full-title&gt;Theoretical Chemistry Accounts&lt;/full-title&gt;&lt;/periodical&gt;&lt;pages&gt;27&lt;/pages&gt;&lt;volume&gt;135&lt;/volume&gt;&lt;number&gt;2&lt;/number&gt;&lt;dates&gt;&lt;year&gt;2016&lt;/year&gt;&lt;/dates&gt;&lt;isbn&gt;1432-881X&lt;/isbn&gt;&lt;urls&gt;&lt;/urls&gt;&lt;/record&gt;&lt;/Cite&gt;&lt;/EndNote&gt;</w:instrText>
      </w:r>
      <w:r w:rsidRPr="00B76A69">
        <w:rPr>
          <w:rFonts w:asciiTheme="majorBidi" w:eastAsia="Calibri" w:hAnsiTheme="majorBidi" w:cstheme="majorBidi"/>
          <w:lang w:bidi="ar-IQ"/>
        </w:rPr>
        <w:fldChar w:fldCharType="separate"/>
      </w:r>
      <w:r w:rsidRPr="00B76A69">
        <w:rPr>
          <w:rFonts w:asciiTheme="majorBidi" w:eastAsia="Calibri" w:hAnsiTheme="majorBidi" w:cstheme="majorBidi"/>
          <w:lang w:bidi="ar-IQ"/>
        </w:rPr>
        <w:t>[21]</w:t>
      </w:r>
      <w:r w:rsidRPr="00B76A69">
        <w:rPr>
          <w:rFonts w:asciiTheme="majorBidi" w:eastAsia="Calibri" w:hAnsiTheme="majorBidi" w:cstheme="majorBidi"/>
          <w:lang w:bidi="ar-IQ"/>
        </w:rPr>
        <w:fldChar w:fldCharType="end"/>
      </w:r>
      <w:r w:rsidRPr="00B76A69">
        <w:rPr>
          <w:rFonts w:asciiTheme="majorBidi" w:eastAsia="Calibri" w:hAnsiTheme="majorBidi" w:cstheme="majorBidi"/>
          <w:lang w:bidi="ar-IQ"/>
        </w:rPr>
        <w:t>.</w:t>
      </w:r>
    </w:p>
    <w:p w14:paraId="2BEAA560" w14:textId="77B6D494" w:rsidR="00B76A69" w:rsidRPr="00B76A69" w:rsidRDefault="00A40B57" w:rsidP="0031680C">
      <w:pPr>
        <w:pStyle w:val="Paragraph"/>
        <w:rPr>
          <w:rFonts w:asciiTheme="majorBidi" w:eastAsia="Calibri" w:hAnsiTheme="majorBidi" w:cstheme="majorBidi"/>
          <w:lang w:bidi="ar-IQ"/>
        </w:rPr>
      </w:pPr>
      <w:r>
        <w:rPr>
          <w:rFonts w:asciiTheme="majorBidi" w:eastAsia="Calibri" w:hAnsiTheme="majorBidi" w:cstheme="majorBidi"/>
          <w:lang w:bidi="ar-IQ"/>
        </w:rPr>
        <w:t>I</w:t>
      </w:r>
      <w:r w:rsidR="00B76A69" w:rsidRPr="00B76A69">
        <w:rPr>
          <w:rFonts w:asciiTheme="majorBidi" w:eastAsia="Calibri" w:hAnsiTheme="majorBidi" w:cstheme="majorBidi"/>
          <w:lang w:bidi="ar-IQ"/>
        </w:rPr>
        <w:t xml:space="preserve">n the carbonyl (C=O) band, Figure </w:t>
      </w:r>
      <w:r>
        <w:rPr>
          <w:rFonts w:asciiTheme="majorBidi" w:eastAsia="Calibri" w:hAnsiTheme="majorBidi" w:cstheme="majorBidi"/>
          <w:lang w:bidi="ar-IQ"/>
        </w:rPr>
        <w:t>10 s</w:t>
      </w:r>
      <w:r w:rsidR="00B76A69" w:rsidRPr="00B76A69">
        <w:rPr>
          <w:rFonts w:asciiTheme="majorBidi" w:eastAsia="Calibri" w:hAnsiTheme="majorBidi" w:cstheme="majorBidi"/>
          <w:lang w:bidi="ar-IQ"/>
        </w:rPr>
        <w:t xml:space="preserve">hows a moderate shift (~1660→1640 cm⁻¹), reflecting the formation of hydrogen bonds between </w:t>
      </w:r>
      <w:r w:rsidR="00B76A69" w:rsidRPr="00A40B57">
        <w:rPr>
          <w:rFonts w:asciiTheme="majorBidi" w:eastAsia="Calibri" w:hAnsiTheme="majorBidi" w:cstheme="majorBidi"/>
          <w:vertAlign w:val="superscript"/>
          <w:lang w:bidi="ar-IQ"/>
        </w:rPr>
        <w:t>18</w:t>
      </w:r>
      <w:r w:rsidR="00B76A69" w:rsidRPr="00B76A69">
        <w:rPr>
          <w:rFonts w:asciiTheme="majorBidi" w:eastAsia="Calibri" w:hAnsiTheme="majorBidi" w:cstheme="majorBidi"/>
          <w:lang w:bidi="ar-IQ"/>
        </w:rPr>
        <w:t xml:space="preserve">F-FDG, the drug, and the </w:t>
      </w:r>
      <w:r>
        <w:rPr>
          <w:rFonts w:asciiTheme="majorBidi" w:eastAsia="Calibri" w:hAnsiTheme="majorBidi" w:cstheme="majorBidi"/>
          <w:lang w:bidi="ar-IQ"/>
        </w:rPr>
        <w:t>dock</w:t>
      </w:r>
      <w:r w:rsidR="00B76A69" w:rsidRPr="00B76A69">
        <w:rPr>
          <w:rFonts w:asciiTheme="majorBidi" w:eastAsia="Calibri" w:hAnsiTheme="majorBidi" w:cstheme="majorBidi"/>
          <w:lang w:bidi="ar-IQ"/>
        </w:rPr>
        <w:t>ing sites in the cancer model. Fig</w:t>
      </w:r>
      <w:r w:rsidR="0031680C">
        <w:rPr>
          <w:rFonts w:asciiTheme="majorBidi" w:eastAsia="Calibri" w:hAnsiTheme="majorBidi" w:cstheme="majorBidi"/>
          <w:lang w:bidi="ar-IQ"/>
        </w:rPr>
        <w:t>.</w:t>
      </w:r>
      <w:proofErr w:type="gramStart"/>
      <w:r w:rsidR="00B76A69" w:rsidRPr="00B76A69">
        <w:rPr>
          <w:rFonts w:asciiTheme="majorBidi" w:eastAsia="Calibri" w:hAnsiTheme="majorBidi" w:cstheme="majorBidi" w:hint="cs"/>
          <w:rtl/>
          <w:lang w:bidi="ar-IQ"/>
        </w:rPr>
        <w:t>11</w:t>
      </w:r>
      <w:r w:rsidR="00B76A69" w:rsidRPr="00B76A69">
        <w:rPr>
          <w:rFonts w:asciiTheme="majorBidi" w:eastAsia="Calibri" w:hAnsiTheme="majorBidi" w:cstheme="majorBidi"/>
          <w:rtl/>
          <w:lang w:bidi="ar-IQ"/>
        </w:rPr>
        <w:t xml:space="preserve"> </w:t>
      </w:r>
      <w:r>
        <w:rPr>
          <w:rFonts w:asciiTheme="majorBidi" w:eastAsia="Calibri" w:hAnsiTheme="majorBidi" w:cstheme="majorBidi"/>
          <w:lang w:bidi="ar-IQ"/>
        </w:rPr>
        <w:t xml:space="preserve"> </w:t>
      </w:r>
      <w:r w:rsidR="00B76A69" w:rsidRPr="00B76A69">
        <w:rPr>
          <w:rFonts w:asciiTheme="majorBidi" w:eastAsia="Calibri" w:hAnsiTheme="majorBidi" w:cstheme="majorBidi"/>
          <w:lang w:bidi="ar-IQ"/>
        </w:rPr>
        <w:t>shows</w:t>
      </w:r>
      <w:proofErr w:type="gramEnd"/>
      <w:r w:rsidR="00B76A69" w:rsidRPr="00B76A69">
        <w:rPr>
          <w:rFonts w:asciiTheme="majorBidi" w:eastAsia="Calibri" w:hAnsiTheme="majorBidi" w:cstheme="majorBidi"/>
          <w:lang w:bidi="ar-IQ"/>
        </w:rPr>
        <w:t xml:space="preserve"> a more pronounced shift and increased intensity, indicating a direct interaction of the C=O with the </w:t>
      </w:r>
      <w:r>
        <w:rPr>
          <w:rFonts w:asciiTheme="majorBidi" w:eastAsia="Calibri" w:hAnsiTheme="majorBidi" w:cstheme="majorBidi"/>
          <w:lang w:bidi="ar-IQ"/>
        </w:rPr>
        <w:t xml:space="preserve">nano </w:t>
      </w:r>
      <w:r w:rsidR="00B76A69" w:rsidRPr="00B76A69">
        <w:rPr>
          <w:rFonts w:asciiTheme="majorBidi" w:eastAsia="Calibri" w:hAnsiTheme="majorBidi" w:cstheme="majorBidi"/>
          <w:lang w:bidi="ar-IQ"/>
        </w:rPr>
        <w:t>perovskite (Ca/Ti) surface. This behavior is consistent with experimental studies of doxorubicin complexes with nanocarriers, where increased carbonyl peak intensity was observed with increasing stabilization force</w:t>
      </w:r>
      <w:r>
        <w:rPr>
          <w:rFonts w:asciiTheme="majorBidi" w:eastAsia="Calibri" w:hAnsiTheme="majorBidi" w:cstheme="majorBidi"/>
          <w:lang w:bidi="ar-IQ"/>
        </w:rPr>
        <w:t xml:space="preserve"> </w:t>
      </w:r>
      <w:r w:rsidR="00B76A69" w:rsidRPr="00B76A69">
        <w:rPr>
          <w:rFonts w:asciiTheme="majorBidi" w:eastAsia="Calibri" w:hAnsiTheme="majorBidi" w:cstheme="majorBidi"/>
          <w:lang w:bidi="ar-IQ"/>
        </w:rPr>
        <w:fldChar w:fldCharType="begin"/>
      </w:r>
      <w:r w:rsidR="00B76A69" w:rsidRPr="00B76A69">
        <w:rPr>
          <w:rFonts w:asciiTheme="majorBidi" w:eastAsia="Calibri" w:hAnsiTheme="majorBidi" w:cstheme="majorBidi"/>
          <w:lang w:bidi="ar-IQ"/>
        </w:rPr>
        <w:instrText xml:space="preserve"> ADDIN EN.CITE &lt;EndNote&gt;&lt;Cite&gt;&lt;Author&gt;Jachimska&lt;/Author&gt;&lt;Year&gt;2024&lt;/Year&gt;&lt;RecNum&gt;6&lt;/RecNum&gt;&lt;DisplayText&gt;[22]&lt;/DisplayText&gt;&lt;record&gt;&lt;rec-number&gt;6&lt;/rec-number&gt;&lt;foreign-keys&gt;&lt;key app="EN" db-id="pedv9wdebsaw53eaeduvz9e2evv0zptrdw2s" timestamp="1757762281"&gt;6&lt;/key&gt;&lt;/foreign-keys&gt;&lt;ref-type name="Journal Article"&gt;17&lt;/ref-type&gt;&lt;contributors&gt;&lt;authors&gt;&lt;author&gt;Jachimska, Barbara&lt;/author&gt;&lt;author&gt;Goncerz, Magdalena&lt;/author&gt;&lt;author&gt;Wolski, Paweł&lt;/author&gt;&lt;author&gt;Meldrum, Callum&lt;/author&gt;&lt;author&gt;Lustyk, Łukasz&lt;/author&gt;&lt;author&gt;Panczyk, Tomasz&lt;/author&gt;&lt;/authors&gt;&lt;/contributors&gt;&lt;titles&gt;&lt;title&gt;Theoretical and Experimental Analyses of the Interfacial Mechanism of Dendrimer–Doxorubicin Complexes Formation&lt;/title&gt;&lt;secondary-title&gt;Molecular Pharmaceutics&lt;/secondary-title&gt;&lt;/titles&gt;&lt;periodical&gt;&lt;full-title&gt;Molecular Pharmaceutics&lt;/full-title&gt;&lt;/periodical&gt;&lt;pages&gt;5892-5904&lt;/pages&gt;&lt;volume&gt;21&lt;/volume&gt;&lt;number&gt;11&lt;/number&gt;&lt;dates&gt;&lt;year&gt;2024&lt;/year&gt;&lt;/dates&gt;&lt;isbn&gt;1543-8384&lt;/isbn&gt;&lt;urls&gt;&lt;/urls&gt;&lt;/record&gt;&lt;/Cite&gt;&lt;/EndNote&gt;</w:instrText>
      </w:r>
      <w:r w:rsidR="00B76A69" w:rsidRPr="00B76A69">
        <w:rPr>
          <w:rFonts w:asciiTheme="majorBidi" w:eastAsia="Calibri" w:hAnsiTheme="majorBidi" w:cstheme="majorBidi"/>
          <w:lang w:bidi="ar-IQ"/>
        </w:rPr>
        <w:fldChar w:fldCharType="separate"/>
      </w:r>
      <w:r w:rsidR="00B76A69" w:rsidRPr="00B76A69">
        <w:rPr>
          <w:rFonts w:asciiTheme="majorBidi" w:eastAsia="Calibri" w:hAnsiTheme="majorBidi" w:cstheme="majorBidi"/>
          <w:lang w:bidi="ar-IQ"/>
        </w:rPr>
        <w:t>[22]</w:t>
      </w:r>
      <w:r w:rsidR="00B76A69" w:rsidRPr="00B76A69">
        <w:rPr>
          <w:rFonts w:asciiTheme="majorBidi" w:eastAsia="Calibri" w:hAnsiTheme="majorBidi" w:cstheme="majorBidi"/>
          <w:lang w:bidi="ar-IQ"/>
        </w:rPr>
        <w:fldChar w:fldCharType="end"/>
      </w:r>
      <w:r w:rsidR="00B76A69" w:rsidRPr="00B76A69">
        <w:rPr>
          <w:rFonts w:asciiTheme="majorBidi" w:eastAsia="Calibri" w:hAnsiTheme="majorBidi" w:cstheme="majorBidi"/>
          <w:lang w:bidi="ar-IQ"/>
        </w:rPr>
        <w:t xml:space="preserve"> .</w:t>
      </w:r>
    </w:p>
    <w:p w14:paraId="5E6F1715" w14:textId="25D400B6" w:rsidR="0030322E" w:rsidRDefault="00B76A69" w:rsidP="0031680C">
      <w:pPr>
        <w:pStyle w:val="Paragraph"/>
        <w:rPr>
          <w:rFonts w:asciiTheme="majorBidi" w:eastAsia="Calibri" w:hAnsiTheme="majorBidi" w:cstheme="majorBidi"/>
          <w:lang w:bidi="ar-IQ"/>
        </w:rPr>
      </w:pPr>
      <w:r w:rsidRPr="00B76A69">
        <w:rPr>
          <w:rFonts w:asciiTheme="majorBidi" w:eastAsia="Calibri" w:hAnsiTheme="majorBidi" w:cstheme="majorBidi"/>
          <w:lang w:bidi="ar-IQ"/>
        </w:rPr>
        <w:t xml:space="preserve">The O–H/N–H bands (3100–3600 cm⁻¹) were broad in Figure </w:t>
      </w:r>
      <w:r w:rsidRPr="00B76A69">
        <w:rPr>
          <w:rFonts w:asciiTheme="majorBidi" w:eastAsia="Calibri" w:hAnsiTheme="majorBidi" w:cstheme="majorBidi" w:hint="cs"/>
          <w:rtl/>
          <w:lang w:bidi="ar-IQ"/>
        </w:rPr>
        <w:t>10</w:t>
      </w:r>
      <w:r w:rsidRPr="00B76A69">
        <w:rPr>
          <w:rFonts w:asciiTheme="majorBidi" w:eastAsia="Calibri" w:hAnsiTheme="majorBidi" w:cstheme="majorBidi"/>
          <w:lang w:bidi="ar-IQ"/>
        </w:rPr>
        <w:t>, indicating a dynamic hydrogen bonding network, while they appeared more pronounced in Fig</w:t>
      </w:r>
      <w:r w:rsidR="0031680C">
        <w:rPr>
          <w:rFonts w:asciiTheme="majorBidi" w:eastAsia="Calibri" w:hAnsiTheme="majorBidi" w:cstheme="majorBidi"/>
          <w:lang w:bidi="ar-IQ"/>
        </w:rPr>
        <w:t>.</w:t>
      </w:r>
      <w:r w:rsidRPr="00B76A69">
        <w:rPr>
          <w:rFonts w:asciiTheme="majorBidi" w:eastAsia="Calibri" w:hAnsiTheme="majorBidi" w:cstheme="majorBidi"/>
          <w:lang w:bidi="ar-IQ"/>
        </w:rPr>
        <w:t xml:space="preserve"> </w:t>
      </w:r>
      <w:r w:rsidRPr="00B76A69">
        <w:rPr>
          <w:rFonts w:asciiTheme="majorBidi" w:eastAsia="Calibri" w:hAnsiTheme="majorBidi" w:cstheme="majorBidi" w:hint="cs"/>
          <w:rtl/>
          <w:lang w:bidi="ar-IQ"/>
        </w:rPr>
        <w:t>11</w:t>
      </w:r>
      <w:r w:rsidRPr="00B76A69">
        <w:rPr>
          <w:rFonts w:asciiTheme="majorBidi" w:eastAsia="Calibri" w:hAnsiTheme="majorBidi" w:cstheme="majorBidi"/>
          <w:lang w:bidi="ar-IQ"/>
        </w:rPr>
        <w:t xml:space="preserve">, reflecting stronger and more rigid bonds. These differences suggest that </w:t>
      </w:r>
      <w:r w:rsidRPr="00A40B57">
        <w:rPr>
          <w:rFonts w:asciiTheme="majorBidi" w:eastAsia="Calibri" w:hAnsiTheme="majorBidi" w:cstheme="majorBidi"/>
          <w:vertAlign w:val="superscript"/>
          <w:lang w:bidi="ar-IQ"/>
        </w:rPr>
        <w:t>18</w:t>
      </w:r>
      <w:r w:rsidRPr="00B76A69">
        <w:rPr>
          <w:rFonts w:asciiTheme="majorBidi" w:eastAsia="Calibri" w:hAnsiTheme="majorBidi" w:cstheme="majorBidi"/>
          <w:lang w:bidi="ar-IQ"/>
        </w:rPr>
        <w:t xml:space="preserve">F-FDG primarily acts as a bio-guided "sugar head," while the </w:t>
      </w:r>
      <w:r w:rsidR="00A40B57">
        <w:rPr>
          <w:rFonts w:asciiTheme="majorBidi" w:eastAsia="Calibri" w:hAnsiTheme="majorBidi" w:cstheme="majorBidi"/>
          <w:lang w:bidi="ar-IQ"/>
        </w:rPr>
        <w:t xml:space="preserve">nano </w:t>
      </w:r>
      <w:r w:rsidRPr="00B76A69">
        <w:rPr>
          <w:rFonts w:asciiTheme="majorBidi" w:eastAsia="Calibri" w:hAnsiTheme="majorBidi" w:cstheme="majorBidi"/>
          <w:lang w:bidi="ar-IQ"/>
        </w:rPr>
        <w:t xml:space="preserve">perovskite provides a robust stabilization environment for the drug. The chemical fingerprint of each carrier is clearly visible: the C–F peaks (~1100 cm⁻¹) of </w:t>
      </w:r>
      <w:r w:rsidRPr="00A40B57">
        <w:rPr>
          <w:rFonts w:asciiTheme="majorBidi" w:eastAsia="Calibri" w:hAnsiTheme="majorBidi" w:cstheme="majorBidi"/>
          <w:vertAlign w:val="superscript"/>
          <w:lang w:bidi="ar-IQ"/>
        </w:rPr>
        <w:t>18</w:t>
      </w:r>
      <w:r w:rsidRPr="00B76A69">
        <w:rPr>
          <w:rFonts w:asciiTheme="majorBidi" w:eastAsia="Calibri" w:hAnsiTheme="majorBidi" w:cstheme="majorBidi"/>
          <w:lang w:bidi="ar-IQ"/>
        </w:rPr>
        <w:t xml:space="preserve">F-FDG are prominent in Figure </w:t>
      </w:r>
      <w:r w:rsidRPr="00B76A69">
        <w:rPr>
          <w:rFonts w:asciiTheme="majorBidi" w:eastAsia="Calibri" w:hAnsiTheme="majorBidi" w:cstheme="majorBidi" w:hint="cs"/>
          <w:rtl/>
          <w:lang w:bidi="ar-IQ"/>
        </w:rPr>
        <w:t>10</w:t>
      </w:r>
      <w:r w:rsidRPr="00B76A69">
        <w:rPr>
          <w:rFonts w:asciiTheme="majorBidi" w:eastAsia="Calibri" w:hAnsiTheme="majorBidi" w:cstheme="majorBidi"/>
          <w:lang w:bidi="ar-IQ"/>
        </w:rPr>
        <w:t>, while additional peaks below 600 cm⁻¹ in Figure</w:t>
      </w:r>
      <w:r w:rsidR="00A40B57">
        <w:rPr>
          <w:rFonts w:asciiTheme="majorBidi" w:eastAsia="Calibri" w:hAnsiTheme="majorBidi" w:cstheme="majorBidi" w:hint="cs"/>
          <w:rtl/>
          <w:lang w:bidi="ar-IQ"/>
        </w:rPr>
        <w:t>1</w:t>
      </w:r>
      <w:r w:rsidRPr="00B76A69">
        <w:rPr>
          <w:rFonts w:asciiTheme="majorBidi" w:eastAsia="Calibri" w:hAnsiTheme="majorBidi" w:cstheme="majorBidi" w:hint="cs"/>
          <w:rtl/>
          <w:lang w:bidi="ar-IQ"/>
        </w:rPr>
        <w:t>1</w:t>
      </w:r>
      <w:r w:rsidRPr="00B76A69">
        <w:rPr>
          <w:rFonts w:asciiTheme="majorBidi" w:eastAsia="Calibri" w:hAnsiTheme="majorBidi" w:cstheme="majorBidi"/>
          <w:lang w:bidi="ar-IQ"/>
        </w:rPr>
        <w:t xml:space="preserve">are associated with Ti–O and Ca–O vibrations, which are characteristic of the </w:t>
      </w:r>
      <w:r w:rsidR="00A40B57">
        <w:rPr>
          <w:rFonts w:asciiTheme="majorBidi" w:eastAsia="Calibri" w:hAnsiTheme="majorBidi" w:cstheme="majorBidi"/>
          <w:lang w:bidi="ar-IQ"/>
        </w:rPr>
        <w:t xml:space="preserve">nano </w:t>
      </w:r>
      <w:r w:rsidRPr="00B76A69">
        <w:rPr>
          <w:rFonts w:asciiTheme="majorBidi" w:eastAsia="Calibri" w:hAnsiTheme="majorBidi" w:cstheme="majorBidi"/>
          <w:lang w:bidi="ar-IQ"/>
        </w:rPr>
        <w:t xml:space="preserve">perovskite structure according to recent experimental reviews </w:t>
      </w:r>
      <w:r w:rsidRPr="00B76A69">
        <w:rPr>
          <w:rFonts w:asciiTheme="majorBidi" w:eastAsia="Calibri" w:hAnsiTheme="majorBidi" w:cstheme="majorBidi"/>
          <w:lang w:bidi="ar-IQ"/>
        </w:rPr>
        <w:fldChar w:fldCharType="begin"/>
      </w:r>
      <w:r w:rsidRPr="00B76A69">
        <w:rPr>
          <w:rFonts w:asciiTheme="majorBidi" w:eastAsia="Calibri" w:hAnsiTheme="majorBidi" w:cstheme="majorBidi"/>
          <w:lang w:bidi="ar-IQ"/>
        </w:rPr>
        <w:instrText xml:space="preserve"> ADDIN EN.CITE &lt;EndNote&gt;&lt;Cite&gt;&lt;Author&gt;Kojima&lt;/Author&gt;&lt;Year&gt;2024&lt;/Year&gt;&lt;RecNum&gt;3&lt;/RecNum&gt;&lt;DisplayText&gt;[20]&lt;/DisplayText&gt;&lt;record&gt;&lt;rec-number&gt;3&lt;/rec-number&gt;&lt;foreign-keys&gt;&lt;key app="EN" db-id="ftfpwx9072pte8e55zhppzxtrvd29adze5v5" timestamp="1757791572"&gt;3&lt;/key&gt;&lt;/foreign-keys&gt;&lt;ref-type name="Journal Article"&gt;17&lt;/ref-type&gt;&lt;contributors&gt;&lt;authors&gt;&lt;author&gt;Kojima, Seiji&lt;/author&gt;&lt;/authors&gt;&lt;/contributors&gt;&lt;titles&gt;&lt;title&gt;Vibrational Spectroscopy of Perovskite Ferroelectrics&lt;/title&gt;&lt;secondary-title&gt;Solids&lt;/secondary-title&gt;&lt;/titles&gt;&lt;periodical&gt;&lt;full-title&gt;Solids&lt;/full-title&gt;&lt;/periodical&gt;&lt;pages&gt;593-616&lt;/pages&gt;&lt;volume&gt;5&lt;/volume&gt;&lt;number&gt;4&lt;/number&gt;&lt;dates&gt;&lt;year&gt;2024&lt;/year&gt;&lt;/dates&gt;&lt;isbn&gt;2673-6497&lt;/isbn&gt;&lt;urls&gt;&lt;/urls&gt;&lt;/record&gt;&lt;/Cite&gt;&lt;/EndNote&gt;</w:instrText>
      </w:r>
      <w:r w:rsidRPr="00B76A69">
        <w:rPr>
          <w:rFonts w:asciiTheme="majorBidi" w:eastAsia="Calibri" w:hAnsiTheme="majorBidi" w:cstheme="majorBidi"/>
          <w:lang w:bidi="ar-IQ"/>
        </w:rPr>
        <w:fldChar w:fldCharType="separate"/>
      </w:r>
      <w:r w:rsidRPr="00B76A69">
        <w:rPr>
          <w:rFonts w:asciiTheme="majorBidi" w:eastAsia="Calibri" w:hAnsiTheme="majorBidi" w:cstheme="majorBidi"/>
          <w:lang w:bidi="ar-IQ"/>
        </w:rPr>
        <w:t>[20]</w:t>
      </w:r>
      <w:r w:rsidRPr="00B76A69">
        <w:rPr>
          <w:rFonts w:asciiTheme="majorBidi" w:eastAsia="Calibri" w:hAnsiTheme="majorBidi" w:cstheme="majorBidi"/>
          <w:lang w:bidi="ar-IQ"/>
        </w:rPr>
        <w:fldChar w:fldCharType="end"/>
      </w:r>
      <w:r w:rsidRPr="00B76A69">
        <w:rPr>
          <w:rFonts w:asciiTheme="majorBidi" w:eastAsia="Calibri" w:hAnsiTheme="majorBidi" w:cstheme="majorBidi"/>
          <w:lang w:bidi="ar-IQ"/>
        </w:rPr>
        <w:t>.</w:t>
      </w:r>
    </w:p>
    <w:p w14:paraId="4002E238" w14:textId="4819E6F9" w:rsidR="00ED1549" w:rsidRDefault="00ED1549" w:rsidP="00ED1549">
      <w:pPr>
        <w:pStyle w:val="Paragraph"/>
        <w:ind w:firstLine="0"/>
        <w:rPr>
          <w:rFonts w:asciiTheme="majorBidi" w:eastAsia="Calibri" w:hAnsiTheme="majorBidi" w:cstheme="majorBidi"/>
          <w:lang w:bidi="ar-IQ"/>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36"/>
      </w:tblGrid>
      <w:tr w:rsidR="00ED1549" w14:paraId="25AA869D" w14:textId="77777777" w:rsidTr="0018477B">
        <w:trPr>
          <w:jc w:val="center"/>
        </w:trPr>
        <w:tc>
          <w:tcPr>
            <w:tcW w:w="8046" w:type="dxa"/>
          </w:tcPr>
          <w:p w14:paraId="612D65E2" w14:textId="62653C7B" w:rsidR="00ED1549" w:rsidRDefault="00E11F37" w:rsidP="00ED1549">
            <w:pPr>
              <w:pStyle w:val="Paragraph"/>
              <w:ind w:firstLine="0"/>
              <w:rPr>
                <w:rFonts w:asciiTheme="majorBidi" w:eastAsia="Calibri" w:hAnsiTheme="majorBidi" w:cstheme="majorBidi"/>
                <w:lang w:bidi="ar-IQ"/>
              </w:rPr>
            </w:pPr>
            <w:r w:rsidRPr="00E11F37">
              <w:rPr>
                <w:rFonts w:asciiTheme="majorBidi" w:eastAsia="Calibri" w:hAnsiTheme="majorBidi" w:cstheme="majorBidi"/>
                <w:noProof/>
                <w:lang w:bidi="ar-IQ"/>
              </w:rPr>
              <w:lastRenderedPageBreak/>
              <mc:AlternateContent>
                <mc:Choice Requires="wps">
                  <w:drawing>
                    <wp:anchor distT="0" distB="0" distL="114300" distR="114300" simplePos="0" relativeHeight="251656192" behindDoc="0" locked="0" layoutInCell="1" allowOverlap="1" wp14:anchorId="4D2F860F" wp14:editId="0DF8B553">
                      <wp:simplePos x="0" y="0"/>
                      <wp:positionH relativeFrom="column">
                        <wp:posOffset>525780</wp:posOffset>
                      </wp:positionH>
                      <wp:positionV relativeFrom="paragraph">
                        <wp:posOffset>118110</wp:posOffset>
                      </wp:positionV>
                      <wp:extent cx="441960" cy="14859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 cy="1485900"/>
                              </a:xfrm>
                              <a:prstGeom prst="rect">
                                <a:avLst/>
                              </a:prstGeom>
                              <a:noFill/>
                              <a:ln w="9525">
                                <a:noFill/>
                                <a:miter lim="800000"/>
                                <a:headEnd/>
                                <a:tailEnd/>
                              </a:ln>
                            </wps:spPr>
                            <wps:txbx>
                              <w:txbxContent>
                                <w:p w14:paraId="360CB806" w14:textId="5F87C50C" w:rsidR="00E11F37" w:rsidRDefault="00E11F37">
                                  <w:r>
                                    <w:t>a</w:t>
                                  </w:r>
                                </w:p>
                                <w:p w14:paraId="1324658E" w14:textId="77777777" w:rsidR="00E11F37" w:rsidRDefault="00E11F37"/>
                                <w:p w14:paraId="45FE0EC1" w14:textId="77777777" w:rsidR="00E11F37" w:rsidRDefault="00E11F37"/>
                                <w:p w14:paraId="2633D13E" w14:textId="77777777" w:rsidR="00E11F37" w:rsidRDefault="00E11F37"/>
                                <w:p w14:paraId="66B9D9A6" w14:textId="77777777" w:rsidR="00E11F37" w:rsidRDefault="00E11F37"/>
                                <w:p w14:paraId="5A7F96B1" w14:textId="77777777" w:rsidR="00E11F37" w:rsidRDefault="00E11F37"/>
                                <w:p w14:paraId="7C3A205A" w14:textId="77777777" w:rsidR="00E11F37" w:rsidRDefault="00E11F37"/>
                                <w:p w14:paraId="59FD98AF" w14:textId="6BC4E961" w:rsidR="00E11F37" w:rsidRDefault="00E11F37">
                                  <w:r>
                                    <w:t>b</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4D2F860F" id="Text Box 2" o:spid="_x0000_s1035" type="#_x0000_t202" style="position:absolute;left:0;text-align:left;margin-left:41.4pt;margin-top:9.3pt;width:34.8pt;height:11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" filled="f" stroked="f">
                      <v:textbox>
                        <w:txbxContent>
                          <w:p w14:paraId="360CB806" w14:textId="5F87C50C" w:rsidR="00E11F37" w:rsidRDefault="00E11F37">
                            <w:r>
                              <w:t>a</w:t>
                            </w:r>
                          </w:p>
                          <w:p w14:paraId="1324658E" w14:textId="77777777" w:rsidR="00E11F37" w:rsidRDefault="00E11F37"/>
                          <w:p w14:paraId="45FE0EC1" w14:textId="77777777" w:rsidR="00E11F37" w:rsidRDefault="00E11F37"/>
                          <w:p w14:paraId="2633D13E" w14:textId="77777777" w:rsidR="00E11F37" w:rsidRDefault="00E11F37"/>
                          <w:p w14:paraId="66B9D9A6" w14:textId="77777777" w:rsidR="00E11F37" w:rsidRDefault="00E11F37"/>
                          <w:p w14:paraId="5A7F96B1" w14:textId="77777777" w:rsidR="00E11F37" w:rsidRDefault="00E11F37"/>
                          <w:p w14:paraId="7C3A205A" w14:textId="77777777" w:rsidR="00E11F37" w:rsidRDefault="00E11F37"/>
                          <w:p w14:paraId="59FD98AF" w14:textId="6BC4E961" w:rsidR="00E11F37" w:rsidRDefault="00E11F37">
                            <w:r>
                              <w:t>b</w:t>
                            </w:r>
                          </w:p>
                        </w:txbxContent>
                      </v:textbox>
                    </v:shape>
                  </w:pict>
                </mc:Fallback>
              </mc:AlternateContent>
            </w:r>
            <w:r w:rsidR="00ED1549">
              <w:rPr>
                <w:rFonts w:asciiTheme="majorBidi" w:eastAsia="Calibri" w:hAnsiTheme="majorBidi" w:cstheme="majorBidi"/>
                <w:noProof/>
              </w:rPr>
              <mc:AlternateContent>
                <mc:Choice Requires="wps">
                  <w:drawing>
                    <wp:inline distT="0" distB="0" distL="0" distR="0" wp14:anchorId="7DFF37F9" wp14:editId="068689FC">
                      <wp:extent cx="5000625" cy="2316480"/>
                      <wp:effectExtent l="0" t="0" r="28575" b="26670"/>
                      <wp:docPr id="1246583098" name="Text Box 1246583098"/>
                      <wp:cNvGraphicFramePr/>
                      <a:graphic xmlns:a="http://schemas.openxmlformats.org/drawingml/2006/main">
                        <a:graphicData uri="http://schemas.microsoft.com/office/word/2010/wordprocessingShape">
                          <wps:wsp>
                            <wps:cNvSpPr txBox="1"/>
                            <wps:spPr>
                              <a:xfrm>
                                <a:off x="0" y="0"/>
                                <a:ext cx="5000625" cy="2316480"/>
                              </a:xfrm>
                              <a:prstGeom prst="rect">
                                <a:avLst/>
                              </a:prstGeom>
                              <a:solidFill>
                                <a:sysClr val="window" lastClr="FFFFFF"/>
                              </a:solidFill>
                              <a:ln w="6350">
                                <a:solidFill>
                                  <a:prstClr val="black"/>
                                </a:solidFill>
                              </a:ln>
                              <a:effectLst/>
                            </wps:spPr>
                            <wps:txbx>
                              <w:txbxContent>
                                <w:p w14:paraId="6BCD2B7F" w14:textId="77777777" w:rsidR="00ED1549" w:rsidRDefault="00ED1549" w:rsidP="00ED1549">
                                  <w:pPr>
                                    <w:pStyle w:val="Figure"/>
                                  </w:pPr>
                                  <w:r>
                                    <w:rPr>
                                      <w:noProof/>
                                    </w:rPr>
                                    <w:drawing>
                                      <wp:inline distT="0" distB="0" distL="0" distR="0" wp14:anchorId="390A8BEB" wp14:editId="64A675AF">
                                        <wp:extent cx="4663440" cy="2203955"/>
                                        <wp:effectExtent l="0" t="0" r="3810" b="6350"/>
                                        <wp:docPr id="6826267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31546" name="Picture 1"/>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4663440" cy="22039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inline>
                  </w:drawing>
                </mc:Choice>
                <mc:Fallback>
                  <w:pict>
                    <v:shape w14:anchorId="7DFF37F9" id="Text Box 1246583098" o:spid="_x0000_s1036" type="#_x0000_t202" style="width:393.75pt;height:18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" fillcolor="window" strokeweight=".5pt">
                      <v:textbox>
                        <w:txbxContent>
                          <w:p w14:paraId="6BCD2B7F" w14:textId="77777777" w:rsidR="00ED1549" w:rsidRDefault="00ED1549" w:rsidP="00ED1549">
                            <w:pPr>
                              <w:pStyle w:val="Figure"/>
                            </w:pPr>
                            <w:r>
                              <w:rPr>
                                <w:noProof/>
                              </w:rPr>
                              <w:drawing>
                                <wp:inline distT="0" distB="0" distL="0" distR="0" wp14:anchorId="390A8BEB" wp14:editId="64A675AF">
                                  <wp:extent cx="4663440" cy="2203955"/>
                                  <wp:effectExtent l="0" t="0" r="3810" b="6350"/>
                                  <wp:docPr id="6826267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31546" name="Picture 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663440" cy="2203955"/>
                                          </a:xfrm>
                                          <a:prstGeom prst="rect">
                                            <a:avLst/>
                                          </a:prstGeom>
                                        </pic:spPr>
                                      </pic:pic>
                                    </a:graphicData>
                                  </a:graphic>
                                </wp:inline>
                              </w:drawing>
                            </w:r>
                          </w:p>
                        </w:txbxContent>
                      </v:textbox>
                      <w10:anchorlock/>
                    </v:shape>
                  </w:pict>
                </mc:Fallback>
              </mc:AlternateContent>
            </w:r>
          </w:p>
        </w:tc>
      </w:tr>
    </w:tbl>
    <w:p w14:paraId="4FAD12CA" w14:textId="160BE1C0" w:rsidR="0030322E" w:rsidRDefault="0030322E" w:rsidP="008549B2">
      <w:pPr>
        <w:pStyle w:val="FigureCaption"/>
        <w:rPr>
          <w:rFonts w:asciiTheme="majorBidi" w:eastAsia="Calibri" w:hAnsiTheme="majorBidi" w:cstheme="majorBidi"/>
          <w:szCs w:val="18"/>
          <w:lang w:bidi="ar-IQ"/>
        </w:rPr>
      </w:pPr>
      <w:r w:rsidRPr="005C29EB">
        <w:rPr>
          <w:rFonts w:asciiTheme="majorBidi" w:eastAsia="MS Mincho" w:hAnsiTheme="majorBidi" w:cstheme="majorBidi"/>
          <w:b/>
          <w:bCs/>
          <w:szCs w:val="18"/>
        </w:rPr>
        <w:t>FIGURE</w:t>
      </w:r>
      <w:r w:rsidRPr="005C29EB">
        <w:rPr>
          <w:rFonts w:asciiTheme="majorBidi" w:eastAsia="MS Mincho" w:hAnsiTheme="majorBidi" w:cstheme="majorBidi" w:hint="cs"/>
          <w:b/>
          <w:bCs/>
          <w:szCs w:val="18"/>
          <w:rtl/>
        </w:rPr>
        <w:t>10</w:t>
      </w:r>
      <w:proofErr w:type="spellStart"/>
      <w:proofErr w:type="gramStart"/>
      <w:r w:rsidR="00E11F37">
        <w:rPr>
          <w:rFonts w:asciiTheme="majorBidi" w:eastAsia="MS Mincho" w:hAnsiTheme="majorBidi" w:cstheme="majorBidi"/>
          <w:b/>
          <w:bCs/>
          <w:szCs w:val="18"/>
        </w:rPr>
        <w:t>a,b</w:t>
      </w:r>
      <w:proofErr w:type="spellEnd"/>
      <w:r w:rsidRPr="005C29EB">
        <w:rPr>
          <w:rFonts w:asciiTheme="majorBidi" w:eastAsia="MS Mincho" w:hAnsiTheme="majorBidi" w:cstheme="majorBidi"/>
          <w:b/>
          <w:bCs/>
          <w:szCs w:val="18"/>
        </w:rPr>
        <w:t>.</w:t>
      </w:r>
      <w:proofErr w:type="gramEnd"/>
      <w:r w:rsidRPr="005C29EB">
        <w:rPr>
          <w:rFonts w:asciiTheme="majorBidi" w:eastAsia="Calibri" w:hAnsiTheme="majorBidi" w:cstheme="majorBidi"/>
          <w:szCs w:val="18"/>
        </w:rPr>
        <w:t xml:space="preserve"> </w:t>
      </w:r>
      <w:r w:rsidRPr="005C29EB">
        <w:rPr>
          <w:rFonts w:asciiTheme="majorBidi" w:eastAsia="Calibri" w:hAnsiTheme="majorBidi" w:cstheme="majorBidi" w:hint="cs"/>
          <w:szCs w:val="18"/>
          <w:rtl/>
        </w:rPr>
        <w:t xml:space="preserve"> </w:t>
      </w:r>
      <w:r w:rsidRPr="005C29EB">
        <w:rPr>
          <w:rFonts w:asciiTheme="majorBidi" w:eastAsia="Calibri" w:hAnsiTheme="majorBidi" w:cstheme="majorBidi"/>
          <w:szCs w:val="18"/>
          <w:lang w:bidi="ar-IQ"/>
        </w:rPr>
        <w:t xml:space="preserve">Infrared and Raman </w:t>
      </w:r>
      <w:proofErr w:type="gramStart"/>
      <w:r w:rsidRPr="005C29EB">
        <w:rPr>
          <w:rFonts w:asciiTheme="majorBidi" w:eastAsia="Calibri" w:hAnsiTheme="majorBidi" w:cstheme="majorBidi"/>
          <w:szCs w:val="18"/>
          <w:lang w:bidi="ar-IQ"/>
        </w:rPr>
        <w:t>spectra</w:t>
      </w:r>
      <w:proofErr w:type="gramEnd"/>
      <w:r w:rsidRPr="005C29EB">
        <w:rPr>
          <w:rFonts w:asciiTheme="majorBidi" w:eastAsia="Calibri" w:hAnsiTheme="majorBidi" w:cstheme="majorBidi"/>
          <w:szCs w:val="18"/>
          <w:rtl/>
          <w:lang w:bidi="ar-IQ"/>
        </w:rPr>
        <w:t xml:space="preserve"> </w:t>
      </w:r>
      <w:r w:rsidRPr="005C29EB">
        <w:rPr>
          <w:rFonts w:asciiTheme="majorBidi" w:eastAsia="Calibri" w:hAnsiTheme="majorBidi" w:cstheme="majorBidi"/>
          <w:szCs w:val="18"/>
          <w:lang w:bidi="ar-IQ"/>
        </w:rPr>
        <w:t>of cancer docking with doxorubicin and the dye (</w:t>
      </w:r>
      <w:r w:rsidRPr="005C29EB">
        <w:rPr>
          <w:rFonts w:asciiTheme="majorBidi" w:eastAsia="Calibri" w:hAnsiTheme="majorBidi" w:cstheme="majorBidi"/>
          <w:szCs w:val="18"/>
          <w:vertAlign w:val="superscript"/>
          <w:lang w:bidi="ar-IQ"/>
        </w:rPr>
        <w:t>18</w:t>
      </w:r>
      <w:r w:rsidRPr="005C29EB">
        <w:rPr>
          <w:rFonts w:asciiTheme="majorBidi" w:eastAsia="Calibri" w:hAnsiTheme="majorBidi" w:cstheme="majorBidi"/>
          <w:szCs w:val="18"/>
          <w:lang w:bidi="ar-IQ"/>
        </w:rPr>
        <w:t>F-FDG).</w:t>
      </w:r>
    </w:p>
    <w:p w14:paraId="3CD01BD2" w14:textId="77777777" w:rsidR="00ED1549" w:rsidRDefault="00ED1549" w:rsidP="00ED1549">
      <w:pPr>
        <w:pStyle w:val="Paragraph"/>
        <w:rPr>
          <w:rFonts w:eastAsia="Calibri"/>
          <w:lang w:bidi="ar-IQ"/>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36"/>
      </w:tblGrid>
      <w:tr w:rsidR="00ED1549" w14:paraId="0AE4D5A8" w14:textId="77777777" w:rsidTr="0018477B">
        <w:trPr>
          <w:jc w:val="center"/>
        </w:trPr>
        <w:tc>
          <w:tcPr>
            <w:tcW w:w="8046" w:type="dxa"/>
          </w:tcPr>
          <w:p w14:paraId="794C9B0A" w14:textId="60CE2EF8" w:rsidR="00ED1549" w:rsidRDefault="00E11F37" w:rsidP="00ED1549">
            <w:pPr>
              <w:pStyle w:val="Paragraph"/>
              <w:ind w:firstLine="0"/>
              <w:rPr>
                <w:rFonts w:eastAsia="Calibri"/>
                <w:lang w:bidi="ar-IQ"/>
              </w:rPr>
            </w:pPr>
            <w:r w:rsidRPr="00E11F37">
              <w:rPr>
                <w:rFonts w:asciiTheme="majorBidi" w:eastAsia="Calibri" w:hAnsiTheme="majorBidi" w:cstheme="majorBidi"/>
                <w:noProof/>
                <w:lang w:bidi="ar-IQ"/>
              </w:rPr>
              <mc:AlternateContent>
                <mc:Choice Requires="wps">
                  <w:drawing>
                    <wp:anchor distT="0" distB="0" distL="114300" distR="114300" simplePos="0" relativeHeight="251661312" behindDoc="0" locked="0" layoutInCell="1" allowOverlap="1" wp14:anchorId="6E1DCE83" wp14:editId="5B75320D">
                      <wp:simplePos x="0" y="0"/>
                      <wp:positionH relativeFrom="column">
                        <wp:posOffset>586740</wp:posOffset>
                      </wp:positionH>
                      <wp:positionV relativeFrom="paragraph">
                        <wp:posOffset>302260</wp:posOffset>
                      </wp:positionV>
                      <wp:extent cx="441960" cy="1485900"/>
                      <wp:effectExtent l="0" t="0" r="0" b="0"/>
                      <wp:wrapNone/>
                      <wp:docPr id="1296353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 cy="1485900"/>
                              </a:xfrm>
                              <a:prstGeom prst="rect">
                                <a:avLst/>
                              </a:prstGeom>
                              <a:noFill/>
                              <a:ln w="9525">
                                <a:noFill/>
                                <a:miter lim="800000"/>
                                <a:headEnd/>
                                <a:tailEnd/>
                              </a:ln>
                            </wps:spPr>
                            <wps:txbx>
                              <w:txbxContent>
                                <w:p w14:paraId="63D4E3C2" w14:textId="77777777" w:rsidR="00E11F37" w:rsidRDefault="00E11F37" w:rsidP="00E11F37">
                                  <w:r>
                                    <w:t>a</w:t>
                                  </w:r>
                                </w:p>
                                <w:p w14:paraId="79326363" w14:textId="77777777" w:rsidR="00E11F37" w:rsidRDefault="00E11F37" w:rsidP="00E11F37"/>
                                <w:p w14:paraId="1D1BCBF9" w14:textId="77777777" w:rsidR="00E11F37" w:rsidRDefault="00E11F37" w:rsidP="00E11F37"/>
                                <w:p w14:paraId="4E6CBE70" w14:textId="77777777" w:rsidR="00E11F37" w:rsidRDefault="00E11F37" w:rsidP="00E11F37"/>
                                <w:p w14:paraId="3CD2A442" w14:textId="77777777" w:rsidR="00E11F37" w:rsidRDefault="00E11F37" w:rsidP="00E11F37"/>
                                <w:p w14:paraId="77F43C15" w14:textId="77777777" w:rsidR="00E11F37" w:rsidRDefault="00E11F37" w:rsidP="00E11F37"/>
                                <w:p w14:paraId="6FB1F619" w14:textId="77777777" w:rsidR="00E11F37" w:rsidRDefault="00E11F37" w:rsidP="00E11F37"/>
                                <w:p w14:paraId="193B22AF" w14:textId="77777777" w:rsidR="00E11F37" w:rsidRDefault="00E11F37" w:rsidP="00E11F37">
                                  <w:r>
                                    <w:t>b</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6E1DCE83" id="_x0000_s1037" type="#_x0000_t202" style="position:absolute;left:0;text-align:left;margin-left:46.2pt;margin-top:23.8pt;width:34.8pt;height:11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" filled="f" stroked="f">
                      <v:textbox>
                        <w:txbxContent>
                          <w:p w14:paraId="63D4E3C2" w14:textId="77777777" w:rsidR="00E11F37" w:rsidRDefault="00E11F37" w:rsidP="00E11F37">
                            <w:r>
                              <w:t>a</w:t>
                            </w:r>
                          </w:p>
                          <w:p w14:paraId="79326363" w14:textId="77777777" w:rsidR="00E11F37" w:rsidRDefault="00E11F37" w:rsidP="00E11F37"/>
                          <w:p w14:paraId="1D1BCBF9" w14:textId="77777777" w:rsidR="00E11F37" w:rsidRDefault="00E11F37" w:rsidP="00E11F37"/>
                          <w:p w14:paraId="4E6CBE70" w14:textId="77777777" w:rsidR="00E11F37" w:rsidRDefault="00E11F37" w:rsidP="00E11F37"/>
                          <w:p w14:paraId="3CD2A442" w14:textId="77777777" w:rsidR="00E11F37" w:rsidRDefault="00E11F37" w:rsidP="00E11F37"/>
                          <w:p w14:paraId="77F43C15" w14:textId="77777777" w:rsidR="00E11F37" w:rsidRDefault="00E11F37" w:rsidP="00E11F37"/>
                          <w:p w14:paraId="6FB1F619" w14:textId="77777777" w:rsidR="00E11F37" w:rsidRDefault="00E11F37" w:rsidP="00E11F37"/>
                          <w:p w14:paraId="193B22AF" w14:textId="77777777" w:rsidR="00E11F37" w:rsidRDefault="00E11F37" w:rsidP="00E11F37">
                            <w:r>
                              <w:t>b</w:t>
                            </w:r>
                          </w:p>
                        </w:txbxContent>
                      </v:textbox>
                    </v:shape>
                  </w:pict>
                </mc:Fallback>
              </mc:AlternateContent>
            </w:r>
            <w:r w:rsidR="00ED1549">
              <w:rPr>
                <w:rFonts w:asciiTheme="majorBidi" w:eastAsia="Calibri" w:hAnsiTheme="majorBidi" w:cstheme="majorBidi"/>
                <w:noProof/>
              </w:rPr>
              <mc:AlternateContent>
                <mc:Choice Requires="wps">
                  <w:drawing>
                    <wp:inline distT="0" distB="0" distL="0" distR="0" wp14:anchorId="7F1B280B" wp14:editId="00F328E7">
                      <wp:extent cx="5000625" cy="2278380"/>
                      <wp:effectExtent l="0" t="0" r="28575" b="26670"/>
                      <wp:docPr id="522229845" name="Text Box 522229845"/>
                      <wp:cNvGraphicFramePr/>
                      <a:graphic xmlns:a="http://schemas.openxmlformats.org/drawingml/2006/main">
                        <a:graphicData uri="http://schemas.microsoft.com/office/word/2010/wordprocessingShape">
                          <wps:wsp>
                            <wps:cNvSpPr txBox="1"/>
                            <wps:spPr>
                              <a:xfrm>
                                <a:off x="0" y="0"/>
                                <a:ext cx="5000625" cy="2278380"/>
                              </a:xfrm>
                              <a:prstGeom prst="rect">
                                <a:avLst/>
                              </a:prstGeom>
                              <a:solidFill>
                                <a:sysClr val="window" lastClr="FFFFFF"/>
                              </a:solidFill>
                              <a:ln w="6350">
                                <a:solidFill>
                                  <a:prstClr val="black"/>
                                </a:solidFill>
                              </a:ln>
                              <a:effectLst/>
                            </wps:spPr>
                            <wps:txbx>
                              <w:txbxContent>
                                <w:p w14:paraId="0E8BF6F4" w14:textId="77777777" w:rsidR="00ED1549" w:rsidRDefault="00ED1549" w:rsidP="00ED1549">
                                  <w:pPr>
                                    <w:pStyle w:val="Figure"/>
                                  </w:pPr>
                                  <w:r>
                                    <w:rPr>
                                      <w:noProof/>
                                    </w:rPr>
                                    <w:drawing>
                                      <wp:inline distT="0" distB="0" distL="0" distR="0" wp14:anchorId="2A8DAEA2" wp14:editId="187134FA">
                                        <wp:extent cx="4572000" cy="2184225"/>
                                        <wp:effectExtent l="0" t="0" r="0" b="6985"/>
                                        <wp:docPr id="750550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854633" name="Picture 2"/>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572000" cy="21842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inline>
                  </w:drawing>
                </mc:Choice>
                <mc:Fallback>
                  <w:pict>
                    <v:shape w14:anchorId="7F1B280B" id="Text Box 522229845" o:spid="_x0000_s1038" type="#_x0000_t202" style="width:393.75pt;height:17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" fillcolor="window" strokeweight=".5pt">
                      <v:textbox>
                        <w:txbxContent>
                          <w:p w14:paraId="0E8BF6F4" w14:textId="77777777" w:rsidR="00ED1549" w:rsidRDefault="00ED1549" w:rsidP="00ED1549">
                            <w:pPr>
                              <w:pStyle w:val="Figure"/>
                            </w:pPr>
                            <w:r>
                              <w:rPr>
                                <w:noProof/>
                              </w:rPr>
                              <w:drawing>
                                <wp:inline distT="0" distB="0" distL="0" distR="0" wp14:anchorId="2A8DAEA2" wp14:editId="187134FA">
                                  <wp:extent cx="4572000" cy="2184225"/>
                                  <wp:effectExtent l="0" t="0" r="0" b="6985"/>
                                  <wp:docPr id="750550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854633" name="Picture 2"/>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72000" cy="2184225"/>
                                          </a:xfrm>
                                          <a:prstGeom prst="rect">
                                            <a:avLst/>
                                          </a:prstGeom>
                                        </pic:spPr>
                                      </pic:pic>
                                    </a:graphicData>
                                  </a:graphic>
                                </wp:inline>
                              </w:drawing>
                            </w:r>
                          </w:p>
                        </w:txbxContent>
                      </v:textbox>
                      <w10:anchorlock/>
                    </v:shape>
                  </w:pict>
                </mc:Fallback>
              </mc:AlternateContent>
            </w:r>
          </w:p>
        </w:tc>
      </w:tr>
    </w:tbl>
    <w:p w14:paraId="773E9F24" w14:textId="78E8E9CA" w:rsidR="0030322E" w:rsidRPr="005C29EB" w:rsidRDefault="0030322E" w:rsidP="00F84598">
      <w:pPr>
        <w:pStyle w:val="FigureCaption"/>
        <w:rPr>
          <w:rFonts w:asciiTheme="majorBidi" w:eastAsia="Calibri" w:hAnsiTheme="majorBidi" w:cstheme="majorBidi"/>
          <w:szCs w:val="18"/>
        </w:rPr>
      </w:pPr>
      <w:r w:rsidRPr="005C29EB">
        <w:rPr>
          <w:rFonts w:asciiTheme="majorBidi" w:eastAsia="MS Mincho" w:hAnsiTheme="majorBidi" w:cstheme="majorBidi"/>
          <w:b/>
          <w:bCs/>
          <w:szCs w:val="18"/>
        </w:rPr>
        <w:t>FIGURE</w:t>
      </w:r>
      <w:r w:rsidRPr="005C29EB">
        <w:rPr>
          <w:rFonts w:asciiTheme="majorBidi" w:eastAsia="MS Mincho" w:hAnsiTheme="majorBidi" w:cstheme="majorBidi" w:hint="cs"/>
          <w:b/>
          <w:bCs/>
          <w:szCs w:val="18"/>
          <w:rtl/>
        </w:rPr>
        <w:t>1</w:t>
      </w:r>
      <w:r w:rsidRPr="005C29EB">
        <w:rPr>
          <w:rFonts w:asciiTheme="majorBidi" w:eastAsia="MS Mincho" w:hAnsiTheme="majorBidi" w:cstheme="majorBidi"/>
          <w:b/>
          <w:bCs/>
          <w:szCs w:val="18"/>
        </w:rPr>
        <w:t>1</w:t>
      </w:r>
      <w:proofErr w:type="gramStart"/>
      <w:r w:rsidR="00E11F37">
        <w:rPr>
          <w:rFonts w:asciiTheme="majorBidi" w:eastAsia="MS Mincho" w:hAnsiTheme="majorBidi" w:cstheme="majorBidi"/>
          <w:b/>
          <w:bCs/>
          <w:szCs w:val="18"/>
        </w:rPr>
        <w:t>a,b</w:t>
      </w:r>
      <w:r w:rsidRPr="005C29EB">
        <w:rPr>
          <w:rFonts w:asciiTheme="majorBidi" w:eastAsia="MS Mincho" w:hAnsiTheme="majorBidi" w:cstheme="majorBidi"/>
          <w:b/>
          <w:bCs/>
          <w:szCs w:val="18"/>
        </w:rPr>
        <w:t>.</w:t>
      </w:r>
      <w:proofErr w:type="gramEnd"/>
      <w:r w:rsidRPr="005C29EB">
        <w:rPr>
          <w:rFonts w:asciiTheme="majorBidi" w:eastAsia="Calibri" w:hAnsiTheme="majorBidi" w:cstheme="majorBidi"/>
          <w:szCs w:val="18"/>
        </w:rPr>
        <w:t xml:space="preserve"> </w:t>
      </w:r>
      <w:r w:rsidRPr="005C29EB">
        <w:rPr>
          <w:rFonts w:asciiTheme="majorBidi" w:eastAsia="Calibri" w:hAnsiTheme="majorBidi" w:cstheme="majorBidi"/>
          <w:szCs w:val="18"/>
          <w:lang w:bidi="ar-IQ"/>
        </w:rPr>
        <w:t xml:space="preserve">Infrared and Raman spectra of the cancer docking with doxorubicin and the </w:t>
      </w:r>
      <w:r w:rsidR="00490172" w:rsidRPr="005C29EB">
        <w:rPr>
          <w:rFonts w:asciiTheme="majorBidi" w:eastAsia="Calibri" w:hAnsiTheme="majorBidi" w:cstheme="majorBidi"/>
          <w:szCs w:val="18"/>
          <w:lang w:bidi="ar-IQ"/>
        </w:rPr>
        <w:t>nano</w:t>
      </w:r>
      <w:r w:rsidRPr="005C29EB">
        <w:rPr>
          <w:rFonts w:asciiTheme="majorBidi" w:eastAsia="Calibri" w:hAnsiTheme="majorBidi" w:cstheme="majorBidi"/>
          <w:szCs w:val="18"/>
          <w:lang w:bidi="ar-IQ"/>
        </w:rPr>
        <w:t xml:space="preserve"> </w:t>
      </w:r>
      <w:r w:rsidRPr="005C29EB">
        <w:rPr>
          <w:rFonts w:eastAsia="Calibri"/>
          <w:szCs w:val="18"/>
        </w:rPr>
        <w:t>(</w:t>
      </w:r>
      <w:proofErr w:type="spellStart"/>
      <w:r w:rsidRPr="005C29EB">
        <w:rPr>
          <w:rFonts w:eastAsia="Calibri"/>
          <w:szCs w:val="18"/>
        </w:rPr>
        <w:t>CaTiO</w:t>
      </w:r>
      <w:proofErr w:type="spellEnd"/>
      <w:proofErr w:type="gramStart"/>
      <w:r w:rsidRPr="005C29EB">
        <w:rPr>
          <w:rFonts w:ascii="Cambria Math" w:eastAsia="Calibri" w:hAnsi="Cambria Math" w:cs="Cambria Math"/>
          <w:szCs w:val="18"/>
        </w:rPr>
        <w:t>₃</w:t>
      </w:r>
      <w:r w:rsidRPr="005C29EB">
        <w:rPr>
          <w:rFonts w:eastAsia="Calibri"/>
          <w:szCs w:val="18"/>
        </w:rPr>
        <w:t>)</w:t>
      </w:r>
      <w:r w:rsidRPr="005C29EB">
        <w:rPr>
          <w:rFonts w:ascii="Cambria Math" w:eastAsia="Calibri" w:hAnsi="Cambria Math" w:cs="Cambria Math"/>
          <w:szCs w:val="18"/>
        </w:rPr>
        <w:t>₂</w:t>
      </w:r>
      <w:proofErr w:type="gramEnd"/>
      <w:r w:rsidRPr="005C29EB">
        <w:rPr>
          <w:rFonts w:eastAsia="Calibri"/>
          <w:szCs w:val="18"/>
        </w:rPr>
        <w:t>.</w:t>
      </w:r>
    </w:p>
    <w:p w14:paraId="2C5E0FE0" w14:textId="77777777" w:rsidR="0018477B" w:rsidRPr="00F84598" w:rsidRDefault="0018477B" w:rsidP="00F84598">
      <w:pPr>
        <w:pStyle w:val="Paragraph"/>
        <w:rPr>
          <w:rFonts w:eastAsia="Calibri"/>
        </w:rPr>
      </w:pPr>
    </w:p>
    <w:p w14:paraId="32EACE13" w14:textId="021A5CDA" w:rsidR="0030322E" w:rsidRPr="00F84598" w:rsidRDefault="0030322E" w:rsidP="006F39E2">
      <w:pPr>
        <w:pStyle w:val="FigureCaption"/>
        <w:widowControl w:val="0"/>
        <w:spacing w:before="0"/>
        <w:ind w:firstLine="284"/>
        <w:jc w:val="both"/>
        <w:rPr>
          <w:rFonts w:asciiTheme="majorBidi" w:eastAsia="Calibri" w:hAnsiTheme="majorBidi" w:cstheme="majorBidi"/>
          <w:sz w:val="20"/>
        </w:rPr>
      </w:pPr>
      <w:r w:rsidRPr="00F84598">
        <w:rPr>
          <w:rFonts w:asciiTheme="majorBidi" w:eastAsia="Calibri" w:hAnsiTheme="majorBidi" w:cstheme="majorBidi"/>
          <w:sz w:val="20"/>
        </w:rPr>
        <w:t xml:space="preserve">The results from Table (1) indicate that both the docking </w:t>
      </w:r>
      <w:r w:rsidRPr="00F84598">
        <w:rPr>
          <w:rFonts w:asciiTheme="majorBidi" w:eastAsia="Calibri" w:hAnsiTheme="majorBidi" w:cstheme="majorBidi"/>
          <w:b/>
          <w:bCs/>
          <w:sz w:val="20"/>
        </w:rPr>
        <w:t>(</w:t>
      </w:r>
      <w:r w:rsidRPr="00F84598">
        <w:rPr>
          <w:rFonts w:asciiTheme="majorBidi" w:eastAsia="Calibri" w:hAnsiTheme="majorBidi" w:cstheme="majorBidi"/>
          <w:sz w:val="20"/>
        </w:rPr>
        <w:t>CaTiO</w:t>
      </w:r>
      <w:r w:rsidRPr="00F84598">
        <w:rPr>
          <w:rFonts w:asciiTheme="majorBidi" w:eastAsia="Calibri" w:hAnsiTheme="majorBidi" w:cstheme="majorBidi"/>
          <w:sz w:val="20"/>
          <w:vertAlign w:val="subscript"/>
        </w:rPr>
        <w:t>3</w:t>
      </w:r>
      <w:r w:rsidRPr="00F84598">
        <w:rPr>
          <w:rFonts w:asciiTheme="majorBidi" w:eastAsia="Calibri" w:hAnsiTheme="majorBidi" w:cstheme="majorBidi"/>
          <w:sz w:val="20"/>
        </w:rPr>
        <w:t>)</w:t>
      </w:r>
      <w:r w:rsidRPr="00F84598">
        <w:rPr>
          <w:rFonts w:asciiTheme="majorBidi" w:eastAsia="Calibri" w:hAnsiTheme="majorBidi" w:cstheme="majorBidi"/>
          <w:sz w:val="20"/>
          <w:vertAlign w:val="subscript"/>
        </w:rPr>
        <w:t>2</w:t>
      </w:r>
      <w:r w:rsidRPr="00F84598">
        <w:rPr>
          <w:rFonts w:asciiTheme="majorBidi" w:eastAsia="Calibri" w:hAnsiTheme="majorBidi" w:cstheme="majorBidi"/>
          <w:sz w:val="20"/>
        </w:rPr>
        <w:t xml:space="preserve"> with DHB system (ΔG = +17.173 eV) and the docking 18F-FDG with DHB system (ΔG = +2.710 eV) have higher ΔG values ​​than the reference OHB system (ΔG = +0.063 eV). According to theoretical and experimental criteria, a ΔG value higher than the reference value indicates that the reaction is non-spontaneous, and therefore random binding does not occur in the blood, ensuring biosafety during intravenous use. This result is consistent with studies of doxorubicin binding to nanocarriers and sugars, where it was observed that positive ΔG values ​​prevent unwanted binding in plasma and allow for selective targeting in the presence of biological stimuli </w:t>
      </w:r>
      <w:r w:rsidRPr="00F84598">
        <w:rPr>
          <w:rFonts w:asciiTheme="majorBidi" w:eastAsia="Calibri" w:hAnsiTheme="majorBidi" w:cstheme="majorBidi"/>
          <w:sz w:val="20"/>
        </w:rPr>
        <w:fldChar w:fldCharType="begin"/>
      </w:r>
      <w:r w:rsidRPr="00F84598">
        <w:rPr>
          <w:rFonts w:asciiTheme="majorBidi" w:eastAsia="Calibri" w:hAnsiTheme="majorBidi" w:cstheme="majorBidi"/>
          <w:sz w:val="20"/>
        </w:rPr>
        <w:instrText xml:space="preserve"> ADDIN EN.CITE &lt;EndNote&gt;&lt;Cite&gt;&lt;Author&gt;Olszówka&lt;/Author&gt;&lt;Year&gt;2016&lt;/Year&gt;&lt;RecNum&gt;8&lt;/RecNum&gt;&lt;DisplayText&gt;[21, 22]&lt;/DisplayText&gt;&lt;record&gt;&lt;rec-number&gt;8&lt;/rec-number&gt;&lt;foreign-keys&gt;&lt;key app="EN" db-id="pedv9wdebsaw53eaeduvz9e2evv0zptrdw2s" timestamp="1757777689"&gt;8&lt;/key&gt;&lt;/foreign-keys&gt;&lt;ref-type name="Journal Article"&gt;17&lt;/ref-type&gt;&lt;contributors&gt;&lt;authors&gt;&lt;author&gt;Olszówka, Marta&lt;/author&gt;&lt;author&gt;Russo, Rosario&lt;/author&gt;&lt;author&gt;Mancini, Giordano&lt;/author&gt;&lt;author&gt;Cappelli, Chiara&lt;/author&gt;&lt;/authors&gt;&lt;/contributors&gt;&lt;titles&gt;&lt;title&gt;A computational approach to the resonance Raman spectrum of doxorubicin in aqueous solution&lt;/title&gt;&lt;secondary-title&gt;Theoretical Chemistry Accounts&lt;/secondary-title&gt;&lt;/titles&gt;&lt;periodical&gt;&lt;full-title&gt;Theoretical Chemistry Accounts&lt;/full-title&gt;&lt;/periodical&gt;&lt;pages&gt;27&lt;/pages&gt;&lt;volume&gt;135&lt;/volume&gt;&lt;number&gt;2&lt;/number&gt;&lt;dates&gt;&lt;year&gt;2016&lt;/year&gt;&lt;/dates&gt;&lt;isbn&gt;1432-881X&lt;/isbn&gt;&lt;urls&gt;&lt;/urls&gt;&lt;/record&gt;&lt;/Cite&gt;&lt;Cite&gt;&lt;Author&gt;Jachimska&lt;/Author&gt;&lt;Year&gt;2024&lt;/Year&gt;&lt;RecNum&gt;9&lt;/RecNum&gt;&lt;record&gt;&lt;rec-number&gt;9&lt;/rec-number&gt;&lt;foreign-keys&gt;&lt;key app="EN" db-id="pedv9wdebsaw53eaeduvz9e2evv0zptrdw2s" timestamp="1757777804"&gt;9&lt;/key&gt;&lt;/foreign-keys&gt;&lt;ref-type name="Journal Article"&gt;17&lt;/ref-type&gt;&lt;contributors&gt;&lt;authors&gt;&lt;author&gt;Jachimska, Barbara&lt;/author&gt;&lt;author&gt;Goncerz, Magdalena&lt;/author&gt;&lt;author&gt;Wolski, Paweł&lt;/author&gt;&lt;author&gt;Meldrum, Callum&lt;/author&gt;&lt;author&gt;Lustyk, Łukasz&lt;/author&gt;&lt;author&gt;Panczyk, Tomasz&lt;/author&gt;&lt;/authors&gt;&lt;/contributors&gt;&lt;titles&gt;&lt;title&gt;Theoretical and Experimental Analyses of the Interfacial Mechanism of Dendrimer–Doxorubicin Complexes Formation&lt;/title&gt;&lt;secondary-title&gt;Molecular Pharmaceutics&lt;/secondary-title&gt;&lt;/titles&gt;&lt;periodical&gt;&lt;full-title&gt;Molecular Pharmaceutics&lt;/full-title&gt;&lt;/periodical&gt;&lt;pages&gt;5892-5904&lt;/pages&gt;&lt;volume&gt;21&lt;/volume&gt;&lt;number&gt;11&lt;/number&gt;&lt;dates&gt;&lt;year&gt;2024&lt;/year&gt;&lt;/dates&gt;&lt;isbn&gt;1543-8384&lt;/isbn&gt;&lt;urls&gt;&lt;/urls&gt;&lt;/record&gt;&lt;/Cite&gt;&lt;/EndNote&gt;</w:instrText>
      </w:r>
      <w:r w:rsidRPr="00F84598">
        <w:rPr>
          <w:rFonts w:asciiTheme="majorBidi" w:eastAsia="Calibri" w:hAnsiTheme="majorBidi" w:cstheme="majorBidi"/>
          <w:sz w:val="20"/>
        </w:rPr>
        <w:fldChar w:fldCharType="separate"/>
      </w:r>
      <w:r w:rsidRPr="00F84598">
        <w:rPr>
          <w:rFonts w:asciiTheme="majorBidi" w:eastAsia="Calibri" w:hAnsiTheme="majorBidi" w:cstheme="majorBidi"/>
          <w:sz w:val="20"/>
        </w:rPr>
        <w:t>[21, 22]</w:t>
      </w:r>
      <w:r w:rsidRPr="00F84598">
        <w:rPr>
          <w:rFonts w:asciiTheme="majorBidi" w:eastAsia="Calibri" w:hAnsiTheme="majorBidi" w:cstheme="majorBidi"/>
          <w:sz w:val="20"/>
        </w:rPr>
        <w:fldChar w:fldCharType="end"/>
      </w:r>
      <w:r w:rsidRPr="00F84598">
        <w:rPr>
          <w:rFonts w:asciiTheme="majorBidi" w:eastAsia="Calibri" w:hAnsiTheme="majorBidi" w:cstheme="majorBidi"/>
          <w:sz w:val="20"/>
        </w:rPr>
        <w:t xml:space="preserve">. The results showed that the docking </w:t>
      </w:r>
      <w:bookmarkStart w:id="10" w:name="_Hlk208680324"/>
      <w:r w:rsidRPr="00F84598">
        <w:rPr>
          <w:rFonts w:asciiTheme="majorBidi" w:eastAsia="Calibri" w:hAnsiTheme="majorBidi" w:cstheme="majorBidi"/>
          <w:sz w:val="20"/>
        </w:rPr>
        <w:t>(CaTiO</w:t>
      </w:r>
      <w:r w:rsidRPr="00F84598">
        <w:rPr>
          <w:rFonts w:asciiTheme="majorBidi" w:eastAsia="Calibri" w:hAnsiTheme="majorBidi" w:cstheme="majorBidi"/>
          <w:sz w:val="20"/>
          <w:vertAlign w:val="subscript"/>
        </w:rPr>
        <w:t>3</w:t>
      </w:r>
      <w:r w:rsidRPr="00F84598">
        <w:rPr>
          <w:rFonts w:asciiTheme="majorBidi" w:eastAsia="Calibri" w:hAnsiTheme="majorBidi" w:cstheme="majorBidi"/>
          <w:sz w:val="20"/>
        </w:rPr>
        <w:t>)</w:t>
      </w:r>
      <w:r w:rsidRPr="00F84598">
        <w:rPr>
          <w:rFonts w:asciiTheme="majorBidi" w:eastAsia="Calibri" w:hAnsiTheme="majorBidi" w:cstheme="majorBidi"/>
          <w:sz w:val="20"/>
          <w:vertAlign w:val="subscript"/>
        </w:rPr>
        <w:t>2</w:t>
      </w:r>
      <w:r w:rsidRPr="00F84598">
        <w:rPr>
          <w:rFonts w:asciiTheme="majorBidi" w:eastAsia="Calibri" w:hAnsiTheme="majorBidi" w:cstheme="majorBidi"/>
          <w:sz w:val="20"/>
        </w:rPr>
        <w:t xml:space="preserve"> </w:t>
      </w:r>
      <w:bookmarkEnd w:id="10"/>
      <w:r w:rsidRPr="00F84598">
        <w:rPr>
          <w:rFonts w:asciiTheme="majorBidi" w:eastAsia="Calibri" w:hAnsiTheme="majorBidi" w:cstheme="majorBidi"/>
          <w:sz w:val="20"/>
        </w:rPr>
        <w:t>with DHB (ΔH = −1.184 eV) and the docking 18F-FDG with DHB (ΔH = −6.405 eV) are both exothermic, compared to the reference OHB, which was close to zero. This indicates that the binding 18F-FDG to the drug and cancer is more thermally stable than (CaTiO</w:t>
      </w:r>
      <w:r w:rsidRPr="00F84598">
        <w:rPr>
          <w:rFonts w:asciiTheme="majorBidi" w:eastAsia="Calibri" w:hAnsiTheme="majorBidi" w:cstheme="majorBidi"/>
          <w:sz w:val="20"/>
          <w:vertAlign w:val="subscript"/>
        </w:rPr>
        <w:t>3</w:t>
      </w:r>
      <w:r w:rsidRPr="00F84598">
        <w:rPr>
          <w:rFonts w:asciiTheme="majorBidi" w:eastAsia="Calibri" w:hAnsiTheme="majorBidi" w:cstheme="majorBidi"/>
          <w:sz w:val="20"/>
        </w:rPr>
        <w:t>)</w:t>
      </w:r>
      <w:r w:rsidRPr="00F84598">
        <w:rPr>
          <w:rFonts w:asciiTheme="majorBidi" w:eastAsia="Calibri" w:hAnsiTheme="majorBidi" w:cstheme="majorBidi"/>
          <w:sz w:val="20"/>
          <w:vertAlign w:val="subscript"/>
        </w:rPr>
        <w:t>2</w:t>
      </w:r>
      <w:r w:rsidRPr="00F84598">
        <w:rPr>
          <w:rFonts w:asciiTheme="majorBidi" w:eastAsia="Calibri" w:hAnsiTheme="majorBidi" w:cstheme="majorBidi"/>
          <w:sz w:val="20"/>
        </w:rPr>
        <w:t xml:space="preserve">, enhancing the dye's ability to build a stable hydrogen bonding network. This behavior is experimentally supported by FT-IR and Raman measurements of doxorubicin binding to sugars, where shifts in the carbonyl band (C=O) were observed with exothermic interactions </w:t>
      </w:r>
      <w:r w:rsidRPr="00F84598">
        <w:rPr>
          <w:rFonts w:asciiTheme="majorBidi" w:eastAsia="Calibri" w:hAnsiTheme="majorBidi" w:cstheme="majorBidi"/>
          <w:sz w:val="20"/>
        </w:rPr>
        <w:fldChar w:fldCharType="begin"/>
      </w:r>
      <w:r w:rsidRPr="00F84598">
        <w:rPr>
          <w:rFonts w:asciiTheme="majorBidi" w:eastAsia="Calibri" w:hAnsiTheme="majorBidi" w:cstheme="majorBidi"/>
          <w:sz w:val="20"/>
        </w:rPr>
        <w:instrText xml:space="preserve"> ADDIN EN.CITE &lt;EndNote&gt;&lt;Cite&gt;&lt;Author&gt;Olszówka&lt;/Author&gt;&lt;Year&gt;2016&lt;/Year&gt;&lt;RecNum&gt;10&lt;/RecNum&gt;&lt;DisplayText&gt;[21]&lt;/DisplayText&gt;&lt;record&gt;&lt;rec-number&gt;10&lt;/rec-number&gt;&lt;foreign-keys&gt;&lt;key app="EN" db-id="pedv9wdebsaw53eaeduvz9e2evv0zptrdw2s" timestamp="1757777920"&gt;10&lt;/key&gt;&lt;/foreign-keys&gt;&lt;ref-type name="Journal Article"&gt;17&lt;/ref-type&gt;&lt;contributors&gt;&lt;authors&gt;&lt;author&gt;Olszówka, Marta&lt;/author&gt;&lt;author&gt;Russo, Rosario&lt;/author&gt;&lt;author&gt;Mancini, Giordano&lt;/author&gt;&lt;author&gt;Cappelli, Chiara&lt;/author&gt;&lt;/authors&gt;&lt;/contributors&gt;&lt;titles&gt;&lt;title&gt;A computational approach to the resonance Raman spectrum of doxorubicin in aqueous solution&lt;/title&gt;&lt;secondary-title&gt;Theoretical Chemistry Accounts&lt;/secondary-title&gt;&lt;/titles&gt;&lt;periodical&gt;&lt;full-title&gt;Theoretical Chemistry Accounts&lt;/full-title&gt;&lt;/periodical&gt;&lt;pages&gt;27&lt;/pages&gt;&lt;volume&gt;135&lt;/volume&gt;&lt;number&gt;2&lt;/number&gt;&lt;dates&gt;&lt;year&gt;2016&lt;/year&gt;&lt;/dates&gt;&lt;isbn&gt;1432-881X&lt;/isbn&gt;&lt;urls&gt;&lt;/urls&gt;&lt;/record&gt;&lt;/Cite&gt;&lt;/EndNote&gt;</w:instrText>
      </w:r>
      <w:r w:rsidRPr="00F84598">
        <w:rPr>
          <w:rFonts w:asciiTheme="majorBidi" w:eastAsia="Calibri" w:hAnsiTheme="majorBidi" w:cstheme="majorBidi"/>
          <w:sz w:val="20"/>
        </w:rPr>
        <w:fldChar w:fldCharType="separate"/>
      </w:r>
      <w:r w:rsidRPr="00F84598">
        <w:rPr>
          <w:rFonts w:asciiTheme="majorBidi" w:eastAsia="Calibri" w:hAnsiTheme="majorBidi" w:cstheme="majorBidi"/>
          <w:sz w:val="20"/>
        </w:rPr>
        <w:t>[21]</w:t>
      </w:r>
      <w:r w:rsidRPr="00F84598">
        <w:rPr>
          <w:rFonts w:asciiTheme="majorBidi" w:eastAsia="Calibri" w:hAnsiTheme="majorBidi" w:cstheme="majorBidi"/>
          <w:sz w:val="20"/>
        </w:rPr>
        <w:fldChar w:fldCharType="end"/>
      </w:r>
      <w:r w:rsidRPr="00F84598">
        <w:rPr>
          <w:rFonts w:asciiTheme="majorBidi" w:eastAsia="Calibri" w:hAnsiTheme="majorBidi" w:cstheme="majorBidi"/>
          <w:sz w:val="20"/>
        </w:rPr>
        <w:t>. The results showed that the docking (CaTiO</w:t>
      </w:r>
      <w:r w:rsidRPr="00F84598">
        <w:rPr>
          <w:rFonts w:asciiTheme="majorBidi" w:eastAsia="Calibri" w:hAnsiTheme="majorBidi" w:cstheme="majorBidi"/>
          <w:sz w:val="20"/>
          <w:vertAlign w:val="subscript"/>
        </w:rPr>
        <w:t>3</w:t>
      </w:r>
      <w:r w:rsidRPr="00F84598">
        <w:rPr>
          <w:rFonts w:asciiTheme="majorBidi" w:eastAsia="Calibri" w:hAnsiTheme="majorBidi" w:cstheme="majorBidi"/>
          <w:sz w:val="20"/>
        </w:rPr>
        <w:t>)</w:t>
      </w:r>
      <w:r w:rsidRPr="00F84598">
        <w:rPr>
          <w:rFonts w:asciiTheme="majorBidi" w:eastAsia="Calibri" w:hAnsiTheme="majorBidi" w:cstheme="majorBidi"/>
          <w:sz w:val="20"/>
          <w:vertAlign w:val="subscript"/>
        </w:rPr>
        <w:t>2</w:t>
      </w:r>
      <w:r w:rsidRPr="00F84598">
        <w:rPr>
          <w:rFonts w:asciiTheme="majorBidi" w:eastAsia="Calibri" w:hAnsiTheme="majorBidi" w:cstheme="majorBidi"/>
          <w:sz w:val="20"/>
        </w:rPr>
        <w:t xml:space="preserve"> with DHB (ΔS·T = +23,162.7 eV) exhibits significantly increased structural randomness compared to the reference OHB (−0.502 eV), which may reduce its biostability. In contrast, the docking 18F-FDG with DHB (ΔS·T = −56,558.6 eV) significantly reduces randomness, resulting in a more orderly and selective system. This finding is clinically important, as reducing randomness increases targeting efficiency and reduces side effects. Similar results were documented in studies of glycosyltransferases, where doxorubicin binding was shown to be accompanied by higher structural organization </w:t>
      </w:r>
      <w:r w:rsidRPr="00F84598">
        <w:rPr>
          <w:rFonts w:asciiTheme="majorBidi" w:eastAsia="Calibri" w:hAnsiTheme="majorBidi" w:cstheme="majorBidi"/>
          <w:sz w:val="20"/>
        </w:rPr>
        <w:fldChar w:fldCharType="begin"/>
      </w:r>
      <w:r w:rsidRPr="00F84598">
        <w:rPr>
          <w:rFonts w:asciiTheme="majorBidi" w:eastAsia="Calibri" w:hAnsiTheme="majorBidi" w:cstheme="majorBidi"/>
          <w:sz w:val="20"/>
        </w:rPr>
        <w:instrText xml:space="preserve"> ADDIN EN.CITE &lt;EndNote&gt;&lt;Cite&gt;&lt;Author&gt;Obijiofor&lt;/Author&gt;&lt;Year&gt;2025&lt;/Year&gt;&lt;RecNum&gt;1&lt;/RecNum&gt;&lt;DisplayText&gt;[23]&lt;/DisplayText&gt;&lt;record&gt;&lt;rec-number&gt;1&lt;/rec-number&gt;&lt;foreign-keys&gt;&lt;key app="EN" db-id="w2zaxav5rs2t9nex55gvwwvmzzet52ztprd9" timestamp="1757778287"&gt;1&lt;/key&gt;&lt;/foreign-keys&gt;&lt;ref-type name="Journal Article"&gt;17&lt;/ref-type&gt;&lt;contributors&gt;&lt;authors&gt;&lt;author&gt;Obijiofor, Obiekezie C&lt;/author&gt;&lt;author&gt;Novikov, Alexander S&lt;/author&gt;&lt;/authors&gt;&lt;/contributors&gt;&lt;titles&gt;&lt;title&gt;Exploring the role of density functional theory in the design of gold nanoparticles for targeted drug delivery: a systematic review&lt;/title&gt;&lt;secondary-title&gt;Journal of Molecular Modeling&lt;/secondary-title&gt;&lt;/titles&gt;&lt;periodical&gt;&lt;full-title&gt;Journal of Molecular Modeling&lt;/full-title&gt;&lt;/periodical&gt;&lt;pages&gt;186&lt;/pages&gt;&lt;volume&gt;31&lt;/volume&gt;&lt;number&gt;7&lt;/number&gt;&lt;dates&gt;&lt;year&gt;2025&lt;/year&gt;&lt;/dates&gt;&lt;isbn&gt;1610-2940&lt;/isbn&gt;&lt;urls&gt;&lt;/urls&gt;&lt;/record&gt;&lt;/Cite&gt;&lt;/EndNote&gt;</w:instrText>
      </w:r>
      <w:r w:rsidRPr="00F84598">
        <w:rPr>
          <w:rFonts w:asciiTheme="majorBidi" w:eastAsia="Calibri" w:hAnsiTheme="majorBidi" w:cstheme="majorBidi"/>
          <w:sz w:val="20"/>
        </w:rPr>
        <w:fldChar w:fldCharType="separate"/>
      </w:r>
      <w:r w:rsidRPr="00F84598">
        <w:rPr>
          <w:rFonts w:asciiTheme="majorBidi" w:eastAsia="Calibri" w:hAnsiTheme="majorBidi" w:cstheme="majorBidi"/>
          <w:sz w:val="20"/>
        </w:rPr>
        <w:t>[23]</w:t>
      </w:r>
      <w:r w:rsidRPr="00F84598">
        <w:rPr>
          <w:rFonts w:asciiTheme="majorBidi" w:eastAsia="Calibri" w:hAnsiTheme="majorBidi" w:cstheme="majorBidi"/>
          <w:sz w:val="20"/>
        </w:rPr>
        <w:fldChar w:fldCharType="end"/>
      </w:r>
      <w:r w:rsidRPr="00F84598">
        <w:rPr>
          <w:rFonts w:asciiTheme="majorBidi" w:eastAsia="Calibri" w:hAnsiTheme="majorBidi" w:cstheme="majorBidi"/>
          <w:sz w:val="20"/>
        </w:rPr>
        <w:t>.</w:t>
      </w:r>
    </w:p>
    <w:p w14:paraId="4BB1E793" w14:textId="6288FD67" w:rsidR="0030322E" w:rsidRPr="00F84598" w:rsidRDefault="0030322E" w:rsidP="002E13A2">
      <w:pPr>
        <w:pStyle w:val="FigureCaption"/>
        <w:widowControl w:val="0"/>
        <w:spacing w:before="0"/>
        <w:ind w:firstLine="284"/>
        <w:jc w:val="both"/>
        <w:rPr>
          <w:rFonts w:asciiTheme="majorBidi" w:eastAsia="Calibri" w:hAnsiTheme="majorBidi" w:cstheme="majorBidi"/>
          <w:sz w:val="20"/>
        </w:rPr>
      </w:pPr>
      <w:proofErr w:type="spellStart"/>
      <w:r w:rsidRPr="00F84598">
        <w:rPr>
          <w:rFonts w:asciiTheme="majorBidi" w:eastAsia="Calibri" w:hAnsiTheme="majorBidi" w:cstheme="majorBidi"/>
          <w:sz w:val="20"/>
        </w:rPr>
        <w:t>Edef</w:t>
      </w:r>
      <w:proofErr w:type="spellEnd"/>
      <w:r w:rsidRPr="00F84598">
        <w:rPr>
          <w:rFonts w:asciiTheme="majorBidi" w:eastAsia="Calibri" w:hAnsiTheme="majorBidi" w:cstheme="majorBidi"/>
          <w:sz w:val="20"/>
        </w:rPr>
        <w:t xml:space="preserve"> values indicated that (CaTiO</w:t>
      </w:r>
      <w:r w:rsidRPr="00D72E7E">
        <w:rPr>
          <w:rFonts w:asciiTheme="majorBidi" w:eastAsia="Calibri" w:hAnsiTheme="majorBidi" w:cstheme="majorBidi"/>
          <w:sz w:val="20"/>
          <w:vertAlign w:val="subscript"/>
        </w:rPr>
        <w:t>3</w:t>
      </w:r>
      <w:r w:rsidRPr="00F84598">
        <w:rPr>
          <w:rFonts w:asciiTheme="majorBidi" w:eastAsia="Calibri" w:hAnsiTheme="majorBidi" w:cstheme="majorBidi"/>
          <w:sz w:val="20"/>
        </w:rPr>
        <w:t>)</w:t>
      </w:r>
      <w:r w:rsidRPr="00D72E7E">
        <w:rPr>
          <w:rFonts w:asciiTheme="majorBidi" w:eastAsia="Calibri" w:hAnsiTheme="majorBidi" w:cstheme="majorBidi"/>
          <w:sz w:val="20"/>
          <w:vertAlign w:val="subscript"/>
        </w:rPr>
        <w:t>2</w:t>
      </w:r>
      <w:r w:rsidRPr="00F84598">
        <w:rPr>
          <w:rFonts w:asciiTheme="majorBidi" w:eastAsia="Calibri" w:hAnsiTheme="majorBidi" w:cstheme="majorBidi"/>
          <w:sz w:val="20"/>
        </w:rPr>
        <w:t xml:space="preserve"> docking with DHB (+23,162.7 eV) needed a high deformation cost for </w:t>
      </w:r>
      <w:r w:rsidRPr="00F84598">
        <w:rPr>
          <w:rFonts w:asciiTheme="majorBidi" w:eastAsia="Calibri" w:hAnsiTheme="majorBidi" w:cstheme="majorBidi"/>
          <w:sz w:val="20"/>
        </w:rPr>
        <w:lastRenderedPageBreak/>
        <w:t xml:space="preserve">structure to fit, whereas </w:t>
      </w:r>
      <w:r w:rsidRPr="00D72E7E">
        <w:rPr>
          <w:rFonts w:asciiTheme="majorBidi" w:eastAsia="Calibri" w:hAnsiTheme="majorBidi" w:cstheme="majorBidi"/>
          <w:sz w:val="20"/>
          <w:vertAlign w:val="superscript"/>
        </w:rPr>
        <w:t>18</w:t>
      </w:r>
      <w:r w:rsidRPr="00F84598">
        <w:rPr>
          <w:rFonts w:asciiTheme="majorBidi" w:eastAsia="Calibri" w:hAnsiTheme="majorBidi" w:cstheme="majorBidi"/>
          <w:sz w:val="20"/>
        </w:rPr>
        <w:t>F-FDG to DHB (−56,558.6 eV) and OHB (−103,458.6 eV) dockings were relatively more malleable. This implies that the drug and blood protein have better interaction with FDG dye, thus causing higher bioavailability. Previous work based on perovskites has also indicated that its sticking strength is limited by its flexibility</w:t>
      </w:r>
      <w:r w:rsidR="00D72E7E">
        <w:rPr>
          <w:rFonts w:asciiTheme="majorBidi" w:eastAsia="Calibri" w:hAnsiTheme="majorBidi" w:cstheme="majorBidi"/>
          <w:sz w:val="20"/>
        </w:rPr>
        <w:t xml:space="preserve"> </w:t>
      </w:r>
      <w:r w:rsidRPr="00F84598">
        <w:rPr>
          <w:rFonts w:asciiTheme="majorBidi" w:eastAsia="Calibri" w:hAnsiTheme="majorBidi" w:cstheme="majorBidi"/>
          <w:sz w:val="20"/>
        </w:rPr>
        <w:fldChar w:fldCharType="begin"/>
      </w:r>
      <w:r w:rsidRPr="00F84598">
        <w:rPr>
          <w:rFonts w:asciiTheme="majorBidi" w:eastAsia="Calibri" w:hAnsiTheme="majorBidi" w:cstheme="majorBidi"/>
          <w:sz w:val="20"/>
        </w:rPr>
        <w:instrText xml:space="preserve"> ADDIN EN.CITE &lt;EndNote&gt;&lt;Cite&gt;&lt;Author&gt;Kojima&lt;/Author&gt;&lt;Year&gt;2024&lt;/Year&gt;&lt;RecNum&gt;3&lt;/RecNum&gt;&lt;DisplayText&gt;[20]&lt;/DisplayText&gt;&lt;record&gt;&lt;rec-number&gt;3&lt;/rec-number&gt;&lt;foreign-keys&gt;&lt;key app="EN" db-id="ftfpwx9072pte8e55zhppzxtrvd29adze5v5" timestamp="1757791572"&gt;3&lt;/key&gt;&lt;/foreign-keys&gt;&lt;ref-type name="Journal Article"&gt;17&lt;/ref-type&gt;&lt;contributors&gt;&lt;authors&gt;&lt;author&gt;Kojima, Seiji&lt;/author&gt;&lt;/authors&gt;&lt;/contributors&gt;&lt;titles&gt;&lt;title&gt;Vibrational Spectroscopy of Perovskite Ferroelectrics&lt;/title&gt;&lt;secondary-title&gt;Solids&lt;/secondary-title&gt;&lt;/titles&gt;&lt;periodical&gt;&lt;full-title&gt;Solids&lt;/full-title&gt;&lt;/periodical&gt;&lt;pages&gt;593-616&lt;/pages&gt;&lt;volume&gt;5&lt;/volume&gt;&lt;number&gt;4&lt;/number&gt;&lt;dates&gt;&lt;year&gt;2024&lt;/year&gt;&lt;/dates&gt;&lt;isbn&gt;2673-6497&lt;/isbn&gt;&lt;urls&gt;&lt;/urls&gt;&lt;/record&gt;&lt;/Cite&gt;&lt;/EndNote&gt;</w:instrText>
      </w:r>
      <w:r w:rsidRPr="00F84598">
        <w:rPr>
          <w:rFonts w:asciiTheme="majorBidi" w:eastAsia="Calibri" w:hAnsiTheme="majorBidi" w:cstheme="majorBidi"/>
          <w:sz w:val="20"/>
        </w:rPr>
        <w:fldChar w:fldCharType="separate"/>
      </w:r>
      <w:r w:rsidRPr="00F84598">
        <w:rPr>
          <w:rFonts w:asciiTheme="majorBidi" w:eastAsia="Calibri" w:hAnsiTheme="majorBidi" w:cstheme="majorBidi"/>
          <w:sz w:val="20"/>
        </w:rPr>
        <w:t>[20]</w:t>
      </w:r>
      <w:r w:rsidRPr="00F84598">
        <w:rPr>
          <w:rFonts w:asciiTheme="majorBidi" w:eastAsia="Calibri" w:hAnsiTheme="majorBidi" w:cstheme="majorBidi"/>
          <w:sz w:val="20"/>
        </w:rPr>
        <w:fldChar w:fldCharType="end"/>
      </w:r>
      <w:r w:rsidRPr="00F84598">
        <w:rPr>
          <w:rFonts w:asciiTheme="majorBidi" w:eastAsia="Calibri" w:hAnsiTheme="majorBidi" w:cstheme="majorBidi"/>
          <w:sz w:val="20"/>
        </w:rPr>
        <w:t>.</w:t>
      </w:r>
      <w:r w:rsidR="002E13A2">
        <w:rPr>
          <w:rFonts w:asciiTheme="majorBidi" w:eastAsia="Calibri" w:hAnsiTheme="majorBidi" w:cstheme="majorBidi"/>
          <w:sz w:val="20"/>
        </w:rPr>
        <w:t xml:space="preserve"> </w:t>
      </w:r>
      <w:r w:rsidRPr="00F84598">
        <w:rPr>
          <w:rFonts w:asciiTheme="majorBidi" w:eastAsia="Calibri" w:hAnsiTheme="majorBidi" w:cstheme="majorBidi"/>
          <w:sz w:val="20"/>
        </w:rPr>
        <w:t>The adsorption behavior of the reference OHB (E</w:t>
      </w:r>
      <w:r w:rsidRPr="00D72E7E">
        <w:rPr>
          <w:rFonts w:asciiTheme="majorBidi" w:eastAsia="Calibri" w:hAnsiTheme="majorBidi" w:cstheme="majorBidi"/>
          <w:sz w:val="20"/>
          <w:vertAlign w:val="subscript"/>
        </w:rPr>
        <w:t>ads</w:t>
      </w:r>
      <w:r w:rsidRPr="00F84598">
        <w:rPr>
          <w:rFonts w:asciiTheme="majorBidi" w:eastAsia="Calibri" w:hAnsiTheme="majorBidi" w:cstheme="majorBidi"/>
          <w:sz w:val="20"/>
        </w:rPr>
        <w:t>=-1.707 eV) was poor, as shown in Fig</w:t>
      </w:r>
      <w:r w:rsidR="00D72E7E">
        <w:rPr>
          <w:rFonts w:asciiTheme="majorBidi" w:eastAsia="Calibri" w:hAnsiTheme="majorBidi" w:cstheme="majorBidi"/>
          <w:sz w:val="20"/>
        </w:rPr>
        <w:t>ure</w:t>
      </w:r>
      <w:r w:rsidRPr="00F84598">
        <w:rPr>
          <w:rFonts w:asciiTheme="majorBidi" w:eastAsia="Calibri" w:hAnsiTheme="majorBidi" w:cstheme="majorBidi"/>
          <w:sz w:val="20"/>
        </w:rPr>
        <w:t xml:space="preserve"> and the docking (CaTiO</w:t>
      </w:r>
      <w:r w:rsidRPr="00F84598">
        <w:rPr>
          <w:rFonts w:asciiTheme="majorBidi" w:eastAsia="Calibri" w:hAnsiTheme="majorBidi" w:cstheme="majorBidi"/>
          <w:sz w:val="20"/>
          <w:vertAlign w:val="subscript"/>
        </w:rPr>
        <w:t>3</w:t>
      </w:r>
      <w:r w:rsidRPr="00F84598">
        <w:rPr>
          <w:rFonts w:asciiTheme="majorBidi" w:eastAsia="Calibri" w:hAnsiTheme="majorBidi" w:cstheme="majorBidi"/>
          <w:sz w:val="20"/>
        </w:rPr>
        <w:t>)</w:t>
      </w:r>
      <w:r w:rsidRPr="00F84598">
        <w:rPr>
          <w:rFonts w:asciiTheme="majorBidi" w:eastAsia="Calibri" w:hAnsiTheme="majorBidi" w:cstheme="majorBidi"/>
          <w:sz w:val="20"/>
          <w:vertAlign w:val="subscript"/>
        </w:rPr>
        <w:t>2</w:t>
      </w:r>
      <w:r w:rsidRPr="00F84598">
        <w:rPr>
          <w:rFonts w:asciiTheme="majorBidi" w:eastAsia="Calibri" w:hAnsiTheme="majorBidi" w:cstheme="majorBidi"/>
          <w:sz w:val="20"/>
        </w:rPr>
        <w:t xml:space="preserve"> onto DHB (+108,967.5 eV) had unfavorable absorption, which means that the stability of drug on the surface of (CaTiO3)2 was low. However, the docking 18F-FDG with DHB was found to have strong negative adsorption (−41,933.1 eV), indicating that it can stably continue carrying the drug until reaching the tumor site. This is in agreement with findings from drug loaded </w:t>
      </w:r>
      <w:proofErr w:type="spellStart"/>
      <w:r w:rsidRPr="00F84598">
        <w:rPr>
          <w:rFonts w:asciiTheme="majorBidi" w:eastAsia="Calibri" w:hAnsiTheme="majorBidi" w:cstheme="majorBidi"/>
          <w:sz w:val="20"/>
        </w:rPr>
        <w:t>glycocarriers</w:t>
      </w:r>
      <w:proofErr w:type="spellEnd"/>
      <w:r w:rsidRPr="00F84598">
        <w:rPr>
          <w:rFonts w:asciiTheme="majorBidi" w:eastAsia="Calibri" w:hAnsiTheme="majorBidi" w:cstheme="majorBidi"/>
          <w:sz w:val="20"/>
        </w:rPr>
        <w:t xml:space="preserve"> which showed that drugs were very stable when attached through </w:t>
      </w:r>
      <w:proofErr w:type="spellStart"/>
      <w:r w:rsidRPr="00F84598">
        <w:rPr>
          <w:rFonts w:asciiTheme="majorBidi" w:eastAsia="Calibri" w:hAnsiTheme="majorBidi" w:cstheme="majorBidi"/>
          <w:sz w:val="20"/>
        </w:rPr>
        <w:t>glycosurfactant</w:t>
      </w:r>
      <w:proofErr w:type="spellEnd"/>
      <w:r w:rsidRPr="00F84598">
        <w:rPr>
          <w:rFonts w:asciiTheme="majorBidi" w:eastAsia="Calibri" w:hAnsiTheme="majorBidi" w:cstheme="majorBidi"/>
          <w:sz w:val="20"/>
        </w:rPr>
        <w:t xml:space="preserve"> hydroxyls</w:t>
      </w:r>
      <w:r w:rsidR="00D72E7E">
        <w:rPr>
          <w:rFonts w:asciiTheme="majorBidi" w:eastAsia="Calibri" w:hAnsiTheme="majorBidi" w:cstheme="majorBidi"/>
          <w:sz w:val="20"/>
        </w:rPr>
        <w:t>, b</w:t>
      </w:r>
      <w:r w:rsidR="00D72E7E" w:rsidRPr="00D72E7E">
        <w:rPr>
          <w:rFonts w:asciiTheme="majorBidi" w:eastAsia="Calibri" w:hAnsiTheme="majorBidi" w:cstheme="majorBidi"/>
          <w:sz w:val="20"/>
        </w:rPr>
        <w:t>inding strength and stability of the complex (E</w:t>
      </w:r>
      <w:r w:rsidR="00D72E7E" w:rsidRPr="00D72E7E">
        <w:rPr>
          <w:rFonts w:asciiTheme="majorBidi" w:eastAsia="Calibri" w:hAnsiTheme="majorBidi" w:cstheme="majorBidi"/>
          <w:sz w:val="20"/>
          <w:vertAlign w:val="subscript"/>
        </w:rPr>
        <w:t>b</w:t>
      </w:r>
      <w:r w:rsidR="00D72E7E" w:rsidRPr="00D72E7E">
        <w:rPr>
          <w:rFonts w:asciiTheme="majorBidi" w:eastAsia="Calibri" w:hAnsiTheme="majorBidi" w:cstheme="majorBidi"/>
          <w:sz w:val="20"/>
        </w:rPr>
        <w:t>)</w:t>
      </w:r>
      <w:r w:rsidRPr="00F84598">
        <w:rPr>
          <w:rFonts w:asciiTheme="majorBidi" w:eastAsia="Calibri" w:hAnsiTheme="majorBidi" w:cstheme="majorBidi"/>
          <w:sz w:val="20"/>
        </w:rPr>
        <w:t xml:space="preserve"> </w:t>
      </w:r>
      <w:r w:rsidRPr="00F84598">
        <w:rPr>
          <w:rFonts w:asciiTheme="majorBidi" w:eastAsia="Calibri" w:hAnsiTheme="majorBidi" w:cstheme="majorBidi"/>
          <w:sz w:val="20"/>
        </w:rPr>
        <w:fldChar w:fldCharType="begin"/>
      </w:r>
      <w:r w:rsidRPr="00F84598">
        <w:rPr>
          <w:rFonts w:asciiTheme="majorBidi" w:eastAsia="Calibri" w:hAnsiTheme="majorBidi" w:cstheme="majorBidi"/>
          <w:sz w:val="20"/>
        </w:rPr>
        <w:instrText xml:space="preserve"> ADDIN EN.CITE &lt;EndNote&gt;&lt;Cite&gt;&lt;Author&gt;Jachimska&lt;/Author&gt;&lt;Year&gt;2024&lt;/Year&gt;&lt;RecNum&gt;9&lt;/RecNum&gt;&lt;DisplayText&gt;[22]&lt;/DisplayText&gt;&lt;record&gt;&lt;rec-number&gt;9&lt;/rec-number&gt;&lt;foreign-keys&gt;&lt;key app="EN" db-id="pedv9wdebsaw53eaeduvz9e2evv0zptrdw2s" timestamp="1757777804"&gt;9&lt;/key&gt;&lt;/foreign-keys&gt;&lt;ref-type name="Journal Article"&gt;17&lt;/ref-type&gt;&lt;contributors&gt;&lt;authors&gt;&lt;author&gt;Jachimska, Barbara&lt;/author&gt;&lt;author&gt;Goncerz, Magdalena&lt;/author&gt;&lt;author&gt;Wolski, Paweł&lt;/author&gt;&lt;author&gt;Meldrum, Callum&lt;/author&gt;&lt;author&gt;Lustyk, Łukasz&lt;/author&gt;&lt;author&gt;Panczyk, Tomasz&lt;/author&gt;&lt;/authors&gt;&lt;/contributors&gt;&lt;titles&gt;&lt;title&gt;Theoretical and Experimental Analyses of the Interfacial Mechanism of Dendrimer–Doxorubicin Complexes Formation&lt;/title&gt;&lt;secondary-title&gt;Molecular Pharmaceutics&lt;/secondary-title&gt;&lt;/titles&gt;&lt;periodical&gt;&lt;full-title&gt;Molecular Pharmaceutics&lt;/full-title&gt;&lt;/periodical&gt;&lt;pages&gt;5892-5904&lt;/pages&gt;&lt;volume&gt;21&lt;/volume&gt;&lt;number&gt;11&lt;/number&gt;&lt;dates&gt;&lt;year&gt;2024&lt;/year&gt;&lt;/dates&gt;&lt;isbn&gt;1543-8384&lt;/isbn&gt;&lt;urls&gt;&lt;/urls&gt;&lt;/record&gt;&lt;/Cite&gt;&lt;/EndNote&gt;</w:instrText>
      </w:r>
      <w:r w:rsidRPr="00F84598">
        <w:rPr>
          <w:rFonts w:asciiTheme="majorBidi" w:eastAsia="Calibri" w:hAnsiTheme="majorBidi" w:cstheme="majorBidi"/>
          <w:sz w:val="20"/>
        </w:rPr>
        <w:fldChar w:fldCharType="separate"/>
      </w:r>
      <w:r w:rsidRPr="00F84598">
        <w:rPr>
          <w:rFonts w:asciiTheme="majorBidi" w:eastAsia="Calibri" w:hAnsiTheme="majorBidi" w:cstheme="majorBidi"/>
          <w:sz w:val="20"/>
        </w:rPr>
        <w:t>[22]</w:t>
      </w:r>
      <w:r w:rsidRPr="00F84598">
        <w:rPr>
          <w:rFonts w:asciiTheme="majorBidi" w:eastAsia="Calibri" w:hAnsiTheme="majorBidi" w:cstheme="majorBidi"/>
          <w:sz w:val="20"/>
        </w:rPr>
        <w:fldChar w:fldCharType="end"/>
      </w:r>
      <w:r w:rsidRPr="00F84598">
        <w:rPr>
          <w:rFonts w:asciiTheme="majorBidi" w:eastAsia="Calibri" w:hAnsiTheme="majorBidi" w:cstheme="majorBidi"/>
          <w:sz w:val="20"/>
        </w:rPr>
        <w:t xml:space="preserve">. </w:t>
      </w:r>
    </w:p>
    <w:p w14:paraId="60845319" w14:textId="07F7BEFB" w:rsidR="00B76A69" w:rsidRDefault="0030322E" w:rsidP="002E13A2">
      <w:pPr>
        <w:pStyle w:val="FigureCaption"/>
        <w:widowControl w:val="0"/>
        <w:spacing w:before="0"/>
        <w:jc w:val="both"/>
        <w:rPr>
          <w:rFonts w:asciiTheme="majorBidi" w:eastAsia="Calibri" w:hAnsiTheme="majorBidi" w:cstheme="majorBidi"/>
          <w:sz w:val="20"/>
        </w:rPr>
      </w:pPr>
      <w:r w:rsidRPr="00F84598">
        <w:rPr>
          <w:rFonts w:asciiTheme="majorBidi" w:eastAsia="Calibri" w:hAnsiTheme="majorBidi" w:cstheme="majorBidi"/>
          <w:sz w:val="20"/>
        </w:rPr>
        <w:t>The reference OHB (Eb = +187.45 eV) exhibited unfavorable binding (+); however, the docking (CaTiO</w:t>
      </w:r>
      <w:r w:rsidRPr="00F84598">
        <w:rPr>
          <w:rFonts w:asciiTheme="majorBidi" w:eastAsia="Calibri" w:hAnsiTheme="majorBidi" w:cstheme="majorBidi"/>
          <w:sz w:val="20"/>
          <w:vertAlign w:val="subscript"/>
        </w:rPr>
        <w:t>3</w:t>
      </w:r>
      <w:r w:rsidRPr="00F84598">
        <w:rPr>
          <w:rFonts w:asciiTheme="majorBidi" w:eastAsia="Calibri" w:hAnsiTheme="majorBidi" w:cstheme="majorBidi"/>
          <w:sz w:val="20"/>
        </w:rPr>
        <w:t>)</w:t>
      </w:r>
      <w:r w:rsidRPr="00F84598">
        <w:rPr>
          <w:rFonts w:asciiTheme="majorBidi" w:eastAsia="Calibri" w:hAnsiTheme="majorBidi" w:cstheme="majorBidi"/>
          <w:sz w:val="20"/>
          <w:vertAlign w:val="subscript"/>
        </w:rPr>
        <w:t>2</w:t>
      </w:r>
      <w:r w:rsidRPr="00F84598">
        <w:rPr>
          <w:rFonts w:asciiTheme="majorBidi" w:eastAsia="Calibri" w:hAnsiTheme="majorBidi" w:cstheme="majorBidi"/>
          <w:sz w:val="20"/>
        </w:rPr>
        <w:t xml:space="preserve"> with DHB exhibited very strong binding and for the docking 18F-FDG with DHB (Eb = −74.41 eV), moderate binding was observed. These results indicate that (CaTiO</w:t>
      </w:r>
      <w:r w:rsidRPr="00F84598">
        <w:rPr>
          <w:rFonts w:asciiTheme="majorBidi" w:eastAsia="Calibri" w:hAnsiTheme="majorBidi" w:cstheme="majorBidi"/>
          <w:sz w:val="20"/>
          <w:vertAlign w:val="subscript"/>
        </w:rPr>
        <w:t>3</w:t>
      </w:r>
      <w:r w:rsidRPr="00F84598">
        <w:rPr>
          <w:rFonts w:asciiTheme="majorBidi" w:eastAsia="Calibri" w:hAnsiTheme="majorBidi" w:cstheme="majorBidi"/>
          <w:sz w:val="20"/>
        </w:rPr>
        <w:t>)</w:t>
      </w:r>
      <w:r w:rsidRPr="00F84598">
        <w:rPr>
          <w:rFonts w:asciiTheme="majorBidi" w:eastAsia="Calibri" w:hAnsiTheme="majorBidi" w:cstheme="majorBidi"/>
          <w:sz w:val="20"/>
          <w:vertAlign w:val="subscript"/>
        </w:rPr>
        <w:t>2</w:t>
      </w:r>
      <w:r w:rsidRPr="00F84598">
        <w:rPr>
          <w:rFonts w:asciiTheme="majorBidi" w:eastAsia="Calibri" w:hAnsiTheme="majorBidi" w:cstheme="majorBidi"/>
          <w:sz w:val="20"/>
        </w:rPr>
        <w:t xml:space="preserve"> </w:t>
      </w:r>
      <w:proofErr w:type="gramStart"/>
      <w:r w:rsidRPr="00F84598">
        <w:rPr>
          <w:rFonts w:asciiTheme="majorBidi" w:eastAsia="Calibri" w:hAnsiTheme="majorBidi" w:cstheme="majorBidi"/>
          <w:sz w:val="20"/>
        </w:rPr>
        <w:t>is able to</w:t>
      </w:r>
      <w:proofErr w:type="gramEnd"/>
      <w:r w:rsidRPr="00F84598">
        <w:rPr>
          <w:rFonts w:asciiTheme="majorBidi" w:eastAsia="Calibri" w:hAnsiTheme="majorBidi" w:cstheme="majorBidi"/>
          <w:sz w:val="20"/>
        </w:rPr>
        <w:t xml:space="preserve"> form very stable complex, which could impede the later release of drugs, but the latter feature would be absent in </w:t>
      </w:r>
      <w:r w:rsidRPr="00F84598">
        <w:rPr>
          <w:rFonts w:asciiTheme="majorBidi" w:eastAsia="Calibri" w:hAnsiTheme="majorBidi" w:cstheme="majorBidi"/>
          <w:sz w:val="20"/>
          <w:vertAlign w:val="superscript"/>
        </w:rPr>
        <w:t>18</w:t>
      </w:r>
      <w:r w:rsidRPr="00F84598">
        <w:rPr>
          <w:rFonts w:asciiTheme="majorBidi" w:eastAsia="Calibri" w:hAnsiTheme="majorBidi" w:cstheme="majorBidi"/>
          <w:sz w:val="20"/>
        </w:rPr>
        <w:t>F-FDG. This pattern is supported clinically, as studies of delivery systems indicate that excessive binding strength may hinder drug release and reduce its therapeutic efficacy</w:t>
      </w:r>
      <w:r w:rsidR="00D72E7E">
        <w:rPr>
          <w:rFonts w:asciiTheme="majorBidi" w:eastAsia="Calibri" w:hAnsiTheme="majorBidi" w:cstheme="majorBidi"/>
          <w:sz w:val="20"/>
        </w:rPr>
        <w:t xml:space="preserve"> </w:t>
      </w:r>
      <w:r w:rsidRPr="00F84598">
        <w:rPr>
          <w:rFonts w:asciiTheme="majorBidi" w:eastAsia="Calibri" w:hAnsiTheme="majorBidi" w:cstheme="majorBidi"/>
          <w:sz w:val="20"/>
        </w:rPr>
        <w:fldChar w:fldCharType="begin">
          <w:fldData xml:space="preserve">PEVuZE5vdGU+PENpdGU+PEF1dGhvcj5KYWNoaW1za2E8L0F1dGhvcj48WWVhcj4yMDI0PC9ZZWFy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</w:fldData>
        </w:fldChar>
      </w:r>
      <w:r w:rsidRPr="00F84598">
        <w:rPr>
          <w:rFonts w:asciiTheme="majorBidi" w:eastAsia="Calibri" w:hAnsiTheme="majorBidi" w:cstheme="majorBidi"/>
          <w:sz w:val="20"/>
        </w:rPr>
        <w:instrText xml:space="preserve"> ADDIN EN.CITE </w:instrText>
      </w:r>
      <w:r w:rsidRPr="00F84598">
        <w:rPr>
          <w:rFonts w:asciiTheme="majorBidi" w:eastAsia="Calibri" w:hAnsiTheme="majorBidi" w:cstheme="majorBidi"/>
          <w:sz w:val="20"/>
        </w:rPr>
        <w:fldChar w:fldCharType="begin">
          <w:fldData xml:space="preserve">PEVuZE5vdGU+PENpdGU+PEF1dGhvcj5KYWNoaW1za2E8L0F1dGhvcj48WWVhcj4yMDI0PC9ZZWFy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</w:fldData>
        </w:fldChar>
      </w:r>
      <w:r w:rsidRPr="00F84598">
        <w:rPr>
          <w:rFonts w:asciiTheme="majorBidi" w:eastAsia="Calibri" w:hAnsiTheme="majorBidi" w:cstheme="majorBidi"/>
          <w:sz w:val="20"/>
        </w:rPr>
        <w:instrText xml:space="preserve"> ADDIN EN.CITE.DATA </w:instrText>
      </w:r>
      <w:r w:rsidRPr="00F84598">
        <w:rPr>
          <w:rFonts w:asciiTheme="majorBidi" w:eastAsia="Calibri" w:hAnsiTheme="majorBidi" w:cstheme="majorBidi"/>
          <w:sz w:val="20"/>
        </w:rPr>
      </w:r>
      <w:r w:rsidRPr="00F84598">
        <w:rPr>
          <w:rFonts w:asciiTheme="majorBidi" w:eastAsia="Calibri" w:hAnsiTheme="majorBidi" w:cstheme="majorBidi"/>
          <w:sz w:val="20"/>
        </w:rPr>
        <w:fldChar w:fldCharType="end"/>
      </w:r>
      <w:r w:rsidRPr="00F84598">
        <w:rPr>
          <w:rFonts w:asciiTheme="majorBidi" w:eastAsia="Calibri" w:hAnsiTheme="majorBidi" w:cstheme="majorBidi"/>
          <w:sz w:val="20"/>
        </w:rPr>
      </w:r>
      <w:r w:rsidRPr="00F84598">
        <w:rPr>
          <w:rFonts w:asciiTheme="majorBidi" w:eastAsia="Calibri" w:hAnsiTheme="majorBidi" w:cstheme="majorBidi"/>
          <w:sz w:val="20"/>
        </w:rPr>
        <w:fldChar w:fldCharType="separate"/>
      </w:r>
      <w:r w:rsidRPr="00F84598">
        <w:rPr>
          <w:rFonts w:asciiTheme="majorBidi" w:eastAsia="Calibri" w:hAnsiTheme="majorBidi" w:cstheme="majorBidi"/>
          <w:sz w:val="20"/>
        </w:rPr>
        <w:t>[20, 22]</w:t>
      </w:r>
      <w:r w:rsidRPr="00F84598">
        <w:rPr>
          <w:rFonts w:asciiTheme="majorBidi" w:eastAsia="Calibri" w:hAnsiTheme="majorBidi" w:cstheme="majorBidi"/>
          <w:sz w:val="20"/>
        </w:rPr>
        <w:fldChar w:fldCharType="end"/>
      </w:r>
      <w:r w:rsidRPr="00F84598">
        <w:rPr>
          <w:rFonts w:asciiTheme="majorBidi" w:eastAsia="Calibri" w:hAnsiTheme="majorBidi" w:cstheme="majorBidi"/>
          <w:sz w:val="20"/>
        </w:rPr>
        <w:t>.</w:t>
      </w:r>
      <w:r w:rsidR="002E13A2">
        <w:rPr>
          <w:rFonts w:asciiTheme="majorBidi" w:eastAsia="Calibri" w:hAnsiTheme="majorBidi" w:cstheme="majorBidi"/>
          <w:sz w:val="20"/>
        </w:rPr>
        <w:t xml:space="preserve"> </w:t>
      </w:r>
      <w:r w:rsidRPr="00F84598">
        <w:rPr>
          <w:rFonts w:asciiTheme="majorBidi" w:eastAsia="Calibri" w:hAnsiTheme="majorBidi" w:cstheme="majorBidi"/>
          <w:sz w:val="20"/>
        </w:rPr>
        <w:t>The docking of doxorubicin to the cancer model represents the primary reference against which the efficacy of both the dye (</w:t>
      </w:r>
      <w:r w:rsidRPr="00F84598">
        <w:rPr>
          <w:rFonts w:asciiTheme="majorBidi" w:eastAsia="Calibri" w:hAnsiTheme="majorBidi" w:cstheme="majorBidi"/>
          <w:sz w:val="20"/>
          <w:vertAlign w:val="superscript"/>
        </w:rPr>
        <w:t>18</w:t>
      </w:r>
      <w:r w:rsidRPr="00F84598">
        <w:rPr>
          <w:rFonts w:asciiTheme="majorBidi" w:eastAsia="Calibri" w:hAnsiTheme="majorBidi" w:cstheme="majorBidi"/>
          <w:sz w:val="20"/>
        </w:rPr>
        <w:t>F-FDG) and the perovskite (CaTiO</w:t>
      </w:r>
      <w:r w:rsidR="00D72E7E">
        <w:rPr>
          <w:rFonts w:asciiTheme="majorBidi" w:eastAsia="Calibri" w:hAnsiTheme="majorBidi" w:cstheme="majorBidi"/>
          <w:sz w:val="20"/>
          <w:vertAlign w:val="subscript"/>
        </w:rPr>
        <w:t>3</w:t>
      </w:r>
      <w:r w:rsidRPr="00F84598">
        <w:rPr>
          <w:rFonts w:asciiTheme="majorBidi" w:eastAsia="Calibri" w:hAnsiTheme="majorBidi" w:cstheme="majorBidi"/>
          <w:sz w:val="20"/>
        </w:rPr>
        <w:t>)</w:t>
      </w:r>
      <w:r w:rsidR="00D72E7E">
        <w:rPr>
          <w:rFonts w:asciiTheme="majorBidi" w:eastAsia="Calibri" w:hAnsiTheme="majorBidi" w:cstheme="majorBidi"/>
          <w:sz w:val="20"/>
          <w:vertAlign w:val="subscript"/>
        </w:rPr>
        <w:t>2</w:t>
      </w:r>
      <w:r w:rsidRPr="00F84598">
        <w:rPr>
          <w:rFonts w:asciiTheme="majorBidi" w:eastAsia="Calibri" w:hAnsiTheme="majorBidi" w:cstheme="majorBidi"/>
          <w:sz w:val="20"/>
        </w:rPr>
        <w:t xml:space="preserve"> can be evaluated as potential drug carriers. The results showed that the Gibbs free energy values ​​of both systems were lower than the reference, indicating a transition from a non-spontaneous state to a state closer to spontaneity. This transition is a positive indicator of enhanced binding efficiency, which is practically reflected in the safety of intravenous use and the selectivity of delivery </w:t>
      </w:r>
      <w:r w:rsidRPr="00F84598">
        <w:rPr>
          <w:rFonts w:asciiTheme="majorBidi" w:eastAsia="Calibri" w:hAnsiTheme="majorBidi" w:cstheme="majorBidi"/>
          <w:sz w:val="20"/>
        </w:rPr>
        <w:fldChar w:fldCharType="begin"/>
      </w:r>
      <w:r w:rsidRPr="00F84598">
        <w:rPr>
          <w:rFonts w:asciiTheme="majorBidi" w:eastAsia="Calibri" w:hAnsiTheme="majorBidi" w:cstheme="majorBidi"/>
          <w:sz w:val="20"/>
        </w:rPr>
        <w:instrText xml:space="preserve"> ADDIN EN.CITE &lt;EndNote&gt;&lt;Cite&gt;&lt;Author&gt;Gayathri&lt;/Author&gt;&lt;Year&gt;2024&lt;/Year&gt;&lt;RecNum&gt;2&lt;/RecNum&gt;&lt;DisplayText&gt;[16]&lt;/DisplayText&gt;&lt;record&gt;&lt;rec-number&gt;2&lt;/rec-number&gt;&lt;foreign-keys&gt;&lt;key app="EN" db-id="ftfpwx9072pte8e55zhppzxtrvd29adze5v5" timestamp="1757791532"&gt;2&lt;/key&gt;&lt;/foreign-keys&gt;&lt;ref-type name="Journal Article"&gt;17&lt;/ref-type&gt;&lt;contributors&gt;&lt;authors&gt;&lt;author&gt;Gayathri, K&lt;/author&gt;&lt;author&gt;Vidya, R&lt;/author&gt;&lt;/authors&gt;&lt;/contributors&gt;&lt;titles&gt;&lt;title&gt;Carbon nanomaterials as carriers for the anti-cancer drug doxorubicin: a review on theoretical and experimental studies&lt;/title&gt;&lt;secondary-title&gt;Nanoscale Advances&lt;/secondary-title&gt;&lt;/titles&gt;&lt;periodical&gt;&lt;full-title&gt;Nanoscale Advances&lt;/full-title&gt;&lt;/periodical&gt;&lt;pages&gt;3992-4014&lt;/pages&gt;&lt;volume&gt;6&lt;/volume&gt;&lt;number&gt;16&lt;/number&gt;&lt;dates&gt;&lt;year&gt;2024&lt;/year&gt;&lt;/dates&gt;&lt;urls&gt;&lt;/urls&gt;&lt;/record&gt;&lt;/Cite&gt;&lt;/EndNote&gt;</w:instrText>
      </w:r>
      <w:r w:rsidRPr="00F84598">
        <w:rPr>
          <w:rFonts w:asciiTheme="majorBidi" w:eastAsia="Calibri" w:hAnsiTheme="majorBidi" w:cstheme="majorBidi"/>
          <w:sz w:val="20"/>
        </w:rPr>
        <w:fldChar w:fldCharType="separate"/>
      </w:r>
      <w:r w:rsidRPr="00F84598">
        <w:rPr>
          <w:rFonts w:asciiTheme="majorBidi" w:eastAsia="Calibri" w:hAnsiTheme="majorBidi" w:cstheme="majorBidi"/>
          <w:sz w:val="20"/>
        </w:rPr>
        <w:t>[16]</w:t>
      </w:r>
      <w:r w:rsidRPr="00F84598">
        <w:rPr>
          <w:rFonts w:asciiTheme="majorBidi" w:eastAsia="Calibri" w:hAnsiTheme="majorBidi" w:cstheme="majorBidi"/>
          <w:sz w:val="20"/>
        </w:rPr>
        <w:fldChar w:fldCharType="end"/>
      </w:r>
      <w:r w:rsidRPr="00F84598">
        <w:rPr>
          <w:rFonts w:asciiTheme="majorBidi" w:eastAsia="Calibri" w:hAnsiTheme="majorBidi" w:cstheme="majorBidi"/>
          <w:sz w:val="20"/>
        </w:rPr>
        <w:t>.</w:t>
      </w:r>
      <w:r w:rsidR="002E13A2">
        <w:rPr>
          <w:rFonts w:asciiTheme="majorBidi" w:eastAsia="Calibri" w:hAnsiTheme="majorBidi" w:cstheme="majorBidi"/>
          <w:sz w:val="20"/>
        </w:rPr>
        <w:t xml:space="preserve"> </w:t>
      </w:r>
      <w:r w:rsidRPr="00F84598">
        <w:rPr>
          <w:rFonts w:asciiTheme="majorBidi" w:eastAsia="Calibri" w:hAnsiTheme="majorBidi" w:cstheme="majorBidi"/>
          <w:sz w:val="20"/>
        </w:rPr>
        <w:t>Thermically, the results showed that both systems transitioned from weak sorbent interactions in the reference state to exothermic interactions of varying degrees. This change indicates the formation of hydrogen bonds and stable van der Waals interactions between the drug and the carrier, which is consistent with spectroscopic measurements (FT-IR and Raman) that documented shifts in the carbonyl band when doxorubicin binds to sugars or nanomaterials</w:t>
      </w:r>
      <w:r w:rsidR="00D72E7E">
        <w:rPr>
          <w:rFonts w:asciiTheme="majorBidi" w:eastAsia="Calibri" w:hAnsiTheme="majorBidi" w:cstheme="majorBidi"/>
          <w:sz w:val="20"/>
        </w:rPr>
        <w:t xml:space="preserve"> </w:t>
      </w:r>
      <w:r w:rsidRPr="00F84598">
        <w:rPr>
          <w:rFonts w:asciiTheme="majorBidi" w:eastAsia="Calibri" w:hAnsiTheme="majorBidi" w:cstheme="majorBidi"/>
          <w:sz w:val="20"/>
        </w:rPr>
        <w:fldChar w:fldCharType="begin"/>
      </w:r>
      <w:r w:rsidRPr="00F84598">
        <w:rPr>
          <w:rFonts w:asciiTheme="majorBidi" w:eastAsia="Calibri" w:hAnsiTheme="majorBidi" w:cstheme="majorBidi"/>
          <w:sz w:val="20"/>
        </w:rPr>
        <w:instrText xml:space="preserve"> ADDIN EN.CITE &lt;EndNote&gt;&lt;Cite&gt;&lt;Author&gt;Maisuradze&lt;/Author&gt;&lt;Year&gt;2024&lt;/Year&gt;&lt;RecNum&gt;1&lt;/RecNum&gt;&lt;DisplayText&gt;[17, 18]&lt;/DisplayText&gt;&lt;record&gt;&lt;rec-number&gt;1&lt;/rec-number&gt;&lt;foreign-keys&gt;&lt;key app="EN" db-id="ftfpwx9072pte8e55zhppzxtrvd29adze5v5" timestamp="1757782897"&gt;1&lt;/key&gt;&lt;/foreign-keys&gt;&lt;ref-type name="Journal Article"&gt;17&lt;/ref-type&gt;&lt;contributors&gt;&lt;authors&gt;&lt;author&gt;Maisuradze, Nino&lt;/author&gt;&lt;author&gt;Kekutia, Shalva&lt;/author&gt;&lt;author&gt;Markhulia, Jano&lt;/author&gt;&lt;author&gt;Tsertsvadze, Tamar&lt;/author&gt;&lt;author&gt;Mikelashvili, Vladimer&lt;/author&gt;&lt;author&gt;Saneblidze, Liana&lt;/author&gt;&lt;author&gt;Chkhaidze, Nikoloz&lt;/author&gt;&lt;author&gt;Horváth, Zsolt Endre&lt;/author&gt;&lt;author&gt;Almásy, László&lt;/author&gt;&lt;author&gt;Mitskevichi, Nunu&lt;/author&gt;&lt;/authors&gt;&lt;/contributors&gt;&lt;titles&gt;&lt;title&gt;Characteristics and Antitumor Activity of Doxorubicin-Loaded Multifunctional Iron Oxide Nanoparticles in MEC1 and RM1 Cell Lines&lt;/title&gt;&lt;secondary-title&gt;Journal of Functional Biomaterials&lt;/secondary-title&gt;&lt;/titles&gt;&lt;periodical&gt;&lt;full-title&gt;Journal of Functional Biomaterials&lt;/full-title&gt;&lt;/periodical&gt;&lt;pages&gt;364&lt;/pages&gt;&lt;volume&gt;15&lt;/volume&gt;&lt;number&gt;12&lt;/number&gt;&lt;dates&gt;&lt;year&gt;2024&lt;/year&gt;&lt;/dates&gt;&lt;isbn&gt;2079-4983&lt;/isbn&gt;&lt;urls&gt;&lt;/urls&gt;&lt;/record&gt;&lt;/Cite&gt;&lt;Cite&gt;&lt;Author&gt;Chudoba&lt;/Author&gt;&lt;Year&gt;2020&lt;/Year&gt;&lt;RecNum&gt;5&lt;/RecNum&gt;&lt;record&gt;&lt;rec-number&gt;5&lt;/rec-number&gt;&lt;foreign-keys&gt;&lt;key app="EN" db-id="ftfpwx9072pte8e55zhppzxtrvd29adze5v5" timestamp="1757791687"&gt;5&lt;/key&gt;&lt;/foreign-keys&gt;&lt;ref-type name="Journal Article"&gt;17&lt;/ref-type&gt;&lt;contributors&gt;&lt;authors&gt;&lt;author&gt;Chudoba, Dorota&lt;/author&gt;&lt;author&gt;Łudzik, Katarzyna&lt;/author&gt;&lt;author&gt;Jażdżewska, Monika&lt;/author&gt;&lt;author&gt;Wołoszczuk, Sebastian&lt;/author&gt;&lt;/authors&gt;&lt;/contributors&gt;&lt;titles&gt;&lt;title&gt;Kinetic and equilibrium studies of doxorubicin adsorption onto carbon nanotubes&lt;/title&gt;&lt;secondary-title&gt;International Journal of Molecular Sciences&lt;/secondary-title&gt;&lt;/titles&gt;&lt;periodical&gt;&lt;full-title&gt;International Journal of Molecular Sciences&lt;/full-title&gt;&lt;/periodical&gt;&lt;pages&gt;8230&lt;/pages&gt;&lt;volume&gt;21&lt;/volume&gt;&lt;number&gt;21&lt;/number&gt;&lt;dates&gt;&lt;year&gt;2020&lt;/year&gt;&lt;/dates&gt;&lt;isbn&gt;1422-0067&lt;/isbn&gt;&lt;urls&gt;&lt;/urls&gt;&lt;/record&gt;&lt;/Cite&gt;&lt;/EndNote&gt;</w:instrText>
      </w:r>
      <w:r w:rsidRPr="00F84598">
        <w:rPr>
          <w:rFonts w:asciiTheme="majorBidi" w:eastAsia="Calibri" w:hAnsiTheme="majorBidi" w:cstheme="majorBidi"/>
          <w:sz w:val="20"/>
        </w:rPr>
        <w:fldChar w:fldCharType="separate"/>
      </w:r>
      <w:r w:rsidRPr="00F84598">
        <w:rPr>
          <w:rFonts w:asciiTheme="majorBidi" w:eastAsia="Calibri" w:hAnsiTheme="majorBidi" w:cstheme="majorBidi"/>
          <w:sz w:val="20"/>
        </w:rPr>
        <w:t>[17, 18]</w:t>
      </w:r>
      <w:r w:rsidRPr="00F84598">
        <w:rPr>
          <w:rFonts w:asciiTheme="majorBidi" w:eastAsia="Calibri" w:hAnsiTheme="majorBidi" w:cstheme="majorBidi"/>
          <w:sz w:val="20"/>
        </w:rPr>
        <w:fldChar w:fldCharType="end"/>
      </w:r>
      <w:r w:rsidRPr="00F84598">
        <w:rPr>
          <w:rFonts w:asciiTheme="majorBidi" w:eastAsia="Calibri" w:hAnsiTheme="majorBidi" w:cstheme="majorBidi"/>
          <w:sz w:val="20"/>
        </w:rPr>
        <w:t xml:space="preserve">. Thus, </w:t>
      </w:r>
      <w:proofErr w:type="gramStart"/>
      <w:r w:rsidRPr="00F84598">
        <w:rPr>
          <w:rFonts w:asciiTheme="majorBidi" w:eastAsia="Calibri" w:hAnsiTheme="majorBidi" w:cstheme="majorBidi"/>
          <w:sz w:val="20"/>
        </w:rPr>
        <w:t>the enhanced</w:t>
      </w:r>
      <w:proofErr w:type="gramEnd"/>
      <w:r w:rsidRPr="00F84598">
        <w:rPr>
          <w:rFonts w:asciiTheme="majorBidi" w:eastAsia="Calibri" w:hAnsiTheme="majorBidi" w:cstheme="majorBidi"/>
          <w:sz w:val="20"/>
        </w:rPr>
        <w:t xml:space="preserve"> thermal stability, particularly with </w:t>
      </w:r>
      <w:proofErr w:type="gramStart"/>
      <w:r w:rsidRPr="00F84598">
        <w:rPr>
          <w:rFonts w:asciiTheme="majorBidi" w:eastAsia="Calibri" w:hAnsiTheme="majorBidi" w:cstheme="majorBidi"/>
          <w:sz w:val="20"/>
        </w:rPr>
        <w:t>the dye</w:t>
      </w:r>
      <w:proofErr w:type="gramEnd"/>
      <w:r w:rsidRPr="00F84598">
        <w:rPr>
          <w:rFonts w:asciiTheme="majorBidi" w:eastAsia="Calibri" w:hAnsiTheme="majorBidi" w:cstheme="majorBidi"/>
          <w:sz w:val="20"/>
        </w:rPr>
        <w:t xml:space="preserve">, supports the hypothesis that </w:t>
      </w:r>
      <w:r w:rsidRPr="00F84598">
        <w:rPr>
          <w:rFonts w:asciiTheme="majorBidi" w:eastAsia="Calibri" w:hAnsiTheme="majorBidi" w:cstheme="majorBidi"/>
          <w:sz w:val="20"/>
          <w:vertAlign w:val="superscript"/>
        </w:rPr>
        <w:t>18</w:t>
      </w:r>
      <w:r w:rsidRPr="00F84598">
        <w:rPr>
          <w:rFonts w:asciiTheme="majorBidi" w:eastAsia="Calibri" w:hAnsiTheme="majorBidi" w:cstheme="majorBidi"/>
          <w:sz w:val="20"/>
        </w:rPr>
        <w:t>F-FDG repurposing is not limited to diagnostics but could also represent an effective means of therapeutic guidance.</w:t>
      </w:r>
      <w:r w:rsidR="002E13A2">
        <w:rPr>
          <w:rFonts w:asciiTheme="majorBidi" w:eastAsia="Calibri" w:hAnsiTheme="majorBidi" w:cstheme="majorBidi"/>
          <w:sz w:val="20"/>
        </w:rPr>
        <w:t xml:space="preserve"> </w:t>
      </w:r>
      <w:r w:rsidRPr="00F84598">
        <w:rPr>
          <w:rFonts w:asciiTheme="majorBidi" w:eastAsia="Calibri" w:hAnsiTheme="majorBidi" w:cstheme="majorBidi"/>
          <w:sz w:val="20"/>
        </w:rPr>
        <w:t>In terms of entropy, perovskites were shown to increase the degree of structural randomness of the system compared to the reference, potentially reducing the internal order of the complex, while the dye showed a significant decrease in randomness, reflecting the formation of a more orderly and stable system. This latter pattern is clinically relevant, as increased structural order is associated with increased selectivity and reduced side reactions. Similar results have been documented in recent studies on glycosyltransferases, which demonstrated that increased structural organization contributes to improved drug metabolic routing and reduced systemic toxicity</w:t>
      </w:r>
      <w:r w:rsidR="00D72E7E">
        <w:rPr>
          <w:rFonts w:asciiTheme="majorBidi" w:eastAsia="Calibri" w:hAnsiTheme="majorBidi" w:cstheme="majorBidi"/>
          <w:sz w:val="20"/>
        </w:rPr>
        <w:t xml:space="preserve"> </w:t>
      </w:r>
      <w:r w:rsidRPr="00F84598">
        <w:rPr>
          <w:rFonts w:asciiTheme="majorBidi" w:eastAsia="Calibri" w:hAnsiTheme="majorBidi" w:cstheme="majorBidi"/>
          <w:sz w:val="20"/>
        </w:rPr>
        <w:fldChar w:fldCharType="begin"/>
      </w:r>
      <w:r w:rsidRPr="00F84598">
        <w:rPr>
          <w:rFonts w:asciiTheme="majorBidi" w:eastAsia="Calibri" w:hAnsiTheme="majorBidi" w:cstheme="majorBidi"/>
          <w:sz w:val="20"/>
        </w:rPr>
        <w:instrText xml:space="preserve"> ADDIN EN.CITE &lt;EndNote&gt;&lt;Cite&gt;&lt;Author&gt;Gayathri&lt;/Author&gt;&lt;Year&gt;2024&lt;/Year&gt;&lt;RecNum&gt;2&lt;/RecNum&gt;&lt;DisplayText&gt;[16, 18]&lt;/DisplayText&gt;&lt;record&gt;&lt;rec-number&gt;2&lt;/rec-number&gt;&lt;foreign-keys&gt;&lt;key app="EN" db-id="ftfpwx9072pte8e55zhppzxtrvd29adze5v5" timestamp="1757791532"&gt;2&lt;/key&gt;&lt;/foreign-keys&gt;&lt;ref-type name="Journal Article"&gt;17&lt;/ref-type&gt;&lt;contributors&gt;&lt;authors&gt;&lt;author&gt;Gayathri, K&lt;/author&gt;&lt;author&gt;Vidya, R&lt;/author&gt;&lt;/authors&gt;&lt;/contributors&gt;&lt;titles&gt;&lt;title&gt;Carbon nanomaterials as carriers for the anti-cancer drug doxorubicin: a review on theoretical and experimental studies&lt;/title&gt;&lt;secondary-title&gt;Nanoscale Advances&lt;/secondary-title&gt;&lt;/titles&gt;&lt;periodical&gt;&lt;full-title&gt;Nanoscale Advances&lt;/full-title&gt;&lt;/periodical&gt;&lt;pages&gt;3992-4014&lt;/pages&gt;&lt;volume&gt;6&lt;/volume&gt;&lt;number&gt;16&lt;/number&gt;&lt;dates&gt;&lt;year&gt;2024&lt;/year&gt;&lt;/dates&gt;&lt;urls&gt;&lt;/urls&gt;&lt;/record&gt;&lt;/Cite&gt;&lt;Cite&gt;&lt;Author&gt;Chudoba&lt;/Author&gt;&lt;Year&gt;2020&lt;/Year&gt;&lt;RecNum&gt;5&lt;/RecNum&gt;&lt;record&gt;&lt;rec-number&gt;5&lt;/rec-number&gt;&lt;foreign-keys&gt;&lt;key app="EN" db-id="ftfpwx9072pte8e55zhppzxtrvd29adze5v5" timestamp="1757791687"&gt;5&lt;/key&gt;&lt;/foreign-keys&gt;&lt;ref-type name="Journal Article"&gt;17&lt;/ref-type&gt;&lt;contributors&gt;&lt;authors&gt;&lt;author&gt;Chudoba, Dorota&lt;/author&gt;&lt;author&gt;Łudzik, Katarzyna&lt;/author&gt;&lt;author&gt;Jażdżewska, Monika&lt;/author&gt;&lt;author&gt;Wołoszczuk, Sebastian&lt;/author&gt;&lt;/authors&gt;&lt;/contributors&gt;&lt;titles&gt;&lt;title&gt;Kinetic and equilibrium studies of doxorubicin adsorption onto carbon nanotubes&lt;/title&gt;&lt;secondary-title&gt;International Journal of Molecular Sciences&lt;/secondary-title&gt;&lt;/titles&gt;&lt;periodical&gt;&lt;full-title&gt;International Journal of Molecular Sciences&lt;/full-title&gt;&lt;/periodical&gt;&lt;pages&gt;8230&lt;/pages&gt;&lt;volume&gt;21&lt;/volume&gt;&lt;number&gt;21&lt;/number&gt;&lt;dates&gt;&lt;year&gt;2020&lt;/year&gt;&lt;/dates&gt;&lt;isbn&gt;1422-0067&lt;/isbn&gt;&lt;urls&gt;&lt;/urls&gt;&lt;/record&gt;&lt;/Cite&gt;&lt;/EndNote&gt;</w:instrText>
      </w:r>
      <w:r w:rsidRPr="00F84598">
        <w:rPr>
          <w:rFonts w:asciiTheme="majorBidi" w:eastAsia="Calibri" w:hAnsiTheme="majorBidi" w:cstheme="majorBidi"/>
          <w:sz w:val="20"/>
        </w:rPr>
        <w:fldChar w:fldCharType="separate"/>
      </w:r>
      <w:r w:rsidRPr="00F84598">
        <w:rPr>
          <w:rFonts w:asciiTheme="majorBidi" w:eastAsia="Calibri" w:hAnsiTheme="majorBidi" w:cstheme="majorBidi"/>
          <w:sz w:val="20"/>
        </w:rPr>
        <w:t>[16, 18]</w:t>
      </w:r>
      <w:r w:rsidRPr="00F84598">
        <w:rPr>
          <w:rFonts w:asciiTheme="majorBidi" w:eastAsia="Calibri" w:hAnsiTheme="majorBidi" w:cstheme="majorBidi"/>
          <w:sz w:val="20"/>
        </w:rPr>
        <w:fldChar w:fldCharType="end"/>
      </w:r>
      <w:r w:rsidRPr="00F84598">
        <w:rPr>
          <w:rFonts w:asciiTheme="majorBidi" w:eastAsia="Calibri" w:hAnsiTheme="majorBidi" w:cstheme="majorBidi"/>
          <w:sz w:val="20"/>
        </w:rPr>
        <w:t xml:space="preserve"> .</w:t>
      </w:r>
      <w:r w:rsidR="002E13A2">
        <w:rPr>
          <w:rFonts w:asciiTheme="majorBidi" w:eastAsia="Calibri" w:hAnsiTheme="majorBidi" w:cstheme="majorBidi"/>
          <w:sz w:val="20"/>
        </w:rPr>
        <w:t xml:space="preserve"> </w:t>
      </w:r>
      <w:r w:rsidRPr="00F84598">
        <w:rPr>
          <w:rFonts w:asciiTheme="majorBidi" w:eastAsia="Calibri" w:hAnsiTheme="majorBidi" w:cstheme="majorBidi"/>
          <w:sz w:val="20"/>
        </w:rPr>
        <w:t xml:space="preserve">On the other hand, the deformation energy revealed that the dye offers significant structural flexibility, making it more compatible with the molecular structure of the drug and blood proteins, while perovskites require a high deformation cost, which may limit their efficiency in some biological environments. This result is consistent with reports on oxide perovskites, which feature strong bonds but at the expense of structural flexibility </w:t>
      </w:r>
      <w:r w:rsidRPr="00F84598">
        <w:rPr>
          <w:rFonts w:asciiTheme="majorBidi" w:eastAsia="Calibri" w:hAnsiTheme="majorBidi" w:cstheme="majorBidi"/>
          <w:sz w:val="20"/>
        </w:rPr>
        <w:fldChar w:fldCharType="begin"/>
      </w:r>
      <w:r w:rsidRPr="00F84598">
        <w:rPr>
          <w:rFonts w:asciiTheme="majorBidi" w:eastAsia="Calibri" w:hAnsiTheme="majorBidi" w:cstheme="majorBidi"/>
          <w:sz w:val="20"/>
        </w:rPr>
        <w:instrText xml:space="preserve"> ADDIN EN.CITE &lt;EndNote&gt;&lt;Cite&gt;&lt;Author&gt;Kumar&lt;/Author&gt;&lt;Year&gt;2020&lt;/Year&gt;&lt;RecNum&gt;6&lt;/RecNum&gt;&lt;DisplayText&gt;[24]&lt;/DisplayText&gt;&lt;record&gt;&lt;rec-number&gt;6&lt;/rec-number&gt;&lt;foreign-keys&gt;&lt;key app="EN" db-id="w2zaxav5rs2t9nex55gvwwvmzzet52ztprd9" timestamp="1757780785"&gt;6&lt;/key&gt;&lt;/foreign-keys&gt;&lt;ref-type name="Journal Article"&gt;17&lt;/ref-type&gt;&lt;contributors&gt;&lt;authors&gt;&lt;author&gt;Kumar, Pawan&lt;/author&gt;&lt;author&gt;Patel, Madhumita&lt;/author&gt;&lt;author&gt;Park, Chanho&lt;/author&gt;&lt;author&gt;Han, Hyowon&lt;/author&gt;&lt;author&gt;Jeong, Beomjin&lt;/author&gt;&lt;author&gt;Kang, Hansol&lt;/author&gt;&lt;author&gt;Patel, Rajkumar&lt;/author&gt;&lt;author&gt;Koh, Won-Gun&lt;/author&gt;&lt;author&gt;Park, Cheolmin&lt;/author&gt;&lt;/authors&gt;&lt;/contributors&gt;&lt;titles&gt;&lt;title&gt;Highly luminescent biocompatible CsPbBr₃@ SiO₂ core–shell nanoprobes for bioimaging and drug delivery&lt;/title&gt;&lt;/titles&gt;&lt;dates&gt;&lt;year&gt;2020&lt;/year&gt;&lt;/dates&gt;&lt;isbn&gt;2050-7518&lt;/isbn&gt;&lt;urls&gt;&lt;/urls&gt;&lt;/record&gt;&lt;/Cite&gt;&lt;/EndNote&gt;</w:instrText>
      </w:r>
      <w:r w:rsidRPr="00F84598">
        <w:rPr>
          <w:rFonts w:asciiTheme="majorBidi" w:eastAsia="Calibri" w:hAnsiTheme="majorBidi" w:cstheme="majorBidi"/>
          <w:sz w:val="20"/>
        </w:rPr>
        <w:fldChar w:fldCharType="separate"/>
      </w:r>
      <w:r w:rsidRPr="00F84598">
        <w:rPr>
          <w:rFonts w:asciiTheme="majorBidi" w:eastAsia="Calibri" w:hAnsiTheme="majorBidi" w:cstheme="majorBidi"/>
          <w:sz w:val="20"/>
        </w:rPr>
        <w:t>[24]</w:t>
      </w:r>
      <w:r w:rsidRPr="00F84598">
        <w:rPr>
          <w:rFonts w:asciiTheme="majorBidi" w:eastAsia="Calibri" w:hAnsiTheme="majorBidi" w:cstheme="majorBidi"/>
          <w:sz w:val="20"/>
        </w:rPr>
        <w:fldChar w:fldCharType="end"/>
      </w:r>
      <w:r w:rsidRPr="00F84598">
        <w:rPr>
          <w:rFonts w:asciiTheme="majorBidi" w:eastAsia="Calibri" w:hAnsiTheme="majorBidi" w:cstheme="majorBidi"/>
          <w:sz w:val="20"/>
        </w:rPr>
        <w:t>.</w:t>
      </w:r>
      <w:r w:rsidR="002E13A2">
        <w:rPr>
          <w:rFonts w:asciiTheme="majorBidi" w:eastAsia="Calibri" w:hAnsiTheme="majorBidi" w:cstheme="majorBidi"/>
          <w:sz w:val="20"/>
        </w:rPr>
        <w:t xml:space="preserve"> </w:t>
      </w:r>
      <w:r w:rsidRPr="00F84598">
        <w:rPr>
          <w:rFonts w:asciiTheme="majorBidi" w:eastAsia="Calibri" w:hAnsiTheme="majorBidi" w:cstheme="majorBidi"/>
          <w:sz w:val="20"/>
        </w:rPr>
        <w:t xml:space="preserve">Regarding adsorption energy, the results showed that the dye achieves more stable adsorption compared to the reference, enhancing its ability to retain the drug during its circulation. In contrast, the adsorption of perovskites was less favorable, which may indicate challenges in loading the drug onto its surface. However, this factor still needs further experimental confirmation, as previous studies have shown that increased adsorption force can be a double-edged sword, stabilizing the drug but potentially hindering its subsequent release </w:t>
      </w:r>
      <w:r w:rsidRPr="00F84598">
        <w:rPr>
          <w:rFonts w:asciiTheme="majorBidi" w:eastAsia="Calibri" w:hAnsiTheme="majorBidi" w:cstheme="majorBidi"/>
          <w:sz w:val="20"/>
        </w:rPr>
        <w:fldChar w:fldCharType="begin"/>
      </w:r>
      <w:r w:rsidRPr="00F84598">
        <w:rPr>
          <w:rFonts w:asciiTheme="majorBidi" w:eastAsia="Calibri" w:hAnsiTheme="majorBidi" w:cstheme="majorBidi"/>
          <w:sz w:val="20"/>
        </w:rPr>
        <w:instrText xml:space="preserve"> ADDIN EN.CITE &lt;EndNote&gt;&lt;Cite&gt;&lt;Author&gt;Maisuradze&lt;/Author&gt;&lt;Year&gt;2024&lt;/Year&gt;&lt;RecNum&gt;1&lt;/RecNum&gt;&lt;DisplayText&gt;[17, 18]&lt;/DisplayText&gt;&lt;record&gt;&lt;rec-number&gt;1&lt;/rec-number&gt;&lt;foreign-keys&gt;&lt;key app="EN" db-id="ftfpwx9072pte8e55zhppzxtrvd29adze5v5" timestamp="1757782897"&gt;1&lt;/key&gt;&lt;/foreign-keys&gt;&lt;ref-type name="Journal Article"&gt;17&lt;/ref-type&gt;&lt;contributors&gt;&lt;authors&gt;&lt;author&gt;Maisuradze, Nino&lt;/author&gt;&lt;author&gt;Kekutia, Shalva&lt;/author&gt;&lt;author&gt;Markhulia, Jano&lt;/author&gt;&lt;author&gt;Tsertsvadze, Tamar&lt;/author&gt;&lt;author&gt;Mikelashvili, Vladimer&lt;/author&gt;&lt;author&gt;Saneblidze, Liana&lt;/author&gt;&lt;author&gt;Chkhaidze, Nikoloz&lt;/author&gt;&lt;author&gt;Horváth, Zsolt Endre&lt;/author&gt;&lt;author&gt;Almásy, László&lt;/author&gt;&lt;author&gt;Mitskevichi, Nunu&lt;/author&gt;&lt;/authors&gt;&lt;/contributors&gt;&lt;titles&gt;&lt;title&gt;Characteristics and Antitumor Activity of Doxorubicin-Loaded Multifunctional Iron Oxide Nanoparticles in MEC1 and RM1 Cell Lines&lt;/title&gt;&lt;secondary-title&gt;Journal of Functional Biomaterials&lt;/secondary-title&gt;&lt;/titles&gt;&lt;periodical&gt;&lt;full-title&gt;Journal of Functional Biomaterials&lt;/full-title&gt;&lt;/periodical&gt;&lt;pages&gt;364&lt;/pages&gt;&lt;volume&gt;15&lt;/volume&gt;&lt;number&gt;12&lt;/number&gt;&lt;dates&gt;&lt;year&gt;2024&lt;/year&gt;&lt;/dates&gt;&lt;isbn&gt;2079-4983&lt;/isbn&gt;&lt;urls&gt;&lt;/urls&gt;&lt;/record&gt;&lt;/Cite&gt;&lt;Cite&gt;&lt;Author&gt;Chudoba&lt;/Author&gt;&lt;Year&gt;2020&lt;/Year&gt;&lt;RecNum&gt;5&lt;/RecNum&gt;&lt;record&gt;&lt;rec-number&gt;5&lt;/rec-number&gt;&lt;foreign-keys&gt;&lt;key app="EN" db-id="ftfpwx9072pte8e55zhppzxtrvd29adze5v5" timestamp="1757791687"&gt;5&lt;/key&gt;&lt;/foreign-keys&gt;&lt;ref-type name="Journal Article"&gt;17&lt;/ref-type&gt;&lt;contributors&gt;&lt;authors&gt;&lt;author&gt;Chudoba, Dorota&lt;/author&gt;&lt;author&gt;Łudzik, Katarzyna&lt;/author&gt;&lt;author&gt;Jażdżewska, Monika&lt;/author&gt;&lt;author&gt;Wołoszczuk, Sebastian&lt;/author&gt;&lt;/authors&gt;&lt;/contributors&gt;&lt;titles&gt;&lt;title&gt;Kinetic and equilibrium studies of doxorubicin adsorption onto carbon nanotubes&lt;/title&gt;&lt;secondary-title&gt;International Journal of Molecular Sciences&lt;/secondary-title&gt;&lt;/titles&gt;&lt;periodical&gt;&lt;full-title&gt;International Journal of Molecular Sciences&lt;/full-title&gt;&lt;/periodical&gt;&lt;pages&gt;8230&lt;/pages&gt;&lt;volume&gt;21&lt;/volume&gt;&lt;number&gt;21&lt;/number&gt;&lt;dates&gt;&lt;year&gt;2020&lt;/year&gt;&lt;/dates&gt;&lt;isbn&gt;1422-0067&lt;/isbn&gt;&lt;urls&gt;&lt;/urls&gt;&lt;/record&gt;&lt;/Cite&gt;&lt;/EndNote&gt;</w:instrText>
      </w:r>
      <w:r w:rsidRPr="00F84598">
        <w:rPr>
          <w:rFonts w:asciiTheme="majorBidi" w:eastAsia="Calibri" w:hAnsiTheme="majorBidi" w:cstheme="majorBidi"/>
          <w:sz w:val="20"/>
        </w:rPr>
        <w:fldChar w:fldCharType="separate"/>
      </w:r>
      <w:r w:rsidRPr="00F84598">
        <w:rPr>
          <w:rFonts w:asciiTheme="majorBidi" w:eastAsia="Calibri" w:hAnsiTheme="majorBidi" w:cstheme="majorBidi"/>
          <w:sz w:val="20"/>
        </w:rPr>
        <w:t>[17, 18]</w:t>
      </w:r>
      <w:r w:rsidRPr="00F84598">
        <w:rPr>
          <w:rFonts w:asciiTheme="majorBidi" w:eastAsia="Calibri" w:hAnsiTheme="majorBidi" w:cstheme="majorBidi"/>
          <w:sz w:val="20"/>
        </w:rPr>
        <w:fldChar w:fldCharType="end"/>
      </w:r>
      <w:r w:rsidRPr="00F84598">
        <w:rPr>
          <w:rFonts w:asciiTheme="majorBidi" w:eastAsia="Calibri" w:hAnsiTheme="majorBidi" w:cstheme="majorBidi"/>
          <w:sz w:val="20"/>
        </w:rPr>
        <w:t>.</w:t>
      </w:r>
      <w:r w:rsidR="002E13A2">
        <w:rPr>
          <w:rFonts w:asciiTheme="majorBidi" w:eastAsia="Calibri" w:hAnsiTheme="majorBidi" w:cstheme="majorBidi"/>
          <w:sz w:val="20"/>
        </w:rPr>
        <w:t xml:space="preserve"> </w:t>
      </w:r>
      <w:r w:rsidRPr="00F84598">
        <w:rPr>
          <w:rFonts w:asciiTheme="majorBidi" w:eastAsia="Calibri" w:hAnsiTheme="majorBidi" w:cstheme="majorBidi"/>
          <w:sz w:val="20"/>
        </w:rPr>
        <w:t>Finally, binding energy demonstrated that perovskites produce highly stable complexes that can lead to drug retention, while the dye provides moderate binding, balancing transport stability with release potential at the tumor site. This balance is considered by clinical studies to be a prerequisite for the success of intravenous drug delivery systems, as excessive binding strength can reduce therapeutic efficacy, while moderate binding enhances therapeutic efficacy while maintaining safety</w:t>
      </w:r>
      <w:r w:rsidR="00D72E7E">
        <w:rPr>
          <w:rFonts w:asciiTheme="majorBidi" w:eastAsia="Calibri" w:hAnsiTheme="majorBidi" w:cstheme="majorBidi"/>
          <w:sz w:val="20"/>
        </w:rPr>
        <w:t xml:space="preserve"> </w:t>
      </w:r>
      <w:r w:rsidRPr="00F84598">
        <w:rPr>
          <w:rFonts w:asciiTheme="majorBidi" w:eastAsia="Calibri" w:hAnsiTheme="majorBidi" w:cstheme="majorBidi"/>
          <w:sz w:val="20"/>
        </w:rPr>
        <w:fldChar w:fldCharType="begin"/>
      </w:r>
      <w:r w:rsidRPr="00F84598">
        <w:rPr>
          <w:rFonts w:asciiTheme="majorBidi" w:eastAsia="Calibri" w:hAnsiTheme="majorBidi" w:cstheme="majorBidi"/>
          <w:sz w:val="20"/>
        </w:rPr>
        <w:instrText xml:space="preserve"> ADDIN EN.CITE &lt;EndNote&gt;&lt;Cite&gt;&lt;Author&gt;Chudoba&lt;/Author&gt;&lt;Year&gt;2020&lt;/Year&gt;&lt;RecNum&gt;5&lt;/RecNum&gt;&lt;DisplayText&gt;[18, 24]&lt;/DisplayText&gt;&lt;record&gt;&lt;rec-number&gt;5&lt;/rec-number&gt;&lt;foreign-keys&gt;&lt;key app="EN" db-id="ftfpwx9072pte8e55zhppzxtrvd29adze5v5" timestamp="1757791687"&gt;5&lt;/key&gt;&lt;/foreign-keys&gt;&lt;ref-type name="Journal Article"&gt;17&lt;/ref-type&gt;&lt;contributors&gt;&lt;authors&gt;&lt;author&gt;Chudoba, Dorota&lt;/author&gt;&lt;author&gt;Łudzik, Katarzyna&lt;/author&gt;&lt;author&gt;Jażdżewska, Monika&lt;/author&gt;&lt;author&gt;Wołoszczuk, Sebastian&lt;/author&gt;&lt;/authors&gt;&lt;/contributors&gt;&lt;titles&gt;&lt;title&gt;Kinetic and equilibrium studies of doxorubicin adsorption onto carbon nanotubes&lt;/title&gt;&lt;secondary-title&gt;International Journal of Molecular Sciences&lt;/secondary-title&gt;&lt;/titles&gt;&lt;periodical&gt;&lt;full-title&gt;International Journal of Molecular Sciences&lt;/full-title&gt;&lt;/periodical&gt;&lt;pages&gt;8230&lt;/pages&gt;&lt;volume&gt;21&lt;/volume&gt;&lt;number&gt;21&lt;/number&gt;&lt;dates&gt;&lt;year&gt;2020&lt;/year&gt;&lt;/dates&gt;&lt;isbn&gt;1422-0067&lt;/isbn&gt;&lt;urls&gt;&lt;/urls&gt;&lt;/record&gt;&lt;/Cite&gt;&lt;Cite&gt;&lt;Author&gt;Kumar&lt;/Author&gt;&lt;Year&gt;2020&lt;/Year&gt;&lt;RecNum&gt;6&lt;/RecNum&gt;&lt;record&gt;&lt;rec-number&gt;6&lt;/rec-number&gt;&lt;foreign-keys&gt;&lt;key app="EN" db-id="w2zaxav5rs2t9nex55gvwwvmzzet52ztprd9" timestamp="1757780785"&gt;6&lt;/key&gt;&lt;/foreign-keys&gt;&lt;ref-type name="Journal Article"&gt;17&lt;/ref-type&gt;&lt;contributors&gt;&lt;authors&gt;&lt;author&gt;Kumar, Pawan&lt;/author&gt;&lt;author&gt;Patel, Madhumita&lt;/author&gt;&lt;author&gt;Park, Chanho&lt;/author&gt;&lt;author&gt;Han, Hyowon&lt;/author&gt;&lt;author&gt;Jeong, Beomjin&lt;/author&gt;&lt;author&gt;Kang, Hansol&lt;/author&gt;&lt;author&gt;Patel, Rajkumar&lt;/author&gt;&lt;author&gt;Koh, Won-Gun&lt;/author&gt;&lt;author&gt;Park, Cheolmin&lt;/author&gt;&lt;/authors&gt;&lt;/contributors&gt;&lt;titles&gt;&lt;title&gt;Highly luminescent biocompatible CsPbBr₃@ SiO₂ core–shell nanoprobes for bioimaging and drug delivery&lt;/title&gt;&lt;/titles&gt;&lt;dates&gt;&lt;year&gt;2020&lt;/year&gt;&lt;/dates&gt;&lt;isbn&gt;2050-7518&lt;/isbn&gt;&lt;urls&gt;&lt;/urls&gt;&lt;/record&gt;&lt;/Cite&gt;&lt;/EndNote&gt;</w:instrText>
      </w:r>
      <w:r w:rsidRPr="00F84598">
        <w:rPr>
          <w:rFonts w:asciiTheme="majorBidi" w:eastAsia="Calibri" w:hAnsiTheme="majorBidi" w:cstheme="majorBidi"/>
          <w:sz w:val="20"/>
        </w:rPr>
        <w:fldChar w:fldCharType="separate"/>
      </w:r>
      <w:r w:rsidRPr="00F84598">
        <w:rPr>
          <w:rFonts w:asciiTheme="majorBidi" w:eastAsia="Calibri" w:hAnsiTheme="majorBidi" w:cstheme="majorBidi"/>
          <w:sz w:val="20"/>
        </w:rPr>
        <w:t>[18, 24]</w:t>
      </w:r>
      <w:r w:rsidRPr="00F84598">
        <w:rPr>
          <w:rFonts w:asciiTheme="majorBidi" w:eastAsia="Calibri" w:hAnsiTheme="majorBidi" w:cstheme="majorBidi"/>
          <w:sz w:val="20"/>
        </w:rPr>
        <w:fldChar w:fldCharType="end"/>
      </w:r>
      <w:r w:rsidRPr="00F84598">
        <w:rPr>
          <w:rFonts w:asciiTheme="majorBidi" w:eastAsia="Calibri" w:hAnsiTheme="majorBidi" w:cstheme="majorBidi"/>
          <w:sz w:val="20"/>
        </w:rPr>
        <w:t>.</w:t>
      </w:r>
    </w:p>
    <w:p w14:paraId="760B126D" w14:textId="77777777" w:rsidR="00F84598" w:rsidRPr="00F84598" w:rsidRDefault="00F84598" w:rsidP="00F84598">
      <w:pPr>
        <w:pStyle w:val="Paragraph"/>
        <w:rPr>
          <w:rFonts w:eastAsia="Calibri"/>
          <w:rtl/>
        </w:rPr>
      </w:pPr>
    </w:p>
    <w:p w14:paraId="5825D0F6" w14:textId="1CA52778" w:rsidR="00F7492E" w:rsidRDefault="00F7492E" w:rsidP="003D135D">
      <w:pPr>
        <w:pStyle w:val="TableCaption"/>
        <w:spacing w:before="0"/>
        <w:rPr>
          <w:rFonts w:eastAsia="Calibri"/>
          <w:rtl/>
          <w:lang w:bidi="ar-IQ"/>
        </w:rPr>
      </w:pPr>
      <w:r w:rsidRPr="00504C8D">
        <w:rPr>
          <w:b/>
        </w:rPr>
        <w:t xml:space="preserve">TABLE 1. </w:t>
      </w:r>
      <w:r w:rsidR="00B76A69" w:rsidRPr="00B76A69">
        <w:rPr>
          <w:rFonts w:eastAsia="Calibri"/>
          <w:lang w:bidi="ar-IQ"/>
        </w:rPr>
        <w:t>Pharmacological and thermodynamic properties</w:t>
      </w:r>
      <w:r w:rsidR="001F738B">
        <w:rPr>
          <w:rFonts w:eastAsia="Calibri"/>
          <w:lang w:bidi="ar-IQ"/>
        </w:rPr>
        <w:t>.</w:t>
      </w:r>
    </w:p>
    <w:tbl>
      <w:tblPr>
        <w:tblStyle w:val="MediumList11"/>
        <w:tblW w:w="0" w:type="auto"/>
        <w:tblInd w:w="198" w:type="dxa"/>
        <w:tblLook w:val="04A0" w:firstRow="1" w:lastRow="0" w:firstColumn="1" w:lastColumn="0" w:noHBand="0" w:noVBand="1"/>
      </w:tblPr>
      <w:tblGrid>
        <w:gridCol w:w="2481"/>
        <w:gridCol w:w="827"/>
        <w:gridCol w:w="1002"/>
        <w:gridCol w:w="1002"/>
        <w:gridCol w:w="1417"/>
        <w:gridCol w:w="1270"/>
        <w:gridCol w:w="1163"/>
      </w:tblGrid>
      <w:tr w:rsidR="00B76A69" w:rsidRPr="00B76A69" w14:paraId="464C8526" w14:textId="77777777" w:rsidTr="003D135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5" w:type="dxa"/>
            <w:tcBorders>
              <w:top w:val="single" w:sz="4" w:space="0" w:color="auto"/>
            </w:tcBorders>
          </w:tcPr>
          <w:p w14:paraId="6AB8990C" w14:textId="77777777" w:rsidR="00B76A69" w:rsidRPr="00B76A69" w:rsidRDefault="00B76A69" w:rsidP="00B76A69">
            <w:pPr>
              <w:jc w:val="center"/>
              <w:rPr>
                <w:rFonts w:asciiTheme="majorBidi" w:eastAsia="Calibri" w:hAnsiTheme="majorBidi" w:cstheme="majorBidi"/>
                <w:sz w:val="20"/>
                <w:szCs w:val="20"/>
                <w:lang w:bidi="ar-IQ"/>
              </w:rPr>
            </w:pPr>
            <w:bookmarkStart w:id="11" w:name="_Hlk208678655"/>
            <w:bookmarkStart w:id="12" w:name="_Hlk208681599"/>
            <w:r w:rsidRPr="00B76A69">
              <w:rPr>
                <w:rFonts w:asciiTheme="majorBidi" w:eastAsia="Calibri" w:hAnsiTheme="majorBidi" w:cstheme="majorBidi"/>
                <w:sz w:val="20"/>
                <w:szCs w:val="20"/>
              </w:rPr>
              <w:t>Energies, eV</w:t>
            </w:r>
          </w:p>
        </w:tc>
        <w:tc>
          <w:tcPr>
            <w:tcW w:w="830" w:type="dxa"/>
            <w:tcBorders>
              <w:top w:val="single" w:sz="4" w:space="0" w:color="auto"/>
            </w:tcBorders>
          </w:tcPr>
          <w:p w14:paraId="46D45712" w14:textId="77777777" w:rsidR="00B76A69" w:rsidRPr="00B76A69" w:rsidRDefault="00B76A69" w:rsidP="00B76A69">
            <w:pPr>
              <w:jc w:val="center"/>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b/>
                <w:bCs/>
                <w:sz w:val="20"/>
                <w:szCs w:val="20"/>
                <w:lang w:bidi="ar-IQ"/>
              </w:rPr>
            </w:pPr>
            <w:r w:rsidRPr="00B76A69">
              <w:rPr>
                <w:rFonts w:asciiTheme="majorBidi" w:eastAsia="Calibri" w:hAnsiTheme="majorBidi" w:cstheme="majorBidi"/>
                <w:b/>
                <w:bCs/>
                <w:sz w:val="20"/>
                <w:szCs w:val="20"/>
              </w:rPr>
              <w:t>ΔG</w:t>
            </w:r>
          </w:p>
        </w:tc>
        <w:tc>
          <w:tcPr>
            <w:tcW w:w="1014" w:type="dxa"/>
            <w:tcBorders>
              <w:top w:val="single" w:sz="4" w:space="0" w:color="auto"/>
            </w:tcBorders>
          </w:tcPr>
          <w:p w14:paraId="5B1D3517" w14:textId="77777777" w:rsidR="00B76A69" w:rsidRPr="00B76A69" w:rsidRDefault="00B76A69" w:rsidP="00B76A69">
            <w:pPr>
              <w:jc w:val="center"/>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b/>
                <w:bCs/>
                <w:sz w:val="20"/>
                <w:szCs w:val="20"/>
                <w:lang w:bidi="ar-IQ"/>
              </w:rPr>
            </w:pPr>
            <w:r w:rsidRPr="00B76A69">
              <w:rPr>
                <w:rFonts w:asciiTheme="majorBidi" w:eastAsia="Calibri" w:hAnsiTheme="majorBidi" w:cstheme="majorBidi"/>
                <w:b/>
                <w:bCs/>
                <w:sz w:val="20"/>
                <w:szCs w:val="20"/>
              </w:rPr>
              <w:t>ΔH</w:t>
            </w:r>
          </w:p>
        </w:tc>
        <w:tc>
          <w:tcPr>
            <w:tcW w:w="1014" w:type="dxa"/>
            <w:tcBorders>
              <w:top w:val="single" w:sz="4" w:space="0" w:color="auto"/>
            </w:tcBorders>
          </w:tcPr>
          <w:p w14:paraId="0A8A8E3F" w14:textId="77777777" w:rsidR="00B76A69" w:rsidRPr="00B76A69" w:rsidRDefault="00B76A69" w:rsidP="00B76A69">
            <w:pPr>
              <w:jc w:val="center"/>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b/>
                <w:bCs/>
                <w:sz w:val="20"/>
                <w:szCs w:val="20"/>
                <w:lang w:bidi="ar-IQ"/>
              </w:rPr>
            </w:pPr>
            <w:r w:rsidRPr="00B76A69">
              <w:rPr>
                <w:rFonts w:asciiTheme="majorBidi" w:eastAsia="Calibri" w:hAnsiTheme="majorBidi" w:cstheme="majorBidi"/>
                <w:b/>
                <w:bCs/>
                <w:sz w:val="20"/>
                <w:szCs w:val="20"/>
              </w:rPr>
              <w:t>ΔST</w:t>
            </w:r>
          </w:p>
        </w:tc>
        <w:tc>
          <w:tcPr>
            <w:tcW w:w="1441" w:type="dxa"/>
            <w:tcBorders>
              <w:top w:val="single" w:sz="4" w:space="0" w:color="auto"/>
            </w:tcBorders>
          </w:tcPr>
          <w:p w14:paraId="007FC708" w14:textId="77777777" w:rsidR="00B76A69" w:rsidRPr="00B76A69" w:rsidRDefault="00B76A69" w:rsidP="00B76A69">
            <w:pPr>
              <w:jc w:val="center"/>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b/>
                <w:bCs/>
                <w:sz w:val="20"/>
                <w:szCs w:val="20"/>
              </w:rPr>
            </w:pPr>
            <w:proofErr w:type="spellStart"/>
            <w:r w:rsidRPr="00B76A69">
              <w:rPr>
                <w:rFonts w:asciiTheme="majorBidi" w:eastAsia="Calibri" w:hAnsiTheme="majorBidi" w:cstheme="majorBidi"/>
                <w:b/>
                <w:bCs/>
                <w:sz w:val="20"/>
                <w:szCs w:val="20"/>
              </w:rPr>
              <w:t>E</w:t>
            </w:r>
            <w:r w:rsidRPr="00B76A69">
              <w:rPr>
                <w:rFonts w:asciiTheme="majorBidi" w:eastAsia="Calibri" w:hAnsiTheme="majorBidi" w:cstheme="majorBidi"/>
                <w:b/>
                <w:bCs/>
                <w:sz w:val="20"/>
                <w:szCs w:val="20"/>
                <w:vertAlign w:val="subscript"/>
              </w:rPr>
              <w:t>def</w:t>
            </w:r>
            <w:proofErr w:type="spellEnd"/>
          </w:p>
        </w:tc>
        <w:tc>
          <w:tcPr>
            <w:tcW w:w="1276" w:type="dxa"/>
            <w:tcBorders>
              <w:top w:val="single" w:sz="4" w:space="0" w:color="auto"/>
            </w:tcBorders>
          </w:tcPr>
          <w:p w14:paraId="41031D9A" w14:textId="77777777" w:rsidR="00B76A69" w:rsidRPr="00B76A69" w:rsidRDefault="00B76A69" w:rsidP="00B76A69">
            <w:pPr>
              <w:jc w:val="center"/>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b/>
                <w:bCs/>
                <w:sz w:val="20"/>
                <w:szCs w:val="20"/>
              </w:rPr>
            </w:pPr>
            <w:r w:rsidRPr="00B76A69">
              <w:rPr>
                <w:rFonts w:asciiTheme="majorBidi" w:eastAsia="Calibri" w:hAnsiTheme="majorBidi" w:cstheme="majorBidi"/>
                <w:b/>
                <w:bCs/>
                <w:sz w:val="20"/>
                <w:szCs w:val="20"/>
              </w:rPr>
              <w:t>E</w:t>
            </w:r>
            <w:r w:rsidRPr="00B76A69">
              <w:rPr>
                <w:rFonts w:asciiTheme="majorBidi" w:eastAsia="Calibri" w:hAnsiTheme="majorBidi" w:cstheme="majorBidi"/>
                <w:b/>
                <w:bCs/>
                <w:sz w:val="20"/>
                <w:szCs w:val="20"/>
                <w:vertAlign w:val="subscript"/>
              </w:rPr>
              <w:t>ads</w:t>
            </w:r>
          </w:p>
        </w:tc>
        <w:tc>
          <w:tcPr>
            <w:tcW w:w="1168" w:type="dxa"/>
            <w:tcBorders>
              <w:top w:val="single" w:sz="4" w:space="0" w:color="auto"/>
            </w:tcBorders>
          </w:tcPr>
          <w:p w14:paraId="2F93706B" w14:textId="77777777" w:rsidR="00B76A69" w:rsidRPr="00B76A69" w:rsidRDefault="00B76A69" w:rsidP="00B76A69">
            <w:pPr>
              <w:jc w:val="center"/>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b/>
                <w:bCs/>
                <w:sz w:val="20"/>
                <w:szCs w:val="20"/>
              </w:rPr>
            </w:pPr>
            <w:r w:rsidRPr="00B76A69">
              <w:rPr>
                <w:rFonts w:asciiTheme="majorBidi" w:eastAsia="Calibri" w:hAnsiTheme="majorBidi" w:cstheme="majorBidi"/>
                <w:b/>
                <w:bCs/>
                <w:sz w:val="20"/>
                <w:szCs w:val="20"/>
              </w:rPr>
              <w:t>E</w:t>
            </w:r>
            <w:r w:rsidRPr="00B76A69">
              <w:rPr>
                <w:rFonts w:asciiTheme="majorBidi" w:eastAsia="Calibri" w:hAnsiTheme="majorBidi" w:cstheme="majorBidi"/>
                <w:b/>
                <w:bCs/>
                <w:sz w:val="20"/>
                <w:szCs w:val="20"/>
                <w:vertAlign w:val="subscript"/>
              </w:rPr>
              <w:t>b</w:t>
            </w:r>
          </w:p>
        </w:tc>
      </w:tr>
      <w:tr w:rsidR="00B76A69" w:rsidRPr="00B76A69" w14:paraId="422E374E" w14:textId="77777777" w:rsidTr="003D13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5" w:type="dxa"/>
            <w:shd w:val="clear" w:color="auto" w:fill="auto"/>
          </w:tcPr>
          <w:p w14:paraId="009CD934" w14:textId="77777777" w:rsidR="00B76A69" w:rsidRPr="00B76A69" w:rsidRDefault="00B76A69" w:rsidP="00B76A69">
            <w:pPr>
              <w:jc w:val="center"/>
              <w:rPr>
                <w:rFonts w:asciiTheme="majorBidi" w:hAnsiTheme="majorBidi" w:cstheme="majorBidi"/>
                <w:sz w:val="20"/>
                <w:szCs w:val="20"/>
                <w:lang w:bidi="ar-IQ"/>
              </w:rPr>
            </w:pPr>
            <w:r w:rsidRPr="00B76A69">
              <w:rPr>
                <w:rFonts w:asciiTheme="majorBidi" w:hAnsiTheme="majorBidi" w:cstheme="majorBidi"/>
                <w:sz w:val="20"/>
                <w:szCs w:val="20"/>
              </w:rPr>
              <w:t>OHB</w:t>
            </w:r>
            <w:r w:rsidRPr="00B76A69">
              <w:rPr>
                <w:rFonts w:asciiTheme="majorBidi" w:hAnsiTheme="majorBidi" w:cstheme="majorBidi"/>
                <w:sz w:val="20"/>
              </w:rPr>
              <w:fldChar w:fldCharType="begin"/>
            </w:r>
            <w:r w:rsidRPr="00B76A69">
              <w:rPr>
                <w:rFonts w:asciiTheme="majorBidi" w:hAnsiTheme="majorBidi" w:cstheme="majorBidi"/>
                <w:sz w:val="20"/>
                <w:szCs w:val="20"/>
              </w:rPr>
              <w:instrText xml:space="preserve"> ADDIN EN.CITE &lt;EndNote&gt;&lt;Cite&gt;&lt;Author&gt;Jaber&lt;/Author&gt;&lt;Year&gt;2025&lt;/Year&gt;&lt;RecNum&gt;2&lt;/RecNum&gt;&lt;DisplayText&gt;[8]&lt;/DisplayText&gt;&lt;record&gt;&lt;rec-number&gt;2&lt;/rec-number&gt;&lt;foreign-keys&gt;&lt;key app="EN" db-id="w2zaxav5rs2t9nex55gvwwvmzzet52ztprd9" timestamp="1757778343"&gt;2&lt;/key&gt;&lt;/foreign-keys&gt;&lt;ref-type name="Conference Proceedings"&gt;10&lt;/ref-type&gt;&lt;contributors&gt;&lt;authors&gt;&lt;author&gt;Jaber, Shaymaa A&lt;/author&gt;&lt;author&gt;Kadhim, Bahjat B&lt;/author&gt;&lt;author&gt;Mohi, Ali Taher&lt;/author&gt;&lt;/authors&gt;&lt;/contributors&gt;&lt;titles&gt;&lt;title&gt;Simulation of interaction energy and thermodynamics properties of developed nano drug docking with glucose for the diabetes treatment&lt;/title&gt;&lt;secondary-title&gt;AIP Conference Proceedings&lt;/secondary-title&gt;&lt;/titles&gt;&lt;pages&gt;040020&lt;/pages&gt;&lt;volume&gt;3321&lt;/volume&gt;&lt;number&gt;1&lt;/number&gt;&lt;dates&gt;&lt;year&gt;2025&lt;/year&gt;&lt;/dates&gt;&lt;publisher&gt;AIP Publishing LLC&lt;/publisher&gt;&lt;isbn&gt;0094-243X&lt;/isbn&gt;&lt;urls&gt;&lt;/urls&gt;&lt;/record&gt;&lt;/Cite&gt;&lt;/EndNote&gt;</w:instrText>
            </w:r>
            <w:r w:rsidRPr="00B76A69">
              <w:rPr>
                <w:rFonts w:asciiTheme="majorBidi" w:hAnsiTheme="majorBidi" w:cstheme="majorBidi"/>
                <w:sz w:val="20"/>
              </w:rPr>
              <w:fldChar w:fldCharType="separate"/>
            </w:r>
            <w:r w:rsidRPr="00B76A69">
              <w:rPr>
                <w:rFonts w:asciiTheme="majorBidi" w:hAnsiTheme="majorBidi" w:cstheme="majorBidi"/>
                <w:noProof/>
                <w:sz w:val="20"/>
                <w:szCs w:val="20"/>
              </w:rPr>
              <w:t>[8]</w:t>
            </w:r>
            <w:r w:rsidRPr="00B76A69">
              <w:rPr>
                <w:rFonts w:asciiTheme="majorBidi" w:hAnsiTheme="majorBidi" w:cstheme="majorBidi"/>
                <w:sz w:val="20"/>
              </w:rPr>
              <w:fldChar w:fldCharType="end"/>
            </w:r>
          </w:p>
        </w:tc>
        <w:tc>
          <w:tcPr>
            <w:tcW w:w="830" w:type="dxa"/>
            <w:shd w:val="clear" w:color="auto" w:fill="auto"/>
          </w:tcPr>
          <w:p w14:paraId="1C453D91" w14:textId="77777777" w:rsidR="00B76A69" w:rsidRPr="00B76A69" w:rsidRDefault="00B76A69" w:rsidP="00B76A69">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B76A69">
              <w:rPr>
                <w:rFonts w:asciiTheme="majorBidi" w:hAnsiTheme="majorBidi" w:cstheme="majorBidi"/>
                <w:sz w:val="20"/>
                <w:szCs w:val="20"/>
              </w:rPr>
              <w:t>0.566</w:t>
            </w:r>
          </w:p>
        </w:tc>
        <w:tc>
          <w:tcPr>
            <w:tcW w:w="1014" w:type="dxa"/>
            <w:shd w:val="clear" w:color="auto" w:fill="auto"/>
          </w:tcPr>
          <w:p w14:paraId="27579475" w14:textId="77777777" w:rsidR="00B76A69" w:rsidRPr="00B76A69" w:rsidRDefault="00B76A69" w:rsidP="00B76A69">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B76A69">
              <w:rPr>
                <w:rFonts w:asciiTheme="majorBidi" w:hAnsiTheme="majorBidi" w:cstheme="majorBidi"/>
                <w:sz w:val="20"/>
                <w:szCs w:val="20"/>
              </w:rPr>
              <w:t>0.063</w:t>
            </w:r>
          </w:p>
        </w:tc>
        <w:tc>
          <w:tcPr>
            <w:tcW w:w="1014" w:type="dxa"/>
            <w:shd w:val="clear" w:color="auto" w:fill="auto"/>
          </w:tcPr>
          <w:p w14:paraId="65E714FF" w14:textId="77777777" w:rsidR="00B76A69" w:rsidRPr="00B76A69" w:rsidRDefault="00B76A69" w:rsidP="00B76A69">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B76A69">
              <w:rPr>
                <w:rFonts w:asciiTheme="majorBidi" w:hAnsiTheme="majorBidi" w:cstheme="majorBidi"/>
                <w:sz w:val="20"/>
                <w:szCs w:val="20"/>
              </w:rPr>
              <w:t>-0.502</w:t>
            </w:r>
          </w:p>
        </w:tc>
        <w:tc>
          <w:tcPr>
            <w:tcW w:w="1441" w:type="dxa"/>
            <w:shd w:val="clear" w:color="auto" w:fill="auto"/>
          </w:tcPr>
          <w:p w14:paraId="6D1D5D94" w14:textId="77777777" w:rsidR="00B76A69" w:rsidRPr="00B76A69" w:rsidRDefault="00B76A69" w:rsidP="00B76A69">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B76A69">
              <w:rPr>
                <w:rFonts w:asciiTheme="majorBidi" w:hAnsiTheme="majorBidi" w:cstheme="majorBidi"/>
                <w:sz w:val="20"/>
                <w:szCs w:val="20"/>
              </w:rPr>
              <w:t>-103458.6</w:t>
            </w:r>
          </w:p>
        </w:tc>
        <w:tc>
          <w:tcPr>
            <w:tcW w:w="1276" w:type="dxa"/>
            <w:shd w:val="clear" w:color="auto" w:fill="auto"/>
          </w:tcPr>
          <w:p w14:paraId="1A9BDE52" w14:textId="77777777" w:rsidR="00B76A69" w:rsidRPr="00B76A69" w:rsidRDefault="00B76A69" w:rsidP="00B76A69">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B76A69">
              <w:rPr>
                <w:rFonts w:asciiTheme="majorBidi" w:hAnsiTheme="majorBidi" w:cstheme="majorBidi"/>
                <w:sz w:val="20"/>
                <w:szCs w:val="20"/>
              </w:rPr>
              <w:t>-1.707</w:t>
            </w:r>
          </w:p>
        </w:tc>
        <w:tc>
          <w:tcPr>
            <w:tcW w:w="1168" w:type="dxa"/>
            <w:shd w:val="clear" w:color="auto" w:fill="auto"/>
          </w:tcPr>
          <w:p w14:paraId="68ACA476" w14:textId="186C8D39" w:rsidR="00B76A69" w:rsidRPr="00B76A69" w:rsidRDefault="00B76A69" w:rsidP="00F84598">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B76A69">
              <w:rPr>
                <w:rFonts w:asciiTheme="majorBidi" w:hAnsiTheme="majorBidi" w:cstheme="majorBidi"/>
                <w:sz w:val="20"/>
                <w:szCs w:val="20"/>
              </w:rPr>
              <w:t>187.452</w:t>
            </w:r>
          </w:p>
        </w:tc>
      </w:tr>
      <w:tr w:rsidR="00B76A69" w:rsidRPr="00B76A69" w14:paraId="16E57AC5" w14:textId="77777777" w:rsidTr="003D135D">
        <w:tc>
          <w:tcPr>
            <w:cnfStyle w:val="001000000000" w:firstRow="0" w:lastRow="0" w:firstColumn="1" w:lastColumn="0" w:oddVBand="0" w:evenVBand="0" w:oddHBand="0" w:evenHBand="0" w:firstRowFirstColumn="0" w:firstRowLastColumn="0" w:lastRowFirstColumn="0" w:lastRowLastColumn="0"/>
            <w:tcW w:w="2545" w:type="dxa"/>
          </w:tcPr>
          <w:p w14:paraId="020C8F85" w14:textId="77777777" w:rsidR="00B76A69" w:rsidRPr="00B76A69" w:rsidRDefault="00B76A69" w:rsidP="00B76A69">
            <w:pPr>
              <w:jc w:val="center"/>
              <w:rPr>
                <w:rFonts w:asciiTheme="majorBidi" w:hAnsiTheme="majorBidi" w:cstheme="majorBidi"/>
                <w:sz w:val="20"/>
                <w:szCs w:val="20"/>
                <w:lang w:bidi="ar-IQ"/>
              </w:rPr>
            </w:pPr>
            <w:bookmarkStart w:id="13" w:name="_Hlk208680272"/>
            <w:r w:rsidRPr="00B76A69">
              <w:rPr>
                <w:rFonts w:asciiTheme="majorBidi" w:hAnsiTheme="majorBidi" w:cstheme="majorBidi"/>
                <w:sz w:val="20"/>
                <w:szCs w:val="20"/>
              </w:rPr>
              <w:t>(CaTiO</w:t>
            </w:r>
            <w:r w:rsidRPr="00F84598">
              <w:rPr>
                <w:rFonts w:asciiTheme="majorBidi" w:hAnsiTheme="majorBidi" w:cstheme="majorBidi"/>
                <w:sz w:val="20"/>
                <w:szCs w:val="20"/>
                <w:vertAlign w:val="subscript"/>
              </w:rPr>
              <w:t>3</w:t>
            </w:r>
            <w:r w:rsidRPr="00B76A69">
              <w:rPr>
                <w:rFonts w:asciiTheme="majorBidi" w:hAnsiTheme="majorBidi" w:cstheme="majorBidi"/>
                <w:sz w:val="20"/>
                <w:szCs w:val="20"/>
              </w:rPr>
              <w:t>)</w:t>
            </w:r>
            <w:r w:rsidRPr="00F84598">
              <w:rPr>
                <w:rFonts w:asciiTheme="majorBidi" w:hAnsiTheme="majorBidi" w:cstheme="majorBidi"/>
                <w:sz w:val="20"/>
                <w:szCs w:val="20"/>
                <w:vertAlign w:val="subscript"/>
              </w:rPr>
              <w:t>2</w:t>
            </w:r>
            <w:r w:rsidRPr="00B76A69">
              <w:rPr>
                <w:rFonts w:asciiTheme="majorBidi" w:hAnsiTheme="majorBidi" w:cstheme="majorBidi"/>
                <w:sz w:val="20"/>
                <w:szCs w:val="20"/>
              </w:rPr>
              <w:t xml:space="preserve"> with DHB</w:t>
            </w:r>
            <w:bookmarkEnd w:id="13"/>
          </w:p>
        </w:tc>
        <w:tc>
          <w:tcPr>
            <w:tcW w:w="830" w:type="dxa"/>
          </w:tcPr>
          <w:p w14:paraId="36EA8F2C" w14:textId="77777777" w:rsidR="00B76A69" w:rsidRPr="00B76A69" w:rsidRDefault="00B76A69" w:rsidP="00B76A69">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B76A69">
              <w:rPr>
                <w:rFonts w:asciiTheme="majorBidi" w:hAnsiTheme="majorBidi" w:cstheme="majorBidi"/>
                <w:sz w:val="20"/>
                <w:szCs w:val="20"/>
              </w:rPr>
              <w:t>18.358</w:t>
            </w:r>
          </w:p>
        </w:tc>
        <w:tc>
          <w:tcPr>
            <w:tcW w:w="1014" w:type="dxa"/>
          </w:tcPr>
          <w:p w14:paraId="5F836B1E" w14:textId="77777777" w:rsidR="00B76A69" w:rsidRPr="00B76A69" w:rsidRDefault="00B76A69" w:rsidP="00B76A69">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B76A69">
              <w:rPr>
                <w:rFonts w:asciiTheme="majorBidi" w:hAnsiTheme="majorBidi" w:cstheme="majorBidi"/>
                <w:sz w:val="20"/>
                <w:szCs w:val="20"/>
              </w:rPr>
              <w:t>17.173</w:t>
            </w:r>
          </w:p>
        </w:tc>
        <w:tc>
          <w:tcPr>
            <w:tcW w:w="1014" w:type="dxa"/>
          </w:tcPr>
          <w:p w14:paraId="4FB15077" w14:textId="77777777" w:rsidR="00B76A69" w:rsidRPr="00B76A69" w:rsidRDefault="00B76A69" w:rsidP="00B76A69">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B76A69">
              <w:rPr>
                <w:rFonts w:asciiTheme="majorBidi" w:hAnsiTheme="majorBidi" w:cstheme="majorBidi"/>
                <w:sz w:val="20"/>
                <w:szCs w:val="20"/>
              </w:rPr>
              <w:t>-1.184</w:t>
            </w:r>
          </w:p>
        </w:tc>
        <w:tc>
          <w:tcPr>
            <w:tcW w:w="1441" w:type="dxa"/>
          </w:tcPr>
          <w:p w14:paraId="6068B4A7" w14:textId="77777777" w:rsidR="00B76A69" w:rsidRPr="00B76A69" w:rsidRDefault="00B76A69" w:rsidP="00B76A69">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B76A69">
              <w:rPr>
                <w:rFonts w:asciiTheme="majorBidi" w:hAnsiTheme="majorBidi" w:cstheme="majorBidi"/>
                <w:sz w:val="20"/>
                <w:szCs w:val="20"/>
              </w:rPr>
              <w:t>23162.7</w:t>
            </w:r>
          </w:p>
        </w:tc>
        <w:tc>
          <w:tcPr>
            <w:tcW w:w="1276" w:type="dxa"/>
          </w:tcPr>
          <w:p w14:paraId="2BE75930" w14:textId="77777777" w:rsidR="00B76A69" w:rsidRPr="00B76A69" w:rsidRDefault="00B76A69" w:rsidP="00B76A69">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B76A69">
              <w:rPr>
                <w:rFonts w:asciiTheme="majorBidi" w:hAnsiTheme="majorBidi" w:cstheme="majorBidi"/>
                <w:sz w:val="20"/>
                <w:szCs w:val="20"/>
              </w:rPr>
              <w:t>108967.473</w:t>
            </w:r>
          </w:p>
        </w:tc>
        <w:tc>
          <w:tcPr>
            <w:tcW w:w="1168" w:type="dxa"/>
          </w:tcPr>
          <w:p w14:paraId="65555D34" w14:textId="77777777" w:rsidR="00B76A69" w:rsidRPr="00B76A69" w:rsidRDefault="00B76A69" w:rsidP="00B76A69">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B76A69">
              <w:rPr>
                <w:rFonts w:asciiTheme="majorBidi" w:hAnsiTheme="majorBidi" w:cstheme="majorBidi"/>
                <w:sz w:val="20"/>
                <w:szCs w:val="20"/>
              </w:rPr>
              <w:t>-499.230</w:t>
            </w:r>
          </w:p>
        </w:tc>
      </w:tr>
      <w:tr w:rsidR="00B76A69" w:rsidRPr="00B76A69" w14:paraId="1210A32B" w14:textId="77777777" w:rsidTr="003D13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5" w:type="dxa"/>
            <w:shd w:val="clear" w:color="auto" w:fill="auto"/>
          </w:tcPr>
          <w:p w14:paraId="7CA39A19" w14:textId="77777777" w:rsidR="00B76A69" w:rsidRPr="00B76A69" w:rsidRDefault="00B76A69" w:rsidP="00B76A69">
            <w:pPr>
              <w:jc w:val="center"/>
              <w:rPr>
                <w:rFonts w:asciiTheme="majorBidi" w:hAnsiTheme="majorBidi" w:cstheme="majorBidi"/>
                <w:sz w:val="20"/>
                <w:szCs w:val="20"/>
                <w:lang w:bidi="ar-IQ"/>
              </w:rPr>
            </w:pPr>
            <w:r w:rsidRPr="00F84598">
              <w:rPr>
                <w:rFonts w:asciiTheme="majorBidi" w:hAnsiTheme="majorBidi" w:cstheme="majorBidi"/>
                <w:sz w:val="20"/>
                <w:szCs w:val="20"/>
                <w:vertAlign w:val="superscript"/>
              </w:rPr>
              <w:t>18</w:t>
            </w:r>
            <w:r w:rsidRPr="00B76A69">
              <w:rPr>
                <w:rFonts w:asciiTheme="majorBidi" w:hAnsiTheme="majorBidi" w:cstheme="majorBidi"/>
                <w:sz w:val="20"/>
                <w:szCs w:val="20"/>
              </w:rPr>
              <w:t>F-FDG with DHB</w:t>
            </w:r>
          </w:p>
        </w:tc>
        <w:tc>
          <w:tcPr>
            <w:tcW w:w="830" w:type="dxa"/>
            <w:shd w:val="clear" w:color="auto" w:fill="auto"/>
          </w:tcPr>
          <w:p w14:paraId="2B5BBCAD" w14:textId="77777777" w:rsidR="00B76A69" w:rsidRPr="00B76A69" w:rsidRDefault="00B76A69" w:rsidP="00B76A69">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B76A69">
              <w:rPr>
                <w:rFonts w:asciiTheme="majorBidi" w:hAnsiTheme="majorBidi" w:cstheme="majorBidi"/>
                <w:sz w:val="20"/>
                <w:szCs w:val="20"/>
              </w:rPr>
              <w:t>9.115</w:t>
            </w:r>
          </w:p>
        </w:tc>
        <w:tc>
          <w:tcPr>
            <w:tcW w:w="1014" w:type="dxa"/>
            <w:shd w:val="clear" w:color="auto" w:fill="auto"/>
          </w:tcPr>
          <w:p w14:paraId="7961FB9B" w14:textId="77777777" w:rsidR="00B76A69" w:rsidRPr="00B76A69" w:rsidRDefault="00B76A69" w:rsidP="00B76A69">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B76A69">
              <w:rPr>
                <w:rFonts w:asciiTheme="majorBidi" w:hAnsiTheme="majorBidi" w:cstheme="majorBidi"/>
                <w:sz w:val="20"/>
                <w:szCs w:val="20"/>
              </w:rPr>
              <w:t>2.710</w:t>
            </w:r>
          </w:p>
        </w:tc>
        <w:tc>
          <w:tcPr>
            <w:tcW w:w="1014" w:type="dxa"/>
            <w:shd w:val="clear" w:color="auto" w:fill="auto"/>
          </w:tcPr>
          <w:p w14:paraId="3EFE6371" w14:textId="77777777" w:rsidR="00B76A69" w:rsidRPr="00B76A69" w:rsidRDefault="00B76A69" w:rsidP="00B76A69">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B76A69">
              <w:rPr>
                <w:rFonts w:asciiTheme="majorBidi" w:hAnsiTheme="majorBidi" w:cstheme="majorBidi"/>
                <w:sz w:val="20"/>
                <w:szCs w:val="20"/>
              </w:rPr>
              <w:t>-6.405</w:t>
            </w:r>
          </w:p>
        </w:tc>
        <w:tc>
          <w:tcPr>
            <w:tcW w:w="1441" w:type="dxa"/>
            <w:shd w:val="clear" w:color="auto" w:fill="auto"/>
          </w:tcPr>
          <w:p w14:paraId="4039C2E3" w14:textId="77777777" w:rsidR="00B76A69" w:rsidRPr="00B76A69" w:rsidRDefault="00B76A69" w:rsidP="00B76A69">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B76A69">
              <w:rPr>
                <w:rFonts w:asciiTheme="majorBidi" w:hAnsiTheme="majorBidi" w:cstheme="majorBidi"/>
                <w:sz w:val="20"/>
                <w:szCs w:val="20"/>
              </w:rPr>
              <w:t>-56558.6</w:t>
            </w:r>
          </w:p>
        </w:tc>
        <w:tc>
          <w:tcPr>
            <w:tcW w:w="1276" w:type="dxa"/>
            <w:shd w:val="clear" w:color="auto" w:fill="auto"/>
          </w:tcPr>
          <w:p w14:paraId="02F65A55" w14:textId="77777777" w:rsidR="00B76A69" w:rsidRPr="00B76A69" w:rsidRDefault="00B76A69" w:rsidP="00B76A69">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B76A69">
              <w:rPr>
                <w:rFonts w:asciiTheme="majorBidi" w:hAnsiTheme="majorBidi" w:cstheme="majorBidi"/>
                <w:sz w:val="20"/>
                <w:szCs w:val="20"/>
              </w:rPr>
              <w:t>-41933.158</w:t>
            </w:r>
          </w:p>
        </w:tc>
        <w:tc>
          <w:tcPr>
            <w:tcW w:w="1168" w:type="dxa"/>
            <w:shd w:val="clear" w:color="auto" w:fill="auto"/>
          </w:tcPr>
          <w:p w14:paraId="3FF41684" w14:textId="77777777" w:rsidR="00B76A69" w:rsidRPr="00B76A69" w:rsidRDefault="00B76A69" w:rsidP="00B76A69">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B76A69">
              <w:rPr>
                <w:rFonts w:asciiTheme="majorBidi" w:hAnsiTheme="majorBidi" w:cstheme="majorBidi"/>
                <w:sz w:val="20"/>
                <w:szCs w:val="20"/>
              </w:rPr>
              <w:t>-74.417</w:t>
            </w:r>
          </w:p>
        </w:tc>
      </w:tr>
      <w:bookmarkEnd w:id="11"/>
      <w:tr w:rsidR="00B76A69" w:rsidRPr="00B76A69" w14:paraId="40064F63" w14:textId="77777777" w:rsidTr="003D135D">
        <w:tc>
          <w:tcPr>
            <w:cnfStyle w:val="001000000000" w:firstRow="0" w:lastRow="0" w:firstColumn="1" w:lastColumn="0" w:oddVBand="0" w:evenVBand="0" w:oddHBand="0" w:evenHBand="0" w:firstRowFirstColumn="0" w:firstRowLastColumn="0" w:lastRowFirstColumn="0" w:lastRowLastColumn="0"/>
            <w:tcW w:w="2545" w:type="dxa"/>
          </w:tcPr>
          <w:p w14:paraId="2350719A" w14:textId="77777777" w:rsidR="00B76A69" w:rsidRPr="00B76A69" w:rsidRDefault="00B76A69" w:rsidP="00B76A69">
            <w:pPr>
              <w:jc w:val="center"/>
              <w:rPr>
                <w:rFonts w:asciiTheme="majorBidi" w:hAnsiTheme="majorBidi" w:cstheme="majorBidi"/>
                <w:sz w:val="20"/>
                <w:szCs w:val="20"/>
                <w:lang w:bidi="ar-IQ"/>
              </w:rPr>
            </w:pPr>
            <w:r w:rsidRPr="00B76A69">
              <w:rPr>
                <w:rFonts w:asciiTheme="majorBidi" w:hAnsiTheme="majorBidi" w:cstheme="majorBidi"/>
                <w:sz w:val="20"/>
                <w:szCs w:val="20"/>
              </w:rPr>
              <w:t>Doxorubicin with Cancer</w:t>
            </w:r>
          </w:p>
        </w:tc>
        <w:tc>
          <w:tcPr>
            <w:tcW w:w="830" w:type="dxa"/>
          </w:tcPr>
          <w:p w14:paraId="6022F7A3" w14:textId="77777777" w:rsidR="00B76A69" w:rsidRPr="00B76A69" w:rsidRDefault="00B76A69" w:rsidP="00B76A69">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B76A69">
              <w:rPr>
                <w:rFonts w:asciiTheme="majorBidi" w:hAnsiTheme="majorBidi" w:cstheme="majorBidi"/>
                <w:sz w:val="20"/>
                <w:szCs w:val="20"/>
              </w:rPr>
              <w:t>1.748</w:t>
            </w:r>
          </w:p>
        </w:tc>
        <w:tc>
          <w:tcPr>
            <w:tcW w:w="1014" w:type="dxa"/>
          </w:tcPr>
          <w:p w14:paraId="38830820" w14:textId="77777777" w:rsidR="00B76A69" w:rsidRPr="00B76A69" w:rsidRDefault="00B76A69" w:rsidP="00B76A69">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B76A69">
              <w:rPr>
                <w:rFonts w:asciiTheme="majorBidi" w:hAnsiTheme="majorBidi" w:cstheme="majorBidi"/>
                <w:sz w:val="20"/>
                <w:szCs w:val="20"/>
              </w:rPr>
              <w:t>18.737</w:t>
            </w:r>
          </w:p>
        </w:tc>
        <w:tc>
          <w:tcPr>
            <w:tcW w:w="1014" w:type="dxa"/>
          </w:tcPr>
          <w:p w14:paraId="15DB7A49" w14:textId="77777777" w:rsidR="00B76A69" w:rsidRPr="00B76A69" w:rsidRDefault="00B76A69" w:rsidP="00B76A69">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B76A69">
              <w:rPr>
                <w:rFonts w:asciiTheme="majorBidi" w:hAnsiTheme="majorBidi" w:cstheme="majorBidi"/>
                <w:sz w:val="20"/>
                <w:szCs w:val="20"/>
              </w:rPr>
              <w:t>16.988</w:t>
            </w:r>
          </w:p>
        </w:tc>
        <w:tc>
          <w:tcPr>
            <w:tcW w:w="1441" w:type="dxa"/>
          </w:tcPr>
          <w:p w14:paraId="1FEF0103" w14:textId="77777777" w:rsidR="00B76A69" w:rsidRPr="00B76A69" w:rsidRDefault="00B76A69" w:rsidP="00B76A69">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B76A69">
              <w:rPr>
                <w:rFonts w:asciiTheme="majorBidi" w:hAnsiTheme="majorBidi" w:cstheme="majorBidi"/>
                <w:sz w:val="20"/>
                <w:szCs w:val="20"/>
              </w:rPr>
              <w:t>-105052.2</w:t>
            </w:r>
          </w:p>
        </w:tc>
        <w:tc>
          <w:tcPr>
            <w:tcW w:w="1276" w:type="dxa"/>
          </w:tcPr>
          <w:p w14:paraId="2F06964D" w14:textId="21CEDFCD" w:rsidR="00B76A69" w:rsidRPr="00B76A69" w:rsidRDefault="00B76A69" w:rsidP="00F8459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B76A69">
              <w:rPr>
                <w:rFonts w:asciiTheme="majorBidi" w:hAnsiTheme="majorBidi" w:cstheme="majorBidi"/>
                <w:sz w:val="20"/>
                <w:szCs w:val="20"/>
              </w:rPr>
              <w:t>27.162</w:t>
            </w:r>
          </w:p>
        </w:tc>
        <w:tc>
          <w:tcPr>
            <w:tcW w:w="1168" w:type="dxa"/>
          </w:tcPr>
          <w:p w14:paraId="2AC0C305" w14:textId="77777777" w:rsidR="00B76A69" w:rsidRPr="00B76A69" w:rsidRDefault="00B76A69" w:rsidP="00B76A69">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B76A69">
              <w:rPr>
                <w:rFonts w:asciiTheme="majorBidi" w:hAnsiTheme="majorBidi" w:cstheme="majorBidi"/>
                <w:sz w:val="20"/>
                <w:szCs w:val="20"/>
              </w:rPr>
              <w:t>4.948</w:t>
            </w:r>
          </w:p>
        </w:tc>
      </w:tr>
      <w:tr w:rsidR="00B76A69" w:rsidRPr="00B76A69" w14:paraId="626ECFD8" w14:textId="77777777" w:rsidTr="003D13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5" w:type="dxa"/>
            <w:shd w:val="clear" w:color="auto" w:fill="auto"/>
          </w:tcPr>
          <w:p w14:paraId="4D206820" w14:textId="77777777" w:rsidR="00B76A69" w:rsidRPr="00B76A69" w:rsidRDefault="00B76A69" w:rsidP="00B76A69">
            <w:pPr>
              <w:jc w:val="center"/>
              <w:rPr>
                <w:rFonts w:asciiTheme="majorBidi" w:hAnsiTheme="majorBidi" w:cstheme="majorBidi"/>
                <w:sz w:val="20"/>
                <w:szCs w:val="20"/>
                <w:lang w:bidi="ar-IQ"/>
              </w:rPr>
            </w:pPr>
            <w:r w:rsidRPr="00B76A69">
              <w:rPr>
                <w:rFonts w:asciiTheme="majorBidi" w:hAnsiTheme="majorBidi" w:cstheme="majorBidi"/>
                <w:sz w:val="20"/>
                <w:szCs w:val="20"/>
              </w:rPr>
              <w:t>Doxorubicin with (CaTiO</w:t>
            </w:r>
            <w:r w:rsidRPr="00F84598">
              <w:rPr>
                <w:rFonts w:asciiTheme="majorBidi" w:hAnsiTheme="majorBidi" w:cstheme="majorBidi"/>
                <w:sz w:val="20"/>
                <w:szCs w:val="20"/>
                <w:vertAlign w:val="subscript"/>
              </w:rPr>
              <w:t>3</w:t>
            </w:r>
            <w:r w:rsidRPr="00B76A69">
              <w:rPr>
                <w:rFonts w:asciiTheme="majorBidi" w:hAnsiTheme="majorBidi" w:cstheme="majorBidi"/>
                <w:sz w:val="20"/>
                <w:szCs w:val="20"/>
              </w:rPr>
              <w:t>)</w:t>
            </w:r>
            <w:r w:rsidRPr="00F84598">
              <w:rPr>
                <w:rFonts w:asciiTheme="majorBidi" w:hAnsiTheme="majorBidi" w:cstheme="majorBidi"/>
                <w:sz w:val="20"/>
                <w:szCs w:val="20"/>
                <w:vertAlign w:val="subscript"/>
              </w:rPr>
              <w:t>2</w:t>
            </w:r>
            <w:r w:rsidRPr="00B76A69">
              <w:rPr>
                <w:rFonts w:asciiTheme="majorBidi" w:hAnsiTheme="majorBidi" w:cstheme="majorBidi"/>
                <w:sz w:val="20"/>
                <w:szCs w:val="20"/>
              </w:rPr>
              <w:t xml:space="preserve"> with Cancer</w:t>
            </w:r>
          </w:p>
        </w:tc>
        <w:tc>
          <w:tcPr>
            <w:tcW w:w="830" w:type="dxa"/>
            <w:shd w:val="clear" w:color="auto" w:fill="auto"/>
          </w:tcPr>
          <w:p w14:paraId="6F476153" w14:textId="77777777" w:rsidR="00B76A69" w:rsidRPr="00B76A69" w:rsidRDefault="00B76A69" w:rsidP="00B76A69">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B76A69">
              <w:rPr>
                <w:rFonts w:asciiTheme="majorBidi" w:hAnsiTheme="majorBidi" w:cstheme="majorBidi"/>
                <w:sz w:val="20"/>
                <w:szCs w:val="20"/>
              </w:rPr>
              <w:t>0.550</w:t>
            </w:r>
          </w:p>
        </w:tc>
        <w:tc>
          <w:tcPr>
            <w:tcW w:w="1014" w:type="dxa"/>
            <w:shd w:val="clear" w:color="auto" w:fill="auto"/>
          </w:tcPr>
          <w:p w14:paraId="206D94DB" w14:textId="77777777" w:rsidR="00B76A69" w:rsidRPr="00B76A69" w:rsidRDefault="00B76A69" w:rsidP="00B76A69">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B76A69">
              <w:rPr>
                <w:rFonts w:asciiTheme="majorBidi" w:hAnsiTheme="majorBidi" w:cstheme="majorBidi"/>
                <w:sz w:val="20"/>
                <w:szCs w:val="20"/>
              </w:rPr>
              <w:t>-0.047</w:t>
            </w:r>
          </w:p>
        </w:tc>
        <w:tc>
          <w:tcPr>
            <w:tcW w:w="1014" w:type="dxa"/>
            <w:shd w:val="clear" w:color="auto" w:fill="auto"/>
          </w:tcPr>
          <w:p w14:paraId="26F45806" w14:textId="77777777" w:rsidR="00B76A69" w:rsidRPr="00B76A69" w:rsidRDefault="00B76A69" w:rsidP="00B76A69">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IQ"/>
              </w:rPr>
            </w:pPr>
            <w:r w:rsidRPr="00B76A69">
              <w:rPr>
                <w:rFonts w:asciiTheme="majorBidi" w:hAnsiTheme="majorBidi" w:cstheme="majorBidi"/>
                <w:sz w:val="20"/>
                <w:szCs w:val="20"/>
              </w:rPr>
              <w:t>4.172</w:t>
            </w:r>
          </w:p>
        </w:tc>
        <w:tc>
          <w:tcPr>
            <w:tcW w:w="1441" w:type="dxa"/>
            <w:shd w:val="clear" w:color="auto" w:fill="auto"/>
          </w:tcPr>
          <w:p w14:paraId="06E19614" w14:textId="77777777" w:rsidR="00B76A69" w:rsidRPr="00B76A69" w:rsidRDefault="00B76A69" w:rsidP="00B76A69">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B76A69">
              <w:rPr>
                <w:rFonts w:asciiTheme="majorBidi" w:hAnsiTheme="majorBidi" w:cstheme="majorBidi"/>
                <w:sz w:val="20"/>
                <w:szCs w:val="20"/>
              </w:rPr>
              <w:t>-44642.3</w:t>
            </w:r>
          </w:p>
        </w:tc>
        <w:tc>
          <w:tcPr>
            <w:tcW w:w="1276" w:type="dxa"/>
            <w:shd w:val="clear" w:color="auto" w:fill="auto"/>
          </w:tcPr>
          <w:p w14:paraId="17474413" w14:textId="77777777" w:rsidR="00B76A69" w:rsidRPr="00B76A69" w:rsidRDefault="00B76A69" w:rsidP="00B76A69">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B76A69">
              <w:rPr>
                <w:rFonts w:asciiTheme="majorBidi" w:hAnsiTheme="majorBidi" w:cstheme="majorBidi"/>
                <w:sz w:val="20"/>
                <w:szCs w:val="20"/>
              </w:rPr>
              <w:t>77921.960</w:t>
            </w:r>
          </w:p>
        </w:tc>
        <w:tc>
          <w:tcPr>
            <w:tcW w:w="1168" w:type="dxa"/>
            <w:shd w:val="clear" w:color="auto" w:fill="auto"/>
          </w:tcPr>
          <w:p w14:paraId="240B5955" w14:textId="77777777" w:rsidR="00B76A69" w:rsidRPr="00B76A69" w:rsidRDefault="00B76A69" w:rsidP="00B76A69">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r w:rsidRPr="00B76A69">
              <w:rPr>
                <w:rFonts w:asciiTheme="majorBidi" w:hAnsiTheme="majorBidi" w:cstheme="majorBidi"/>
                <w:sz w:val="20"/>
                <w:szCs w:val="20"/>
              </w:rPr>
              <w:t>-260.049</w:t>
            </w:r>
          </w:p>
        </w:tc>
      </w:tr>
      <w:tr w:rsidR="00B76A69" w:rsidRPr="00B76A69" w14:paraId="40AA565A" w14:textId="77777777" w:rsidTr="003D135D">
        <w:tc>
          <w:tcPr>
            <w:cnfStyle w:val="001000000000" w:firstRow="0" w:lastRow="0" w:firstColumn="1" w:lastColumn="0" w:oddVBand="0" w:evenVBand="0" w:oddHBand="0" w:evenHBand="0" w:firstRowFirstColumn="0" w:firstRowLastColumn="0" w:lastRowFirstColumn="0" w:lastRowLastColumn="0"/>
            <w:tcW w:w="2545" w:type="dxa"/>
          </w:tcPr>
          <w:p w14:paraId="502873A0" w14:textId="77777777" w:rsidR="00B76A69" w:rsidRPr="00B76A69" w:rsidRDefault="00B76A69" w:rsidP="00B76A69">
            <w:pPr>
              <w:jc w:val="center"/>
              <w:rPr>
                <w:rFonts w:asciiTheme="majorBidi" w:hAnsiTheme="majorBidi" w:cstheme="majorBidi"/>
                <w:sz w:val="20"/>
                <w:szCs w:val="20"/>
                <w:lang w:bidi="ar-IQ"/>
              </w:rPr>
            </w:pPr>
            <w:r w:rsidRPr="00B76A69">
              <w:rPr>
                <w:rFonts w:asciiTheme="majorBidi" w:hAnsiTheme="majorBidi" w:cstheme="majorBidi"/>
                <w:sz w:val="20"/>
                <w:szCs w:val="20"/>
              </w:rPr>
              <w:t xml:space="preserve">Doxorubicin with </w:t>
            </w:r>
            <w:r w:rsidRPr="00F84598">
              <w:rPr>
                <w:rFonts w:asciiTheme="majorBidi" w:hAnsiTheme="majorBidi" w:cstheme="majorBidi"/>
                <w:sz w:val="20"/>
                <w:szCs w:val="20"/>
                <w:vertAlign w:val="superscript"/>
              </w:rPr>
              <w:t>18</w:t>
            </w:r>
            <w:r w:rsidRPr="00B76A69">
              <w:rPr>
                <w:rFonts w:asciiTheme="majorBidi" w:hAnsiTheme="majorBidi" w:cstheme="majorBidi"/>
                <w:sz w:val="20"/>
                <w:szCs w:val="20"/>
              </w:rPr>
              <w:t>F-FDG with Cancer</w:t>
            </w:r>
          </w:p>
        </w:tc>
        <w:tc>
          <w:tcPr>
            <w:tcW w:w="830" w:type="dxa"/>
          </w:tcPr>
          <w:p w14:paraId="3AE89904" w14:textId="77777777" w:rsidR="00B76A69" w:rsidRPr="00B76A69" w:rsidRDefault="00B76A69" w:rsidP="00B76A69">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B76A69">
              <w:rPr>
                <w:rFonts w:asciiTheme="majorBidi" w:hAnsiTheme="majorBidi" w:cstheme="majorBidi"/>
                <w:sz w:val="20"/>
                <w:szCs w:val="20"/>
              </w:rPr>
              <w:t>0.732</w:t>
            </w:r>
          </w:p>
        </w:tc>
        <w:tc>
          <w:tcPr>
            <w:tcW w:w="1014" w:type="dxa"/>
          </w:tcPr>
          <w:p w14:paraId="08430AC5" w14:textId="77777777" w:rsidR="00B76A69" w:rsidRPr="00B76A69" w:rsidRDefault="00B76A69" w:rsidP="00B76A69">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B76A69">
              <w:rPr>
                <w:rFonts w:asciiTheme="majorBidi" w:hAnsiTheme="majorBidi" w:cstheme="majorBidi"/>
                <w:sz w:val="20"/>
                <w:szCs w:val="20"/>
              </w:rPr>
              <w:t>3.455</w:t>
            </w:r>
          </w:p>
        </w:tc>
        <w:tc>
          <w:tcPr>
            <w:tcW w:w="1014" w:type="dxa"/>
          </w:tcPr>
          <w:p w14:paraId="0F00D2A7" w14:textId="77777777" w:rsidR="00B76A69" w:rsidRPr="00B76A69" w:rsidRDefault="00B76A69" w:rsidP="00B76A69">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lang w:bidi="ar-IQ"/>
              </w:rPr>
            </w:pPr>
            <w:r w:rsidRPr="00B76A69">
              <w:rPr>
                <w:rFonts w:asciiTheme="majorBidi" w:hAnsiTheme="majorBidi" w:cstheme="majorBidi"/>
                <w:sz w:val="20"/>
                <w:szCs w:val="20"/>
              </w:rPr>
              <w:t>2.722</w:t>
            </w:r>
          </w:p>
        </w:tc>
        <w:tc>
          <w:tcPr>
            <w:tcW w:w="1441" w:type="dxa"/>
          </w:tcPr>
          <w:p w14:paraId="2D9E1527" w14:textId="77777777" w:rsidR="00B76A69" w:rsidRPr="00B76A69" w:rsidRDefault="00B76A69" w:rsidP="00B76A69">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B76A69">
              <w:rPr>
                <w:rFonts w:asciiTheme="majorBidi" w:hAnsiTheme="majorBidi" w:cstheme="majorBidi"/>
                <w:sz w:val="20"/>
                <w:szCs w:val="20"/>
              </w:rPr>
              <w:t>-124388.7</w:t>
            </w:r>
          </w:p>
        </w:tc>
        <w:tc>
          <w:tcPr>
            <w:tcW w:w="1276" w:type="dxa"/>
          </w:tcPr>
          <w:p w14:paraId="249E53C2" w14:textId="77777777" w:rsidR="00B76A69" w:rsidRPr="00B76A69" w:rsidRDefault="00B76A69" w:rsidP="00B76A69">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B76A69">
              <w:rPr>
                <w:rFonts w:asciiTheme="majorBidi" w:hAnsiTheme="majorBidi" w:cstheme="majorBidi"/>
                <w:sz w:val="20"/>
                <w:szCs w:val="20"/>
              </w:rPr>
              <w:t>7.869</w:t>
            </w:r>
          </w:p>
        </w:tc>
        <w:tc>
          <w:tcPr>
            <w:tcW w:w="1168" w:type="dxa"/>
          </w:tcPr>
          <w:p w14:paraId="6900041A" w14:textId="77777777" w:rsidR="00B76A69" w:rsidRPr="00B76A69" w:rsidRDefault="00B76A69" w:rsidP="00B76A69">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0"/>
                <w:szCs w:val="20"/>
              </w:rPr>
            </w:pPr>
            <w:r w:rsidRPr="00B76A69">
              <w:rPr>
                <w:rFonts w:asciiTheme="majorBidi" w:hAnsiTheme="majorBidi" w:cstheme="majorBidi"/>
                <w:sz w:val="20"/>
                <w:szCs w:val="20"/>
              </w:rPr>
              <w:t>16725.602</w:t>
            </w:r>
          </w:p>
        </w:tc>
      </w:tr>
    </w:tbl>
    <w:bookmarkEnd w:id="12"/>
    <w:p w14:paraId="2C02EB28" w14:textId="77777777" w:rsidR="000455DC" w:rsidRPr="00504C8D" w:rsidRDefault="00C74E28" w:rsidP="0062475B">
      <w:pPr>
        <w:pStyle w:val="Heading1"/>
        <w:shd w:val="clear" w:color="auto" w:fill="FFFFFF" w:themeFill="background1"/>
        <w:rPr>
          <w:rFonts w:eastAsia="Calibri"/>
        </w:rPr>
      </w:pPr>
      <w:r w:rsidRPr="00504C8D">
        <w:rPr>
          <w:rFonts w:eastAsia="Calibri"/>
        </w:rPr>
        <w:lastRenderedPageBreak/>
        <w:t>Conclusion</w:t>
      </w:r>
    </w:p>
    <w:p w14:paraId="7B0858CF" w14:textId="29C5135C" w:rsidR="00712673" w:rsidRPr="00712673" w:rsidRDefault="00B76A69" w:rsidP="006F39E2">
      <w:pPr>
        <w:pStyle w:val="Paragraph"/>
        <w:rPr>
          <w:rFonts w:eastAsia="Calibri"/>
        </w:rPr>
      </w:pPr>
      <w:r w:rsidRPr="00B76A69">
        <w:rPr>
          <w:rFonts w:eastAsia="Calibri"/>
        </w:rPr>
        <w:t>The results of this theoretical study demonstrate that integrating the molecular docking of doxorubicin and the selected carriers (</w:t>
      </w:r>
      <w:r w:rsidRPr="003E38BD">
        <w:rPr>
          <w:rFonts w:eastAsia="Calibri"/>
          <w:vertAlign w:val="superscript"/>
        </w:rPr>
        <w:t>18</w:t>
      </w:r>
      <w:r w:rsidRPr="00B76A69">
        <w:rPr>
          <w:rFonts w:eastAsia="Calibri"/>
        </w:rPr>
        <w:t>F-FDG</w:t>
      </w:r>
      <w:r w:rsidR="00F84598">
        <w:rPr>
          <w:rFonts w:eastAsia="Calibri"/>
        </w:rPr>
        <w:t>)</w:t>
      </w:r>
      <w:r w:rsidRPr="00B76A69">
        <w:rPr>
          <w:rFonts w:eastAsia="Calibri"/>
        </w:rPr>
        <w:t xml:space="preserve"> and perovskite (CaTiO</w:t>
      </w:r>
      <w:r w:rsidR="00F84598">
        <w:rPr>
          <w:rFonts w:eastAsia="Calibri"/>
          <w:vertAlign w:val="subscript"/>
        </w:rPr>
        <w:t>3</w:t>
      </w:r>
      <w:r w:rsidRPr="00B76A69">
        <w:rPr>
          <w:rFonts w:eastAsia="Calibri"/>
        </w:rPr>
        <w:t>)</w:t>
      </w:r>
      <w:r w:rsidR="00F84598">
        <w:rPr>
          <w:rFonts w:eastAsia="Calibri"/>
          <w:vertAlign w:val="subscript"/>
        </w:rPr>
        <w:t>2</w:t>
      </w:r>
      <w:r w:rsidRPr="00B76A69">
        <w:rPr>
          <w:rFonts w:eastAsia="Calibri"/>
        </w:rPr>
        <w:t xml:space="preserve"> with a cancer model enabled a comprehensive assessment of the stability mechanisms and potential efficacy for intravenous delivery. Calculations revealed lower free energy values ​​upon incorporation compared to the drug alone, indicating closer interaction spontaneity and ensuring a higher level of biosafety. Thermal and structural analyses also revealed that docking the drug with </w:t>
      </w:r>
      <w:r w:rsidRPr="003E38BD">
        <w:rPr>
          <w:rFonts w:eastAsia="Calibri"/>
          <w:vertAlign w:val="superscript"/>
        </w:rPr>
        <w:t>18</w:t>
      </w:r>
      <w:r w:rsidRPr="00B76A69">
        <w:rPr>
          <w:rFonts w:eastAsia="Calibri"/>
        </w:rPr>
        <w:t xml:space="preserve">F-FDG achieves more stable and selective binding by reducing randomness and increasing structural regularity, while integrating it with perovskite enhances binding strength and electronic stability but may increase the cost of deformation and limit the ease of </w:t>
      </w:r>
      <w:proofErr w:type="spellStart"/>
      <w:r w:rsidRPr="00B76A69">
        <w:rPr>
          <w:rFonts w:eastAsia="Calibri"/>
        </w:rPr>
        <w:t>biorelease</w:t>
      </w:r>
      <w:proofErr w:type="spellEnd"/>
      <w:r w:rsidRPr="00B76A69">
        <w:rPr>
          <w:rFonts w:eastAsia="Calibri"/>
        </w:rPr>
        <w:t xml:space="preserve">. Optically, the integrating docking confirmed that both systems exhibit no absorption in the visible range, enhancing </w:t>
      </w:r>
      <w:proofErr w:type="spellStart"/>
      <w:r w:rsidRPr="00B76A69">
        <w:rPr>
          <w:rFonts w:eastAsia="Calibri"/>
        </w:rPr>
        <w:t>photosafety</w:t>
      </w:r>
      <w:proofErr w:type="spellEnd"/>
      <w:r w:rsidRPr="00B76A69">
        <w:rPr>
          <w:rFonts w:eastAsia="Calibri"/>
        </w:rPr>
        <w:t xml:space="preserve">, while the DOS spectra reflected a stable bandgap with a more pronounced electronic effect in the case of perovskite. Therefore, docking </w:t>
      </w:r>
      <w:r w:rsidRPr="003E38BD">
        <w:rPr>
          <w:rFonts w:eastAsia="Calibri"/>
          <w:vertAlign w:val="superscript"/>
        </w:rPr>
        <w:t>18</w:t>
      </w:r>
      <w:r w:rsidRPr="00B76A69">
        <w:rPr>
          <w:rFonts w:eastAsia="Calibri"/>
        </w:rPr>
        <w:t>F-FDG with a drug is an ideal option for safe and targeted intravenous delivery, while (CaTiO</w:t>
      </w:r>
      <w:r w:rsidR="00F84598">
        <w:rPr>
          <w:rFonts w:eastAsia="Calibri"/>
          <w:vertAlign w:val="subscript"/>
        </w:rPr>
        <w:t>3</w:t>
      </w:r>
      <w:r w:rsidRPr="00B76A69">
        <w:rPr>
          <w:rFonts w:eastAsia="Calibri"/>
        </w:rPr>
        <w:t>)</w:t>
      </w:r>
      <w:r w:rsidRPr="00B76A69">
        <w:rPr>
          <w:rFonts w:eastAsia="Calibri"/>
          <w:vertAlign w:val="subscript"/>
        </w:rPr>
        <w:t>2</w:t>
      </w:r>
      <w:r w:rsidRPr="00B76A69">
        <w:rPr>
          <w:rFonts w:eastAsia="Calibri"/>
        </w:rPr>
        <w:t xml:space="preserve"> is a suitable nanocarrier for long-term stabilization, provided the release process is controlled to achieve optimal therapeutic efficacy.</w:t>
      </w:r>
    </w:p>
    <w:p w14:paraId="78F94338" w14:textId="77777777" w:rsidR="00C74E28" w:rsidRDefault="00C74E28" w:rsidP="0062475B">
      <w:pPr>
        <w:pStyle w:val="Heading1"/>
        <w:shd w:val="clear" w:color="auto" w:fill="FFFFFF" w:themeFill="background1"/>
        <w:rPr>
          <w:rFonts w:eastAsia="Calibri"/>
        </w:rPr>
      </w:pPr>
      <w:r w:rsidRPr="00504C8D">
        <w:rPr>
          <w:rFonts w:eastAsia="Calibri"/>
        </w:rPr>
        <w:t>References</w:t>
      </w:r>
    </w:p>
    <w:p w14:paraId="7F32BA78" w14:textId="6CE5908F" w:rsidR="0030322E" w:rsidRPr="0030322E" w:rsidRDefault="00712673" w:rsidP="00BC1FE9">
      <w:pPr>
        <w:pStyle w:val="Reference"/>
      </w:pPr>
      <w:r w:rsidRPr="00626044">
        <w:rPr>
          <w:rFonts w:eastAsia="Calibri"/>
          <w:b/>
          <w:bCs/>
          <w:lang w:val="en-GB"/>
        </w:rPr>
        <w:fldChar w:fldCharType="begin"/>
      </w:r>
      <w:r w:rsidRPr="00712673">
        <w:rPr>
          <w:rFonts w:eastAsia="Calibri"/>
          <w:b/>
          <w:bCs/>
          <w:lang w:val="en-GB"/>
        </w:rPr>
        <w:instrText xml:space="preserve"> ADDIN EN.REFLIST </w:instrText>
      </w:r>
      <w:r w:rsidRPr="00626044">
        <w:rPr>
          <w:rFonts w:eastAsia="Calibri"/>
          <w:b/>
          <w:bCs/>
          <w:lang w:val="en-GB"/>
        </w:rPr>
        <w:fldChar w:fldCharType="separate"/>
      </w:r>
      <w:r w:rsidR="0030322E" w:rsidRPr="0030322E">
        <w:t>M.S. Razavi, F. Ahmadi, P. Ebrahimnejad, A. Akbarzadeh, M. Farokhrou, A. Nokhodchi, Harnessing nanotechnology for optimized herbal cancer treatment: A comprehensive review of nanoscale drug delivery systems, Pharmaceutical Sciences 30(2) (2024) 153-186.</w:t>
      </w:r>
    </w:p>
    <w:p w14:paraId="25D1E87F" w14:textId="1E3D7931" w:rsidR="0030322E" w:rsidRPr="0030322E" w:rsidRDefault="0030322E" w:rsidP="00BC1FE9">
      <w:pPr>
        <w:pStyle w:val="Reference"/>
      </w:pPr>
      <w:r w:rsidRPr="0030322E">
        <w:t>K. Shen, B. Liu, X. Zhou, Y. Ji, L. Chen, Q. Wang, W. Xue, The evolving role of 18F-FDG PET/CT in diagnosis and prognosis prediction in progressive prostate cancer, Frontiers in oncology 11 (2021) 683793.</w:t>
      </w:r>
    </w:p>
    <w:p w14:paraId="58BDBF3D" w14:textId="7E9C7362" w:rsidR="0030322E" w:rsidRPr="0030322E" w:rsidRDefault="0030322E" w:rsidP="00BC1FE9">
      <w:pPr>
        <w:pStyle w:val="Reference"/>
      </w:pPr>
      <w:r w:rsidRPr="0030322E">
        <w:t>J.W. Fletcher, B. Djulbegovic, H.P. Soares, B.A. Siegel, V.J. Lowe, G.H. Lyman, R.E. Coleman, R. Wahl, J.C. Paschold, N. Avril, Recommendations on the use of 18F-FDG PET in oncology, Journal of Nuclear Medicine 49(3) (2008) 480-508.</w:t>
      </w:r>
    </w:p>
    <w:p w14:paraId="18F36B62" w14:textId="1C927659" w:rsidR="0030322E" w:rsidRPr="0030322E" w:rsidRDefault="0030322E" w:rsidP="00BC1FE9">
      <w:pPr>
        <w:pStyle w:val="Reference"/>
      </w:pPr>
      <w:r w:rsidRPr="0030322E">
        <w:t>S. Ben-Haim, P. Ell, 18F-FDG PET and PET/CT in the evaluation of cancer treatment response, Journal of Nuclear Medicine 50(1) (2009) 88-99.</w:t>
      </w:r>
    </w:p>
    <w:p w14:paraId="30C1D575" w14:textId="598BD1A9" w:rsidR="0030322E" w:rsidRPr="0030322E" w:rsidRDefault="0030322E" w:rsidP="00BC1FE9">
      <w:pPr>
        <w:pStyle w:val="Reference"/>
      </w:pPr>
      <w:r w:rsidRPr="0030322E">
        <w:t>T. Sivakumaran, A. Cardin, J. Callahan, H.-l. Wong, R.W. Tothill, R.J. Hicks, L.R. Mileshkin, Evaluating the Utility of 18F-FDG PET/CT in Cancer of Unknown Primary, Journal of Nuclear Medicine 65(10) (2024) 1557-1563.</w:t>
      </w:r>
    </w:p>
    <w:p w14:paraId="3BB62E4B" w14:textId="079B4CFD" w:rsidR="0030322E" w:rsidRPr="0030322E" w:rsidRDefault="0030322E" w:rsidP="00BC1FE9">
      <w:pPr>
        <w:pStyle w:val="Reference"/>
      </w:pPr>
      <w:r w:rsidRPr="0030322E">
        <w:t>L. Cerón-Urbano, C.J. Aguilar, J.E. Diosa, E. Mosquera-Vargas, Nanoparticles of the perovskite-structure CaTiO</w:t>
      </w:r>
      <w:r w:rsidRPr="00F272BF">
        <w:rPr>
          <w:vertAlign w:val="subscript"/>
        </w:rPr>
        <w:t>3</w:t>
      </w:r>
      <w:r w:rsidRPr="0030322E">
        <w:t xml:space="preserve"> system: the synthesis, characterization, and evaluation of its photocatalytic capacity to degrade emerging pollutants, Nanomaterials 13(22) (2023) 2967.</w:t>
      </w:r>
    </w:p>
    <w:p w14:paraId="6EBFEABD" w14:textId="1616A307" w:rsidR="0030322E" w:rsidRPr="0030322E" w:rsidRDefault="0030322E" w:rsidP="00BC1FE9">
      <w:pPr>
        <w:pStyle w:val="Reference"/>
      </w:pPr>
      <w:r w:rsidRPr="0030322E">
        <w:t>C. Zhou, W. Guo, J. Fan, N. Shi, Y. Zhao, X. Yang, Z. Ding, M. Han, W. Huang, Recent advances and future perspectives of Ruddlesden–Popper perovskite oxides electrolytes for all</w:t>
      </w:r>
      <w:r w:rsidRPr="0030322E">
        <w:rPr>
          <w:rFonts w:ascii="Cambria Math" w:hAnsi="Cambria Math" w:cs="Cambria Math"/>
        </w:rPr>
        <w:t>‐</w:t>
      </w:r>
      <w:r w:rsidRPr="0030322E">
        <w:t>solid</w:t>
      </w:r>
      <w:r w:rsidRPr="0030322E">
        <w:rPr>
          <w:rFonts w:ascii="Cambria Math" w:hAnsi="Cambria Math" w:cs="Cambria Math"/>
        </w:rPr>
        <w:t>‐</w:t>
      </w:r>
      <w:r w:rsidRPr="0030322E">
        <w:t>state batteries, InfoMat 6(8) (2024) e12563.</w:t>
      </w:r>
    </w:p>
    <w:p w14:paraId="638B7A0E" w14:textId="06BC0F94" w:rsidR="0030322E" w:rsidRPr="0030322E" w:rsidRDefault="0030322E" w:rsidP="00BC1FE9">
      <w:pPr>
        <w:pStyle w:val="Reference"/>
      </w:pPr>
      <w:r w:rsidRPr="0030322E">
        <w:t>S.A. Jaber, B.B. Kadhim, A.T. Mohi, Simulation of interaction energy and thermodynamics properties of developed nano drug docking with glucose for the diabetes treatment, AIP Conference Proceedings, AIP Publishing LLC, 2025, p. 040020.</w:t>
      </w:r>
    </w:p>
    <w:p w14:paraId="4F5E46EC" w14:textId="6BCC20C0" w:rsidR="0030322E" w:rsidRPr="0030322E" w:rsidRDefault="0030322E" w:rsidP="00BC1FE9">
      <w:pPr>
        <w:pStyle w:val="Reference"/>
      </w:pPr>
      <w:r w:rsidRPr="0030322E">
        <w:t>Y. Chen, Unraveling the influence mechanisms of different substituents on the chemical activity of N-heterocyclic phosphines via theoretical calculations, Journal of Molecular Modeling 31(6) (2025) 166.</w:t>
      </w:r>
    </w:p>
    <w:p w14:paraId="5AF07174" w14:textId="52546E46" w:rsidR="0030322E" w:rsidRPr="0030322E" w:rsidRDefault="0030322E" w:rsidP="00BC1FE9">
      <w:pPr>
        <w:pStyle w:val="Reference"/>
      </w:pPr>
      <w:r w:rsidRPr="0030322E">
        <w:t>F. Jensen, Introduction to computational chemistry, John wiley &amp; sons2017.</w:t>
      </w:r>
    </w:p>
    <w:p w14:paraId="2C36AA92" w14:textId="75A2D2C8" w:rsidR="0030322E" w:rsidRPr="0030322E" w:rsidRDefault="0030322E" w:rsidP="00BC1FE9">
      <w:pPr>
        <w:pStyle w:val="Reference"/>
      </w:pPr>
      <w:r w:rsidRPr="0030322E">
        <w:t>S. Mahmoudi, M.M. Dehkordi, M.H. Asgarshamsi, Density functional theory studies of the antioxidants—a review, Journal of Molecular Modeling 27(9) (2021) 271.</w:t>
      </w:r>
    </w:p>
    <w:p w14:paraId="7C3DAD7C" w14:textId="1A9B9333" w:rsidR="0030322E" w:rsidRPr="0030322E" w:rsidRDefault="0030322E" w:rsidP="00BC1FE9">
      <w:pPr>
        <w:pStyle w:val="Reference"/>
      </w:pPr>
      <w:r w:rsidRPr="0030322E">
        <w:t>M. Sathish, L. Rajasekaran, D. Shanthi, N. Kanagathara, S. Sarala, S. Muthu, Spectroscopic (FT-IR, FT-Raman, UV-Vis) molecular structure, electronic, molecular docking, and thermodynamic investigations of indole-3-carboxylic acid by DFT method, Journal of Molecular Structure 1234 (2021) 130182.</w:t>
      </w:r>
    </w:p>
    <w:p w14:paraId="7C2F02D5" w14:textId="4CB0B9AB" w:rsidR="0030322E" w:rsidRPr="0030322E" w:rsidRDefault="0030322E" w:rsidP="00BC1FE9">
      <w:pPr>
        <w:pStyle w:val="Reference"/>
      </w:pPr>
      <w:r w:rsidRPr="0030322E">
        <w:t>M.A. Rahman, S. Rejve, M.R.A. Niloy, M. Afsari, U.H. Sawon, F. Akter, R.A. Miah, M.B. Hasan, M. Uzzaman, Thermochemical, spectral and biological activity prediction of some methylpyridine derivatives: a computational approach, Discover Chemistry 2(1) (2025) 1-18.</w:t>
      </w:r>
    </w:p>
    <w:p w14:paraId="0EFA37EB" w14:textId="43426488" w:rsidR="0030322E" w:rsidRPr="0030322E" w:rsidRDefault="0030322E" w:rsidP="00BC1FE9">
      <w:pPr>
        <w:pStyle w:val="Reference"/>
      </w:pPr>
      <w:r w:rsidRPr="0030322E">
        <w:t>Z. Mahdavifar, R. Moridzadeh, Theoretical prediction of encapsulation and adsorption of platinum-anticancer drugs into single walled boron nitride and carbon nanotubes, Journal of Inclusion Phenomena and Macrocyclic Chemistry 79(3) (2014) 443-457.</w:t>
      </w:r>
    </w:p>
    <w:p w14:paraId="7EF2D529" w14:textId="71735153" w:rsidR="0030322E" w:rsidRPr="0030322E" w:rsidRDefault="0030322E" w:rsidP="00BC1FE9">
      <w:pPr>
        <w:pStyle w:val="Reference"/>
      </w:pPr>
      <w:r w:rsidRPr="0030322E">
        <w:lastRenderedPageBreak/>
        <w:t>S.A. Jaber, B.B. Kadhim, A.T. Mohi, Simulation investigations of thermodynamic properties for silica nanoparticles and voxelotor docking effect with hemoglobin for sickle cell disease, AIP Conference Proceedings, AIP Publishing LLC, 2024, p. 110006.</w:t>
      </w:r>
    </w:p>
    <w:p w14:paraId="24178551" w14:textId="51D5A804" w:rsidR="0030322E" w:rsidRPr="0030322E" w:rsidRDefault="0030322E" w:rsidP="00BC1FE9">
      <w:pPr>
        <w:pStyle w:val="Reference"/>
      </w:pPr>
      <w:r w:rsidRPr="0030322E">
        <w:t>K. Gayathri, R. Vidya, Carbon nanomaterials as carriers for the anti-cancer drug doxorubicin: a review on theoretical and experimental studies, Nanoscale Advances 6(16) (2024) 3992-4014.</w:t>
      </w:r>
    </w:p>
    <w:p w14:paraId="77B685AC" w14:textId="3B2DC2A3" w:rsidR="0030322E" w:rsidRPr="0030322E" w:rsidRDefault="0030322E" w:rsidP="00BC1FE9">
      <w:pPr>
        <w:pStyle w:val="Reference"/>
      </w:pPr>
      <w:r w:rsidRPr="0030322E">
        <w:t>N. Maisuradze, S. Kekutia, J. Markhulia, T. Tsertsvadze, V. Mikelashvili, L. Saneblidze, N. Chkhaidze, Z.E. Horváth, L. Almásy, N. Mitskevichi, Characteristics and Antitumor Activity of Doxorubicin-Loaded Multifunctional Iron Oxide Nanoparticles in MEC1 and RM1 Cell Lines, Journal of Functional Biomaterials 15(12) (2024) 364.</w:t>
      </w:r>
    </w:p>
    <w:p w14:paraId="30E1A68D" w14:textId="1F996B45" w:rsidR="0030322E" w:rsidRPr="0030322E" w:rsidRDefault="003345FF" w:rsidP="00BC1FE9">
      <w:pPr>
        <w:pStyle w:val="Reference"/>
      </w:pPr>
      <w:r w:rsidRPr="003345FF">
        <w:t>A. Zegaoui, M. Aillerie, P. Petit, J.-P. Sawicki, A. Jaafar, C. Salame, and J.-P. Charles, “Comparison of two common maximum power point trackers by simulating PV generators,” Energy Procedia 6, 678–687 (2011).</w:t>
      </w:r>
      <w:r w:rsidR="0030322E" w:rsidRPr="0030322E">
        <w:t>.</w:t>
      </w:r>
    </w:p>
    <w:p w14:paraId="2C3683CA" w14:textId="6C0F3A7C" w:rsidR="0030322E" w:rsidRPr="0030322E" w:rsidRDefault="0030322E" w:rsidP="00BC1FE9">
      <w:pPr>
        <w:pStyle w:val="Reference"/>
      </w:pPr>
      <w:r w:rsidRPr="0030322E">
        <w:t xml:space="preserve">S. Pieper, H. Onafuye, D. Mulac, J. Cinatl Jr, M.N. Wass, M. Michaelis, K. Langer, Incorporation of doxorubicin in different polymer nanoparticles and their anticancer activity, Beilstein </w:t>
      </w:r>
      <w:r w:rsidR="003345FF">
        <w:t>Journal</w:t>
      </w:r>
      <w:r w:rsidRPr="0030322E">
        <w:t xml:space="preserve"> of </w:t>
      </w:r>
      <w:r w:rsidR="003345FF">
        <w:t>Nanotechnology</w:t>
      </w:r>
      <w:r w:rsidRPr="0030322E">
        <w:t xml:space="preserve"> 10(1) (2019) 2062-2072.</w:t>
      </w:r>
    </w:p>
    <w:p w14:paraId="71461660" w14:textId="1E166F58" w:rsidR="0030322E" w:rsidRPr="00577251" w:rsidRDefault="00577251" w:rsidP="00BC1FE9">
      <w:pPr>
        <w:pStyle w:val="Reference"/>
      </w:pPr>
      <w:r w:rsidRPr="00577251">
        <w:t>Al-Khafaji, R.S.A., Jasim, K.A., Dependence microstructure specifications of earth metal lanthanum La substituted on cation vacancies, AIMS Materials Science, 2021, 8(4), pp. 550–559</w:t>
      </w:r>
      <w:r w:rsidR="0030322E" w:rsidRPr="00577251">
        <w:t>.</w:t>
      </w:r>
    </w:p>
    <w:p w14:paraId="05525546" w14:textId="7BEA2221" w:rsidR="0030322E" w:rsidRPr="0030322E" w:rsidRDefault="00577251" w:rsidP="00BC1FE9">
      <w:pPr>
        <w:pStyle w:val="Reference"/>
      </w:pPr>
      <w:r w:rsidRPr="00577251">
        <w:t>Kadhim, B.B., Khaleel, I.H., Hussein, B.H., ...Al-Maiyaly, B.K.H., Mahdi, S.H., Effect of gamma irradiation on the superconducting properties, AIP Conference Proceedings, 2018, 1968, 030054.</w:t>
      </w:r>
      <w:r w:rsidR="0030322E" w:rsidRPr="0030322E">
        <w:t>.</w:t>
      </w:r>
    </w:p>
    <w:p w14:paraId="4771E850" w14:textId="69F85812" w:rsidR="0030322E" w:rsidRPr="0030322E" w:rsidRDefault="0030322E" w:rsidP="00BC1FE9">
      <w:pPr>
        <w:pStyle w:val="Reference"/>
      </w:pPr>
      <w:r w:rsidRPr="0030322E">
        <w:t>B. Jachimska, M. Goncerz, P. Wolski, C. Meldrum, Ł. Lustyk, T. Panczyk, Theoretical and Experimental Analyses of the Interfacial Mechanism of Dendrimer–Doxorubicin Complexes Formation, Molecular Pharmaceutics 21(11) (2024) 5892-5904.</w:t>
      </w:r>
    </w:p>
    <w:p w14:paraId="63029344" w14:textId="41130E0E" w:rsidR="0030322E" w:rsidRPr="0030322E" w:rsidRDefault="0030322E" w:rsidP="00BC1FE9">
      <w:pPr>
        <w:pStyle w:val="Reference"/>
      </w:pPr>
      <w:r w:rsidRPr="0030322E">
        <w:t xml:space="preserve">O.C. Obijiofor, A.S. Novikov, Exploring the role of density functional theory in the design of gold </w:t>
      </w:r>
      <w:r w:rsidRPr="003345FF">
        <w:t>nanoparticles for targeted d</w:t>
      </w:r>
      <w:r w:rsidRPr="0030322E">
        <w:t>rug delivery: a systematic review, Journal of Molecular Modeling 31(7) (2025) 186.</w:t>
      </w:r>
    </w:p>
    <w:p w14:paraId="0FEA6E0C" w14:textId="584828A7" w:rsidR="0030322E" w:rsidRPr="0030322E" w:rsidRDefault="0030322E" w:rsidP="00BC1FE9">
      <w:pPr>
        <w:pStyle w:val="Reference"/>
      </w:pPr>
      <w:r w:rsidRPr="0030322E">
        <w:t>P. Kumar, M. Patel, C. Park, H. Han, B. Jeong, H. Kang, R. Patel, W.-G. Koh, C. Park, Highly luminescent biocompatible CsPbBr</w:t>
      </w:r>
      <w:r w:rsidRPr="0030322E">
        <w:rPr>
          <w:rFonts w:ascii="Cambria Math" w:hAnsi="Cambria Math" w:cs="Cambria Math"/>
        </w:rPr>
        <w:t>₃</w:t>
      </w:r>
      <w:r w:rsidRPr="0030322E">
        <w:t>@ SiO</w:t>
      </w:r>
      <w:r w:rsidRPr="0030322E">
        <w:rPr>
          <w:rFonts w:ascii="Cambria Math" w:hAnsi="Cambria Math" w:cs="Cambria Math"/>
        </w:rPr>
        <w:t>₂</w:t>
      </w:r>
      <w:r w:rsidRPr="0030322E">
        <w:t xml:space="preserve"> core–shell nanoprobes for bioimaging and drug delivery,  (2020).</w:t>
      </w:r>
    </w:p>
    <w:p w14:paraId="50D0F1C6" w14:textId="30999B60" w:rsidR="00712673" w:rsidRPr="00626044" w:rsidRDefault="00712673" w:rsidP="00BC1FE9">
      <w:pPr>
        <w:pStyle w:val="Reference"/>
        <w:numPr>
          <w:ilvl w:val="0"/>
          <w:numId w:val="0"/>
        </w:numPr>
        <w:rPr>
          <w:rFonts w:eastAsia="Calibri"/>
          <w:b/>
          <w:bCs/>
          <w:noProof/>
        </w:rPr>
      </w:pPr>
      <w:r w:rsidRPr="00626044">
        <w:rPr>
          <w:rFonts w:eastAsia="Calibri"/>
          <w:noProof/>
        </w:rPr>
        <w:fldChar w:fldCharType="end"/>
      </w:r>
    </w:p>
    <w:p w14:paraId="647AEAE9" w14:textId="77777777" w:rsidR="00326AE0" w:rsidRPr="00504C8D" w:rsidRDefault="00326AE0" w:rsidP="00504C8D">
      <w:pPr>
        <w:pStyle w:val="Paragraph"/>
        <w:shd w:val="clear" w:color="auto" w:fill="FFFFFF" w:themeFill="background1"/>
        <w:ind w:left="644" w:firstLine="0"/>
        <w:rPr>
          <w:iCs/>
        </w:rPr>
      </w:pPr>
    </w:p>
    <w:p w14:paraId="5A92D458" w14:textId="77777777" w:rsidR="00326AE0" w:rsidRPr="00504C8D" w:rsidRDefault="00326AE0" w:rsidP="00504C8D">
      <w:pPr>
        <w:pStyle w:val="Paragraph"/>
        <w:shd w:val="clear" w:color="auto" w:fill="FFFFFF" w:themeFill="background1"/>
        <w:rPr>
          <w:i/>
          <w:iCs/>
        </w:rPr>
      </w:pPr>
    </w:p>
    <w:p w14:paraId="65A7BA4A" w14:textId="77777777" w:rsidR="00C74E28" w:rsidRPr="00504C8D" w:rsidRDefault="00C74E28" w:rsidP="00504C8D">
      <w:pPr>
        <w:pStyle w:val="Paragraph"/>
        <w:shd w:val="clear" w:color="auto" w:fill="FFFFFF" w:themeFill="background1"/>
        <w:rPr>
          <w:i/>
          <w:iCs/>
        </w:rPr>
      </w:pPr>
    </w:p>
    <w:p w14:paraId="4DE91CCB" w14:textId="13FBEF00" w:rsidR="00326AE0" w:rsidRPr="00504C8D" w:rsidRDefault="00326AE0" w:rsidP="00504C8D">
      <w:pPr>
        <w:pStyle w:val="Paragraphbulleted"/>
        <w:numPr>
          <w:ilvl w:val="0"/>
          <w:numId w:val="0"/>
        </w:numPr>
        <w:shd w:val="clear" w:color="auto" w:fill="FFFFFF" w:themeFill="background1"/>
        <w:ind w:left="426" w:hanging="426"/>
      </w:pPr>
    </w:p>
    <w:sectPr w:rsidR="00326AE0" w:rsidRPr="00504C8D" w:rsidSect="00C43F3F">
      <w:pgSz w:w="12240" w:h="15840"/>
      <w:pgMar w:top="1440" w:right="1440" w:bottom="1440" w:left="1440" w:header="720" w:footer="720" w:gutter="0"/>
      <w:cols w:space="720"/>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D365ED0"/>
    <w:multiLevelType w:val="singleLevel"/>
    <w:tmpl w:val="ECD0A5A6"/>
    <w:name w:val="AIPTables"/>
    <w:lvl w:ilvl="0">
      <w:start w:val="1"/>
      <w:numFmt w:val="decimal"/>
      <w:lvlText w:val="%1"/>
      <w:lvlJc w:val="left"/>
      <w:pPr>
        <w:tabs>
          <w:tab w:val="num" w:pos="3240"/>
        </w:tabs>
        <w:ind w:left="3240" w:hanging="360"/>
      </w:pPr>
    </w:lvl>
  </w:abstractNum>
  <w:abstractNum w:abstractNumId="1" w15:restartNumberingAfterBreak="0">
    <w:nsid w:val="34404A95"/>
    <w:multiLevelType w:val="hybridMultilevel"/>
    <w:tmpl w:val="92CE8186"/>
    <w:lvl w:ilvl="0" w:tplc="72661724">
      <w:start w:val="1"/>
      <w:numFmt w:val="bullet"/>
      <w:pStyle w:val="Paragraphbulleted"/>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 w15:restartNumberingAfterBreak="0">
    <w:nsid w:val="3AA17CE3"/>
    <w:multiLevelType w:val="hybridMultilevel"/>
    <w:tmpl w:val="33E2F69A"/>
    <w:lvl w:ilvl="0" w:tplc="2E9C7652">
      <w:start w:val="1"/>
      <w:numFmt w:val="decimal"/>
      <w:pStyle w:val="Reference"/>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74721692"/>
    <w:multiLevelType w:val="hybridMultilevel"/>
    <w:tmpl w:val="8BC68E6C"/>
    <w:lvl w:ilvl="0" w:tplc="9C5CFD96">
      <w:start w:val="1"/>
      <w:numFmt w:val="decimal"/>
      <w:pStyle w:val="Paragraphnumbered"/>
      <w:lvlText w:val="%1."/>
      <w:lvlJc w:val="left"/>
      <w:pPr>
        <w:ind w:left="644" w:hanging="360"/>
      </w:pPr>
      <w:rPr>
        <w:rFonts w:hint="default"/>
      </w:rPr>
    </w:lvl>
    <w:lvl w:ilvl="1" w:tplc="EDD6ACA2">
      <w:numFmt w:val="decimal"/>
      <w:lvlText w:val=""/>
      <w:lvlJc w:val="left"/>
    </w:lvl>
    <w:lvl w:ilvl="2" w:tplc="328A694E">
      <w:numFmt w:val="decimal"/>
      <w:lvlText w:val=""/>
      <w:lvlJc w:val="left"/>
    </w:lvl>
    <w:lvl w:ilvl="3" w:tplc="32009542">
      <w:numFmt w:val="decimal"/>
      <w:lvlText w:val=""/>
      <w:lvlJc w:val="left"/>
    </w:lvl>
    <w:lvl w:ilvl="4" w:tplc="8070CBEA">
      <w:numFmt w:val="decimal"/>
      <w:lvlText w:val=""/>
      <w:lvlJc w:val="left"/>
    </w:lvl>
    <w:lvl w:ilvl="5" w:tplc="655855F4">
      <w:numFmt w:val="decimal"/>
      <w:lvlText w:val=""/>
      <w:lvlJc w:val="left"/>
    </w:lvl>
    <w:lvl w:ilvl="6" w:tplc="E64817F0">
      <w:numFmt w:val="decimal"/>
      <w:lvlText w:val=""/>
      <w:lvlJc w:val="left"/>
    </w:lvl>
    <w:lvl w:ilvl="7" w:tplc="959282D4">
      <w:numFmt w:val="decimal"/>
      <w:lvlText w:val=""/>
      <w:lvlJc w:val="left"/>
    </w:lvl>
    <w:lvl w:ilvl="8" w:tplc="6DF0E860">
      <w:numFmt w:val="decimal"/>
      <w:lvlText w:val=""/>
      <w:lvlJc w:val="left"/>
    </w:lvl>
  </w:abstractNum>
  <w:abstractNum w:abstractNumId="4" w15:restartNumberingAfterBreak="0">
    <w:nsid w:val="7AA97E4A"/>
    <w:multiLevelType w:val="hybridMultilevel"/>
    <w:tmpl w:val="21562CB0"/>
    <w:name w:val="/#"/>
    <w:lvl w:ilvl="0" w:tplc="78107624">
      <w:start w:val="1"/>
      <w:numFmt w:val="decimal"/>
      <w:lvlText w:val="%1"/>
      <w:lvlJc w:val="left"/>
      <w:pPr>
        <w:tabs>
          <w:tab w:val="num" w:pos="360"/>
        </w:tabs>
        <w:ind w:left="0" w:firstLine="0"/>
      </w:pPr>
    </w:lvl>
    <w:lvl w:ilvl="1" w:tplc="C5946878">
      <w:start w:val="1"/>
      <w:numFmt w:val="lowerLetter"/>
      <w:lvlText w:val="%2)"/>
      <w:lvlJc w:val="left"/>
      <w:pPr>
        <w:tabs>
          <w:tab w:val="num" w:pos="0"/>
        </w:tabs>
        <w:ind w:left="0" w:firstLine="0"/>
      </w:pPr>
    </w:lvl>
    <w:lvl w:ilvl="2" w:tplc="205E2ACA">
      <w:start w:val="1"/>
      <w:numFmt w:val="lowerRoman"/>
      <w:lvlText w:val="%3)"/>
      <w:lvlJc w:val="left"/>
      <w:pPr>
        <w:tabs>
          <w:tab w:val="num" w:pos="0"/>
        </w:tabs>
        <w:ind w:left="0" w:firstLine="0"/>
      </w:pPr>
    </w:lvl>
    <w:lvl w:ilvl="3" w:tplc="D2E63DBE">
      <w:start w:val="1"/>
      <w:numFmt w:val="decimal"/>
      <w:lvlText w:val="%4"/>
      <w:lvlJc w:val="left"/>
      <w:pPr>
        <w:tabs>
          <w:tab w:val="num" w:pos="360"/>
        </w:tabs>
        <w:ind w:left="0" w:firstLine="0"/>
      </w:pPr>
    </w:lvl>
    <w:lvl w:ilvl="4" w:tplc="04DA94CA">
      <w:start w:val="1"/>
      <w:numFmt w:val="lowerLetter"/>
      <w:lvlText w:val="(%5)"/>
      <w:lvlJc w:val="left"/>
      <w:pPr>
        <w:tabs>
          <w:tab w:val="num" w:pos="0"/>
        </w:tabs>
        <w:ind w:left="0" w:firstLine="0"/>
      </w:pPr>
    </w:lvl>
    <w:lvl w:ilvl="5" w:tplc="94BC9244">
      <w:start w:val="1"/>
      <w:numFmt w:val="lowerRoman"/>
      <w:lvlText w:val="(%6)"/>
      <w:lvlJc w:val="left"/>
      <w:pPr>
        <w:tabs>
          <w:tab w:val="num" w:pos="0"/>
        </w:tabs>
        <w:ind w:left="0" w:firstLine="0"/>
      </w:pPr>
    </w:lvl>
    <w:lvl w:ilvl="6" w:tplc="CE0887C2">
      <w:start w:val="1"/>
      <w:numFmt w:val="decimal"/>
      <w:lvlText w:val="%7."/>
      <w:lvlJc w:val="left"/>
      <w:pPr>
        <w:tabs>
          <w:tab w:val="num" w:pos="0"/>
        </w:tabs>
        <w:ind w:left="0" w:firstLine="0"/>
      </w:pPr>
    </w:lvl>
    <w:lvl w:ilvl="7" w:tplc="7DB4F44C">
      <w:start w:val="1"/>
      <w:numFmt w:val="lowerLetter"/>
      <w:lvlText w:val="%8."/>
      <w:lvlJc w:val="left"/>
      <w:pPr>
        <w:tabs>
          <w:tab w:val="num" w:pos="0"/>
        </w:tabs>
        <w:ind w:left="0" w:firstLine="0"/>
      </w:pPr>
    </w:lvl>
    <w:lvl w:ilvl="8" w:tplc="B8E6F2A4">
      <w:start w:val="1"/>
      <w:numFmt w:val="lowerRoman"/>
      <w:lvlText w:val="%9."/>
      <w:lvlJc w:val="left"/>
      <w:pPr>
        <w:tabs>
          <w:tab w:val="num" w:pos="0"/>
        </w:tabs>
        <w:ind w:left="0" w:firstLine="0"/>
      </w:pPr>
    </w:lvl>
  </w:abstractNum>
  <w:num w:numId="1" w16cid:durableId="771437808">
    <w:abstractNumId w:val="2"/>
  </w:num>
  <w:num w:numId="2" w16cid:durableId="1752267393">
    <w:abstractNumId w:val="1"/>
  </w:num>
  <w:num w:numId="3" w16cid:durableId="1423719540">
    <w:abstractNumId w:val="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intPostScriptOverText/>
  <w:embedSystemFonts/>
  <w:hideSpellingErrors/>
  <w:hideGrammaticalErrors/>
  <w:proofState w:spelling="clean" w:grammar="clean"/>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BBA - Reviews on Cancer&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C14B14"/>
    <w:rsid w:val="000004B5"/>
    <w:rsid w:val="00003D7C"/>
    <w:rsid w:val="00006331"/>
    <w:rsid w:val="00006A62"/>
    <w:rsid w:val="00014140"/>
    <w:rsid w:val="0002059F"/>
    <w:rsid w:val="00027428"/>
    <w:rsid w:val="00031EC9"/>
    <w:rsid w:val="000447C2"/>
    <w:rsid w:val="000455DC"/>
    <w:rsid w:val="0004625E"/>
    <w:rsid w:val="00055D4E"/>
    <w:rsid w:val="00066FED"/>
    <w:rsid w:val="00070B09"/>
    <w:rsid w:val="000711F2"/>
    <w:rsid w:val="00075EA6"/>
    <w:rsid w:val="0007709F"/>
    <w:rsid w:val="00086F62"/>
    <w:rsid w:val="00090674"/>
    <w:rsid w:val="0009320B"/>
    <w:rsid w:val="00096AE0"/>
    <w:rsid w:val="000B1B74"/>
    <w:rsid w:val="000B3A2D"/>
    <w:rsid w:val="000B49C0"/>
    <w:rsid w:val="000B66E3"/>
    <w:rsid w:val="000C08FD"/>
    <w:rsid w:val="000D073B"/>
    <w:rsid w:val="000E382F"/>
    <w:rsid w:val="000E75CD"/>
    <w:rsid w:val="001036BA"/>
    <w:rsid w:val="00106BE0"/>
    <w:rsid w:val="001146DC"/>
    <w:rsid w:val="00114AB1"/>
    <w:rsid w:val="001156B5"/>
    <w:rsid w:val="00116E0F"/>
    <w:rsid w:val="001230FF"/>
    <w:rsid w:val="00130BD7"/>
    <w:rsid w:val="00155B67"/>
    <w:rsid w:val="001562AF"/>
    <w:rsid w:val="00161A5B"/>
    <w:rsid w:val="0016385D"/>
    <w:rsid w:val="00164057"/>
    <w:rsid w:val="0016782F"/>
    <w:rsid w:val="0018477B"/>
    <w:rsid w:val="001937E9"/>
    <w:rsid w:val="001964E5"/>
    <w:rsid w:val="001A0749"/>
    <w:rsid w:val="001B263B"/>
    <w:rsid w:val="001B3560"/>
    <w:rsid w:val="001B448F"/>
    <w:rsid w:val="001B476A"/>
    <w:rsid w:val="001B6E07"/>
    <w:rsid w:val="001C764F"/>
    <w:rsid w:val="001C7BB3"/>
    <w:rsid w:val="001D0B0B"/>
    <w:rsid w:val="001D469C"/>
    <w:rsid w:val="001F738B"/>
    <w:rsid w:val="002062CF"/>
    <w:rsid w:val="00207084"/>
    <w:rsid w:val="00207936"/>
    <w:rsid w:val="0021619E"/>
    <w:rsid w:val="00220F03"/>
    <w:rsid w:val="0023171B"/>
    <w:rsid w:val="00232C70"/>
    <w:rsid w:val="00236BFC"/>
    <w:rsid w:val="00237437"/>
    <w:rsid w:val="00243C74"/>
    <w:rsid w:val="0024596E"/>
    <w:rsid w:val="002502FD"/>
    <w:rsid w:val="0026526B"/>
    <w:rsid w:val="00274622"/>
    <w:rsid w:val="00285D24"/>
    <w:rsid w:val="00290390"/>
    <w:rsid w:val="002906E1"/>
    <w:rsid w:val="002915D3"/>
    <w:rsid w:val="002924DB"/>
    <w:rsid w:val="002941DA"/>
    <w:rsid w:val="002A1791"/>
    <w:rsid w:val="002B5648"/>
    <w:rsid w:val="002B609C"/>
    <w:rsid w:val="002C5628"/>
    <w:rsid w:val="002C6241"/>
    <w:rsid w:val="002E13A2"/>
    <w:rsid w:val="002E3C35"/>
    <w:rsid w:val="002F1932"/>
    <w:rsid w:val="002F5298"/>
    <w:rsid w:val="002F7B23"/>
    <w:rsid w:val="0030322E"/>
    <w:rsid w:val="0031680C"/>
    <w:rsid w:val="00321F19"/>
    <w:rsid w:val="00326AE0"/>
    <w:rsid w:val="003318DE"/>
    <w:rsid w:val="003345FF"/>
    <w:rsid w:val="00337E4F"/>
    <w:rsid w:val="00340687"/>
    <w:rsid w:val="00340C36"/>
    <w:rsid w:val="00346A9D"/>
    <w:rsid w:val="003519E5"/>
    <w:rsid w:val="003561E3"/>
    <w:rsid w:val="003616B7"/>
    <w:rsid w:val="003706ED"/>
    <w:rsid w:val="00372B21"/>
    <w:rsid w:val="0039083B"/>
    <w:rsid w:val="0039376F"/>
    <w:rsid w:val="003A287B"/>
    <w:rsid w:val="003A5C85"/>
    <w:rsid w:val="003A61B1"/>
    <w:rsid w:val="003B0050"/>
    <w:rsid w:val="003C44B4"/>
    <w:rsid w:val="003C5BB4"/>
    <w:rsid w:val="003C70AF"/>
    <w:rsid w:val="003D135D"/>
    <w:rsid w:val="003D6312"/>
    <w:rsid w:val="003E16E5"/>
    <w:rsid w:val="003E18D4"/>
    <w:rsid w:val="003E38BD"/>
    <w:rsid w:val="003E438B"/>
    <w:rsid w:val="003E7C74"/>
    <w:rsid w:val="003F31C6"/>
    <w:rsid w:val="003F5020"/>
    <w:rsid w:val="003F6A99"/>
    <w:rsid w:val="003F6CAB"/>
    <w:rsid w:val="004000B1"/>
    <w:rsid w:val="00400D77"/>
    <w:rsid w:val="0040225B"/>
    <w:rsid w:val="00402DA2"/>
    <w:rsid w:val="00410E3A"/>
    <w:rsid w:val="00414A90"/>
    <w:rsid w:val="00420C9D"/>
    <w:rsid w:val="00425AC2"/>
    <w:rsid w:val="00425EDE"/>
    <w:rsid w:val="00436F1A"/>
    <w:rsid w:val="0044771F"/>
    <w:rsid w:val="00472656"/>
    <w:rsid w:val="00472AF0"/>
    <w:rsid w:val="00483796"/>
    <w:rsid w:val="00490172"/>
    <w:rsid w:val="004B151D"/>
    <w:rsid w:val="004B50A6"/>
    <w:rsid w:val="004B64EF"/>
    <w:rsid w:val="004C4AA4"/>
    <w:rsid w:val="004C7243"/>
    <w:rsid w:val="004D08F7"/>
    <w:rsid w:val="004D7869"/>
    <w:rsid w:val="004E21DE"/>
    <w:rsid w:val="004E3C57"/>
    <w:rsid w:val="004E3CB2"/>
    <w:rsid w:val="00504C8D"/>
    <w:rsid w:val="005254E7"/>
    <w:rsid w:val="00525813"/>
    <w:rsid w:val="0053513F"/>
    <w:rsid w:val="005407A1"/>
    <w:rsid w:val="00552243"/>
    <w:rsid w:val="00565EF7"/>
    <w:rsid w:val="00570DD7"/>
    <w:rsid w:val="00574405"/>
    <w:rsid w:val="00577251"/>
    <w:rsid w:val="00582A90"/>
    <w:rsid w:val="0058373D"/>
    <w:rsid w:val="005854B0"/>
    <w:rsid w:val="0058675E"/>
    <w:rsid w:val="0059550E"/>
    <w:rsid w:val="005A0E21"/>
    <w:rsid w:val="005B3A34"/>
    <w:rsid w:val="005B50CD"/>
    <w:rsid w:val="005B76D5"/>
    <w:rsid w:val="005C29EB"/>
    <w:rsid w:val="005C6AFD"/>
    <w:rsid w:val="005D49AF"/>
    <w:rsid w:val="005E415C"/>
    <w:rsid w:val="005E4DEE"/>
    <w:rsid w:val="005E71ED"/>
    <w:rsid w:val="005E7946"/>
    <w:rsid w:val="005F7475"/>
    <w:rsid w:val="00611299"/>
    <w:rsid w:val="006134FB"/>
    <w:rsid w:val="00613B4D"/>
    <w:rsid w:val="00616365"/>
    <w:rsid w:val="00616F3B"/>
    <w:rsid w:val="0062475B"/>
    <w:rsid w:val="006249A7"/>
    <w:rsid w:val="00626044"/>
    <w:rsid w:val="00640AFB"/>
    <w:rsid w:val="0064225B"/>
    <w:rsid w:val="006476B6"/>
    <w:rsid w:val="00657C1A"/>
    <w:rsid w:val="00663E46"/>
    <w:rsid w:val="00671856"/>
    <w:rsid w:val="006763F9"/>
    <w:rsid w:val="006949BC"/>
    <w:rsid w:val="006D1229"/>
    <w:rsid w:val="006D372F"/>
    <w:rsid w:val="006D5E6F"/>
    <w:rsid w:val="006D7A18"/>
    <w:rsid w:val="006E4474"/>
    <w:rsid w:val="006F2E3F"/>
    <w:rsid w:val="006F39E2"/>
    <w:rsid w:val="006F6DAB"/>
    <w:rsid w:val="00700473"/>
    <w:rsid w:val="00701388"/>
    <w:rsid w:val="0070502A"/>
    <w:rsid w:val="00712673"/>
    <w:rsid w:val="00723B7F"/>
    <w:rsid w:val="00725291"/>
    <w:rsid w:val="00725861"/>
    <w:rsid w:val="0073393A"/>
    <w:rsid w:val="0073539D"/>
    <w:rsid w:val="00735FEA"/>
    <w:rsid w:val="00746738"/>
    <w:rsid w:val="007474CF"/>
    <w:rsid w:val="00751CD5"/>
    <w:rsid w:val="00754BD7"/>
    <w:rsid w:val="007567AF"/>
    <w:rsid w:val="00767B8A"/>
    <w:rsid w:val="00775481"/>
    <w:rsid w:val="00784224"/>
    <w:rsid w:val="0079161E"/>
    <w:rsid w:val="007A233B"/>
    <w:rsid w:val="007B0483"/>
    <w:rsid w:val="007B4863"/>
    <w:rsid w:val="007C3963"/>
    <w:rsid w:val="007C65E6"/>
    <w:rsid w:val="007D406B"/>
    <w:rsid w:val="007D4407"/>
    <w:rsid w:val="007E1CA3"/>
    <w:rsid w:val="007F27A0"/>
    <w:rsid w:val="00803F27"/>
    <w:rsid w:val="00812D62"/>
    <w:rsid w:val="00812F29"/>
    <w:rsid w:val="00821713"/>
    <w:rsid w:val="00827050"/>
    <w:rsid w:val="0083027D"/>
    <w:rsid w:val="0083278B"/>
    <w:rsid w:val="00834538"/>
    <w:rsid w:val="00850E89"/>
    <w:rsid w:val="008549B2"/>
    <w:rsid w:val="00864575"/>
    <w:rsid w:val="00867B45"/>
    <w:rsid w:val="00870D4E"/>
    <w:rsid w:val="00892FCC"/>
    <w:rsid w:val="008930E4"/>
    <w:rsid w:val="00893821"/>
    <w:rsid w:val="008A7B9C"/>
    <w:rsid w:val="008B0387"/>
    <w:rsid w:val="008B39FA"/>
    <w:rsid w:val="008B4754"/>
    <w:rsid w:val="008C18F9"/>
    <w:rsid w:val="008C3FFC"/>
    <w:rsid w:val="008C58EA"/>
    <w:rsid w:val="008E0C97"/>
    <w:rsid w:val="008E12DE"/>
    <w:rsid w:val="008E6A7A"/>
    <w:rsid w:val="008F1038"/>
    <w:rsid w:val="008F7046"/>
    <w:rsid w:val="009005FC"/>
    <w:rsid w:val="009157DA"/>
    <w:rsid w:val="00917881"/>
    <w:rsid w:val="00922E5A"/>
    <w:rsid w:val="00943315"/>
    <w:rsid w:val="00946C27"/>
    <w:rsid w:val="00964297"/>
    <w:rsid w:val="0099116D"/>
    <w:rsid w:val="009A4F3D"/>
    <w:rsid w:val="009A646A"/>
    <w:rsid w:val="009B696B"/>
    <w:rsid w:val="009B7671"/>
    <w:rsid w:val="009C1918"/>
    <w:rsid w:val="009C586B"/>
    <w:rsid w:val="009D4F6C"/>
    <w:rsid w:val="009E5BA1"/>
    <w:rsid w:val="009F056E"/>
    <w:rsid w:val="00A07449"/>
    <w:rsid w:val="00A24F3D"/>
    <w:rsid w:val="00A26DCD"/>
    <w:rsid w:val="00A314BB"/>
    <w:rsid w:val="00A31A17"/>
    <w:rsid w:val="00A32B7D"/>
    <w:rsid w:val="00A40B57"/>
    <w:rsid w:val="00A5079B"/>
    <w:rsid w:val="00A5596B"/>
    <w:rsid w:val="00A617C4"/>
    <w:rsid w:val="00A646B3"/>
    <w:rsid w:val="00A6739B"/>
    <w:rsid w:val="00A70556"/>
    <w:rsid w:val="00A70E4D"/>
    <w:rsid w:val="00A7295B"/>
    <w:rsid w:val="00A76BD5"/>
    <w:rsid w:val="00A90413"/>
    <w:rsid w:val="00A920DE"/>
    <w:rsid w:val="00A952B7"/>
    <w:rsid w:val="00A96BBC"/>
    <w:rsid w:val="00AA728C"/>
    <w:rsid w:val="00AB0A9C"/>
    <w:rsid w:val="00AB7119"/>
    <w:rsid w:val="00AD5855"/>
    <w:rsid w:val="00AD5C75"/>
    <w:rsid w:val="00AD633A"/>
    <w:rsid w:val="00AD6EE8"/>
    <w:rsid w:val="00AE7500"/>
    <w:rsid w:val="00AE7F87"/>
    <w:rsid w:val="00AF3542"/>
    <w:rsid w:val="00AF5ABE"/>
    <w:rsid w:val="00AF66EB"/>
    <w:rsid w:val="00B0034B"/>
    <w:rsid w:val="00B00415"/>
    <w:rsid w:val="00B02912"/>
    <w:rsid w:val="00B03C2A"/>
    <w:rsid w:val="00B077D8"/>
    <w:rsid w:val="00B1000D"/>
    <w:rsid w:val="00B10134"/>
    <w:rsid w:val="00B15B90"/>
    <w:rsid w:val="00B16BFE"/>
    <w:rsid w:val="00B21535"/>
    <w:rsid w:val="00B232AE"/>
    <w:rsid w:val="00B30D59"/>
    <w:rsid w:val="00B429B4"/>
    <w:rsid w:val="00B500E5"/>
    <w:rsid w:val="00B53926"/>
    <w:rsid w:val="00B56423"/>
    <w:rsid w:val="00B76A69"/>
    <w:rsid w:val="00B94C9A"/>
    <w:rsid w:val="00B950AD"/>
    <w:rsid w:val="00BA39BB"/>
    <w:rsid w:val="00BA3B3D"/>
    <w:rsid w:val="00BB4D12"/>
    <w:rsid w:val="00BB7EEA"/>
    <w:rsid w:val="00BC1FE9"/>
    <w:rsid w:val="00BD1909"/>
    <w:rsid w:val="00BD337D"/>
    <w:rsid w:val="00BE5E16"/>
    <w:rsid w:val="00BE5FD1"/>
    <w:rsid w:val="00BF192D"/>
    <w:rsid w:val="00C06E05"/>
    <w:rsid w:val="00C13478"/>
    <w:rsid w:val="00C14B14"/>
    <w:rsid w:val="00C17370"/>
    <w:rsid w:val="00C2054D"/>
    <w:rsid w:val="00C252EB"/>
    <w:rsid w:val="00C26EC0"/>
    <w:rsid w:val="00C43F3F"/>
    <w:rsid w:val="00C46776"/>
    <w:rsid w:val="00C56BB0"/>
    <w:rsid w:val="00C56C77"/>
    <w:rsid w:val="00C66A45"/>
    <w:rsid w:val="00C74E28"/>
    <w:rsid w:val="00C84923"/>
    <w:rsid w:val="00CA50E5"/>
    <w:rsid w:val="00CB7B3E"/>
    <w:rsid w:val="00CC12E0"/>
    <w:rsid w:val="00CC35B9"/>
    <w:rsid w:val="00CC739D"/>
    <w:rsid w:val="00D04468"/>
    <w:rsid w:val="00D155BB"/>
    <w:rsid w:val="00D15684"/>
    <w:rsid w:val="00D15818"/>
    <w:rsid w:val="00D20824"/>
    <w:rsid w:val="00D2114C"/>
    <w:rsid w:val="00D25761"/>
    <w:rsid w:val="00D30640"/>
    <w:rsid w:val="00D31667"/>
    <w:rsid w:val="00D36257"/>
    <w:rsid w:val="00D4687E"/>
    <w:rsid w:val="00D5332C"/>
    <w:rsid w:val="00D53A12"/>
    <w:rsid w:val="00D614B8"/>
    <w:rsid w:val="00D72E7E"/>
    <w:rsid w:val="00D866AB"/>
    <w:rsid w:val="00D87E2A"/>
    <w:rsid w:val="00D91A9A"/>
    <w:rsid w:val="00DA2DCF"/>
    <w:rsid w:val="00DA35CB"/>
    <w:rsid w:val="00DB0C43"/>
    <w:rsid w:val="00DC5D17"/>
    <w:rsid w:val="00DC6205"/>
    <w:rsid w:val="00DE06F3"/>
    <w:rsid w:val="00DE3354"/>
    <w:rsid w:val="00DF7DCD"/>
    <w:rsid w:val="00E03828"/>
    <w:rsid w:val="00E11F37"/>
    <w:rsid w:val="00E25C32"/>
    <w:rsid w:val="00E50B7D"/>
    <w:rsid w:val="00E77A78"/>
    <w:rsid w:val="00E8020D"/>
    <w:rsid w:val="00E81F9A"/>
    <w:rsid w:val="00E82A69"/>
    <w:rsid w:val="00E904A1"/>
    <w:rsid w:val="00E9106C"/>
    <w:rsid w:val="00EA3CAB"/>
    <w:rsid w:val="00EA3D89"/>
    <w:rsid w:val="00EB7D28"/>
    <w:rsid w:val="00EC0D0C"/>
    <w:rsid w:val="00ED1549"/>
    <w:rsid w:val="00ED4A2C"/>
    <w:rsid w:val="00EF4325"/>
    <w:rsid w:val="00EF6940"/>
    <w:rsid w:val="00F1321F"/>
    <w:rsid w:val="00F2044A"/>
    <w:rsid w:val="00F20BFC"/>
    <w:rsid w:val="00F24D5F"/>
    <w:rsid w:val="00F272BF"/>
    <w:rsid w:val="00F37B76"/>
    <w:rsid w:val="00F41AED"/>
    <w:rsid w:val="00F61670"/>
    <w:rsid w:val="00F726C3"/>
    <w:rsid w:val="00F72838"/>
    <w:rsid w:val="00F7492E"/>
    <w:rsid w:val="00F820CA"/>
    <w:rsid w:val="00F84598"/>
    <w:rsid w:val="00F8554C"/>
    <w:rsid w:val="00F8560F"/>
    <w:rsid w:val="00F92254"/>
    <w:rsid w:val="00F954BF"/>
    <w:rsid w:val="00F95F82"/>
    <w:rsid w:val="00F96151"/>
    <w:rsid w:val="00F97A90"/>
    <w:rsid w:val="00FC2F35"/>
    <w:rsid w:val="00FC3FD7"/>
    <w:rsid w:val="00FC5A41"/>
    <w:rsid w:val="00FC60AD"/>
    <w:rsid w:val="00FD1FC6"/>
    <w:rsid w:val="00FD5FA9"/>
    <w:rsid w:val="00FD707C"/>
    <w:rsid w:val="00FE2694"/>
    <w:rsid w:val="00FE5869"/>
    <w:rsid w:val="00FE77D8"/>
    <w:rsid w:val="00FF635B"/>
    <w:rsid w:val="0B1E8874"/>
    <w:rsid w:val="22257E58"/>
    <w:rsid w:val="2F830975"/>
    <w:rsid w:val="4A9FEF8C"/>
    <w:rsid w:val="7B90177C"/>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1026"/>
    <o:shapelayout v:ext="edit">
      <o:idmap v:ext="edit" data="1"/>
    </o:shapelayout>
  </w:shapeDefaults>
  <w:decimalSymbol w:val="."/>
  <w:listSeparator w:val=","/>
  <w14:docId w14:val="2A7DAFF2"/>
  <w15:docId w15:val="{F4B64802-3967-459F-AACB-E4AD238BB7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4E3CB2"/>
    <w:rPr>
      <w:sz w:val="24"/>
      <w:lang w:val="en-US" w:eastAsia="en-US"/>
    </w:rPr>
  </w:style>
  <w:style w:type="paragraph" w:styleId="Heading1">
    <w:name w:val="heading 1"/>
    <w:basedOn w:val="Normal"/>
    <w:next w:val="Paragraph"/>
    <w:link w:val="Heading1Char"/>
    <w:qFormat/>
    <w:pPr>
      <w:keepNext/>
      <w:spacing w:before="240" w:after="240"/>
      <w:jc w:val="center"/>
      <w:outlineLvl w:val="0"/>
    </w:pPr>
    <w:rPr>
      <w:b/>
      <w:caps/>
    </w:rPr>
  </w:style>
  <w:style w:type="paragraph" w:styleId="Heading2">
    <w:name w:val="heading 2"/>
    <w:basedOn w:val="Normal"/>
    <w:next w:val="Paragraph"/>
    <w:qFormat/>
    <w:pPr>
      <w:keepNext/>
      <w:spacing w:before="240" w:after="240"/>
      <w:jc w:val="center"/>
      <w:outlineLvl w:val="1"/>
    </w:pPr>
    <w:rPr>
      <w:b/>
    </w:rPr>
  </w:style>
  <w:style w:type="paragraph" w:styleId="Heading3">
    <w:name w:val="heading 3"/>
    <w:basedOn w:val="Normal"/>
    <w:next w:val="Normal"/>
    <w:qFormat/>
    <w:rsid w:val="005854B0"/>
    <w:pPr>
      <w:keepNext/>
      <w:spacing w:before="240" w:after="240"/>
      <w:jc w:val="center"/>
      <w:outlineLvl w:val="2"/>
    </w:pPr>
    <w:rPr>
      <w:i/>
      <w:iCs/>
      <w:sz w:val="20"/>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semiHidden/>
    <w:rPr>
      <w:sz w:val="16"/>
    </w:rPr>
  </w:style>
  <w:style w:type="paragraph" w:customStyle="1" w:styleId="PaperTitle">
    <w:name w:val="Paper Title"/>
    <w:basedOn w:val="Normal"/>
    <w:next w:val="AuthorName"/>
    <w:pPr>
      <w:spacing w:before="1200"/>
      <w:jc w:val="center"/>
    </w:pPr>
    <w:rPr>
      <w:b/>
      <w:sz w:val="36"/>
    </w:rPr>
  </w:style>
  <w:style w:type="paragraph" w:customStyle="1" w:styleId="AuthorName">
    <w:name w:val="Author Name"/>
    <w:basedOn w:val="Normal"/>
    <w:next w:val="AuthorAffiliation"/>
    <w:pPr>
      <w:spacing w:before="360" w:after="360"/>
      <w:jc w:val="center"/>
    </w:pPr>
    <w:rPr>
      <w:sz w:val="28"/>
    </w:rPr>
  </w:style>
  <w:style w:type="paragraph" w:customStyle="1" w:styleId="AuthorAffiliation">
    <w:name w:val="Author Affiliation"/>
    <w:basedOn w:val="Normal"/>
    <w:pPr>
      <w:jc w:val="center"/>
    </w:pPr>
    <w:rPr>
      <w:i/>
      <w:sz w:val="20"/>
    </w:rPr>
  </w:style>
  <w:style w:type="paragraph" w:customStyle="1" w:styleId="Abstract">
    <w:name w:val="Abstract"/>
    <w:basedOn w:val="Normal"/>
    <w:next w:val="Heading1"/>
    <w:rsid w:val="00F20BFC"/>
    <w:pPr>
      <w:spacing w:before="360" w:after="360"/>
      <w:ind w:left="289" w:right="289"/>
      <w:jc w:val="both"/>
    </w:pPr>
    <w:rPr>
      <w:sz w:val="18"/>
    </w:rPr>
  </w:style>
  <w:style w:type="paragraph" w:customStyle="1" w:styleId="Paragraph">
    <w:name w:val="Paragraph"/>
    <w:basedOn w:val="Normal"/>
    <w:link w:val="ParagraphChar"/>
    <w:rsid w:val="005E415C"/>
    <w:pPr>
      <w:ind w:firstLine="284"/>
      <w:jc w:val="both"/>
    </w:pPr>
    <w:rPr>
      <w:sz w:val="20"/>
    </w:rPr>
  </w:style>
  <w:style w:type="character" w:styleId="FootnoteReference">
    <w:name w:val="footnote reference"/>
    <w:semiHidden/>
    <w:rPr>
      <w:vertAlign w:val="superscript"/>
    </w:rPr>
  </w:style>
  <w:style w:type="paragraph" w:customStyle="1" w:styleId="Reference">
    <w:name w:val="Reference"/>
    <w:basedOn w:val="Paragraph"/>
    <w:rsid w:val="00AE7500"/>
    <w:pPr>
      <w:numPr>
        <w:numId w:val="1"/>
      </w:numPr>
      <w:ind w:left="426" w:hanging="426"/>
    </w:pPr>
  </w:style>
  <w:style w:type="paragraph" w:customStyle="1" w:styleId="FigureCaption">
    <w:name w:val="Figure Caption"/>
    <w:next w:val="Paragraph"/>
    <w:rsid w:val="00161A5B"/>
    <w:pPr>
      <w:spacing w:before="120"/>
      <w:jc w:val="center"/>
    </w:pPr>
    <w:rPr>
      <w:sz w:val="18"/>
      <w:lang w:val="en-US" w:eastAsia="en-US"/>
    </w:rPr>
  </w:style>
  <w:style w:type="paragraph" w:customStyle="1" w:styleId="Figure">
    <w:name w:val="Figure"/>
    <w:basedOn w:val="Paragraph"/>
    <w:pPr>
      <w:keepNext/>
      <w:ind w:firstLine="0"/>
      <w:jc w:val="center"/>
    </w:pPr>
  </w:style>
  <w:style w:type="paragraph" w:customStyle="1" w:styleId="Equation">
    <w:name w:val="Equation"/>
    <w:basedOn w:val="Paragraph"/>
    <w:rsid w:val="001146DC"/>
    <w:pPr>
      <w:tabs>
        <w:tab w:val="center" w:pos="4320"/>
        <w:tab w:val="right" w:pos="9242"/>
      </w:tabs>
      <w:ind w:firstLine="0"/>
      <w:jc w:val="center"/>
    </w:pPr>
  </w:style>
  <w:style w:type="paragraph" w:styleId="BalloonText">
    <w:name w:val="Balloon Text"/>
    <w:basedOn w:val="Normal"/>
    <w:link w:val="BalloonTextChar"/>
    <w:rsid w:val="00114AB1"/>
    <w:rPr>
      <w:rFonts w:ascii="Tahoma" w:hAnsi="Tahoma" w:cs="Tahoma"/>
      <w:sz w:val="16"/>
      <w:szCs w:val="16"/>
    </w:rPr>
  </w:style>
  <w:style w:type="character" w:customStyle="1" w:styleId="BalloonTextChar">
    <w:name w:val="Balloon Text Char"/>
    <w:basedOn w:val="DefaultParagraphFont"/>
    <w:link w:val="BalloonText"/>
    <w:rsid w:val="00114AB1"/>
    <w:rPr>
      <w:rFonts w:ascii="Tahoma" w:hAnsi="Tahoma" w:cs="Tahoma"/>
      <w:sz w:val="16"/>
      <w:szCs w:val="16"/>
      <w:lang w:val="en-US" w:eastAsia="en-US"/>
    </w:rPr>
  </w:style>
  <w:style w:type="character" w:styleId="Hyperlink">
    <w:name w:val="Hyperlink"/>
    <w:rPr>
      <w:color w:val="0000FF"/>
      <w:u w:val="single"/>
    </w:rPr>
  </w:style>
  <w:style w:type="table" w:styleId="TableGrid">
    <w:name w:val="Table Grid"/>
    <w:basedOn w:val="TableNormal"/>
    <w:rsid w:val="0064225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bulleted">
    <w:name w:val="Paragraph (bulleted)"/>
    <w:basedOn w:val="Paragraph"/>
    <w:rsid w:val="0040225B"/>
    <w:pPr>
      <w:numPr>
        <w:numId w:val="2"/>
      </w:numPr>
      <w:ind w:left="641" w:hanging="357"/>
    </w:pPr>
  </w:style>
  <w:style w:type="paragraph" w:customStyle="1" w:styleId="AuthorEmail">
    <w:name w:val="Author Email"/>
    <w:basedOn w:val="Normal"/>
    <w:qFormat/>
    <w:rsid w:val="001D469C"/>
    <w:pPr>
      <w:jc w:val="center"/>
    </w:pPr>
    <w:rPr>
      <w:sz w:val="20"/>
    </w:rPr>
  </w:style>
  <w:style w:type="paragraph" w:styleId="NormalWeb">
    <w:name w:val="Normal (Web)"/>
    <w:basedOn w:val="Normal"/>
    <w:uiPriority w:val="99"/>
    <w:unhideWhenUsed/>
    <w:rsid w:val="005F7475"/>
    <w:pPr>
      <w:spacing w:before="100" w:beforeAutospacing="1" w:after="100" w:afterAutospacing="1"/>
    </w:pPr>
    <w:rPr>
      <w:szCs w:val="24"/>
      <w:lang w:val="en-GB" w:eastAsia="en-GB"/>
    </w:rPr>
  </w:style>
  <w:style w:type="character" w:styleId="Strong">
    <w:name w:val="Strong"/>
    <w:basedOn w:val="DefaultParagraphFont"/>
    <w:uiPriority w:val="22"/>
    <w:qFormat/>
    <w:rsid w:val="005F7475"/>
    <w:rPr>
      <w:b/>
      <w:bCs/>
    </w:rPr>
  </w:style>
  <w:style w:type="character" w:styleId="Emphasis">
    <w:name w:val="Emphasis"/>
    <w:basedOn w:val="DefaultParagraphFont"/>
    <w:uiPriority w:val="20"/>
    <w:qFormat/>
    <w:rsid w:val="005F7475"/>
    <w:rPr>
      <w:i/>
      <w:iCs/>
    </w:rPr>
  </w:style>
  <w:style w:type="paragraph" w:customStyle="1" w:styleId="TableCaption">
    <w:name w:val="Table Caption"/>
    <w:basedOn w:val="FigureCaption"/>
    <w:qFormat/>
    <w:rsid w:val="005A0E21"/>
    <w:rPr>
      <w:szCs w:val="18"/>
    </w:rPr>
  </w:style>
  <w:style w:type="paragraph" w:customStyle="1" w:styleId="Paragraphnumbered">
    <w:name w:val="Paragraph (numbered)"/>
    <w:rsid w:val="000B49C0"/>
    <w:pPr>
      <w:numPr>
        <w:numId w:val="3"/>
      </w:numPr>
      <w:jc w:val="both"/>
    </w:pPr>
    <w:rPr>
      <w:lang w:val="en-US" w:eastAsia="en-US"/>
    </w:rPr>
  </w:style>
  <w:style w:type="character" w:customStyle="1" w:styleId="UnresolvedMention1">
    <w:name w:val="Unresolved Mention1"/>
    <w:basedOn w:val="DefaultParagraphFont"/>
    <w:uiPriority w:val="99"/>
    <w:semiHidden/>
    <w:unhideWhenUsed/>
    <w:rsid w:val="00613B4D"/>
    <w:rPr>
      <w:color w:val="808080"/>
      <w:shd w:val="clear" w:color="auto" w:fill="E6E6E6"/>
    </w:rPr>
  </w:style>
  <w:style w:type="paragraph" w:styleId="ListParagraph">
    <w:name w:val="List Paragraph"/>
    <w:basedOn w:val="Normal"/>
    <w:uiPriority w:val="34"/>
    <w:rsid w:val="006E4474"/>
    <w:pPr>
      <w:ind w:left="720"/>
      <w:contextualSpacing/>
    </w:pPr>
  </w:style>
  <w:style w:type="character" w:styleId="CommentReference">
    <w:name w:val="annotation reference"/>
    <w:basedOn w:val="DefaultParagraphFont"/>
    <w:semiHidden/>
    <w:unhideWhenUsed/>
    <w:rsid w:val="005E71ED"/>
    <w:rPr>
      <w:sz w:val="16"/>
      <w:szCs w:val="16"/>
    </w:rPr>
  </w:style>
  <w:style w:type="paragraph" w:styleId="CommentText">
    <w:name w:val="annotation text"/>
    <w:basedOn w:val="Normal"/>
    <w:link w:val="CommentTextChar"/>
    <w:semiHidden/>
    <w:unhideWhenUsed/>
    <w:rsid w:val="005E71ED"/>
    <w:rPr>
      <w:sz w:val="20"/>
    </w:rPr>
  </w:style>
  <w:style w:type="character" w:customStyle="1" w:styleId="CommentTextChar">
    <w:name w:val="Comment Text Char"/>
    <w:basedOn w:val="DefaultParagraphFont"/>
    <w:link w:val="CommentText"/>
    <w:semiHidden/>
    <w:rsid w:val="005E71ED"/>
    <w:rPr>
      <w:lang w:val="en-US" w:eastAsia="en-US"/>
    </w:rPr>
  </w:style>
  <w:style w:type="paragraph" w:styleId="CommentSubject">
    <w:name w:val="annotation subject"/>
    <w:basedOn w:val="CommentText"/>
    <w:next w:val="CommentText"/>
    <w:link w:val="CommentSubjectChar"/>
    <w:semiHidden/>
    <w:unhideWhenUsed/>
    <w:rsid w:val="005E71ED"/>
    <w:rPr>
      <w:b/>
      <w:bCs/>
    </w:rPr>
  </w:style>
  <w:style w:type="character" w:customStyle="1" w:styleId="CommentSubjectChar">
    <w:name w:val="Comment Subject Char"/>
    <w:basedOn w:val="CommentTextChar"/>
    <w:link w:val="CommentSubject"/>
    <w:semiHidden/>
    <w:rsid w:val="005E71ED"/>
    <w:rPr>
      <w:b/>
      <w:bCs/>
      <w:lang w:val="en-US" w:eastAsia="en-US"/>
    </w:rPr>
  </w:style>
  <w:style w:type="table" w:customStyle="1" w:styleId="TableGrid1">
    <w:name w:val="Table Grid1"/>
    <w:basedOn w:val="TableNormal"/>
    <w:next w:val="TableGrid"/>
    <w:uiPriority w:val="39"/>
    <w:rsid w:val="00C74E28"/>
    <w:rPr>
      <w:rFonts w:ascii="Calibri" w:eastAsia="Calibri" w:hAnsi="Calibri" w:cs="Arial"/>
      <w:kern w:val="2"/>
      <w:sz w:val="24"/>
      <w:szCs w:val="24"/>
      <w:lang w:val="en-US"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List11">
    <w:name w:val="Medium List 11"/>
    <w:basedOn w:val="TableNormal"/>
    <w:next w:val="MediumList1"/>
    <w:uiPriority w:val="65"/>
    <w:rsid w:val="00C74E28"/>
    <w:rPr>
      <w:rFonts w:ascii="Calibri" w:eastAsia="Calibri" w:hAnsi="Calibri" w:cs="Arial"/>
      <w:color w:val="000000"/>
      <w:kern w:val="2"/>
      <w:sz w:val="24"/>
      <w:szCs w:val="24"/>
      <w:lang w:val="en-US" w:eastAsia="en-US"/>
      <w14:ligatures w14:val="standardContextual"/>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MediumList1">
    <w:name w:val="Medium List 1"/>
    <w:basedOn w:val="TableNormal"/>
    <w:uiPriority w:val="65"/>
    <w:rsid w:val="00C74E28"/>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LightList-Accent6">
    <w:name w:val="Light List Accent 6"/>
    <w:basedOn w:val="TableNormal"/>
    <w:uiPriority w:val="61"/>
    <w:rsid w:val="0002059F"/>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List-Accent4">
    <w:name w:val="Light List Accent 4"/>
    <w:basedOn w:val="TableNormal"/>
    <w:uiPriority w:val="61"/>
    <w:rsid w:val="0002059F"/>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ColorfulList">
    <w:name w:val="Colorful List"/>
    <w:basedOn w:val="TableNormal"/>
    <w:uiPriority w:val="72"/>
    <w:rsid w:val="00F37B76"/>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customStyle="1" w:styleId="EndNoteBibliographyTitle">
    <w:name w:val="EndNote Bibliography Title"/>
    <w:basedOn w:val="Normal"/>
    <w:link w:val="EndNoteBibliographyTitleChar"/>
    <w:rsid w:val="00B53926"/>
    <w:pPr>
      <w:jc w:val="center"/>
    </w:pPr>
    <w:rPr>
      <w:noProof/>
      <w:sz w:val="20"/>
    </w:rPr>
  </w:style>
  <w:style w:type="character" w:customStyle="1" w:styleId="ParagraphChar">
    <w:name w:val="Paragraph Char"/>
    <w:basedOn w:val="DefaultParagraphFont"/>
    <w:link w:val="Paragraph"/>
    <w:rsid w:val="00B53926"/>
    <w:rPr>
      <w:lang w:val="en-US" w:eastAsia="en-US"/>
    </w:rPr>
  </w:style>
  <w:style w:type="character" w:customStyle="1" w:styleId="EndNoteBibliographyTitleChar">
    <w:name w:val="EndNote Bibliography Title Char"/>
    <w:basedOn w:val="ParagraphChar"/>
    <w:link w:val="EndNoteBibliographyTitle"/>
    <w:rsid w:val="00B53926"/>
    <w:rPr>
      <w:noProof/>
      <w:lang w:val="en-US" w:eastAsia="en-US"/>
    </w:rPr>
  </w:style>
  <w:style w:type="paragraph" w:customStyle="1" w:styleId="EndNoteBibliography">
    <w:name w:val="EndNote Bibliography"/>
    <w:basedOn w:val="Normal"/>
    <w:link w:val="EndNoteBibliographyChar"/>
    <w:rsid w:val="00B53926"/>
    <w:pPr>
      <w:jc w:val="both"/>
    </w:pPr>
    <w:rPr>
      <w:noProof/>
      <w:sz w:val="20"/>
    </w:rPr>
  </w:style>
  <w:style w:type="character" w:customStyle="1" w:styleId="EndNoteBibliographyChar">
    <w:name w:val="EndNote Bibliography Char"/>
    <w:basedOn w:val="ParagraphChar"/>
    <w:link w:val="EndNoteBibliography"/>
    <w:rsid w:val="00B53926"/>
    <w:rPr>
      <w:noProof/>
      <w:lang w:val="en-US" w:eastAsia="en-US"/>
    </w:rPr>
  </w:style>
  <w:style w:type="table" w:customStyle="1" w:styleId="PlainTable51">
    <w:name w:val="Plain Table 51"/>
    <w:basedOn w:val="TableNormal"/>
    <w:uiPriority w:val="45"/>
    <w:rsid w:val="00F7492E"/>
    <w:pPr>
      <w:jc w:val="center"/>
    </w:pPr>
    <w:rPr>
      <w:rFonts w:ascii="Calibri" w:eastAsia="Calibri" w:hAnsi="Calibri" w:cs="Arial"/>
      <w:kern w:val="2"/>
      <w:sz w:val="24"/>
      <w:szCs w:val="24"/>
      <w:lang w:val="en-US" w:eastAsia="en-US"/>
      <w14:ligatures w14:val="standardContextual"/>
    </w:rPr>
    <w:tblPr>
      <w:tblStyleRowBandSize w:val="1"/>
      <w:tblStyleColBandSize w:val="1"/>
    </w:tblPr>
    <w:tblStylePr w:type="firstRow">
      <w:rPr>
        <w:rFonts w:ascii="Calibri Light" w:eastAsia="Times New Roman" w:hAnsi="Calibri Light" w:cs="Times New Roman" w:hint="default"/>
        <w:i/>
        <w:iCs/>
        <w:sz w:val="26"/>
        <w:szCs w:val="26"/>
      </w:rPr>
      <w:tblPr/>
      <w:tcPr>
        <w:tcBorders>
          <w:bottom w:val="single" w:sz="4" w:space="0" w:color="7F7F7F"/>
        </w:tcBorders>
        <w:shd w:val="clear" w:color="auto" w:fill="FFFFFF"/>
      </w:tcPr>
    </w:tblStylePr>
    <w:tblStylePr w:type="lastRow">
      <w:rPr>
        <w:rFonts w:ascii="Calibri Light" w:eastAsia="Times New Roman" w:hAnsi="Calibri Light" w:cs="Times New Roman" w:hint="default"/>
        <w:i/>
        <w:iCs/>
        <w:sz w:val="26"/>
        <w:szCs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hint="default"/>
        <w:i/>
        <w:iCs/>
        <w:sz w:val="26"/>
        <w:szCs w:val="26"/>
      </w:rPr>
      <w:tblPr/>
      <w:tcPr>
        <w:tcBorders>
          <w:right w:val="single" w:sz="4" w:space="0" w:color="7F7F7F"/>
        </w:tcBorders>
        <w:shd w:val="clear" w:color="auto" w:fill="FFFFFF"/>
      </w:tcPr>
    </w:tblStylePr>
    <w:tblStylePr w:type="lastCol">
      <w:rPr>
        <w:rFonts w:ascii="Calibri Light" w:eastAsia="Times New Roman" w:hAnsi="Calibri Light" w:cs="Times New Roman" w:hint="default"/>
        <w:i/>
        <w:iCs/>
        <w:sz w:val="26"/>
        <w:szCs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ghtShading">
    <w:name w:val="Light Shading"/>
    <w:basedOn w:val="TableNormal"/>
    <w:uiPriority w:val="60"/>
    <w:rsid w:val="00F7492E"/>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Heading1Char">
    <w:name w:val="Heading 1 Char"/>
    <w:basedOn w:val="DefaultParagraphFont"/>
    <w:link w:val="Heading1"/>
    <w:rsid w:val="00E81F9A"/>
    <w:rPr>
      <w:b/>
      <w:caps/>
      <w:sz w:val="24"/>
      <w:lang w:val="en-US" w:eastAsia="en-US"/>
    </w:rPr>
  </w:style>
  <w:style w:type="table" w:customStyle="1" w:styleId="PlainTable21">
    <w:name w:val="Plain Table 21"/>
    <w:basedOn w:val="TableNormal"/>
    <w:next w:val="PlainTable22"/>
    <w:uiPriority w:val="42"/>
    <w:rsid w:val="00B76A69"/>
    <w:rPr>
      <w:rFonts w:ascii="Calibri" w:eastAsia="Calibri" w:hAnsi="Calibri" w:cs="Arial"/>
      <w:kern w:val="2"/>
      <w:sz w:val="24"/>
      <w:szCs w:val="24"/>
      <w:lang w:val="en-US" w:eastAsia="en-US"/>
      <w14:ligatures w14:val="standardContextu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2">
    <w:name w:val="Plain Table 22"/>
    <w:basedOn w:val="TableNormal"/>
    <w:uiPriority w:val="42"/>
    <w:rsid w:val="00B76A69"/>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UnresolvedMention">
    <w:name w:val="Unresolved Mention"/>
    <w:basedOn w:val="DefaultParagraphFont"/>
    <w:uiPriority w:val="99"/>
    <w:semiHidden/>
    <w:unhideWhenUsed/>
    <w:rsid w:val="004D786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971668">
      <w:bodyDiv w:val="1"/>
      <w:marLeft w:val="0"/>
      <w:marRight w:val="0"/>
      <w:marTop w:val="0"/>
      <w:marBottom w:val="0"/>
      <w:divBdr>
        <w:top w:val="none" w:sz="0" w:space="0" w:color="auto"/>
        <w:left w:val="none" w:sz="0" w:space="0" w:color="auto"/>
        <w:bottom w:val="none" w:sz="0" w:space="0" w:color="auto"/>
        <w:right w:val="none" w:sz="0" w:space="0" w:color="auto"/>
      </w:divBdr>
    </w:div>
    <w:div w:id="133834347">
      <w:bodyDiv w:val="1"/>
      <w:marLeft w:val="0"/>
      <w:marRight w:val="0"/>
      <w:marTop w:val="0"/>
      <w:marBottom w:val="0"/>
      <w:divBdr>
        <w:top w:val="none" w:sz="0" w:space="0" w:color="auto"/>
        <w:left w:val="none" w:sz="0" w:space="0" w:color="auto"/>
        <w:bottom w:val="none" w:sz="0" w:space="0" w:color="auto"/>
        <w:right w:val="none" w:sz="0" w:space="0" w:color="auto"/>
      </w:divBdr>
    </w:div>
    <w:div w:id="253825522">
      <w:bodyDiv w:val="1"/>
      <w:marLeft w:val="0"/>
      <w:marRight w:val="0"/>
      <w:marTop w:val="0"/>
      <w:marBottom w:val="0"/>
      <w:divBdr>
        <w:top w:val="none" w:sz="0" w:space="0" w:color="auto"/>
        <w:left w:val="none" w:sz="0" w:space="0" w:color="auto"/>
        <w:bottom w:val="none" w:sz="0" w:space="0" w:color="auto"/>
        <w:right w:val="none" w:sz="0" w:space="0" w:color="auto"/>
      </w:divBdr>
    </w:div>
    <w:div w:id="319818050">
      <w:bodyDiv w:val="1"/>
      <w:marLeft w:val="0"/>
      <w:marRight w:val="0"/>
      <w:marTop w:val="0"/>
      <w:marBottom w:val="0"/>
      <w:divBdr>
        <w:top w:val="none" w:sz="0" w:space="0" w:color="auto"/>
        <w:left w:val="none" w:sz="0" w:space="0" w:color="auto"/>
        <w:bottom w:val="none" w:sz="0" w:space="0" w:color="auto"/>
        <w:right w:val="none" w:sz="0" w:space="0" w:color="auto"/>
      </w:divBdr>
    </w:div>
    <w:div w:id="377316514">
      <w:bodyDiv w:val="1"/>
      <w:marLeft w:val="0"/>
      <w:marRight w:val="0"/>
      <w:marTop w:val="0"/>
      <w:marBottom w:val="0"/>
      <w:divBdr>
        <w:top w:val="none" w:sz="0" w:space="0" w:color="auto"/>
        <w:left w:val="none" w:sz="0" w:space="0" w:color="auto"/>
        <w:bottom w:val="none" w:sz="0" w:space="0" w:color="auto"/>
        <w:right w:val="none" w:sz="0" w:space="0" w:color="auto"/>
      </w:divBdr>
    </w:div>
    <w:div w:id="690296914">
      <w:bodyDiv w:val="1"/>
      <w:marLeft w:val="0"/>
      <w:marRight w:val="0"/>
      <w:marTop w:val="0"/>
      <w:marBottom w:val="0"/>
      <w:divBdr>
        <w:top w:val="none" w:sz="0" w:space="0" w:color="auto"/>
        <w:left w:val="none" w:sz="0" w:space="0" w:color="auto"/>
        <w:bottom w:val="none" w:sz="0" w:space="0" w:color="auto"/>
        <w:right w:val="none" w:sz="0" w:space="0" w:color="auto"/>
      </w:divBdr>
    </w:div>
    <w:div w:id="720523892">
      <w:bodyDiv w:val="1"/>
      <w:marLeft w:val="0"/>
      <w:marRight w:val="0"/>
      <w:marTop w:val="0"/>
      <w:marBottom w:val="0"/>
      <w:divBdr>
        <w:top w:val="none" w:sz="0" w:space="0" w:color="auto"/>
        <w:left w:val="none" w:sz="0" w:space="0" w:color="auto"/>
        <w:bottom w:val="none" w:sz="0" w:space="0" w:color="auto"/>
        <w:right w:val="none" w:sz="0" w:space="0" w:color="auto"/>
      </w:divBdr>
    </w:div>
    <w:div w:id="753743924">
      <w:bodyDiv w:val="1"/>
      <w:marLeft w:val="0"/>
      <w:marRight w:val="0"/>
      <w:marTop w:val="0"/>
      <w:marBottom w:val="0"/>
      <w:divBdr>
        <w:top w:val="none" w:sz="0" w:space="0" w:color="auto"/>
        <w:left w:val="none" w:sz="0" w:space="0" w:color="auto"/>
        <w:bottom w:val="none" w:sz="0" w:space="0" w:color="auto"/>
        <w:right w:val="none" w:sz="0" w:space="0" w:color="auto"/>
      </w:divBdr>
    </w:div>
    <w:div w:id="756096542">
      <w:bodyDiv w:val="1"/>
      <w:marLeft w:val="0"/>
      <w:marRight w:val="0"/>
      <w:marTop w:val="0"/>
      <w:marBottom w:val="0"/>
      <w:divBdr>
        <w:top w:val="none" w:sz="0" w:space="0" w:color="auto"/>
        <w:left w:val="none" w:sz="0" w:space="0" w:color="auto"/>
        <w:bottom w:val="none" w:sz="0" w:space="0" w:color="auto"/>
        <w:right w:val="none" w:sz="0" w:space="0" w:color="auto"/>
      </w:divBdr>
    </w:div>
    <w:div w:id="835261954">
      <w:bodyDiv w:val="1"/>
      <w:marLeft w:val="0"/>
      <w:marRight w:val="0"/>
      <w:marTop w:val="0"/>
      <w:marBottom w:val="0"/>
      <w:divBdr>
        <w:top w:val="none" w:sz="0" w:space="0" w:color="auto"/>
        <w:left w:val="none" w:sz="0" w:space="0" w:color="auto"/>
        <w:bottom w:val="none" w:sz="0" w:space="0" w:color="auto"/>
        <w:right w:val="none" w:sz="0" w:space="0" w:color="auto"/>
      </w:divBdr>
    </w:div>
    <w:div w:id="883828456">
      <w:bodyDiv w:val="1"/>
      <w:marLeft w:val="0"/>
      <w:marRight w:val="0"/>
      <w:marTop w:val="0"/>
      <w:marBottom w:val="0"/>
      <w:divBdr>
        <w:top w:val="none" w:sz="0" w:space="0" w:color="auto"/>
        <w:left w:val="none" w:sz="0" w:space="0" w:color="auto"/>
        <w:bottom w:val="none" w:sz="0" w:space="0" w:color="auto"/>
        <w:right w:val="none" w:sz="0" w:space="0" w:color="auto"/>
      </w:divBdr>
    </w:div>
    <w:div w:id="943734686">
      <w:bodyDiv w:val="1"/>
      <w:marLeft w:val="0"/>
      <w:marRight w:val="0"/>
      <w:marTop w:val="0"/>
      <w:marBottom w:val="0"/>
      <w:divBdr>
        <w:top w:val="none" w:sz="0" w:space="0" w:color="auto"/>
        <w:left w:val="none" w:sz="0" w:space="0" w:color="auto"/>
        <w:bottom w:val="none" w:sz="0" w:space="0" w:color="auto"/>
        <w:right w:val="none" w:sz="0" w:space="0" w:color="auto"/>
      </w:divBdr>
    </w:div>
    <w:div w:id="1047410874">
      <w:bodyDiv w:val="1"/>
      <w:marLeft w:val="0"/>
      <w:marRight w:val="0"/>
      <w:marTop w:val="0"/>
      <w:marBottom w:val="0"/>
      <w:divBdr>
        <w:top w:val="none" w:sz="0" w:space="0" w:color="auto"/>
        <w:left w:val="none" w:sz="0" w:space="0" w:color="auto"/>
        <w:bottom w:val="none" w:sz="0" w:space="0" w:color="auto"/>
        <w:right w:val="none" w:sz="0" w:space="0" w:color="auto"/>
      </w:divBdr>
    </w:div>
    <w:div w:id="1223833000">
      <w:bodyDiv w:val="1"/>
      <w:marLeft w:val="0"/>
      <w:marRight w:val="0"/>
      <w:marTop w:val="0"/>
      <w:marBottom w:val="0"/>
      <w:divBdr>
        <w:top w:val="none" w:sz="0" w:space="0" w:color="auto"/>
        <w:left w:val="none" w:sz="0" w:space="0" w:color="auto"/>
        <w:bottom w:val="none" w:sz="0" w:space="0" w:color="auto"/>
        <w:right w:val="none" w:sz="0" w:space="0" w:color="auto"/>
      </w:divBdr>
    </w:div>
    <w:div w:id="1235236577">
      <w:bodyDiv w:val="1"/>
      <w:marLeft w:val="0"/>
      <w:marRight w:val="0"/>
      <w:marTop w:val="0"/>
      <w:marBottom w:val="0"/>
      <w:divBdr>
        <w:top w:val="none" w:sz="0" w:space="0" w:color="auto"/>
        <w:left w:val="none" w:sz="0" w:space="0" w:color="auto"/>
        <w:bottom w:val="none" w:sz="0" w:space="0" w:color="auto"/>
        <w:right w:val="none" w:sz="0" w:space="0" w:color="auto"/>
      </w:divBdr>
    </w:div>
    <w:div w:id="1263681671">
      <w:bodyDiv w:val="1"/>
      <w:marLeft w:val="0"/>
      <w:marRight w:val="0"/>
      <w:marTop w:val="0"/>
      <w:marBottom w:val="0"/>
      <w:divBdr>
        <w:top w:val="none" w:sz="0" w:space="0" w:color="auto"/>
        <w:left w:val="none" w:sz="0" w:space="0" w:color="auto"/>
        <w:bottom w:val="none" w:sz="0" w:space="0" w:color="auto"/>
        <w:right w:val="none" w:sz="0" w:space="0" w:color="auto"/>
      </w:divBdr>
    </w:div>
    <w:div w:id="1283997439">
      <w:bodyDiv w:val="1"/>
      <w:marLeft w:val="0"/>
      <w:marRight w:val="0"/>
      <w:marTop w:val="0"/>
      <w:marBottom w:val="0"/>
      <w:divBdr>
        <w:top w:val="none" w:sz="0" w:space="0" w:color="auto"/>
        <w:left w:val="none" w:sz="0" w:space="0" w:color="auto"/>
        <w:bottom w:val="none" w:sz="0" w:space="0" w:color="auto"/>
        <w:right w:val="none" w:sz="0" w:space="0" w:color="auto"/>
      </w:divBdr>
    </w:div>
    <w:div w:id="1292009021">
      <w:bodyDiv w:val="1"/>
      <w:marLeft w:val="0"/>
      <w:marRight w:val="0"/>
      <w:marTop w:val="0"/>
      <w:marBottom w:val="0"/>
      <w:divBdr>
        <w:top w:val="none" w:sz="0" w:space="0" w:color="auto"/>
        <w:left w:val="none" w:sz="0" w:space="0" w:color="auto"/>
        <w:bottom w:val="none" w:sz="0" w:space="0" w:color="auto"/>
        <w:right w:val="none" w:sz="0" w:space="0" w:color="auto"/>
      </w:divBdr>
    </w:div>
    <w:div w:id="1667437760">
      <w:bodyDiv w:val="1"/>
      <w:marLeft w:val="0"/>
      <w:marRight w:val="0"/>
      <w:marTop w:val="0"/>
      <w:marBottom w:val="0"/>
      <w:divBdr>
        <w:top w:val="none" w:sz="0" w:space="0" w:color="auto"/>
        <w:left w:val="none" w:sz="0" w:space="0" w:color="auto"/>
        <w:bottom w:val="none" w:sz="0" w:space="0" w:color="auto"/>
        <w:right w:val="none" w:sz="0" w:space="0" w:color="auto"/>
      </w:divBdr>
    </w:div>
    <w:div w:id="1685475385">
      <w:bodyDiv w:val="1"/>
      <w:marLeft w:val="0"/>
      <w:marRight w:val="0"/>
      <w:marTop w:val="0"/>
      <w:marBottom w:val="0"/>
      <w:divBdr>
        <w:top w:val="none" w:sz="0" w:space="0" w:color="auto"/>
        <w:left w:val="none" w:sz="0" w:space="0" w:color="auto"/>
        <w:bottom w:val="none" w:sz="0" w:space="0" w:color="auto"/>
        <w:right w:val="none" w:sz="0" w:space="0" w:color="auto"/>
      </w:divBdr>
    </w:div>
    <w:div w:id="1725762643">
      <w:bodyDiv w:val="1"/>
      <w:marLeft w:val="0"/>
      <w:marRight w:val="0"/>
      <w:marTop w:val="0"/>
      <w:marBottom w:val="0"/>
      <w:divBdr>
        <w:top w:val="none" w:sz="0" w:space="0" w:color="auto"/>
        <w:left w:val="none" w:sz="0" w:space="0" w:color="auto"/>
        <w:bottom w:val="none" w:sz="0" w:space="0" w:color="auto"/>
        <w:right w:val="none" w:sz="0" w:space="0" w:color="auto"/>
      </w:divBdr>
    </w:div>
    <w:div w:id="1761096229">
      <w:bodyDiv w:val="1"/>
      <w:marLeft w:val="0"/>
      <w:marRight w:val="0"/>
      <w:marTop w:val="0"/>
      <w:marBottom w:val="0"/>
      <w:divBdr>
        <w:top w:val="none" w:sz="0" w:space="0" w:color="auto"/>
        <w:left w:val="none" w:sz="0" w:space="0" w:color="auto"/>
        <w:bottom w:val="none" w:sz="0" w:space="0" w:color="auto"/>
        <w:right w:val="none" w:sz="0" w:space="0" w:color="auto"/>
      </w:divBdr>
    </w:div>
    <w:div w:id="1842313687">
      <w:bodyDiv w:val="1"/>
      <w:marLeft w:val="0"/>
      <w:marRight w:val="0"/>
      <w:marTop w:val="0"/>
      <w:marBottom w:val="0"/>
      <w:divBdr>
        <w:top w:val="none" w:sz="0" w:space="0" w:color="auto"/>
        <w:left w:val="none" w:sz="0" w:space="0" w:color="auto"/>
        <w:bottom w:val="none" w:sz="0" w:space="0" w:color="auto"/>
        <w:right w:val="none" w:sz="0" w:space="0" w:color="auto"/>
      </w:divBdr>
    </w:div>
    <w:div w:id="1897278182">
      <w:bodyDiv w:val="1"/>
      <w:marLeft w:val="0"/>
      <w:marRight w:val="0"/>
      <w:marTop w:val="0"/>
      <w:marBottom w:val="0"/>
      <w:divBdr>
        <w:top w:val="none" w:sz="0" w:space="0" w:color="auto"/>
        <w:left w:val="none" w:sz="0" w:space="0" w:color="auto"/>
        <w:bottom w:val="none" w:sz="0" w:space="0" w:color="auto"/>
        <w:right w:val="none" w:sz="0" w:space="0" w:color="auto"/>
      </w:divBdr>
    </w:div>
    <w:div w:id="1989819130">
      <w:bodyDiv w:val="1"/>
      <w:marLeft w:val="0"/>
      <w:marRight w:val="0"/>
      <w:marTop w:val="0"/>
      <w:marBottom w:val="0"/>
      <w:divBdr>
        <w:top w:val="none" w:sz="0" w:space="0" w:color="auto"/>
        <w:left w:val="none" w:sz="0" w:space="0" w:color="auto"/>
        <w:bottom w:val="none" w:sz="0" w:space="0" w:color="auto"/>
        <w:right w:val="none" w:sz="0" w:space="0" w:color="auto"/>
      </w:divBdr>
    </w:div>
    <w:div w:id="2036418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0.tif"/><Relationship Id="rId18" Type="http://schemas.openxmlformats.org/officeDocument/2006/relationships/image" Target="media/image5.tif"/><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settings" Target="settings.xml"/><Relationship Id="rId12" Type="http://schemas.openxmlformats.org/officeDocument/2006/relationships/image" Target="media/image2.tif"/><Relationship Id="rId17" Type="http://schemas.openxmlformats.org/officeDocument/2006/relationships/image" Target="media/image40.tif"/><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tif"/><Relationship Id="rId20" Type="http://schemas.openxmlformats.org/officeDocument/2006/relationships/image" Target="media/image6.png"/><Relationship Id="rId29" Type="http://schemas.openxmlformats.org/officeDocument/2006/relationships/image" Target="media/image100.ti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1.tif"/><Relationship Id="rId24" Type="http://schemas.openxmlformats.org/officeDocument/2006/relationships/image" Target="media/image10.tif"/><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0.tif"/><Relationship Id="rId23" Type="http://schemas.openxmlformats.org/officeDocument/2006/relationships/image" Target="media/image9.png"/><Relationship Id="rId10" Type="http://schemas.openxmlformats.org/officeDocument/2006/relationships/image" Target="media/image1.tif"/><Relationship Id="rId19" Type="http://schemas.openxmlformats.org/officeDocument/2006/relationships/image" Target="media/image50.tif"/><Relationship Id="rId31" Type="http://schemas.openxmlformats.org/officeDocument/2006/relationships/image" Target="media/image110.tiff"/><Relationship Id="rId4" Type="http://schemas.openxmlformats.org/officeDocument/2006/relationships/customXml" Target="../customXml/item4.xml"/><Relationship Id="rId9" Type="http://schemas.openxmlformats.org/officeDocument/2006/relationships/hyperlink" Target="mailto:shimaa.aziz@uos.edu.iq" TargetMode="External"/><Relationship Id="rId14" Type="http://schemas.openxmlformats.org/officeDocument/2006/relationships/image" Target="media/image3.tif"/><Relationship Id="rId22" Type="http://schemas.openxmlformats.org/officeDocument/2006/relationships/image" Target="media/image8.png"/><Relationship Id="rId30" Type="http://schemas.openxmlformats.org/officeDocument/2006/relationships/image" Target="media/image11.tif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levins\Desktop\8x11WordTemplates\article_templates\single_column\8_point5_x11_single_column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46995F60857E14C80FE53F9695AA2C6" ma:contentTypeVersion="7" ma:contentTypeDescription="Create a new document." ma:contentTypeScope="" ma:versionID="38c5f35686c3c4cec37769de32b93b97">
  <xsd:schema xmlns:xsd="http://www.w3.org/2001/XMLSchema" xmlns:xs="http://www.w3.org/2001/XMLSchema" xmlns:p="http://schemas.microsoft.com/office/2006/metadata/properties" xmlns:ns2="62f7b773-16dd-4b3c-b599-ed9bfcbd904f" xmlns:ns3="c3a8a8ca-00e5-416b-a184-163173e53f53" targetNamespace="http://schemas.microsoft.com/office/2006/metadata/properties" ma:root="true" ma:fieldsID="c7a00eb472d1264d625833f449ae8108" ns2:_="" ns3:_="">
    <xsd:import namespace="62f7b773-16dd-4b3c-b599-ed9bfcbd904f"/>
    <xsd:import namespace="c3a8a8ca-00e5-416b-a184-163173e53f5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f7b773-16dd-4b3c-b599-ed9bfcbd90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3a8a8ca-00e5-416b-a184-163173e53f53"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3F62D3-EB58-423F-9DEC-FB3FD7A72760}">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CF065601-3004-4BED-8BEF-2E59F4003D3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2f7b773-16dd-4b3c-b599-ed9bfcbd904f"/>
    <ds:schemaRef ds:uri="c3a8a8ca-00e5-416b-a184-163173e53f5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844FC6D-7350-442F-8936-25B8D55E2C0C}">
  <ds:schemaRefs>
    <ds:schemaRef ds:uri="http://schemas.microsoft.com/sharepoint/v3/contenttype/forms"/>
  </ds:schemaRefs>
</ds:datastoreItem>
</file>

<file path=customXml/itemProps4.xml><?xml version="1.0" encoding="utf-8"?>
<ds:datastoreItem xmlns:ds="http://schemas.openxmlformats.org/officeDocument/2006/customXml" ds:itemID="{315E2117-E8E6-4660-8C46-8D49FA1E45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8_point5_x11_single_column_template</Template>
  <TotalTime>4</TotalTime>
  <Pages>9</Pages>
  <Words>11508</Words>
  <Characters>66978</Characters>
  <Application>Microsoft Office Word</Application>
  <DocSecurity>0</DocSecurity>
  <Lines>1014</Lines>
  <Paragraphs>415</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Title Goes Here</vt:lpstr>
      <vt:lpstr>Title Goes Here</vt:lpstr>
    </vt:vector>
  </TitlesOfParts>
  <Company>PPI</Company>
  <LinksUpToDate>false</LinksUpToDate>
  <CharactersWithSpaces>78071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Goes Here</dc:title>
  <dc:creator>Ruth Levins</dc:creator>
  <cp:lastModifiedBy>Chafic Salame</cp:lastModifiedBy>
  <cp:revision>4</cp:revision>
  <cp:lastPrinted>2025-10-01T19:53:00Z</cp:lastPrinted>
  <dcterms:created xsi:type="dcterms:W3CDTF">2025-11-25T18:14:00Z</dcterms:created>
  <dcterms:modified xsi:type="dcterms:W3CDTF">2025-12-06T16:00:00Z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0x010100846995F60857E14C80FE53F9695AA2C6</vt:lpwstr>
  </property>
  <property fmtid="{D5CDD505-2E9C-101B-9397-08002B2CF9AE}" pid="3" name="GrammarlyDocumentId">
    <vt:lpwstr>6673fb13-6edf-4067-abde-b784e444ad81</vt:lpwstr>
  </property>
</Properties>
</file>