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30A12B" w14:textId="325B73F5" w:rsidR="009B5F15" w:rsidRDefault="009B5F15" w:rsidP="004C274D">
      <w:pPr>
        <w:pStyle w:val="Title"/>
        <w:jc w:val="center"/>
        <w:rPr>
          <w:rFonts w:asciiTheme="majorBidi" w:hAnsiTheme="majorBidi"/>
          <w:b/>
          <w:bCs/>
          <w:sz w:val="36"/>
          <w:szCs w:val="36"/>
        </w:rPr>
      </w:pPr>
      <w:r>
        <w:rPr>
          <w:rFonts w:asciiTheme="majorBidi" w:hAnsiTheme="majorBidi"/>
          <w:b/>
          <w:bCs/>
          <w:sz w:val="36"/>
          <w:szCs w:val="36"/>
        </w:rPr>
        <w:t>Flow Dynamics, Acoustic</w:t>
      </w:r>
      <w:r w:rsidR="004C274D">
        <w:rPr>
          <w:rFonts w:asciiTheme="majorBidi" w:hAnsiTheme="majorBidi"/>
          <w:b/>
          <w:bCs/>
          <w:sz w:val="36"/>
          <w:szCs w:val="36"/>
        </w:rPr>
        <w:t xml:space="preserve"> generation</w:t>
      </w:r>
      <w:r>
        <w:rPr>
          <w:rFonts w:asciiTheme="majorBidi" w:hAnsiTheme="majorBidi"/>
          <w:b/>
          <w:bCs/>
          <w:sz w:val="36"/>
          <w:szCs w:val="36"/>
        </w:rPr>
        <w:t xml:space="preserve"> and Heat Transfer of a Rectangular Jet Imping</w:t>
      </w:r>
      <w:r w:rsidR="004C274D">
        <w:rPr>
          <w:rFonts w:asciiTheme="majorBidi" w:hAnsiTheme="majorBidi"/>
          <w:b/>
          <w:bCs/>
          <w:sz w:val="36"/>
          <w:szCs w:val="36"/>
        </w:rPr>
        <w:t>ing</w:t>
      </w:r>
      <w:r>
        <w:rPr>
          <w:rFonts w:asciiTheme="majorBidi" w:hAnsiTheme="majorBidi"/>
          <w:b/>
          <w:bCs/>
          <w:sz w:val="36"/>
          <w:szCs w:val="36"/>
        </w:rPr>
        <w:t xml:space="preserve"> on a Heated Plate</w:t>
      </w:r>
    </w:p>
    <w:p w14:paraId="22963BC1" w14:textId="3A38D1D1" w:rsidR="00FD1497" w:rsidRPr="00FD1497" w:rsidRDefault="00FD1497" w:rsidP="00046622">
      <w:pPr>
        <w:pStyle w:val="AuthorName"/>
        <w:rPr>
          <w:sz w:val="20"/>
          <w:lang w:eastAsia="en-GB"/>
        </w:rPr>
      </w:pPr>
      <w:r>
        <w:t xml:space="preserve">Michel Matar </w:t>
      </w:r>
      <w:r w:rsidR="00EF6940" w:rsidRPr="2F830975">
        <w:rPr>
          <w:vertAlign w:val="superscript"/>
        </w:rPr>
        <w:t>1,</w:t>
      </w:r>
      <w:r w:rsidR="003A5C85" w:rsidRPr="2F830975">
        <w:rPr>
          <w:vertAlign w:val="superscript"/>
        </w:rPr>
        <w:t xml:space="preserve"> </w:t>
      </w:r>
      <w:r>
        <w:rPr>
          <w:vertAlign w:val="superscript"/>
        </w:rPr>
        <w:t>b</w:t>
      </w:r>
      <w:r w:rsidR="00EF6940" w:rsidRPr="2F830975">
        <w:rPr>
          <w:vertAlign w:val="superscript"/>
        </w:rPr>
        <w:t>)</w:t>
      </w:r>
      <w:r>
        <w:t>, Bilal EL Zohbi</w:t>
      </w:r>
      <w:r>
        <w:rPr>
          <w:vertAlign w:val="superscript"/>
        </w:rPr>
        <w:t>2</w:t>
      </w:r>
      <w:r w:rsidRPr="2F830975">
        <w:rPr>
          <w:vertAlign w:val="superscript"/>
        </w:rPr>
        <w:t xml:space="preserve">, </w:t>
      </w:r>
      <w:r>
        <w:rPr>
          <w:vertAlign w:val="superscript"/>
        </w:rPr>
        <w:t>c</w:t>
      </w:r>
      <w:r w:rsidRPr="2F830975">
        <w:rPr>
          <w:vertAlign w:val="superscript"/>
        </w:rPr>
        <w:t>)</w:t>
      </w:r>
      <w:r>
        <w:t>, Kamel Abed-Meraim</w:t>
      </w:r>
      <w:r>
        <w:rPr>
          <w:vertAlign w:val="superscript"/>
        </w:rPr>
        <w:t>3</w:t>
      </w:r>
      <w:r w:rsidRPr="2F830975">
        <w:rPr>
          <w:vertAlign w:val="superscript"/>
        </w:rPr>
        <w:t xml:space="preserve">, </w:t>
      </w:r>
      <w:r>
        <w:rPr>
          <w:vertAlign w:val="superscript"/>
        </w:rPr>
        <w:t>d</w:t>
      </w:r>
      <w:r w:rsidRPr="2F830975">
        <w:rPr>
          <w:vertAlign w:val="superscript"/>
        </w:rPr>
        <w:t>)</w:t>
      </w:r>
      <w:r>
        <w:t xml:space="preserve">, </w:t>
      </w:r>
      <w:r w:rsidR="00046622">
        <w:t>Bilal Taher</w:t>
      </w:r>
      <w:r w:rsidR="00046622" w:rsidRPr="2F830975">
        <w:rPr>
          <w:vertAlign w:val="superscript"/>
        </w:rPr>
        <w:t xml:space="preserve">1, </w:t>
      </w:r>
      <w:r w:rsidR="00046622">
        <w:rPr>
          <w:vertAlign w:val="superscript"/>
        </w:rPr>
        <w:t>e</w:t>
      </w:r>
      <w:r w:rsidR="00817E85">
        <w:rPr>
          <w:vertAlign w:val="superscript"/>
        </w:rPr>
        <w:t>)</w:t>
      </w:r>
      <w:r w:rsidR="00046622">
        <w:t xml:space="preserve">, </w:t>
      </w:r>
      <w:r>
        <w:t>Hassan Assoum</w:t>
      </w:r>
      <w:r w:rsidRPr="2F830975">
        <w:rPr>
          <w:vertAlign w:val="superscript"/>
        </w:rPr>
        <w:t>1,</w:t>
      </w:r>
      <w:r w:rsidR="006B32D4">
        <w:rPr>
          <w:vertAlign w:val="superscript"/>
        </w:rPr>
        <w:t xml:space="preserve"> </w:t>
      </w:r>
      <w:r>
        <w:rPr>
          <w:vertAlign w:val="superscript"/>
        </w:rPr>
        <w:t>3</w:t>
      </w:r>
      <w:r w:rsidR="00817E85">
        <w:rPr>
          <w:vertAlign w:val="superscript"/>
        </w:rPr>
        <w:t>,</w:t>
      </w:r>
      <w:r w:rsidRPr="2F830975">
        <w:rPr>
          <w:vertAlign w:val="superscript"/>
        </w:rPr>
        <w:t xml:space="preserve"> </w:t>
      </w:r>
      <w:r>
        <w:rPr>
          <w:vertAlign w:val="superscript"/>
        </w:rPr>
        <w:t>a</w:t>
      </w:r>
      <w:r w:rsidRPr="2F830975">
        <w:rPr>
          <w:vertAlign w:val="superscript"/>
        </w:rPr>
        <w:t>)</w:t>
      </w:r>
      <w:r>
        <w:t xml:space="preserve"> </w:t>
      </w:r>
      <w:r w:rsidR="0016385D">
        <w:t xml:space="preserve">and </w:t>
      </w:r>
      <w:r>
        <w:t xml:space="preserve">Anas Sakout </w:t>
      </w:r>
      <w:r w:rsidR="00EF6940" w:rsidRPr="2F830975">
        <w:rPr>
          <w:vertAlign w:val="superscript"/>
        </w:rPr>
        <w:t>3</w:t>
      </w:r>
      <w:r w:rsidR="003A5C85" w:rsidRPr="2F830975">
        <w:rPr>
          <w:vertAlign w:val="superscript"/>
        </w:rPr>
        <w:t xml:space="preserve">, </w:t>
      </w:r>
      <w:r>
        <w:rPr>
          <w:vertAlign w:val="superscript"/>
        </w:rPr>
        <w:t>f</w:t>
      </w:r>
      <w:r w:rsidR="003A5C85" w:rsidRPr="2F830975">
        <w:rPr>
          <w:vertAlign w:val="superscript"/>
        </w:rPr>
        <w:t>)</w:t>
      </w:r>
    </w:p>
    <w:p w14:paraId="771D6B6C" w14:textId="5E5F94FE" w:rsidR="00C14B14" w:rsidRPr="00BB63BA" w:rsidRDefault="00027428" w:rsidP="00FD1497">
      <w:pPr>
        <w:pStyle w:val="AuthorAffiliation"/>
      </w:pPr>
      <w:r w:rsidRPr="00BB63BA">
        <w:rPr>
          <w:vertAlign w:val="superscript"/>
        </w:rPr>
        <w:t>1</w:t>
      </w:r>
      <w:r w:rsidR="00FD1497" w:rsidRPr="00BB63BA">
        <w:t xml:space="preserve"> Beirut Arab University, Mechanical Engineering Department, Lebanon</w:t>
      </w:r>
      <w:r w:rsidR="00BB63BA" w:rsidRPr="00BB63BA">
        <w:t>.</w:t>
      </w:r>
      <w:r w:rsidR="0016782F" w:rsidRPr="00BB63BA">
        <w:br/>
        <w:t xml:space="preserve"> </w:t>
      </w:r>
      <w:r w:rsidR="00C14B14" w:rsidRPr="00BB63BA">
        <w:rPr>
          <w:vertAlign w:val="superscript"/>
        </w:rPr>
        <w:t>2</w:t>
      </w:r>
      <w:r w:rsidR="00FD1497" w:rsidRPr="00BB63BA">
        <w:t xml:space="preserve"> Lebanese International University, Mechanical Engineering Department, Lebanon</w:t>
      </w:r>
      <w:r w:rsidR="00BB63BA" w:rsidRPr="00BB63BA">
        <w:t>.</w:t>
      </w:r>
      <w:r w:rsidR="00C14B14" w:rsidRPr="00BB63BA">
        <w:br/>
      </w:r>
      <w:r w:rsidR="00C14B14" w:rsidRPr="00BB63BA">
        <w:rPr>
          <w:vertAlign w:val="superscript"/>
        </w:rPr>
        <w:t>3</w:t>
      </w:r>
      <w:r w:rsidR="00FD1497" w:rsidRPr="00BB63BA">
        <w:t xml:space="preserve"> LASIE UMR CNRS 7356, La Rochelle University, La Rochelle, France</w:t>
      </w:r>
      <w:r w:rsidR="00C14B14" w:rsidRPr="00BB63BA">
        <w:t>.</w:t>
      </w:r>
    </w:p>
    <w:p w14:paraId="3EAF16AE" w14:textId="76F341AD" w:rsidR="00C14B14" w:rsidRPr="00BB63BA" w:rsidRDefault="00C14B14" w:rsidP="00817E85">
      <w:pPr>
        <w:pStyle w:val="AuthorAffiliation"/>
      </w:pPr>
    </w:p>
    <w:p w14:paraId="5E05E235" w14:textId="4A2A52DE" w:rsidR="003A5C85" w:rsidRPr="00BB63BA" w:rsidRDefault="00003D7C" w:rsidP="00FD1497">
      <w:pPr>
        <w:pStyle w:val="AuthorEmail"/>
        <w:rPr>
          <w:i/>
        </w:rPr>
      </w:pPr>
      <w:r w:rsidRPr="00BB63BA">
        <w:rPr>
          <w:i/>
          <w:szCs w:val="28"/>
          <w:vertAlign w:val="superscript"/>
        </w:rPr>
        <w:t>a)</w:t>
      </w:r>
      <w:r w:rsidRPr="00BB63BA">
        <w:rPr>
          <w:i/>
        </w:rPr>
        <w:t xml:space="preserve"> Corresponding</w:t>
      </w:r>
      <w:r w:rsidR="004E3CB2" w:rsidRPr="00BB63BA">
        <w:rPr>
          <w:i/>
        </w:rPr>
        <w:t xml:space="preserve"> author: </w:t>
      </w:r>
      <w:r w:rsidR="00FD1497" w:rsidRPr="00BB63BA">
        <w:rPr>
          <w:i/>
        </w:rPr>
        <w:t>h.assoum@bau.edu.lb</w:t>
      </w:r>
      <w:r w:rsidR="001D469C" w:rsidRPr="00BB63BA">
        <w:rPr>
          <w:i/>
        </w:rPr>
        <w:br/>
      </w:r>
      <w:r w:rsidR="003A5C85" w:rsidRPr="00BB63BA">
        <w:rPr>
          <w:i/>
          <w:szCs w:val="28"/>
          <w:vertAlign w:val="superscript"/>
        </w:rPr>
        <w:t>b)</w:t>
      </w:r>
      <w:r w:rsidR="00FD1497" w:rsidRPr="00BB63BA">
        <w:rPr>
          <w:i/>
        </w:rPr>
        <w:t>m.matar@bau.edu.lb</w:t>
      </w:r>
      <w:r w:rsidR="003A5C85" w:rsidRPr="00BB63BA">
        <w:rPr>
          <w:i/>
        </w:rPr>
        <w:br/>
      </w:r>
      <w:r w:rsidR="00FD1497" w:rsidRPr="00BB63BA">
        <w:rPr>
          <w:i/>
          <w:szCs w:val="28"/>
          <w:vertAlign w:val="superscript"/>
        </w:rPr>
        <w:t>c)</w:t>
      </w:r>
      <w:r w:rsidR="00FD1497" w:rsidRPr="00BB63BA">
        <w:rPr>
          <w:i/>
        </w:rPr>
        <w:t>Bilal.zohbi@outlook.com</w:t>
      </w:r>
    </w:p>
    <w:p w14:paraId="6A734AD1" w14:textId="54B9E74A" w:rsidR="00FD1497" w:rsidRPr="00BB63BA" w:rsidRDefault="00FD1497" w:rsidP="00FD1497">
      <w:pPr>
        <w:pStyle w:val="AuthorEmail"/>
        <w:rPr>
          <w:i/>
        </w:rPr>
      </w:pPr>
      <w:r w:rsidRPr="00BB63BA">
        <w:rPr>
          <w:i/>
          <w:szCs w:val="28"/>
          <w:vertAlign w:val="superscript"/>
        </w:rPr>
        <w:t>d)</w:t>
      </w:r>
      <w:r w:rsidRPr="00BB63BA">
        <w:rPr>
          <w:i/>
        </w:rPr>
        <w:t>kabedmer@univ-lr.fr</w:t>
      </w:r>
    </w:p>
    <w:p w14:paraId="68340DBC" w14:textId="6A50B1F8" w:rsidR="00FD1497" w:rsidRPr="00BB63BA" w:rsidRDefault="00FD1497" w:rsidP="00046622">
      <w:pPr>
        <w:pStyle w:val="AuthorEmail"/>
        <w:rPr>
          <w:i/>
        </w:rPr>
      </w:pPr>
      <w:r w:rsidRPr="00BB63BA">
        <w:rPr>
          <w:i/>
          <w:szCs w:val="28"/>
          <w:vertAlign w:val="superscript"/>
        </w:rPr>
        <w:t>e</w:t>
      </w:r>
      <w:r w:rsidRPr="00BB63BA">
        <w:rPr>
          <w:i/>
        </w:rPr>
        <w:t xml:space="preserve"> </w:t>
      </w:r>
      <w:r w:rsidR="00DA3F5B" w:rsidRPr="003670C0">
        <w:rPr>
          <w:i/>
        </w:rPr>
        <w:t>b.taher@bau.edu.lb</w:t>
      </w:r>
      <w:r w:rsidR="00DA3F5B">
        <w:rPr>
          <w:i/>
        </w:rPr>
        <w:t xml:space="preserve"> </w:t>
      </w:r>
    </w:p>
    <w:p w14:paraId="49E56853" w14:textId="1E4CC1C5" w:rsidR="00FD1497" w:rsidRPr="00BB63BA" w:rsidRDefault="00FD1497" w:rsidP="00FD1497">
      <w:pPr>
        <w:pStyle w:val="AuthorEmail"/>
        <w:rPr>
          <w:i/>
        </w:rPr>
      </w:pPr>
      <w:r w:rsidRPr="00BB63BA">
        <w:rPr>
          <w:i/>
          <w:szCs w:val="28"/>
          <w:vertAlign w:val="superscript"/>
        </w:rPr>
        <w:t>f)</w:t>
      </w:r>
      <w:r w:rsidRPr="00BB63BA">
        <w:rPr>
          <w:i/>
        </w:rPr>
        <w:t>asakout@univ-lr.fr</w:t>
      </w:r>
    </w:p>
    <w:p w14:paraId="22C3F2A8" w14:textId="7F385614" w:rsidR="0016385D" w:rsidRPr="00075EA6" w:rsidRDefault="0016385D" w:rsidP="00C14B14">
      <w:pPr>
        <w:pStyle w:val="Abstract"/>
      </w:pPr>
      <w:r w:rsidRPr="00075EA6">
        <w:rPr>
          <w:b/>
          <w:bCs/>
        </w:rPr>
        <w:t>Abstract.</w:t>
      </w:r>
      <w:r w:rsidRPr="00075EA6">
        <w:t xml:space="preserve"> </w:t>
      </w:r>
      <w:r w:rsidR="009B5F15">
        <w:rPr>
          <w:rFonts w:asciiTheme="majorBidi" w:hAnsiTheme="majorBidi" w:cstheme="majorBidi"/>
          <w:szCs w:val="18"/>
        </w:rPr>
        <w:t xml:space="preserve">This study investigates the coupled dynamics of flow, acoustics, and heat transfer in a rectangular jet impinging on a heated plate at a single Reynolds number of 3550. The flow field was characterized using the </w:t>
      </w:r>
      <w:r w:rsidR="009B5F15">
        <w:rPr>
          <w:rFonts w:ascii="Cambria Math" w:hAnsi="Cambria Math" w:cs="Cambria Math"/>
          <w:szCs w:val="18"/>
        </w:rPr>
        <w:t>𝑄</w:t>
      </w:r>
      <w:r w:rsidR="009B5F15">
        <w:rPr>
          <w:rFonts w:asciiTheme="majorBidi" w:hAnsiTheme="majorBidi" w:cstheme="majorBidi"/>
          <w:szCs w:val="18"/>
        </w:rPr>
        <w:t>-criterion and vortex line visualization, supported by Proper Orthogonal Decomposition (POD) to extract dominant energetic modes. Acoustic measurements from four microphones and velocity probe signals within the jet were analyzed in both frequency and modal domains to identify correlations between flow structures and acoustic resonance. Finally, heat transfer reliability was assessed through the Stanton number distribution obtained from infrared thermography of the plate. Results reveal that coherent vortical structures govern both the acoustic response and the spatial distribution of Stanton number. A clear link is established between dominant flow modes, acoustic frequencies, and localized heat transfer enhancement, demonstrating the robustness of the impinging jet configuration for thermal management applications</w:t>
      </w:r>
      <w:r w:rsidR="00B10134" w:rsidRPr="00075EA6">
        <w:t>.</w:t>
      </w:r>
    </w:p>
    <w:p w14:paraId="5240E3FB" w14:textId="475201CC" w:rsidR="003A287B" w:rsidRPr="00914B6B" w:rsidRDefault="00914B6B" w:rsidP="00914B6B">
      <w:pPr>
        <w:pStyle w:val="Heading1"/>
        <w:rPr>
          <w:rFonts w:asciiTheme="majorBidi" w:hAnsiTheme="majorBidi"/>
          <w:bCs/>
          <w:szCs w:val="24"/>
        </w:rPr>
      </w:pPr>
      <w:r w:rsidRPr="00914B6B">
        <w:rPr>
          <w:rFonts w:asciiTheme="majorBidi" w:hAnsiTheme="majorBidi"/>
          <w:szCs w:val="24"/>
        </w:rPr>
        <w:t>INTRODUCTION</w:t>
      </w:r>
      <w:r>
        <w:rPr>
          <w:rFonts w:asciiTheme="majorBidi" w:hAnsiTheme="majorBidi"/>
          <w:b w:val="0"/>
          <w:bCs/>
          <w:szCs w:val="24"/>
        </w:rPr>
        <w:t xml:space="preserve"> </w:t>
      </w:r>
    </w:p>
    <w:p w14:paraId="7313B51C" w14:textId="4E974683" w:rsidR="00914B6B" w:rsidRDefault="00914B6B" w:rsidP="00C96DAB">
      <w:pPr>
        <w:pStyle w:val="Paragraph"/>
      </w:pPr>
      <w:r w:rsidRPr="00914B6B">
        <w:t xml:space="preserve">Impinging jets are widely employed in high-performance cooling systems such as electronic device thermal management, gas turbine blade cooling, and material processing </w:t>
      </w:r>
      <w:r w:rsidRPr="00914B6B">
        <w:fldChar w:fldCharType="begin"/>
      </w:r>
      <w:r w:rsidR="00C96DAB">
        <w:instrText xml:space="preserve"> ADDIN ZOTERO_ITEM CSL_CITATION {"citationID":"LBbfTK0H","properties":{"formattedCitation":"\\super 1\\nosupersub{}","plainCitation":"1","noteIndex":0},"citationItems":[{"id":"azjSrDnu/dwQzYtJk","uris":["http://zotero.org/users/12061662/items/XUXHASPY"],"itemData":{"id":388,"type":"article-journal","container-title":"International Journal of Technology","DOI":"https://doi.org/10.14716/ijtech.v16i1.7255","ISSN":"2087-2100","issue":"1","page":"46-71","title":"Heat Transfer Characteristics of Passive, Active, and Hybrid Impinging Jets: A Review","volume":"16","author":[{"family":"Michel Matar","given":"Hassan H. Assoum","suffix":"Mohammad El Hassan, Nikolay Bukharin, Anas Sakout, Ali Hammoud"}],"issued":{"date-parts":[["2025",1]]}}}],"schema":"https://github.com/citation-style-language/schema/raw/master/csl-citation.json"} </w:instrText>
      </w:r>
      <w:r w:rsidRPr="00914B6B">
        <w:fldChar w:fldCharType="separate"/>
      </w:r>
      <w:r w:rsidRPr="00914B6B">
        <w:rPr>
          <w:vertAlign w:val="superscript"/>
        </w:rPr>
        <w:t>1</w:t>
      </w:r>
      <w:r w:rsidRPr="00914B6B">
        <w:fldChar w:fldCharType="end"/>
      </w:r>
      <w:r w:rsidRPr="00914B6B">
        <w:t xml:space="preserve">. Their cooling efficiency depends on the complex interaction between coherent vortical structures, acoustic feedback, and heat transfer mechanisms at the impingement surface </w:t>
      </w:r>
      <w:r w:rsidR="00687C44">
        <w:t>[</w:t>
      </w:r>
      <w:r w:rsidR="00687C44" w:rsidRPr="00687C44">
        <w:fldChar w:fldCharType="begin"/>
      </w:r>
      <w:r w:rsidR="00687C44" w:rsidRPr="00687C44">
        <w:instrText xml:space="preserve"> ADDIN ZOTERO_ITEM CSL_CITATION {"citationID":"ue4lHsqV","properties":{"formattedCitation":"\\super 2\\uc0\\u8211{}5\\nosupersub{}","plainCitation":"2–5","noteIndex":0},"citationItems":[{"id":"azjSrDnu/RGg8596X","uris":["http://zotero.org/users/12061662/items/KQ9KP28B"],"itemData":{"id":389,"type":"article-journal","abstract":"Impinging jets are encountered in many industrial applications and suppression of the noise generated by these jets is of great fundamental and practical interest. The vortex dynamics and the interaction between the vortical structures and the impinging wall should be understood in order to control the aero-acoustic coupling between shear layer oscillation and the acoustic modes (self-sustained tones). In this study, a plane jet issuing from a rectangular nozzle and impinging on a plate is considered for Re = 3900. The sound pressure, the vibration of the impinged plate and the spatial velocity field are obtained simultaneously using a microphone, an accelerometer and the time-resolved particle image velocimetry technique, respectively. Spectra and cross-correlations are used to educe the role of different vortical structures leading to the aero-acoustic coupling. The results show the evolution of the correlation between acoustic and transverse velocity fields in the longitudinal direction. A pre-whitening technique is used to investigate the coupling between the acoustic and the velocity signals. This method shows that the correlation between the two signals has a centred peak that is not directly related to the passage of the dominant Kelvin–Helmholtz vortices.","container-title":"Fluid Dynamics Research","DOI":"10.1088/0169-5983/45/4/045503","issue":"4","note":"publisher: IOP Publishing","page":"045503","title":"Experimental analysis of the aero-acoustic coupling in a plane impinging jet on a slotted plate","volume":"45","author":[{"family":"Assoum","given":"Hassan H"},{"family":"Hassan","given":"Mouhammad El"},{"family":"Abed-Meraïm","given":"Kamel"},{"family":"Martinuzzi","given":"Robert"},{"family":"Sakout","given":"Anas"}],"issued":{"date-parts":[["2013",6]]}}},{"id":"azjSrDnu/NfNFjmC9","uris":["http://zotero.org/users/12061662/items/EVF9DFM2"],"itemData":{"id":116,"type":"article-journal","abstract":"Self-sustained tonal sounds are related to aero-acoustic coupling and occurs in impinging jets when a feedback loop is present between the jet exit and the impinged plate. The relation between the acoustic signal and the vortex dynamics should be understood in order to control the aero-acoustic coupling between the shear layer oscillation and the acoustic modes (self-sustained tones). In this study, a plane jet issuing from a rectangular nozzle and impinging a slotted plate is considered for different Reynolds numbers. Simultaneous measurements of the velocity and the acoustic fields were performed using respectively the time-resolved particle image velocimetry (PIV) and a microphone. The trajectories of the vortices are simultaneously investigated with the acoustic level. One single path was found for the vortices when the acoustic level was low. However, in the case of a peak in the acoustic level, two paths of the vortices can exist. A detailed illustration “step by step” of the convected vortices is presented simultaneously with the acoustic signal.","container-title":"European Journal of Mechanics - B/Fluids","DOI":"https://doi.org/10.1016/j.euromechflu.2014.06.008","ISSN":"0997-7546","page":"231-235","title":"The vortex dynamics and the self sustained tones in a plane jet impinging on a slotted plate","volume":"48","author":[{"family":"Assoum","given":"Hassan H."},{"family":"Hassan","given":"Mouhammad El"},{"family":"Abed-Meraim","given":"Kamel"},{"family":"Sakout","given":"Anas"}],"issued":{"date-parts":[["2014"]]}}},{"id":"azjSrDnu/orkmm3b2","uris":["http://zotero.org/users/12061662/items/5VVVE6ZG"],"itemData":{"id":114,"type":"article-journal","abstract":"Ventilation systems are of vital importance for buildings, not only to provide acceptable thermal conditions and air quality for occupants, but also with regards to energy usage. Impinging jets can be encountered in many ventilation strategies which have major impacts on the acoustic environment and energy performance. The self-sustaining tones can be generated in such applications where a feedback loop is installed in the system. This phenomenon is explained by the corollary of Howe who shows that the origin of noise in such configurations can be attributed to fluid rotations. Howe highlights the role of phase conditions between the vorticity, the velocity of the flow and the acoustic velocity for the optimization of energy transfers between the turbulent kinetic energy and the sound field. In this work, we use 2D-PIV technique and a microphone respectively to measure the kinematic fields simultaneously with the acoustic generation for a rectangular jet impinging on a slotted plate. This study aims to investigate the transfers between the turbulent kinetic energy and the sound field for two Reynolds numbers presenting a high and a low noise levels. It is shown that phase conditions are necessary for the optimization of energy transfer which allows the installation of the self-sustained loop in the flow. It was found also that the change of the aerodynamic mode which is directly related to the self-sustained frequency amplifies the sound intensity and promotes the transfer of energy to the acoustic field.","container-title":"Energy Procedia","DOI":"https://doi.org/10.1016/j.egypro.2017.11.228","ISSN":"1876-6102","page":"398-403","title":"Experimental investigation the turbulent kinetic energy and the acoustic field in a rectangular jet impinging a slotted plate","volume":"139","author":[{"family":"Assoum","given":"H. H."},{"family":"Hamdi","given":"J."},{"family":"Abed-Meraïm","given":"K."},{"family":"Hassan","given":"M. El"},{"family":"Hammoud","given":"A."},{"family":"Sakout","given":"A."}],"issued":{"date-parts":[["2017"]]}}},{"id":"azjSrDnu/gpb10Xbn","uris":["http://zotero.org/users/12061662/items/YH72QIUJ"],"itemData":{"id":267,"type":"article-journal","abstract":"Impinging jet is of high importance for indoor air quality applications and their heat transfer capacities (flux, temperatures ...) should be considered simultaneously with other aspects of the flow such as acoustic generation. The dissipation of the kinetic energy of the jet impinging on a wall is transformed into acoustic waves and thermal effect. Thus, an experimental study was conducted to investigate the influence of a heated plate impinged by a rectangular jet on the acoustic field for a Reynolds number Re=3720. It is found that the acoustic level can change by 10% when the plate is heated. The spectrum of the acoustic signal showed changes during the heating process.","container-title":"Energy Reports","DOI":"https://doi.org/10.1016/j.egyr.2020.11.207","ISSN":"2352-4847","page":"497-501","title":"Experimental study of the thermal effect on the acoustic field generated by a jet impinging on a slotted heated plate","volume":"6","author":[{"family":"Mrach","given":"Tarek"},{"family":"Alkheir","given":"Marwan"},{"family":"Hassan","given":"Mouhammad El"},{"family":"Assoum","given":"Hassan H."},{"family":"Etien","given":"Erik"},{"family":"Abed-Meraim","given":"Kamel"}],"issued":{"date-parts":[["2020"]]}}}],"schema":"https://github.com/citation-style-language/schema/raw/master/csl-citation.json"} </w:instrText>
      </w:r>
      <w:r w:rsidR="00687C44" w:rsidRPr="00687C44">
        <w:fldChar w:fldCharType="separate"/>
      </w:r>
      <w:r w:rsidR="00687C44" w:rsidRPr="00687C44">
        <w:t>2–5</w:t>
      </w:r>
      <w:r w:rsidR="00687C44" w:rsidRPr="00687C44">
        <w:fldChar w:fldCharType="end"/>
      </w:r>
      <w:r w:rsidR="00687C44">
        <w:t>]</w:t>
      </w:r>
      <w:r w:rsidRPr="00914B6B">
        <w:t>. The unsteady behavior of the shear layer, combined with the feedback loop between the jet and the impingement surface</w:t>
      </w:r>
      <w:r w:rsidR="00C96DAB">
        <w:t xml:space="preserve"> </w:t>
      </w:r>
      <w:r w:rsidR="00687C44">
        <w:t>[</w:t>
      </w:r>
      <w:r w:rsidR="00687C44" w:rsidRPr="00687C44">
        <w:fldChar w:fldCharType="begin"/>
      </w:r>
      <w:r w:rsidR="00687C44" w:rsidRPr="00687C44">
        <w:instrText xml:space="preserve"> ADDIN ZOTERO_ITEM CSL_CITATION {"citationID":"yztu9rcA","properties":{"formattedCitation":"\\super 6\\uc0\\u8211{}11\\nosupersub{}","plainCitation":"6–11","noteIndex":0},"citationItems":[{"id":1510,"uris":["http://zotero.org/users/1290857/items/VLYNX2CP"],"itemData":{"id":1510,"type":"article-journal","abstract":"Impinging jets are encountered in many ventilation systems, and these can have a major impact on the acoustic environment and energy performance. Self-sustaining tones produced by aero-acoustic coupling can occur in impinging jets when a feedback loop develops between the jet exit and the surface of impact. (Powell, 1964) developed an analogy that takes into account the sound sources created by vortices, and (Howe, 1975) was the first to use this analogy in the case of a near-wall flow. Howe's energy corollary makes it possible to calculate acoustic power using three quantities: vorticity, flow velocity and acoustic velocity, using experimental or numerical data and taking the aerodynamic field to be the main source of energy. In this study, the velocity and the acoustic fields in a rectangular jet impinging on a slotted plate were measured simultaneously using High Speed 3D Tomographic time-resolved particle image velocimetry (Tomographic-PIV) and a microphone. The 3D Tomographic time-resolved has the advantage of providing three components of velocity in a volume. Thus, we inspect the interaction between turbulent energy produced by the flow and the acoustic field in the presence of self-sustaining tones in order to have a better comprehension of the aero-acoustic coupling. Results were obtained for a Reynolds numbers Re = 5294 and Re = 5956 which are configurations that induces acoustic tones. The spectrum of the Turbulent Kinetic Energy (TKE) had peaks of frequencies such that the period of the acoustic signal was smaller than that of the TKE in presence of self-sustaining tones. The findings of this work may serve to develop new techniques of control to reduce the acoustic generation. © 2019","archive":"Scopus","container-title":"Energy Reports","DOI":"10.1016/j.egyr.2019.12.018","ISSN":"23524847 (ISSN)","journalAbbreviation":"Energy Rep.","language":"English","page":"802-806","title":"Turbulent Kinetic Energy and self-sustaining tones in an impinging jet using High Speed 3D Tomographic-PIV","volume":"6","author":[{"family":"Assoum","given":"H.H."},{"family":"El Hassan","given":"M."},{"family":"Hamdi","given":"J."},{"family":"Alkheir","given":"M."},{"family":"Meraim","given":"K.A."},{"family":"Sakout","given":"A."}],"issued":{"date-parts":[["2020"]]}},"label":"page"},{"id":4137,"uris":["http://zotero.org/users/1290857/items/QWIEUHWJ"],"itemData":{"id":4137,"type":"article-journal","container-title":"Energy Procedia","ISSN":"1876-6102","journalAbbreviation":"Energy Procedia","page":"391-397","title":"Correlation between the acoustic field and the transverse velocity in a plane impinging jet in the presence of self-sustaining tones","volume":"139","author":[{"family":"Assoum","given":"HH"},{"family":"Hamdi","given":"J"},{"family":"Abed-Meraim","given":"Karim"},{"family":"El Hassan","given":"M"},{"family":"Ali","given":"M"},{"family":"Sakout","given":"Anas"}],"issued":{"date-parts":[["2017"]]}},"label":"page"},{"id":813,"uris":["http://zotero.org/users/1290857/items/UB4LN5QK"],"itemData":{"id":813,"type":"article-journal","container-title":"International Journal of Heat and Technology","DOI":"10.18280/ijht.370416","ISSN":"03928764","issue":"4","journalAbbreviation":"IJHT","language":"en","page":"1071-1079","source":"DOI.org (Crossref)","title":"Spatio-Temporal Changes in the Turbulent Kinetic Energy of a Rectangular Jet Impinging on a Slotted Plate Analyzed with High Speed 3D Tomographic-Particle Image Velocimetry","volume":"37","author":[{"family":"Assoum","given":"Hassan"},{"family":"Hamdi","given":"Jana"},{"family":"Abed-Meraïm","given":"Kamel"},{"family":"Al Kheir","given":"Marwan"},{"family":"Mrach","given":"Tarek"},{"family":"El Soufi","given":"Louay"},{"family":"Sakout","given":"Anas"}],"issued":{"date-parts":[["2019",12,26]]}},"label":"page"},{"id":3855,"uris":["http://zotero.org/users/1290857/items/EZ428T8I"],"itemData":{"id":3855,"type":"article-journal","abstract":"Impinging jets are encountered in ventilation systems and many other industrial applications. Their flows are three-dimensional, time-dependent, and turbulent. These jets can generate a high level of noise and often present a source of discomfort in closed areas. In order to reduce and control such mechanisms, one should investigate the flow dynamics that generate the acoustic field. The purpose of this study is to investigate the flow dynamics and, more specifically, the coherent structures involved in the acoustic generation of these jets. Model reduction techniques are commonly used to study the underlying mechanisms by decomposing the flow into coherent structures. The dynamic mode decomposition (DMD) is an equation-free method that relies only on the system’s data taken either through experiments or through numerical simulations. In this paper, the DMD technique is applied, and the spatial modes and their frequencies are presented. The temporal content of the DMD’s modes is then correlated with the acoustic signal. The flow is generated by a rectangular jet impinging on a slotted plate (for a Reynolds number Re = 4458) and its kinematic field is obtained via the tomographic particle image velocimetry technique (TPIV). The findings of this research highlight the coherent structures signature in the DMD’s spectral content and show the cross correlations between the DMD’s modes and the acoustic field.","container-title":"Fluids","DOI":"10.3390/fluids6120429","ISSN":"2311-5521","issue":"12","language":"en","license":"http://creativecommons.org/licenses/by/3.0/","page":"429","source":"www.mdpi.com","title":"Tomographic Particle Image Velocimetry and Dynamic Mode Decomposition (DMD) in a Rectangular Impinging Jet: Vortex Dynamics and Acoustic Generation","title-short":"Tomographic Particle Image Velocimetry and Dynamic Mode Decomposition (DMD) in a Rectangular Impinging Jet","volume":"6","author":[{"family":"Assoum","given":"Hassan H."},{"family":"Hamdi","given":"Jana"},{"family":"Alkheir","given":"Marwan"},{"family":"Abed Meraim","given":"Kamel"},{"family":"Sakout","given":"Anas"},{"family":"Obeid","given":"Bachar"},{"family":"El Hassan","given":"Mouhammad"}],"issued":{"date-parts":[["2021",12]]}},"label":"page"},{"id":4176,"uris":["http://zotero.org/users/1290857/items/F5BNL4HR"],"itemData":{"id":4176,"type":"article-journal","container-title":"Alexandria Engineering Journal","ISSN":"1110-0168","journalAbbreviation":"Alexandria Engineering Journal","page":"404-416","title":"Experimental investigation of the Aero-Acoustics of a rectangular jet impinging a slotted plate for different flow regimes","volume":"87","author":[{"family":"El Zohbi","given":"Bilal"},{"family":"Assoum","given":"Hassan Hasan"},{"family":"Alkheir","given":"Marwan"},{"family":"Afyouni","given":"Nour"},{"family":"Meraim","given":"Kamel Abed"},{"family":"Sakout","given":"Anas"},{"family":"El Hassan","given":"Mouhammad"}],"issued":{"date-parts":[["2024"]]}},"label":"page"},{"id":4173,"uris":["http://zotero.org/users/1290857/items/MAKHSQ88"],"itemData":{"id":4173,"type":"article-journal","container-title":"Alexandria Engineering Journal","ISSN":"1110-0168","journalAbbreviation":"Alexandria Engineering Journal","page":"354-365","title":"Control of a rectangular impinging jet: Experimental investigation of the flow dynamics and the acoustic field","volume":"79","author":[{"family":"Assoum","given":"Hassan H"},{"family":"El Kheir","given":"Marwan"},{"family":"Afyouni","given":"Nour Eldin"},{"family":"El Zohbi","given":"Bilal"},{"family":"Meraim","given":"Kamel Abed"},{"family":"Sakout","given":"Anas"},{"family":"El Hassan","given":"Mouhammad"}],"issued":{"date-parts":[["2023"]]}},"label":"page"}],"schema":"https://github.com/citation-style-language/schema/raw/master/csl-citation.json"} </w:instrText>
      </w:r>
      <w:r w:rsidR="00687C44" w:rsidRPr="00687C44">
        <w:fldChar w:fldCharType="separate"/>
      </w:r>
      <w:r w:rsidR="00687C44" w:rsidRPr="00687C44">
        <w:rPr>
          <w:szCs w:val="24"/>
        </w:rPr>
        <w:t>6–11</w:t>
      </w:r>
      <w:r w:rsidR="00687C44" w:rsidRPr="00687C44">
        <w:fldChar w:fldCharType="end"/>
      </w:r>
      <w:r w:rsidR="00687C44">
        <w:t>]</w:t>
      </w:r>
      <w:r w:rsidRPr="00914B6B">
        <w:t>, often leads to tonal noise and oscillatory heat transfer, which can either enhance or destabilize the overall cooling performance</w:t>
      </w:r>
      <w:r w:rsidR="00687C44">
        <w:t>[</w:t>
      </w:r>
      <w:r w:rsidR="00687C44" w:rsidRPr="00687C44">
        <w:fldChar w:fldCharType="begin"/>
      </w:r>
      <w:r w:rsidR="00687C44" w:rsidRPr="00687C44">
        <w:instrText xml:space="preserve"> ADDIN ZOTERO_ITEM CSL_CITATION {"citationID":"M0UcuSzA","properties":{"formattedCitation":"\\super 12\\uc0\\u8211{}16\\nosupersub{}","plainCitation":"12–16","noteIndex":0},"citationItems":[{"id":"azjSrDnu/bKowlQuk","uris":["http://zotero.org/users/12061662/items/8XWHXP73"],"itemData":{"id":91,"type":"article-journal","abstract":"The transition to a periodic flow induced by a thin fin on the sidewall of a differentially heated cavity is numerically investigated. The numerical results are compared with a previously reported experiment. It is demonstrated that the transient flow obtained numerically shows features consistent with the experimental flow. Based on the present numerical results, the temporal development and spatial structures of the thermal flow around the fin are described, and the separation of the thermal flow above the fin is discussed. It is found that the presence of the fin changes the flow regime and results in the transition of the thermal flow to a periodic flow. The present numerical results also indicate that the unstable temperature configuration above the fin results in intermittent plumes at the leeward side of the fin, which in turn induce strong oscillations of the downstream boundary layer flow. It is demonstrated that the oscillations of the boundary layer flow significantly enhance the heat transfer through the finned sidewall (by up to 23%).","container-title":"International Journal of Heat and Mass Transfer","DOI":"https://doi.org/10.1016/j.ijheatmasstransfer.2008.06.030","ISSN":"0017-9310","issue":"3","page":"620-628","title":"Transition to a periodic flow induced by a thin fin on the sidewall of a differentially heated cavity","volume":"52","author":[{"family":"Xu","given":"Feng"},{"family":"Patterson","given":"John C."},{"family":"Lei","given":"Chengwang"}],"issued":{"date-parts":[["2009"]]}}},{"id":"azjSrDnu/XCEJbgkJ","uris":["http://zotero.org/users/12061662/items/EMY6T6T8"],"itemData":{"id":201,"type":"article-journal","abstract":"A series of experiments are conducted in which specially designed periodic air jets are applied to a heated surface for the purpose of enhancing heat transfer relative to the corresponding steady air jet. The periodic jets are produced by a mass flow rate controller. The experiments are performed for steady jets and for specially designed periodic jets, including a combination of sinusoidal, triangular and rectangular jets at frequencies from 1.25 to 20Hz, the triangular signal having a different symmetry (representing the ratio of time to increasing velocity in one cycle to total cycle time) and the rectangular jets having a variable duty cycle (representing the ratio of the pulse cycle on-time to off-time) at frequencies of 10Hz and 20Hz. Various unsteady jets show distinguishing frequency dependences and the step change, i.e. the sudden increase or decrease of signal, shows some advantageous influence on heat transfer improvement, especially negative step change. Therefore, the enhancement of combined signals lies between the performances of the individual signals. The enhancement for triangular (or sinusoidal) plus rectangular signals shows some improved performance compared with that of rectangular plus triangular (or sinusoidal) signals. The heat transfers are enhanced as Strouhal number increases from 0.004 to 0.068 on the whole for impinging jet with such combined signals. The signals of triangular jet with symmetry parameter of 0 and 1 have improved heat transfer, and the latter has a slightly better result than the former. The instantaneous changing rate of velocity also has an influence on heat transfer improvements. Thus the duty cycle of 1:2 has the best performance in terms of heat transfer enhancement in this study.","container-title":"International Communications in Heat and Mass Transfer","DOI":"https://doi.org/10.1016/j.icheatmasstransfer.2015.05.017","ISSN":"0735-1933","page":"105-113","title":"Heat transfer characteristics of impinging jets: The influence of unsteadiness with different waveforms","volume":"66","author":[{"family":"Geng","given":"Liping"},{"family":"Zheng","given":"Chuanbo"},{"family":"Zhou","given":"Jingwei"}],"issued":{"date-parts":[["2015"]]}}},{"id":"azjSrDnu/J2pOBASm","uris":["http://zotero.org/users/12061662/items/RQVT99LH"],"itemData":{"id":86,"type":"article-journal","abstract":"The convective instability of the natural convection boundary layers of air (Pr = 0.7) in the laminar-to-turbulent transition regime (Ra = 8.7 × 107–1.1 × 109) is investigated by stability analysis in the framework of direct numerical simulations. To understand the spatial and temporal evolution of the convective instability of the thermal boundary layers, small-amplitude random-mode numerical perturbations are first introduced into the boundary condition of the boundary layer flow. The prescribed full spectral perturbations (i.e., white noise) are mostly damped out immediately by a limited upstream boundary layer. A low-frequency band is initially distinct in the upstream near the leading edge but decays spatially as the instability propagates downstream. In contrast, a high-frequency band emerges to finally become the most dominant frequency band in the thermal boundary layer transition regime. To obtain further insights into the nature of the established high-frequency band, single-mode perturbations of various frequencies are then introduced into the boundary layer near the leading edge. It is found that a single-mode perturbation at the peak frequency within the high-frequency band excites the maximum response of the thermal boundary layer, suggesting that the peak frequency is in fact the characteristic frequency or resonance frequency of the thermal boundary layer. The dimensionless form of the dependence of the characteristic frequency on Ra is then found to be fc = 0.07Ra2/3. The single-mode perturbation numerical experiments also revealed the propagation speed of convective instability waves, which was significantly greater than the convection speed of the thermal boundary layer. The smaller the Ra, the larger the difference between the two propagation speeds. A semi-analytical scaling of the wave propagation speed in the form csc </w:instrText>
      </w:r>
      <w:r w:rsidR="00687C44" w:rsidRPr="00687C44">
        <w:rPr>
          <w:rFonts w:ascii="Cambria Math" w:hAnsi="Cambria Math" w:cs="Cambria Math"/>
        </w:rPr>
        <w:instrText>∼</w:instrText>
      </w:r>
      <w:r w:rsidR="00687C44" w:rsidRPr="00687C44">
        <w:instrText xml:space="preserve"> Ra1/2y1/2Pr was derived (y denoting the streamwise location of the boundary layer), providing a predictive correlation that can be used for thermal boundary layer control.","container-title":"Physics of Fluids","DOI":"10.1063/1.5115073","ISSN":"1070-6631","issue":"10","journalAbbreviation":"Physics of Fluids","page":"104102","title":"On the selection of perturbations for thermal boundary layer control","volume":"31","author":[{"family":"Zhao","given":"Yongling"},{"family":"Zhao","given":"Pengpeng"},{"family":"Liu","given":"Yang"},{"family":"Xu","given":"Yin"},{"family":"Torres","given":"Juan F."}],"issued":{"date-parts":[["2019",10,1]]}}},{"id":"azjSrDnu/O9GRMaM1","uris":["http://zotero.org/users/12061662/items/7I762DE8"],"itemData":{"id":84,"type":"article-journal","abstract":"The K-type transition of a natural convection boundary layer of Ra = 9.8 × 109 is studied by PIV (Particle Image Velocimetry) measurements. To excite the transition, Tollmien-Schlitchting (TS) and oblique waves of the same frequency are introduced into the upstream boundary layer in the form of velocity perturbations. It is found that resonant interactions between the characteristic frequency of the natural convection boundary layer and the superimposed TS and oblique waves are present, which trigger the K-type transition of the boundary layer. The typical aligned Λ-shaped flow structures characterising the K-type transition present in the transition of Blasius boundary layers are also observed in the present natural convection boundary layers. They occur when the primary instability grows to a certain extent. The appearance of the spanwise mode characterised by the aligned Λ-shaped flow structures is found to be an ‘abrupt’ process, although the development of the three-dimensionality in the natural convection boundary layer is found to be a ‘gradual’ process. A peak in the typical profile of the Root-Mean-Square (RMS) of the amplitude of streamwise velocity is also noted around the transition point, beyond which distinct three-dimensional Λ-shaped flow structures are observed. The transition point has been determined consistently using different approaches. A Bicoherence analysis suggests that the interaction between the external excitation frequency and the characteristic frequency of the boundary layer is responsible for the production of new harmonic frequencies and resonance groups. The PIV measurements have been extended to a range of perturbation frequencies for the boundary layer, and the dependence of the K-type transition on the perturbation frequency is discussed.","container-title":"Experimental Thermal and Fluid Science","DOI":"https://doi.org/10.1016/j.expthermflusci.2018.09.007","ISSN":"0894-1777","page":"62-75","title":"PIV measurements of the K-type transition in natural convection boundary layers","volume":"101","author":[{"family":"Zhao","given":"Yongling"},{"family":"Lei","given":"Chengwang"},{"family":"Patterson","given":"John C."}],"issued":{"date-parts":[["2019"]]}}},{"id":"azjSrDnu/g9TjO3Cf","uris":["http://zotero.org/users/12061662/items/5GAYQA48"],"itemData":{"id":83,"type":"article-journal","abstract":"The ‘natural transition’ of a natural convection boundary layer adjacent to an isothermally heated vertical surface is investigated by means of three-dimensional direct numerical simulation (DNS). In order to trigger ‘natural transition’ numerically, spatially and temporally random perturbations are introduced into the upstream boundary layer. The propagation of the random perturbations in the streamwise direction is observed. It is found that there exist two competing wavenumbers of spanwise vortical structures, one large and the other small. The large wavenumber dominates in the upstream boundary layer, whereas the small wavenumber dominates in the downstream boundary layer. The streamwise evolution of the mean (time-averaged) streamwise vorticity observed at planes perpendicular to the heated surface in general reveals two- and three-layer longitudinal roll structures. Nonlinear processes in a transitioning natural convection boundary layer are also analysed using Bicoherence method. The transition route and mechanism are discussed based on the power spectra and Bicoherence spectra of the temperature time series obtained in the boundary layer. A spectrum filling process during the ‘natural transition’ to turbulence is also observed, which is qualitatively similar to that observed in Blasius boundary layers.","container-title":"International Communications in Heat and Mass Transfer","DOI":"https://doi.org/10.1016/j.icheatmasstransfer.2016.06.004","ISSN":"0735-1933","page":"366-375","title":"Natural transition in natural convection boundary layers","volume":"76","author":[{"family":"Zhao","given":"Yongling"},{"family":"Lei","given":"Chengwang"},{"family":"Patterson","given":"John C."}],"issued":{"date-parts":[["2016"]]}}}],"schema":"https://github.com/citation-style-language/schema/raw/master/csl-citation.json"} </w:instrText>
      </w:r>
      <w:r w:rsidR="00687C44" w:rsidRPr="00687C44">
        <w:fldChar w:fldCharType="separate"/>
      </w:r>
      <w:r w:rsidR="00687C44" w:rsidRPr="00687C44">
        <w:rPr>
          <w:szCs w:val="24"/>
        </w:rPr>
        <w:t>12–16</w:t>
      </w:r>
      <w:r w:rsidR="00687C44" w:rsidRPr="00687C44">
        <w:fldChar w:fldCharType="end"/>
      </w:r>
      <w:r w:rsidR="00687C44">
        <w:t>]</w:t>
      </w:r>
      <w:r w:rsidRPr="00914B6B">
        <w:t xml:space="preserve">. Various parameters, including the Reynolds number, jet-to-plate distance, plate material and inclination, and nozzle geometry, significantly influence the flow development and heat transfer characteristics of impinging jets </w:t>
      </w:r>
      <w:r w:rsidR="00687C44">
        <w:t>[</w:t>
      </w:r>
      <w:r w:rsidR="00687C44" w:rsidRPr="00687C44">
        <w:fldChar w:fldCharType="begin"/>
      </w:r>
      <w:r w:rsidR="00687C44" w:rsidRPr="00687C44">
        <w:instrText xml:space="preserve"> ADDIN ZOTERO_ITEM CSL_CITATION {"citationID":"4A6ZnHJo","properties":{"formattedCitation":"\\super 17\\uc0\\u8211{}21\\nosupersub{}","plainCitation":"17–21","noteIndex":0},"citationItems":[{"id":"azjSrDnu/5uk0itRE","uris":["http://zotero.org/users/12061662/items/JTT5YYMP"],"itemData":{"id":340,"type":"article-journal","abstract":"Impinging jets are encountered in many industrial applications. Previous studies have considered different parameters that affect the flow and enhance mass and energy transfer of these flows, such as Reynolds number, nozzle geometry, nozzle-to-plate distance, wall material and angle, and the flow regime at the jet exit. Furthermore, the dynamics of these jets could be a source of a high level of noise when the transfer of energy is optimized between the aerodynamic and acoustic fields. This can lead to a resonant jet producing self-sustained tones. Self-sustained tones are related to aero-acoustic coupling and occur in impinging jets when a feedback loop is present between the jet exit and the impinged plate. Few studies that deal with the heat transfer of an impinging jet in the presence of an acoustic resonance have been conducted. This state of the art review and discussion will focus on the heat transfer and flow dynamics in such noisy and resonant configurations. Such investigation will allow us to understand how a similar regime characterized by acoustic instabilities could be useful in enhancing heat transfer at the wall.","container-title":"International Journal of Heat and Technology, Vol. 42, No. 5, pp. 1525-1533. https://doi.org/10.18280/ijht.420505","title":"Turbulent Flow and Heat Transfer Characteristics of Resonant Impinging Jets - State of the Art Review","author":[{"literal":"Matar et al. (2024)"}]}},{"id":"azjSrDnu/jz59E2uB","uris":["http://zotero.org/users/12061662/items/TXDLXKUS"],"itemData":{"id":110,"type":"article-journal","abstract":"Jet array impingement heat transfer is investigated for two phase forced convection of water at atmospheric pressure and subcooling of 7°C with flow rates up to 660mL/min. A jet array consisting of nine 1mmjets with 5mminter-jet spacing and a 2mmjet to target spacing was employed to cool a 15mmby 15mmheated surface. A linear micro-groove and a radial micro-groove surface were investigated and compared to a flat surface. The results show that the heat transfer performance of the impinging jet is insensitive to Reynolds number for fully developed boiling. A maximum heat transfer coefficient of h=230kW/m2Kwas achieved with the radial micro-groove surface, transporting a substantial heat flux of 380W/cm2. This was a 2.3-fold improvement compared with the flat surface. The linear micro-groove surface also performed well, achieving a 2-fold enhancement. Finally, the performance of the jet array impingement onto micro-grooved surfaces is compared with other recent compact water cooled two phase heat exchanger concepts from the recent literature showing comparable thermal performance.","container-title":"Experimental Thermal and Fluid Science","DOI":"https://doi.org/10.1016/j.expthermflusci.2016.08.006","ISSN":"0894-1777","page":"293-304","title":"Heat transfer performance of boiling jet array impingement on micro-grooved surfaces","volume":"80","author":[{"family":"Jenkins","given":"R."},{"family":"Lupoi","given":"R."},{"family":"Kempers","given":"R."},{"family":"Robinson","given":"A. J."}],"issued":{"date-parts":[["2017"]]}}},{"id":"azjSrDnu/9wFO5saX","uris":["http://zotero.org/users/12061662/items/PMX4QKDZ"],"itemData":{"id":104,"type":"article-journal","abstract":"The main aim of this paper is to investigate the effect of nozzle geometry on the flow and heat transfer from a pulsed jet into a concave surface. Experiments have been carried out for pulsed circular jet and numerical simulations were done for circular, elliptical, rectangular and square geometries. Numerical solution was performed for the frequency ranges of 25Hz to 100Hz, the jet Reynolds number of 7000, the dimensionless nozzle distance to concave surfaces of 2 and 5. Numerical results show a consistent agreement with experimental results and previous works. Accordingly, the geometry of nozzle directly affects the air entrainment ratio. In addition, with the increase of aspect ratio of the nozzle, average Nusselt number (Nuave) decreases. By pulsating the inlet jet with pulse frequency of 100Hz, the average Nu number for circular/square and elliptical/rectangular jets increases 22% and 15%, respectively. Generally, the pulsation causes a reduction and an increase of the Nuave at low and high frequencies, respectively, compared to that of the steady jet. At low frequencies, the Nuave of circular jet decreases significantly in comparison to that of the square and elliptical jets. However, at high frequencies, circular jet shows higher Nuave compared to other ones. As the distance between the jet and the concave surface increases, the effect of the nozzle shape on Nuave decreases.","container-title":"International Journal of Thermal Sciences","DOI":"https://doi.org/10.1016/j.ijthermalsci.2022.107925","ISSN":"1290-0729","page":"107925","title":"The effect of nozzle geometry on the flow and heat transfer of pulsed impinging jet on the concave surface","volume":"184","author":[{"family":"Rakhsha","given":"Saeed"},{"family":"Zargarabadi","given":"Mehran Rajabi"},{"family":"Saedodin","given":"Seyfolah"}],"issued":{"date-parts":[["2023"]]}}},{"id":"azjSrDnu/thTjtKWi","uris":["http://zotero.org/users/12061662/items/HXSR7T44"],"itemData":{"id":97,"type":"article-journal","abstract":"The impingement jet issuing from the lobed nozzles constructed using three small circular orifices is intensively investigated; the heat transfer characteristics and flow fields are respectively determined using temperature-sensitive paint (TSP) and particle image velocimetry (PIV). A piece of fluorine-doped tin oxide (FTO)-coated glass with uniform wall heat flux is used for optical access in TSP measurements. In particular, the effects of the geometrical variations are compared by varying the ratio of the orifice centre offset to the orifice radius, i.e., a/b =0, 0.5, 0.8, 1.0, 1.1 and 1.15, at a constant equivalent diameter De for all configurations to ensure a constant cross-section area of the nozzles. The TSP measurements of the impingement heat transfer at Reynolds numbers Re=10,000 and 40,000 are performed using different nozzle-to-wall distances, i.e., H/De= 2, 4 and 6, to determine the mean Nusselt number distribution on the heated wall. The results show that the heat transfer is enhanced using lobed jets at H/De ≤ 4. At H/De= 2, the optimal Nusselt number is obtained using a lobed nozzle a/b=0.8 in the region 1 &lt; r/De &lt; 4, with a heat transfer enhancement of up to 10% compared with that in the case of a circular jet. At H/De= 4, the azimuthal-averaged Nusselt number increases (up to 16%) consistently in the region r/De &lt; 0.5 with an increase in a/b, while the Nusselt number shows a slight decay in the region 2 &lt; r/De &lt; 4. However, at H/De=6, the Nusselt number in the entire measured region decays with an increase in a/b. Finally, the PIV measurements of the flow fields at Re=10,000 are performed at H/De= 2 and 4 and a/b=0, 0.8 and 1.15. The results show that the heat transfer enhancement can be attributed to the increased turbulence level in the wall-jet zone at H/De= 2 and in the stagnation region at H/De= 4.","container-title":"International Journal of Heat and Fluid Flow","DOI":"https://doi.org/10.1016/j.ijheatfluidflow.2018.03.017","ISSN":"0142-727X","page":"111-126","title":"Jet impingement heat transfer of a lobed nozzle: Measurements using temperature-sensitive paint and particle image velocimetry","volume":"71","author":[{"family":"He","given":"Chuangxin"},{"family":"Liu","given":"Yingzheng"}],"issued":{"date-parts":[["2018"]]}}},{"id":"azjSrDnu/CasMHNWO","uris":["http://zotero.org/users/12061662/items/NX7BB9H8"],"itemData":{"id":393,"type":"article-journal","abstract":"Supersonic Ejectors (SE) can be used to replace mechanical compressors in several industrial applications, including residential and commercial space heating/cooling and water heating, industrial distillation/desalination and drying systems, among others. Since SE are thermally driven, the SE-based systems can make direct use of many forms of thermal energy including waste heat, solar thermal, natural gas, or biogas, depending on emission targets, availability and cost. In this paper, Computational Fluid Dynamics (CFD) has been used to investigate the effects of different geometrical parameters and operating conditions on the ejector performance. The numerical simulations were validated against experimental measurements in terms of entrainment ratio and pressure distribution. The effects of the supersonic nozzle location and its dimensions have been investigated with respect to pressure distribution. The flow dynamics was also investigated for various geometry parameters with the purpose of identifying the mechanisms leading to higher ejector performance. The main conclusion is that under a given set of operating regimes, different geometric parameters should be simultaneously considered for an optimal performance of a supersonic ejector.","container-title":"Energy Reports","DOI":"https://doi.org/10.1016/j.egyr.2022.01.029","ISSN":"2352-4847","page":"228-233","title":"Investigation of the effects of the jet nozzle geometry and location on the performance of supersonic fluid ejectors","volume":"8","author":[{"family":"Zohbi","given":"Bilal El"},{"family":"Bukharin","given":"Nikolay"},{"family":"Assoum","given":"Hassan Hasan"},{"family":"Abed-Meraim","given":"Kamel"},{"family":"Sakout","given":"Anas"},{"family":"Hassan","given":"Mouhammad El"}],"issued":{"date-parts":[["2022"]]}}}],"schema":"https://github.com/citation-style-language/schema/raw/master/csl-citation.json"} </w:instrText>
      </w:r>
      <w:r w:rsidR="00687C44" w:rsidRPr="00687C44">
        <w:fldChar w:fldCharType="separate"/>
      </w:r>
      <w:r w:rsidR="00687C44" w:rsidRPr="00687C44">
        <w:rPr>
          <w:szCs w:val="24"/>
        </w:rPr>
        <w:t>17–21</w:t>
      </w:r>
      <w:r w:rsidR="00687C44" w:rsidRPr="00687C44">
        <w:fldChar w:fldCharType="end"/>
      </w:r>
      <w:r w:rsidR="00687C44">
        <w:t>]</w:t>
      </w:r>
      <w:r w:rsidRPr="00914B6B">
        <w:t xml:space="preserve">. While circular jets have been extensively studied due to their geometric simplicity and well-documented behavior, non-circular jets, particularly rectangular jets, have gained increasing attention for their potential to achieve superior mixing and improved thermal performance </w:t>
      </w:r>
      <w:r w:rsidR="00687C44">
        <w:t>[</w:t>
      </w:r>
      <w:r w:rsidR="00687C44" w:rsidRPr="00687C44">
        <w:fldChar w:fldCharType="begin"/>
      </w:r>
      <w:r w:rsidR="00687C44" w:rsidRPr="00687C44">
        <w:instrText xml:space="preserve"> ADDIN ZOTERO_ITEM CSL_CITATION {"citationID":"ZmLvxLc8","properties":{"formattedCitation":"\\super 22\\uc0\\u8211{}25\\nosupersub{}","plainCitation":"22–25","noteIndex":0},"citationItems":[{"id":"azjSrDnu/Lm06CaRM","uris":["http://zotero.org/users/12061662/items/8PCEJRCN"],"itemData":{"id":4,"type":"article-journal","abstract":"An experimental investigation on the heat transfer enhancement achieved by impinging synthetic jets with vortex generators, in the form of chevron elements at the nozzle exit, is carried out. The heated thin foil heat transfer sensor is used in conjunction with the infrared thermography to measure the spatial distribution of the Nusselt number on the target plate. The heat transfer rates of impinging circular and chevron synthetic jets are compared under the same condition of cavity pressure. A parametric study on the effect of the dimensionless stroke length and the nozzle-to-plate distance on the heat transfer rates is carried out. For increasing dimensionless stroke length, at short nozzle-to-plate distances, the chevron synthetic jet reveals a star-shaped heat transfer pattern similar to that observed for an impinging continuous one. The results show that a chevron exit geometry can provide a significant heat transfer enhancement for relatively small nozzle-to-plate distances, up to a 20% increase with respect to the circular synthetic jet. At small dimensionless stroke lengths, such an enhancement is observed for a wide range of nozzle-to-plate distances.","container-title":"International Journal of Heat and Mass Transfer","DOI":"https://doi.org/10.1016/j.ijheatmasstransfer.2018.06.062","ISSN":"0017-9310","page":"969-979","title":"Convective heat transfer in circular and chevron impinging synthetic jets","volume":"126","author":[{"family":"Crispo","given":"Cuono Massimo"},{"family":"Greco","given":"Carlo Salvatore"},{"family":"Cardone","given":"Gennaro"}],"issued":{"date-parts":[["2018"]]}}},{"id":"azjSrDnu/raZX7FMr","uris":["http://zotero.org/users/12061662/items/VVQN88CF"],"itemData":{"id":268,"type":"article-journal","abstract":"Passive control techniques of impinging jets are of high interest for many industrial applications and particularly for noise generation issues encountered in such configurations. Thus, an experimental study was carried out to simultaneously show the effect of a mechanism of control on the acoustic and the dynamic fields involved in a rectangular jet of air impinging on a slotted plate. A Reynolds number of Re = 5900 presenting an intense acoustic level was considered. The mechanism of control consists on a thin rod which was introduced in different positions of the flow. A total number of 1085 spatial positions of the rod were tested in order to identify the optimal position for noise reduction. Combined Stereoscopic Particle Image Velocimetry measurements were performed to obtain the kinematic field in the whole area of interest from the both sides of the introduced rod. A new representation of the acoustic levels (cartography of acoustic level as function of the location of the rod) is provided to identify the optimal positions of control. It was found that when the self-sustaining tone loop disappears, the sound pressure levels can drop by almost 23% depending on the location of the rod. A Dynamic Mode Decomposition (DMD) was established and cross-correlations were calculated between temporal modes and acoustic signals for both controlled and not controlled cases. The cross-correlations between the acoustic signal and the temporal modes were found to be insignificant in case of controlled flow. Moreover, in case of controlled flow, spatial modes were found to be significant far from the slot which plays a principal role in the self-sustaining tones by interacting with the passage of vortices through it. These results are of interest since the visualization of the flow dynamics and the corresponding vortex activity explains the disappearance of the self-sustaining loop and the sound pressure level changes. Such results are of high interest for developing new strategies of noise control.","container-title":"Alexandria Engineering Journal","DOI":"https://doi.org/10.1016/j.aej.2023.07.078","ISSN":"1110-0168","page":"354-365","title":"Control of a rectangular impinging jet: Experimental investigation of the flow dynamics and the acoustic field","volume":"79","author":[{"family":"Assoum","given":"Hassan H."},{"family":"Kheir","given":"Marwan El"},{"family":"Afyouni","given":"Nour Eldin"},{"family":"Zohbi","given":"Bilal El"},{"family":"Meraim","given":"Kamel Abed"},{"family":"Sakout","given":"Anas"},{"family":"Hassan","given":"Mouhammad El"}],"issued":{"date-parts":[["2023"]]}}},{"id":"azjSrDnu/HAnfZBP0","uris":["http://zotero.org/users/12061662/items/547M74GM"],"itemData":{"id":6,"type":"article-journal","abstract":"This study investigates the flow characteristics and unsteady heat transfer of noncircular synthetic jets impinging on a heated plate. Thermographic phosphor thermometry and time-resolved particle image velocimetry are used to acquire quantitative wall temperature and flow field information, respectively. At a constant orifice-to-wall distance (H/De = 7.5), five orifice configurations (circular, square, elliptic with aspect ratio (AR) of 3, and rectangular with ARs of 3 and 5) are examined at a wall temperature of 80 °C. The orifice configuration has a significant effect on the heat transfer and vortex behavior of the impinging synthetic jets. The square orifice displays better stagnation cooling performance with 42% increase in the maximum stagnation cooling coefficient relative to the circular case due to the larger impinging velocity and deeper penetration into the wall shear layer. Axis-switching of the vortex rings is detected for both the elliptic and rectangular orifices before they impinge onto the wall. The axis-switching enhances the near-wall mixing and turbulent kinetic energy in the elliptic and rectangular orifices, and thus heat transfer compared with the circular case. Additionally, stronger vortices and deeper penetration into the wall shear layer are observed in the major-axis plane than in the minor-axis plane, leading to enhanced heat transfer in the major-axis direction. In particular, the rectangular orifice with an AR of 5 induces strong secondary structures in the trailing jet following the primary vortex ring, and these are responsible for the double-peak distribution of wall temperature in the major-axis direction. This is the first time a double-peak temperature distribution has been reported for noncircular impinging synthetic jets. The rectangular orifice with an AR of 5 also yields a larger cross-stream velocity in the minor-axis direction, indicating a stronger wall jet. Thus, among the cases considered in this study, the rectangular orifice with AR = 5 achieves the optimal cooling performance and the maximum time-averaged cooling area reaches more than 14 times the jet orifice area.","container-title":"International Journal of Heat and Mass Transfer","DOI":"https://doi.org/10.1016/j.ijheatmasstransfer.2022.122760","ISSN":"0017-9310","page":"122760","title":"Experimental investigation on flow characteristics and unsteady heat transfer of noncircular impinging synthetic jets","volume":"190","author":[{"family":"Wang","given":"Lei"},{"family":"Feng","given":"Li-hao"},{"family":"Xu","given":"Yi"},{"family":"Xu","given":"Yang"},{"family":"Wang","given":"Jin-jun"}],"issued":{"date-parts":[["2022"]]}}},{"id":"azjSrDnu/vN2YYvSQ","uris":["http://zotero.org/users/12061662/items/36JIXXGW"],"itemData":{"id":78,"type":"article-journal","abstract":"In an impinging jet, nozzle geometry markedly impacts heat transfer between jet and plate by affecting the velocity profile at the jet exit and thereby potentially modifying the behavior of the jet’s vortex structures. This study analyzed the influence of three different injections: a tube used as a reference, a round orifice, and a cross-shaped orifice perforated on a hemispherical surface. They all possess the same free area Ao, and the equivalent diameter is D=14mm. Experiments have been conducted for Reynolds numbers 23,000</w:instrText>
      </w:r>
      <w:r w:rsidR="00687C44" w:rsidRPr="00687C44">
        <w:rPr>
          <w:rFonts w:ascii="Cambria Math" w:hAnsi="Cambria Math" w:cs="Cambria Math"/>
        </w:rPr>
        <w:instrText>⩽</w:instrText>
      </w:r>
      <w:r w:rsidR="00687C44" w:rsidRPr="00687C44">
        <w:instrText>Re</w:instrText>
      </w:r>
      <w:r w:rsidR="00687C44" w:rsidRPr="00687C44">
        <w:rPr>
          <w:rFonts w:ascii="Cambria Math" w:hAnsi="Cambria Math" w:cs="Cambria Math"/>
        </w:rPr>
        <w:instrText>⩽</w:instrText>
      </w:r>
      <w:r w:rsidR="00687C44" w:rsidRPr="00687C44">
        <w:instrText>45,000, for orifice-to-plate distances 1</w:instrText>
      </w:r>
      <w:r w:rsidR="00687C44" w:rsidRPr="00687C44">
        <w:rPr>
          <w:rFonts w:ascii="Cambria Math" w:hAnsi="Cambria Math" w:cs="Cambria Math"/>
        </w:rPr>
        <w:instrText>⩽</w:instrText>
      </w:r>
      <w:r w:rsidR="00687C44" w:rsidRPr="00687C44">
        <w:instrText>H/D</w:instrText>
      </w:r>
      <w:r w:rsidR="00687C44" w:rsidRPr="00687C44">
        <w:rPr>
          <w:rFonts w:ascii="Cambria Math" w:hAnsi="Cambria Math" w:cs="Cambria Math"/>
        </w:rPr>
        <w:instrText>⩽</w:instrText>
      </w:r>
      <w:r w:rsidR="00687C44" w:rsidRPr="00687C44">
        <w:instrText>5 and for the temperature of the jet T∞</w:instrText>
      </w:r>
      <w:r w:rsidR="00687C44" w:rsidRPr="00687C44">
        <w:rPr>
          <w:rFonts w:ascii="Cambria Math" w:hAnsi="Cambria Math" w:cs="Cambria Math"/>
        </w:rPr>
        <w:instrText>⩽</w:instrText>
      </w:r>
      <w:r w:rsidR="00687C44" w:rsidRPr="00687C44">
        <w:instrText>Tj</w:instrText>
      </w:r>
      <w:r w:rsidR="00687C44" w:rsidRPr="00687C44">
        <w:rPr>
          <w:rFonts w:ascii="Cambria Math" w:hAnsi="Cambria Math" w:cs="Cambria Math"/>
        </w:rPr>
        <w:instrText>⩽</w:instrText>
      </w:r>
      <w:r w:rsidR="00687C44" w:rsidRPr="00687C44">
        <w:instrText xml:space="preserve">50°C. Aerodynamic results indicate that the hemisphere produces a “vena contracta” effect, which is greater in the round than in the cross-shaped orifice. The velocity profile at the jet exit (X/D=0.1) presents a parabolic shape for the tube and an inverted parabolic shape for the round orifice, while the presence of two shear layers renders the cross-shaped orifice more complex and three-dimensional. Thermal results also show that a round orifice on the hemisphere causes higher heat transfer rate than the other injections.","container-title":"Experimental Thermal and Fluid Science","DOI":"https://doi.org/10.1016/j.expthermflusci.2015.08.006","ISSN":"0894-1777","page":"1-16","title":"The effect of nozzle geometry on local convective heat transfer to unconfined impinging air jets","volume":"70","author":[{"family":"Trinh","given":"Xuan Thao"},{"family":"Fénot","given":"Matthieu"},{"family":"Dorignac","given":"Eva"}],"issued":{"date-parts":[["2016"]]}}}],"schema":"https://github.com/citation-style-language/schema/raw/master/csl-citation.json"} </w:instrText>
      </w:r>
      <w:r w:rsidR="00687C44" w:rsidRPr="00687C44">
        <w:fldChar w:fldCharType="separate"/>
      </w:r>
      <w:r w:rsidR="00687C44" w:rsidRPr="00687C44">
        <w:rPr>
          <w:szCs w:val="24"/>
        </w:rPr>
        <w:t>22–25</w:t>
      </w:r>
      <w:r w:rsidR="00687C44" w:rsidRPr="00687C44">
        <w:fldChar w:fldCharType="end"/>
      </w:r>
      <w:r w:rsidR="00687C44">
        <w:t>]</w:t>
      </w:r>
      <w:r w:rsidRPr="00914B6B">
        <w:t>.</w:t>
      </w:r>
    </w:p>
    <w:p w14:paraId="5D23F81C" w14:textId="4B390C3F" w:rsidR="00914B6B" w:rsidRPr="00914B6B" w:rsidRDefault="00914B6B" w:rsidP="00914B6B">
      <w:pPr>
        <w:pStyle w:val="Paragraph"/>
      </w:pPr>
      <w:r w:rsidRPr="00914B6B">
        <w:t>In this study, an experimental investigation is conducted to analyze the flow dynamics, acoustic behavior, and thermal reliability of a rectangular jet impinging on a heated plate at a Reynolds number of 3550. Flow visualization through Q-criterion and vortex line mapping, acoustic spectral analysis, and Proper Orthogonal Decomposition (POD) are employed to reveal the resonance between acoustic frequencies, flow structures, and thermal response. Particular attention is given to identifying the correlation between dominant frequencies and the evolution of coherent vortices that govern heat transfer modulation</w:t>
      </w:r>
      <w:r>
        <w:t>.</w:t>
      </w:r>
    </w:p>
    <w:p w14:paraId="3651D46E" w14:textId="77777777" w:rsidR="00914B6B" w:rsidRDefault="00914B6B" w:rsidP="00827050">
      <w:pPr>
        <w:pStyle w:val="Paragraph"/>
      </w:pPr>
    </w:p>
    <w:p w14:paraId="56B829C5" w14:textId="77777777" w:rsidR="003F31C6" w:rsidRDefault="003F31C6" w:rsidP="00B1000D">
      <w:pPr>
        <w:pStyle w:val="Paragraph"/>
      </w:pPr>
    </w:p>
    <w:p w14:paraId="30A6E805" w14:textId="77777777" w:rsidR="00456BA5" w:rsidRPr="00456BA5" w:rsidRDefault="00914B6B" w:rsidP="00456BA5">
      <w:pPr>
        <w:pStyle w:val="Heading1"/>
        <w:rPr>
          <w:rStyle w:val="Strong"/>
          <w:rFonts w:asciiTheme="majorBidi" w:hAnsiTheme="majorBidi"/>
          <w:b/>
          <w:bCs w:val="0"/>
          <w:szCs w:val="24"/>
        </w:rPr>
      </w:pPr>
      <w:r w:rsidRPr="00456BA5">
        <w:rPr>
          <w:rStyle w:val="Strong"/>
          <w:rFonts w:asciiTheme="majorBidi" w:hAnsiTheme="majorBidi"/>
          <w:b/>
          <w:bCs w:val="0"/>
          <w:szCs w:val="24"/>
        </w:rPr>
        <w:lastRenderedPageBreak/>
        <w:t>METHODOLOGY</w:t>
      </w:r>
    </w:p>
    <w:p w14:paraId="002FE27A" w14:textId="77777777" w:rsidR="00456BA5" w:rsidRPr="00456BA5" w:rsidRDefault="00456BA5" w:rsidP="00456BA5">
      <w:pPr>
        <w:pStyle w:val="Heading2"/>
        <w:rPr>
          <w:rFonts w:asciiTheme="majorBidi" w:hAnsiTheme="majorBidi"/>
          <w:szCs w:val="24"/>
        </w:rPr>
      </w:pPr>
      <w:r w:rsidRPr="00456BA5">
        <w:rPr>
          <w:rFonts w:asciiTheme="majorBidi" w:hAnsiTheme="majorBidi"/>
          <w:szCs w:val="24"/>
        </w:rPr>
        <w:t>Experimental Setup</w:t>
      </w:r>
    </w:p>
    <w:p w14:paraId="2BC508EC" w14:textId="67F80097" w:rsidR="00456BA5" w:rsidRDefault="00456BA5" w:rsidP="00914B6B">
      <w:pPr>
        <w:pStyle w:val="Paragraph"/>
      </w:pPr>
      <w:r>
        <w:t xml:space="preserve">A rectangular nozzle jet of aspect ratio 19 was directed perpendicularly toward a heated flat plate at a nozzle-to-plate distance </w:t>
      </w:r>
      <w:r>
        <w:rPr>
          <w:rStyle w:val="katex-mathml"/>
        </w:rPr>
        <w:t>L/H = 4</w:t>
      </w:r>
      <w:r>
        <w:t xml:space="preserve"> representative of practical cooling systems, as shown in </w:t>
      </w:r>
      <w:r>
        <w:fldChar w:fldCharType="begin"/>
      </w:r>
      <w:r>
        <w:instrText xml:space="preserve"> REF _Ref210505920 \h  \* MERGEFORMAT </w:instrText>
      </w:r>
      <w:r>
        <w:fldChar w:fldCharType="separate"/>
      </w:r>
      <w:r>
        <w:t xml:space="preserve">Fig. </w:t>
      </w:r>
      <w:r>
        <w:rPr>
          <w:noProof/>
        </w:rPr>
        <w:t>1</w:t>
      </w:r>
      <w:r>
        <w:fldChar w:fldCharType="end"/>
      </w:r>
      <w:r>
        <w:t xml:space="preserve">. The jet Reynolds number was fixed at </w:t>
      </w:r>
      <w:r>
        <w:rPr>
          <w:rStyle w:val="katex-mathml"/>
        </w:rPr>
        <w:t>Re=3550</w:t>
      </w:r>
      <w:r>
        <w:t>, based on hydraulic diameter and bulk velocity. Air was used as the working fluid. The setup starts with a control box (1) containing a frequency chopper that adjusts flow velocity, reaching up to 33 m/s</w:t>
      </w:r>
      <w:r w:rsidR="00B00877">
        <w:t xml:space="preserve">, the </w:t>
      </w:r>
      <w:r w:rsidR="00B46ACD">
        <w:t>bulk jet</w:t>
      </w:r>
      <w:r w:rsidR="00B00877">
        <w:t xml:space="preserve"> velocity of the nozzle is 5.5 m/s</w:t>
      </w:r>
      <w:r>
        <w:t>. Air is supplied by an external compressor (2), which isolates vibration noise from the test area. The flow passes through a 1 m³ damping chamber (3) with three metal grids to reduce acoustic pressure and turbulence, then moves into a 1250 mm conditioning duct (4) of 190 × 90 mm cross-section containing honeycombs for flow straightening. The air exits through a rectangular nozzle (5) of 190 × 10 mm, impinging on a 250 × 250 × 4 mm aluminum plate (6) that has a 45° slotted beveled opening (7) aligned with the jet. The test room temperature is kept between 18–20 °C using conditioned air from an adjacent controlled space.</w:t>
      </w:r>
    </w:p>
    <w:p w14:paraId="6B16C8B6" w14:textId="33F8C2A4" w:rsidR="00456BA5" w:rsidRDefault="00456BA5" w:rsidP="00456BA5">
      <w:pPr>
        <w:pStyle w:val="NormalWeb"/>
        <w:spacing w:before="0" w:beforeAutospacing="0"/>
        <w:ind w:firstLine="72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0"/>
      </w:tblGrid>
      <w:tr w:rsidR="004154F9" w14:paraId="6232DF0A" w14:textId="77777777" w:rsidTr="001D18E0">
        <w:trPr>
          <w:trHeight w:val="2974"/>
        </w:trPr>
        <w:tc>
          <w:tcPr>
            <w:tcW w:w="9330" w:type="dxa"/>
          </w:tcPr>
          <w:p w14:paraId="5072E11C" w14:textId="58BC11F7" w:rsidR="004154F9" w:rsidRDefault="004154F9" w:rsidP="004154F9">
            <w:pPr>
              <w:pStyle w:val="Paragraph"/>
              <w:ind w:firstLine="0"/>
              <w:jc w:val="center"/>
            </w:pPr>
            <w:r>
              <w:rPr>
                <w:rFonts w:asciiTheme="majorBidi" w:hAnsiTheme="majorBidi" w:cstheme="majorBidi"/>
                <w:noProof/>
              </w:rPr>
              <w:drawing>
                <wp:inline distT="0" distB="0" distL="0" distR="0" wp14:anchorId="420A058D" wp14:editId="1583BD61">
                  <wp:extent cx="3644900" cy="2800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4900" cy="2800350"/>
                          </a:xfrm>
                          <a:prstGeom prst="rect">
                            <a:avLst/>
                          </a:prstGeom>
                          <a:noFill/>
                          <a:ln>
                            <a:noFill/>
                          </a:ln>
                        </pic:spPr>
                      </pic:pic>
                    </a:graphicData>
                  </a:graphic>
                </wp:inline>
              </w:drawing>
            </w:r>
          </w:p>
        </w:tc>
      </w:tr>
    </w:tbl>
    <w:p w14:paraId="101FC355" w14:textId="1C78E084" w:rsidR="00456BA5" w:rsidRPr="00456BA5" w:rsidRDefault="00456BA5" w:rsidP="00C96DAB">
      <w:pPr>
        <w:pStyle w:val="Caption"/>
        <w:jc w:val="center"/>
        <w:rPr>
          <w:rFonts w:asciiTheme="majorBidi" w:hAnsiTheme="majorBidi" w:cstheme="majorBidi"/>
          <w:i w:val="0"/>
          <w:iCs w:val="0"/>
          <w:color w:val="auto"/>
        </w:rPr>
      </w:pPr>
      <w:bookmarkStart w:id="0" w:name="_Ref210505920"/>
      <w:r w:rsidRPr="00456BA5">
        <w:rPr>
          <w:rFonts w:asciiTheme="majorBidi" w:hAnsiTheme="majorBidi" w:cstheme="majorBidi"/>
          <w:b/>
          <w:bCs/>
          <w:i w:val="0"/>
          <w:iCs w:val="0"/>
          <w:color w:val="auto"/>
        </w:rPr>
        <w:t>F</w:t>
      </w:r>
      <w:r w:rsidR="00817E85">
        <w:rPr>
          <w:rFonts w:asciiTheme="majorBidi" w:hAnsiTheme="majorBidi" w:cstheme="majorBidi"/>
          <w:b/>
          <w:bCs/>
          <w:i w:val="0"/>
          <w:iCs w:val="0"/>
          <w:color w:val="auto"/>
        </w:rPr>
        <w:t>IGURE</w:t>
      </w:r>
      <w:r w:rsidRPr="00456BA5">
        <w:rPr>
          <w:rFonts w:asciiTheme="majorBidi" w:hAnsiTheme="majorBidi" w:cstheme="majorBidi"/>
          <w:b/>
          <w:bCs/>
          <w:i w:val="0"/>
          <w:iCs w:val="0"/>
          <w:color w:val="auto"/>
        </w:rPr>
        <w:t xml:space="preserve"> </w:t>
      </w:r>
      <w:r w:rsidRPr="00456BA5">
        <w:rPr>
          <w:color w:val="auto"/>
        </w:rPr>
        <w:fldChar w:fldCharType="begin"/>
      </w:r>
      <w:r w:rsidRPr="00456BA5">
        <w:rPr>
          <w:rFonts w:asciiTheme="majorBidi" w:hAnsiTheme="majorBidi" w:cstheme="majorBidi"/>
          <w:b/>
          <w:bCs/>
          <w:i w:val="0"/>
          <w:iCs w:val="0"/>
          <w:color w:val="auto"/>
        </w:rPr>
        <w:instrText xml:space="preserve"> SEQ Figure \* ARABIC </w:instrText>
      </w:r>
      <w:r w:rsidRPr="00456BA5">
        <w:rPr>
          <w:color w:val="auto"/>
        </w:rPr>
        <w:fldChar w:fldCharType="separate"/>
      </w:r>
      <w:r w:rsidRPr="00456BA5">
        <w:rPr>
          <w:rFonts w:asciiTheme="majorBidi" w:hAnsiTheme="majorBidi" w:cstheme="majorBidi"/>
          <w:b/>
          <w:bCs/>
          <w:i w:val="0"/>
          <w:iCs w:val="0"/>
          <w:noProof/>
          <w:color w:val="auto"/>
        </w:rPr>
        <w:t>1</w:t>
      </w:r>
      <w:r w:rsidRPr="00456BA5">
        <w:rPr>
          <w:color w:val="auto"/>
        </w:rPr>
        <w:fldChar w:fldCharType="end"/>
      </w:r>
      <w:bookmarkEnd w:id="0"/>
      <w:r w:rsidRPr="00456BA5">
        <w:rPr>
          <w:rFonts w:asciiTheme="majorBidi" w:hAnsiTheme="majorBidi" w:cstheme="majorBidi"/>
          <w:i w:val="0"/>
          <w:iCs w:val="0"/>
          <w:color w:val="auto"/>
        </w:rPr>
        <w:t>. Schematic configuration (1) frequency chopper (2) compressor (3) damping volume (4) duct (5) rectangular nozzle (6) plate (7) slot.</w:t>
      </w:r>
    </w:p>
    <w:p w14:paraId="0A9DAA69" w14:textId="77777777" w:rsidR="00456BA5" w:rsidRDefault="00456BA5" w:rsidP="00914B6B">
      <w:pPr>
        <w:pStyle w:val="Heading1"/>
        <w:rPr>
          <w:rStyle w:val="Strong"/>
          <w:rFonts w:asciiTheme="majorBidi" w:hAnsiTheme="majorBidi"/>
          <w:b/>
          <w:bCs w:val="0"/>
          <w:szCs w:val="24"/>
        </w:rPr>
      </w:pPr>
      <w:r w:rsidRPr="00456BA5">
        <w:rPr>
          <w:rStyle w:val="Strong"/>
          <w:rFonts w:asciiTheme="majorBidi" w:hAnsiTheme="majorBidi"/>
          <w:b/>
          <w:bCs w:val="0"/>
          <w:szCs w:val="24"/>
        </w:rPr>
        <w:t>Flow measurements</w:t>
      </w:r>
    </w:p>
    <w:p w14:paraId="3F0B22CD" w14:textId="6B71BB20" w:rsidR="00456BA5" w:rsidRDefault="00456BA5" w:rsidP="00914B6B">
      <w:pPr>
        <w:pStyle w:val="Paragraph"/>
      </w:pPr>
      <w:r>
        <w:t>Time-resolved Particle Image Velocimetry (PIV) was performed in the mid-plane of the jet to capture velocity fields. The flow was seeded with olive oil droplets (0.1–0.2 µm) produced by an oil–air atomizer using a Laskin nozzle. Illumination came from a Litron Nd:YLF LDY 304-PIV laser with dual heads, emitting 30 mJ per pulse at 527 nm and up to 1 kHz. The laser sheet thickness was adjustable, down to 0.5 mm in the measurement zone for high spatial precision. Flow images were recorded using a Phantom V711 high-speed CMOS camera, offering 1200 × 800-pixel resolution and up to 7,400 Hz at full frame. The velocity measurement uncertainty was estimated at ±2.13% of the jet exit velocity for Re = 3550.</w:t>
      </w:r>
    </w:p>
    <w:p w14:paraId="0FC98380" w14:textId="77777777" w:rsidR="00456BA5" w:rsidRPr="00456BA5" w:rsidRDefault="00456BA5" w:rsidP="00456BA5">
      <w:pPr>
        <w:pStyle w:val="Heading2"/>
        <w:spacing w:before="0"/>
        <w:rPr>
          <w:rFonts w:asciiTheme="majorBidi" w:hAnsiTheme="majorBidi"/>
          <w:b w:val="0"/>
          <w:bCs/>
          <w:szCs w:val="24"/>
        </w:rPr>
      </w:pPr>
      <w:r w:rsidRPr="00456BA5">
        <w:rPr>
          <w:rStyle w:val="Strong"/>
          <w:rFonts w:asciiTheme="majorBidi" w:hAnsiTheme="majorBidi"/>
          <w:b/>
          <w:bCs w:val="0"/>
          <w:szCs w:val="24"/>
        </w:rPr>
        <w:t>Acoustics</w:t>
      </w:r>
    </w:p>
    <w:p w14:paraId="1B5AC6A1" w14:textId="144F9521" w:rsidR="00456BA5" w:rsidRDefault="00456BA5" w:rsidP="00456BA5">
      <w:pPr>
        <w:pStyle w:val="Paragraph"/>
      </w:pPr>
      <w:r>
        <w:t>Acoustic signals were measured using Brüel &amp; Kjær Type 4189 free-field microphones (20 Hz–20 kHz). Microphones were placed around the test section to capture overall and local sound levels. Data were recorded with an NI PXIe-4496 analyzer (24-bit, 204.8 kHz/channel) and monitored in LabVIEW</w:t>
      </w:r>
      <w:r w:rsidR="00876E55">
        <w:t>.</w:t>
      </w:r>
    </w:p>
    <w:p w14:paraId="435E919C" w14:textId="77777777" w:rsidR="00876E55" w:rsidRPr="00876E55" w:rsidRDefault="00876E55" w:rsidP="00876E55">
      <w:pPr>
        <w:pStyle w:val="Heading2"/>
        <w:spacing w:before="0"/>
        <w:rPr>
          <w:rFonts w:asciiTheme="majorBidi" w:hAnsiTheme="majorBidi"/>
          <w:b w:val="0"/>
          <w:bCs/>
          <w:szCs w:val="24"/>
        </w:rPr>
      </w:pPr>
      <w:r w:rsidRPr="00876E55">
        <w:rPr>
          <w:rStyle w:val="Strong"/>
          <w:rFonts w:asciiTheme="majorBidi" w:hAnsiTheme="majorBidi"/>
          <w:b/>
          <w:bCs w:val="0"/>
          <w:szCs w:val="24"/>
        </w:rPr>
        <w:lastRenderedPageBreak/>
        <w:t>Thermal</w:t>
      </w:r>
    </w:p>
    <w:p w14:paraId="3EC4CC28" w14:textId="05C7DDEF" w:rsidR="00876E55" w:rsidRDefault="00876E55" w:rsidP="00456BA5">
      <w:pPr>
        <w:pStyle w:val="Paragraph"/>
      </w:pPr>
      <w:r>
        <w:t>Two infrared (IR) cameras of type Xenics Gobi-640-GigE (640 × 480 uncooled microbolometer sensors) was employed to measure wall temperature distribution.</w:t>
      </w:r>
    </w:p>
    <w:p w14:paraId="2A65D4A5" w14:textId="387DDFDC" w:rsidR="00876E55" w:rsidRDefault="00876E55" w:rsidP="00876E55">
      <w:pPr>
        <w:pStyle w:val="Heading2"/>
      </w:pPr>
      <w:r>
        <w:t>Data Processing</w:t>
      </w:r>
    </w:p>
    <w:p w14:paraId="29EB6728" w14:textId="0D342E4D" w:rsidR="00876E55" w:rsidRPr="00075EA6" w:rsidRDefault="00876E55" w:rsidP="00876E55">
      <w:pPr>
        <w:pStyle w:val="Heading3"/>
      </w:pPr>
      <w:r>
        <w:t>Proper Orthogonal Decomposition (POD)</w:t>
      </w:r>
    </w:p>
    <w:p w14:paraId="11A24A05" w14:textId="009C10C3" w:rsidR="00876E55" w:rsidRPr="00075EA6" w:rsidRDefault="00876E55" w:rsidP="00876E55">
      <w:pPr>
        <w:pStyle w:val="Paragraph"/>
      </w:pPr>
      <w:r>
        <w:t>POD was employed on the PIV data to extract the main energetic structures of the flow. Using Singular Value Decomposition (SVD), the velocity field was expressed as</w:t>
      </w:r>
      <w:r w:rsidRPr="00075EA6">
        <w:t xml:space="preserve"> </w:t>
      </w:r>
    </w:p>
    <w:p w14:paraId="19FE6ACD" w14:textId="77777777" w:rsidR="00876E55" w:rsidRDefault="00876E55" w:rsidP="00876E55">
      <w:pPr>
        <w:pStyle w:val="Paragraph"/>
      </w:pPr>
    </w:p>
    <w:p w14:paraId="5053EACD" w14:textId="0F371262" w:rsidR="00876E55" w:rsidRPr="001146DC" w:rsidRDefault="00876E55" w:rsidP="003D761A">
      <w:pPr>
        <w:pStyle w:val="Equation"/>
      </w:pPr>
      <w:r>
        <w:tab/>
      </w:r>
      <m:oMath>
        <m:r>
          <w:rPr>
            <w:rFonts w:ascii="Cambria Math"/>
          </w:rPr>
          <m:t xml:space="preserve">X=U </m:t>
        </m:r>
        <m:r>
          <w:rPr>
            <w:rFonts w:ascii="Cambria Math" w:hAnsi="Cambria Math"/>
          </w:rPr>
          <m:t>Σ</m:t>
        </m:r>
        <m:r>
          <w:rPr>
            <w:rFonts w:ascii="Cambria Math"/>
          </w:rPr>
          <m:t xml:space="preserve"> </m:t>
        </m:r>
        <m:sSup>
          <m:sSupPr>
            <m:ctrlPr>
              <w:rPr>
                <w:rFonts w:ascii="Cambria Math" w:hAnsi="Cambria Math"/>
              </w:rPr>
            </m:ctrlPr>
          </m:sSupPr>
          <m:e>
            <m:r>
              <w:rPr>
                <w:rFonts w:ascii="Cambria Math" w:hAnsi="Cambria Math"/>
              </w:rPr>
              <m:t>V</m:t>
            </m:r>
          </m:e>
          <m:sup>
            <m:r>
              <w:rPr>
                <w:rFonts w:ascii="Cambria Math" w:hAnsi="Cambria Math"/>
              </w:rPr>
              <m:t>T</m:t>
            </m:r>
          </m:sup>
        </m:sSup>
      </m:oMath>
      <w:r>
        <w:tab/>
      </w:r>
      <w:r>
        <w:fldChar w:fldCharType="begin"/>
      </w:r>
      <w:r>
        <w:instrText xml:space="preserve"> LISTNUM  Equations </w:instrText>
      </w:r>
      <w:r>
        <w:fldChar w:fldCharType="end"/>
      </w:r>
    </w:p>
    <w:p w14:paraId="2B59C7D5" w14:textId="1056B8C4" w:rsidR="00327425" w:rsidRPr="00075EA6" w:rsidRDefault="00327425" w:rsidP="00876E55">
      <w:pPr>
        <w:pStyle w:val="Paragraph"/>
      </w:pPr>
      <w:r>
        <w:rPr>
          <w:rFonts w:asciiTheme="majorBidi" w:hAnsiTheme="majorBidi" w:cstheme="majorBidi"/>
        </w:rPr>
        <w:t xml:space="preserve">where U denote spatial POD modes, V temporal coefficients, and Σ the singular values. </w:t>
      </w:r>
      <w:r>
        <w:t>The relative energy of each mode was given by</w:t>
      </w:r>
    </w:p>
    <w:p w14:paraId="727A90D4" w14:textId="77777777" w:rsidR="00876E55" w:rsidRDefault="00876E55" w:rsidP="00876E55">
      <w:pPr>
        <w:pStyle w:val="Paragraph"/>
      </w:pPr>
    </w:p>
    <w:p w14:paraId="63130196" w14:textId="4A82BCF0" w:rsidR="00876E55" w:rsidRDefault="00876E55" w:rsidP="003D761A">
      <w:pPr>
        <w:pStyle w:val="Equation"/>
      </w:pPr>
      <w:r>
        <w:tab/>
      </w:r>
      <m:oMath>
        <m:sSub>
          <m:sSubPr>
            <m:ctrlPr>
              <w:rPr>
                <w:rFonts w:ascii="Cambria Math" w:hAnsi="Cambria Math"/>
                <w:i/>
              </w:rPr>
            </m:ctrlPr>
          </m:sSubPr>
          <m:e>
            <m:r>
              <w:rPr>
                <w:rFonts w:ascii="Cambria Math"/>
              </w:rPr>
              <m:t>E</m:t>
            </m:r>
          </m:e>
          <m:sub>
            <m:r>
              <w:rPr>
                <w:rFonts w:ascii="Cambria Math"/>
              </w:rPr>
              <m:t>i</m:t>
            </m:r>
          </m:sub>
        </m:sSub>
        <m:r>
          <w:rPr>
            <w:rFonts w:ascii="Cambria Math"/>
          </w:rPr>
          <m:t>=</m:t>
        </m:r>
        <m:f>
          <m:fPr>
            <m:ctrlPr>
              <w:rPr>
                <w:rFonts w:ascii="Cambria Math" w:hAnsi="Cambria Math"/>
                <w:i/>
              </w:rPr>
            </m:ctrlPr>
          </m:fPr>
          <m:num>
            <m:sSubSup>
              <m:sSubSupPr>
                <m:ctrlPr>
                  <w:rPr>
                    <w:rFonts w:ascii="Cambria Math" w:hAnsi="Cambria Math"/>
                    <w:i/>
                  </w:rPr>
                </m:ctrlPr>
              </m:sSubSupPr>
              <m:e>
                <m:r>
                  <w:rPr>
                    <w:rFonts w:ascii="Cambria Math"/>
                  </w:rPr>
                  <m:t>σ</m:t>
                </m:r>
              </m:e>
              <m:sub>
                <m:r>
                  <w:rPr>
                    <w:rFonts w:ascii="Cambria Math"/>
                  </w:rPr>
                  <m:t>i</m:t>
                </m:r>
              </m:sub>
              <m:sup>
                <m:r>
                  <w:rPr>
                    <w:rFonts w:ascii="Cambria Math"/>
                  </w:rPr>
                  <m:t>2</m:t>
                </m:r>
              </m:sup>
            </m:sSubSup>
          </m:num>
          <m:den>
            <m:sSub>
              <m:sSubPr>
                <m:ctrlPr>
                  <w:rPr>
                    <w:rFonts w:ascii="Cambria Math" w:hAnsi="Cambria Math"/>
                    <w:i/>
                  </w:rPr>
                </m:ctrlPr>
              </m:sSubPr>
              <m:e>
                <m:r>
                  <w:rPr>
                    <w:rFonts w:ascii="Cambria Math"/>
                  </w:rPr>
                  <m:t>Σ</m:t>
                </m:r>
              </m:e>
              <m:sub>
                <m:r>
                  <w:rPr>
                    <w:rFonts w:ascii="Cambria Math"/>
                  </w:rPr>
                  <m:t>j</m:t>
                </m:r>
              </m:sub>
            </m:sSub>
            <m:sSubSup>
              <m:sSubSupPr>
                <m:ctrlPr>
                  <w:rPr>
                    <w:rFonts w:ascii="Cambria Math" w:hAnsi="Cambria Math"/>
                    <w:i/>
                  </w:rPr>
                </m:ctrlPr>
              </m:sSubSupPr>
              <m:e>
                <m:r>
                  <w:rPr>
                    <w:rFonts w:ascii="Cambria Math"/>
                  </w:rPr>
                  <m:t>σ</m:t>
                </m:r>
              </m:e>
              <m:sub>
                <m:r>
                  <w:rPr>
                    <w:rFonts w:ascii="Cambria Math"/>
                  </w:rPr>
                  <m:t>j</m:t>
                </m:r>
              </m:sub>
              <m:sup>
                <m:r>
                  <w:rPr>
                    <w:rFonts w:ascii="Cambria Math"/>
                  </w:rPr>
                  <m:t>2</m:t>
                </m:r>
              </m:sup>
            </m:sSubSup>
          </m:den>
        </m:f>
      </m:oMath>
      <w:r>
        <w:tab/>
      </w:r>
      <w:r>
        <w:fldChar w:fldCharType="begin"/>
      </w:r>
      <w:r>
        <w:instrText xml:space="preserve"> LISTNUM  Equations </w:instrText>
      </w:r>
      <w:r>
        <w:fldChar w:fldCharType="end"/>
      </w:r>
    </w:p>
    <w:p w14:paraId="79F525D3" w14:textId="416ACE33" w:rsidR="00B00877" w:rsidRPr="00B00877" w:rsidRDefault="00B00877" w:rsidP="00C96DAB">
      <w:pPr>
        <w:ind w:firstLine="284"/>
        <w:jc w:val="both"/>
        <w:rPr>
          <w:rFonts w:asciiTheme="majorBidi" w:hAnsiTheme="majorBidi" w:cstheme="majorBidi"/>
          <w:sz w:val="20"/>
        </w:rPr>
      </w:pPr>
      <w:r>
        <w:rPr>
          <w:rFonts w:asciiTheme="majorBidi" w:hAnsiTheme="majorBidi" w:cstheme="majorBidi"/>
          <w:sz w:val="20"/>
        </w:rPr>
        <w:t xml:space="preserve">Where </w:t>
      </w:r>
      <w:r>
        <w:rPr>
          <w:rFonts w:ascii="Cambria Math" w:hAnsi="Cambria Math" w:cs="Cambria Math"/>
          <w:sz w:val="20"/>
        </w:rPr>
        <w:t>𝜎</w:t>
      </w:r>
      <w:r>
        <w:rPr>
          <w:rFonts w:ascii="Cambria Math" w:hAnsi="Cambria Math" w:cs="Cambria Math"/>
          <w:sz w:val="20"/>
          <w:vertAlign w:val="subscript"/>
        </w:rPr>
        <w:t>𝑖</w:t>
      </w:r>
      <w:r>
        <w:rPr>
          <w:rFonts w:asciiTheme="majorBidi" w:hAnsiTheme="majorBidi" w:cstheme="majorBidi"/>
          <w:sz w:val="20"/>
        </w:rPr>
        <w:t xml:space="preserve"> is the </w:t>
      </w:r>
      <w:r>
        <w:rPr>
          <w:rFonts w:ascii="Cambria Math" w:hAnsi="Cambria Math" w:cs="Cambria Math"/>
          <w:sz w:val="20"/>
        </w:rPr>
        <w:t>𝑖</w:t>
      </w:r>
      <w:r>
        <w:rPr>
          <w:rFonts w:asciiTheme="majorBidi" w:hAnsiTheme="majorBidi" w:cstheme="majorBidi"/>
          <w:sz w:val="20"/>
        </w:rPr>
        <w:t>-th singular value. This analysis highlights the coherent flow patterns responsible for momentum and heat transfer</w:t>
      </w:r>
      <w:r w:rsidR="00687C44">
        <w:rPr>
          <w:rFonts w:asciiTheme="majorBidi" w:hAnsiTheme="majorBidi" w:cstheme="majorBidi"/>
          <w:sz w:val="20"/>
        </w:rPr>
        <w:t xml:space="preserve"> [26]</w:t>
      </w:r>
      <w:r>
        <w:rPr>
          <w:rFonts w:asciiTheme="majorBidi" w:hAnsiTheme="majorBidi" w:cstheme="majorBidi"/>
          <w:sz w:val="20"/>
        </w:rPr>
        <w:t>.</w:t>
      </w:r>
    </w:p>
    <w:p w14:paraId="272A4A75" w14:textId="60CFF896" w:rsidR="00327425" w:rsidRPr="00075EA6" w:rsidRDefault="00B00877" w:rsidP="00327425">
      <w:pPr>
        <w:pStyle w:val="Heading3"/>
      </w:pPr>
      <w:r>
        <w:t>Stanton Number</w:t>
      </w:r>
    </w:p>
    <w:p w14:paraId="4C35DA20" w14:textId="132E149E" w:rsidR="00B00877" w:rsidRPr="00075EA6" w:rsidRDefault="00B00877" w:rsidP="00327425">
      <w:pPr>
        <w:pStyle w:val="Paragraph"/>
      </w:pPr>
      <w:r>
        <w:t>Average heat transfer coefficients were calculated and expressed in terms of the Stanton number:</w:t>
      </w:r>
    </w:p>
    <w:p w14:paraId="5974BA75" w14:textId="77777777" w:rsidR="00876E55" w:rsidRDefault="00876E55" w:rsidP="00876E55">
      <w:pPr>
        <w:pStyle w:val="Paragraph"/>
      </w:pPr>
    </w:p>
    <w:p w14:paraId="6E220EF1" w14:textId="20E09083" w:rsidR="00876E55" w:rsidRPr="001146DC" w:rsidRDefault="00876E55" w:rsidP="00B00877">
      <w:pPr>
        <w:pStyle w:val="Equation"/>
      </w:pPr>
      <w:r>
        <w:tab/>
      </w:r>
      <m:oMath>
        <m:sSub>
          <m:sSubPr>
            <m:ctrlPr>
              <w:rPr>
                <w:rFonts w:ascii="Cambria Math" w:hAnsi="Cambria Math"/>
                <w:i/>
              </w:rPr>
            </m:ctrlPr>
          </m:sSubPr>
          <m:e>
            <m:r>
              <w:rPr>
                <w:rFonts w:ascii="Cambria Math"/>
              </w:rPr>
              <m:t>s</m:t>
            </m:r>
          </m:e>
          <m:sub>
            <m:r>
              <w:rPr>
                <w:rFonts w:ascii="Cambria Math"/>
              </w:rPr>
              <m:t>t</m:t>
            </m:r>
          </m:sub>
        </m:sSub>
        <m:r>
          <w:rPr>
            <w:rFonts w:ascii="Cambria Math"/>
          </w:rPr>
          <m:t>=</m:t>
        </m:r>
        <m:f>
          <m:fPr>
            <m:ctrlPr>
              <w:rPr>
                <w:rFonts w:ascii="Cambria Math" w:hAnsi="Cambria Math"/>
                <w:i/>
              </w:rPr>
            </m:ctrlPr>
          </m:fPr>
          <m:num>
            <m:r>
              <w:rPr>
                <w:rFonts w:ascii="Cambria Math"/>
              </w:rPr>
              <m:t>H</m:t>
            </m:r>
          </m:num>
          <m:den>
            <m:r>
              <w:rPr>
                <w:rFonts w:ascii="Cambria Math"/>
              </w:rPr>
              <m:t>ρ</m:t>
            </m:r>
            <m:sSub>
              <m:sSubPr>
                <m:ctrlPr>
                  <w:rPr>
                    <w:rFonts w:ascii="Cambria Math" w:hAnsi="Cambria Math"/>
                    <w:i/>
                  </w:rPr>
                </m:ctrlPr>
              </m:sSubPr>
              <m:e>
                <m:r>
                  <w:rPr>
                    <w:rFonts w:ascii="Cambria Math"/>
                  </w:rPr>
                  <m:t>c</m:t>
                </m:r>
              </m:e>
              <m:sub>
                <m:r>
                  <w:rPr>
                    <w:rFonts w:ascii="Cambria Math"/>
                  </w:rPr>
                  <m:t>p</m:t>
                </m:r>
              </m:sub>
            </m:sSub>
            <m:sSub>
              <m:sSubPr>
                <m:ctrlPr>
                  <w:rPr>
                    <w:rFonts w:ascii="Cambria Math" w:hAnsi="Cambria Math"/>
                    <w:i/>
                  </w:rPr>
                </m:ctrlPr>
              </m:sSubPr>
              <m:e>
                <m:r>
                  <w:rPr>
                    <w:rFonts w:ascii="Cambria Math"/>
                  </w:rPr>
                  <m:t>U</m:t>
                </m:r>
              </m:e>
              <m:sub>
                <m:r>
                  <m:rPr>
                    <m:sty m:val="p"/>
                  </m:rPr>
                  <w:rPr>
                    <w:rFonts w:ascii="Cambria Math"/>
                  </w:rPr>
                  <m:t>out</m:t>
                </m:r>
              </m:sub>
            </m:sSub>
          </m:den>
        </m:f>
      </m:oMath>
      <w:r>
        <w:tab/>
      </w:r>
      <w:r>
        <w:fldChar w:fldCharType="begin"/>
      </w:r>
      <w:r>
        <w:instrText xml:space="preserve"> LISTNUM  Equations </w:instrText>
      </w:r>
      <w:r>
        <w:fldChar w:fldCharType="end"/>
      </w:r>
    </w:p>
    <w:p w14:paraId="5F99CD4C" w14:textId="204D5372" w:rsidR="00876E55" w:rsidRDefault="00B46ACD" w:rsidP="00C96DAB">
      <w:pPr>
        <w:pStyle w:val="Paragraph"/>
      </w:pPr>
      <w:r>
        <w:t>W</w:t>
      </w:r>
      <w:r w:rsidR="00B00877">
        <w:t xml:space="preserve">here </w:t>
      </w:r>
      <w:r w:rsidR="00B00877">
        <w:rPr>
          <w:rStyle w:val="katex-mathml"/>
        </w:rPr>
        <w:t>H</w:t>
      </w:r>
      <w:r w:rsidR="00B00877">
        <w:t xml:space="preserve"> is the convective heat transfer coefficient, </w:t>
      </w:r>
      <w:r w:rsidR="00B00877">
        <w:rPr>
          <w:rStyle w:val="katex-mathml"/>
        </w:rPr>
        <w:t>ρ is</w:t>
      </w:r>
      <w:r w:rsidR="00B00877">
        <w:t xml:space="preserve"> the air density, </w:t>
      </w:r>
      <w:r w:rsidR="00B00877">
        <w:rPr>
          <w:rStyle w:val="katex-mathml"/>
        </w:rPr>
        <w:t>U</w:t>
      </w:r>
      <w:r w:rsidR="00B00877">
        <w:rPr>
          <w:rStyle w:val="katex-mathml"/>
          <w:vertAlign w:val="subscript"/>
        </w:rPr>
        <w:t>out</w:t>
      </w:r>
      <w:r w:rsidR="00B00877">
        <w:t xml:space="preserve"> the bulk jet velocity, and </w:t>
      </w:r>
      <w:r w:rsidR="00B00877">
        <w:rPr>
          <w:rStyle w:val="katex-mathml"/>
        </w:rPr>
        <w:t>c</w:t>
      </w:r>
      <w:r w:rsidR="00B00877">
        <w:rPr>
          <w:rStyle w:val="katex-mathml"/>
          <w:vertAlign w:val="subscript"/>
        </w:rPr>
        <w:t>p</w:t>
      </w:r>
      <w:r w:rsidR="00B00877">
        <w:rPr>
          <w:rStyle w:val="vlist-s"/>
        </w:rPr>
        <w:t>​</w:t>
      </w:r>
      <w:r w:rsidR="00B00877">
        <w:t xml:space="preserve"> the specific heat capacity. The Stanton number was used to normalize the convective heat transfer coefficient and enable direct comparison of thermal performance under different flow conditions. This dimensionless form represents the efficiency of convective energy exchange between the jet and the heated surface. Its spatial distribution provides insight into the influence of coherent vortices and acoustic resonance on local cooling effectiveness, while the average value quantifies the overall thermal reliability of the impinging jet </w:t>
      </w:r>
      <w:r w:rsidR="00687C44">
        <w:t>[27]</w:t>
      </w:r>
    </w:p>
    <w:p w14:paraId="32BB7349" w14:textId="77777777" w:rsidR="00B46ACD" w:rsidRPr="00B46ACD" w:rsidRDefault="00B46ACD" w:rsidP="00B46ACD">
      <w:pPr>
        <w:pStyle w:val="Heading2"/>
        <w:rPr>
          <w:rFonts w:asciiTheme="majorBidi" w:hAnsiTheme="majorBidi"/>
          <w:b w:val="0"/>
          <w:bCs/>
          <w:szCs w:val="24"/>
        </w:rPr>
      </w:pPr>
      <w:r w:rsidRPr="00B46ACD">
        <w:rPr>
          <w:rStyle w:val="Strong"/>
          <w:rFonts w:asciiTheme="majorBidi" w:hAnsiTheme="majorBidi"/>
          <w:b/>
          <w:bCs w:val="0"/>
          <w:szCs w:val="24"/>
        </w:rPr>
        <w:t>FLOW DYNAMICS</w:t>
      </w:r>
    </w:p>
    <w:p w14:paraId="7E6DE382" w14:textId="49F6A95A" w:rsidR="00B46ACD" w:rsidRDefault="00B46ACD" w:rsidP="00C96DAB">
      <w:pPr>
        <w:pStyle w:val="Paragraph"/>
      </w:pPr>
      <w:r>
        <w:t>The Q-criterion was applied to visualize coherent vortical structures and analyze their evolution under different flow conditions. At Re = 3550, the main vortex changed its orientation upon striking the plate, while smaller secondary vortices developed near the surface (</w:t>
      </w:r>
      <w:r>
        <w:fldChar w:fldCharType="begin"/>
      </w:r>
      <w:r>
        <w:instrText xml:space="preserve"> REF _Ref210515112 \h  \* MERGEFORMAT </w:instrText>
      </w:r>
      <w:r>
        <w:fldChar w:fldCharType="separate"/>
      </w:r>
      <w:r>
        <w:t xml:space="preserve">Fig. </w:t>
      </w:r>
      <w:r>
        <w:rPr>
          <w:noProof/>
        </w:rPr>
        <w:t>2</w:t>
      </w:r>
      <w:r>
        <w:fldChar w:fldCharType="end"/>
      </w:r>
      <w:r>
        <w:t>A). This behavior agrees with previous research showing that the nozzle-to-plate spacing plays a key role in shaping vortex organization and turbulence intensity in impinging jets</w:t>
      </w:r>
      <w:r w:rsidR="00687C44">
        <w:t xml:space="preserve"> [28]</w:t>
      </w:r>
      <w:r>
        <w:t>. At this Reynolds number, vortices formed symmetrically and maintained their structure as they moved toward the slotted plate. Upon impact, two main interactions were observed: wall-following vortices that spread along the surface and propagated laterally within the region between y = 5 mm and y = 1</w:t>
      </w:r>
      <w:r w:rsidR="00D87CA0">
        <w:t>6</w:t>
      </w:r>
      <w:r>
        <w:t xml:space="preserve"> mm, and slot-penetrating vortices, where parts of the structures passed directly through the slot. These two mechanisms alternated periodically, producing a synchronized and repeating pattern of vortex–wall interaction. As shown in </w:t>
      </w:r>
      <w:r>
        <w:fldChar w:fldCharType="begin"/>
      </w:r>
      <w:r>
        <w:instrText xml:space="preserve"> REF _Ref210515112 \h  \* MERGEFORMAT </w:instrText>
      </w:r>
      <w:r>
        <w:fldChar w:fldCharType="separate"/>
      </w:r>
      <w:r>
        <w:t xml:space="preserve">Fig. </w:t>
      </w:r>
      <w:r>
        <w:rPr>
          <w:noProof/>
        </w:rPr>
        <w:t>2</w:t>
      </w:r>
      <w:r>
        <w:fldChar w:fldCharType="end"/>
      </w:r>
      <w:r>
        <w:t>B, two distinct vortex trajectories appeared between the nozzle and the plate, with secondary vortex formation becoming more evident around y = 22 mm from the jet centerline.</w:t>
      </w:r>
    </w:p>
    <w:p w14:paraId="5E5746A1" w14:textId="157D6B8F" w:rsidR="00B46ACD" w:rsidRDefault="00E834B6" w:rsidP="00E834B6">
      <w:pPr>
        <w:pStyle w:val="Paragraph"/>
      </w:pPr>
      <w:r>
        <w:t>The POD analysis focused on the first few modes to reveal the main flow dynamics and dominant frequencies. The first eight modes (</w:t>
      </w:r>
      <w:r>
        <w:fldChar w:fldCharType="begin"/>
      </w:r>
      <w:r>
        <w:instrText xml:space="preserve"> REF _Ref210516783 \h  \* MERGEFORMAT </w:instrText>
      </w:r>
      <w:r>
        <w:fldChar w:fldCharType="separate"/>
      </w:r>
      <w:r>
        <w:t xml:space="preserve">Fig. </w:t>
      </w:r>
      <w:r>
        <w:rPr>
          <w:noProof/>
        </w:rPr>
        <w:t>3</w:t>
      </w:r>
      <w:r>
        <w:fldChar w:fldCharType="end"/>
      </w:r>
      <w:r>
        <w:t>) capture the key coherent structures of the impinging jet. The first mode, accounting for 10.60% of the total energy, represents the main large-scale vortex or the strongest instability in the flow. Modes 1–4, which together contain 24.15% of the total energy, show large organized structures on both sides of the jet, following a trajectory where the vortices strike the slotted plate and then pass through it. Modes 5 and 6, contributing 6.98% of the energy, display smaller vortical structures that deform upon contact with the plate and spread laterally along the surface, indicating secondary vortex motion.</w:t>
      </w:r>
    </w:p>
    <w:p w14:paraId="6F4A6E7C" w14:textId="77777777" w:rsidR="00E834B6" w:rsidRDefault="00E834B6" w:rsidP="00B46ACD">
      <w:pPr>
        <w:pStyle w:val="NormalWeb"/>
        <w:spacing w:before="0" w:beforeAutospacing="0" w:after="0" w:afterAutospacing="0"/>
        <w:jc w:val="both"/>
        <w:rPr>
          <w:sz w:val="20"/>
          <w:szCs w:val="20"/>
          <w:lang w:val="en-US" w:eastAsia="en-US"/>
        </w:rPr>
      </w:pPr>
    </w:p>
    <w:p w14:paraId="75EE0EC2" w14:textId="7ED91780" w:rsidR="00CA390A" w:rsidRDefault="00CA390A" w:rsidP="00B46ACD">
      <w:pPr>
        <w:pStyle w:val="NormalWeb"/>
        <w:spacing w:before="0" w:beforeAutospacing="0" w:after="0" w:afterAutospacing="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584"/>
      </w:tblGrid>
      <w:tr w:rsidR="00CA390A" w14:paraId="77F99163" w14:textId="77777777" w:rsidTr="001D18E0">
        <w:trPr>
          <w:trHeight w:val="2974"/>
        </w:trPr>
        <w:tc>
          <w:tcPr>
            <w:tcW w:w="4776" w:type="dxa"/>
          </w:tcPr>
          <w:p w14:paraId="6E98B9EE" w14:textId="77777777" w:rsidR="00CA390A" w:rsidRDefault="00CA390A" w:rsidP="00EC1130">
            <w:pPr>
              <w:pStyle w:val="Paragraph"/>
              <w:ind w:firstLine="0"/>
              <w:jc w:val="center"/>
            </w:pPr>
          </w:p>
          <w:p w14:paraId="17043B59" w14:textId="2F2BA728" w:rsidR="00CA390A" w:rsidRDefault="00CA390A" w:rsidP="00CA390A">
            <w:pPr>
              <w:pStyle w:val="Paragraph"/>
              <w:ind w:firstLine="0"/>
            </w:pPr>
            <w:r>
              <w:t xml:space="preserve">           </w:t>
            </w:r>
            <w:r>
              <w:rPr>
                <w:noProof/>
              </w:rPr>
              <w:drawing>
                <wp:inline distT="0" distB="0" distL="0" distR="0" wp14:anchorId="468FFC0B" wp14:editId="1CC51222">
                  <wp:extent cx="2100293" cy="2710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7469" cy="2720238"/>
                          </a:xfrm>
                          <a:prstGeom prst="rect">
                            <a:avLst/>
                          </a:prstGeom>
                          <a:noFill/>
                          <a:ln>
                            <a:noFill/>
                          </a:ln>
                        </pic:spPr>
                      </pic:pic>
                    </a:graphicData>
                  </a:graphic>
                </wp:inline>
              </w:drawing>
            </w:r>
          </w:p>
        </w:tc>
        <w:tc>
          <w:tcPr>
            <w:tcW w:w="4584" w:type="dxa"/>
          </w:tcPr>
          <w:p w14:paraId="478943C4" w14:textId="51B6C59E" w:rsidR="00CA390A" w:rsidRDefault="00CA390A" w:rsidP="00CA390A">
            <w:pPr>
              <w:pStyle w:val="Paragraph"/>
              <w:ind w:firstLine="0"/>
            </w:pPr>
            <w:r>
              <w:t xml:space="preserve">           </w:t>
            </w:r>
            <w:r>
              <w:rPr>
                <w:noProof/>
              </w:rPr>
              <w:drawing>
                <wp:inline distT="0" distB="0" distL="0" distR="0" wp14:anchorId="4DD52D07" wp14:editId="062D441B">
                  <wp:extent cx="1709978" cy="2830802"/>
                  <wp:effectExtent l="0" t="0" r="508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3850" cy="2837212"/>
                          </a:xfrm>
                          <a:prstGeom prst="rect">
                            <a:avLst/>
                          </a:prstGeom>
                          <a:noFill/>
                          <a:ln>
                            <a:noFill/>
                          </a:ln>
                        </pic:spPr>
                      </pic:pic>
                    </a:graphicData>
                  </a:graphic>
                </wp:inline>
              </w:drawing>
            </w:r>
          </w:p>
        </w:tc>
      </w:tr>
      <w:tr w:rsidR="00CA390A" w14:paraId="1F044778" w14:textId="77777777" w:rsidTr="001D18E0">
        <w:trPr>
          <w:trHeight w:val="291"/>
        </w:trPr>
        <w:tc>
          <w:tcPr>
            <w:tcW w:w="4776" w:type="dxa"/>
          </w:tcPr>
          <w:p w14:paraId="3C4B8557" w14:textId="77777777" w:rsidR="00CA390A" w:rsidRDefault="00CA390A" w:rsidP="00EC1130">
            <w:pPr>
              <w:pStyle w:val="Paragraph"/>
              <w:ind w:firstLine="0"/>
              <w:jc w:val="center"/>
            </w:pPr>
            <w:r>
              <w:t>(a)</w:t>
            </w:r>
          </w:p>
        </w:tc>
        <w:tc>
          <w:tcPr>
            <w:tcW w:w="4584" w:type="dxa"/>
          </w:tcPr>
          <w:p w14:paraId="3847368B" w14:textId="77777777" w:rsidR="00CA390A" w:rsidRDefault="00CA390A" w:rsidP="00EC1130">
            <w:pPr>
              <w:pStyle w:val="Paragraph"/>
              <w:ind w:firstLine="0"/>
              <w:jc w:val="center"/>
            </w:pPr>
            <w:r>
              <w:t>(b)</w:t>
            </w:r>
          </w:p>
        </w:tc>
      </w:tr>
    </w:tbl>
    <w:p w14:paraId="0AB96894" w14:textId="30B12754" w:rsidR="00B46ACD" w:rsidRPr="001B6A68" w:rsidRDefault="00B46ACD" w:rsidP="0062736C">
      <w:pPr>
        <w:pStyle w:val="NormalWeb"/>
        <w:keepNext/>
        <w:spacing w:before="0" w:beforeAutospacing="0"/>
        <w:jc w:val="center"/>
        <w:rPr>
          <w:rFonts w:asciiTheme="majorBidi" w:hAnsiTheme="majorBidi" w:cstheme="majorBidi"/>
          <w:sz w:val="18"/>
          <w:szCs w:val="18"/>
        </w:rPr>
      </w:pPr>
      <w:bookmarkStart w:id="1" w:name="_Ref210515112"/>
      <w:r w:rsidRPr="001B6A68">
        <w:rPr>
          <w:rFonts w:asciiTheme="majorBidi" w:hAnsiTheme="majorBidi" w:cstheme="majorBidi"/>
          <w:b/>
          <w:bCs/>
          <w:sz w:val="18"/>
          <w:szCs w:val="18"/>
        </w:rPr>
        <w:t>F</w:t>
      </w:r>
      <w:r w:rsidR="00817E85">
        <w:rPr>
          <w:rFonts w:asciiTheme="majorBidi" w:hAnsiTheme="majorBidi" w:cstheme="majorBidi"/>
          <w:b/>
          <w:bCs/>
          <w:sz w:val="18"/>
          <w:szCs w:val="18"/>
        </w:rPr>
        <w:t>IGURE</w:t>
      </w:r>
      <w:r w:rsidRPr="001B6A68">
        <w:rPr>
          <w:rFonts w:asciiTheme="majorBidi" w:hAnsiTheme="majorBidi" w:cstheme="majorBidi"/>
          <w:b/>
          <w:bCs/>
          <w:sz w:val="18"/>
          <w:szCs w:val="18"/>
        </w:rPr>
        <w:t xml:space="preserve"> </w:t>
      </w:r>
      <w:r w:rsidRPr="001B6A68">
        <w:rPr>
          <w:rFonts w:asciiTheme="majorBidi" w:hAnsiTheme="majorBidi" w:cstheme="majorBidi"/>
          <w:sz w:val="18"/>
          <w:szCs w:val="18"/>
        </w:rPr>
        <w:fldChar w:fldCharType="begin"/>
      </w:r>
      <w:r w:rsidRPr="001B6A68">
        <w:rPr>
          <w:rFonts w:asciiTheme="majorBidi" w:hAnsiTheme="majorBidi" w:cstheme="majorBidi"/>
          <w:b/>
          <w:bCs/>
          <w:sz w:val="18"/>
          <w:szCs w:val="18"/>
        </w:rPr>
        <w:instrText xml:space="preserve"> SEQ Figure \* ARABIC </w:instrText>
      </w:r>
      <w:r w:rsidRPr="001B6A68">
        <w:rPr>
          <w:rFonts w:asciiTheme="majorBidi" w:hAnsiTheme="majorBidi" w:cstheme="majorBidi"/>
          <w:sz w:val="18"/>
          <w:szCs w:val="18"/>
        </w:rPr>
        <w:fldChar w:fldCharType="separate"/>
      </w:r>
      <w:r w:rsidRPr="001B6A68">
        <w:rPr>
          <w:rFonts w:asciiTheme="majorBidi" w:hAnsiTheme="majorBidi" w:cstheme="majorBidi"/>
          <w:b/>
          <w:bCs/>
          <w:noProof/>
          <w:sz w:val="18"/>
          <w:szCs w:val="18"/>
        </w:rPr>
        <w:t>2</w:t>
      </w:r>
      <w:r w:rsidRPr="001B6A68">
        <w:rPr>
          <w:rFonts w:asciiTheme="majorBidi" w:hAnsiTheme="majorBidi" w:cstheme="majorBidi"/>
          <w:sz w:val="18"/>
          <w:szCs w:val="18"/>
        </w:rPr>
        <w:fldChar w:fldCharType="end"/>
      </w:r>
      <w:bookmarkEnd w:id="1"/>
      <w:r w:rsidRPr="001B6A68">
        <w:rPr>
          <w:rFonts w:asciiTheme="majorBidi" w:hAnsiTheme="majorBidi" w:cstheme="majorBidi"/>
          <w:sz w:val="18"/>
          <w:szCs w:val="18"/>
        </w:rPr>
        <w:t>. (a) The Q criterion representation of the flow at T0 = 0. (b) The line vortex representation of the flow</w:t>
      </w:r>
      <w:r w:rsidR="00E834B6" w:rsidRPr="001B6A68">
        <w:rPr>
          <w:rFonts w:asciiTheme="majorBidi" w:hAnsiTheme="majorBidi" w:cstheme="majorBidi"/>
          <w:sz w:val="18"/>
          <w:szCs w:val="1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9"/>
        <w:gridCol w:w="3130"/>
        <w:gridCol w:w="3071"/>
      </w:tblGrid>
      <w:tr w:rsidR="007C793E" w14:paraId="00880798" w14:textId="74D69CE4" w:rsidTr="001D18E0">
        <w:trPr>
          <w:trHeight w:val="2974"/>
        </w:trPr>
        <w:tc>
          <w:tcPr>
            <w:tcW w:w="3217" w:type="dxa"/>
          </w:tcPr>
          <w:p w14:paraId="0587C9E8" w14:textId="05FA4695" w:rsidR="007C793E" w:rsidRDefault="007C793E" w:rsidP="00EC1130">
            <w:pPr>
              <w:pStyle w:val="Paragraph"/>
              <w:ind w:firstLine="0"/>
              <w:jc w:val="center"/>
            </w:pPr>
            <w:r>
              <w:rPr>
                <w:noProof/>
              </w:rPr>
              <w:drawing>
                <wp:inline distT="0" distB="0" distL="0" distR="0" wp14:anchorId="6D727A66" wp14:editId="2F452466">
                  <wp:extent cx="1809750" cy="1885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0" cy="1885950"/>
                          </a:xfrm>
                          <a:prstGeom prst="rect">
                            <a:avLst/>
                          </a:prstGeom>
                          <a:noFill/>
                          <a:ln>
                            <a:noFill/>
                          </a:ln>
                        </pic:spPr>
                      </pic:pic>
                    </a:graphicData>
                  </a:graphic>
                </wp:inline>
              </w:drawing>
            </w:r>
          </w:p>
        </w:tc>
        <w:tc>
          <w:tcPr>
            <w:tcW w:w="3097" w:type="dxa"/>
          </w:tcPr>
          <w:p w14:paraId="4656870E" w14:textId="0ED3C67B" w:rsidR="007C793E" w:rsidRDefault="007C793E" w:rsidP="007C793E">
            <w:pPr>
              <w:pStyle w:val="Paragraph"/>
              <w:ind w:firstLine="0"/>
            </w:pPr>
            <w:r>
              <w:rPr>
                <w:noProof/>
              </w:rPr>
              <w:drawing>
                <wp:inline distT="0" distB="0" distL="0" distR="0" wp14:anchorId="6D721900" wp14:editId="3EF745FF">
                  <wp:extent cx="1898650" cy="18732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8650" cy="1873250"/>
                          </a:xfrm>
                          <a:prstGeom prst="rect">
                            <a:avLst/>
                          </a:prstGeom>
                          <a:noFill/>
                          <a:ln>
                            <a:noFill/>
                          </a:ln>
                        </pic:spPr>
                      </pic:pic>
                    </a:graphicData>
                  </a:graphic>
                </wp:inline>
              </w:drawing>
            </w:r>
          </w:p>
        </w:tc>
        <w:tc>
          <w:tcPr>
            <w:tcW w:w="3016" w:type="dxa"/>
          </w:tcPr>
          <w:p w14:paraId="684DD694" w14:textId="4601DCB2" w:rsidR="007C793E" w:rsidRDefault="007C793E" w:rsidP="00EC1130">
            <w:pPr>
              <w:pStyle w:val="Paragraph"/>
              <w:ind w:firstLine="0"/>
              <w:jc w:val="center"/>
            </w:pPr>
            <w:r>
              <w:rPr>
                <w:noProof/>
              </w:rPr>
              <w:drawing>
                <wp:inline distT="0" distB="0" distL="0" distR="0" wp14:anchorId="507C725A" wp14:editId="1A1F5471">
                  <wp:extent cx="1784350" cy="184150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4350" cy="1841500"/>
                          </a:xfrm>
                          <a:prstGeom prst="rect">
                            <a:avLst/>
                          </a:prstGeom>
                          <a:noFill/>
                          <a:ln>
                            <a:noFill/>
                          </a:ln>
                        </pic:spPr>
                      </pic:pic>
                    </a:graphicData>
                  </a:graphic>
                </wp:inline>
              </w:drawing>
            </w:r>
          </w:p>
        </w:tc>
      </w:tr>
      <w:tr w:rsidR="007C793E" w14:paraId="3FFA7A92" w14:textId="77777777" w:rsidTr="001D18E0">
        <w:trPr>
          <w:trHeight w:val="2974"/>
        </w:trPr>
        <w:tc>
          <w:tcPr>
            <w:tcW w:w="3217" w:type="dxa"/>
          </w:tcPr>
          <w:p w14:paraId="7CA10BBD" w14:textId="574C82B2" w:rsidR="007C793E" w:rsidRDefault="007C793E" w:rsidP="00EC1130">
            <w:pPr>
              <w:pStyle w:val="Paragraph"/>
              <w:ind w:firstLine="0"/>
              <w:jc w:val="center"/>
            </w:pPr>
            <w:r>
              <w:rPr>
                <w:noProof/>
              </w:rPr>
              <w:drawing>
                <wp:inline distT="0" distB="0" distL="0" distR="0" wp14:anchorId="2D3EC287" wp14:editId="097B56D7">
                  <wp:extent cx="1924050" cy="20320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4050" cy="2032000"/>
                          </a:xfrm>
                          <a:prstGeom prst="rect">
                            <a:avLst/>
                          </a:prstGeom>
                          <a:noFill/>
                          <a:ln>
                            <a:noFill/>
                          </a:ln>
                        </pic:spPr>
                      </pic:pic>
                    </a:graphicData>
                  </a:graphic>
                </wp:inline>
              </w:drawing>
            </w:r>
          </w:p>
        </w:tc>
        <w:tc>
          <w:tcPr>
            <w:tcW w:w="3097" w:type="dxa"/>
          </w:tcPr>
          <w:p w14:paraId="494C4294" w14:textId="55C1953E" w:rsidR="007C793E" w:rsidRDefault="007C793E" w:rsidP="00EC1130">
            <w:pPr>
              <w:pStyle w:val="Paragraph"/>
              <w:ind w:firstLine="0"/>
              <w:jc w:val="center"/>
            </w:pPr>
            <w:r>
              <w:rPr>
                <w:noProof/>
              </w:rPr>
              <w:drawing>
                <wp:inline distT="0" distB="0" distL="0" distR="0" wp14:anchorId="7E875FCF" wp14:editId="21D1D23E">
                  <wp:extent cx="1892300" cy="1943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2300" cy="1943100"/>
                          </a:xfrm>
                          <a:prstGeom prst="rect">
                            <a:avLst/>
                          </a:prstGeom>
                          <a:noFill/>
                          <a:ln>
                            <a:noFill/>
                          </a:ln>
                        </pic:spPr>
                      </pic:pic>
                    </a:graphicData>
                  </a:graphic>
                </wp:inline>
              </w:drawing>
            </w:r>
          </w:p>
        </w:tc>
        <w:tc>
          <w:tcPr>
            <w:tcW w:w="3016" w:type="dxa"/>
          </w:tcPr>
          <w:p w14:paraId="0DA2F76B" w14:textId="55F445DF" w:rsidR="007C793E" w:rsidRDefault="007C793E" w:rsidP="00EC1130">
            <w:pPr>
              <w:pStyle w:val="Paragraph"/>
              <w:ind w:firstLine="0"/>
              <w:jc w:val="center"/>
            </w:pPr>
            <w:r>
              <w:rPr>
                <w:noProof/>
              </w:rPr>
              <w:drawing>
                <wp:inline distT="0" distB="0" distL="0" distR="0" wp14:anchorId="17295A93" wp14:editId="13E3B635">
                  <wp:extent cx="1866900" cy="205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6900" cy="2057400"/>
                          </a:xfrm>
                          <a:prstGeom prst="rect">
                            <a:avLst/>
                          </a:prstGeom>
                          <a:noFill/>
                          <a:ln>
                            <a:noFill/>
                          </a:ln>
                        </pic:spPr>
                      </pic:pic>
                    </a:graphicData>
                  </a:graphic>
                </wp:inline>
              </w:drawing>
            </w:r>
          </w:p>
        </w:tc>
      </w:tr>
    </w:tbl>
    <w:p w14:paraId="7219DE20" w14:textId="77777777" w:rsidR="0062736C" w:rsidRPr="00E24C09" w:rsidRDefault="00E834B6" w:rsidP="0062736C">
      <w:pPr>
        <w:pStyle w:val="Caption"/>
        <w:jc w:val="center"/>
        <w:rPr>
          <w:rFonts w:asciiTheme="majorBidi" w:hAnsiTheme="majorBidi" w:cstheme="majorBidi"/>
          <w:i w:val="0"/>
          <w:iCs w:val="0"/>
          <w:color w:val="auto"/>
        </w:rPr>
      </w:pPr>
      <w:r>
        <w:t xml:space="preserve"> </w:t>
      </w:r>
      <w:r w:rsidR="0062736C" w:rsidRPr="00E834B6">
        <w:rPr>
          <w:rFonts w:asciiTheme="majorBidi" w:hAnsiTheme="majorBidi" w:cstheme="majorBidi"/>
          <w:b/>
          <w:bCs/>
          <w:i w:val="0"/>
          <w:iCs w:val="0"/>
          <w:color w:val="auto"/>
        </w:rPr>
        <w:t>F</w:t>
      </w:r>
      <w:r w:rsidR="0062736C">
        <w:rPr>
          <w:rFonts w:asciiTheme="majorBidi" w:hAnsiTheme="majorBidi" w:cstheme="majorBidi"/>
          <w:b/>
          <w:bCs/>
          <w:i w:val="0"/>
          <w:iCs w:val="0"/>
          <w:color w:val="auto"/>
        </w:rPr>
        <w:t>IGURE</w:t>
      </w:r>
      <w:r w:rsidR="0062736C" w:rsidRPr="00E834B6">
        <w:rPr>
          <w:rFonts w:asciiTheme="majorBidi" w:hAnsiTheme="majorBidi" w:cstheme="majorBidi"/>
          <w:b/>
          <w:bCs/>
          <w:i w:val="0"/>
          <w:iCs w:val="0"/>
          <w:color w:val="auto"/>
        </w:rPr>
        <w:t xml:space="preserve"> </w:t>
      </w:r>
      <w:r w:rsidR="0062736C" w:rsidRPr="00E834B6">
        <w:rPr>
          <w:color w:val="auto"/>
        </w:rPr>
        <w:fldChar w:fldCharType="begin"/>
      </w:r>
      <w:r w:rsidR="0062736C" w:rsidRPr="00E834B6">
        <w:rPr>
          <w:rFonts w:asciiTheme="majorBidi" w:hAnsiTheme="majorBidi" w:cstheme="majorBidi"/>
          <w:b/>
          <w:bCs/>
          <w:i w:val="0"/>
          <w:iCs w:val="0"/>
          <w:color w:val="auto"/>
        </w:rPr>
        <w:instrText xml:space="preserve"> SEQ Figure \* ARABIC </w:instrText>
      </w:r>
      <w:r w:rsidR="0062736C" w:rsidRPr="00E834B6">
        <w:rPr>
          <w:color w:val="auto"/>
        </w:rPr>
        <w:fldChar w:fldCharType="separate"/>
      </w:r>
      <w:r w:rsidR="0062736C" w:rsidRPr="00E834B6">
        <w:rPr>
          <w:rFonts w:asciiTheme="majorBidi" w:hAnsiTheme="majorBidi" w:cstheme="majorBidi"/>
          <w:b/>
          <w:bCs/>
          <w:i w:val="0"/>
          <w:iCs w:val="0"/>
          <w:noProof/>
          <w:color w:val="auto"/>
        </w:rPr>
        <w:t>3</w:t>
      </w:r>
      <w:r w:rsidR="0062736C" w:rsidRPr="00E834B6">
        <w:rPr>
          <w:color w:val="auto"/>
        </w:rPr>
        <w:fldChar w:fldCharType="end"/>
      </w:r>
      <w:r w:rsidR="0062736C" w:rsidRPr="00E834B6">
        <w:rPr>
          <w:rFonts w:asciiTheme="majorBidi" w:hAnsiTheme="majorBidi" w:cstheme="majorBidi"/>
          <w:b/>
          <w:bCs/>
          <w:i w:val="0"/>
          <w:iCs w:val="0"/>
          <w:color w:val="auto"/>
        </w:rPr>
        <w:t>.</w:t>
      </w:r>
      <w:r w:rsidR="0062736C" w:rsidRPr="00E834B6">
        <w:rPr>
          <w:rFonts w:asciiTheme="majorBidi" w:hAnsiTheme="majorBidi" w:cstheme="majorBidi"/>
          <w:i w:val="0"/>
          <w:iCs w:val="0"/>
          <w:color w:val="auto"/>
        </w:rPr>
        <w:t xml:space="preserve"> The first six POD mode</w:t>
      </w:r>
      <w:r w:rsidR="0062736C">
        <w:rPr>
          <w:rFonts w:asciiTheme="majorBidi" w:hAnsiTheme="majorBidi" w:cstheme="majorBidi"/>
          <w:i w:val="0"/>
          <w:iCs w:val="0"/>
          <w:color w:val="auto"/>
        </w:rPr>
        <w:t>.</w:t>
      </w:r>
    </w:p>
    <w:p w14:paraId="7ABB6936" w14:textId="656B5521" w:rsidR="00E834B6" w:rsidRPr="007C793E" w:rsidRDefault="00E834B6" w:rsidP="007C793E">
      <w:pPr>
        <w:keepNext/>
      </w:pPr>
    </w:p>
    <w:p w14:paraId="49D6FBD1" w14:textId="41B1CE76" w:rsidR="00725861" w:rsidRPr="00E24C09" w:rsidRDefault="00E24C09" w:rsidP="00E24C09">
      <w:pPr>
        <w:pStyle w:val="Heading2"/>
        <w:rPr>
          <w:b w:val="0"/>
          <w:bCs/>
        </w:rPr>
      </w:pPr>
      <w:r>
        <w:rPr>
          <w:rStyle w:val="Strong"/>
          <w:rFonts w:asciiTheme="majorBidi" w:hAnsiTheme="majorBidi"/>
          <w:b/>
          <w:bCs w:val="0"/>
          <w:sz w:val="28"/>
          <w:szCs w:val="28"/>
        </w:rPr>
        <w:t>AERO</w:t>
      </w:r>
      <w:r w:rsidR="005429E6" w:rsidRPr="00E24C09">
        <w:rPr>
          <w:rStyle w:val="Strong"/>
          <w:rFonts w:asciiTheme="majorBidi" w:hAnsiTheme="majorBidi"/>
          <w:b/>
          <w:bCs w:val="0"/>
          <w:sz w:val="28"/>
          <w:szCs w:val="28"/>
        </w:rPr>
        <w:t xml:space="preserve">ACOUSTIC </w:t>
      </w:r>
      <w:r>
        <w:rPr>
          <w:rStyle w:val="Strong"/>
          <w:rFonts w:asciiTheme="majorBidi" w:hAnsiTheme="majorBidi"/>
          <w:b/>
          <w:bCs w:val="0"/>
          <w:sz w:val="28"/>
          <w:szCs w:val="28"/>
        </w:rPr>
        <w:t>ANALYSIS</w:t>
      </w:r>
    </w:p>
    <w:p w14:paraId="0A89AEC8" w14:textId="77777777" w:rsidR="00E24C09" w:rsidRPr="00E24C09" w:rsidRDefault="00E24C09" w:rsidP="00E24C09">
      <w:pPr>
        <w:pStyle w:val="Paragraph"/>
      </w:pPr>
      <w:r w:rsidRPr="00E24C09">
        <w:t>Impinging jets typically generate tonal noise, which becomes stronger when the jet interacts with a slotted plate, as in this study. The microphone spectra show two main peaks at F1 = 101.3 Hz and its harmonic F2 = 202.5 Hz, along with weaker ones at F3 = 51.87 Hz (F1/2) and F4 = 303.83 Hz (3F1). The dominant frequencies F1 and F2 arise from self-sustained acoustic feedback and are linked to Kelvin–Helmholtz vortices in the jet shear layer.</w:t>
      </w:r>
    </w:p>
    <w:p w14:paraId="4B41CE3F" w14:textId="36922BE4" w:rsidR="00E24C09" w:rsidRDefault="00E24C09" w:rsidP="00E24C09">
      <w:pPr>
        <w:ind w:firstLine="284"/>
        <w:jc w:val="both"/>
        <w:rPr>
          <w:sz w:val="20"/>
        </w:rPr>
      </w:pPr>
      <w:r>
        <w:rPr>
          <w:rFonts w:asciiTheme="majorBidi" w:hAnsiTheme="majorBidi" w:cstheme="majorBidi"/>
          <w:sz w:val="20"/>
        </w:rPr>
        <w:fldChar w:fldCharType="begin"/>
      </w:r>
      <w:r>
        <w:rPr>
          <w:rFonts w:asciiTheme="majorBidi" w:hAnsiTheme="majorBidi" w:cstheme="majorBidi"/>
          <w:sz w:val="20"/>
        </w:rPr>
        <w:instrText xml:space="preserve"> REF _Ref210573766 \h  \* MERGEFORMAT </w:instrText>
      </w:r>
      <w:r>
        <w:rPr>
          <w:rFonts w:asciiTheme="majorBidi" w:hAnsiTheme="majorBidi" w:cstheme="majorBidi"/>
          <w:sz w:val="20"/>
        </w:rPr>
      </w:r>
      <w:r>
        <w:rPr>
          <w:rFonts w:asciiTheme="majorBidi" w:hAnsiTheme="majorBidi" w:cstheme="majorBidi"/>
          <w:sz w:val="20"/>
        </w:rPr>
        <w:fldChar w:fldCharType="separate"/>
      </w:r>
      <w:r>
        <w:rPr>
          <w:rFonts w:asciiTheme="majorBidi" w:hAnsiTheme="majorBidi" w:cstheme="majorBidi"/>
          <w:sz w:val="20"/>
        </w:rPr>
        <w:t xml:space="preserve">Figure </w:t>
      </w:r>
      <w:r>
        <w:rPr>
          <w:rFonts w:asciiTheme="majorBidi" w:hAnsiTheme="majorBidi" w:cstheme="majorBidi"/>
          <w:noProof/>
          <w:sz w:val="20"/>
        </w:rPr>
        <w:t>4</w:t>
      </w:r>
      <w:r>
        <w:rPr>
          <w:rFonts w:asciiTheme="majorBidi" w:hAnsiTheme="majorBidi" w:cstheme="majorBidi"/>
          <w:sz w:val="20"/>
        </w:rPr>
        <w:fldChar w:fldCharType="end"/>
      </w:r>
      <w:r>
        <w:rPr>
          <w:sz w:val="20"/>
        </w:rPr>
        <w:t xml:space="preserve"> displays the four points selected from the flow field. At V1, two dominant frequencies appear: F1 = 105 Hz and F2 = 202.5 Hz, with F2 having the stronger amplitude. At V2, V3, and V4, the same frequencies are detected, but F1 becomes dominant while F2 weakens. Minor peaks at F3 = 52.5 Hz, and F4 = 307.5 Hz have negligible impact. These results indicate that F1 corresponds to a symmetric vortex moving toward the plate, whereas F2 relates to another symmetric structure propagating through the slot.</w:t>
      </w:r>
    </w:p>
    <w:p w14:paraId="2C59BD89" w14:textId="03B2ED13" w:rsidR="00E24C09" w:rsidRDefault="00E24C09" w:rsidP="00E24C09">
      <w:pPr>
        <w:ind w:firstLine="284"/>
        <w:jc w:val="both"/>
        <w:rPr>
          <w:sz w:val="20"/>
        </w:rPr>
      </w:pPr>
      <w:r w:rsidRPr="00E24C09">
        <w:rPr>
          <w:sz w:val="20"/>
        </w:rPr>
        <w:t xml:space="preserve">The temporal spectra of the POD modes reveal two main frequency components governing the flow behavior. Modes 1, 2, and 3 are primarily driven by the higher frequency F2=202.5 Hz, with a secondary, weaker peak at </w:t>
      </w:r>
      <w:r w:rsidRPr="00E24C09">
        <w:rPr>
          <w:rFonts w:ascii="Cambria Math" w:hAnsi="Cambria Math" w:cs="Cambria Math"/>
          <w:sz w:val="20"/>
        </w:rPr>
        <w:t>𝐹</w:t>
      </w:r>
      <w:r w:rsidRPr="00E24C09">
        <w:rPr>
          <w:sz w:val="20"/>
        </w:rPr>
        <w:t>1 =105 Hz. In contrast, Modes 4, 5, and 6 exhibit a reversal, where F1 = 105 Hz dominates and F2=202.5 Hz appears with lower intensity. Modes 5 and 6 also contain low-amplitude energy spread over multiple frequencies. This pattern supports the flow dynamics interpretation: Modes 1–4 are linked to the main vortex motion between the nozzle and the plate, while Modes 5 and 6 correspond to the flow after impingement and the generation of secondary vortices near the slotted wall. These findings establish a strong flow–acoustic coupling: coherent vortices amplify pressure fluctuations, while acoustic feedback reinforces flow instabilities, creating a self-sustained resonance cycle.</w:t>
      </w:r>
    </w:p>
    <w:p w14:paraId="023DAB4D" w14:textId="77777777" w:rsidR="004154F9" w:rsidRDefault="004154F9" w:rsidP="00E24C09">
      <w:pPr>
        <w:ind w:firstLine="284"/>
        <w:jc w:val="both"/>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0"/>
      </w:tblGrid>
      <w:tr w:rsidR="004154F9" w14:paraId="64563EE9" w14:textId="77777777" w:rsidTr="001D18E0">
        <w:trPr>
          <w:trHeight w:val="2974"/>
        </w:trPr>
        <w:tc>
          <w:tcPr>
            <w:tcW w:w="9330" w:type="dxa"/>
          </w:tcPr>
          <w:p w14:paraId="57CFE7A4" w14:textId="3E5FBBC3" w:rsidR="004154F9" w:rsidRPr="004154F9" w:rsidRDefault="004154F9" w:rsidP="004154F9">
            <w:pPr>
              <w:pStyle w:val="Paragraph"/>
              <w:ind w:firstLine="0"/>
              <w:jc w:val="center"/>
            </w:pPr>
            <w:r>
              <w:rPr>
                <w:noProof/>
              </w:rPr>
              <w:drawing>
                <wp:inline distT="0" distB="0" distL="0" distR="0" wp14:anchorId="79B2ECC5" wp14:editId="603245F7">
                  <wp:extent cx="2565400" cy="30734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5400" cy="3073400"/>
                          </a:xfrm>
                          <a:prstGeom prst="rect">
                            <a:avLst/>
                          </a:prstGeom>
                          <a:noFill/>
                          <a:ln>
                            <a:noFill/>
                          </a:ln>
                        </pic:spPr>
                      </pic:pic>
                    </a:graphicData>
                  </a:graphic>
                </wp:inline>
              </w:drawing>
            </w:r>
          </w:p>
        </w:tc>
      </w:tr>
    </w:tbl>
    <w:p w14:paraId="30F3CF1F" w14:textId="39A1A826" w:rsidR="00E24C09" w:rsidRPr="00E24C09" w:rsidRDefault="00E24C09" w:rsidP="0062736C">
      <w:pPr>
        <w:pStyle w:val="Caption"/>
        <w:jc w:val="center"/>
        <w:rPr>
          <w:rFonts w:asciiTheme="majorBidi" w:hAnsiTheme="majorBidi" w:cstheme="majorBidi"/>
          <w:i w:val="0"/>
          <w:iCs w:val="0"/>
          <w:color w:val="auto"/>
        </w:rPr>
      </w:pPr>
      <w:bookmarkStart w:id="2" w:name="_Ref210573766"/>
      <w:r w:rsidRPr="00E24C09">
        <w:rPr>
          <w:rFonts w:asciiTheme="majorBidi" w:hAnsiTheme="majorBidi" w:cstheme="majorBidi"/>
          <w:b/>
          <w:bCs/>
          <w:i w:val="0"/>
          <w:iCs w:val="0"/>
          <w:color w:val="auto"/>
        </w:rPr>
        <w:t>F</w:t>
      </w:r>
      <w:r w:rsidR="00817E85">
        <w:rPr>
          <w:rFonts w:asciiTheme="majorBidi" w:hAnsiTheme="majorBidi" w:cstheme="majorBidi"/>
          <w:b/>
          <w:bCs/>
          <w:i w:val="0"/>
          <w:iCs w:val="0"/>
          <w:color w:val="auto"/>
        </w:rPr>
        <w:t>IGURE</w:t>
      </w:r>
      <w:r w:rsidRPr="00E24C09">
        <w:rPr>
          <w:rFonts w:asciiTheme="majorBidi" w:hAnsiTheme="majorBidi" w:cstheme="majorBidi"/>
          <w:b/>
          <w:bCs/>
          <w:i w:val="0"/>
          <w:iCs w:val="0"/>
          <w:color w:val="auto"/>
        </w:rPr>
        <w:t xml:space="preserve"> </w:t>
      </w:r>
      <w:r w:rsidRPr="00E24C09">
        <w:rPr>
          <w:color w:val="auto"/>
        </w:rPr>
        <w:fldChar w:fldCharType="begin"/>
      </w:r>
      <w:r w:rsidRPr="00E24C09">
        <w:rPr>
          <w:rFonts w:asciiTheme="majorBidi" w:hAnsiTheme="majorBidi" w:cstheme="majorBidi"/>
          <w:b/>
          <w:bCs/>
          <w:i w:val="0"/>
          <w:iCs w:val="0"/>
          <w:color w:val="auto"/>
        </w:rPr>
        <w:instrText xml:space="preserve"> SEQ Figure \* ARABIC </w:instrText>
      </w:r>
      <w:r w:rsidRPr="00E24C09">
        <w:rPr>
          <w:color w:val="auto"/>
        </w:rPr>
        <w:fldChar w:fldCharType="separate"/>
      </w:r>
      <w:r w:rsidRPr="00E24C09">
        <w:rPr>
          <w:rFonts w:asciiTheme="majorBidi" w:hAnsiTheme="majorBidi" w:cstheme="majorBidi"/>
          <w:b/>
          <w:bCs/>
          <w:i w:val="0"/>
          <w:iCs w:val="0"/>
          <w:noProof/>
          <w:color w:val="auto"/>
        </w:rPr>
        <w:t>4</w:t>
      </w:r>
      <w:r w:rsidRPr="00E24C09">
        <w:rPr>
          <w:color w:val="auto"/>
        </w:rPr>
        <w:fldChar w:fldCharType="end"/>
      </w:r>
      <w:bookmarkEnd w:id="2"/>
      <w:r w:rsidRPr="00E24C09">
        <w:rPr>
          <w:rFonts w:asciiTheme="majorBidi" w:hAnsiTheme="majorBidi" w:cstheme="majorBidi"/>
          <w:b/>
          <w:bCs/>
          <w:i w:val="0"/>
          <w:iCs w:val="0"/>
          <w:color w:val="auto"/>
        </w:rPr>
        <w:t>.</w:t>
      </w:r>
      <w:r w:rsidRPr="00E24C09">
        <w:rPr>
          <w:rFonts w:asciiTheme="majorBidi" w:hAnsiTheme="majorBidi" w:cstheme="majorBidi"/>
          <w:i w:val="0"/>
          <w:iCs w:val="0"/>
          <w:color w:val="auto"/>
        </w:rPr>
        <w:t xml:space="preserve"> vorticity field showing the 4 locations V1, V2, V3 and V4</w:t>
      </w:r>
      <w:r>
        <w:rPr>
          <w:rFonts w:asciiTheme="majorBidi" w:hAnsiTheme="majorBidi" w:cstheme="majorBidi"/>
          <w:i w:val="0"/>
          <w:iCs w:val="0"/>
          <w:color w:val="auto"/>
        </w:rPr>
        <w:t>.</w:t>
      </w:r>
    </w:p>
    <w:p w14:paraId="4024EC21" w14:textId="5D4A4C7F" w:rsidR="00155B67" w:rsidRPr="00E24C09" w:rsidRDefault="00E24C09" w:rsidP="00E24C09">
      <w:pPr>
        <w:pStyle w:val="Heading2"/>
        <w:rPr>
          <w:b w:val="0"/>
          <w:bCs/>
        </w:rPr>
      </w:pPr>
      <w:r w:rsidRPr="00E24C09">
        <w:rPr>
          <w:rStyle w:val="Strong"/>
          <w:rFonts w:asciiTheme="majorBidi" w:hAnsiTheme="majorBidi"/>
          <w:b/>
          <w:bCs w:val="0"/>
          <w:szCs w:val="24"/>
        </w:rPr>
        <w:t xml:space="preserve">HEAT TRANSFER </w:t>
      </w:r>
    </w:p>
    <w:p w14:paraId="02095C2F" w14:textId="7F08F0F5" w:rsidR="00343EF7" w:rsidRDefault="00672AD6" w:rsidP="00672AD6">
      <w:pPr>
        <w:pStyle w:val="NormalWeb"/>
        <w:ind w:firstLine="284"/>
        <w:jc w:val="both"/>
        <w:rPr>
          <w:sz w:val="20"/>
          <w:szCs w:val="20"/>
        </w:rPr>
      </w:pPr>
      <w:r w:rsidRPr="00672AD6">
        <w:rPr>
          <w:sz w:val="20"/>
          <w:szCs w:val="20"/>
        </w:rPr>
        <w:fldChar w:fldCharType="begin"/>
      </w:r>
      <w:r w:rsidRPr="00672AD6">
        <w:rPr>
          <w:sz w:val="20"/>
          <w:szCs w:val="20"/>
        </w:rPr>
        <w:instrText xml:space="preserve"> REF _Ref210930951 \h  \* MERGEFORMAT </w:instrText>
      </w:r>
      <w:r w:rsidRPr="00672AD6">
        <w:rPr>
          <w:sz w:val="20"/>
          <w:szCs w:val="20"/>
        </w:rPr>
      </w:r>
      <w:r w:rsidRPr="00672AD6">
        <w:rPr>
          <w:sz w:val="20"/>
          <w:szCs w:val="20"/>
        </w:rPr>
        <w:fldChar w:fldCharType="separate"/>
      </w:r>
      <w:r w:rsidRPr="00672AD6">
        <w:rPr>
          <w:rFonts w:asciiTheme="majorBidi" w:hAnsiTheme="majorBidi" w:cstheme="majorBidi"/>
          <w:sz w:val="20"/>
          <w:szCs w:val="20"/>
        </w:rPr>
        <w:t xml:space="preserve">Figure </w:t>
      </w:r>
      <w:r w:rsidRPr="00672AD6">
        <w:rPr>
          <w:rFonts w:asciiTheme="majorBidi" w:hAnsiTheme="majorBidi" w:cstheme="majorBidi"/>
          <w:noProof/>
          <w:sz w:val="20"/>
          <w:szCs w:val="20"/>
        </w:rPr>
        <w:t>5</w:t>
      </w:r>
      <w:r w:rsidRPr="00672AD6">
        <w:rPr>
          <w:sz w:val="20"/>
          <w:szCs w:val="20"/>
        </w:rPr>
        <w:fldChar w:fldCharType="end"/>
      </w:r>
      <w:r w:rsidR="00343EF7" w:rsidRPr="00672AD6">
        <w:rPr>
          <w:sz w:val="20"/>
          <w:szCs w:val="20"/>
        </w:rPr>
        <w:t>a illustrates the interaction between the vortical structures and the thermal field near the heated wall. The line vortex visualization reveals the trajectory of the primary vortex, which sweeps along the surface from approximately Y = 5 mm to Y = 16 mm. This motion enhances convective mixing and promotes localized cooling within the impingement zone. Downstream, a secondary vortex emerges near Y ≈ 22 mm, indicating the onset of vortex pairing and partial detachment from the wall. The birth of this secondary structure corresponds to a local reorganization of the near-wall flow, which influences both the momentum and heat transport characteristics.</w:t>
      </w:r>
    </w:p>
    <w:p w14:paraId="0259068F" w14:textId="18156A46" w:rsidR="00E24C09" w:rsidRDefault="00672AD6" w:rsidP="00236E80">
      <w:pPr>
        <w:pStyle w:val="NormalWeb"/>
        <w:spacing w:before="0" w:beforeAutospacing="0" w:after="0" w:afterAutospacing="0"/>
        <w:ind w:firstLine="284"/>
        <w:jc w:val="both"/>
        <w:rPr>
          <w:sz w:val="20"/>
          <w:szCs w:val="20"/>
          <w:lang w:val="en-US" w:eastAsia="en-US"/>
        </w:rPr>
      </w:pPr>
      <w:r w:rsidRPr="00672AD6">
        <w:rPr>
          <w:sz w:val="20"/>
          <w:szCs w:val="20"/>
        </w:rPr>
        <w:lastRenderedPageBreak/>
        <w:fldChar w:fldCharType="begin"/>
      </w:r>
      <w:r w:rsidRPr="00672AD6">
        <w:rPr>
          <w:sz w:val="20"/>
          <w:szCs w:val="20"/>
        </w:rPr>
        <w:instrText xml:space="preserve"> REF _Ref210930951 \h  \* MERGEFORMAT </w:instrText>
      </w:r>
      <w:r w:rsidRPr="00672AD6">
        <w:rPr>
          <w:sz w:val="20"/>
          <w:szCs w:val="20"/>
        </w:rPr>
      </w:r>
      <w:r w:rsidRPr="00672AD6">
        <w:rPr>
          <w:sz w:val="20"/>
          <w:szCs w:val="20"/>
        </w:rPr>
        <w:fldChar w:fldCharType="separate"/>
      </w:r>
      <w:r w:rsidRPr="00672AD6">
        <w:rPr>
          <w:rFonts w:asciiTheme="majorBidi" w:hAnsiTheme="majorBidi" w:cstheme="majorBidi"/>
          <w:sz w:val="20"/>
          <w:szCs w:val="20"/>
        </w:rPr>
        <w:t xml:space="preserve">Figure </w:t>
      </w:r>
      <w:r w:rsidRPr="00672AD6">
        <w:rPr>
          <w:rFonts w:asciiTheme="majorBidi" w:hAnsiTheme="majorBidi" w:cstheme="majorBidi"/>
          <w:noProof/>
          <w:sz w:val="20"/>
          <w:szCs w:val="20"/>
        </w:rPr>
        <w:t>5</w:t>
      </w:r>
      <w:r w:rsidRPr="00672AD6">
        <w:rPr>
          <w:sz w:val="20"/>
          <w:szCs w:val="20"/>
        </w:rPr>
        <w:fldChar w:fldCharType="end"/>
      </w:r>
      <w:r w:rsidRPr="00672AD6">
        <w:rPr>
          <w:sz w:val="20"/>
          <w:szCs w:val="20"/>
        </w:rPr>
        <w:t>b complements these observations by presenting the mean Stanton number (St) distribution along the Y-axis. Two distinct peaks are evident: the first, located between Y ≈ 6–16 mm; the second, around Y ≈ 22 mm, coincides with the formation of the secondary vortex before flow separation occurs</w:t>
      </w:r>
      <w:r w:rsidR="00236E80">
        <w:rPr>
          <w:sz w:val="20"/>
          <w:szCs w:val="20"/>
        </w:rPr>
        <w:t xml:space="preserve">, </w:t>
      </w:r>
      <w:r w:rsidR="00236E80" w:rsidRPr="00672AD6">
        <w:rPr>
          <w:sz w:val="20"/>
          <w:szCs w:val="20"/>
        </w:rPr>
        <w:t xml:space="preserve">aligns with the impingement of the primary vortex shown in </w:t>
      </w:r>
      <w:r w:rsidR="00236E80" w:rsidRPr="00236E80">
        <w:rPr>
          <w:sz w:val="20"/>
          <w:szCs w:val="20"/>
        </w:rPr>
        <w:fldChar w:fldCharType="begin"/>
      </w:r>
      <w:r w:rsidR="00236E80" w:rsidRPr="00236E80">
        <w:rPr>
          <w:sz w:val="20"/>
          <w:szCs w:val="20"/>
        </w:rPr>
        <w:instrText xml:space="preserve"> REF _Ref210930951 \h  \* MERGEFORMAT </w:instrText>
      </w:r>
      <w:r w:rsidR="00236E80" w:rsidRPr="00236E80">
        <w:rPr>
          <w:sz w:val="20"/>
          <w:szCs w:val="20"/>
        </w:rPr>
      </w:r>
      <w:r w:rsidR="00236E80" w:rsidRPr="00236E80">
        <w:rPr>
          <w:sz w:val="20"/>
          <w:szCs w:val="20"/>
        </w:rPr>
        <w:fldChar w:fldCharType="separate"/>
      </w:r>
      <w:r w:rsidR="00236E80" w:rsidRPr="00236E80">
        <w:rPr>
          <w:rFonts w:asciiTheme="majorBidi" w:hAnsiTheme="majorBidi" w:cstheme="majorBidi"/>
          <w:sz w:val="20"/>
          <w:szCs w:val="20"/>
        </w:rPr>
        <w:t xml:space="preserve">Fig. </w:t>
      </w:r>
      <w:r w:rsidR="00236E80" w:rsidRPr="00236E80">
        <w:rPr>
          <w:rFonts w:asciiTheme="majorBidi" w:hAnsiTheme="majorBidi" w:cstheme="majorBidi"/>
          <w:noProof/>
          <w:sz w:val="20"/>
          <w:szCs w:val="20"/>
        </w:rPr>
        <w:t>5</w:t>
      </w:r>
      <w:r w:rsidR="00236E80" w:rsidRPr="00236E80">
        <w:rPr>
          <w:sz w:val="20"/>
          <w:szCs w:val="20"/>
        </w:rPr>
        <w:fldChar w:fldCharType="end"/>
      </w:r>
      <w:r w:rsidR="00236E80" w:rsidRPr="00236E80">
        <w:rPr>
          <w:sz w:val="20"/>
          <w:szCs w:val="20"/>
        </w:rPr>
        <w:t>a</w:t>
      </w:r>
      <w:r w:rsidRPr="00672AD6">
        <w:rPr>
          <w:sz w:val="20"/>
          <w:szCs w:val="20"/>
        </w:rPr>
        <w:t>. The spatial correspondence between these features highlights the strong coupling between the unsteady flow dynamics and wall heat transfer behaviour.</w:t>
      </w:r>
    </w:p>
    <w:p w14:paraId="11B79546" w14:textId="77777777" w:rsidR="00236E80" w:rsidRPr="00236E80" w:rsidRDefault="00236E80" w:rsidP="00236E80">
      <w:pPr>
        <w:pStyle w:val="NormalWeb"/>
        <w:spacing w:before="0" w:beforeAutospacing="0" w:after="0" w:afterAutospacing="0"/>
        <w:ind w:firstLine="284"/>
        <w:jc w:val="both"/>
        <w:rPr>
          <w:sz w:val="20"/>
          <w:szCs w:val="20"/>
        </w:rPr>
      </w:pPr>
      <w:r w:rsidRPr="00236E80">
        <w:rPr>
          <w:sz w:val="20"/>
          <w:szCs w:val="20"/>
        </w:rPr>
        <w:t>The St variation also exhibits a mild oscillatory trend, reflecting the influence of periodic flow excitation. The enhancement regions correlate with dominant acoustic frequencies (F₁ and F₂), confirming that the resonance between the jet’s hydrodynamic structures and the acoustic field governs the distribution of thermal loads on the surface. This coupled mechanism ensures a stable yet spatially modulated heat transfer pattern, emphasizing the key role of coherent vortex impingement in dictating local convective efficiency.</w:t>
      </w:r>
    </w:p>
    <w:p w14:paraId="20FDBB73" w14:textId="4AE65188" w:rsidR="000606D2" w:rsidRDefault="000606D2" w:rsidP="004E3C57">
      <w:pPr>
        <w:pStyle w:val="Paragraph"/>
      </w:pPr>
    </w:p>
    <w:p w14:paraId="00D2A39B" w14:textId="77777777" w:rsidR="00236E80" w:rsidRDefault="00236E80" w:rsidP="004E3C57">
      <w:pPr>
        <w:pStyle w:val="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2"/>
        <w:gridCol w:w="4648"/>
      </w:tblGrid>
      <w:tr w:rsidR="004E3C57" w14:paraId="6B7B2AF1" w14:textId="77777777" w:rsidTr="001D18E0">
        <w:trPr>
          <w:trHeight w:val="2974"/>
        </w:trPr>
        <w:tc>
          <w:tcPr>
            <w:tcW w:w="4776" w:type="dxa"/>
          </w:tcPr>
          <w:p w14:paraId="737944E5" w14:textId="6D1EDA63" w:rsidR="004E3C57" w:rsidRDefault="00FA44EC" w:rsidP="00A314BB">
            <w:pPr>
              <w:pStyle w:val="Paragraph"/>
              <w:ind w:firstLine="0"/>
              <w:jc w:val="center"/>
            </w:pPr>
            <w:r>
              <w:rPr>
                <w:noProof/>
              </w:rPr>
              <w:object w:dxaOrig="5780" w:dyaOrig="6930" w14:anchorId="07E4FD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2pt;height:250.2pt" o:ole="">
                  <v:imagedata r:id="rId19" o:title=""/>
                </v:shape>
                <o:OLEObject Type="Embed" ProgID="PBrush" ShapeID="_x0000_i1025" DrawAspect="Content" ObjectID="_1826546468" r:id="rId20"/>
              </w:object>
            </w:r>
          </w:p>
        </w:tc>
        <w:tc>
          <w:tcPr>
            <w:tcW w:w="4584" w:type="dxa"/>
          </w:tcPr>
          <w:p w14:paraId="6A79897F" w14:textId="77777777" w:rsidR="000606D2" w:rsidRDefault="000606D2" w:rsidP="00A314BB">
            <w:pPr>
              <w:pStyle w:val="Paragraph"/>
              <w:ind w:firstLine="0"/>
              <w:jc w:val="center"/>
            </w:pPr>
          </w:p>
          <w:p w14:paraId="401FA40E" w14:textId="77777777" w:rsidR="000606D2" w:rsidRDefault="000606D2" w:rsidP="00A314BB">
            <w:pPr>
              <w:pStyle w:val="Paragraph"/>
              <w:ind w:firstLine="0"/>
              <w:jc w:val="center"/>
            </w:pPr>
          </w:p>
          <w:p w14:paraId="38FFFD90" w14:textId="77777777" w:rsidR="000606D2" w:rsidRDefault="000606D2" w:rsidP="00A314BB">
            <w:pPr>
              <w:pStyle w:val="Paragraph"/>
              <w:ind w:firstLine="0"/>
              <w:jc w:val="center"/>
            </w:pPr>
          </w:p>
          <w:p w14:paraId="13B80FF7" w14:textId="77777777" w:rsidR="000606D2" w:rsidRDefault="000606D2" w:rsidP="00A314BB">
            <w:pPr>
              <w:pStyle w:val="Paragraph"/>
              <w:ind w:firstLine="0"/>
              <w:jc w:val="center"/>
            </w:pPr>
          </w:p>
          <w:p w14:paraId="6E3275EC" w14:textId="77777777" w:rsidR="000606D2" w:rsidRDefault="000606D2" w:rsidP="00A314BB">
            <w:pPr>
              <w:pStyle w:val="Paragraph"/>
              <w:ind w:firstLine="0"/>
              <w:jc w:val="center"/>
            </w:pPr>
          </w:p>
          <w:p w14:paraId="0E54EFAB" w14:textId="174932E7" w:rsidR="004E3C57" w:rsidRDefault="00FA44EC" w:rsidP="00A314BB">
            <w:pPr>
              <w:pStyle w:val="Paragraph"/>
              <w:ind w:firstLine="0"/>
              <w:jc w:val="center"/>
            </w:pPr>
            <w:r>
              <w:rPr>
                <w:noProof/>
              </w:rPr>
              <w:object w:dxaOrig="7720" w:dyaOrig="4540" w14:anchorId="5AD9AA8D">
                <v:shape id="_x0000_i1026" type="#_x0000_t75" style="width:221.4pt;height:130.2pt" o:ole="">
                  <v:imagedata r:id="rId21" o:title=""/>
                </v:shape>
                <o:OLEObject Type="Embed" ProgID="PBrush" ShapeID="_x0000_i1026" DrawAspect="Content" ObjectID="_1826546469" r:id="rId22"/>
              </w:object>
            </w:r>
          </w:p>
        </w:tc>
      </w:tr>
      <w:tr w:rsidR="004E3C57" w14:paraId="6121B06C" w14:textId="77777777" w:rsidTr="001D18E0">
        <w:trPr>
          <w:trHeight w:val="291"/>
        </w:trPr>
        <w:tc>
          <w:tcPr>
            <w:tcW w:w="4776" w:type="dxa"/>
          </w:tcPr>
          <w:p w14:paraId="6F2B45C0" w14:textId="77777777" w:rsidR="004E3C57" w:rsidRDefault="004E3C57" w:rsidP="00A314BB">
            <w:pPr>
              <w:pStyle w:val="Paragraph"/>
              <w:ind w:firstLine="0"/>
              <w:jc w:val="center"/>
            </w:pPr>
            <w:r>
              <w:t>(a)</w:t>
            </w:r>
          </w:p>
        </w:tc>
        <w:tc>
          <w:tcPr>
            <w:tcW w:w="4584" w:type="dxa"/>
          </w:tcPr>
          <w:p w14:paraId="6A1FCDA9" w14:textId="77777777" w:rsidR="004E3C57" w:rsidRDefault="004E3C57" w:rsidP="00A314BB">
            <w:pPr>
              <w:pStyle w:val="Paragraph"/>
              <w:ind w:firstLine="0"/>
              <w:jc w:val="center"/>
            </w:pPr>
            <w:r>
              <w:t>(b)</w:t>
            </w:r>
          </w:p>
        </w:tc>
      </w:tr>
    </w:tbl>
    <w:p w14:paraId="05C96BAA" w14:textId="0965CE8A" w:rsidR="001B66CE" w:rsidRPr="001B66CE" w:rsidRDefault="001B66CE" w:rsidP="001E2FBA">
      <w:pPr>
        <w:pStyle w:val="Caption"/>
        <w:jc w:val="center"/>
        <w:rPr>
          <w:rFonts w:asciiTheme="majorBidi" w:hAnsiTheme="majorBidi" w:cstheme="majorBidi"/>
          <w:i w:val="0"/>
          <w:iCs w:val="0"/>
          <w:color w:val="auto"/>
        </w:rPr>
      </w:pPr>
      <w:bookmarkStart w:id="3" w:name="_Ref210586142"/>
      <w:bookmarkStart w:id="4" w:name="_Ref210930951"/>
      <w:bookmarkStart w:id="5" w:name="_Ref210586145"/>
      <w:r w:rsidRPr="001B66CE">
        <w:rPr>
          <w:rFonts w:asciiTheme="majorBidi" w:hAnsiTheme="majorBidi" w:cstheme="majorBidi"/>
          <w:b/>
          <w:bCs/>
          <w:i w:val="0"/>
          <w:iCs w:val="0"/>
          <w:color w:val="auto"/>
        </w:rPr>
        <w:t>F</w:t>
      </w:r>
      <w:r w:rsidR="00817E85">
        <w:rPr>
          <w:rFonts w:asciiTheme="majorBidi" w:hAnsiTheme="majorBidi" w:cstheme="majorBidi"/>
          <w:b/>
          <w:bCs/>
          <w:i w:val="0"/>
          <w:iCs w:val="0"/>
          <w:color w:val="auto"/>
        </w:rPr>
        <w:t>IGURE</w:t>
      </w:r>
      <w:r w:rsidRPr="001B66CE">
        <w:rPr>
          <w:rFonts w:asciiTheme="majorBidi" w:hAnsiTheme="majorBidi" w:cstheme="majorBidi"/>
          <w:b/>
          <w:bCs/>
          <w:i w:val="0"/>
          <w:iCs w:val="0"/>
          <w:color w:val="auto"/>
        </w:rPr>
        <w:t xml:space="preserve"> </w:t>
      </w:r>
      <w:r w:rsidRPr="001B66CE">
        <w:rPr>
          <w:color w:val="auto"/>
        </w:rPr>
        <w:fldChar w:fldCharType="begin"/>
      </w:r>
      <w:r w:rsidRPr="001B66CE">
        <w:rPr>
          <w:rFonts w:asciiTheme="majorBidi" w:hAnsiTheme="majorBidi" w:cstheme="majorBidi"/>
          <w:b/>
          <w:bCs/>
          <w:i w:val="0"/>
          <w:iCs w:val="0"/>
          <w:color w:val="auto"/>
        </w:rPr>
        <w:instrText xml:space="preserve"> SEQ Figure \* ARABIC </w:instrText>
      </w:r>
      <w:r w:rsidRPr="001B66CE">
        <w:rPr>
          <w:color w:val="auto"/>
        </w:rPr>
        <w:fldChar w:fldCharType="separate"/>
      </w:r>
      <w:r w:rsidRPr="001B66CE">
        <w:rPr>
          <w:rFonts w:asciiTheme="majorBidi" w:hAnsiTheme="majorBidi" w:cstheme="majorBidi"/>
          <w:b/>
          <w:bCs/>
          <w:i w:val="0"/>
          <w:iCs w:val="0"/>
          <w:noProof/>
          <w:color w:val="auto"/>
        </w:rPr>
        <w:t>5</w:t>
      </w:r>
      <w:r w:rsidRPr="001B66CE">
        <w:rPr>
          <w:color w:val="auto"/>
        </w:rPr>
        <w:fldChar w:fldCharType="end"/>
      </w:r>
      <w:bookmarkEnd w:id="3"/>
      <w:bookmarkEnd w:id="4"/>
      <w:r w:rsidRPr="001B66CE">
        <w:rPr>
          <w:rFonts w:asciiTheme="majorBidi" w:hAnsiTheme="majorBidi" w:cstheme="majorBidi"/>
          <w:b/>
          <w:bCs/>
          <w:i w:val="0"/>
          <w:iCs w:val="0"/>
          <w:color w:val="auto"/>
        </w:rPr>
        <w:t>.</w:t>
      </w:r>
      <w:r w:rsidRPr="001B66CE">
        <w:rPr>
          <w:rFonts w:asciiTheme="majorBidi" w:hAnsiTheme="majorBidi" w:cstheme="majorBidi"/>
          <w:i w:val="0"/>
          <w:iCs w:val="0"/>
          <w:color w:val="auto"/>
        </w:rPr>
        <w:t xml:space="preserve"> (a) </w:t>
      </w:r>
      <w:r w:rsidR="001E2FBA">
        <w:rPr>
          <w:rFonts w:asciiTheme="majorBidi" w:hAnsiTheme="majorBidi" w:cstheme="majorBidi"/>
          <w:i w:val="0"/>
          <w:iCs w:val="0"/>
          <w:color w:val="auto"/>
        </w:rPr>
        <w:t>V</w:t>
      </w:r>
      <w:r w:rsidR="001E2FBA" w:rsidRPr="001E2FBA">
        <w:rPr>
          <w:rFonts w:asciiTheme="majorBidi" w:hAnsiTheme="majorBidi" w:cstheme="majorBidi"/>
          <w:i w:val="0"/>
          <w:iCs w:val="0"/>
          <w:color w:val="auto"/>
        </w:rPr>
        <w:t xml:space="preserve">ortical structures </w:t>
      </w:r>
      <w:r w:rsidRPr="001B66CE">
        <w:rPr>
          <w:rFonts w:asciiTheme="majorBidi" w:hAnsiTheme="majorBidi" w:cstheme="majorBidi"/>
          <w:i w:val="0"/>
          <w:iCs w:val="0"/>
          <w:color w:val="auto"/>
        </w:rPr>
        <w:t>(b) Average St distribution on the plate</w:t>
      </w:r>
      <w:bookmarkEnd w:id="5"/>
      <w:r>
        <w:rPr>
          <w:rFonts w:asciiTheme="majorBidi" w:hAnsiTheme="majorBidi" w:cstheme="majorBidi"/>
          <w:i w:val="0"/>
          <w:iCs w:val="0"/>
          <w:color w:val="auto"/>
        </w:rPr>
        <w:t>.</w:t>
      </w:r>
    </w:p>
    <w:p w14:paraId="6A6640CF" w14:textId="77777777" w:rsidR="002924DB" w:rsidRPr="005A0E21" w:rsidRDefault="002924DB" w:rsidP="00410B1F">
      <w:pPr>
        <w:pStyle w:val="Paragraph"/>
        <w:ind w:firstLine="0"/>
      </w:pPr>
    </w:p>
    <w:p w14:paraId="238F91B4" w14:textId="73575666" w:rsidR="00D87E2A" w:rsidRDefault="00D87E2A" w:rsidP="00914B6B">
      <w:pPr>
        <w:pStyle w:val="Heading1"/>
        <w:rPr>
          <w:b w:val="0"/>
          <w:caps w:val="0"/>
          <w:sz w:val="20"/>
        </w:rPr>
      </w:pPr>
      <w:r>
        <w:rPr>
          <w:rFonts w:asciiTheme="majorBidi" w:hAnsiTheme="majorBidi" w:cstheme="majorBidi"/>
        </w:rPr>
        <w:t>CONCLUSION</w:t>
      </w:r>
    </w:p>
    <w:p w14:paraId="4A31D9B1" w14:textId="77777777" w:rsidR="00363C62" w:rsidRPr="00363C62" w:rsidRDefault="00363C62" w:rsidP="00363C62">
      <w:pPr>
        <w:pStyle w:val="Paragraph"/>
      </w:pPr>
      <w:r w:rsidRPr="00363C62">
        <w:t>An experimental investigation was carried out to analyze the flow dynamics, acoustic behavior, and thermal reliability of a rectangular jet impinging on a heated plate at Re = 3550. The study combined flow field visualization through Q-criterion and vortex lines, acoustic spectral analysis, and POD decomposition to explore the coupled flow–acoustic–thermal interactions governing the system.</w:t>
      </w:r>
    </w:p>
    <w:p w14:paraId="4303D977" w14:textId="44DA1F0A" w:rsidR="00363C62" w:rsidRDefault="00363C62" w:rsidP="00363C62">
      <w:pPr>
        <w:pStyle w:val="Paragraph"/>
      </w:pPr>
      <w:r w:rsidRPr="00363C62">
        <w:t>The acoustic spectra revealed two dominant frequencies, F₁ = 105 Hz and F₂ = 202.5 Hz, corresponding to the fundamental and its first harmonic. These frequencies were also detected in the flow field and POD modes, confirming a resonance phenomenon between the acoustic feedback loop and the shear-layer instabilities. POD results showed that modes 1–3 were dominated by F₂, while modes 4–6 were primarily influenced by F₁, indicating strong synchronization between coherent structures and acoustic oscillations.</w:t>
      </w:r>
    </w:p>
    <w:p w14:paraId="47F8D36A" w14:textId="37836EEB" w:rsidR="00914B6B" w:rsidRDefault="00914B6B" w:rsidP="00914B6B">
      <w:pPr>
        <w:pStyle w:val="Paragraph"/>
      </w:pPr>
      <w:r w:rsidRPr="00914B6B">
        <w:t xml:space="preserve">Thermally, the Stanton number (St) distribution exhibited a wave-like pattern, with maximum heat transfer at the jet stagnation point and a gradual decay toward the plate edges. The highest St values were found near the impingement of primary vortices, while a secondary peak appeared in correspondence with the formation of a second vortex structure, also associated with the identified acoustic frequencies. This agreement between flow structures, thermal response, and spectral content confirms that the flow–acoustic coupling directly governs the heat transfer modulation. </w:t>
      </w:r>
    </w:p>
    <w:p w14:paraId="6A2FD472" w14:textId="6DDC0779" w:rsidR="00363C62" w:rsidRPr="00A24F3D" w:rsidRDefault="00914B6B" w:rsidP="00914B6B">
      <w:pPr>
        <w:pStyle w:val="Paragraph"/>
      </w:pPr>
      <w:r w:rsidRPr="00914B6B">
        <w:lastRenderedPageBreak/>
        <w:t>Future studies could explore the effect of varying the Reynolds number, jet-to-plate spacing, or slot geometry to further assess the influence of resonance on thermal performance. Implementing active flow control methods, such as piezoelectric excitation or fluidic diodes, may help regulate the acoustic feedback and enhance heat transfer efficiency. Additionally, coupling synchronized PIV, acoustic, and infrared thermography measurements could provide deeper insight into the temporal evolution and phase relationship among flow structures, acoustic modes, and thermal fluctuations.</w:t>
      </w:r>
    </w:p>
    <w:p w14:paraId="728458F7" w14:textId="77777777" w:rsidR="00C008AD" w:rsidRDefault="00C008AD" w:rsidP="00C008AD">
      <w:pPr>
        <w:pStyle w:val="Heading1"/>
        <w:rPr>
          <w:rFonts w:asciiTheme="majorBidi" w:hAnsiTheme="majorBidi" w:cstheme="majorBidi"/>
        </w:rPr>
      </w:pPr>
      <w:r>
        <w:rPr>
          <w:rFonts w:asciiTheme="majorBidi" w:hAnsiTheme="majorBidi" w:cstheme="majorBidi"/>
        </w:rPr>
        <w:t>Acknowledgments</w:t>
      </w:r>
    </w:p>
    <w:p w14:paraId="4F4EA3E3" w14:textId="007ED588" w:rsidR="000B3A2D" w:rsidRDefault="00C008AD" w:rsidP="00E41AA8">
      <w:pPr>
        <w:pStyle w:val="Paragraph"/>
      </w:pPr>
      <w:r>
        <w:t>The authors wish to thank FEDER, the ‘Region of Nouvelle Aquitaine’ for the financial support of this research.</w:t>
      </w:r>
    </w:p>
    <w:p w14:paraId="1CD27F1A" w14:textId="77777777" w:rsidR="00E41AA8" w:rsidRPr="00075EA6" w:rsidRDefault="00E41AA8" w:rsidP="00E41AA8">
      <w:pPr>
        <w:pStyle w:val="Paragraph"/>
        <w:rPr>
          <w:rFonts w:asciiTheme="majorBidi" w:hAnsiTheme="majorBidi" w:cstheme="majorBidi"/>
        </w:rPr>
      </w:pPr>
    </w:p>
    <w:p w14:paraId="37DB4162" w14:textId="40F12D3E" w:rsidR="00914B6B" w:rsidRPr="00914B6B" w:rsidRDefault="0016385D" w:rsidP="001B66CE">
      <w:pPr>
        <w:pStyle w:val="Heading1"/>
        <w:rPr>
          <w:b w:val="0"/>
          <w:caps w:val="0"/>
          <w:sz w:val="20"/>
        </w:rPr>
      </w:pPr>
      <w:r w:rsidRPr="00075EA6">
        <w:rPr>
          <w:rFonts w:asciiTheme="majorBidi" w:hAnsiTheme="majorBidi" w:cstheme="majorBidi"/>
        </w:rPr>
        <w:t>References</w:t>
      </w:r>
    </w:p>
    <w:p w14:paraId="6B053571" w14:textId="77777777" w:rsidR="00C96DAB" w:rsidRPr="00C96DAB" w:rsidRDefault="00914B6B" w:rsidP="00817E85">
      <w:pPr>
        <w:pStyle w:val="Bibliography"/>
        <w:spacing w:line="240" w:lineRule="auto"/>
        <w:jc w:val="both"/>
        <w:rPr>
          <w:sz w:val="20"/>
        </w:rPr>
      </w:pPr>
      <w:r w:rsidRPr="00914B6B">
        <w:rPr>
          <w:sz w:val="20"/>
        </w:rPr>
        <w:fldChar w:fldCharType="begin"/>
      </w:r>
      <w:r w:rsidR="00C96DAB">
        <w:rPr>
          <w:sz w:val="20"/>
        </w:rPr>
        <w:instrText xml:space="preserve"> ADDIN ZOTERO_BIBL {"uncited":[],"omitted":[],"custom":[]} CSL_BIBLIOGRAPHY </w:instrText>
      </w:r>
      <w:r w:rsidRPr="00914B6B">
        <w:rPr>
          <w:sz w:val="20"/>
        </w:rPr>
        <w:fldChar w:fldCharType="separate"/>
      </w:r>
      <w:r w:rsidR="00C96DAB" w:rsidRPr="00C96DAB">
        <w:rPr>
          <w:sz w:val="20"/>
        </w:rPr>
        <w:t>1.</w:t>
      </w:r>
      <w:r w:rsidR="00C96DAB" w:rsidRPr="00C96DAB">
        <w:rPr>
          <w:sz w:val="20"/>
        </w:rPr>
        <w:tab/>
        <w:t xml:space="preserve">Michel Matar, H. H. A., Mohammad El Hassan, Nikolay Bukharin, Anas Sakout, Ali Hammoud. Heat Transfer Characteristics of Passive, Active, and Hybrid Impinging Jets: A Review. </w:t>
      </w:r>
      <w:r w:rsidR="00C96DAB" w:rsidRPr="00C96DAB">
        <w:rPr>
          <w:i/>
          <w:iCs/>
          <w:sz w:val="20"/>
        </w:rPr>
        <w:t>International Journal of Technology</w:t>
      </w:r>
      <w:r w:rsidR="00C96DAB" w:rsidRPr="00C96DAB">
        <w:rPr>
          <w:sz w:val="20"/>
        </w:rPr>
        <w:t xml:space="preserve"> </w:t>
      </w:r>
      <w:r w:rsidR="00C96DAB" w:rsidRPr="00C96DAB">
        <w:rPr>
          <w:b/>
          <w:bCs/>
          <w:sz w:val="20"/>
        </w:rPr>
        <w:t>16</w:t>
      </w:r>
      <w:r w:rsidR="00C96DAB" w:rsidRPr="00C96DAB">
        <w:rPr>
          <w:sz w:val="20"/>
        </w:rPr>
        <w:t>, 46–71 (2025).</w:t>
      </w:r>
    </w:p>
    <w:p w14:paraId="41E02FBB" w14:textId="77777777" w:rsidR="00C96DAB" w:rsidRPr="00C96DAB" w:rsidRDefault="00C96DAB" w:rsidP="00817E85">
      <w:pPr>
        <w:pStyle w:val="Bibliography"/>
        <w:spacing w:line="240" w:lineRule="auto"/>
        <w:jc w:val="both"/>
        <w:rPr>
          <w:sz w:val="20"/>
        </w:rPr>
      </w:pPr>
      <w:r w:rsidRPr="00C96DAB">
        <w:rPr>
          <w:sz w:val="20"/>
        </w:rPr>
        <w:t>2.</w:t>
      </w:r>
      <w:r w:rsidRPr="00C96DAB">
        <w:rPr>
          <w:sz w:val="20"/>
        </w:rPr>
        <w:tab/>
        <w:t xml:space="preserve">Assoum, H. H., Hassan, M. E., Abed-Meraïm, K., Martinuzzi, R. &amp; Sakout, A. Experimental analysis of the aero-acoustic coupling in a plane impinging jet on a slotted plate. </w:t>
      </w:r>
      <w:r w:rsidRPr="00C96DAB">
        <w:rPr>
          <w:i/>
          <w:iCs/>
          <w:sz w:val="20"/>
        </w:rPr>
        <w:t>Fluid Dynamics Research</w:t>
      </w:r>
      <w:r w:rsidRPr="00C96DAB">
        <w:rPr>
          <w:sz w:val="20"/>
        </w:rPr>
        <w:t xml:space="preserve"> </w:t>
      </w:r>
      <w:r w:rsidRPr="00C96DAB">
        <w:rPr>
          <w:b/>
          <w:bCs/>
          <w:sz w:val="20"/>
        </w:rPr>
        <w:t>45</w:t>
      </w:r>
      <w:r w:rsidRPr="00C96DAB">
        <w:rPr>
          <w:sz w:val="20"/>
        </w:rPr>
        <w:t>, 045503 (2013).</w:t>
      </w:r>
    </w:p>
    <w:p w14:paraId="5093E031" w14:textId="77777777" w:rsidR="00C96DAB" w:rsidRPr="00C96DAB" w:rsidRDefault="00C96DAB" w:rsidP="00817E85">
      <w:pPr>
        <w:pStyle w:val="Bibliography"/>
        <w:spacing w:line="240" w:lineRule="auto"/>
        <w:jc w:val="both"/>
        <w:rPr>
          <w:sz w:val="20"/>
        </w:rPr>
      </w:pPr>
      <w:r w:rsidRPr="00C96DAB">
        <w:rPr>
          <w:sz w:val="20"/>
        </w:rPr>
        <w:t>3.</w:t>
      </w:r>
      <w:r w:rsidRPr="00C96DAB">
        <w:rPr>
          <w:sz w:val="20"/>
        </w:rPr>
        <w:tab/>
        <w:t xml:space="preserve">Assoum, H. H., Hassan, M. E., Abed-Meraim, K. &amp; Sakout, A. The vortex dynamics and the self sustained tones in a plane jet impinging on a slotted plate. </w:t>
      </w:r>
      <w:r w:rsidRPr="00C96DAB">
        <w:rPr>
          <w:i/>
          <w:iCs/>
          <w:sz w:val="20"/>
        </w:rPr>
        <w:t>European Journal of Mechanics - B/Fluids</w:t>
      </w:r>
      <w:r w:rsidRPr="00C96DAB">
        <w:rPr>
          <w:sz w:val="20"/>
        </w:rPr>
        <w:t xml:space="preserve"> </w:t>
      </w:r>
      <w:r w:rsidRPr="00C96DAB">
        <w:rPr>
          <w:b/>
          <w:bCs/>
          <w:sz w:val="20"/>
        </w:rPr>
        <w:t>48</w:t>
      </w:r>
      <w:r w:rsidRPr="00C96DAB">
        <w:rPr>
          <w:sz w:val="20"/>
        </w:rPr>
        <w:t>, 231–235 (2014).</w:t>
      </w:r>
    </w:p>
    <w:p w14:paraId="540C87AC" w14:textId="77777777" w:rsidR="00C96DAB" w:rsidRPr="00C96DAB" w:rsidRDefault="00C96DAB" w:rsidP="00817E85">
      <w:pPr>
        <w:pStyle w:val="Bibliography"/>
        <w:spacing w:line="240" w:lineRule="auto"/>
        <w:jc w:val="both"/>
        <w:rPr>
          <w:sz w:val="20"/>
        </w:rPr>
      </w:pPr>
      <w:r w:rsidRPr="0075682B">
        <w:rPr>
          <w:sz w:val="20"/>
        </w:rPr>
        <w:t>4.</w:t>
      </w:r>
      <w:r w:rsidRPr="0075682B">
        <w:rPr>
          <w:sz w:val="20"/>
        </w:rPr>
        <w:tab/>
        <w:t xml:space="preserve">Assoum, H. H. </w:t>
      </w:r>
      <w:r w:rsidRPr="0075682B">
        <w:rPr>
          <w:i/>
          <w:iCs/>
          <w:sz w:val="20"/>
        </w:rPr>
        <w:t>et al.</w:t>
      </w:r>
      <w:r w:rsidRPr="0075682B">
        <w:rPr>
          <w:sz w:val="20"/>
        </w:rPr>
        <w:t xml:space="preserve"> </w:t>
      </w:r>
      <w:r w:rsidRPr="00C96DAB">
        <w:rPr>
          <w:sz w:val="20"/>
        </w:rPr>
        <w:t xml:space="preserve">Experimental investigation the turbulent kinetic energy and the acoustic field in a rectangular jet impinging a slotted plate. </w:t>
      </w:r>
      <w:r w:rsidRPr="00C96DAB">
        <w:rPr>
          <w:i/>
          <w:iCs/>
          <w:sz w:val="20"/>
        </w:rPr>
        <w:t>Energy Procedia</w:t>
      </w:r>
      <w:r w:rsidRPr="00C96DAB">
        <w:rPr>
          <w:sz w:val="20"/>
        </w:rPr>
        <w:t xml:space="preserve"> </w:t>
      </w:r>
      <w:r w:rsidRPr="00C96DAB">
        <w:rPr>
          <w:b/>
          <w:bCs/>
          <w:sz w:val="20"/>
        </w:rPr>
        <w:t>139</w:t>
      </w:r>
      <w:r w:rsidRPr="00C96DAB">
        <w:rPr>
          <w:sz w:val="20"/>
        </w:rPr>
        <w:t>, 398–403 (2017).</w:t>
      </w:r>
    </w:p>
    <w:p w14:paraId="7FBDC372" w14:textId="77777777" w:rsidR="00C96DAB" w:rsidRPr="00C96DAB" w:rsidRDefault="00C96DAB" w:rsidP="00817E85">
      <w:pPr>
        <w:pStyle w:val="Bibliography"/>
        <w:spacing w:line="240" w:lineRule="auto"/>
        <w:jc w:val="both"/>
        <w:rPr>
          <w:sz w:val="20"/>
        </w:rPr>
      </w:pPr>
      <w:r w:rsidRPr="00C96DAB">
        <w:rPr>
          <w:sz w:val="20"/>
        </w:rPr>
        <w:t>5.</w:t>
      </w:r>
      <w:r w:rsidRPr="00C96DAB">
        <w:rPr>
          <w:sz w:val="20"/>
        </w:rPr>
        <w:tab/>
        <w:t xml:space="preserve">Mrach, T. </w:t>
      </w:r>
      <w:r w:rsidRPr="00C96DAB">
        <w:rPr>
          <w:i/>
          <w:iCs/>
          <w:sz w:val="20"/>
        </w:rPr>
        <w:t>et al.</w:t>
      </w:r>
      <w:r w:rsidRPr="00C96DAB">
        <w:rPr>
          <w:sz w:val="20"/>
        </w:rPr>
        <w:t xml:space="preserve"> Experimental study of the thermal effect on the acoustic field generated by a jet impinging on a slotted heated plate. </w:t>
      </w:r>
      <w:r w:rsidRPr="00C96DAB">
        <w:rPr>
          <w:i/>
          <w:iCs/>
          <w:sz w:val="20"/>
        </w:rPr>
        <w:t>Energy Reports</w:t>
      </w:r>
      <w:r w:rsidRPr="00C96DAB">
        <w:rPr>
          <w:sz w:val="20"/>
        </w:rPr>
        <w:t xml:space="preserve"> </w:t>
      </w:r>
      <w:r w:rsidRPr="00C96DAB">
        <w:rPr>
          <w:b/>
          <w:bCs/>
          <w:sz w:val="20"/>
        </w:rPr>
        <w:t>6</w:t>
      </w:r>
      <w:r w:rsidRPr="00C96DAB">
        <w:rPr>
          <w:sz w:val="20"/>
        </w:rPr>
        <w:t>, 497–501 (2020).</w:t>
      </w:r>
    </w:p>
    <w:p w14:paraId="2DFFF72F" w14:textId="77777777" w:rsidR="00C96DAB" w:rsidRPr="00C96DAB" w:rsidRDefault="00C96DAB" w:rsidP="00817E85">
      <w:pPr>
        <w:pStyle w:val="Bibliography"/>
        <w:spacing w:line="240" w:lineRule="auto"/>
        <w:jc w:val="both"/>
        <w:rPr>
          <w:sz w:val="20"/>
        </w:rPr>
      </w:pPr>
      <w:r w:rsidRPr="00C96DAB">
        <w:rPr>
          <w:sz w:val="20"/>
        </w:rPr>
        <w:t>6.</w:t>
      </w:r>
      <w:r w:rsidRPr="00C96DAB">
        <w:rPr>
          <w:sz w:val="20"/>
        </w:rPr>
        <w:tab/>
        <w:t xml:space="preserve">Assoum, H. H. </w:t>
      </w:r>
      <w:r w:rsidRPr="00C96DAB">
        <w:rPr>
          <w:i/>
          <w:iCs/>
          <w:sz w:val="20"/>
        </w:rPr>
        <w:t>et al.</w:t>
      </w:r>
      <w:r w:rsidRPr="00C96DAB">
        <w:rPr>
          <w:sz w:val="20"/>
        </w:rPr>
        <w:t xml:space="preserve"> Turbulent Kinetic Energy and self-sustaining tones in an impinging jet using High Speed 3D Tomographic-PIV. </w:t>
      </w:r>
      <w:r w:rsidRPr="00C96DAB">
        <w:rPr>
          <w:i/>
          <w:iCs/>
          <w:sz w:val="20"/>
        </w:rPr>
        <w:t>Energy Rep.</w:t>
      </w:r>
      <w:r w:rsidRPr="00C96DAB">
        <w:rPr>
          <w:sz w:val="20"/>
        </w:rPr>
        <w:t xml:space="preserve"> </w:t>
      </w:r>
      <w:r w:rsidRPr="00C96DAB">
        <w:rPr>
          <w:b/>
          <w:bCs/>
          <w:sz w:val="20"/>
        </w:rPr>
        <w:t>6</w:t>
      </w:r>
      <w:r w:rsidRPr="00C96DAB">
        <w:rPr>
          <w:sz w:val="20"/>
        </w:rPr>
        <w:t>, 802–806 (2020).</w:t>
      </w:r>
    </w:p>
    <w:p w14:paraId="4FBA88D6" w14:textId="77777777" w:rsidR="00C96DAB" w:rsidRPr="00C96DAB" w:rsidRDefault="00C96DAB" w:rsidP="00817E85">
      <w:pPr>
        <w:pStyle w:val="Bibliography"/>
        <w:spacing w:line="240" w:lineRule="auto"/>
        <w:jc w:val="both"/>
        <w:rPr>
          <w:sz w:val="20"/>
        </w:rPr>
      </w:pPr>
      <w:r w:rsidRPr="00C96DAB">
        <w:rPr>
          <w:sz w:val="20"/>
        </w:rPr>
        <w:t>7.</w:t>
      </w:r>
      <w:r w:rsidRPr="00C96DAB">
        <w:rPr>
          <w:sz w:val="20"/>
        </w:rPr>
        <w:tab/>
        <w:t xml:space="preserve">Assoum, H. </w:t>
      </w:r>
      <w:r w:rsidRPr="00C96DAB">
        <w:rPr>
          <w:i/>
          <w:iCs/>
          <w:sz w:val="20"/>
        </w:rPr>
        <w:t>et al.</w:t>
      </w:r>
      <w:r w:rsidRPr="00C96DAB">
        <w:rPr>
          <w:sz w:val="20"/>
        </w:rPr>
        <w:t xml:space="preserve"> Correlation between the acoustic field and the transverse velocity in a plane impinging jet in the presence of self-sustaining tones. </w:t>
      </w:r>
      <w:r w:rsidRPr="00C96DAB">
        <w:rPr>
          <w:i/>
          <w:iCs/>
          <w:sz w:val="20"/>
        </w:rPr>
        <w:t>Energy Procedia</w:t>
      </w:r>
      <w:r w:rsidRPr="00C96DAB">
        <w:rPr>
          <w:sz w:val="20"/>
        </w:rPr>
        <w:t xml:space="preserve"> </w:t>
      </w:r>
      <w:r w:rsidRPr="00C96DAB">
        <w:rPr>
          <w:b/>
          <w:bCs/>
          <w:sz w:val="20"/>
        </w:rPr>
        <w:t>139</w:t>
      </w:r>
      <w:r w:rsidRPr="00C96DAB">
        <w:rPr>
          <w:sz w:val="20"/>
        </w:rPr>
        <w:t>, 391–397 (2017).</w:t>
      </w:r>
    </w:p>
    <w:p w14:paraId="42204D83" w14:textId="77777777" w:rsidR="00C96DAB" w:rsidRPr="00C96DAB" w:rsidRDefault="00C96DAB" w:rsidP="00817E85">
      <w:pPr>
        <w:pStyle w:val="Bibliography"/>
        <w:spacing w:line="240" w:lineRule="auto"/>
        <w:jc w:val="both"/>
        <w:rPr>
          <w:sz w:val="20"/>
        </w:rPr>
      </w:pPr>
      <w:r w:rsidRPr="00C96DAB">
        <w:rPr>
          <w:sz w:val="20"/>
        </w:rPr>
        <w:t>8.</w:t>
      </w:r>
      <w:r w:rsidRPr="00C96DAB">
        <w:rPr>
          <w:sz w:val="20"/>
        </w:rPr>
        <w:tab/>
        <w:t xml:space="preserve">Assoum, H. </w:t>
      </w:r>
      <w:r w:rsidRPr="00C96DAB">
        <w:rPr>
          <w:i/>
          <w:iCs/>
          <w:sz w:val="20"/>
        </w:rPr>
        <w:t>et al.</w:t>
      </w:r>
      <w:r w:rsidRPr="00C96DAB">
        <w:rPr>
          <w:sz w:val="20"/>
        </w:rPr>
        <w:t xml:space="preserve"> Spatio-Temporal Changes in the Turbulent Kinetic Energy of a Rectangular Jet Impinging on a Slotted Plate Analyzed with High Speed 3D Tomographic-Particle Image Velocimetry. </w:t>
      </w:r>
      <w:r w:rsidRPr="00C96DAB">
        <w:rPr>
          <w:i/>
          <w:iCs/>
          <w:sz w:val="20"/>
        </w:rPr>
        <w:t>IJHT</w:t>
      </w:r>
      <w:r w:rsidRPr="00C96DAB">
        <w:rPr>
          <w:sz w:val="20"/>
        </w:rPr>
        <w:t xml:space="preserve"> </w:t>
      </w:r>
      <w:r w:rsidRPr="00C96DAB">
        <w:rPr>
          <w:b/>
          <w:bCs/>
          <w:sz w:val="20"/>
        </w:rPr>
        <w:t>37</w:t>
      </w:r>
      <w:r w:rsidRPr="00C96DAB">
        <w:rPr>
          <w:sz w:val="20"/>
        </w:rPr>
        <w:t>, 1071–1079 (2019).</w:t>
      </w:r>
    </w:p>
    <w:p w14:paraId="6C4A7746" w14:textId="77777777" w:rsidR="00C96DAB" w:rsidRPr="00C96DAB" w:rsidRDefault="00C96DAB" w:rsidP="00817E85">
      <w:pPr>
        <w:pStyle w:val="Bibliography"/>
        <w:spacing w:line="240" w:lineRule="auto"/>
        <w:jc w:val="both"/>
        <w:rPr>
          <w:sz w:val="20"/>
        </w:rPr>
      </w:pPr>
      <w:r w:rsidRPr="00C96DAB">
        <w:rPr>
          <w:sz w:val="20"/>
        </w:rPr>
        <w:t>9.</w:t>
      </w:r>
      <w:r w:rsidRPr="00C96DAB">
        <w:rPr>
          <w:sz w:val="20"/>
        </w:rPr>
        <w:tab/>
        <w:t xml:space="preserve">Assoum, H. H. </w:t>
      </w:r>
      <w:r w:rsidRPr="00C96DAB">
        <w:rPr>
          <w:i/>
          <w:iCs/>
          <w:sz w:val="20"/>
        </w:rPr>
        <w:t>et al.</w:t>
      </w:r>
      <w:r w:rsidRPr="00C96DAB">
        <w:rPr>
          <w:sz w:val="20"/>
        </w:rPr>
        <w:t xml:space="preserve"> Tomographic Particle Image Velocimetry and Dynamic Mode Decomposition (DMD) in a Rectangular Impinging Jet: Vortex Dynamics and Acoustic Generation. </w:t>
      </w:r>
      <w:r w:rsidRPr="00C96DAB">
        <w:rPr>
          <w:i/>
          <w:iCs/>
          <w:sz w:val="20"/>
        </w:rPr>
        <w:t>Fluids</w:t>
      </w:r>
      <w:r w:rsidRPr="00C96DAB">
        <w:rPr>
          <w:sz w:val="20"/>
        </w:rPr>
        <w:t xml:space="preserve"> </w:t>
      </w:r>
      <w:r w:rsidRPr="00C96DAB">
        <w:rPr>
          <w:b/>
          <w:bCs/>
          <w:sz w:val="20"/>
        </w:rPr>
        <w:t>6</w:t>
      </w:r>
      <w:r w:rsidRPr="00C96DAB">
        <w:rPr>
          <w:sz w:val="20"/>
        </w:rPr>
        <w:t>, 429 (2021).</w:t>
      </w:r>
    </w:p>
    <w:p w14:paraId="7FCEACB7" w14:textId="77777777" w:rsidR="00C96DAB" w:rsidRPr="00C96DAB" w:rsidRDefault="00C96DAB" w:rsidP="00817E85">
      <w:pPr>
        <w:pStyle w:val="Bibliography"/>
        <w:spacing w:line="240" w:lineRule="auto"/>
        <w:jc w:val="both"/>
        <w:rPr>
          <w:sz w:val="20"/>
        </w:rPr>
      </w:pPr>
      <w:r w:rsidRPr="00C96DAB">
        <w:rPr>
          <w:sz w:val="20"/>
        </w:rPr>
        <w:t>10.</w:t>
      </w:r>
      <w:r w:rsidRPr="00C96DAB">
        <w:rPr>
          <w:sz w:val="20"/>
        </w:rPr>
        <w:tab/>
        <w:t xml:space="preserve">El Zohbi, B. </w:t>
      </w:r>
      <w:r w:rsidRPr="00C96DAB">
        <w:rPr>
          <w:i/>
          <w:iCs/>
          <w:sz w:val="20"/>
        </w:rPr>
        <w:t>et al.</w:t>
      </w:r>
      <w:r w:rsidRPr="00C96DAB">
        <w:rPr>
          <w:sz w:val="20"/>
        </w:rPr>
        <w:t xml:space="preserve"> Experimental investigation of the Aero-Acoustics of a rectangular jet impinging a slotted plate for different flow regimes. </w:t>
      </w:r>
      <w:r w:rsidRPr="00C96DAB">
        <w:rPr>
          <w:i/>
          <w:iCs/>
          <w:sz w:val="20"/>
        </w:rPr>
        <w:t>Alexandria Engineering Journal</w:t>
      </w:r>
      <w:r w:rsidRPr="00C96DAB">
        <w:rPr>
          <w:sz w:val="20"/>
        </w:rPr>
        <w:t xml:space="preserve"> </w:t>
      </w:r>
      <w:r w:rsidRPr="00C96DAB">
        <w:rPr>
          <w:b/>
          <w:bCs/>
          <w:sz w:val="20"/>
        </w:rPr>
        <w:t>87</w:t>
      </w:r>
      <w:r w:rsidRPr="00C96DAB">
        <w:rPr>
          <w:sz w:val="20"/>
        </w:rPr>
        <w:t>, 404–416 (2024).</w:t>
      </w:r>
    </w:p>
    <w:p w14:paraId="36C4E516" w14:textId="77777777" w:rsidR="00C96DAB" w:rsidRPr="00C96DAB" w:rsidRDefault="00C96DAB" w:rsidP="00817E85">
      <w:pPr>
        <w:pStyle w:val="Bibliography"/>
        <w:spacing w:line="240" w:lineRule="auto"/>
        <w:jc w:val="both"/>
        <w:rPr>
          <w:sz w:val="20"/>
        </w:rPr>
      </w:pPr>
      <w:r w:rsidRPr="00C96DAB">
        <w:rPr>
          <w:sz w:val="20"/>
        </w:rPr>
        <w:t>11.</w:t>
      </w:r>
      <w:r w:rsidRPr="00C96DAB">
        <w:rPr>
          <w:sz w:val="20"/>
        </w:rPr>
        <w:tab/>
        <w:t xml:space="preserve">Assoum, H. H. </w:t>
      </w:r>
      <w:r w:rsidRPr="00C96DAB">
        <w:rPr>
          <w:i/>
          <w:iCs/>
          <w:sz w:val="20"/>
        </w:rPr>
        <w:t>et al.</w:t>
      </w:r>
      <w:r w:rsidRPr="00C96DAB">
        <w:rPr>
          <w:sz w:val="20"/>
        </w:rPr>
        <w:t xml:space="preserve"> Control of a rectangular impinging jet: Experimental investigation of the flow dynamics and the acoustic field. </w:t>
      </w:r>
      <w:r w:rsidRPr="00C96DAB">
        <w:rPr>
          <w:i/>
          <w:iCs/>
          <w:sz w:val="20"/>
        </w:rPr>
        <w:t>Alexandria Engineering Journal</w:t>
      </w:r>
      <w:r w:rsidRPr="00C96DAB">
        <w:rPr>
          <w:sz w:val="20"/>
        </w:rPr>
        <w:t xml:space="preserve"> </w:t>
      </w:r>
      <w:r w:rsidRPr="00C96DAB">
        <w:rPr>
          <w:b/>
          <w:bCs/>
          <w:sz w:val="20"/>
        </w:rPr>
        <w:t>79</w:t>
      </w:r>
      <w:r w:rsidRPr="00C96DAB">
        <w:rPr>
          <w:sz w:val="20"/>
        </w:rPr>
        <w:t>, 354–365 (2023).</w:t>
      </w:r>
    </w:p>
    <w:p w14:paraId="3A955987" w14:textId="77777777" w:rsidR="00C96DAB" w:rsidRPr="00C96DAB" w:rsidRDefault="00C96DAB" w:rsidP="00817E85">
      <w:pPr>
        <w:pStyle w:val="Bibliography"/>
        <w:spacing w:line="240" w:lineRule="auto"/>
        <w:jc w:val="both"/>
        <w:rPr>
          <w:sz w:val="20"/>
        </w:rPr>
      </w:pPr>
      <w:r w:rsidRPr="00C96DAB">
        <w:rPr>
          <w:sz w:val="20"/>
        </w:rPr>
        <w:t>12.</w:t>
      </w:r>
      <w:r w:rsidRPr="00C96DAB">
        <w:rPr>
          <w:sz w:val="20"/>
        </w:rPr>
        <w:tab/>
        <w:t xml:space="preserve">Xu, F., Patterson, J. C. &amp; Lei, C. Transition to a periodic flow induced by a thin fin on the sidewall of a differentially heated cavity. </w:t>
      </w:r>
      <w:r w:rsidRPr="00C96DAB">
        <w:rPr>
          <w:i/>
          <w:iCs/>
          <w:sz w:val="20"/>
        </w:rPr>
        <w:t>International Journal of Heat and Mass Transfer</w:t>
      </w:r>
      <w:r w:rsidRPr="00C96DAB">
        <w:rPr>
          <w:sz w:val="20"/>
        </w:rPr>
        <w:t xml:space="preserve"> </w:t>
      </w:r>
      <w:r w:rsidRPr="00C96DAB">
        <w:rPr>
          <w:b/>
          <w:bCs/>
          <w:sz w:val="20"/>
        </w:rPr>
        <w:t>52</w:t>
      </w:r>
      <w:r w:rsidRPr="00C96DAB">
        <w:rPr>
          <w:sz w:val="20"/>
        </w:rPr>
        <w:t>, 620–628 (2009).</w:t>
      </w:r>
    </w:p>
    <w:p w14:paraId="0E987666" w14:textId="77777777" w:rsidR="00C96DAB" w:rsidRPr="00C96DAB" w:rsidRDefault="00C96DAB" w:rsidP="00817E85">
      <w:pPr>
        <w:pStyle w:val="Bibliography"/>
        <w:spacing w:line="240" w:lineRule="auto"/>
        <w:jc w:val="both"/>
        <w:rPr>
          <w:sz w:val="20"/>
        </w:rPr>
      </w:pPr>
      <w:r w:rsidRPr="00C96DAB">
        <w:rPr>
          <w:sz w:val="20"/>
        </w:rPr>
        <w:t>13.</w:t>
      </w:r>
      <w:r w:rsidRPr="00C96DAB">
        <w:rPr>
          <w:sz w:val="20"/>
        </w:rPr>
        <w:tab/>
        <w:t xml:space="preserve">Geng, L., Zheng, C. &amp; Zhou, J. Heat transfer characteristics of impinging jets: The influence of unsteadiness with different waveforms. </w:t>
      </w:r>
      <w:r w:rsidRPr="00C96DAB">
        <w:rPr>
          <w:i/>
          <w:iCs/>
          <w:sz w:val="20"/>
        </w:rPr>
        <w:t>International Communications in Heat and Mass Transfer</w:t>
      </w:r>
      <w:r w:rsidRPr="00C96DAB">
        <w:rPr>
          <w:sz w:val="20"/>
        </w:rPr>
        <w:t xml:space="preserve"> </w:t>
      </w:r>
      <w:r w:rsidRPr="00C96DAB">
        <w:rPr>
          <w:b/>
          <w:bCs/>
          <w:sz w:val="20"/>
        </w:rPr>
        <w:t>66</w:t>
      </w:r>
      <w:r w:rsidRPr="00C96DAB">
        <w:rPr>
          <w:sz w:val="20"/>
        </w:rPr>
        <w:t>, 105–113 (2015).</w:t>
      </w:r>
    </w:p>
    <w:p w14:paraId="0A02DF2E" w14:textId="77777777" w:rsidR="00C96DAB" w:rsidRPr="00C96DAB" w:rsidRDefault="00C96DAB" w:rsidP="00817E85">
      <w:pPr>
        <w:pStyle w:val="Bibliography"/>
        <w:spacing w:line="240" w:lineRule="auto"/>
        <w:jc w:val="both"/>
        <w:rPr>
          <w:sz w:val="20"/>
        </w:rPr>
      </w:pPr>
      <w:r w:rsidRPr="00C96DAB">
        <w:rPr>
          <w:sz w:val="20"/>
        </w:rPr>
        <w:t>14.</w:t>
      </w:r>
      <w:r w:rsidRPr="00C96DAB">
        <w:rPr>
          <w:sz w:val="20"/>
        </w:rPr>
        <w:tab/>
        <w:t xml:space="preserve">Zhao, Y., Zhao, P., Liu, Y., Xu, Y. &amp; Torres, J. F. On the selection of perturbations for thermal boundary layer control. </w:t>
      </w:r>
      <w:r w:rsidRPr="00C96DAB">
        <w:rPr>
          <w:i/>
          <w:iCs/>
          <w:sz w:val="20"/>
        </w:rPr>
        <w:t>Physics of Fluids</w:t>
      </w:r>
      <w:r w:rsidRPr="00C96DAB">
        <w:rPr>
          <w:sz w:val="20"/>
        </w:rPr>
        <w:t xml:space="preserve"> </w:t>
      </w:r>
      <w:r w:rsidRPr="00C96DAB">
        <w:rPr>
          <w:b/>
          <w:bCs/>
          <w:sz w:val="20"/>
        </w:rPr>
        <w:t>31</w:t>
      </w:r>
      <w:r w:rsidRPr="00C96DAB">
        <w:rPr>
          <w:sz w:val="20"/>
        </w:rPr>
        <w:t>, 104102 (2019).</w:t>
      </w:r>
    </w:p>
    <w:p w14:paraId="2B389D10" w14:textId="77777777" w:rsidR="00C96DAB" w:rsidRPr="00C96DAB" w:rsidRDefault="00C96DAB" w:rsidP="00817E85">
      <w:pPr>
        <w:pStyle w:val="Bibliography"/>
        <w:spacing w:line="240" w:lineRule="auto"/>
        <w:jc w:val="both"/>
        <w:rPr>
          <w:sz w:val="20"/>
        </w:rPr>
      </w:pPr>
      <w:r w:rsidRPr="00C96DAB">
        <w:rPr>
          <w:sz w:val="20"/>
        </w:rPr>
        <w:t>15.</w:t>
      </w:r>
      <w:r w:rsidRPr="00C96DAB">
        <w:rPr>
          <w:sz w:val="20"/>
        </w:rPr>
        <w:tab/>
        <w:t xml:space="preserve">Zhao, Y., Lei, C. &amp; Patterson, J. C. PIV measurements of the K-type transition in natural convection boundary layers. </w:t>
      </w:r>
      <w:r w:rsidRPr="00C96DAB">
        <w:rPr>
          <w:i/>
          <w:iCs/>
          <w:sz w:val="20"/>
        </w:rPr>
        <w:t>Experimental Thermal and Fluid Science</w:t>
      </w:r>
      <w:r w:rsidRPr="00C96DAB">
        <w:rPr>
          <w:sz w:val="20"/>
        </w:rPr>
        <w:t xml:space="preserve"> </w:t>
      </w:r>
      <w:r w:rsidRPr="00C96DAB">
        <w:rPr>
          <w:b/>
          <w:bCs/>
          <w:sz w:val="20"/>
        </w:rPr>
        <w:t>101</w:t>
      </w:r>
      <w:r w:rsidRPr="00C96DAB">
        <w:rPr>
          <w:sz w:val="20"/>
        </w:rPr>
        <w:t>, 62–75 (2019).</w:t>
      </w:r>
    </w:p>
    <w:p w14:paraId="35EE2EE1" w14:textId="77777777" w:rsidR="00C96DAB" w:rsidRPr="00C96DAB" w:rsidRDefault="00C96DAB" w:rsidP="00817E85">
      <w:pPr>
        <w:pStyle w:val="Bibliography"/>
        <w:spacing w:line="240" w:lineRule="auto"/>
        <w:jc w:val="both"/>
        <w:rPr>
          <w:sz w:val="20"/>
        </w:rPr>
      </w:pPr>
      <w:r w:rsidRPr="00C96DAB">
        <w:rPr>
          <w:sz w:val="20"/>
        </w:rPr>
        <w:t>16.</w:t>
      </w:r>
      <w:r w:rsidRPr="00C96DAB">
        <w:rPr>
          <w:sz w:val="20"/>
        </w:rPr>
        <w:tab/>
        <w:t xml:space="preserve">Zhao, Y., Lei, C. &amp; Patterson, J. C. Natural transition in natural convection boundary layers. </w:t>
      </w:r>
      <w:r w:rsidRPr="00C96DAB">
        <w:rPr>
          <w:i/>
          <w:iCs/>
          <w:sz w:val="20"/>
        </w:rPr>
        <w:t>International Communications in Heat and Mass Transfer</w:t>
      </w:r>
      <w:r w:rsidRPr="00C96DAB">
        <w:rPr>
          <w:sz w:val="20"/>
        </w:rPr>
        <w:t xml:space="preserve"> </w:t>
      </w:r>
      <w:r w:rsidRPr="00C96DAB">
        <w:rPr>
          <w:b/>
          <w:bCs/>
          <w:sz w:val="20"/>
        </w:rPr>
        <w:t>76</w:t>
      </w:r>
      <w:r w:rsidRPr="00C96DAB">
        <w:rPr>
          <w:sz w:val="20"/>
        </w:rPr>
        <w:t>, 366–375 (2016).</w:t>
      </w:r>
    </w:p>
    <w:p w14:paraId="0D892CD5" w14:textId="77777777" w:rsidR="00C96DAB" w:rsidRPr="00C96DAB" w:rsidRDefault="00C96DAB" w:rsidP="00817E85">
      <w:pPr>
        <w:pStyle w:val="Bibliography"/>
        <w:spacing w:line="240" w:lineRule="auto"/>
        <w:jc w:val="both"/>
        <w:rPr>
          <w:sz w:val="20"/>
        </w:rPr>
      </w:pPr>
      <w:r w:rsidRPr="00C96DAB">
        <w:rPr>
          <w:sz w:val="20"/>
        </w:rPr>
        <w:t>17.</w:t>
      </w:r>
      <w:r w:rsidRPr="00C96DAB">
        <w:rPr>
          <w:sz w:val="20"/>
        </w:rPr>
        <w:tab/>
        <w:t xml:space="preserve">Matar et al. (2024). Turbulent Flow and Heat Transfer Characteristics of Resonant Impinging Jets - State of the Art Review. </w:t>
      </w:r>
      <w:r w:rsidRPr="00C96DAB">
        <w:rPr>
          <w:i/>
          <w:iCs/>
          <w:sz w:val="20"/>
        </w:rPr>
        <w:t>International Journal of Heat and Technology, Vol. 42, No. 5, pp. 1525-1533. https://doi.org/10.18280/ijht.420505</w:t>
      </w:r>
      <w:r w:rsidRPr="00C96DAB">
        <w:rPr>
          <w:sz w:val="20"/>
        </w:rPr>
        <w:t>.</w:t>
      </w:r>
    </w:p>
    <w:p w14:paraId="6289989B" w14:textId="77777777" w:rsidR="00C96DAB" w:rsidRPr="00C96DAB" w:rsidRDefault="00C96DAB" w:rsidP="00817E85">
      <w:pPr>
        <w:pStyle w:val="Bibliography"/>
        <w:spacing w:line="240" w:lineRule="auto"/>
        <w:jc w:val="both"/>
        <w:rPr>
          <w:sz w:val="20"/>
        </w:rPr>
      </w:pPr>
      <w:r w:rsidRPr="00C96DAB">
        <w:rPr>
          <w:sz w:val="20"/>
        </w:rPr>
        <w:t>18.</w:t>
      </w:r>
      <w:r w:rsidRPr="00C96DAB">
        <w:rPr>
          <w:sz w:val="20"/>
        </w:rPr>
        <w:tab/>
        <w:t xml:space="preserve">Jenkins, R., Lupoi, R., Kempers, R. &amp; Robinson, A. J. Heat transfer performance of boiling jet array impingement on micro-grooved surfaces. </w:t>
      </w:r>
      <w:r w:rsidRPr="00C96DAB">
        <w:rPr>
          <w:i/>
          <w:iCs/>
          <w:sz w:val="20"/>
        </w:rPr>
        <w:t>Experimental Thermal and Fluid Science</w:t>
      </w:r>
      <w:r w:rsidRPr="00C96DAB">
        <w:rPr>
          <w:sz w:val="20"/>
        </w:rPr>
        <w:t xml:space="preserve"> </w:t>
      </w:r>
      <w:r w:rsidRPr="00C96DAB">
        <w:rPr>
          <w:b/>
          <w:bCs/>
          <w:sz w:val="20"/>
        </w:rPr>
        <w:t>80</w:t>
      </w:r>
      <w:r w:rsidRPr="00C96DAB">
        <w:rPr>
          <w:sz w:val="20"/>
        </w:rPr>
        <w:t>, 293–304 (2017).</w:t>
      </w:r>
    </w:p>
    <w:p w14:paraId="53B0591C" w14:textId="77777777" w:rsidR="00C96DAB" w:rsidRPr="00C96DAB" w:rsidRDefault="00C96DAB" w:rsidP="00817E85">
      <w:pPr>
        <w:pStyle w:val="Bibliography"/>
        <w:spacing w:line="240" w:lineRule="auto"/>
        <w:jc w:val="both"/>
        <w:rPr>
          <w:sz w:val="20"/>
        </w:rPr>
      </w:pPr>
      <w:r w:rsidRPr="00C96DAB">
        <w:rPr>
          <w:sz w:val="20"/>
        </w:rPr>
        <w:t>19.</w:t>
      </w:r>
      <w:r w:rsidRPr="00C96DAB">
        <w:rPr>
          <w:sz w:val="20"/>
        </w:rPr>
        <w:tab/>
        <w:t xml:space="preserve">Rakhsha, S., Zargarabadi, M. R. &amp; Saedodin, S. The effect of nozzle geometry on the flow and heat transfer of pulsed impinging jet on the concave surface. </w:t>
      </w:r>
      <w:r w:rsidRPr="00C96DAB">
        <w:rPr>
          <w:i/>
          <w:iCs/>
          <w:sz w:val="20"/>
        </w:rPr>
        <w:t>International Journal of Thermal Sciences</w:t>
      </w:r>
      <w:r w:rsidRPr="00C96DAB">
        <w:rPr>
          <w:sz w:val="20"/>
        </w:rPr>
        <w:t xml:space="preserve"> </w:t>
      </w:r>
      <w:r w:rsidRPr="00C96DAB">
        <w:rPr>
          <w:b/>
          <w:bCs/>
          <w:sz w:val="20"/>
        </w:rPr>
        <w:t>184</w:t>
      </w:r>
      <w:r w:rsidRPr="00C96DAB">
        <w:rPr>
          <w:sz w:val="20"/>
        </w:rPr>
        <w:t>, 107925 (2023).</w:t>
      </w:r>
    </w:p>
    <w:p w14:paraId="2F57691B" w14:textId="77777777" w:rsidR="00C96DAB" w:rsidRPr="00C96DAB" w:rsidRDefault="00C96DAB" w:rsidP="00817E85">
      <w:pPr>
        <w:pStyle w:val="Bibliography"/>
        <w:spacing w:line="240" w:lineRule="auto"/>
        <w:jc w:val="both"/>
        <w:rPr>
          <w:sz w:val="20"/>
        </w:rPr>
      </w:pPr>
      <w:r w:rsidRPr="00C96DAB">
        <w:rPr>
          <w:sz w:val="20"/>
        </w:rPr>
        <w:lastRenderedPageBreak/>
        <w:t>20.</w:t>
      </w:r>
      <w:r w:rsidRPr="00C96DAB">
        <w:rPr>
          <w:sz w:val="20"/>
        </w:rPr>
        <w:tab/>
        <w:t xml:space="preserve">He, C. &amp; Liu, Y. Jet impingement heat transfer of a lobed nozzle: Measurements using temperature-sensitive paint and particle image velocimetry. </w:t>
      </w:r>
      <w:r w:rsidRPr="00C96DAB">
        <w:rPr>
          <w:i/>
          <w:iCs/>
          <w:sz w:val="20"/>
        </w:rPr>
        <w:t>International Journal of Heat and Fluid Flow</w:t>
      </w:r>
      <w:r w:rsidRPr="00C96DAB">
        <w:rPr>
          <w:sz w:val="20"/>
        </w:rPr>
        <w:t xml:space="preserve"> </w:t>
      </w:r>
      <w:r w:rsidRPr="00C96DAB">
        <w:rPr>
          <w:b/>
          <w:bCs/>
          <w:sz w:val="20"/>
        </w:rPr>
        <w:t>71</w:t>
      </w:r>
      <w:r w:rsidRPr="00C96DAB">
        <w:rPr>
          <w:sz w:val="20"/>
        </w:rPr>
        <w:t>, 111–126 (2018).</w:t>
      </w:r>
    </w:p>
    <w:p w14:paraId="4767F3CB" w14:textId="77777777" w:rsidR="00C96DAB" w:rsidRPr="00C96DAB" w:rsidRDefault="00C96DAB" w:rsidP="00817E85">
      <w:pPr>
        <w:pStyle w:val="Bibliography"/>
        <w:spacing w:line="240" w:lineRule="auto"/>
        <w:jc w:val="both"/>
        <w:rPr>
          <w:sz w:val="20"/>
        </w:rPr>
      </w:pPr>
      <w:r w:rsidRPr="00C96DAB">
        <w:rPr>
          <w:sz w:val="20"/>
        </w:rPr>
        <w:t>21.</w:t>
      </w:r>
      <w:r w:rsidRPr="00C96DAB">
        <w:rPr>
          <w:sz w:val="20"/>
        </w:rPr>
        <w:tab/>
        <w:t xml:space="preserve">Zohbi, B. E. </w:t>
      </w:r>
      <w:r w:rsidRPr="00C96DAB">
        <w:rPr>
          <w:i/>
          <w:iCs/>
          <w:sz w:val="20"/>
        </w:rPr>
        <w:t>et al.</w:t>
      </w:r>
      <w:r w:rsidRPr="00C96DAB">
        <w:rPr>
          <w:sz w:val="20"/>
        </w:rPr>
        <w:t xml:space="preserve"> Investigation of the effects of the jet nozzle geometry and location on the performance of supersonic fluid ejectors. </w:t>
      </w:r>
      <w:r w:rsidRPr="00C96DAB">
        <w:rPr>
          <w:i/>
          <w:iCs/>
          <w:sz w:val="20"/>
        </w:rPr>
        <w:t>Energy Reports</w:t>
      </w:r>
      <w:r w:rsidRPr="00C96DAB">
        <w:rPr>
          <w:sz w:val="20"/>
        </w:rPr>
        <w:t xml:space="preserve"> </w:t>
      </w:r>
      <w:r w:rsidRPr="00C96DAB">
        <w:rPr>
          <w:b/>
          <w:bCs/>
          <w:sz w:val="20"/>
        </w:rPr>
        <w:t>8</w:t>
      </w:r>
      <w:r w:rsidRPr="00C96DAB">
        <w:rPr>
          <w:sz w:val="20"/>
        </w:rPr>
        <w:t>, 228–233 (2022).</w:t>
      </w:r>
    </w:p>
    <w:p w14:paraId="7A009B6B" w14:textId="77777777" w:rsidR="00C96DAB" w:rsidRPr="00C96DAB" w:rsidRDefault="00C96DAB" w:rsidP="00817E85">
      <w:pPr>
        <w:pStyle w:val="Bibliography"/>
        <w:spacing w:line="240" w:lineRule="auto"/>
        <w:jc w:val="both"/>
        <w:rPr>
          <w:sz w:val="20"/>
        </w:rPr>
      </w:pPr>
      <w:r w:rsidRPr="00C96DAB">
        <w:rPr>
          <w:sz w:val="20"/>
        </w:rPr>
        <w:t>22.</w:t>
      </w:r>
      <w:r w:rsidRPr="00C96DAB">
        <w:rPr>
          <w:sz w:val="20"/>
        </w:rPr>
        <w:tab/>
        <w:t xml:space="preserve">Crispo, C. M., Greco, C. S. &amp; Cardone, G. Convective heat transfer in circular and chevron impinging synthetic jets. </w:t>
      </w:r>
      <w:r w:rsidRPr="00C96DAB">
        <w:rPr>
          <w:i/>
          <w:iCs/>
          <w:sz w:val="20"/>
        </w:rPr>
        <w:t>International Journal of Heat and Mass Transfer</w:t>
      </w:r>
      <w:r w:rsidRPr="00C96DAB">
        <w:rPr>
          <w:sz w:val="20"/>
        </w:rPr>
        <w:t xml:space="preserve"> </w:t>
      </w:r>
      <w:r w:rsidRPr="00C96DAB">
        <w:rPr>
          <w:b/>
          <w:bCs/>
          <w:sz w:val="20"/>
        </w:rPr>
        <w:t>126</w:t>
      </w:r>
      <w:r w:rsidRPr="00C96DAB">
        <w:rPr>
          <w:sz w:val="20"/>
        </w:rPr>
        <w:t>, 969–979 (2018).</w:t>
      </w:r>
    </w:p>
    <w:p w14:paraId="04574E90" w14:textId="77777777" w:rsidR="00C96DAB" w:rsidRPr="00C96DAB" w:rsidRDefault="00C96DAB" w:rsidP="00817E85">
      <w:pPr>
        <w:pStyle w:val="Bibliography"/>
        <w:spacing w:line="240" w:lineRule="auto"/>
        <w:jc w:val="both"/>
        <w:rPr>
          <w:sz w:val="20"/>
        </w:rPr>
      </w:pPr>
      <w:r w:rsidRPr="00C96DAB">
        <w:rPr>
          <w:sz w:val="20"/>
        </w:rPr>
        <w:t>23.</w:t>
      </w:r>
      <w:r w:rsidRPr="00C96DAB">
        <w:rPr>
          <w:sz w:val="20"/>
        </w:rPr>
        <w:tab/>
        <w:t xml:space="preserve">Assoum, H. H. </w:t>
      </w:r>
      <w:r w:rsidRPr="00C96DAB">
        <w:rPr>
          <w:i/>
          <w:iCs/>
          <w:sz w:val="20"/>
        </w:rPr>
        <w:t>et al.</w:t>
      </w:r>
      <w:r w:rsidRPr="00C96DAB">
        <w:rPr>
          <w:sz w:val="20"/>
        </w:rPr>
        <w:t xml:space="preserve"> Control of a rectangular impinging jet: Experimental investigation of the flow dynamics and the acoustic field. </w:t>
      </w:r>
      <w:r w:rsidRPr="00C96DAB">
        <w:rPr>
          <w:i/>
          <w:iCs/>
          <w:sz w:val="20"/>
        </w:rPr>
        <w:t>Alexandria Engineering Journal</w:t>
      </w:r>
      <w:r w:rsidRPr="00C96DAB">
        <w:rPr>
          <w:sz w:val="20"/>
        </w:rPr>
        <w:t xml:space="preserve"> </w:t>
      </w:r>
      <w:r w:rsidRPr="00C96DAB">
        <w:rPr>
          <w:b/>
          <w:bCs/>
          <w:sz w:val="20"/>
        </w:rPr>
        <w:t>79</w:t>
      </w:r>
      <w:r w:rsidRPr="00C96DAB">
        <w:rPr>
          <w:sz w:val="20"/>
        </w:rPr>
        <w:t>, 354–365 (2023).</w:t>
      </w:r>
    </w:p>
    <w:p w14:paraId="246D9300" w14:textId="77777777" w:rsidR="00C96DAB" w:rsidRPr="00C96DAB" w:rsidRDefault="00C96DAB" w:rsidP="00817E85">
      <w:pPr>
        <w:pStyle w:val="Bibliography"/>
        <w:spacing w:line="240" w:lineRule="auto"/>
        <w:jc w:val="both"/>
        <w:rPr>
          <w:sz w:val="20"/>
        </w:rPr>
      </w:pPr>
      <w:r w:rsidRPr="00C96DAB">
        <w:rPr>
          <w:sz w:val="20"/>
        </w:rPr>
        <w:t>24.</w:t>
      </w:r>
      <w:r w:rsidRPr="00C96DAB">
        <w:rPr>
          <w:sz w:val="20"/>
        </w:rPr>
        <w:tab/>
        <w:t xml:space="preserve">Wang, L., Feng, L., Xu, Y., Xu, Y. &amp; Wang, J. Experimental investigation on flow characteristics and unsteady heat transfer of noncircular impinging synthetic jets. </w:t>
      </w:r>
      <w:r w:rsidRPr="00C96DAB">
        <w:rPr>
          <w:i/>
          <w:iCs/>
          <w:sz w:val="20"/>
        </w:rPr>
        <w:t>International Journal of Heat and Mass Transfer</w:t>
      </w:r>
      <w:r w:rsidRPr="00C96DAB">
        <w:rPr>
          <w:sz w:val="20"/>
        </w:rPr>
        <w:t xml:space="preserve"> </w:t>
      </w:r>
      <w:r w:rsidRPr="00C96DAB">
        <w:rPr>
          <w:b/>
          <w:bCs/>
          <w:sz w:val="20"/>
        </w:rPr>
        <w:t>190</w:t>
      </w:r>
      <w:r w:rsidRPr="00C96DAB">
        <w:rPr>
          <w:sz w:val="20"/>
        </w:rPr>
        <w:t>, 122760 (2022).</w:t>
      </w:r>
    </w:p>
    <w:p w14:paraId="1AAD32AE" w14:textId="77777777" w:rsidR="00C96DAB" w:rsidRPr="00C96DAB" w:rsidRDefault="00C96DAB" w:rsidP="00817E85">
      <w:pPr>
        <w:pStyle w:val="Bibliography"/>
        <w:spacing w:line="240" w:lineRule="auto"/>
        <w:jc w:val="both"/>
        <w:rPr>
          <w:sz w:val="20"/>
        </w:rPr>
      </w:pPr>
      <w:r w:rsidRPr="00C96DAB">
        <w:rPr>
          <w:sz w:val="20"/>
        </w:rPr>
        <w:t>25.</w:t>
      </w:r>
      <w:r w:rsidRPr="00C96DAB">
        <w:rPr>
          <w:sz w:val="20"/>
        </w:rPr>
        <w:tab/>
        <w:t xml:space="preserve">Trinh, X. T., Fénot, M. &amp; Dorignac, E. The effect of nozzle geometry on local convective heat transfer to unconfined impinging air jets. </w:t>
      </w:r>
      <w:r w:rsidRPr="00C96DAB">
        <w:rPr>
          <w:i/>
          <w:iCs/>
          <w:sz w:val="20"/>
        </w:rPr>
        <w:t>Experimental Thermal and Fluid Science</w:t>
      </w:r>
      <w:r w:rsidRPr="00C96DAB">
        <w:rPr>
          <w:sz w:val="20"/>
        </w:rPr>
        <w:t xml:space="preserve"> </w:t>
      </w:r>
      <w:r w:rsidRPr="00C96DAB">
        <w:rPr>
          <w:b/>
          <w:bCs/>
          <w:sz w:val="20"/>
        </w:rPr>
        <w:t>70</w:t>
      </w:r>
      <w:r w:rsidRPr="00C96DAB">
        <w:rPr>
          <w:sz w:val="20"/>
        </w:rPr>
        <w:t>, 1–16 (2016).</w:t>
      </w:r>
    </w:p>
    <w:p w14:paraId="5A280359" w14:textId="0170D142" w:rsidR="00C96DAB" w:rsidRPr="00C96DAB" w:rsidRDefault="00C96DAB" w:rsidP="00817E85">
      <w:pPr>
        <w:pStyle w:val="Bibliography"/>
        <w:spacing w:line="240" w:lineRule="auto"/>
        <w:jc w:val="both"/>
        <w:rPr>
          <w:sz w:val="20"/>
        </w:rPr>
      </w:pPr>
      <w:r w:rsidRPr="00C96DAB">
        <w:rPr>
          <w:sz w:val="20"/>
        </w:rPr>
        <w:t>2</w:t>
      </w:r>
      <w:r w:rsidR="00687C44">
        <w:rPr>
          <w:sz w:val="20"/>
        </w:rPr>
        <w:t>6</w:t>
      </w:r>
      <w:r w:rsidRPr="00C96DAB">
        <w:rPr>
          <w:sz w:val="20"/>
        </w:rPr>
        <w:t>.</w:t>
      </w:r>
      <w:r w:rsidRPr="00C96DAB">
        <w:rPr>
          <w:sz w:val="20"/>
        </w:rPr>
        <w:tab/>
      </w:r>
      <w:r w:rsidRPr="00C96DAB">
        <w:rPr>
          <w:i/>
          <w:iCs/>
          <w:sz w:val="20"/>
        </w:rPr>
        <w:t>Lumley, J.L. 1967 The Structure of Inhomogeneous Turbulent Flows, In A.M. Yaglom, &amp; V.I. Tatarski Atmospheric Turbulence &amp; Wave Propagation, 166–178.</w:t>
      </w:r>
    </w:p>
    <w:p w14:paraId="4C15417A" w14:textId="24F20698" w:rsidR="00C96DAB" w:rsidRPr="00C96DAB" w:rsidRDefault="00C96DAB" w:rsidP="00817E85">
      <w:pPr>
        <w:pStyle w:val="Bibliography"/>
        <w:spacing w:line="240" w:lineRule="auto"/>
        <w:jc w:val="both"/>
        <w:rPr>
          <w:sz w:val="20"/>
        </w:rPr>
      </w:pPr>
      <w:r w:rsidRPr="00C96DAB">
        <w:rPr>
          <w:sz w:val="20"/>
        </w:rPr>
        <w:t>2</w:t>
      </w:r>
      <w:r w:rsidR="00687C44">
        <w:rPr>
          <w:sz w:val="20"/>
        </w:rPr>
        <w:t>7</w:t>
      </w:r>
      <w:r w:rsidRPr="00C96DAB">
        <w:rPr>
          <w:sz w:val="20"/>
        </w:rPr>
        <w:t>.</w:t>
      </w:r>
      <w:r w:rsidRPr="00C96DAB">
        <w:rPr>
          <w:sz w:val="20"/>
        </w:rPr>
        <w:tab/>
        <w:t xml:space="preserve">Wassenberg, J., Stephan, P. &amp; Gambaryan-Roisman, T. Heat transfer during pulsating liquid jet impingement onto a vertical wall. </w:t>
      </w:r>
      <w:r w:rsidRPr="00C96DAB">
        <w:rPr>
          <w:i/>
          <w:iCs/>
          <w:sz w:val="20"/>
        </w:rPr>
        <w:t>Heat and Mass Transfer</w:t>
      </w:r>
      <w:r w:rsidRPr="00C96DAB">
        <w:rPr>
          <w:sz w:val="20"/>
        </w:rPr>
        <w:t xml:space="preserve"> </w:t>
      </w:r>
      <w:r w:rsidRPr="00C96DAB">
        <w:rPr>
          <w:b/>
          <w:bCs/>
          <w:sz w:val="20"/>
        </w:rPr>
        <w:t>57</w:t>
      </w:r>
      <w:r w:rsidRPr="00C96DAB">
        <w:rPr>
          <w:sz w:val="20"/>
        </w:rPr>
        <w:t>, 617–629 (2021).</w:t>
      </w:r>
    </w:p>
    <w:p w14:paraId="667DC9F2" w14:textId="6A83ADD1" w:rsidR="00C96DAB" w:rsidRPr="00C96DAB" w:rsidRDefault="00C96DAB" w:rsidP="00817E85">
      <w:pPr>
        <w:pStyle w:val="Bibliography"/>
        <w:spacing w:line="240" w:lineRule="auto"/>
        <w:jc w:val="both"/>
        <w:rPr>
          <w:sz w:val="20"/>
        </w:rPr>
      </w:pPr>
      <w:r w:rsidRPr="00687C44">
        <w:rPr>
          <w:sz w:val="20"/>
          <w:lang w:val="fr-FR"/>
        </w:rPr>
        <w:t>2</w:t>
      </w:r>
      <w:r w:rsidR="00687C44" w:rsidRPr="00687C44">
        <w:rPr>
          <w:sz w:val="20"/>
          <w:lang w:val="fr-FR"/>
        </w:rPr>
        <w:t>8</w:t>
      </w:r>
      <w:r w:rsidRPr="00687C44">
        <w:rPr>
          <w:sz w:val="20"/>
          <w:lang w:val="fr-FR"/>
        </w:rPr>
        <w:t>.</w:t>
      </w:r>
      <w:r w:rsidRPr="00687C44">
        <w:rPr>
          <w:sz w:val="20"/>
          <w:lang w:val="fr-FR"/>
        </w:rPr>
        <w:tab/>
        <w:t xml:space="preserve">Assoum, Hassan H., et al. </w:t>
      </w:r>
      <w:r w:rsidRPr="00C96DAB">
        <w:rPr>
          <w:sz w:val="20"/>
        </w:rPr>
        <w:t>‘Experimental analysis of the aero-acoustic coupling in a plane impinging jet on a slotted plate.’ Fluid Dynamics Research 45.4 (2013): 045503.</w:t>
      </w:r>
    </w:p>
    <w:p w14:paraId="4DE91CCB" w14:textId="02B946F3" w:rsidR="00326AE0" w:rsidRPr="00914B6B" w:rsidRDefault="00914B6B" w:rsidP="00C96DAB">
      <w:pPr>
        <w:pStyle w:val="Reference"/>
        <w:numPr>
          <w:ilvl w:val="0"/>
          <w:numId w:val="0"/>
        </w:numPr>
      </w:pPr>
      <w:r w:rsidRPr="00914B6B">
        <w:fldChar w:fldCharType="end"/>
      </w:r>
    </w:p>
    <w:sectPr w:rsidR="00326AE0" w:rsidRPr="00914B6B" w:rsidSect="00260678">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5"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9"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4"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1846431852">
    <w:abstractNumId w:val="16"/>
  </w:num>
  <w:num w:numId="2" w16cid:durableId="1681619005">
    <w:abstractNumId w:val="4"/>
  </w:num>
  <w:num w:numId="3" w16cid:durableId="1749107811">
    <w:abstractNumId w:val="13"/>
  </w:num>
  <w:num w:numId="4" w16cid:durableId="2114014678">
    <w:abstractNumId w:val="8"/>
  </w:num>
  <w:num w:numId="5" w16cid:durableId="1828281534">
    <w:abstractNumId w:val="12"/>
  </w:num>
  <w:num w:numId="6" w16cid:durableId="16002913">
    <w:abstractNumId w:val="5"/>
  </w:num>
  <w:num w:numId="7" w16cid:durableId="1363702757">
    <w:abstractNumId w:val="7"/>
  </w:num>
  <w:num w:numId="8" w16cid:durableId="344551088">
    <w:abstractNumId w:val="1"/>
  </w:num>
  <w:num w:numId="9" w16cid:durableId="847330225">
    <w:abstractNumId w:val="15"/>
  </w:num>
  <w:num w:numId="10" w16cid:durableId="1440679478">
    <w:abstractNumId w:val="10"/>
  </w:num>
  <w:num w:numId="11" w16cid:durableId="439229257">
    <w:abstractNumId w:val="14"/>
  </w:num>
  <w:num w:numId="12" w16cid:durableId="1160585881">
    <w:abstractNumId w:val="11"/>
  </w:num>
  <w:num w:numId="13" w16cid:durableId="1461148351">
    <w:abstractNumId w:val="6"/>
  </w:num>
  <w:num w:numId="14" w16cid:durableId="763383427">
    <w:abstractNumId w:val="15"/>
  </w:num>
  <w:num w:numId="15" w16cid:durableId="1453523011">
    <w:abstractNumId w:val="9"/>
  </w:num>
  <w:num w:numId="16" w16cid:durableId="546337121">
    <w:abstractNumId w:val="6"/>
  </w:num>
  <w:num w:numId="17" w16cid:durableId="1498299955">
    <w:abstractNumId w:val="6"/>
  </w:num>
  <w:num w:numId="18" w16cid:durableId="1613630313">
    <w:abstractNumId w:val="6"/>
  </w:num>
  <w:num w:numId="19" w16cid:durableId="1571887914">
    <w:abstractNumId w:val="6"/>
  </w:num>
  <w:num w:numId="20" w16cid:durableId="1815488863">
    <w:abstractNumId w:val="6"/>
  </w:num>
  <w:num w:numId="21" w16cid:durableId="1923832098">
    <w:abstractNumId w:val="6"/>
  </w:num>
  <w:num w:numId="22" w16cid:durableId="132791357">
    <w:abstractNumId w:val="6"/>
  </w:num>
  <w:num w:numId="23" w16cid:durableId="1101602619">
    <w:abstractNumId w:val="6"/>
  </w:num>
  <w:num w:numId="24" w16cid:durableId="1046375340">
    <w:abstractNumId w:val="6"/>
  </w:num>
  <w:num w:numId="25" w16cid:durableId="1049115050">
    <w:abstractNumId w:val="6"/>
  </w:num>
  <w:num w:numId="26" w16cid:durableId="1866168413">
    <w:abstractNumId w:val="6"/>
  </w:num>
  <w:num w:numId="27" w16cid:durableId="365907208">
    <w:abstractNumId w:val="6"/>
  </w:num>
  <w:num w:numId="28" w16cid:durableId="27801647">
    <w:abstractNumId w:val="6"/>
  </w:num>
  <w:num w:numId="29" w16cid:durableId="1106193396">
    <w:abstractNumId w:val="12"/>
  </w:num>
  <w:num w:numId="30" w16cid:durableId="915091747">
    <w:abstractNumId w:val="12"/>
  </w:num>
  <w:num w:numId="31" w16cid:durableId="549071860">
    <w:abstractNumId w:val="12"/>
    <w:lvlOverride w:ilvl="0">
      <w:startOverride w:val="1"/>
    </w:lvlOverride>
  </w:num>
  <w:num w:numId="32" w16cid:durableId="1326785328">
    <w:abstractNumId w:val="12"/>
  </w:num>
  <w:num w:numId="33" w16cid:durableId="1671443315">
    <w:abstractNumId w:val="12"/>
    <w:lvlOverride w:ilvl="0">
      <w:startOverride w:val="1"/>
    </w:lvlOverride>
  </w:num>
  <w:num w:numId="34" w16cid:durableId="450973339">
    <w:abstractNumId w:val="12"/>
    <w:lvlOverride w:ilvl="0">
      <w:startOverride w:val="1"/>
    </w:lvlOverride>
  </w:num>
  <w:num w:numId="35" w16cid:durableId="171527043">
    <w:abstractNumId w:val="13"/>
    <w:lvlOverride w:ilvl="0">
      <w:startOverride w:val="1"/>
    </w:lvlOverride>
  </w:num>
  <w:num w:numId="36" w16cid:durableId="157889821">
    <w:abstractNumId w:val="13"/>
  </w:num>
  <w:num w:numId="37" w16cid:durableId="1018508553">
    <w:abstractNumId w:val="13"/>
    <w:lvlOverride w:ilvl="0">
      <w:startOverride w:val="1"/>
    </w:lvlOverride>
  </w:num>
  <w:num w:numId="38" w16cid:durableId="1217085367">
    <w:abstractNumId w:val="13"/>
  </w:num>
  <w:num w:numId="39" w16cid:durableId="1165707564">
    <w:abstractNumId w:val="13"/>
    <w:lvlOverride w:ilvl="0">
      <w:startOverride w:val="1"/>
    </w:lvlOverride>
  </w:num>
  <w:num w:numId="40" w16cid:durableId="1673992378">
    <w:abstractNumId w:val="13"/>
    <w:lvlOverride w:ilvl="0">
      <w:startOverride w:val="1"/>
    </w:lvlOverride>
  </w:num>
  <w:num w:numId="41" w16cid:durableId="1616135273">
    <w:abstractNumId w:val="13"/>
    <w:lvlOverride w:ilvl="0">
      <w:startOverride w:val="1"/>
    </w:lvlOverride>
  </w:num>
  <w:num w:numId="42" w16cid:durableId="1358194926">
    <w:abstractNumId w:val="13"/>
  </w:num>
  <w:num w:numId="43" w16cid:durableId="10180422">
    <w:abstractNumId w:val="13"/>
  </w:num>
  <w:num w:numId="44" w16cid:durableId="1247885103">
    <w:abstractNumId w:val="2"/>
  </w:num>
  <w:num w:numId="45" w16cid:durableId="18843659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System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B14"/>
    <w:rsid w:val="00003D7C"/>
    <w:rsid w:val="00014140"/>
    <w:rsid w:val="00027428"/>
    <w:rsid w:val="00031EC9"/>
    <w:rsid w:val="00046622"/>
    <w:rsid w:val="000606D2"/>
    <w:rsid w:val="00066FED"/>
    <w:rsid w:val="00075EA6"/>
    <w:rsid w:val="0007709F"/>
    <w:rsid w:val="00086F62"/>
    <w:rsid w:val="00090674"/>
    <w:rsid w:val="0009320B"/>
    <w:rsid w:val="00096AE0"/>
    <w:rsid w:val="000B1B74"/>
    <w:rsid w:val="000B3A2D"/>
    <w:rsid w:val="000B49C0"/>
    <w:rsid w:val="000E382F"/>
    <w:rsid w:val="000E75CD"/>
    <w:rsid w:val="001036BA"/>
    <w:rsid w:val="001146DC"/>
    <w:rsid w:val="00114AB1"/>
    <w:rsid w:val="001230FF"/>
    <w:rsid w:val="00130BD7"/>
    <w:rsid w:val="001445E6"/>
    <w:rsid w:val="00155B67"/>
    <w:rsid w:val="001562AF"/>
    <w:rsid w:val="00161A5B"/>
    <w:rsid w:val="0016385D"/>
    <w:rsid w:val="0016782F"/>
    <w:rsid w:val="001937E9"/>
    <w:rsid w:val="001964E5"/>
    <w:rsid w:val="001B263B"/>
    <w:rsid w:val="001B476A"/>
    <w:rsid w:val="001B66CE"/>
    <w:rsid w:val="001B6A68"/>
    <w:rsid w:val="001C764F"/>
    <w:rsid w:val="001C7BB3"/>
    <w:rsid w:val="001D18E0"/>
    <w:rsid w:val="001D469C"/>
    <w:rsid w:val="001E2FBA"/>
    <w:rsid w:val="001F7B1D"/>
    <w:rsid w:val="0021619E"/>
    <w:rsid w:val="0023117E"/>
    <w:rsid w:val="0023171B"/>
    <w:rsid w:val="00236BFC"/>
    <w:rsid w:val="00236E80"/>
    <w:rsid w:val="00237437"/>
    <w:rsid w:val="0024015B"/>
    <w:rsid w:val="002502FD"/>
    <w:rsid w:val="00260678"/>
    <w:rsid w:val="00274622"/>
    <w:rsid w:val="00285D24"/>
    <w:rsid w:val="00290390"/>
    <w:rsid w:val="002915D3"/>
    <w:rsid w:val="002924DB"/>
    <w:rsid w:val="002941DA"/>
    <w:rsid w:val="002B5648"/>
    <w:rsid w:val="002E3C35"/>
    <w:rsid w:val="002F5298"/>
    <w:rsid w:val="00326AE0"/>
    <w:rsid w:val="00327425"/>
    <w:rsid w:val="00337E4F"/>
    <w:rsid w:val="00340C36"/>
    <w:rsid w:val="00343EF7"/>
    <w:rsid w:val="00346A9D"/>
    <w:rsid w:val="00363C62"/>
    <w:rsid w:val="003670C0"/>
    <w:rsid w:val="0039376F"/>
    <w:rsid w:val="003A287B"/>
    <w:rsid w:val="003A5C85"/>
    <w:rsid w:val="003A61B1"/>
    <w:rsid w:val="003B0050"/>
    <w:rsid w:val="003D6312"/>
    <w:rsid w:val="003D761A"/>
    <w:rsid w:val="003E7C74"/>
    <w:rsid w:val="003F31C6"/>
    <w:rsid w:val="0040225B"/>
    <w:rsid w:val="00402DA2"/>
    <w:rsid w:val="00410B1F"/>
    <w:rsid w:val="004154F9"/>
    <w:rsid w:val="00425AC2"/>
    <w:rsid w:val="0044771F"/>
    <w:rsid w:val="00456BA5"/>
    <w:rsid w:val="00460C25"/>
    <w:rsid w:val="004671E7"/>
    <w:rsid w:val="004A5851"/>
    <w:rsid w:val="004B151D"/>
    <w:rsid w:val="004C274D"/>
    <w:rsid w:val="004C7243"/>
    <w:rsid w:val="004E21DE"/>
    <w:rsid w:val="004E3C57"/>
    <w:rsid w:val="004E3CB2"/>
    <w:rsid w:val="00525813"/>
    <w:rsid w:val="0053513F"/>
    <w:rsid w:val="005429E6"/>
    <w:rsid w:val="00574405"/>
    <w:rsid w:val="005854B0"/>
    <w:rsid w:val="0058675E"/>
    <w:rsid w:val="005A0E21"/>
    <w:rsid w:val="005B3A34"/>
    <w:rsid w:val="005D49AF"/>
    <w:rsid w:val="005E415C"/>
    <w:rsid w:val="005E71ED"/>
    <w:rsid w:val="005E7946"/>
    <w:rsid w:val="005F7475"/>
    <w:rsid w:val="00611299"/>
    <w:rsid w:val="00613B4D"/>
    <w:rsid w:val="00616365"/>
    <w:rsid w:val="00616F3B"/>
    <w:rsid w:val="006249A7"/>
    <w:rsid w:val="0062736C"/>
    <w:rsid w:val="0064225B"/>
    <w:rsid w:val="00663BEC"/>
    <w:rsid w:val="00672AD6"/>
    <w:rsid w:val="006763F9"/>
    <w:rsid w:val="00687C44"/>
    <w:rsid w:val="006949BC"/>
    <w:rsid w:val="006B32D4"/>
    <w:rsid w:val="006C5082"/>
    <w:rsid w:val="006D1229"/>
    <w:rsid w:val="006D372F"/>
    <w:rsid w:val="006D7A18"/>
    <w:rsid w:val="006E4474"/>
    <w:rsid w:val="00701388"/>
    <w:rsid w:val="00723B7F"/>
    <w:rsid w:val="00725861"/>
    <w:rsid w:val="0073393A"/>
    <w:rsid w:val="0073539D"/>
    <w:rsid w:val="0075682B"/>
    <w:rsid w:val="00767B8A"/>
    <w:rsid w:val="00775481"/>
    <w:rsid w:val="007A233B"/>
    <w:rsid w:val="007B4863"/>
    <w:rsid w:val="007C65E6"/>
    <w:rsid w:val="007C793E"/>
    <w:rsid w:val="007D406B"/>
    <w:rsid w:val="007D4407"/>
    <w:rsid w:val="007E1CA3"/>
    <w:rsid w:val="00812D62"/>
    <w:rsid w:val="00812F29"/>
    <w:rsid w:val="00817E85"/>
    <w:rsid w:val="00821713"/>
    <w:rsid w:val="00827050"/>
    <w:rsid w:val="0083278B"/>
    <w:rsid w:val="00834538"/>
    <w:rsid w:val="00840CF6"/>
    <w:rsid w:val="00850E89"/>
    <w:rsid w:val="00870360"/>
    <w:rsid w:val="00876E55"/>
    <w:rsid w:val="008930E4"/>
    <w:rsid w:val="00893821"/>
    <w:rsid w:val="008A7B9C"/>
    <w:rsid w:val="008B39FA"/>
    <w:rsid w:val="008B4754"/>
    <w:rsid w:val="008E6A7A"/>
    <w:rsid w:val="008F1038"/>
    <w:rsid w:val="008F7046"/>
    <w:rsid w:val="009005FC"/>
    <w:rsid w:val="00914B6B"/>
    <w:rsid w:val="00922E5A"/>
    <w:rsid w:val="00943315"/>
    <w:rsid w:val="00946C27"/>
    <w:rsid w:val="009A4F3D"/>
    <w:rsid w:val="009B5F15"/>
    <w:rsid w:val="009B696B"/>
    <w:rsid w:val="009B7671"/>
    <w:rsid w:val="009E5BA1"/>
    <w:rsid w:val="009F00E5"/>
    <w:rsid w:val="009F056E"/>
    <w:rsid w:val="00A24F3D"/>
    <w:rsid w:val="00A26DCD"/>
    <w:rsid w:val="00A314BB"/>
    <w:rsid w:val="00A32B7D"/>
    <w:rsid w:val="00A5596B"/>
    <w:rsid w:val="00A646B3"/>
    <w:rsid w:val="00A6739B"/>
    <w:rsid w:val="00A90413"/>
    <w:rsid w:val="00AA728C"/>
    <w:rsid w:val="00AB0A9C"/>
    <w:rsid w:val="00AB7119"/>
    <w:rsid w:val="00AD5855"/>
    <w:rsid w:val="00AD7E8E"/>
    <w:rsid w:val="00AE7500"/>
    <w:rsid w:val="00AE7F87"/>
    <w:rsid w:val="00AF3542"/>
    <w:rsid w:val="00AF5ABE"/>
    <w:rsid w:val="00B00415"/>
    <w:rsid w:val="00B00877"/>
    <w:rsid w:val="00B03C2A"/>
    <w:rsid w:val="00B1000D"/>
    <w:rsid w:val="00B10134"/>
    <w:rsid w:val="00B15B90"/>
    <w:rsid w:val="00B16BFE"/>
    <w:rsid w:val="00B46ACD"/>
    <w:rsid w:val="00B500E5"/>
    <w:rsid w:val="00BA39BB"/>
    <w:rsid w:val="00BA3B3D"/>
    <w:rsid w:val="00BB63BA"/>
    <w:rsid w:val="00BB7EEA"/>
    <w:rsid w:val="00BD1909"/>
    <w:rsid w:val="00BD5AE9"/>
    <w:rsid w:val="00BE5E16"/>
    <w:rsid w:val="00BE5FD1"/>
    <w:rsid w:val="00C008AD"/>
    <w:rsid w:val="00C06E05"/>
    <w:rsid w:val="00C14B14"/>
    <w:rsid w:val="00C17370"/>
    <w:rsid w:val="00C2054D"/>
    <w:rsid w:val="00C252EB"/>
    <w:rsid w:val="00C26EC0"/>
    <w:rsid w:val="00C56C77"/>
    <w:rsid w:val="00C84923"/>
    <w:rsid w:val="00C96DAB"/>
    <w:rsid w:val="00CA390A"/>
    <w:rsid w:val="00CB7B3E"/>
    <w:rsid w:val="00CC739D"/>
    <w:rsid w:val="00D04468"/>
    <w:rsid w:val="00D30640"/>
    <w:rsid w:val="00D36257"/>
    <w:rsid w:val="00D4687E"/>
    <w:rsid w:val="00D53A12"/>
    <w:rsid w:val="00D87CA0"/>
    <w:rsid w:val="00D87E2A"/>
    <w:rsid w:val="00DA3F5B"/>
    <w:rsid w:val="00DB0C43"/>
    <w:rsid w:val="00DE3354"/>
    <w:rsid w:val="00DF7DCD"/>
    <w:rsid w:val="00E06CC0"/>
    <w:rsid w:val="00E12C87"/>
    <w:rsid w:val="00E24C09"/>
    <w:rsid w:val="00E41AA8"/>
    <w:rsid w:val="00E50B7D"/>
    <w:rsid w:val="00E834B6"/>
    <w:rsid w:val="00E904A1"/>
    <w:rsid w:val="00EB7D28"/>
    <w:rsid w:val="00EC0D0C"/>
    <w:rsid w:val="00ED4A2C"/>
    <w:rsid w:val="00EF6940"/>
    <w:rsid w:val="00F2044A"/>
    <w:rsid w:val="00F20BFC"/>
    <w:rsid w:val="00F24D5F"/>
    <w:rsid w:val="00F726C3"/>
    <w:rsid w:val="00F820CA"/>
    <w:rsid w:val="00F8554C"/>
    <w:rsid w:val="00F95F82"/>
    <w:rsid w:val="00F97A90"/>
    <w:rsid w:val="00FA44EC"/>
    <w:rsid w:val="00FC2F35"/>
    <w:rsid w:val="00FC3FD7"/>
    <w:rsid w:val="00FD149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link w:val="Heading1Char"/>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customStyle="1" w:styleId="UnresolvedMention1">
    <w:name w:val="Unresolved Mention1"/>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paragraph" w:styleId="Title">
    <w:name w:val="Title"/>
    <w:basedOn w:val="Normal"/>
    <w:next w:val="Normal"/>
    <w:link w:val="TitleChar"/>
    <w:uiPriority w:val="10"/>
    <w:qFormat/>
    <w:rsid w:val="009B5F1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5F15"/>
    <w:rPr>
      <w:rFonts w:asciiTheme="majorHAnsi" w:eastAsiaTheme="majorEastAsia" w:hAnsiTheme="majorHAnsi" w:cstheme="majorBidi"/>
      <w:spacing w:val="-10"/>
      <w:kern w:val="28"/>
      <w:sz w:val="56"/>
      <w:szCs w:val="56"/>
      <w:lang w:val="en-US" w:eastAsia="en-US"/>
    </w:rPr>
  </w:style>
  <w:style w:type="paragraph" w:styleId="Bibliography">
    <w:name w:val="Bibliography"/>
    <w:basedOn w:val="Normal"/>
    <w:next w:val="Normal"/>
    <w:uiPriority w:val="37"/>
    <w:unhideWhenUsed/>
    <w:rsid w:val="00914B6B"/>
    <w:pPr>
      <w:tabs>
        <w:tab w:val="left" w:pos="384"/>
      </w:tabs>
      <w:spacing w:line="480" w:lineRule="auto"/>
      <w:ind w:left="384" w:hanging="384"/>
    </w:pPr>
  </w:style>
  <w:style w:type="character" w:customStyle="1" w:styleId="katex-mathml">
    <w:name w:val="katex-mathml"/>
    <w:basedOn w:val="DefaultParagraphFont"/>
    <w:rsid w:val="00456BA5"/>
  </w:style>
  <w:style w:type="paragraph" w:styleId="Caption">
    <w:name w:val="caption"/>
    <w:basedOn w:val="Normal"/>
    <w:next w:val="Normal"/>
    <w:uiPriority w:val="35"/>
    <w:unhideWhenUsed/>
    <w:qFormat/>
    <w:rsid w:val="00456BA5"/>
    <w:pPr>
      <w:spacing w:after="200"/>
    </w:pPr>
    <w:rPr>
      <w:rFonts w:asciiTheme="minorHAnsi" w:eastAsiaTheme="minorHAnsi" w:hAnsiTheme="minorHAnsi" w:cstheme="minorBidi"/>
      <w:i/>
      <w:iCs/>
      <w:color w:val="1F497D" w:themeColor="text2"/>
      <w:sz w:val="18"/>
      <w:szCs w:val="18"/>
    </w:rPr>
  </w:style>
  <w:style w:type="character" w:customStyle="1" w:styleId="vlist-s">
    <w:name w:val="vlist-s"/>
    <w:basedOn w:val="DefaultParagraphFont"/>
    <w:rsid w:val="00B00877"/>
  </w:style>
  <w:style w:type="character" w:customStyle="1" w:styleId="Heading1Char">
    <w:name w:val="Heading 1 Char"/>
    <w:basedOn w:val="DefaultParagraphFont"/>
    <w:link w:val="Heading1"/>
    <w:rsid w:val="00C008AD"/>
    <w:rPr>
      <w:b/>
      <w:caps/>
      <w:sz w:val="24"/>
      <w:lang w:val="en-US" w:eastAsia="en-US"/>
    </w:rPr>
  </w:style>
  <w:style w:type="character" w:styleId="UnresolvedMention">
    <w:name w:val="Unresolved Mention"/>
    <w:basedOn w:val="DefaultParagraphFont"/>
    <w:uiPriority w:val="99"/>
    <w:semiHidden/>
    <w:unhideWhenUsed/>
    <w:rsid w:val="00DA3F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400860">
      <w:bodyDiv w:val="1"/>
      <w:marLeft w:val="0"/>
      <w:marRight w:val="0"/>
      <w:marTop w:val="0"/>
      <w:marBottom w:val="0"/>
      <w:divBdr>
        <w:top w:val="none" w:sz="0" w:space="0" w:color="auto"/>
        <w:left w:val="none" w:sz="0" w:space="0" w:color="auto"/>
        <w:bottom w:val="none" w:sz="0" w:space="0" w:color="auto"/>
        <w:right w:val="none" w:sz="0" w:space="0" w:color="auto"/>
      </w:divBdr>
    </w:div>
    <w:div w:id="251397299">
      <w:bodyDiv w:val="1"/>
      <w:marLeft w:val="0"/>
      <w:marRight w:val="0"/>
      <w:marTop w:val="0"/>
      <w:marBottom w:val="0"/>
      <w:divBdr>
        <w:top w:val="none" w:sz="0" w:space="0" w:color="auto"/>
        <w:left w:val="none" w:sz="0" w:space="0" w:color="auto"/>
        <w:bottom w:val="none" w:sz="0" w:space="0" w:color="auto"/>
        <w:right w:val="none" w:sz="0" w:space="0" w:color="auto"/>
      </w:divBdr>
    </w:div>
    <w:div w:id="270599873">
      <w:bodyDiv w:val="1"/>
      <w:marLeft w:val="0"/>
      <w:marRight w:val="0"/>
      <w:marTop w:val="0"/>
      <w:marBottom w:val="0"/>
      <w:divBdr>
        <w:top w:val="none" w:sz="0" w:space="0" w:color="auto"/>
        <w:left w:val="none" w:sz="0" w:space="0" w:color="auto"/>
        <w:bottom w:val="none" w:sz="0" w:space="0" w:color="auto"/>
        <w:right w:val="none" w:sz="0" w:space="0" w:color="auto"/>
      </w:divBdr>
    </w:div>
    <w:div w:id="408624366">
      <w:bodyDiv w:val="1"/>
      <w:marLeft w:val="0"/>
      <w:marRight w:val="0"/>
      <w:marTop w:val="0"/>
      <w:marBottom w:val="0"/>
      <w:divBdr>
        <w:top w:val="none" w:sz="0" w:space="0" w:color="auto"/>
        <w:left w:val="none" w:sz="0" w:space="0" w:color="auto"/>
        <w:bottom w:val="none" w:sz="0" w:space="0" w:color="auto"/>
        <w:right w:val="none" w:sz="0" w:space="0" w:color="auto"/>
      </w:divBdr>
    </w:div>
    <w:div w:id="439379511">
      <w:bodyDiv w:val="1"/>
      <w:marLeft w:val="0"/>
      <w:marRight w:val="0"/>
      <w:marTop w:val="0"/>
      <w:marBottom w:val="0"/>
      <w:divBdr>
        <w:top w:val="none" w:sz="0" w:space="0" w:color="auto"/>
        <w:left w:val="none" w:sz="0" w:space="0" w:color="auto"/>
        <w:bottom w:val="none" w:sz="0" w:space="0" w:color="auto"/>
        <w:right w:val="none" w:sz="0" w:space="0" w:color="auto"/>
      </w:divBdr>
    </w:div>
    <w:div w:id="454642093">
      <w:bodyDiv w:val="1"/>
      <w:marLeft w:val="0"/>
      <w:marRight w:val="0"/>
      <w:marTop w:val="0"/>
      <w:marBottom w:val="0"/>
      <w:divBdr>
        <w:top w:val="none" w:sz="0" w:space="0" w:color="auto"/>
        <w:left w:val="none" w:sz="0" w:space="0" w:color="auto"/>
        <w:bottom w:val="none" w:sz="0" w:space="0" w:color="auto"/>
        <w:right w:val="none" w:sz="0" w:space="0" w:color="auto"/>
      </w:divBdr>
    </w:div>
    <w:div w:id="499733077">
      <w:bodyDiv w:val="1"/>
      <w:marLeft w:val="0"/>
      <w:marRight w:val="0"/>
      <w:marTop w:val="0"/>
      <w:marBottom w:val="0"/>
      <w:divBdr>
        <w:top w:val="none" w:sz="0" w:space="0" w:color="auto"/>
        <w:left w:val="none" w:sz="0" w:space="0" w:color="auto"/>
        <w:bottom w:val="none" w:sz="0" w:space="0" w:color="auto"/>
        <w:right w:val="none" w:sz="0" w:space="0" w:color="auto"/>
      </w:divBdr>
    </w:div>
    <w:div w:id="523056200">
      <w:bodyDiv w:val="1"/>
      <w:marLeft w:val="0"/>
      <w:marRight w:val="0"/>
      <w:marTop w:val="0"/>
      <w:marBottom w:val="0"/>
      <w:divBdr>
        <w:top w:val="none" w:sz="0" w:space="0" w:color="auto"/>
        <w:left w:val="none" w:sz="0" w:space="0" w:color="auto"/>
        <w:bottom w:val="none" w:sz="0" w:space="0" w:color="auto"/>
        <w:right w:val="none" w:sz="0" w:space="0" w:color="auto"/>
      </w:divBdr>
    </w:div>
    <w:div w:id="569461044">
      <w:bodyDiv w:val="1"/>
      <w:marLeft w:val="0"/>
      <w:marRight w:val="0"/>
      <w:marTop w:val="0"/>
      <w:marBottom w:val="0"/>
      <w:divBdr>
        <w:top w:val="none" w:sz="0" w:space="0" w:color="auto"/>
        <w:left w:val="none" w:sz="0" w:space="0" w:color="auto"/>
        <w:bottom w:val="none" w:sz="0" w:space="0" w:color="auto"/>
        <w:right w:val="none" w:sz="0" w:space="0" w:color="auto"/>
      </w:divBdr>
    </w:div>
    <w:div w:id="574244621">
      <w:bodyDiv w:val="1"/>
      <w:marLeft w:val="0"/>
      <w:marRight w:val="0"/>
      <w:marTop w:val="0"/>
      <w:marBottom w:val="0"/>
      <w:divBdr>
        <w:top w:val="none" w:sz="0" w:space="0" w:color="auto"/>
        <w:left w:val="none" w:sz="0" w:space="0" w:color="auto"/>
        <w:bottom w:val="none" w:sz="0" w:space="0" w:color="auto"/>
        <w:right w:val="none" w:sz="0" w:space="0" w:color="auto"/>
      </w:divBdr>
    </w:div>
    <w:div w:id="614748588">
      <w:bodyDiv w:val="1"/>
      <w:marLeft w:val="0"/>
      <w:marRight w:val="0"/>
      <w:marTop w:val="0"/>
      <w:marBottom w:val="0"/>
      <w:divBdr>
        <w:top w:val="none" w:sz="0" w:space="0" w:color="auto"/>
        <w:left w:val="none" w:sz="0" w:space="0" w:color="auto"/>
        <w:bottom w:val="none" w:sz="0" w:space="0" w:color="auto"/>
        <w:right w:val="none" w:sz="0" w:space="0" w:color="auto"/>
      </w:divBdr>
    </w:div>
    <w:div w:id="631444079">
      <w:bodyDiv w:val="1"/>
      <w:marLeft w:val="0"/>
      <w:marRight w:val="0"/>
      <w:marTop w:val="0"/>
      <w:marBottom w:val="0"/>
      <w:divBdr>
        <w:top w:val="none" w:sz="0" w:space="0" w:color="auto"/>
        <w:left w:val="none" w:sz="0" w:space="0" w:color="auto"/>
        <w:bottom w:val="none" w:sz="0" w:space="0" w:color="auto"/>
        <w:right w:val="none" w:sz="0" w:space="0" w:color="auto"/>
      </w:divBdr>
    </w:div>
    <w:div w:id="632491646">
      <w:bodyDiv w:val="1"/>
      <w:marLeft w:val="0"/>
      <w:marRight w:val="0"/>
      <w:marTop w:val="0"/>
      <w:marBottom w:val="0"/>
      <w:divBdr>
        <w:top w:val="none" w:sz="0" w:space="0" w:color="auto"/>
        <w:left w:val="none" w:sz="0" w:space="0" w:color="auto"/>
        <w:bottom w:val="none" w:sz="0" w:space="0" w:color="auto"/>
        <w:right w:val="none" w:sz="0" w:space="0" w:color="auto"/>
      </w:divBdr>
    </w:div>
    <w:div w:id="889927098">
      <w:bodyDiv w:val="1"/>
      <w:marLeft w:val="0"/>
      <w:marRight w:val="0"/>
      <w:marTop w:val="0"/>
      <w:marBottom w:val="0"/>
      <w:divBdr>
        <w:top w:val="none" w:sz="0" w:space="0" w:color="auto"/>
        <w:left w:val="none" w:sz="0" w:space="0" w:color="auto"/>
        <w:bottom w:val="none" w:sz="0" w:space="0" w:color="auto"/>
        <w:right w:val="none" w:sz="0" w:space="0" w:color="auto"/>
      </w:divBdr>
    </w:div>
    <w:div w:id="950554270">
      <w:bodyDiv w:val="1"/>
      <w:marLeft w:val="0"/>
      <w:marRight w:val="0"/>
      <w:marTop w:val="0"/>
      <w:marBottom w:val="0"/>
      <w:divBdr>
        <w:top w:val="none" w:sz="0" w:space="0" w:color="auto"/>
        <w:left w:val="none" w:sz="0" w:space="0" w:color="auto"/>
        <w:bottom w:val="none" w:sz="0" w:space="0" w:color="auto"/>
        <w:right w:val="none" w:sz="0" w:space="0" w:color="auto"/>
      </w:divBdr>
    </w:div>
    <w:div w:id="963534819">
      <w:bodyDiv w:val="1"/>
      <w:marLeft w:val="0"/>
      <w:marRight w:val="0"/>
      <w:marTop w:val="0"/>
      <w:marBottom w:val="0"/>
      <w:divBdr>
        <w:top w:val="none" w:sz="0" w:space="0" w:color="auto"/>
        <w:left w:val="none" w:sz="0" w:space="0" w:color="auto"/>
        <w:bottom w:val="none" w:sz="0" w:space="0" w:color="auto"/>
        <w:right w:val="none" w:sz="0" w:space="0" w:color="auto"/>
      </w:divBdr>
    </w:div>
    <w:div w:id="981809569">
      <w:bodyDiv w:val="1"/>
      <w:marLeft w:val="0"/>
      <w:marRight w:val="0"/>
      <w:marTop w:val="0"/>
      <w:marBottom w:val="0"/>
      <w:divBdr>
        <w:top w:val="none" w:sz="0" w:space="0" w:color="auto"/>
        <w:left w:val="none" w:sz="0" w:space="0" w:color="auto"/>
        <w:bottom w:val="none" w:sz="0" w:space="0" w:color="auto"/>
        <w:right w:val="none" w:sz="0" w:space="0" w:color="auto"/>
      </w:divBdr>
    </w:div>
    <w:div w:id="1006253925">
      <w:bodyDiv w:val="1"/>
      <w:marLeft w:val="0"/>
      <w:marRight w:val="0"/>
      <w:marTop w:val="0"/>
      <w:marBottom w:val="0"/>
      <w:divBdr>
        <w:top w:val="none" w:sz="0" w:space="0" w:color="auto"/>
        <w:left w:val="none" w:sz="0" w:space="0" w:color="auto"/>
        <w:bottom w:val="none" w:sz="0" w:space="0" w:color="auto"/>
        <w:right w:val="none" w:sz="0" w:space="0" w:color="auto"/>
      </w:divBdr>
    </w:div>
    <w:div w:id="1155025130">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298487317">
      <w:bodyDiv w:val="1"/>
      <w:marLeft w:val="0"/>
      <w:marRight w:val="0"/>
      <w:marTop w:val="0"/>
      <w:marBottom w:val="0"/>
      <w:divBdr>
        <w:top w:val="none" w:sz="0" w:space="0" w:color="auto"/>
        <w:left w:val="none" w:sz="0" w:space="0" w:color="auto"/>
        <w:bottom w:val="none" w:sz="0" w:space="0" w:color="auto"/>
        <w:right w:val="none" w:sz="0" w:space="0" w:color="auto"/>
      </w:divBdr>
    </w:div>
    <w:div w:id="1344089030">
      <w:bodyDiv w:val="1"/>
      <w:marLeft w:val="0"/>
      <w:marRight w:val="0"/>
      <w:marTop w:val="0"/>
      <w:marBottom w:val="0"/>
      <w:divBdr>
        <w:top w:val="none" w:sz="0" w:space="0" w:color="auto"/>
        <w:left w:val="none" w:sz="0" w:space="0" w:color="auto"/>
        <w:bottom w:val="none" w:sz="0" w:space="0" w:color="auto"/>
        <w:right w:val="none" w:sz="0" w:space="0" w:color="auto"/>
      </w:divBdr>
    </w:div>
    <w:div w:id="1344815653">
      <w:bodyDiv w:val="1"/>
      <w:marLeft w:val="0"/>
      <w:marRight w:val="0"/>
      <w:marTop w:val="0"/>
      <w:marBottom w:val="0"/>
      <w:divBdr>
        <w:top w:val="none" w:sz="0" w:space="0" w:color="auto"/>
        <w:left w:val="none" w:sz="0" w:space="0" w:color="auto"/>
        <w:bottom w:val="none" w:sz="0" w:space="0" w:color="auto"/>
        <w:right w:val="none" w:sz="0" w:space="0" w:color="auto"/>
      </w:divBdr>
    </w:div>
    <w:div w:id="1395085981">
      <w:bodyDiv w:val="1"/>
      <w:marLeft w:val="0"/>
      <w:marRight w:val="0"/>
      <w:marTop w:val="0"/>
      <w:marBottom w:val="0"/>
      <w:divBdr>
        <w:top w:val="none" w:sz="0" w:space="0" w:color="auto"/>
        <w:left w:val="none" w:sz="0" w:space="0" w:color="auto"/>
        <w:bottom w:val="none" w:sz="0" w:space="0" w:color="auto"/>
        <w:right w:val="none" w:sz="0" w:space="0" w:color="auto"/>
      </w:divBdr>
    </w:div>
    <w:div w:id="1407610817">
      <w:bodyDiv w:val="1"/>
      <w:marLeft w:val="0"/>
      <w:marRight w:val="0"/>
      <w:marTop w:val="0"/>
      <w:marBottom w:val="0"/>
      <w:divBdr>
        <w:top w:val="none" w:sz="0" w:space="0" w:color="auto"/>
        <w:left w:val="none" w:sz="0" w:space="0" w:color="auto"/>
        <w:bottom w:val="none" w:sz="0" w:space="0" w:color="auto"/>
        <w:right w:val="none" w:sz="0" w:space="0" w:color="auto"/>
      </w:divBdr>
    </w:div>
    <w:div w:id="1467698973">
      <w:bodyDiv w:val="1"/>
      <w:marLeft w:val="0"/>
      <w:marRight w:val="0"/>
      <w:marTop w:val="0"/>
      <w:marBottom w:val="0"/>
      <w:divBdr>
        <w:top w:val="none" w:sz="0" w:space="0" w:color="auto"/>
        <w:left w:val="none" w:sz="0" w:space="0" w:color="auto"/>
        <w:bottom w:val="none" w:sz="0" w:space="0" w:color="auto"/>
        <w:right w:val="none" w:sz="0" w:space="0" w:color="auto"/>
      </w:divBdr>
    </w:div>
    <w:div w:id="1501389120">
      <w:bodyDiv w:val="1"/>
      <w:marLeft w:val="0"/>
      <w:marRight w:val="0"/>
      <w:marTop w:val="0"/>
      <w:marBottom w:val="0"/>
      <w:divBdr>
        <w:top w:val="none" w:sz="0" w:space="0" w:color="auto"/>
        <w:left w:val="none" w:sz="0" w:space="0" w:color="auto"/>
        <w:bottom w:val="none" w:sz="0" w:space="0" w:color="auto"/>
        <w:right w:val="none" w:sz="0" w:space="0" w:color="auto"/>
      </w:divBdr>
    </w:div>
    <w:div w:id="1537737697">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740783717">
      <w:bodyDiv w:val="1"/>
      <w:marLeft w:val="0"/>
      <w:marRight w:val="0"/>
      <w:marTop w:val="0"/>
      <w:marBottom w:val="0"/>
      <w:divBdr>
        <w:top w:val="none" w:sz="0" w:space="0" w:color="auto"/>
        <w:left w:val="none" w:sz="0" w:space="0" w:color="auto"/>
        <w:bottom w:val="none" w:sz="0" w:space="0" w:color="auto"/>
        <w:right w:val="none" w:sz="0" w:space="0" w:color="auto"/>
      </w:divBdr>
    </w:div>
    <w:div w:id="1750302084">
      <w:bodyDiv w:val="1"/>
      <w:marLeft w:val="0"/>
      <w:marRight w:val="0"/>
      <w:marTop w:val="0"/>
      <w:marBottom w:val="0"/>
      <w:divBdr>
        <w:top w:val="none" w:sz="0" w:space="0" w:color="auto"/>
        <w:left w:val="none" w:sz="0" w:space="0" w:color="auto"/>
        <w:bottom w:val="none" w:sz="0" w:space="0" w:color="auto"/>
        <w:right w:val="none" w:sz="0" w:space="0" w:color="auto"/>
      </w:divBdr>
    </w:div>
    <w:div w:id="1941328850">
      <w:bodyDiv w:val="1"/>
      <w:marLeft w:val="0"/>
      <w:marRight w:val="0"/>
      <w:marTop w:val="0"/>
      <w:marBottom w:val="0"/>
      <w:divBdr>
        <w:top w:val="none" w:sz="0" w:space="0" w:color="auto"/>
        <w:left w:val="none" w:sz="0" w:space="0" w:color="auto"/>
        <w:bottom w:val="none" w:sz="0" w:space="0" w:color="auto"/>
        <w:right w:val="none" w:sz="0" w:space="0" w:color="auto"/>
      </w:divBdr>
    </w:div>
    <w:div w:id="1992129670">
      <w:bodyDiv w:val="1"/>
      <w:marLeft w:val="0"/>
      <w:marRight w:val="0"/>
      <w:marTop w:val="0"/>
      <w:marBottom w:val="0"/>
      <w:divBdr>
        <w:top w:val="none" w:sz="0" w:space="0" w:color="auto"/>
        <w:left w:val="none" w:sz="0" w:space="0" w:color="auto"/>
        <w:bottom w:val="none" w:sz="0" w:space="0" w:color="auto"/>
        <w:right w:val="none" w:sz="0" w:space="0" w:color="auto"/>
      </w:divBdr>
    </w:div>
    <w:div w:id="2014143642">
      <w:bodyDiv w:val="1"/>
      <w:marLeft w:val="0"/>
      <w:marRight w:val="0"/>
      <w:marTop w:val="0"/>
      <w:marBottom w:val="0"/>
      <w:divBdr>
        <w:top w:val="none" w:sz="0" w:space="0" w:color="auto"/>
        <w:left w:val="none" w:sz="0" w:space="0" w:color="auto"/>
        <w:bottom w:val="none" w:sz="0" w:space="0" w:color="auto"/>
        <w:right w:val="none" w:sz="0" w:space="0" w:color="auto"/>
      </w:divBdr>
    </w:div>
    <w:div w:id="2043167955">
      <w:bodyDiv w:val="1"/>
      <w:marLeft w:val="0"/>
      <w:marRight w:val="0"/>
      <w:marTop w:val="0"/>
      <w:marBottom w:val="0"/>
      <w:divBdr>
        <w:top w:val="none" w:sz="0" w:space="0" w:color="auto"/>
        <w:left w:val="none" w:sz="0" w:space="0" w:color="auto"/>
        <w:bottom w:val="none" w:sz="0" w:space="0" w:color="auto"/>
        <w:right w:val="none" w:sz="0" w:space="0" w:color="auto"/>
      </w:divBdr>
    </w:div>
    <w:div w:id="2064013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3.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BFF197-07EE-4463-BBB1-14B9BD776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42</TotalTime>
  <Pages>8</Pages>
  <Words>10514</Words>
  <Characters>58040</Characters>
  <Application>Microsoft Office Word</Application>
  <DocSecurity>0</DocSecurity>
  <Lines>879</Lines>
  <Paragraphs>337</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68217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Chafic Salame</cp:lastModifiedBy>
  <cp:revision>13</cp:revision>
  <cp:lastPrinted>2011-03-03T08:29:00Z</cp:lastPrinted>
  <dcterms:created xsi:type="dcterms:W3CDTF">2025-11-15T11:04:00Z</dcterms:created>
  <dcterms:modified xsi:type="dcterms:W3CDTF">2025-12-06T16:15:00Z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ZOTERO_PREF_1">
    <vt:lpwstr>&lt;data data-version="3" zotero-version="6.0.36"&gt;&lt;session id="azjSrDnu"/&gt;&lt;style id="http://www.zotero.org/styles/nature" hasBibliography="1" bibliographyStyleHasBeenSet="1"/&gt;&lt;prefs&gt;&lt;pref name="fieldType" value="Field"/&gt;&lt;/prefs&gt;&lt;/data&gt;</vt:lpwstr>
  </property>
</Properties>
</file>