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5A4E" w14:textId="77777777" w:rsidR="008C48FB" w:rsidRDefault="008C48FB" w:rsidP="00D30640">
      <w:pPr>
        <w:pStyle w:val="PaperTitle"/>
        <w:spacing w:before="0"/>
      </w:pPr>
    </w:p>
    <w:p w14:paraId="0436CCF7" w14:textId="77777777" w:rsidR="008C48FB" w:rsidRDefault="008C48FB" w:rsidP="00D30640">
      <w:pPr>
        <w:pStyle w:val="PaperTitle"/>
        <w:spacing w:before="0"/>
      </w:pPr>
    </w:p>
    <w:p w14:paraId="196FDEE5" w14:textId="5236325C" w:rsidR="00AF4681" w:rsidRPr="00B047A8" w:rsidRDefault="00853DCA" w:rsidP="00D30640">
      <w:pPr>
        <w:pStyle w:val="PaperTitle"/>
        <w:spacing w:before="0"/>
      </w:pPr>
      <w:r w:rsidRPr="00B047A8">
        <w:t>A Hybrid BBO and Gradient Descent Method to Reduce Phase Imbalances and Transformer Overloads</w:t>
      </w:r>
    </w:p>
    <w:p w14:paraId="548D96A3" w14:textId="6EDB1A32" w:rsidR="00C14B14" w:rsidRPr="00215A20" w:rsidRDefault="00050986" w:rsidP="2F830975">
      <w:pPr>
        <w:pStyle w:val="AuthorName"/>
        <w:rPr>
          <w:sz w:val="20"/>
          <w:lang w:eastAsia="en-GB"/>
        </w:rPr>
      </w:pPr>
      <w:r w:rsidRPr="00215A20">
        <w:t>Moussa Ahmat</w:t>
      </w:r>
      <w:r w:rsidR="00EF6940" w:rsidRPr="00215A20">
        <w:rPr>
          <w:vertAlign w:val="superscript"/>
        </w:rPr>
        <w:t>1,</w:t>
      </w:r>
      <w:r w:rsidR="003A5C85" w:rsidRPr="00215A20">
        <w:rPr>
          <w:vertAlign w:val="superscript"/>
        </w:rPr>
        <w:t xml:space="preserve"> </w:t>
      </w:r>
      <w:r w:rsidR="00BF20CD">
        <w:rPr>
          <w:vertAlign w:val="superscript"/>
        </w:rPr>
        <w:t>3</w:t>
      </w:r>
      <w:r w:rsidR="000F4AB1" w:rsidRPr="00215A20">
        <w:t xml:space="preserve">, </w:t>
      </w:r>
      <w:proofErr w:type="spellStart"/>
      <w:r w:rsidR="00DA2713" w:rsidRPr="00B047A8">
        <w:t>Memtine</w:t>
      </w:r>
      <w:proofErr w:type="spellEnd"/>
      <w:r w:rsidR="00DA2713" w:rsidRPr="00B047A8">
        <w:t xml:space="preserve"> Ndong Augustin</w:t>
      </w:r>
      <w:r w:rsidR="00DA2713" w:rsidRPr="00B047A8">
        <w:rPr>
          <w:vertAlign w:val="superscript"/>
        </w:rPr>
        <w:t>1</w:t>
      </w:r>
      <w:r w:rsidR="00DA2713" w:rsidRPr="00B047A8">
        <w:t xml:space="preserve">, </w:t>
      </w:r>
      <w:r w:rsidRPr="00215A20">
        <w:t>Amir Moungache</w:t>
      </w:r>
      <w:r w:rsidR="000F4AB1" w:rsidRPr="00215A20">
        <w:rPr>
          <w:vertAlign w:val="superscript"/>
        </w:rPr>
        <w:t>2</w:t>
      </w:r>
      <w:r w:rsidR="00EC0988" w:rsidRPr="00215A20">
        <w:t xml:space="preserve">, </w:t>
      </w:r>
      <w:proofErr w:type="spellStart"/>
      <w:r w:rsidR="00AF4681" w:rsidRPr="00215A20">
        <w:t>Kidmo</w:t>
      </w:r>
      <w:proofErr w:type="spellEnd"/>
      <w:r w:rsidR="00AF4681" w:rsidRPr="00215A20">
        <w:t xml:space="preserve"> </w:t>
      </w:r>
      <w:proofErr w:type="spellStart"/>
      <w:r w:rsidR="00AF4681" w:rsidRPr="00215A20">
        <w:t>Kaoga</w:t>
      </w:r>
      <w:proofErr w:type="spellEnd"/>
      <w:r w:rsidR="00AF4681" w:rsidRPr="00215A20">
        <w:t xml:space="preserve"> Dieudonné</w:t>
      </w:r>
      <w:r w:rsidR="00AF4681" w:rsidRPr="00215A20">
        <w:rPr>
          <w:vertAlign w:val="superscript"/>
        </w:rPr>
        <w:t>1, a)</w:t>
      </w:r>
      <w:r w:rsidR="00AF4681" w:rsidRPr="00215A20">
        <w:t xml:space="preserve"> </w:t>
      </w:r>
    </w:p>
    <w:p w14:paraId="27A069C1" w14:textId="20D3E014" w:rsidR="000F4AB1" w:rsidRPr="00B047A8" w:rsidRDefault="00027428" w:rsidP="0009103D">
      <w:pPr>
        <w:pStyle w:val="AuthorAffiliation"/>
      </w:pPr>
      <w:r w:rsidRPr="00B047A8">
        <w:rPr>
          <w:i w:val="0"/>
          <w:iCs/>
          <w:vertAlign w:val="superscript"/>
        </w:rPr>
        <w:t>1</w:t>
      </w:r>
      <w:r w:rsidR="00AF4681" w:rsidRPr="00B047A8">
        <w:t>National Advanced School of Engineering of Maroua, University of Maroua, P.O. Box 46 Maroua</w:t>
      </w:r>
      <w:r w:rsidR="00345FDE" w:rsidRPr="00B047A8">
        <w:t>, Cameroon</w:t>
      </w:r>
      <w:r w:rsidR="00A6311C">
        <w:t>.</w:t>
      </w:r>
    </w:p>
    <w:p w14:paraId="60302216" w14:textId="7B481EF4" w:rsidR="000F4AB1" w:rsidRPr="00B047A8" w:rsidRDefault="000F4AB1" w:rsidP="000F4AB1">
      <w:pPr>
        <w:pStyle w:val="AuthorAffiliation"/>
      </w:pPr>
      <w:r w:rsidRPr="00B047A8">
        <w:rPr>
          <w:vertAlign w:val="superscript"/>
        </w:rPr>
        <w:t>2</w:t>
      </w:r>
      <w:r w:rsidRPr="00B047A8">
        <w:t>Laboratory of Information</w:t>
      </w:r>
      <w:r w:rsidR="002D1C91">
        <w:t xml:space="preserve"> and Communication Technologies</w:t>
      </w:r>
      <w:r w:rsidRPr="00B047A8">
        <w:t xml:space="preserve">, Faculty of Exact and Applied Sciences of </w:t>
      </w:r>
      <w:proofErr w:type="spellStart"/>
      <w:r w:rsidRPr="00B047A8">
        <w:t>Farcha</w:t>
      </w:r>
      <w:proofErr w:type="spellEnd"/>
      <w:r w:rsidRPr="00B047A8">
        <w:t>, University of N</w:t>
      </w:r>
      <w:r w:rsidR="00215A20">
        <w:t>’</w:t>
      </w:r>
      <w:r w:rsidRPr="00B047A8">
        <w:t>djamena, N</w:t>
      </w:r>
      <w:r w:rsidR="00215A20">
        <w:t>’</w:t>
      </w:r>
      <w:r w:rsidRPr="00B047A8">
        <w:t>djamena, Chad</w:t>
      </w:r>
      <w:r w:rsidR="00A6311C">
        <w:t>.</w:t>
      </w:r>
      <w:r w:rsidRPr="00B047A8">
        <w:t xml:space="preserve"> </w:t>
      </w:r>
    </w:p>
    <w:p w14:paraId="5E05E235" w14:textId="18D85F9E" w:rsidR="003A5C85" w:rsidRPr="00B047A8" w:rsidRDefault="000F4AB1" w:rsidP="002D1C91">
      <w:pPr>
        <w:pStyle w:val="AuthorAffiliation"/>
      </w:pPr>
      <w:r w:rsidRPr="00B047A8">
        <w:rPr>
          <w:vertAlign w:val="superscript"/>
        </w:rPr>
        <w:t>3</w:t>
      </w:r>
      <w:r w:rsidRPr="00B047A8">
        <w:t>Higher Teachers</w:t>
      </w:r>
      <w:r w:rsidR="00215A20">
        <w:t>’</w:t>
      </w:r>
      <w:r w:rsidRPr="00B047A8">
        <w:t xml:space="preserve"> Training College of Bongor, University of Bongor, Chad</w:t>
      </w:r>
      <w:r w:rsidR="00A6311C">
        <w:t>.</w:t>
      </w:r>
      <w:r w:rsidR="0016385D" w:rsidRPr="00B047A8">
        <w:t xml:space="preserve"> </w:t>
      </w:r>
      <w:r w:rsidR="00345FDE" w:rsidRPr="00B047A8">
        <w:br/>
      </w:r>
      <w:r w:rsidR="0016782F" w:rsidRPr="00B047A8">
        <w:br/>
      </w:r>
      <w:r w:rsidR="00003D7C" w:rsidRPr="00B047A8">
        <w:rPr>
          <w:szCs w:val="28"/>
          <w:vertAlign w:val="superscript"/>
        </w:rPr>
        <w:t>a)</w:t>
      </w:r>
      <w:r w:rsidR="00003D7C" w:rsidRPr="00B047A8">
        <w:t xml:space="preserve"> Corresponding</w:t>
      </w:r>
      <w:r w:rsidR="004E3CB2" w:rsidRPr="00B047A8">
        <w:t xml:space="preserve"> author: </w:t>
      </w:r>
      <w:r w:rsidR="00345FDE" w:rsidRPr="002D1C91">
        <w:t>kidmokaoga@gmail.com</w:t>
      </w:r>
    </w:p>
    <w:p w14:paraId="22C3F2A8" w14:textId="346A19E6" w:rsidR="0016385D" w:rsidRPr="00B047A8" w:rsidRDefault="0016385D" w:rsidP="00C14B14">
      <w:pPr>
        <w:pStyle w:val="Abstract"/>
      </w:pPr>
      <w:r w:rsidRPr="00B047A8">
        <w:rPr>
          <w:b/>
          <w:bCs/>
        </w:rPr>
        <w:t>Abstract.</w:t>
      </w:r>
      <w:r w:rsidRPr="00B047A8">
        <w:t xml:space="preserve"> </w:t>
      </w:r>
      <w:r w:rsidR="00853DCA" w:rsidRPr="00B047A8">
        <w:t>Distribution networks suffer transformer overloads and phase imbalance, exacerbated by sparse load measurements. We propose a data-robust hybrid optimization framework that couples Biogeography-Based Optimization</w:t>
      </w:r>
      <w:r w:rsidR="004D46B6">
        <w:t xml:space="preserve"> (BBO)</w:t>
      </w:r>
      <w:r w:rsidR="00853DCA" w:rsidRPr="00B047A8">
        <w:t xml:space="preserve"> for global exploration with gradient descent for local refinement to allocate transformer loading and balance phases under uncertainty. In simulation studies, the method reduces phase imbalance by 49.99%, cuts overloaded transformers by 28.71% (from 68%), and lowers underloaded units by 10.86% (from 18%). The framework accommodates incomplete daily profiles, enhances reliability, mitigates energy losses and equipment degradation, and supports scalable deployment for grid operations. By uniting metaheuristic robustness with analytical rigor, it offers a practical pathway to extend asset lifespan, reduce maintenance costs, and improve service quality. This work establishes a foundation for data-efficient optimization in distribution systems and paves the way for adaptive, self-healing grids.</w:t>
      </w:r>
    </w:p>
    <w:p w14:paraId="5240E3FB" w14:textId="35031764" w:rsidR="003A287B" w:rsidRPr="00B047A8" w:rsidRDefault="00345FDE" w:rsidP="00003D7C">
      <w:pPr>
        <w:pStyle w:val="Heading1"/>
        <w:rPr>
          <w:b w:val="0"/>
          <w:caps w:val="0"/>
          <w:sz w:val="20"/>
        </w:rPr>
      </w:pPr>
      <w:r w:rsidRPr="00B047A8">
        <w:t>Introduction</w:t>
      </w:r>
    </w:p>
    <w:p w14:paraId="66BE211C" w14:textId="284E8C58" w:rsidR="00B77E38" w:rsidRPr="00B047A8" w:rsidRDefault="00B77E38" w:rsidP="008B0A1D">
      <w:pPr>
        <w:ind w:firstLine="284"/>
        <w:jc w:val="both"/>
        <w:rPr>
          <w:sz w:val="20"/>
        </w:rPr>
      </w:pPr>
      <w:bookmarkStart w:id="0" w:name="_Hlk209109682"/>
      <w:r w:rsidRPr="00B047A8">
        <w:rPr>
          <w:sz w:val="20"/>
        </w:rPr>
        <w:t>The optimal operation of modern electrical distribution networks hinges on effective load management and phase balancing across transformers, critical tasks increasingly challenged by data scarcity, rising demand volatility, and the integration of dist</w:t>
      </w:r>
      <w:r w:rsidR="00DD5076" w:rsidRPr="00B047A8">
        <w:rPr>
          <w:sz w:val="20"/>
        </w:rPr>
        <w:t>ributed energy resources</w:t>
      </w:r>
      <w:r w:rsidR="006445A0" w:rsidRPr="00B047A8">
        <w:rPr>
          <w:sz w:val="20"/>
        </w:rPr>
        <w:fldChar w:fldCharType="begin" w:fldLock="1"/>
      </w:r>
      <w:r w:rsidR="00F66D0F">
        <w:rPr>
          <w:sz w:val="20"/>
        </w:rPr>
        <w:instrText>ADDIN CSL_CITATION {"citationItems":[{"id":"ITEM-1","itemData":{"DOI":"10.3390/su16020698","ISSN":"20711050","abstract":"This paper provides a thorough exploration of the evolution and contemporary trends in electrical-distribution networks, with a focus on smart grids in the context of Industry 4.0. Beginning with the traditional components of electrical grids, the study highlights the transition towards sustainable energy sources and the integration of renewables. Key trends include economic operation, the application of distributed energy resources, and the significance of photovoltaic solar energy. The paper unfolds in seven sections, examining smart-electrical-network architecture, sustainable technology progression, energy efficiency, carbon-emission-reduction challenges, future perspectives, and concluding insights. Each section delves into specific layers and aspects, such as data management, electrical infrastructure, automation, and consumer interaction. The intricate role of smart meters and their impact on energy management is explored, providing a comprehensive overview of the current state and future directions of electrical-distribution networks.","author":[{"dropping-particle":"","family":"Gallegos","given":"Jimmy","non-dropping-particle":"","parse-names":false,"suffix":""},{"dropping-particle":"","family":"Arévalo","given":"Paul","non-dropping-particle":"","parse-names":false,"suffix":""},{"dropping-particle":"","family":"Montaleza","given":"Christian","non-dropping-particle":"","parse-names":false,"suffix":""},{"dropping-particle":"","family":"Jurado","given":"Francisco","non-dropping-particle":"","parse-names":false,"suffix":""}],"container-title":"Sustainability (Switzerland)","id":"ITEM-1","issue":"2","issued":{"date-parts":[["2024"]]},"title":"Sustainable Electrification—Advances and Challenges in Electrical-Distribution Networks: A Review","type":"article","volume":"16"},"uris":["http://www.mendeley.com/documents/?uuid=7f46bacd-b55e-3591-a381-93af48c5cfe4"]}],"mendeley":{"formattedCitation":"&lt;sup&gt;1&lt;/sup&gt;","plainTextFormattedCitation":"1","previouslyFormattedCitation":"[1]"},"properties":{"noteIndex":0},"schema":"https://github.com/citation-style-language/schema/raw/master/csl-citation.json"}</w:instrText>
      </w:r>
      <w:r w:rsidR="006445A0" w:rsidRPr="00B047A8">
        <w:rPr>
          <w:sz w:val="20"/>
        </w:rPr>
        <w:fldChar w:fldCharType="separate"/>
      </w:r>
      <w:r w:rsidR="00F66D0F" w:rsidRPr="00F66D0F">
        <w:rPr>
          <w:noProof/>
          <w:sz w:val="20"/>
          <w:vertAlign w:val="superscript"/>
        </w:rPr>
        <w:t>1</w:t>
      </w:r>
      <w:r w:rsidR="006445A0" w:rsidRPr="00B047A8">
        <w:rPr>
          <w:sz w:val="20"/>
        </w:rPr>
        <w:fldChar w:fldCharType="end"/>
      </w:r>
      <w:r w:rsidRPr="00B047A8">
        <w:rPr>
          <w:sz w:val="20"/>
        </w:rPr>
        <w:t>. Transformer overloads and phase imbalances remain persistent issues, leading to excessive energy losses, accelerated equipment degradation, and heightened risk of system instability</w:t>
      </w:r>
      <w:r w:rsidR="006445A0" w:rsidRPr="00B047A8">
        <w:rPr>
          <w:sz w:val="20"/>
        </w:rPr>
        <w:fldChar w:fldCharType="begin" w:fldLock="1"/>
      </w:r>
      <w:r w:rsidR="00F66D0F">
        <w:rPr>
          <w:sz w:val="20"/>
        </w:rPr>
        <w:instrText>ADDIN CSL_CITATION {"citationItems":[{"id":"ITEM-1","itemData":{"DOI":"10.1007/978-981-15-7511-2_3","ISSN":"18761119","abstract":"The derating of the Power transformer is important and essential to analyse the impact on the connected power system. When the tank temperature increases, the load on the transformer has to be reduced to maintain constant top oil temperature inside the tank. However, tank temperature is also affected by atmospheric temperature and wind speed which vary dynamically. This paper introduces a new simplified approach to determine the derating factor and the consequent probability of expected loss of load (LOLE) supplied by the transformer. New convoluted forecasting mechanisms for estimating atmospheric temperature and wind speed were proposed one day in advance and authenticated by MOSDAC (India) with actual weather data collected. Such forecasted values are used to measure the temperature of the transformer tank at which the derating factor is estimated. The proposed approach has been tested on a 100 MVA transformer to demonstrate its effectiveness.","author":[{"dropping-particle":"","family":"Bharath Kumar","given":"T.","non-dropping-particle":"","parse-names":false,"suffix":""},{"dropping-particle":"","family":"Ramamoorty","given":"M.","non-dropping-particle":"","parse-names":false,"suffix":""}],"container-title":"Lecture Notes in Electrical Engineering","id":"ITEM-1","issued":{"date-parts":[["2021"]]},"title":"Effect of Loss of Load Probability Due to Power Transformer Derating Factor on Smart Grid Reliability","type":"paper-conference","volume":"691"},"uris":["http://www.mendeley.com/documents/?uuid=058df710-7ee3-344b-aabc-a2c08569b97d"]}],"mendeley":{"formattedCitation":"&lt;sup&gt;2&lt;/sup&gt;","plainTextFormattedCitation":"2","previouslyFormattedCitation":"[2]"},"properties":{"noteIndex":0},"schema":"https://github.com/citation-style-language/schema/raw/master/csl-citation.json"}</w:instrText>
      </w:r>
      <w:r w:rsidR="006445A0" w:rsidRPr="00B047A8">
        <w:rPr>
          <w:sz w:val="20"/>
        </w:rPr>
        <w:fldChar w:fldCharType="separate"/>
      </w:r>
      <w:r w:rsidR="00F66D0F" w:rsidRPr="00F66D0F">
        <w:rPr>
          <w:noProof/>
          <w:sz w:val="20"/>
          <w:vertAlign w:val="superscript"/>
        </w:rPr>
        <w:t>2</w:t>
      </w:r>
      <w:r w:rsidR="006445A0" w:rsidRPr="00B047A8">
        <w:rPr>
          <w:sz w:val="20"/>
        </w:rPr>
        <w:fldChar w:fldCharType="end"/>
      </w:r>
      <w:r w:rsidRPr="00B047A8">
        <w:rPr>
          <w:sz w:val="20"/>
        </w:rPr>
        <w:t>. These problems are particularly acute in looped or closed-loop distribution topologies, where chaotic load connections and incomplete metering data impede accurate load profiling and proactive asset management</w:t>
      </w:r>
      <w:r w:rsidR="006445A0" w:rsidRPr="00B047A8">
        <w:rPr>
          <w:sz w:val="20"/>
        </w:rPr>
        <w:fldChar w:fldCharType="begin" w:fldLock="1"/>
      </w:r>
      <w:r w:rsidR="00F66D0F">
        <w:rPr>
          <w:sz w:val="20"/>
        </w:rPr>
        <w:instrText>ADDIN CSL_CITATION {"citationItems":[{"id":"ITEM-1","itemData":{"DOI":"10.3390/en16165974","ISSN":"19961073","abstract":"Distributed generators (DGs) have a high penetration rate in distribution networks (DNs). Understanding their impact on a DN is essential for achieving optimal power flow (OPF). Various DG models, such as stochastic and forecasting models, have been established and are used for OPF. While conventional OPF aims to minimize operational costs or power loss, the “Dual-Carbon” target has led to the inclusion of carbon emission reduction objectives. Additionally, state-of-the-art optimization techniques such as machine learning (ML) are being employed for OPF. However, most current research focuses on optimization methods rather than the problem formulation of the OPF. The purpose of this paper is to provide a comprehensive understanding of the OPF problem and to propose potential solutions. By delving into the problem formulation and different optimization techniques, selecting appropriate solutions for real-world OPF problems becomes easier. Furthermore, this paper provides a comprehensive overview of prospective advancements and conducts a comparative analysis of the diverse methodologies employed in the field of optimal power flow (OPF). While mathematical methods provide accurate solutions, their complexity may pose challenges. On the other hand, heuristic algorithms exhibit robustness but may not ensure global optimality. Additionally, machine learning techniques exhibit proficiency in processing extensive datasets, yet they necessitate substantial data and may have limited interpretability. Finally, this paper concludes by presenting prospects for future research directions in OPF, including expanding upon the uncertain nature of DGs, the integration of power markets, and distributed optimization. The main objective of this review is to provide a comprehensive understanding of the impact of DGs in DN on OPF. The article aims to explore the problem formulation of OPF and to propose potential solutions. By gaining in-depth insight into the problem formulation and different optimization techniques, optimal and sustainable power flow in a distribution network can be achieved, leading to a more efficient, reliable, and cost-effective power system. This offers tremendous benefits to both researchers and practitioners seeking to optimize power system operations.","author":[{"dropping-particle":"","family":"Yang","given":"Cheng","non-dropping-particle":"","parse-names":false,"suffix":""},{"dropping-particle":"","family":"Sun","given":"Yupeng","non-dropping-particle":"","parse-names":false,"suffix":""},{"dropping-particle":"","family":"Zou","given":"Yujie","non-dropping-particle":"","parse-names":false,"suffix":""},{"dropping-particle":"","family":"Zheng","given":"Fei","non-dropping-particle":"","parse-names":false,"suffix":""},{"dropping-particle":"","family":"Liu","given":"Shuangyu","non-dropping-particle":"","parse-names":false,"suffix":""},{"dropping-particle":"","family":"Zhao","given":"Bochao","non-dropping-particle":"","parse-names":false,"suffix":""},{"dropping-particle":"","family":"Wu","given":"Ming","non-dropping-particle":"","parse-names":false,"suffix":""},{"dropping-particle":"","family":"Cui","given":"Haoyang","non-dropping-particle":"","parse-names":false,"suffix":""}],"container-title":"Energies","id":"ITEM-1","issue":"16","issued":{"date-parts":[["2023"]]},"page":"1-42","title":"Optimal Power Flow in Distribution Network: A Review on Problem Formulation and Optimization Methods †","type":"article-journal","volume":"16"},"uris":["http://www.mendeley.com/documents/?uuid=b61c2a67-bc00-4a70-9eee-aa649219764d"]}],"mendeley":{"formattedCitation":"&lt;sup&gt;3&lt;/sup&gt;","plainTextFormattedCitation":"3","previouslyFormattedCitation":"[3]"},"properties":{"noteIndex":0},"schema":"https://github.com/citation-style-language/schema/raw/master/csl-citation.json"}</w:instrText>
      </w:r>
      <w:r w:rsidR="006445A0" w:rsidRPr="00B047A8">
        <w:rPr>
          <w:sz w:val="20"/>
        </w:rPr>
        <w:fldChar w:fldCharType="separate"/>
      </w:r>
      <w:r w:rsidR="00F66D0F" w:rsidRPr="00F66D0F">
        <w:rPr>
          <w:noProof/>
          <w:sz w:val="20"/>
          <w:vertAlign w:val="superscript"/>
        </w:rPr>
        <w:t>3</w:t>
      </w:r>
      <w:r w:rsidR="006445A0" w:rsidRPr="00B047A8">
        <w:rPr>
          <w:sz w:val="20"/>
        </w:rPr>
        <w:fldChar w:fldCharType="end"/>
      </w:r>
      <w:r w:rsidRPr="00B047A8">
        <w:rPr>
          <w:sz w:val="20"/>
        </w:rPr>
        <w:t>. In such contexts, improper phase allocation can trigger recurrent fuse failures, frequent outages, and premature transformer failures, with replacement costs exceeding 10-20 million CFA francs per unit and most units rendered irreparable post-failure</w:t>
      </w:r>
      <w:r w:rsidR="006445A0" w:rsidRPr="00B047A8">
        <w:rPr>
          <w:sz w:val="20"/>
        </w:rPr>
        <w:fldChar w:fldCharType="begin" w:fldLock="1"/>
      </w:r>
      <w:r w:rsidR="00F66D0F">
        <w:rPr>
          <w:sz w:val="20"/>
        </w:rPr>
        <w:instrText>ADDIN CSL_CITATION {"citationItems":[{"id":"ITEM-1","itemData":{"DOI":"10.3390/su15097279","ISSN":"20711050","abstract":"This article provides a comprehensive review of optimal relay coordination (ORC) in distribution networks (DNs) that include distributed generators (DGs). The integration of DGs into DNs has become a real challenge for power system protection, as the power flow changes from unidirectional to bidirectional, which complicates the relay settings. The introduction of DGs in DNs requires changes and modifications in the protective schemes to maintain proper operation, reliability, stability, and security of the system. This paper focuses on the impacts of DGs penetration into DNs, including the effects on protective scheme coordination. Various expressions for characterizing the overcurrent (OC) coordination problem, as well as related solution attempts, are discussed. Several optimization strategies and techniques are suggested by scientists to deal with coordination optimization problems aiming to achieve less computation time and better accuracy. All these efforts ultimately aim to define optimal relay settings to achieve ORC by generating the optimal setting of cascading relative OC relays. This comprehensive review provides a broad overview of the contributions of scholars in recent publications in this field, with more than 210 articles reviewed and analyzed. It is a valuable resource for other researchers in the same field who aim to tackle ORC problems in their future endeavors.","author":[{"dropping-particle":"","family":"Agwa","given":"Ahmed M.","non-dropping-particle":"","parse-names":false,"suffix":""},{"dropping-particle":"","family":"El-Fergany","given":"Attia A.","non-dropping-particle":"","parse-names":false,"suffix":""}],"container-title":"Sustainability (Switzerland)","id":"ITEM-1","issue":"9","issued":{"date-parts":[["2023"]]},"title":"Protective Relaying Coordination in Power Systems Comprising Renewable Sources: Challenges and Future Insights","type":"article","volume":"15"},"uris":["http://www.mendeley.com/documents/?uuid=f4404e9c-6b2e-39d6-a1fc-a2d9a96d636e"]}],"mendeley":{"formattedCitation":"&lt;sup&gt;4&lt;/sup&gt;","plainTextFormattedCitation":"4","previouslyFormattedCitation":"[4]"},"properties":{"noteIndex":0},"schema":"https://github.com/citation-style-language/schema/raw/master/csl-citation.json"}</w:instrText>
      </w:r>
      <w:r w:rsidR="006445A0" w:rsidRPr="00B047A8">
        <w:rPr>
          <w:sz w:val="20"/>
        </w:rPr>
        <w:fldChar w:fldCharType="separate"/>
      </w:r>
      <w:r w:rsidR="00F66D0F" w:rsidRPr="00F66D0F">
        <w:rPr>
          <w:noProof/>
          <w:sz w:val="20"/>
          <w:vertAlign w:val="superscript"/>
        </w:rPr>
        <w:t>4</w:t>
      </w:r>
      <w:r w:rsidR="006445A0" w:rsidRPr="00B047A8">
        <w:rPr>
          <w:sz w:val="20"/>
        </w:rPr>
        <w:fldChar w:fldCharType="end"/>
      </w:r>
      <w:r w:rsidRPr="00B047A8">
        <w:rPr>
          <w:sz w:val="20"/>
        </w:rPr>
        <w:t>. Yet, when operated within nominal limits, transformers can reliably serve for over 30 years</w:t>
      </w:r>
      <w:r w:rsidR="006445A0" w:rsidRPr="00B047A8">
        <w:rPr>
          <w:sz w:val="20"/>
        </w:rPr>
        <w:fldChar w:fldCharType="begin" w:fldLock="1"/>
      </w:r>
      <w:r w:rsidR="00F66D0F">
        <w:rPr>
          <w:sz w:val="20"/>
        </w:rPr>
        <w:instrText>ADDIN CSL_CITATION {"citationItems":[{"id":"ITEM-1","itemData":{"DOI":"10.3390/en16124626","ISSN":"19961073","abstract":"Transformer efficiency is a key concern for both transformer operators and regulators, particularly with regards to new transformers. Cooling is a critical factor in preventing overheating and controlling the ageing of transformer insulation. This paper aims to analyse how different cooling setups can influence efficiency. Transformer losses depend on the winding temperature, which is affected by load, ambient temperature, and cooling power. In this study, we will take all of these factors into consideration to examine their impact on transformer losses. Using a 520 MVA transformer as an example, we will calculate the loss levels under different realistic ambient temperature and load profiles. We will also apply different cooling system settings to determine the optimization possibilities. Our calculations will consider different turn-on temperatures of the fans and cooling stages and will use steady state calculations over a period of 12 months. Additionally, a novel approach to control cooling by using the loading of the transformer is present, as are the possibilities of using variable speed fans. Finally, we will estimate the influence of cooling settings on transformer ageing by examining their impact on temperature.","author":[{"dropping-particle":"","family":"Janic","given":"Zarko","non-dropping-particle":"","parse-names":false,"suffix":""},{"dropping-particle":"","family":"Gavrilov","given":"Nebojsa","non-dropping-particle":"","parse-names":false,"suffix":""},{"dropping-particle":"","family":"Roketinec","given":"Ivica","non-dropping-particle":"","parse-names":false,"suffix":""}],"container-title":"Energies","id":"ITEM-1","issue":"12","issued":{"date-parts":[["2023"]]},"title":"Influence of Cooling Management to Transformer Efficiency and Ageing","type":"article-journal","volume":"16"},"uris":["http://www.mendeley.com/documents/?uuid=9fca6cad-6f8a-3dd4-82e9-bb34a83b1757"]}],"mendeley":{"formattedCitation":"&lt;sup&gt;5&lt;/sup&gt;","plainTextFormattedCitation":"5","previouslyFormattedCitation":"[5]"},"properties":{"noteIndex":0},"schema":"https://github.com/citation-style-language/schema/raw/master/csl-citation.json"}</w:instrText>
      </w:r>
      <w:r w:rsidR="006445A0" w:rsidRPr="00B047A8">
        <w:rPr>
          <w:sz w:val="20"/>
        </w:rPr>
        <w:fldChar w:fldCharType="separate"/>
      </w:r>
      <w:r w:rsidR="00F66D0F" w:rsidRPr="00F66D0F">
        <w:rPr>
          <w:noProof/>
          <w:sz w:val="20"/>
          <w:vertAlign w:val="superscript"/>
        </w:rPr>
        <w:t>5</w:t>
      </w:r>
      <w:r w:rsidR="006445A0" w:rsidRPr="00B047A8">
        <w:rPr>
          <w:sz w:val="20"/>
        </w:rPr>
        <w:fldChar w:fldCharType="end"/>
      </w:r>
      <w:r w:rsidRPr="00B047A8">
        <w:rPr>
          <w:sz w:val="20"/>
        </w:rPr>
        <w:t>, underscoring the economic and operational value of precision load optimization.</w:t>
      </w:r>
    </w:p>
    <w:p w14:paraId="27091FCA" w14:textId="08CE81A0" w:rsidR="00B77E38" w:rsidRPr="00B047A8" w:rsidRDefault="00B77E38" w:rsidP="008B0A1D">
      <w:pPr>
        <w:ind w:firstLine="284"/>
        <w:jc w:val="both"/>
        <w:rPr>
          <w:sz w:val="20"/>
        </w:rPr>
      </w:pPr>
      <w:r w:rsidRPr="00B047A8">
        <w:rPr>
          <w:sz w:val="20"/>
        </w:rPr>
        <w:t>To mitigate these challenges, utilities and researchers have explored a range of strategies, from passive design techniques like star-connected secondary windings and neutral conductor sizing</w:t>
      </w:r>
      <w:r w:rsidR="006445A0" w:rsidRPr="00B047A8">
        <w:rPr>
          <w:sz w:val="20"/>
        </w:rPr>
        <w:fldChar w:fldCharType="begin" w:fldLock="1"/>
      </w:r>
      <w:r w:rsidR="00F66D0F">
        <w:rPr>
          <w:sz w:val="20"/>
        </w:rPr>
        <w:instrText>ADDIN CSL_CITATION {"citationItems":[{"id":"ITEM-1","itemData":{"DOI":"10.1016/j.epsr.2022.109014","ISSN":"03787796","abstract":"The expressions of the powers that measure the effects of the energies manifested by the deterioration of the neutral conductor in low-voltage distribution networks are developed in this paper with the name of neutral-displacement powers. The expressions of these powers have been obtained by applying the Principle of Energy Conservation to the entire three-phase system and the use of Buchholz's apparent source and load powers. Contrary to the traditional apparent powers of the neutral conductor, these new powers are not affected by the neutral currents and, therefore, their expressions can be applied to analyze the effects of the neutral conductor even though this conductor has been accidentally broken or disconnected. In the application example, based on the three-phase distribution network of a real industrial estate, it has been verified that the neutral-displacement powers reach a maximum value when the neutral conductor has been broken, while the traditional apparent powers of the neutral conductor are worth zero under those conditions. This result confirms that the neutral-displacement powers are more adequate quantities than the traditional ones to measure the impact that the deterioration and disconnection of the neutral conductor can cause in three-phase distribution networks.","author":[{"dropping-particle":"","family":"López","given":"Elisa Peñalvo","non-dropping-particle":"","parse-names":false,"suffix":""},{"dropping-particle":"","family":"Vinet","given":"Amparo León","non-dropping-particle":"","parse-names":false,"suffix":""},{"dropping-particle":"","family":"Martínez","given":"Vicente León","non-dropping-particle":"","parse-names":false,"suffix":""},{"dropping-particle":"","family":"Romeu","given":"Joaquín Montañana","non-dropping-particle":"","parse-names":false,"suffix":""},{"dropping-particle":"","family":"Salazar","given":"Iván Valencia","non-dropping-particle":"","parse-names":false,"suffix":""}],"container-title":"Electric Power Systems Research","id":"ITEM-1","issued":{"date-parts":[["2023"]]},"title":"Measurement of power effects caused by the deterioration of the neutral conductor in three-phase distribution networks","type":"article-journal","volume":"215"},"uris":["http://www.mendeley.com/documents/?uuid=776ce1d6-18e5-33b4-8ed8-38645019cb06"]}],"mendeley":{"formattedCitation":"&lt;sup&gt;6&lt;/sup&gt;","plainTextFormattedCitation":"6","previouslyFormattedCitation":"[6]"},"properties":{"noteIndex":0},"schema":"https://github.com/citation-style-language/schema/raw/master/csl-citation.json"}</w:instrText>
      </w:r>
      <w:r w:rsidR="006445A0" w:rsidRPr="00B047A8">
        <w:rPr>
          <w:sz w:val="20"/>
        </w:rPr>
        <w:fldChar w:fldCharType="separate"/>
      </w:r>
      <w:r w:rsidR="00F66D0F" w:rsidRPr="00F66D0F">
        <w:rPr>
          <w:noProof/>
          <w:sz w:val="20"/>
          <w:vertAlign w:val="superscript"/>
        </w:rPr>
        <w:t>6</w:t>
      </w:r>
      <w:r w:rsidR="006445A0" w:rsidRPr="00B047A8">
        <w:rPr>
          <w:sz w:val="20"/>
        </w:rPr>
        <w:fldChar w:fldCharType="end"/>
      </w:r>
      <w:r w:rsidR="00DD5076" w:rsidRPr="00B047A8">
        <w:rPr>
          <w:sz w:val="20"/>
        </w:rPr>
        <w:t xml:space="preserve"> </w:t>
      </w:r>
      <w:r w:rsidRPr="00B047A8">
        <w:rPr>
          <w:sz w:val="20"/>
        </w:rPr>
        <w:t>to active management via load spreading and dynamic reconfiguration</w:t>
      </w:r>
      <w:r w:rsidR="00EB446F" w:rsidRPr="00B047A8">
        <w:rPr>
          <w:sz w:val="20"/>
        </w:rPr>
        <w:fldChar w:fldCharType="begin" w:fldLock="1"/>
      </w:r>
      <w:r w:rsidR="00F66D0F">
        <w:rPr>
          <w:sz w:val="20"/>
        </w:rPr>
        <w:instrText>ADDIN CSL_CITATION {"citationItems":[{"id":"ITEM-1","itemData":{"ISSN":"18173195","abstract":"The challenges of the existing industry to remain competitive have prompted the exploration of novel techniques that increase production, lessen waste, and enhance efficiency. The term \"Industry 4.0\" describes a new way of thinking about how technology might be used in manufacturing, mainly related to the Internet of Things (IoT), Big Data, and Cyber-Physical Systems (CPS). One of the main objectives of this fourth industrial revolution is the complete digitalization of the manufacturing chain in order to realize the interconnection of people, machines and devices. In light of this revolution, the investigation of an automatic balancing system (ABS) is something that interests us. In fact, an ABS is utilized to monitor and control three-phase loads in real time. The objective of this paper is to propose and implement a relay-based automatic balancing system using single-board computers (SBCs) as the main element to control the system operations, where sensors measure parameters like current, voltage, power, etc., in a three-phase load. The proposed system is capable of balancing the three-phase load by automatically switching the load phases between them, thus avoiding unbalanced load operation and the resulting problems.","author":[{"dropping-particle":"","family":"Zerguit","given":"Youssef","non-dropping-particle":"","parse-names":false,"suffix":""},{"dropping-particle":"","family":"Hammoudi","given":"Younes","non-dropping-particle":"","parse-names":false,"suffix":""},{"dropping-particle":"","family":"Idrissi","given":"Idriss","non-dropping-particle":"","parse-names":false,"suffix":""},{"dropping-particle":"","family":"Derrhi","given":"Mostafa","non-dropping-particle":"","parse-names":false,"suffix":""}],"container-title":"Journal of Theoretical and Applied Information Technology","id":"ITEM-1","issue":"5","issued":{"date-parts":[["2023"]]},"title":"A RELAY-BASED AUTOMATIC BALANCING SYSTEM FOR THREE-PHASE LOADS IN INDUSTRY 4.0","type":"article-journal","volume":"101"},"uris":["http://www.mendeley.com/documents/?uuid=e4173bb5-043e-32c8-8a6b-4e9a4822aa46"]}],"mendeley":{"formattedCitation":"&lt;sup&gt;7&lt;/sup&gt;","plainTextFormattedCitation":"7","previouslyFormattedCitation":"[7]"},"properties":{"noteIndex":0},"schema":"https://github.com/citation-style-language/schema/raw/master/csl-citation.json"}</w:instrText>
      </w:r>
      <w:r w:rsidR="00EB446F" w:rsidRPr="00B047A8">
        <w:rPr>
          <w:sz w:val="20"/>
        </w:rPr>
        <w:fldChar w:fldCharType="separate"/>
      </w:r>
      <w:r w:rsidR="00F66D0F" w:rsidRPr="00F66D0F">
        <w:rPr>
          <w:noProof/>
          <w:sz w:val="20"/>
          <w:vertAlign w:val="superscript"/>
        </w:rPr>
        <w:t>7</w:t>
      </w:r>
      <w:r w:rsidR="00EB446F" w:rsidRPr="00B047A8">
        <w:rPr>
          <w:sz w:val="20"/>
        </w:rPr>
        <w:fldChar w:fldCharType="end"/>
      </w:r>
      <w:r w:rsidRPr="00B047A8">
        <w:rPr>
          <w:sz w:val="20"/>
        </w:rPr>
        <w:t>. Advanced computational methods have also been deployed, including probabilistic frameworks such as Monte Carlo simulations, fuzzy logic, and risk-based transformer loading models that account for ambient temperature and load variability</w:t>
      </w:r>
      <w:r w:rsidR="00EB446F" w:rsidRPr="00B047A8">
        <w:rPr>
          <w:sz w:val="20"/>
        </w:rPr>
        <w:fldChar w:fldCharType="begin" w:fldLock="1"/>
      </w:r>
      <w:r w:rsidR="00F66D0F">
        <w:rPr>
          <w:sz w:val="20"/>
        </w:rPr>
        <w:instrText>ADDIN CSL_CITATION {"citationItems":[{"id":"ITEM-1","itemData":{"DOI":"10.26418/telectrical.v1i3.73899","abstract":"A continuously operating transformer will inevitably undergo a temperature rise, with the iron core and copper coil as the primary sources of heat generation. The maximum temperature occurring in these components, also known as the hottest spot temperature, is the hottest point. It is essential to maintain a regular flow of temperature within safe limits to prevent any damage. The objective of this study is to estimate the remaining life of the distribution transformer at Tanjungpura University by analyzing its life shrinkage under JTM 20 kV's ambient temperature and loading conditions. To achieve this, transformer loading and top oil temperature were measured for one week. The Montsinger equation was utilized for calculating the transformer aging rate, while a service life of 20 years was assumed as per IEC 60354. Based on findings from research conducted at 4 locations, it was observed that the transformer experiences varying loads with temperature increases exclusively on weekdays from Monday to Friday. The age shrinkage values for each transformer were as follows: 0.0728 p.u, 0.0493 p.u, 0.0044 p.u, and 0.0043 p.u. Considering these research outcomes, the estimated remaining lifespan of the Tanjungpura University distribution transformer is long, and the transformer is in good condition.","author":[{"dropping-particle":"","family":"Dupis","given":"Pinsensius","non-dropping-particle":"","parse-names":false,"suffix":""},{"dropping-particle":"","family":"Gianto","given":"Rudi","non-dropping-particle":"","parse-names":false,"suffix":""},{"dropping-particle":"","family":"Junaidi","given":"Junaidi","non-dropping-particle":"","parse-names":false,"suffix":""}],"container-title":"Telecommunications, Computers, and Electricals Engineering Journal","id":"ITEM-1","issue":"3","issued":{"date-parts":[["2024"]]},"title":"DISTRIBUTION TRANSFORMER LIFE LOSS ANALYSIS ON JTM 20 KV DUE TO AMBIENT TEMPERATURE AND LOADING","type":"article-journal","volume":"1"},"uris":["http://www.mendeley.com/documents/?uuid=fce25a77-f2ed-38ce-82e6-2eda1cffdf3c"]}],"mendeley":{"formattedCitation":"&lt;sup&gt;8&lt;/sup&gt;","plainTextFormattedCitation":"8","previouslyFormattedCitation":"[8]"},"properties":{"noteIndex":0},"schema":"https://github.com/citation-style-language/schema/raw/master/csl-citation.json"}</w:instrText>
      </w:r>
      <w:r w:rsidR="00EB446F" w:rsidRPr="00B047A8">
        <w:rPr>
          <w:sz w:val="20"/>
        </w:rPr>
        <w:fldChar w:fldCharType="separate"/>
      </w:r>
      <w:r w:rsidR="00F66D0F" w:rsidRPr="00F66D0F">
        <w:rPr>
          <w:noProof/>
          <w:sz w:val="20"/>
          <w:vertAlign w:val="superscript"/>
        </w:rPr>
        <w:t>8</w:t>
      </w:r>
      <w:r w:rsidR="00EB446F" w:rsidRPr="00B047A8">
        <w:rPr>
          <w:sz w:val="20"/>
        </w:rPr>
        <w:fldChar w:fldCharType="end"/>
      </w:r>
      <w:r w:rsidRPr="00B047A8">
        <w:rPr>
          <w:sz w:val="20"/>
        </w:rPr>
        <w:t>. Optimization-based approaches for transformer siting, sizing, and load-center alignment have further demonstrated cost and efficiency gains in rural and radial networks</w:t>
      </w:r>
      <w:r w:rsidR="00EB446F" w:rsidRPr="00B047A8">
        <w:rPr>
          <w:sz w:val="20"/>
        </w:rPr>
        <w:fldChar w:fldCharType="begin" w:fldLock="1"/>
      </w:r>
      <w:r w:rsidR="00F66D0F">
        <w:rPr>
          <w:sz w:val="20"/>
        </w:rPr>
        <w:instrText>ADDIN CSL_CITATION {"citationItems":[{"id":"ITEM-1","itemData":{"DOI":"10.1016/j.mex.2020.101089","ISSN":"22150161","abstract":"Transformer is the most important equipment used in power system. It's ensure network stability and reliability. Transformer fails over time due to several factors such as overload, poor insulation, cellulose deterioration, poor dielectric strength of the oil etc. However, transformer owners are finding it difficult to monitor the performance of distribution transformers (DT) in their place of application which results to system failure. Analyses of this distribution transformer performance required that distribution transformer be put on-load and the secondary terminals link to Power Quality and Energy Analyzer equipment (Fluke 435 Series II). This paper presents a methodology of carrying out experimental set up of on-load reliability measurements of the two distribution transformers, 500 kVA and 300 kVA, 11/0.415 kV as case study. Recommendations for the operations and maintenance engineers in charge to comply are discussed. This approach using the prescribed power quality equipment gives a reliable experimental method of evaluating the performance of distribution transformers. • Maintaining the selected distribution transformer on – load prior to and during the experiment. • The setting of experimental circuit to determine the operational parameters involving DT connection to Power Quality and Energy Analyzer (PQEA) equipment. • It utilize personal computer to download the measured parameters for graphical and statistics analysis.","author":[{"dropping-particle":"","family":"Adesina","given":"Lambe Mutalub","non-dropping-particle":"","parse-names":false,"suffix":""},{"dropping-particle":"","family":"Abdulkareem","given":"Ademola","non-dropping-particle":"","parse-names":false,"suffix":""},{"dropping-particle":"","family":"Ogunbiyi","given":"Olalekan","non-dropping-particle":"","parse-names":false,"suffix":""},{"dropping-particle":"","family":"Ibrahim","given":"Oladimeji","non-dropping-particle":"","parse-names":false,"suffix":""}],"container-title":"MethodsX","id":"ITEM-1","issued":{"date-parts":[["2020"]]},"title":"On-load measurement method for the reliability of distribution transformers","type":"article-journal","volume":"7"},"uris":["http://www.mendeley.com/documents/?uuid=8fcc9bdf-8c45-37a5-82c5-942cadefc5d2"]}],"mendeley":{"formattedCitation":"&lt;sup&gt;9&lt;/sup&gt;","plainTextFormattedCitation":"9","previouslyFormattedCitation":"[9]"},"properties":{"noteIndex":0},"schema":"https://github.com/citation-style-language/schema/raw/master/csl-citation.json"}</w:instrText>
      </w:r>
      <w:r w:rsidR="00EB446F" w:rsidRPr="00B047A8">
        <w:rPr>
          <w:sz w:val="20"/>
        </w:rPr>
        <w:fldChar w:fldCharType="separate"/>
      </w:r>
      <w:r w:rsidR="00F66D0F" w:rsidRPr="00F66D0F">
        <w:rPr>
          <w:noProof/>
          <w:sz w:val="20"/>
          <w:vertAlign w:val="superscript"/>
        </w:rPr>
        <w:t>9</w:t>
      </w:r>
      <w:r w:rsidR="00EB446F" w:rsidRPr="00B047A8">
        <w:rPr>
          <w:sz w:val="20"/>
        </w:rPr>
        <w:fldChar w:fldCharType="end"/>
      </w:r>
      <w:r w:rsidRPr="00B047A8">
        <w:rPr>
          <w:sz w:val="20"/>
        </w:rPr>
        <w:t>. Meanwhile, real-time monitoring innovations, such as online error detection in Capacitor Voltage Transformers (CVTs) have enhanced measurement fidelity and fault diagnostics</w:t>
      </w:r>
      <w:r w:rsidR="005E7CCE" w:rsidRPr="00B047A8">
        <w:rPr>
          <w:sz w:val="20"/>
        </w:rPr>
        <w:fldChar w:fldCharType="begin" w:fldLock="1"/>
      </w:r>
      <w:r w:rsidR="00F66D0F">
        <w:rPr>
          <w:sz w:val="20"/>
        </w:rPr>
        <w:instrText>ADDIN CSL_CITATION {"citationItems":[{"id":"ITEM-1","itemData":{"DOI":"10.1063/5.0176186","ISSN":"10897623","abstract":"The measurement error of capacitor voltage transformers (CVTs) has poor stability under the complex environment of substations. Conventionally, error detection is performed by regularly comparing the output of standard transformers, which lacks real-time performance. Moreover, CVTs are prone to operating in an out-of-tolerance state. Thus, this study first analyzes the basic principle of the CVT measurement error self-detection method based on principal component analysis under the constraints of three-phase symmetrical operating characteristics of a power system. Then, the impact of the signal conversion error of analog-to-digital conversion equipment on the self-detection results of CVT measurement errors in engineering applications is analyzed, and a multi-layer wavelet analysis signal denoising method is proposed to enhance the self-detection ability of CVT measurement errors. Finally, simulations show that the proposed method can identify an error change of 0.1%, meeting the self-detection requirements for the measurement error at 0.2 class.","author":[{"dropping-particle":"","family":"Zhu","given":"Zhang","non-dropping-particle":"","parse-names":false,"suffix":""},{"dropping-particle":"","family":"Heng","given":"Lu","non-dropping-particle":"","parse-names":false,"suffix":""},{"dropping-particle":"","family":"Binbin","given":"Li","non-dropping-particle":"","parse-names":false,"suffix":""}],"container-title":"Review of Scientific Instruments","id":"ITEM-1","issue":"1","issued":{"date-parts":[["2024"]]},"title":"Self-detection method for measurement error of capacitor voltage transformer considering conversion error","type":"article-journal","volume":"95"},"uris":["http://www.mendeley.com/documents/?uuid=6fa501f8-4c8d-371a-83e2-63fa8a801904"]}],"mendeley":{"formattedCitation":"&lt;sup&gt;10&lt;/sup&gt;","plainTextFormattedCitation":"10","previouslyFormattedCitation":"[10]"},"properties":{"noteIndex":0},"schema":"https://github.com/citation-style-language/schema/raw/master/csl-citation.json"}</w:instrText>
      </w:r>
      <w:r w:rsidR="005E7CCE" w:rsidRPr="00B047A8">
        <w:rPr>
          <w:sz w:val="20"/>
        </w:rPr>
        <w:fldChar w:fldCharType="separate"/>
      </w:r>
      <w:r w:rsidR="00F66D0F" w:rsidRPr="00F66D0F">
        <w:rPr>
          <w:noProof/>
          <w:sz w:val="20"/>
          <w:vertAlign w:val="superscript"/>
        </w:rPr>
        <w:t>10</w:t>
      </w:r>
      <w:r w:rsidR="005E7CCE" w:rsidRPr="00B047A8">
        <w:rPr>
          <w:sz w:val="20"/>
        </w:rPr>
        <w:fldChar w:fldCharType="end"/>
      </w:r>
      <w:r w:rsidRPr="00B047A8">
        <w:rPr>
          <w:sz w:val="20"/>
        </w:rPr>
        <w:t>.</w:t>
      </w:r>
    </w:p>
    <w:p w14:paraId="5F136CB9" w14:textId="021FD1E8" w:rsidR="008B0A1D" w:rsidRDefault="00B77E38" w:rsidP="008B0A1D">
      <w:pPr>
        <w:ind w:firstLine="284"/>
        <w:jc w:val="both"/>
        <w:rPr>
          <w:sz w:val="20"/>
        </w:rPr>
      </w:pPr>
      <w:r w:rsidRPr="00B047A8">
        <w:rPr>
          <w:sz w:val="20"/>
        </w:rPr>
        <w:t>Despite these advances, a critical gap persists: the simultaneous optimization of transformer loading and three-phase balancing under conditions of incomplete or uncertain load data, especially in looped networks where phase assignment is non-trivial</w:t>
      </w:r>
      <w:r w:rsidR="005E7CCE" w:rsidRPr="00B047A8">
        <w:rPr>
          <w:sz w:val="20"/>
        </w:rPr>
        <w:fldChar w:fldCharType="begin" w:fldLock="1"/>
      </w:r>
      <w:r w:rsidR="00F66D0F">
        <w:rPr>
          <w:sz w:val="20"/>
        </w:rPr>
        <w:instrText>ADDIN CSL_CITATION {"citationItems":[{"id":"ITEM-1","itemData":{"DOI":"10.1016/J.IJEPES.2021.107691","ISSN":"0142-0615","abstract":"Load balancing is one of the most widely used techniques to reduce losses and improve service quality in low-voltage networks. Many methods have been proposed, including the customer phase reassignment, which has multiple advantages. However, its application represents a real challenge if the data availability is limited (only a few variables from some nodes are measured). This paper presents a new method for load balancing on a three-phase feeder by switching the phase connection of single-phase customers. It is based on Deterministic Crowding, a variant of Genetic Algorithms with few and easily adjustable parameters. In contrast to related works, we establish an imbalance target value and minimize the number of customers required to switch. The proposed method requires the phase current profiles from only a percentage of the customers, reducing the number of smart meters necessary and the related investment. The method was validated using real data, analyzing different scenarios with different percentages of measured customers compared on the basis of imbalance index, neutral current, and transformer lifespan reduction. Results show a significant improvement in load balancing with few changes, even when only 30% of customers are measured.","author":[{"dropping-particle":"","family":"Jimenez","given":"Victor A.","non-dropping-particle":"","parse-names":false,"suffix":""},{"dropping-particle":"","family":"Will","given":"Adrian L.E.","non-dropping-particle":"","parse-names":false,"suffix":""},{"dropping-particle":"","family":"Lizondo","given":"Diego F.","non-dropping-particle":"","parse-names":false,"suffix":""}],"container-title":"International Journal of Electrical Power &amp; Energy Systems","id":"ITEM-1","issued":{"date-parts":[["2022","5","1"]]},"page":"107691","publisher":"Elsevier","title":"Phase reassignment for load balance in low-voltage distribution networks","type":"article-journal","volume":"137"},"uris":["http://www.mendeley.com/documents/?uuid=b1c52fb2-ef14-399f-95d1-87badeca5693"]}],"mendeley":{"formattedCitation":"&lt;sup&gt;11&lt;/sup&gt;","plainTextFormattedCitation":"11","previouslyFormattedCitation":"[11]"},"properties":{"noteIndex":0},"schema":"https://github.com/citation-style-language/schema/raw/master/csl-citation.json"}</w:instrText>
      </w:r>
      <w:r w:rsidR="005E7CCE" w:rsidRPr="00B047A8">
        <w:rPr>
          <w:sz w:val="20"/>
        </w:rPr>
        <w:fldChar w:fldCharType="separate"/>
      </w:r>
      <w:r w:rsidR="00F66D0F" w:rsidRPr="00F66D0F">
        <w:rPr>
          <w:noProof/>
          <w:sz w:val="20"/>
          <w:vertAlign w:val="superscript"/>
        </w:rPr>
        <w:t>11</w:t>
      </w:r>
      <w:r w:rsidR="005E7CCE" w:rsidRPr="00B047A8">
        <w:rPr>
          <w:sz w:val="20"/>
        </w:rPr>
        <w:fldChar w:fldCharType="end"/>
      </w:r>
      <w:r w:rsidRPr="00B047A8">
        <w:rPr>
          <w:sz w:val="20"/>
        </w:rPr>
        <w:t>. Many existing methods either assume full observability or focus on isolated aspects, such as sizing without phase correction or harmonic mitigation without load redistribution</w:t>
      </w:r>
      <w:r w:rsidR="005E7CCE" w:rsidRPr="00B047A8">
        <w:rPr>
          <w:sz w:val="20"/>
        </w:rPr>
        <w:fldChar w:fldCharType="begin" w:fldLock="1"/>
      </w:r>
      <w:r w:rsidR="00F66D0F">
        <w:rPr>
          <w:sz w:val="20"/>
        </w:rPr>
        <w:instrText>ADDIN CSL_CITATION {"citationItems":[{"id":"ITEM-1","itemData":{"DOI":"10.3390/su15064982","ISSN":"20711050","abstract":"The increased interest in renewable-based microgrids imposes several challenges, such as source integration, power quality, and operating cost. Dealing with these problems requires solving nonlinear optimization problems that include multiple linear or nonlinear constraints and continuous variables or discrete ones that require large dimensionality search space to find the optimal or sub-optimal solution. These problems may include the optimal power flow in the microgrid, the best possible configurations, and the accuracy of the models within the microgrid. Metaheuristic optimization algorithms are getting more suggested in the literature contributions for microgrid applications to solve these optimization problems. This paper intends to thoroughly review some significant issues surrounding microgrid operation and solve them using metaheuristic optimization algorithms. This study provides a collection of fundamental principles and concepts that describe metaheuristic optimization algorithms. Then, the most significant metaheuristic optimization algorithms that have been published in the last years in the context of microgrid applications are investigated and analyzed. Finally, the employment of metaheuristic optimization algorithms to specific microgrid issue applications is reviewed, including examples of some used algorithms. These issues include unit commitment, economic dispatch, optimal power flow, distribution system reconfiguration, transmission network expansion and distribution system planning, load and generation forecasting, maintenance schedules, and renewable sources max power tracking.","author":[{"dropping-particle":"","family":"Rezk","given":"Hegazy","non-dropping-particle":"","parse-names":false,"suffix":""},{"dropping-particle":"","family":"Olabi","given":"A. G.","non-dropping-particle":"","parse-names":false,"suffix":""},{"dropping-particle":"","family":"Sayed","given":"Enas Taha","non-dropping-particle":"","parse-names":false,"suffix":""},{"dropping-particle":"","family":"Wilberforce","given":"Tabbi","non-dropping-particle":"","parse-names":false,"suffix":""}],"container-title":"Sustainability (Switzerland)","id":"ITEM-1","issue":"6","issued":{"date-parts":[["2023"]]},"title":"Role of Metaheuristics in Optimizing Microgrids Operating and Management Issues: A Comprehensive Review","type":"article","volume":"15"},"uris":["http://www.mendeley.com/documents/?uuid=9f09447e-5bd5-358f-87c1-e9e2e4cdf97d"]}],"mendeley":{"formattedCitation":"&lt;sup&gt;12&lt;/sup&gt;","plainTextFormattedCitation":"12","previouslyFormattedCitation":"[12]"},"properties":{"noteIndex":0},"schema":"https://github.com/citation-style-language/schema/raw/master/csl-citation.json"}</w:instrText>
      </w:r>
      <w:r w:rsidR="005E7CCE" w:rsidRPr="00B047A8">
        <w:rPr>
          <w:sz w:val="20"/>
        </w:rPr>
        <w:fldChar w:fldCharType="separate"/>
      </w:r>
      <w:r w:rsidR="00F66D0F" w:rsidRPr="00F66D0F">
        <w:rPr>
          <w:noProof/>
          <w:sz w:val="20"/>
          <w:vertAlign w:val="superscript"/>
        </w:rPr>
        <w:t>12</w:t>
      </w:r>
      <w:r w:rsidR="005E7CCE" w:rsidRPr="00B047A8">
        <w:rPr>
          <w:sz w:val="20"/>
        </w:rPr>
        <w:fldChar w:fldCharType="end"/>
      </w:r>
      <w:r w:rsidRPr="00B047A8">
        <w:rPr>
          <w:sz w:val="20"/>
        </w:rPr>
        <w:t xml:space="preserve">. Metaheuristic algorithms, including genetic algorithms and particle swarm optimization, have shown promise in distribution system </w:t>
      </w:r>
      <w:r w:rsidRPr="00B047A8">
        <w:rPr>
          <w:sz w:val="20"/>
        </w:rPr>
        <w:lastRenderedPageBreak/>
        <w:t>optimization</w:t>
      </w:r>
      <w:r w:rsidR="005E7CCE" w:rsidRPr="00B047A8">
        <w:rPr>
          <w:sz w:val="20"/>
        </w:rPr>
        <w:fldChar w:fldCharType="begin" w:fldLock="1"/>
      </w:r>
      <w:r w:rsidR="00F66D0F">
        <w:rPr>
          <w:sz w:val="20"/>
        </w:rPr>
        <w:instrText>ADDIN CSL_CITATION {"citationItems":[{"id":"ITEM-1","itemData":{"DOI":"10.3390/su15129434","ISSN":"20711050","abstract":"Metaheuristic optimization algorithms are tools based on mathematical concepts that are used to solve complicated optimization issues. These algorithms are intended to locate or develop a sufficiently good solution to an optimization issue, particularly when information is sparse or inaccurate or computer capability is restricted. Power systems play a crucial role in promoting environmental sustainability by reducing greenhouse gas emissions and supporting renewable energy sources. Using metaheuristics to optimize the performance of modern power systems is an attractive topic. This research paper investigates the applicability of several metaheuristic optimization algorithms to power system challenges. Firstly, this paper reviews the fundamental concepts of metaheuristic optimization algorithms. Then, six problems regarding the power systems are presented and discussed. These problems are optimizing the power flow in transmission and distribution networks, optimizing the reactive power dispatching, optimizing the combined economic and emission dispatching, optimal Volt/Var controlling in the distribution power systems, and optimizing the size and placement of DGs. A list of several used metaheuristic optimization algorithms is presented and discussed. The relevant results approved the ability of the metaheuristic optimization algorithm to solve the power system problems effectively. This, in particular, explains their wide deployment in this field.","author":[{"dropping-particle":"","family":"Nassef","given":"Ahmed M.","non-dropping-particle":"","parse-names":false,"suffix":""},{"dropping-particle":"","family":"Abdelkareem","given":"Mohammad Ali","non-dropping-particle":"","parse-names":false,"suffix":""},{"dropping-particle":"","family":"Maghrabie","given":"Hussein M.","non-dropping-particle":"","parse-names":false,"suffix":""},{"dropping-particle":"","family":"Baroutaji","given":"Ahmad","non-dropping-particle":"","parse-names":false,"suffix":""}],"container-title":"Sustainability (Switzerland)","id":"ITEM-1","issue":"12","issued":{"date-parts":[["2023"]]},"title":"Review of Metaheuristic Optimization Algorithms for Power Systems Problems","type":"article","volume":"15"},"uris":["http://www.mendeley.com/documents/?uuid=0625848c-ec33-39f2-8994-2cd1cf483f01"]}],"mendeley":{"formattedCitation":"&lt;sup&gt;13&lt;/sup&gt;","plainTextFormattedCitation":"13","previouslyFormattedCitation":"[13]"},"properties":{"noteIndex":0},"schema":"https://github.com/citation-style-language/schema/raw/master/csl-citation.json"}</w:instrText>
      </w:r>
      <w:r w:rsidR="005E7CCE" w:rsidRPr="00B047A8">
        <w:rPr>
          <w:sz w:val="20"/>
        </w:rPr>
        <w:fldChar w:fldCharType="separate"/>
      </w:r>
      <w:r w:rsidR="00F66D0F" w:rsidRPr="00F66D0F">
        <w:rPr>
          <w:noProof/>
          <w:sz w:val="20"/>
          <w:vertAlign w:val="superscript"/>
        </w:rPr>
        <w:t>13</w:t>
      </w:r>
      <w:r w:rsidR="005E7CCE" w:rsidRPr="00B047A8">
        <w:rPr>
          <w:sz w:val="20"/>
        </w:rPr>
        <w:fldChar w:fldCharType="end"/>
      </w:r>
      <w:r w:rsidRPr="00B047A8">
        <w:rPr>
          <w:sz w:val="20"/>
        </w:rPr>
        <w:t>, yet they often lack convergence guarantees or fine-grained local refinement under noisy or sparse inputs.</w:t>
      </w:r>
    </w:p>
    <w:p w14:paraId="050AB003" w14:textId="1FE4066F" w:rsidR="008B0A1D" w:rsidRDefault="00B77E38" w:rsidP="008B0A1D">
      <w:pPr>
        <w:ind w:firstLine="284"/>
        <w:jc w:val="both"/>
        <w:rPr>
          <w:sz w:val="20"/>
        </w:rPr>
      </w:pPr>
      <w:r w:rsidRPr="00B047A8">
        <w:rPr>
          <w:sz w:val="20"/>
        </w:rPr>
        <w:t>To bridge this gap, we propose a hybrid biogeography-gradient framework for load and phase optimization in power grids, integrating the global exploratory strength of Biogeography-Based Optimization (BBO)</w:t>
      </w:r>
      <w:r w:rsidR="005E7CCE" w:rsidRPr="00B047A8">
        <w:rPr>
          <w:sz w:val="20"/>
        </w:rPr>
        <w:fldChar w:fldCharType="begin" w:fldLock="1"/>
      </w:r>
      <w:r w:rsidR="00F66D0F">
        <w:rPr>
          <w:sz w:val="20"/>
        </w:rPr>
        <w:instrText>ADDIN CSL_CITATION {"citationItems":[{"id":"ITEM-1","itemData":{"DOI":"10.1109/TSG.2021.3050931","ISSN":"19493061","abstract":"This article presents a new mixed-integer second-order cone programming model for solving the restoration problem in active distribution systems considering the optimal control of distributed generators (DGs), voltage regulators (VRs), on-load tap changers (OLTCs), and capacitor banks (CBs). In contrast to most of the works found in the literature, temporary loops may be formed in the network during the restorative operation state. This operating condition allows restoring the service to more loads. In this way, the objective function of the problem minimizes (i) the total load not supplied, (ii) the number of switching operations, (iii) the changes in the statuses of the voltage control devices and in the dispatch of the DGs, and (iv) the number of basic loops formed in the system. Several tests are carried out using a 53-node system for single-fault and multiple-fault scenarios. The results obtained with the proposed approach outperform the solutions achieved when only radial configurations are allowed in the problem. Moreover, it is also verified that the voltage control allows for more efficient restoration schemes.","author":[{"dropping-particle":"","family":"Vargas","given":"Renzo","non-dropping-particle":"","parse-names":false,"suffix":""},{"dropping-particle":"","family":"MacEdo","given":"Leonardo H.","non-dropping-particle":"","parse-names":false,"suffix":""},{"dropping-particle":"","family":"Home-Ortiz","given":"Juan M.","non-dropping-particle":"","parse-names":false,"suffix":""},{"dropping-particle":"","family":"Mantovani","given":"Jose Roberto Sanches","non-dropping-particle":"","parse-names":false,"suffix":""},{"dropping-particle":"","family":"Romero","given":"Ruben","non-dropping-particle":"","parse-names":false,"suffix":""}],"container-title":"IEEE Transactions on Smart Grid","id":"ITEM-1","issue":"3","issued":{"date-parts":[["2021"]]},"title":"Optimal Restoration of Active Distribution Systems with Voltage Control and Closed-Loop Operation","type":"article-journal","volume":"12"},"uris":["http://www.mendeley.com/documents/?uuid=8fbc6f70-be57-3880-a207-8fe0949f963f"]},{"id":"ITEM-2","itemData":{"DOI":"10.1109/CIEEC50170.2021.9511039","abstract":"This paper presents a novel seamless closed-loop load transfer device (SCLTD) of low voltage distribution network, which is capable of realizing three seamless operations: 1) loop closing, 2) load transfer, and 3) disconnection from the grid. In the proposed circuit configuration, an injected voltage source is connected to two low voltage bus bars. Therefore, closed-loop current can be controlled flexibly by regulating this voltage source. The system can be applied to adjacent substations to carry out closed-loop load transfer operations. In the proposed configuration, the voltage source is paralleled with the contact switch and thus can be bypassed to realize the disconnection of the SCLTD from the grid. Furthermore, this paper presents an advanced control strategy for seamless transfer among three operating modes, which eliminates the voltage oscillation and current impact due to the switching of operating modes. The proposed configuration and the designed control strategy are validated in a simple two-bus system via MATLAB/Simulink.","author":[{"dropping-particle":"","family":"Li","given":"Junlin","non-dropping-particle":"","parse-names":false,"suffix":""},{"dropping-particle":"","family":"Wang","given":"Xiaocong","non-dropping-particle":"","parse-names":false,"suffix":""},{"dropping-particle":"","family":"Xie","given":"Cong","non-dropping-particle":"","parse-names":false,"suffix":""},{"dropping-particle":"","family":"Han","given":"Jie","non-dropping-particle":"","parse-names":false,"suffix":""},{"dropping-particle":"","family":"Mao","given":"Chengxiong","non-dropping-particle":"","parse-names":false,"suffix":""},{"dropping-particle":"","family":"Liu","given":"Xiao","non-dropping-particle":"","parse-names":false,"suffix":""},{"dropping-particle":"","family":"Wang","given":"Dan","non-dropping-particle":"","parse-names":false,"suffix":""},{"dropping-particle":"","family":"Zhang","given":"Yanyu","non-dropping-particle":"","parse-names":false,"suffix":""},{"dropping-particle":"","family":"Guan","given":"Zhitao","non-dropping-particle":"","parse-names":false,"suffix":""},{"dropping-particle":"","family":"Zhang","given":"Xu","non-dropping-particle":"","parse-names":false,"suffix":""}],"container-title":"Proceedings of 2021 IEEE 4th International Electrical and Energy Conference, CIEEC 2021","id":"ITEM-2","issued":{"date-parts":[["2021"]]},"title":"A Novel Method for Seamless Closed-Loop Load Transfer of Low Voltage Distribution Network","type":"paper-conference"},"uris":["http://www.mendeley.com/documents/?uuid=2eae6221-519b-35d0-b584-259b001e2094"]}],"mendeley":{"formattedCitation":"&lt;sup&gt;14,15&lt;/sup&gt;","plainTextFormattedCitation":"14,15","previouslyFormattedCitation":"[14], [15]"},"properties":{"noteIndex":0},"schema":"https://github.com/citation-style-language/schema/raw/master/csl-citation.json"}</w:instrText>
      </w:r>
      <w:r w:rsidR="005E7CCE" w:rsidRPr="00B047A8">
        <w:rPr>
          <w:sz w:val="20"/>
        </w:rPr>
        <w:fldChar w:fldCharType="separate"/>
      </w:r>
      <w:r w:rsidR="00F66D0F" w:rsidRPr="00F66D0F">
        <w:rPr>
          <w:noProof/>
          <w:sz w:val="20"/>
          <w:vertAlign w:val="superscript"/>
        </w:rPr>
        <w:t>14,15</w:t>
      </w:r>
      <w:r w:rsidR="005E7CCE" w:rsidRPr="00B047A8">
        <w:rPr>
          <w:sz w:val="20"/>
        </w:rPr>
        <w:fldChar w:fldCharType="end"/>
      </w:r>
      <w:r w:rsidR="005E7CCE" w:rsidRPr="00B047A8">
        <w:rPr>
          <w:sz w:val="20"/>
        </w:rPr>
        <w:t xml:space="preserve"> </w:t>
      </w:r>
      <w:r w:rsidRPr="00B047A8">
        <w:rPr>
          <w:sz w:val="20"/>
        </w:rPr>
        <w:t>with the local precision of gradient descent</w:t>
      </w:r>
      <w:r w:rsidR="005E7CCE" w:rsidRPr="00B047A8">
        <w:rPr>
          <w:sz w:val="20"/>
        </w:rPr>
        <w:fldChar w:fldCharType="begin" w:fldLock="1"/>
      </w:r>
      <w:r w:rsidR="00F66D0F">
        <w:rPr>
          <w:sz w:val="20"/>
        </w:rPr>
        <w:instrText>ADDIN CSL_CITATION {"citationItems":[{"id":"ITEM-1","itemData":{"DOI":"10.1016/j.egyr.2022.08.110","ISSN":"23524847","abstract":"Distributed optimization algorithms, such as alternating direction method of multipliers (ADMM) and distributed gradient descent method (DGDM), can no longer meet the needs of the application in the large system due to their slow convergence rates. In this paper, based on the upper bounds of second derivatives, a fast distributed gradient descent method (FDGDM) has been proposed, where the upper bounds of second derivatives and out-degree information are exchanged among the neighbors, and the weight matrix used for iteration is completely distributedly formed. Especially, the objective function keeps declining monotonically during the iterative process, which is the key to accelerating the convergence rate of our method while maintaining the constraints. Numerical experiments are designed to verify the faster convergence rate of the FDGDM compared with the ADMM. Finally, a microgrid (MG) simulation platform based on Matlab/Simulink is established, and our method is applied to solve the economic dispatch problem (EDP) of MG. The results demonstrate that the proposed method can achieve the optimal economic dispatch while ensuring the operation stability.","author":[{"dropping-particle":"","family":"Bai","given":"Cong","non-dropping-particle":"","parse-names":false,"suffix":""},{"dropping-particle":"","family":"Li","given":"Qiang","non-dropping-particle":"","parse-names":false,"suffix":""},{"dropping-particle":"","family":"Zhou","given":"Weihao","non-dropping-particle":"","parse-names":false,"suffix":""},{"dropping-particle":"","family":"Li","given":"Bo","non-dropping-particle":"","parse-names":false,"suffix":""},{"dropping-particle":"","family":"Zhang","given":"Leiqi","non-dropping-particle":"","parse-names":false,"suffix":""}],"container-title":"Energy Reports","id":"ITEM-1","issued":{"date-parts":[["2022"]]},"title":"Fast distributed gradient descent method for economic dispatch of microgrids via upper bounds of second derivatives","type":"article-journal","volume":"8"},"uris":["http://www.mendeley.com/documents/?uuid=00a9bb8b-9e4b-3a76-9e1c-fd179b3ac007"]},{"id":"ITEM-2","itemData":{"DOI":"10.1007/s40305-021-00365-6","ISSN":"21946698","abstract":"In this paper, we propose a gradient descent method to estimate the parameters in a Markov chain choice model. Particularly, we derive closed-form formula for the gradient of the log-likelihood function and show the convergence of the algorithm. Numerical experiments verify the efficiency of our approach by comparing with the expectation-maximization algorithm. We show that the similar result can be extended to a more general case that one does not have observation of the no-purchase data.","author":[{"dropping-particle":"","family":"Fu","given":"Lei","non-dropping-particle":"","parse-names":false,"suffix":""},{"dropping-particle":"","family":"Ge","given":"Dong Dong","non-dropping-particle":"","parse-names":false,"suffix":""}],"container-title":"Journal of the Operations Research Society of China","id":"ITEM-2","issue":"2","issued":{"date-parts":[["2023"]]},"title":"A Gradient Descent Method for Estimating the Markov Chain Choice Model","type":"article-journal","volume":"11"},"uris":["http://www.mendeley.com/documents/?uuid=b5e66008-90dd-3ab7-a162-83fcf5990d7e"]}],"mendeley":{"formattedCitation":"&lt;sup&gt;16,17&lt;/sup&gt;","plainTextFormattedCitation":"16,17","previouslyFormattedCitation":"[16], [17]"},"properties":{"noteIndex":0},"schema":"https://github.com/citation-style-language/schema/raw/master/csl-citation.json"}</w:instrText>
      </w:r>
      <w:r w:rsidR="005E7CCE" w:rsidRPr="00B047A8">
        <w:rPr>
          <w:sz w:val="20"/>
        </w:rPr>
        <w:fldChar w:fldCharType="separate"/>
      </w:r>
      <w:r w:rsidR="00F66D0F" w:rsidRPr="00F66D0F">
        <w:rPr>
          <w:noProof/>
          <w:sz w:val="20"/>
          <w:vertAlign w:val="superscript"/>
        </w:rPr>
        <w:t>16,17</w:t>
      </w:r>
      <w:r w:rsidR="005E7CCE" w:rsidRPr="00B047A8">
        <w:rPr>
          <w:sz w:val="20"/>
        </w:rPr>
        <w:fldChar w:fldCharType="end"/>
      </w:r>
      <w:r w:rsidRPr="00B047A8">
        <w:rPr>
          <w:sz w:val="20"/>
        </w:rPr>
        <w:t>. BBO excels in navigating complex, multimodal search spaces with minimal prior knowledge</w:t>
      </w:r>
      <w:r w:rsidR="00907475" w:rsidRPr="00B047A8">
        <w:rPr>
          <w:sz w:val="20"/>
        </w:rPr>
        <w:t xml:space="preserve">, </w:t>
      </w:r>
      <w:r w:rsidRPr="00B047A8">
        <w:rPr>
          <w:sz w:val="20"/>
        </w:rPr>
        <w:t>ideal for data-limited scenarios, while gradient descent ensures rapid convergence to high-quality local optima once promising regions are identified. This synergy yields a robust, data-efficient optimizer capable of balancing phase loads and redistributing transformer assignments even with incomplete daily profiles.</w:t>
      </w:r>
    </w:p>
    <w:p w14:paraId="247CFE4D" w14:textId="3BB760D5" w:rsidR="00B77E38" w:rsidRPr="00B047A8" w:rsidRDefault="00B77E38" w:rsidP="008B0A1D">
      <w:pPr>
        <w:ind w:firstLine="284"/>
        <w:jc w:val="both"/>
        <w:rPr>
          <w:sz w:val="20"/>
        </w:rPr>
      </w:pPr>
      <w:r w:rsidRPr="00B047A8">
        <w:rPr>
          <w:sz w:val="20"/>
        </w:rPr>
        <w:t xml:space="preserve">Simulation results demonstrate transformative performance: a 49.99% reduction in phase imbalance, 28.71% fewer overloaded transformers (from a 68% baseline), and 10.86% fewer underloaded units (from 18%). Beyond technical gains, the framework supports scalable deployment through intuitive visualization tools and fault-monitoring modules, enabling operators to extend asset lifespans, reduce maintenance costs, and enhance service quality. By unifying </w:t>
      </w:r>
      <w:proofErr w:type="gramStart"/>
      <w:r w:rsidRPr="00B047A8">
        <w:rPr>
          <w:sz w:val="20"/>
        </w:rPr>
        <w:t>metaheuristic adaptability</w:t>
      </w:r>
      <w:proofErr w:type="gramEnd"/>
      <w:r w:rsidRPr="00B047A8">
        <w:rPr>
          <w:sz w:val="20"/>
        </w:rPr>
        <w:t xml:space="preserve"> with analytical rigor, this work establishes a foundation for intelligent, self-healing distribution systems, paving the way for real-time, AI-driven grid resilience in the face of growing uncertainty and complexity.</w:t>
      </w:r>
    </w:p>
    <w:bookmarkEnd w:id="0"/>
    <w:p w14:paraId="3EE44341" w14:textId="11315A55" w:rsidR="000A0AA6" w:rsidRPr="00B047A8" w:rsidRDefault="000A0AA6" w:rsidP="000A0AA6">
      <w:pPr>
        <w:pStyle w:val="Heading1"/>
      </w:pPr>
      <w:r w:rsidRPr="00B047A8">
        <w:t>Method</w:t>
      </w:r>
      <w:r w:rsidR="00D90476" w:rsidRPr="00B047A8">
        <w:t>OLOGY</w:t>
      </w:r>
    </w:p>
    <w:p w14:paraId="4F6EA3EC" w14:textId="33424996" w:rsidR="00D90476" w:rsidRPr="00B047A8" w:rsidRDefault="00D90476" w:rsidP="00787682">
      <w:pPr>
        <w:pStyle w:val="Paragraph"/>
      </w:pPr>
      <w:r w:rsidRPr="00B047A8">
        <w:t>The process begins with data collection, where the nominal power of transformers, actual power measured on each transformer, and actual load measured by phases are gathered. Next, the collected data undergoes load conditions evaluation, which includes verifying overloads, underloads, and phase imbalances. This evaluation helps identify any inefficiencies or issues in the transformer</w:t>
      </w:r>
      <w:r w:rsidR="00215A20">
        <w:t>’</w:t>
      </w:r>
      <w:r w:rsidRPr="00B047A8">
        <w:t>s operation. Based on the evaluation, optimization is performed to address these issues. The optimization focuses on load optimization and phase balancing to improve efficiency. The final goal is to ensure the transformers operate within optimal conditions, preventing overloads and imbalances.</w:t>
      </w:r>
    </w:p>
    <w:p w14:paraId="733257C5" w14:textId="692C5EB9" w:rsidR="00C95871" w:rsidRPr="00B047A8" w:rsidRDefault="00A80D14" w:rsidP="000F7145">
      <w:pPr>
        <w:pStyle w:val="Heading2"/>
      </w:pPr>
      <w:r w:rsidRPr="00B047A8">
        <w:t xml:space="preserve">Load </w:t>
      </w:r>
      <w:r w:rsidR="009737BB" w:rsidRPr="00B047A8">
        <w:t xml:space="preserve">Conditions Evaluation </w:t>
      </w:r>
    </w:p>
    <w:p w14:paraId="6812A227" w14:textId="09D7A539" w:rsidR="00D97A31" w:rsidRPr="00B047A8" w:rsidRDefault="00D97A31" w:rsidP="00D97A31">
      <w:pPr>
        <w:ind w:firstLine="284"/>
        <w:jc w:val="both"/>
        <w:rPr>
          <w:sz w:val="20"/>
        </w:rPr>
      </w:pPr>
      <w:r w:rsidRPr="00B047A8">
        <w:rPr>
          <w:sz w:val="20"/>
        </w:rPr>
        <w:t xml:space="preserve">In May 2022, a measurement campaign was conducted across 28 </w:t>
      </w:r>
      <w:proofErr w:type="gramStart"/>
      <w:r w:rsidRPr="00B047A8">
        <w:rPr>
          <w:sz w:val="20"/>
        </w:rPr>
        <w:t>highly-loaded</w:t>
      </w:r>
      <w:proofErr w:type="gramEnd"/>
      <w:r w:rsidRPr="00B047A8">
        <w:rPr>
          <w:sz w:val="20"/>
        </w:rPr>
        <w:t xml:space="preserve"> substations in the study area, a period known for peak network saturation. The results were alarming. Assessments of the looped network (Table 1) revealed that 68% (19 units) were overloaded, while a significant 85.71% (23 units) suffered from phase unbalance, with most operating beyond their nominal capacity. This irregular loading has severe consequences. Oversizing leads to financial waste and unnecessary losses, while </w:t>
      </w:r>
      <w:proofErr w:type="spellStart"/>
      <w:r w:rsidRPr="00B047A8">
        <w:rPr>
          <w:sz w:val="20"/>
        </w:rPr>
        <w:t>undersizing</w:t>
      </w:r>
      <w:proofErr w:type="spellEnd"/>
      <w:r w:rsidRPr="00B047A8">
        <w:rPr>
          <w:sz w:val="20"/>
        </w:rPr>
        <w:t xml:space="preserve"> forces </w:t>
      </w:r>
      <w:proofErr w:type="gramStart"/>
      <w:r w:rsidRPr="00B047A8">
        <w:rPr>
          <w:sz w:val="20"/>
        </w:rPr>
        <w:t>constant</w:t>
      </w:r>
      <w:proofErr w:type="gramEnd"/>
      <w:r w:rsidRPr="00B047A8">
        <w:rPr>
          <w:sz w:val="20"/>
        </w:rPr>
        <w:t xml:space="preserve"> overloading. This results in excessive winding heat, triggering protective shutdowns, and the accelerated deterioration of insulation. Ultimately, this leads to a permanent loss of lifespan and risks dielectric failure. These critical issues drive the urgent need, as noted by researchers</w:t>
      </w:r>
      <w:r w:rsidRPr="00B047A8">
        <w:rPr>
          <w:sz w:val="20"/>
        </w:rPr>
        <w:fldChar w:fldCharType="begin" w:fldLock="1"/>
      </w:r>
      <w:r w:rsidR="00F66D0F">
        <w:rPr>
          <w:sz w:val="20"/>
        </w:rPr>
        <w:instrText>ADDIN CSL_CITATION {"citationItems":[{"id":"ITEM-1","itemData":{"DOI":"10.1541/IEEJJIA.20002062","ISSN":"21871108","abstract":"To increase efficiency and reduce weight of low frequency traction transformers (LFTs), many studies have been dedicated to the study and design of power electronic transformers (PETs). Most of these studies have focussed on 16.7 Hz traction systems and a few on 50/60 Hz systems. PETs offer several degrees of freedom to the designer such as configuration and modulation of power stages, switching frequency, magnetic material etc., which are evaluated based on given specifications to meet the objectives of maximum power density and efficiency. This paper presents a detailed analysis of efficiency and power density of each power stage in a PET with respect to its design parameters. A design methodology is outlined to replace an LFT with an optimally designed PET. To elucidate the design process, the considered case is a 4.16 MW transformer supplied by a 25 KV, 60 Hz catenary for a Shinkansen series-700. The configuration of the PET considered is of the indirect type with a cascaded H-bridge as the AC/DC stage interfacing the catenary and a set of parallelly connected DC/DC converters at the output. The best obtained efficiency is 97.7% with a weight of 1.69 tonnes which is significantly higher than that of the LFT.","author":[{"dropping-particle":"","family":"Chowdhury","given":"Sandeep Kumar","non-dropping-particle":"","parse-names":false,"suffix":""},{"dropping-particle":"","family":"Kobayashi","given":"Hiroyasu","non-dropping-particle":"","parse-names":false,"suffix":""},{"dropping-particle":"","family":"Kondo","given":"Keiichiro","non-dropping-particle":"","parse-names":false,"suffix":""}],"container-title":"IEEJ Journal of Industry Applications","id":"ITEM-1","issue":"6","issued":{"date-parts":[["2020"]]},"title":"Design optimization of power electronic transformers in traction applications","type":"article-journal","volume":"9"},"uris":["http://www.mendeley.com/documents/?uuid=f03756c1-f9ec-3286-8b5e-28c5fe802240"]},{"id":"ITEM-2","itemData":{"DOI":"10.3390/en16114448","ISSN":"19961073","abstract":"The power transformer is one of the most critical assets in power systems; therefore, planning and optimizing the economic investment for its replacement is crucial for the financial efficiency of the utility. A compilation of the main approaches reported in the literature for the replacement of oil-immersed power transformers is presented in this article. A chronological description of procedures presented in the literature for the determination of risk index, useful life evaluation, and transformer replacements is provided. Methodologies that use the theoretical basis of the degree of polymerization of the solid insulation of the units through the oxidation aging process to estimate their condition bring together the best tools currently available to achieve this objective. However, it is important and pertinent to complement these methodologies by considering the aging processes by pyrolysis and hydrolysis together and by incorporating economic analyses for appropriate replacement and management of these aged units.","author":[{"dropping-particle":"","family":"Balanta","given":"Jefferson Zuñiga","non-dropping-particle":"","parse-names":false,"suffix":""},{"dropping-particle":"","family":"Rivera","given":"Sergio","non-dropping-particle":"","parse-names":false,"suffix":""},{"dropping-particle":"","family":"Romero","given":"Andrés A.","non-dropping-particle":"","parse-names":false,"suffix":""},{"dropping-particle":"","family":"Coria","given":"Gustavo","non-dropping-particle":"","parse-names":false,"suffix":""}],"container-title":"Energies","id":"ITEM-2","issue":"11","issued":{"date-parts":[["2023"]]},"title":"Planning and Optimizing the Replacement Strategies of Power Transformers: Literature Review","type":"article","volume":"16"},"uris":["http://www.mendeley.com/documents/?uuid=5e24690d-2ff7-334e-811d-42dc97a62736"]},{"id":"ITEM-3","itemData":{"DOI":"10.1109/OJIES.2021.3124732","ISSN":"26441284","abstract":"Isolated DC-DC converters are considered the building blocks of modern aircraft electrical power networks. The high-frequency transformer utilized in such converters is the major contributor to the size and weight besides the thermal management system. In this paper, an optimization design methodology aims to minimize the transformer core size and improve the converter performance through optimized winding configurations. The transformer core selection is based on optimizing the maximum flux density while considering different magnetic materials and number of cores in parallel. The transformer core is selected for an interleaved winding configuration and to keep the windings current density below a certain limit. The trade-offs between the converter efficiency and core weight in selecting an optimum switching frequency are presented. Multi-layer minimum gradient (MLMG) winding configurations are proposed to eliminate the high-frequency oscillations (HFO) caused by the transformer parasitics. The proposed configurations resulted in a reduction of the intra-winding capacitance by 15 times with 20$\\%$ improvement in the transformer volume as compared to a similar conventional double-layers spiral configurations. Numerical simulations are performed in ANSYS Maxwell to validate the proposed design and the developed analytical models. The effect of the different configurations on the converter performance is verified in the PLECS simulation environment. PLECS simulation results are validated experimentally for the conventional and proposed configurations highlighting the improvements on the performance of the converter.","author":[{"dropping-particle":"","family":"Hassan","given":"Mohamed I.","non-dropping-particle":"","parse-names":false,"suffix":""},{"dropping-particle":"","family":"Keshmiri","given":"Niloufar","non-dropping-particle":"","parse-names":false,"suffix":""},{"dropping-particle":"","family":"Callegaro","given":"Alan Dorneles","non-dropping-particle":"","parse-names":false,"suffix":""},{"dropping-particle":"","family":"Cruz","given":"Mario F.","non-dropping-particle":"","parse-names":false,"suffix":""},{"dropping-particle":"","family":"Narimani","given":"Mehdi","non-dropping-particle":"","parse-names":false,"suffix":""},{"dropping-particle":"","family":"Emadi","given":"Ali","non-dropping-particle":"","parse-names":false,"suffix":""}],"container-title":"IEEE Open Journal of the Industrial Electronics Society","id":"ITEM-3","issued":{"date-parts":[["2021"]]},"title":"Design Optimization Methodology for Planar Transformers for More Electric Aircraft","type":"article-journal","volume":"2"},"uris":["http://www.mendeley.com/documents/?uuid=11d6c667-937b-34b8-b7ae-e97db7b2782a"]}],"mendeley":{"formattedCitation":"&lt;sup&gt;18–20&lt;/sup&gt;","plainTextFormattedCitation":"18–20","previouslyFormattedCitation":"[18]–[20]"},"properties":{"noteIndex":0},"schema":"https://github.com/citation-style-language/schema/raw/master/csl-citation.json"}</w:instrText>
      </w:r>
      <w:r w:rsidRPr="00B047A8">
        <w:rPr>
          <w:sz w:val="20"/>
        </w:rPr>
        <w:fldChar w:fldCharType="separate"/>
      </w:r>
      <w:r w:rsidR="00F66D0F" w:rsidRPr="00F66D0F">
        <w:rPr>
          <w:noProof/>
          <w:sz w:val="20"/>
          <w:vertAlign w:val="superscript"/>
        </w:rPr>
        <w:t>18–20</w:t>
      </w:r>
      <w:r w:rsidRPr="00B047A8">
        <w:rPr>
          <w:sz w:val="20"/>
        </w:rPr>
        <w:fldChar w:fldCharType="end"/>
      </w:r>
      <w:r w:rsidRPr="00B047A8">
        <w:rPr>
          <w:sz w:val="20"/>
        </w:rPr>
        <w:t>, to optimize transformer power to ensure network reliability and longevity.</w:t>
      </w:r>
    </w:p>
    <w:p w14:paraId="110304EB" w14:textId="77777777" w:rsidR="00D97A31" w:rsidRPr="00B047A8" w:rsidRDefault="00D97A31" w:rsidP="00D97A31">
      <w:pPr>
        <w:ind w:firstLine="284"/>
        <w:jc w:val="both"/>
        <w:rPr>
          <w:sz w:val="20"/>
        </w:rPr>
      </w:pPr>
    </w:p>
    <w:p w14:paraId="7B7587D2" w14:textId="40363398" w:rsidR="00A80D14" w:rsidRPr="00B047A8" w:rsidRDefault="002752CF" w:rsidP="00A80D14">
      <w:pPr>
        <w:ind w:firstLine="720"/>
        <w:jc w:val="center"/>
        <w:rPr>
          <w:sz w:val="20"/>
        </w:rPr>
      </w:pPr>
      <w:r w:rsidRPr="00B047A8">
        <w:rPr>
          <w:b/>
          <w:bCs/>
          <w:sz w:val="20"/>
        </w:rPr>
        <w:t>TABLE</w:t>
      </w:r>
      <w:r w:rsidR="00A80D14" w:rsidRPr="00B047A8">
        <w:rPr>
          <w:b/>
          <w:bCs/>
          <w:sz w:val="20"/>
        </w:rPr>
        <w:t xml:space="preserve"> 1</w:t>
      </w:r>
      <w:r>
        <w:rPr>
          <w:b/>
          <w:bCs/>
          <w:sz w:val="20"/>
        </w:rPr>
        <w:t>.</w:t>
      </w:r>
      <w:r w:rsidR="00A80D14" w:rsidRPr="00B047A8">
        <w:rPr>
          <w:b/>
          <w:bCs/>
          <w:sz w:val="20"/>
        </w:rPr>
        <w:t xml:space="preserve"> </w:t>
      </w:r>
      <w:r w:rsidR="00A80D14" w:rsidRPr="00B047A8">
        <w:rPr>
          <w:sz w:val="20"/>
        </w:rPr>
        <w:t>Measurements taken on the looped distribution network.</w:t>
      </w:r>
    </w:p>
    <w:tbl>
      <w:tblPr>
        <w:tblW w:w="9466" w:type="dxa"/>
        <w:jc w:val="center"/>
        <w:tblBorders>
          <w:bottom w:val="single" w:sz="4" w:space="0" w:color="auto"/>
        </w:tblBorders>
        <w:tblLook w:val="04A0" w:firstRow="1" w:lastRow="0" w:firstColumn="1" w:lastColumn="0" w:noHBand="0" w:noVBand="1"/>
      </w:tblPr>
      <w:tblGrid>
        <w:gridCol w:w="1494"/>
        <w:gridCol w:w="1336"/>
        <w:gridCol w:w="1206"/>
        <w:gridCol w:w="1107"/>
        <w:gridCol w:w="982"/>
        <w:gridCol w:w="1503"/>
        <w:gridCol w:w="1838"/>
      </w:tblGrid>
      <w:tr w:rsidR="00A80D14" w:rsidRPr="00B047A8" w14:paraId="5C0E7FFC" w14:textId="77777777" w:rsidTr="008C48FB">
        <w:trPr>
          <w:trHeight w:val="245"/>
          <w:jc w:val="center"/>
        </w:trPr>
        <w:tc>
          <w:tcPr>
            <w:tcW w:w="0" w:type="auto"/>
            <w:vMerge w:val="restart"/>
            <w:tcBorders>
              <w:top w:val="single" w:sz="4" w:space="0" w:color="auto"/>
              <w:bottom w:val="single" w:sz="4" w:space="0" w:color="auto"/>
            </w:tcBorders>
            <w:vAlign w:val="center"/>
            <w:hideMark/>
          </w:tcPr>
          <w:p w14:paraId="66E87DF2" w14:textId="77777777" w:rsidR="00A80D14" w:rsidRPr="0015624D" w:rsidRDefault="00A80D14" w:rsidP="00A80D14">
            <w:pPr>
              <w:jc w:val="center"/>
              <w:rPr>
                <w:b/>
                <w:bCs/>
                <w:sz w:val="20"/>
              </w:rPr>
            </w:pPr>
            <w:bookmarkStart w:id="1" w:name="RANGE!A1"/>
            <w:r w:rsidRPr="0015624D">
              <w:rPr>
                <w:b/>
                <w:bCs/>
                <w:sz w:val="20"/>
              </w:rPr>
              <w:t>Transformer N°</w:t>
            </w:r>
            <w:bookmarkEnd w:id="1"/>
          </w:p>
        </w:tc>
        <w:tc>
          <w:tcPr>
            <w:tcW w:w="0" w:type="auto"/>
            <w:vMerge w:val="restart"/>
            <w:tcBorders>
              <w:top w:val="single" w:sz="4" w:space="0" w:color="auto"/>
              <w:bottom w:val="single" w:sz="4" w:space="0" w:color="auto"/>
            </w:tcBorders>
            <w:vAlign w:val="center"/>
            <w:hideMark/>
          </w:tcPr>
          <w:p w14:paraId="00349418" w14:textId="55982164" w:rsidR="00A80D14" w:rsidRPr="0015624D" w:rsidRDefault="004D46B6" w:rsidP="004D46B6">
            <w:pPr>
              <w:jc w:val="center"/>
              <w:rPr>
                <w:b/>
                <w:bCs/>
                <w:sz w:val="20"/>
              </w:rPr>
            </w:pPr>
            <w:proofErr w:type="spellStart"/>
            <w:r w:rsidRPr="0015624D">
              <w:rPr>
                <w:b/>
                <w:bCs/>
              </w:rPr>
              <w:t>P</w:t>
            </w:r>
            <w:r w:rsidRPr="0015624D">
              <w:rPr>
                <w:b/>
                <w:bCs/>
                <w:vertAlign w:val="subscript"/>
              </w:rPr>
              <w:t>nom</w:t>
            </w:r>
            <w:proofErr w:type="spellEnd"/>
            <w:r w:rsidRPr="0015624D">
              <w:rPr>
                <w:b/>
                <w:bCs/>
                <w:sz w:val="20"/>
              </w:rPr>
              <w:t xml:space="preserve"> </w:t>
            </w:r>
            <w:r w:rsidR="00A80D14" w:rsidRPr="0015624D">
              <w:rPr>
                <w:b/>
                <w:bCs/>
                <w:sz w:val="20"/>
              </w:rPr>
              <w:t>(KVA)</w:t>
            </w:r>
          </w:p>
        </w:tc>
        <w:tc>
          <w:tcPr>
            <w:tcW w:w="3295" w:type="dxa"/>
            <w:gridSpan w:val="3"/>
            <w:tcBorders>
              <w:top w:val="single" w:sz="4" w:space="0" w:color="auto"/>
              <w:bottom w:val="single" w:sz="4" w:space="0" w:color="auto"/>
            </w:tcBorders>
            <w:vAlign w:val="center"/>
            <w:hideMark/>
          </w:tcPr>
          <w:p w14:paraId="7C2214C3" w14:textId="77777777" w:rsidR="00A80D14" w:rsidRPr="0015624D" w:rsidRDefault="00A80D14" w:rsidP="00A80D14">
            <w:pPr>
              <w:jc w:val="center"/>
              <w:rPr>
                <w:b/>
                <w:bCs/>
                <w:sz w:val="20"/>
              </w:rPr>
            </w:pPr>
            <w:r w:rsidRPr="0015624D">
              <w:rPr>
                <w:b/>
                <w:bCs/>
                <w:sz w:val="20"/>
              </w:rPr>
              <w:t xml:space="preserve">Measured load currents </w:t>
            </w:r>
          </w:p>
        </w:tc>
        <w:tc>
          <w:tcPr>
            <w:tcW w:w="1503" w:type="dxa"/>
            <w:vMerge w:val="restart"/>
            <w:tcBorders>
              <w:top w:val="single" w:sz="4" w:space="0" w:color="auto"/>
              <w:bottom w:val="single" w:sz="4" w:space="0" w:color="auto"/>
            </w:tcBorders>
            <w:vAlign w:val="center"/>
            <w:hideMark/>
          </w:tcPr>
          <w:p w14:paraId="428377F3" w14:textId="77F49908" w:rsidR="00A80D14" w:rsidRPr="0015624D" w:rsidRDefault="004D46B6" w:rsidP="00A80D14">
            <w:pPr>
              <w:jc w:val="center"/>
              <w:rPr>
                <w:b/>
                <w:bCs/>
                <w:sz w:val="20"/>
              </w:rPr>
            </w:pPr>
            <w:proofErr w:type="spellStart"/>
            <w:r w:rsidRPr="0015624D">
              <w:rPr>
                <w:b/>
                <w:bCs/>
              </w:rPr>
              <w:t>P</w:t>
            </w:r>
            <w:r w:rsidRPr="0015624D">
              <w:rPr>
                <w:b/>
                <w:bCs/>
                <w:vertAlign w:val="subscript"/>
              </w:rPr>
              <w:t>meas</w:t>
            </w:r>
            <w:proofErr w:type="spellEnd"/>
            <w:r w:rsidR="00A80D14" w:rsidRPr="0015624D">
              <w:rPr>
                <w:b/>
                <w:bCs/>
                <w:sz w:val="20"/>
              </w:rPr>
              <w:t xml:space="preserve"> (KVA)</w:t>
            </w:r>
          </w:p>
        </w:tc>
        <w:tc>
          <w:tcPr>
            <w:tcW w:w="0" w:type="auto"/>
            <w:vMerge w:val="restart"/>
            <w:tcBorders>
              <w:top w:val="single" w:sz="4" w:space="0" w:color="auto"/>
              <w:bottom w:val="single" w:sz="4" w:space="0" w:color="auto"/>
            </w:tcBorders>
            <w:vAlign w:val="center"/>
            <w:hideMark/>
          </w:tcPr>
          <w:p w14:paraId="489D77EC" w14:textId="77777777" w:rsidR="00A80D14" w:rsidRPr="0015624D" w:rsidRDefault="00A80D14" w:rsidP="00A80D14">
            <w:pPr>
              <w:jc w:val="center"/>
              <w:rPr>
                <w:b/>
                <w:bCs/>
                <w:sz w:val="20"/>
              </w:rPr>
            </w:pPr>
            <w:r w:rsidRPr="0015624D">
              <w:rPr>
                <w:b/>
                <w:bCs/>
                <w:sz w:val="20"/>
              </w:rPr>
              <w:t>Average load rate (%)</w:t>
            </w:r>
          </w:p>
        </w:tc>
      </w:tr>
      <w:tr w:rsidR="00A80D14" w:rsidRPr="00B047A8" w14:paraId="2EDC88B0" w14:textId="77777777" w:rsidTr="008C48FB">
        <w:trPr>
          <w:trHeight w:val="154"/>
          <w:jc w:val="center"/>
        </w:trPr>
        <w:tc>
          <w:tcPr>
            <w:tcW w:w="0" w:type="auto"/>
            <w:vMerge/>
            <w:tcBorders>
              <w:top w:val="single" w:sz="4" w:space="0" w:color="auto"/>
              <w:bottom w:val="single" w:sz="4" w:space="0" w:color="auto"/>
            </w:tcBorders>
            <w:hideMark/>
          </w:tcPr>
          <w:p w14:paraId="3350CBED" w14:textId="77777777" w:rsidR="00A80D14" w:rsidRPr="00B047A8" w:rsidRDefault="00A80D14" w:rsidP="00A80D14">
            <w:pPr>
              <w:ind w:firstLine="720"/>
              <w:jc w:val="center"/>
              <w:rPr>
                <w:sz w:val="20"/>
              </w:rPr>
            </w:pPr>
          </w:p>
        </w:tc>
        <w:tc>
          <w:tcPr>
            <w:tcW w:w="0" w:type="auto"/>
            <w:vMerge/>
            <w:tcBorders>
              <w:top w:val="single" w:sz="4" w:space="0" w:color="auto"/>
              <w:bottom w:val="single" w:sz="4" w:space="0" w:color="auto"/>
            </w:tcBorders>
            <w:hideMark/>
          </w:tcPr>
          <w:p w14:paraId="3DAC13B9" w14:textId="77777777" w:rsidR="00A80D14" w:rsidRPr="00B047A8" w:rsidRDefault="00A80D14" w:rsidP="00A80D14">
            <w:pPr>
              <w:ind w:firstLine="720"/>
              <w:jc w:val="center"/>
              <w:rPr>
                <w:sz w:val="20"/>
              </w:rPr>
            </w:pPr>
          </w:p>
        </w:tc>
        <w:tc>
          <w:tcPr>
            <w:tcW w:w="1206" w:type="dxa"/>
            <w:tcBorders>
              <w:top w:val="single" w:sz="4" w:space="0" w:color="auto"/>
              <w:bottom w:val="single" w:sz="4" w:space="0" w:color="auto"/>
            </w:tcBorders>
            <w:hideMark/>
          </w:tcPr>
          <w:p w14:paraId="0D7D64C5" w14:textId="35D1C97D" w:rsidR="00A80D14" w:rsidRPr="00B047A8" w:rsidRDefault="004D46B6" w:rsidP="004D46B6">
            <w:pPr>
              <w:rPr>
                <w:sz w:val="20"/>
              </w:rPr>
            </w:pPr>
            <w:proofErr w:type="spellStart"/>
            <w:r w:rsidRPr="00B047A8">
              <w:rPr>
                <w:b/>
                <w:bCs/>
                <w:sz w:val="20"/>
                <w:lang w:eastAsia="fr-FR"/>
              </w:rPr>
              <w:t>I</w:t>
            </w:r>
            <w:r w:rsidRPr="00B047A8">
              <w:rPr>
                <w:b/>
                <w:bCs/>
                <w:sz w:val="20"/>
                <w:vertAlign w:val="subscript"/>
                <w:lang w:eastAsia="fr-FR"/>
              </w:rPr>
              <w:t>a</w:t>
            </w:r>
            <w:proofErr w:type="spellEnd"/>
            <w:r w:rsidRPr="00B047A8">
              <w:rPr>
                <w:sz w:val="20"/>
              </w:rPr>
              <w:t xml:space="preserve"> </w:t>
            </w:r>
            <w:r w:rsidR="00A80D14" w:rsidRPr="00B047A8">
              <w:rPr>
                <w:sz w:val="20"/>
              </w:rPr>
              <w:t>(A)</w:t>
            </w:r>
          </w:p>
        </w:tc>
        <w:tc>
          <w:tcPr>
            <w:tcW w:w="1107" w:type="dxa"/>
            <w:tcBorders>
              <w:top w:val="single" w:sz="4" w:space="0" w:color="auto"/>
              <w:bottom w:val="single" w:sz="4" w:space="0" w:color="auto"/>
            </w:tcBorders>
            <w:hideMark/>
          </w:tcPr>
          <w:p w14:paraId="1E8F94C3" w14:textId="043D5E78" w:rsidR="00A80D14" w:rsidRPr="00B047A8" w:rsidRDefault="004D46B6" w:rsidP="004D46B6">
            <w:pPr>
              <w:rPr>
                <w:sz w:val="20"/>
              </w:rPr>
            </w:pPr>
            <w:proofErr w:type="spellStart"/>
            <w:r w:rsidRPr="00B047A8">
              <w:rPr>
                <w:b/>
                <w:bCs/>
                <w:sz w:val="20"/>
                <w:lang w:eastAsia="fr-FR"/>
              </w:rPr>
              <w:t>I</w:t>
            </w:r>
            <w:r>
              <w:rPr>
                <w:b/>
                <w:bCs/>
                <w:sz w:val="20"/>
                <w:vertAlign w:val="subscript"/>
                <w:lang w:eastAsia="fr-FR"/>
              </w:rPr>
              <w:t>b</w:t>
            </w:r>
            <w:proofErr w:type="spellEnd"/>
            <w:r w:rsidR="00A80D14" w:rsidRPr="00B047A8">
              <w:rPr>
                <w:sz w:val="20"/>
              </w:rPr>
              <w:t xml:space="preserve"> (A)</w:t>
            </w:r>
          </w:p>
        </w:tc>
        <w:tc>
          <w:tcPr>
            <w:tcW w:w="981" w:type="dxa"/>
            <w:tcBorders>
              <w:top w:val="single" w:sz="4" w:space="0" w:color="auto"/>
              <w:bottom w:val="single" w:sz="4" w:space="0" w:color="auto"/>
            </w:tcBorders>
            <w:hideMark/>
          </w:tcPr>
          <w:p w14:paraId="054AC35A" w14:textId="01D497BD" w:rsidR="00A80D14" w:rsidRPr="00B047A8" w:rsidRDefault="004D46B6" w:rsidP="004D46B6">
            <w:pPr>
              <w:rPr>
                <w:sz w:val="20"/>
              </w:rPr>
            </w:pPr>
            <w:proofErr w:type="spellStart"/>
            <w:r w:rsidRPr="00B047A8">
              <w:rPr>
                <w:b/>
                <w:bCs/>
                <w:sz w:val="20"/>
                <w:lang w:eastAsia="fr-FR"/>
              </w:rPr>
              <w:t>I</w:t>
            </w:r>
            <w:r>
              <w:rPr>
                <w:b/>
                <w:bCs/>
                <w:sz w:val="20"/>
                <w:vertAlign w:val="subscript"/>
                <w:lang w:eastAsia="fr-FR"/>
              </w:rPr>
              <w:t>c</w:t>
            </w:r>
            <w:proofErr w:type="spellEnd"/>
            <w:r w:rsidR="00A80D14" w:rsidRPr="00B047A8">
              <w:rPr>
                <w:sz w:val="20"/>
              </w:rPr>
              <w:t xml:space="preserve"> (A)</w:t>
            </w:r>
          </w:p>
        </w:tc>
        <w:tc>
          <w:tcPr>
            <w:tcW w:w="1503" w:type="dxa"/>
            <w:vMerge/>
            <w:tcBorders>
              <w:top w:val="single" w:sz="4" w:space="0" w:color="auto"/>
              <w:bottom w:val="single" w:sz="4" w:space="0" w:color="auto"/>
            </w:tcBorders>
            <w:hideMark/>
          </w:tcPr>
          <w:p w14:paraId="20350440" w14:textId="77777777" w:rsidR="00A80D14" w:rsidRPr="00B047A8" w:rsidRDefault="00A80D14" w:rsidP="00A80D14">
            <w:pPr>
              <w:ind w:firstLine="720"/>
              <w:jc w:val="center"/>
              <w:rPr>
                <w:sz w:val="20"/>
              </w:rPr>
            </w:pPr>
          </w:p>
        </w:tc>
        <w:tc>
          <w:tcPr>
            <w:tcW w:w="0" w:type="auto"/>
            <w:vMerge/>
            <w:tcBorders>
              <w:top w:val="single" w:sz="4" w:space="0" w:color="auto"/>
              <w:bottom w:val="single" w:sz="4" w:space="0" w:color="auto"/>
            </w:tcBorders>
            <w:hideMark/>
          </w:tcPr>
          <w:p w14:paraId="2CF0D9B4" w14:textId="77777777" w:rsidR="00A80D14" w:rsidRPr="00B047A8" w:rsidRDefault="00A80D14" w:rsidP="00A80D14">
            <w:pPr>
              <w:ind w:firstLine="720"/>
              <w:jc w:val="center"/>
              <w:rPr>
                <w:sz w:val="20"/>
              </w:rPr>
            </w:pPr>
          </w:p>
        </w:tc>
      </w:tr>
      <w:tr w:rsidR="00A80D14" w:rsidRPr="00B047A8" w14:paraId="13C5DA8A" w14:textId="77777777" w:rsidTr="008C48FB">
        <w:trPr>
          <w:trHeight w:val="245"/>
          <w:jc w:val="center"/>
        </w:trPr>
        <w:tc>
          <w:tcPr>
            <w:tcW w:w="0" w:type="auto"/>
            <w:tcBorders>
              <w:top w:val="single" w:sz="4" w:space="0" w:color="auto"/>
              <w:bottom w:val="nil"/>
            </w:tcBorders>
            <w:hideMark/>
          </w:tcPr>
          <w:p w14:paraId="5D74878D" w14:textId="77777777" w:rsidR="00A80D14" w:rsidRPr="00B047A8" w:rsidRDefault="00A80D14" w:rsidP="00A80D14">
            <w:pPr>
              <w:ind w:firstLine="720"/>
              <w:jc w:val="both"/>
              <w:rPr>
                <w:sz w:val="20"/>
              </w:rPr>
            </w:pPr>
            <w:r w:rsidRPr="00B047A8">
              <w:rPr>
                <w:sz w:val="20"/>
              </w:rPr>
              <w:t>N46</w:t>
            </w:r>
          </w:p>
        </w:tc>
        <w:tc>
          <w:tcPr>
            <w:tcW w:w="0" w:type="auto"/>
            <w:tcBorders>
              <w:top w:val="single" w:sz="4" w:space="0" w:color="auto"/>
              <w:bottom w:val="nil"/>
            </w:tcBorders>
            <w:hideMark/>
          </w:tcPr>
          <w:p w14:paraId="5A810E3A" w14:textId="77777777" w:rsidR="00A80D14" w:rsidRPr="00B047A8" w:rsidRDefault="00A80D14" w:rsidP="00A80D14">
            <w:pPr>
              <w:ind w:firstLine="720"/>
              <w:jc w:val="both"/>
              <w:rPr>
                <w:sz w:val="20"/>
              </w:rPr>
            </w:pPr>
            <w:r w:rsidRPr="00B047A8">
              <w:rPr>
                <w:sz w:val="20"/>
              </w:rPr>
              <w:t>400</w:t>
            </w:r>
          </w:p>
        </w:tc>
        <w:tc>
          <w:tcPr>
            <w:tcW w:w="1206" w:type="dxa"/>
            <w:tcBorders>
              <w:top w:val="single" w:sz="4" w:space="0" w:color="auto"/>
              <w:bottom w:val="nil"/>
            </w:tcBorders>
            <w:hideMark/>
          </w:tcPr>
          <w:p w14:paraId="240BB764" w14:textId="77777777" w:rsidR="00A80D14" w:rsidRPr="00B047A8" w:rsidRDefault="00A80D14" w:rsidP="00A80D14">
            <w:pPr>
              <w:jc w:val="both"/>
              <w:rPr>
                <w:sz w:val="20"/>
              </w:rPr>
            </w:pPr>
            <w:r w:rsidRPr="00B047A8">
              <w:rPr>
                <w:sz w:val="20"/>
              </w:rPr>
              <w:t>660.00</w:t>
            </w:r>
          </w:p>
        </w:tc>
        <w:tc>
          <w:tcPr>
            <w:tcW w:w="1107" w:type="dxa"/>
            <w:tcBorders>
              <w:top w:val="single" w:sz="4" w:space="0" w:color="auto"/>
              <w:bottom w:val="nil"/>
            </w:tcBorders>
            <w:hideMark/>
          </w:tcPr>
          <w:p w14:paraId="70873584" w14:textId="77777777" w:rsidR="00A80D14" w:rsidRPr="00B047A8" w:rsidRDefault="00A80D14" w:rsidP="00A80D14">
            <w:pPr>
              <w:jc w:val="both"/>
              <w:rPr>
                <w:sz w:val="20"/>
              </w:rPr>
            </w:pPr>
            <w:r w:rsidRPr="00B047A8">
              <w:rPr>
                <w:sz w:val="20"/>
              </w:rPr>
              <w:t>570.00</w:t>
            </w:r>
          </w:p>
        </w:tc>
        <w:tc>
          <w:tcPr>
            <w:tcW w:w="981" w:type="dxa"/>
            <w:tcBorders>
              <w:top w:val="single" w:sz="4" w:space="0" w:color="auto"/>
              <w:bottom w:val="nil"/>
            </w:tcBorders>
            <w:hideMark/>
          </w:tcPr>
          <w:p w14:paraId="0E1D0004" w14:textId="77777777" w:rsidR="00A80D14" w:rsidRPr="00B047A8" w:rsidRDefault="00A80D14" w:rsidP="00A80D14">
            <w:pPr>
              <w:jc w:val="both"/>
              <w:rPr>
                <w:sz w:val="20"/>
              </w:rPr>
            </w:pPr>
            <w:r w:rsidRPr="00B047A8">
              <w:rPr>
                <w:sz w:val="20"/>
              </w:rPr>
              <w:t>670.00</w:t>
            </w:r>
          </w:p>
        </w:tc>
        <w:tc>
          <w:tcPr>
            <w:tcW w:w="1503" w:type="dxa"/>
            <w:tcBorders>
              <w:top w:val="single" w:sz="4" w:space="0" w:color="auto"/>
              <w:bottom w:val="nil"/>
            </w:tcBorders>
            <w:hideMark/>
          </w:tcPr>
          <w:p w14:paraId="0996650F" w14:textId="77777777" w:rsidR="00A80D14" w:rsidRPr="00B047A8" w:rsidRDefault="00A80D14" w:rsidP="00A80D14">
            <w:pPr>
              <w:ind w:firstLine="720"/>
              <w:jc w:val="both"/>
              <w:rPr>
                <w:sz w:val="20"/>
              </w:rPr>
            </w:pPr>
            <w:r w:rsidRPr="00B047A8">
              <w:rPr>
                <w:sz w:val="20"/>
              </w:rPr>
              <w:t>495.00</w:t>
            </w:r>
          </w:p>
        </w:tc>
        <w:tc>
          <w:tcPr>
            <w:tcW w:w="0" w:type="auto"/>
            <w:tcBorders>
              <w:top w:val="single" w:sz="4" w:space="0" w:color="auto"/>
              <w:bottom w:val="nil"/>
            </w:tcBorders>
            <w:hideMark/>
          </w:tcPr>
          <w:p w14:paraId="69AFAE7D" w14:textId="77777777" w:rsidR="00A80D14" w:rsidRPr="00B047A8" w:rsidRDefault="00A80D14" w:rsidP="00A80D14">
            <w:pPr>
              <w:ind w:firstLine="720"/>
              <w:jc w:val="both"/>
              <w:rPr>
                <w:sz w:val="20"/>
              </w:rPr>
            </w:pPr>
            <w:r w:rsidRPr="00B047A8">
              <w:rPr>
                <w:sz w:val="20"/>
              </w:rPr>
              <w:t>123.75</w:t>
            </w:r>
          </w:p>
        </w:tc>
      </w:tr>
      <w:tr w:rsidR="00A80D14" w:rsidRPr="00B047A8" w14:paraId="1434B66F" w14:textId="77777777" w:rsidTr="008C48FB">
        <w:trPr>
          <w:trHeight w:val="245"/>
          <w:jc w:val="center"/>
        </w:trPr>
        <w:tc>
          <w:tcPr>
            <w:tcW w:w="0" w:type="auto"/>
            <w:tcBorders>
              <w:top w:val="nil"/>
            </w:tcBorders>
            <w:hideMark/>
          </w:tcPr>
          <w:p w14:paraId="285D8D8B" w14:textId="77777777" w:rsidR="00A80D14" w:rsidRPr="00B047A8" w:rsidRDefault="00A80D14" w:rsidP="00A80D14">
            <w:pPr>
              <w:ind w:firstLine="720"/>
              <w:jc w:val="both"/>
              <w:rPr>
                <w:sz w:val="20"/>
              </w:rPr>
            </w:pPr>
            <w:r w:rsidRPr="00B047A8">
              <w:rPr>
                <w:sz w:val="20"/>
              </w:rPr>
              <w:t>T75</w:t>
            </w:r>
          </w:p>
        </w:tc>
        <w:tc>
          <w:tcPr>
            <w:tcW w:w="0" w:type="auto"/>
            <w:tcBorders>
              <w:top w:val="nil"/>
            </w:tcBorders>
            <w:hideMark/>
          </w:tcPr>
          <w:p w14:paraId="280BC3D2" w14:textId="77777777" w:rsidR="00A80D14" w:rsidRPr="00B047A8" w:rsidRDefault="00A80D14" w:rsidP="00A80D14">
            <w:pPr>
              <w:ind w:firstLine="720"/>
              <w:jc w:val="both"/>
              <w:rPr>
                <w:sz w:val="20"/>
              </w:rPr>
            </w:pPr>
            <w:r w:rsidRPr="00B047A8">
              <w:rPr>
                <w:sz w:val="20"/>
              </w:rPr>
              <w:t>630</w:t>
            </w:r>
          </w:p>
        </w:tc>
        <w:tc>
          <w:tcPr>
            <w:tcW w:w="1206" w:type="dxa"/>
            <w:tcBorders>
              <w:top w:val="nil"/>
            </w:tcBorders>
            <w:hideMark/>
          </w:tcPr>
          <w:p w14:paraId="66641D36" w14:textId="77777777" w:rsidR="00A80D14" w:rsidRPr="00B047A8" w:rsidRDefault="00A80D14" w:rsidP="00A80D14">
            <w:pPr>
              <w:jc w:val="both"/>
              <w:rPr>
                <w:sz w:val="20"/>
              </w:rPr>
            </w:pPr>
            <w:r w:rsidRPr="00B047A8">
              <w:rPr>
                <w:sz w:val="20"/>
              </w:rPr>
              <w:t>664.00</w:t>
            </w:r>
          </w:p>
        </w:tc>
        <w:tc>
          <w:tcPr>
            <w:tcW w:w="1107" w:type="dxa"/>
            <w:tcBorders>
              <w:top w:val="nil"/>
            </w:tcBorders>
            <w:hideMark/>
          </w:tcPr>
          <w:p w14:paraId="29C19D3A" w14:textId="77777777" w:rsidR="00A80D14" w:rsidRPr="00B047A8" w:rsidRDefault="00A80D14" w:rsidP="00A80D14">
            <w:pPr>
              <w:jc w:val="both"/>
              <w:rPr>
                <w:sz w:val="20"/>
              </w:rPr>
            </w:pPr>
            <w:r w:rsidRPr="00B047A8">
              <w:rPr>
                <w:sz w:val="20"/>
              </w:rPr>
              <w:t>641.00</w:t>
            </w:r>
          </w:p>
        </w:tc>
        <w:tc>
          <w:tcPr>
            <w:tcW w:w="981" w:type="dxa"/>
            <w:tcBorders>
              <w:top w:val="nil"/>
            </w:tcBorders>
            <w:hideMark/>
          </w:tcPr>
          <w:p w14:paraId="03B9702C" w14:textId="77777777" w:rsidR="00A80D14" w:rsidRPr="00B047A8" w:rsidRDefault="00A80D14" w:rsidP="00A80D14">
            <w:pPr>
              <w:jc w:val="both"/>
              <w:rPr>
                <w:sz w:val="20"/>
              </w:rPr>
            </w:pPr>
            <w:r w:rsidRPr="00B047A8">
              <w:rPr>
                <w:sz w:val="20"/>
              </w:rPr>
              <w:t>68.00</w:t>
            </w:r>
          </w:p>
        </w:tc>
        <w:tc>
          <w:tcPr>
            <w:tcW w:w="1503" w:type="dxa"/>
            <w:tcBorders>
              <w:top w:val="nil"/>
            </w:tcBorders>
            <w:hideMark/>
          </w:tcPr>
          <w:p w14:paraId="7C110100" w14:textId="77777777" w:rsidR="00A80D14" w:rsidRPr="00B047A8" w:rsidRDefault="00A80D14" w:rsidP="00A80D14">
            <w:pPr>
              <w:ind w:firstLine="720"/>
              <w:jc w:val="both"/>
              <w:rPr>
                <w:sz w:val="20"/>
              </w:rPr>
            </w:pPr>
            <w:r w:rsidRPr="00B047A8">
              <w:rPr>
                <w:sz w:val="20"/>
              </w:rPr>
              <w:t>530.27</w:t>
            </w:r>
          </w:p>
        </w:tc>
        <w:tc>
          <w:tcPr>
            <w:tcW w:w="0" w:type="auto"/>
            <w:tcBorders>
              <w:top w:val="nil"/>
            </w:tcBorders>
            <w:hideMark/>
          </w:tcPr>
          <w:p w14:paraId="336065F8" w14:textId="77777777" w:rsidR="00A80D14" w:rsidRPr="00B047A8" w:rsidRDefault="00A80D14" w:rsidP="00A80D14">
            <w:pPr>
              <w:ind w:firstLine="720"/>
              <w:jc w:val="both"/>
              <w:rPr>
                <w:sz w:val="20"/>
              </w:rPr>
            </w:pPr>
            <w:r w:rsidRPr="00B047A8">
              <w:rPr>
                <w:sz w:val="20"/>
              </w:rPr>
              <w:t>84.17</w:t>
            </w:r>
          </w:p>
        </w:tc>
      </w:tr>
      <w:tr w:rsidR="00A80D14" w:rsidRPr="00B047A8" w14:paraId="5E7F7AE4" w14:textId="77777777" w:rsidTr="008C48FB">
        <w:trPr>
          <w:trHeight w:val="245"/>
          <w:jc w:val="center"/>
        </w:trPr>
        <w:tc>
          <w:tcPr>
            <w:tcW w:w="0" w:type="auto"/>
            <w:hideMark/>
          </w:tcPr>
          <w:p w14:paraId="454783E9" w14:textId="77777777" w:rsidR="00A80D14" w:rsidRPr="00B047A8" w:rsidRDefault="00A80D14" w:rsidP="00A80D14">
            <w:pPr>
              <w:ind w:firstLine="720"/>
              <w:jc w:val="both"/>
              <w:rPr>
                <w:sz w:val="20"/>
              </w:rPr>
            </w:pPr>
            <w:r w:rsidRPr="00B047A8">
              <w:rPr>
                <w:sz w:val="20"/>
              </w:rPr>
              <w:t>T48</w:t>
            </w:r>
          </w:p>
        </w:tc>
        <w:tc>
          <w:tcPr>
            <w:tcW w:w="0" w:type="auto"/>
            <w:hideMark/>
          </w:tcPr>
          <w:p w14:paraId="639C5556" w14:textId="77777777" w:rsidR="00A80D14" w:rsidRPr="00B047A8" w:rsidRDefault="00A80D14" w:rsidP="00A80D14">
            <w:pPr>
              <w:ind w:firstLine="720"/>
              <w:jc w:val="both"/>
              <w:rPr>
                <w:sz w:val="20"/>
              </w:rPr>
            </w:pPr>
            <w:r w:rsidRPr="00B047A8">
              <w:rPr>
                <w:sz w:val="20"/>
              </w:rPr>
              <w:t>400</w:t>
            </w:r>
          </w:p>
        </w:tc>
        <w:tc>
          <w:tcPr>
            <w:tcW w:w="1206" w:type="dxa"/>
            <w:hideMark/>
          </w:tcPr>
          <w:p w14:paraId="7F82C052" w14:textId="77777777" w:rsidR="00A80D14" w:rsidRPr="00B047A8" w:rsidRDefault="00A80D14" w:rsidP="00A80D14">
            <w:pPr>
              <w:jc w:val="both"/>
              <w:rPr>
                <w:sz w:val="20"/>
              </w:rPr>
            </w:pPr>
            <w:r w:rsidRPr="00B047A8">
              <w:rPr>
                <w:sz w:val="20"/>
              </w:rPr>
              <w:t>666.00</w:t>
            </w:r>
          </w:p>
        </w:tc>
        <w:tc>
          <w:tcPr>
            <w:tcW w:w="1107" w:type="dxa"/>
            <w:hideMark/>
          </w:tcPr>
          <w:p w14:paraId="56190233" w14:textId="77777777" w:rsidR="00A80D14" w:rsidRPr="00B047A8" w:rsidRDefault="00A80D14" w:rsidP="00A80D14">
            <w:pPr>
              <w:jc w:val="both"/>
              <w:rPr>
                <w:sz w:val="20"/>
              </w:rPr>
            </w:pPr>
            <w:r w:rsidRPr="00B047A8">
              <w:rPr>
                <w:sz w:val="20"/>
              </w:rPr>
              <w:t>573.00</w:t>
            </w:r>
          </w:p>
        </w:tc>
        <w:tc>
          <w:tcPr>
            <w:tcW w:w="981" w:type="dxa"/>
            <w:hideMark/>
          </w:tcPr>
          <w:p w14:paraId="18763479" w14:textId="77777777" w:rsidR="00A80D14" w:rsidRPr="00B047A8" w:rsidRDefault="00A80D14" w:rsidP="00A80D14">
            <w:pPr>
              <w:jc w:val="both"/>
              <w:rPr>
                <w:sz w:val="20"/>
              </w:rPr>
            </w:pPr>
            <w:r w:rsidRPr="00B047A8">
              <w:rPr>
                <w:sz w:val="20"/>
              </w:rPr>
              <w:t>669.00</w:t>
            </w:r>
          </w:p>
        </w:tc>
        <w:tc>
          <w:tcPr>
            <w:tcW w:w="1503" w:type="dxa"/>
            <w:hideMark/>
          </w:tcPr>
          <w:p w14:paraId="09C7C68D" w14:textId="77777777" w:rsidR="00A80D14" w:rsidRPr="00B047A8" w:rsidRDefault="00A80D14" w:rsidP="00A80D14">
            <w:pPr>
              <w:ind w:firstLine="720"/>
              <w:jc w:val="both"/>
              <w:rPr>
                <w:sz w:val="20"/>
              </w:rPr>
            </w:pPr>
            <w:r w:rsidRPr="00B047A8">
              <w:rPr>
                <w:sz w:val="20"/>
              </w:rPr>
              <w:t>465.36</w:t>
            </w:r>
          </w:p>
        </w:tc>
        <w:tc>
          <w:tcPr>
            <w:tcW w:w="0" w:type="auto"/>
            <w:hideMark/>
          </w:tcPr>
          <w:p w14:paraId="5018B25D" w14:textId="77777777" w:rsidR="00A80D14" w:rsidRPr="00B047A8" w:rsidRDefault="00A80D14" w:rsidP="00A80D14">
            <w:pPr>
              <w:ind w:firstLine="720"/>
              <w:jc w:val="both"/>
              <w:rPr>
                <w:sz w:val="20"/>
              </w:rPr>
            </w:pPr>
            <w:r w:rsidRPr="00B047A8">
              <w:rPr>
                <w:sz w:val="20"/>
              </w:rPr>
              <w:t>116.34</w:t>
            </w:r>
          </w:p>
        </w:tc>
      </w:tr>
      <w:tr w:rsidR="00A80D14" w:rsidRPr="00B047A8" w14:paraId="33948E71" w14:textId="77777777" w:rsidTr="008C48FB">
        <w:trPr>
          <w:trHeight w:val="245"/>
          <w:jc w:val="center"/>
        </w:trPr>
        <w:tc>
          <w:tcPr>
            <w:tcW w:w="0" w:type="auto"/>
            <w:hideMark/>
          </w:tcPr>
          <w:p w14:paraId="5B9A6640" w14:textId="77777777" w:rsidR="00A80D14" w:rsidRPr="00B047A8" w:rsidRDefault="00A80D14" w:rsidP="00A80D14">
            <w:pPr>
              <w:ind w:firstLine="720"/>
              <w:jc w:val="both"/>
              <w:rPr>
                <w:sz w:val="20"/>
              </w:rPr>
            </w:pPr>
            <w:r w:rsidRPr="00B047A8">
              <w:rPr>
                <w:sz w:val="20"/>
              </w:rPr>
              <w:t>T03</w:t>
            </w:r>
          </w:p>
        </w:tc>
        <w:tc>
          <w:tcPr>
            <w:tcW w:w="0" w:type="auto"/>
            <w:hideMark/>
          </w:tcPr>
          <w:p w14:paraId="4D5194E5" w14:textId="77777777" w:rsidR="00A80D14" w:rsidRPr="00B047A8" w:rsidRDefault="00A80D14" w:rsidP="00A80D14">
            <w:pPr>
              <w:ind w:firstLine="720"/>
              <w:jc w:val="both"/>
              <w:rPr>
                <w:sz w:val="20"/>
              </w:rPr>
            </w:pPr>
            <w:r w:rsidRPr="00B047A8">
              <w:rPr>
                <w:sz w:val="20"/>
              </w:rPr>
              <w:t>630</w:t>
            </w:r>
          </w:p>
        </w:tc>
        <w:tc>
          <w:tcPr>
            <w:tcW w:w="1206" w:type="dxa"/>
            <w:hideMark/>
          </w:tcPr>
          <w:p w14:paraId="4DC9E165" w14:textId="77777777" w:rsidR="00A80D14" w:rsidRPr="00B047A8" w:rsidRDefault="00A80D14" w:rsidP="00A80D14">
            <w:pPr>
              <w:jc w:val="both"/>
              <w:rPr>
                <w:sz w:val="20"/>
              </w:rPr>
            </w:pPr>
            <w:r w:rsidRPr="00B047A8">
              <w:rPr>
                <w:sz w:val="20"/>
              </w:rPr>
              <w:t>36.43</w:t>
            </w:r>
          </w:p>
        </w:tc>
        <w:tc>
          <w:tcPr>
            <w:tcW w:w="1107" w:type="dxa"/>
            <w:hideMark/>
          </w:tcPr>
          <w:p w14:paraId="54D8AF1D" w14:textId="77777777" w:rsidR="00A80D14" w:rsidRPr="00B047A8" w:rsidRDefault="00A80D14" w:rsidP="00A80D14">
            <w:pPr>
              <w:jc w:val="both"/>
              <w:rPr>
                <w:sz w:val="20"/>
              </w:rPr>
            </w:pPr>
            <w:r w:rsidRPr="00B047A8">
              <w:rPr>
                <w:sz w:val="20"/>
              </w:rPr>
              <w:t>520.00</w:t>
            </w:r>
          </w:p>
        </w:tc>
        <w:tc>
          <w:tcPr>
            <w:tcW w:w="981" w:type="dxa"/>
            <w:hideMark/>
          </w:tcPr>
          <w:p w14:paraId="17C2DA0F" w14:textId="77777777" w:rsidR="00A80D14" w:rsidRPr="00B047A8" w:rsidRDefault="00A80D14" w:rsidP="00A80D14">
            <w:pPr>
              <w:jc w:val="both"/>
              <w:rPr>
                <w:sz w:val="20"/>
              </w:rPr>
            </w:pPr>
            <w:r w:rsidRPr="00B047A8">
              <w:rPr>
                <w:sz w:val="20"/>
              </w:rPr>
              <w:t>328.80</w:t>
            </w:r>
          </w:p>
        </w:tc>
        <w:tc>
          <w:tcPr>
            <w:tcW w:w="1503" w:type="dxa"/>
            <w:hideMark/>
          </w:tcPr>
          <w:p w14:paraId="293421DB" w14:textId="77777777" w:rsidR="00A80D14" w:rsidRPr="00B047A8" w:rsidRDefault="00A80D14" w:rsidP="00A80D14">
            <w:pPr>
              <w:ind w:firstLine="720"/>
              <w:jc w:val="both"/>
              <w:rPr>
                <w:sz w:val="20"/>
              </w:rPr>
            </w:pPr>
            <w:r w:rsidRPr="00B047A8">
              <w:rPr>
                <w:sz w:val="20"/>
              </w:rPr>
              <w:t>335.03</w:t>
            </w:r>
          </w:p>
        </w:tc>
        <w:tc>
          <w:tcPr>
            <w:tcW w:w="0" w:type="auto"/>
            <w:hideMark/>
          </w:tcPr>
          <w:p w14:paraId="50038F12" w14:textId="77777777" w:rsidR="00A80D14" w:rsidRPr="00B047A8" w:rsidRDefault="00A80D14" w:rsidP="00A80D14">
            <w:pPr>
              <w:ind w:firstLine="720"/>
              <w:jc w:val="both"/>
              <w:rPr>
                <w:sz w:val="20"/>
              </w:rPr>
            </w:pPr>
            <w:r w:rsidRPr="00B047A8">
              <w:rPr>
                <w:sz w:val="20"/>
              </w:rPr>
              <w:t>53.00</w:t>
            </w:r>
          </w:p>
        </w:tc>
      </w:tr>
      <w:tr w:rsidR="00A80D14" w:rsidRPr="00B047A8" w14:paraId="5C7F4D5D" w14:textId="77777777" w:rsidTr="008C48FB">
        <w:trPr>
          <w:trHeight w:val="258"/>
          <w:jc w:val="center"/>
        </w:trPr>
        <w:tc>
          <w:tcPr>
            <w:tcW w:w="0" w:type="auto"/>
            <w:hideMark/>
          </w:tcPr>
          <w:p w14:paraId="652943EA" w14:textId="77777777" w:rsidR="00A80D14" w:rsidRPr="00B047A8" w:rsidRDefault="00A80D14" w:rsidP="00A80D14">
            <w:pPr>
              <w:ind w:firstLine="720"/>
              <w:jc w:val="both"/>
              <w:rPr>
                <w:sz w:val="20"/>
              </w:rPr>
            </w:pPr>
            <w:r w:rsidRPr="00B047A8">
              <w:rPr>
                <w:sz w:val="20"/>
              </w:rPr>
              <w:t>T05</w:t>
            </w:r>
          </w:p>
        </w:tc>
        <w:tc>
          <w:tcPr>
            <w:tcW w:w="0" w:type="auto"/>
            <w:hideMark/>
          </w:tcPr>
          <w:p w14:paraId="7B1F510E" w14:textId="77777777" w:rsidR="00A80D14" w:rsidRPr="00B047A8" w:rsidRDefault="00A80D14" w:rsidP="00A80D14">
            <w:pPr>
              <w:ind w:firstLine="720"/>
              <w:jc w:val="both"/>
              <w:rPr>
                <w:sz w:val="20"/>
              </w:rPr>
            </w:pPr>
            <w:r w:rsidRPr="00B047A8">
              <w:rPr>
                <w:sz w:val="20"/>
              </w:rPr>
              <w:t>400</w:t>
            </w:r>
          </w:p>
        </w:tc>
        <w:tc>
          <w:tcPr>
            <w:tcW w:w="1206" w:type="dxa"/>
            <w:hideMark/>
          </w:tcPr>
          <w:p w14:paraId="7B75793F" w14:textId="77777777" w:rsidR="00A80D14" w:rsidRPr="00B047A8" w:rsidRDefault="00A80D14" w:rsidP="00A80D14">
            <w:pPr>
              <w:jc w:val="both"/>
              <w:rPr>
                <w:sz w:val="20"/>
              </w:rPr>
            </w:pPr>
            <w:r w:rsidRPr="00B047A8">
              <w:rPr>
                <w:sz w:val="20"/>
              </w:rPr>
              <w:t>806.50</w:t>
            </w:r>
          </w:p>
        </w:tc>
        <w:tc>
          <w:tcPr>
            <w:tcW w:w="1107" w:type="dxa"/>
            <w:hideMark/>
          </w:tcPr>
          <w:p w14:paraId="64B96D21" w14:textId="77777777" w:rsidR="00A80D14" w:rsidRPr="00B047A8" w:rsidRDefault="00A80D14" w:rsidP="00A80D14">
            <w:pPr>
              <w:jc w:val="both"/>
              <w:rPr>
                <w:sz w:val="20"/>
              </w:rPr>
            </w:pPr>
            <w:r w:rsidRPr="00B047A8">
              <w:rPr>
                <w:sz w:val="20"/>
              </w:rPr>
              <w:t>620.30</w:t>
            </w:r>
          </w:p>
        </w:tc>
        <w:tc>
          <w:tcPr>
            <w:tcW w:w="981" w:type="dxa"/>
            <w:hideMark/>
          </w:tcPr>
          <w:p w14:paraId="389C85F2" w14:textId="77777777" w:rsidR="00A80D14" w:rsidRPr="00B047A8" w:rsidRDefault="00A80D14" w:rsidP="00A80D14">
            <w:pPr>
              <w:jc w:val="both"/>
              <w:rPr>
                <w:sz w:val="20"/>
              </w:rPr>
            </w:pPr>
            <w:r w:rsidRPr="00B047A8">
              <w:rPr>
                <w:sz w:val="20"/>
              </w:rPr>
              <w:t>590.50</w:t>
            </w:r>
          </w:p>
        </w:tc>
        <w:tc>
          <w:tcPr>
            <w:tcW w:w="1503" w:type="dxa"/>
            <w:hideMark/>
          </w:tcPr>
          <w:p w14:paraId="67CB7186" w14:textId="77777777" w:rsidR="00A80D14" w:rsidRPr="00B047A8" w:rsidRDefault="00A80D14" w:rsidP="00A80D14">
            <w:pPr>
              <w:ind w:firstLine="720"/>
              <w:jc w:val="both"/>
              <w:rPr>
                <w:sz w:val="20"/>
              </w:rPr>
            </w:pPr>
            <w:r w:rsidRPr="00B047A8">
              <w:rPr>
                <w:sz w:val="20"/>
              </w:rPr>
              <w:t>582.50</w:t>
            </w:r>
          </w:p>
        </w:tc>
        <w:tc>
          <w:tcPr>
            <w:tcW w:w="0" w:type="auto"/>
            <w:hideMark/>
          </w:tcPr>
          <w:p w14:paraId="02CF0F01" w14:textId="77777777" w:rsidR="00A80D14" w:rsidRPr="00B047A8" w:rsidRDefault="00A80D14" w:rsidP="00A80D14">
            <w:pPr>
              <w:ind w:firstLine="720"/>
              <w:jc w:val="both"/>
              <w:rPr>
                <w:sz w:val="20"/>
              </w:rPr>
            </w:pPr>
            <w:r w:rsidRPr="00B047A8">
              <w:rPr>
                <w:sz w:val="20"/>
              </w:rPr>
              <w:t>145.50</w:t>
            </w:r>
          </w:p>
        </w:tc>
      </w:tr>
      <w:tr w:rsidR="00A80D14" w:rsidRPr="00B047A8" w14:paraId="70E9BA29" w14:textId="77777777" w:rsidTr="008C48FB">
        <w:trPr>
          <w:trHeight w:val="245"/>
          <w:jc w:val="center"/>
        </w:trPr>
        <w:tc>
          <w:tcPr>
            <w:tcW w:w="0" w:type="auto"/>
            <w:hideMark/>
          </w:tcPr>
          <w:p w14:paraId="1AC7C4E1" w14:textId="77777777" w:rsidR="00A80D14" w:rsidRPr="00B047A8" w:rsidRDefault="00A80D14" w:rsidP="00A80D14">
            <w:pPr>
              <w:ind w:firstLine="720"/>
              <w:jc w:val="both"/>
              <w:rPr>
                <w:sz w:val="20"/>
              </w:rPr>
            </w:pPr>
            <w:r w:rsidRPr="00B047A8">
              <w:rPr>
                <w:sz w:val="20"/>
              </w:rPr>
              <w:t>T07</w:t>
            </w:r>
          </w:p>
        </w:tc>
        <w:tc>
          <w:tcPr>
            <w:tcW w:w="0" w:type="auto"/>
            <w:hideMark/>
          </w:tcPr>
          <w:p w14:paraId="7CD898EB" w14:textId="77777777" w:rsidR="00A80D14" w:rsidRPr="00B047A8" w:rsidRDefault="00A80D14" w:rsidP="00A80D14">
            <w:pPr>
              <w:ind w:firstLine="720"/>
              <w:jc w:val="both"/>
              <w:rPr>
                <w:sz w:val="20"/>
              </w:rPr>
            </w:pPr>
            <w:r w:rsidRPr="00B047A8">
              <w:rPr>
                <w:sz w:val="20"/>
              </w:rPr>
              <w:t>1000</w:t>
            </w:r>
          </w:p>
        </w:tc>
        <w:tc>
          <w:tcPr>
            <w:tcW w:w="1206" w:type="dxa"/>
            <w:hideMark/>
          </w:tcPr>
          <w:p w14:paraId="1C6F5D85" w14:textId="77777777" w:rsidR="00A80D14" w:rsidRPr="00B047A8" w:rsidRDefault="00A80D14" w:rsidP="00A80D14">
            <w:pPr>
              <w:jc w:val="both"/>
              <w:rPr>
                <w:sz w:val="20"/>
              </w:rPr>
            </w:pPr>
            <w:r w:rsidRPr="00B047A8">
              <w:rPr>
                <w:sz w:val="20"/>
              </w:rPr>
              <w:t>638.70</w:t>
            </w:r>
          </w:p>
        </w:tc>
        <w:tc>
          <w:tcPr>
            <w:tcW w:w="1107" w:type="dxa"/>
            <w:hideMark/>
          </w:tcPr>
          <w:p w14:paraId="77636B63" w14:textId="77777777" w:rsidR="00A80D14" w:rsidRPr="00B047A8" w:rsidRDefault="00A80D14" w:rsidP="00A80D14">
            <w:pPr>
              <w:jc w:val="both"/>
              <w:rPr>
                <w:sz w:val="20"/>
              </w:rPr>
            </w:pPr>
            <w:r w:rsidRPr="00B047A8">
              <w:rPr>
                <w:sz w:val="20"/>
              </w:rPr>
              <w:t>815.60</w:t>
            </w:r>
          </w:p>
        </w:tc>
        <w:tc>
          <w:tcPr>
            <w:tcW w:w="981" w:type="dxa"/>
            <w:hideMark/>
          </w:tcPr>
          <w:p w14:paraId="3C1BBE62" w14:textId="77777777" w:rsidR="00A80D14" w:rsidRPr="00B047A8" w:rsidRDefault="00A80D14" w:rsidP="00A80D14">
            <w:pPr>
              <w:jc w:val="both"/>
              <w:rPr>
                <w:sz w:val="20"/>
              </w:rPr>
            </w:pPr>
            <w:r w:rsidRPr="00B047A8">
              <w:rPr>
                <w:sz w:val="20"/>
              </w:rPr>
              <w:t>610.20</w:t>
            </w:r>
          </w:p>
        </w:tc>
        <w:tc>
          <w:tcPr>
            <w:tcW w:w="1503" w:type="dxa"/>
            <w:hideMark/>
          </w:tcPr>
          <w:p w14:paraId="0F63948A" w14:textId="77777777" w:rsidR="00A80D14" w:rsidRPr="00B047A8" w:rsidRDefault="00A80D14" w:rsidP="00A80D14">
            <w:pPr>
              <w:ind w:firstLine="720"/>
              <w:jc w:val="both"/>
              <w:rPr>
                <w:sz w:val="20"/>
              </w:rPr>
            </w:pPr>
            <w:r w:rsidRPr="00B047A8">
              <w:rPr>
                <w:sz w:val="20"/>
              </w:rPr>
              <w:t>684.66</w:t>
            </w:r>
          </w:p>
        </w:tc>
        <w:tc>
          <w:tcPr>
            <w:tcW w:w="0" w:type="auto"/>
            <w:hideMark/>
          </w:tcPr>
          <w:p w14:paraId="7A462AED" w14:textId="77777777" w:rsidR="00A80D14" w:rsidRPr="00B047A8" w:rsidRDefault="00A80D14" w:rsidP="00A80D14">
            <w:pPr>
              <w:ind w:firstLine="720"/>
              <w:jc w:val="both"/>
              <w:rPr>
                <w:sz w:val="20"/>
              </w:rPr>
            </w:pPr>
            <w:r w:rsidRPr="00B047A8">
              <w:rPr>
                <w:sz w:val="20"/>
              </w:rPr>
              <w:t>68.46</w:t>
            </w:r>
          </w:p>
        </w:tc>
      </w:tr>
      <w:tr w:rsidR="00A80D14" w:rsidRPr="00B047A8" w14:paraId="4F8174AE" w14:textId="77777777" w:rsidTr="008C48FB">
        <w:trPr>
          <w:trHeight w:val="245"/>
          <w:jc w:val="center"/>
        </w:trPr>
        <w:tc>
          <w:tcPr>
            <w:tcW w:w="0" w:type="auto"/>
            <w:hideMark/>
          </w:tcPr>
          <w:p w14:paraId="51979EAB" w14:textId="77777777" w:rsidR="00A80D14" w:rsidRPr="00B047A8" w:rsidRDefault="00A80D14" w:rsidP="00A80D14">
            <w:pPr>
              <w:ind w:firstLine="720"/>
              <w:jc w:val="both"/>
              <w:rPr>
                <w:sz w:val="20"/>
              </w:rPr>
            </w:pPr>
            <w:r w:rsidRPr="00B047A8">
              <w:rPr>
                <w:sz w:val="20"/>
              </w:rPr>
              <w:t>T10</w:t>
            </w:r>
          </w:p>
        </w:tc>
        <w:tc>
          <w:tcPr>
            <w:tcW w:w="0" w:type="auto"/>
            <w:hideMark/>
          </w:tcPr>
          <w:p w14:paraId="40AEF5FD" w14:textId="77777777" w:rsidR="00A80D14" w:rsidRPr="00B047A8" w:rsidRDefault="00A80D14" w:rsidP="00A80D14">
            <w:pPr>
              <w:ind w:firstLine="720"/>
              <w:jc w:val="both"/>
              <w:rPr>
                <w:sz w:val="20"/>
              </w:rPr>
            </w:pPr>
            <w:r w:rsidRPr="00B047A8">
              <w:rPr>
                <w:sz w:val="20"/>
              </w:rPr>
              <w:t>1000</w:t>
            </w:r>
          </w:p>
        </w:tc>
        <w:tc>
          <w:tcPr>
            <w:tcW w:w="1206" w:type="dxa"/>
            <w:hideMark/>
          </w:tcPr>
          <w:p w14:paraId="131FCC05" w14:textId="77777777" w:rsidR="00A80D14" w:rsidRPr="00B047A8" w:rsidRDefault="00A80D14" w:rsidP="00A80D14">
            <w:pPr>
              <w:jc w:val="both"/>
              <w:rPr>
                <w:sz w:val="20"/>
              </w:rPr>
            </w:pPr>
            <w:r w:rsidRPr="00B047A8">
              <w:rPr>
                <w:sz w:val="20"/>
              </w:rPr>
              <w:t>537.00</w:t>
            </w:r>
          </w:p>
        </w:tc>
        <w:tc>
          <w:tcPr>
            <w:tcW w:w="1107" w:type="dxa"/>
            <w:hideMark/>
          </w:tcPr>
          <w:p w14:paraId="45E29EE1" w14:textId="77777777" w:rsidR="00A80D14" w:rsidRPr="00B047A8" w:rsidRDefault="00A80D14" w:rsidP="00A80D14">
            <w:pPr>
              <w:jc w:val="both"/>
              <w:rPr>
                <w:sz w:val="20"/>
              </w:rPr>
            </w:pPr>
            <w:r w:rsidRPr="00B047A8">
              <w:rPr>
                <w:sz w:val="20"/>
              </w:rPr>
              <w:t>531.30</w:t>
            </w:r>
          </w:p>
        </w:tc>
        <w:tc>
          <w:tcPr>
            <w:tcW w:w="981" w:type="dxa"/>
            <w:hideMark/>
          </w:tcPr>
          <w:p w14:paraId="21F5E705" w14:textId="77777777" w:rsidR="00A80D14" w:rsidRPr="00B047A8" w:rsidRDefault="00A80D14" w:rsidP="00A80D14">
            <w:pPr>
              <w:jc w:val="both"/>
              <w:rPr>
                <w:sz w:val="20"/>
              </w:rPr>
            </w:pPr>
            <w:r w:rsidRPr="00B047A8">
              <w:rPr>
                <w:sz w:val="20"/>
              </w:rPr>
              <w:t>440.70</w:t>
            </w:r>
          </w:p>
        </w:tc>
        <w:tc>
          <w:tcPr>
            <w:tcW w:w="1503" w:type="dxa"/>
            <w:hideMark/>
          </w:tcPr>
          <w:p w14:paraId="71AC7704" w14:textId="77777777" w:rsidR="00A80D14" w:rsidRPr="00B047A8" w:rsidRDefault="00A80D14" w:rsidP="00A80D14">
            <w:pPr>
              <w:ind w:firstLine="720"/>
              <w:jc w:val="both"/>
              <w:rPr>
                <w:sz w:val="20"/>
              </w:rPr>
            </w:pPr>
            <w:r w:rsidRPr="00B047A8">
              <w:rPr>
                <w:sz w:val="20"/>
              </w:rPr>
              <w:t>640.80</w:t>
            </w:r>
          </w:p>
        </w:tc>
        <w:tc>
          <w:tcPr>
            <w:tcW w:w="0" w:type="auto"/>
            <w:hideMark/>
          </w:tcPr>
          <w:p w14:paraId="005ECA3F" w14:textId="77777777" w:rsidR="00A80D14" w:rsidRPr="00B047A8" w:rsidRDefault="00A80D14" w:rsidP="00A80D14">
            <w:pPr>
              <w:ind w:firstLine="720"/>
              <w:jc w:val="both"/>
              <w:rPr>
                <w:sz w:val="20"/>
              </w:rPr>
            </w:pPr>
            <w:r w:rsidRPr="00B047A8">
              <w:rPr>
                <w:sz w:val="20"/>
              </w:rPr>
              <w:t>64.08</w:t>
            </w:r>
          </w:p>
        </w:tc>
      </w:tr>
      <w:tr w:rsidR="00A80D14" w:rsidRPr="00B047A8" w14:paraId="67ACD60F" w14:textId="77777777" w:rsidTr="008C48FB">
        <w:trPr>
          <w:trHeight w:val="245"/>
          <w:jc w:val="center"/>
        </w:trPr>
        <w:tc>
          <w:tcPr>
            <w:tcW w:w="0" w:type="auto"/>
            <w:hideMark/>
          </w:tcPr>
          <w:p w14:paraId="34660DFB" w14:textId="77777777" w:rsidR="00A80D14" w:rsidRPr="00B047A8" w:rsidRDefault="00A80D14" w:rsidP="00A80D14">
            <w:pPr>
              <w:ind w:firstLine="720"/>
              <w:jc w:val="both"/>
              <w:rPr>
                <w:sz w:val="20"/>
              </w:rPr>
            </w:pPr>
            <w:r w:rsidRPr="00B047A8">
              <w:rPr>
                <w:sz w:val="20"/>
              </w:rPr>
              <w:t>T17</w:t>
            </w:r>
          </w:p>
        </w:tc>
        <w:tc>
          <w:tcPr>
            <w:tcW w:w="0" w:type="auto"/>
            <w:hideMark/>
          </w:tcPr>
          <w:p w14:paraId="4A332515" w14:textId="77777777" w:rsidR="00A80D14" w:rsidRPr="00B047A8" w:rsidRDefault="00A80D14" w:rsidP="00A80D14">
            <w:pPr>
              <w:ind w:firstLine="720"/>
              <w:jc w:val="both"/>
              <w:rPr>
                <w:sz w:val="20"/>
              </w:rPr>
            </w:pPr>
            <w:r w:rsidRPr="00B047A8">
              <w:rPr>
                <w:sz w:val="20"/>
              </w:rPr>
              <w:t>400</w:t>
            </w:r>
          </w:p>
        </w:tc>
        <w:tc>
          <w:tcPr>
            <w:tcW w:w="1206" w:type="dxa"/>
            <w:hideMark/>
          </w:tcPr>
          <w:p w14:paraId="27227ABC" w14:textId="77777777" w:rsidR="00A80D14" w:rsidRPr="00B047A8" w:rsidRDefault="00A80D14" w:rsidP="00A80D14">
            <w:pPr>
              <w:jc w:val="both"/>
              <w:rPr>
                <w:sz w:val="20"/>
              </w:rPr>
            </w:pPr>
            <w:r w:rsidRPr="00B047A8">
              <w:rPr>
                <w:sz w:val="20"/>
              </w:rPr>
              <w:t>623.10</w:t>
            </w:r>
          </w:p>
        </w:tc>
        <w:tc>
          <w:tcPr>
            <w:tcW w:w="1107" w:type="dxa"/>
            <w:hideMark/>
          </w:tcPr>
          <w:p w14:paraId="70CB4B8C" w14:textId="77777777" w:rsidR="00A80D14" w:rsidRPr="00B047A8" w:rsidRDefault="00A80D14" w:rsidP="00A80D14">
            <w:pPr>
              <w:jc w:val="both"/>
              <w:rPr>
                <w:sz w:val="20"/>
              </w:rPr>
            </w:pPr>
            <w:r w:rsidRPr="00B047A8">
              <w:rPr>
                <w:sz w:val="20"/>
              </w:rPr>
              <w:t>477.60</w:t>
            </w:r>
          </w:p>
        </w:tc>
        <w:tc>
          <w:tcPr>
            <w:tcW w:w="981" w:type="dxa"/>
            <w:hideMark/>
          </w:tcPr>
          <w:p w14:paraId="421E1E1D" w14:textId="77777777" w:rsidR="00A80D14" w:rsidRPr="00B047A8" w:rsidRDefault="00A80D14" w:rsidP="00A80D14">
            <w:pPr>
              <w:jc w:val="both"/>
              <w:rPr>
                <w:sz w:val="20"/>
              </w:rPr>
            </w:pPr>
            <w:r w:rsidRPr="00B047A8">
              <w:rPr>
                <w:sz w:val="20"/>
              </w:rPr>
              <w:t>668.90</w:t>
            </w:r>
          </w:p>
        </w:tc>
        <w:tc>
          <w:tcPr>
            <w:tcW w:w="1503" w:type="dxa"/>
            <w:hideMark/>
          </w:tcPr>
          <w:p w14:paraId="187619E0" w14:textId="77777777" w:rsidR="00A80D14" w:rsidRPr="00B047A8" w:rsidRDefault="00A80D14" w:rsidP="00A80D14">
            <w:pPr>
              <w:ind w:firstLine="720"/>
              <w:jc w:val="both"/>
              <w:rPr>
                <w:sz w:val="20"/>
              </w:rPr>
            </w:pPr>
            <w:r w:rsidRPr="00B047A8">
              <w:rPr>
                <w:sz w:val="20"/>
              </w:rPr>
              <w:t>463.40</w:t>
            </w:r>
          </w:p>
        </w:tc>
        <w:tc>
          <w:tcPr>
            <w:tcW w:w="0" w:type="auto"/>
            <w:hideMark/>
          </w:tcPr>
          <w:p w14:paraId="05CB69F7" w14:textId="77777777" w:rsidR="00A80D14" w:rsidRPr="00B047A8" w:rsidRDefault="00A80D14" w:rsidP="00A80D14">
            <w:pPr>
              <w:ind w:firstLine="720"/>
              <w:jc w:val="both"/>
              <w:rPr>
                <w:sz w:val="20"/>
              </w:rPr>
            </w:pPr>
            <w:r w:rsidRPr="00B047A8">
              <w:rPr>
                <w:sz w:val="20"/>
              </w:rPr>
              <w:t>115.90</w:t>
            </w:r>
          </w:p>
        </w:tc>
      </w:tr>
      <w:tr w:rsidR="00A80D14" w:rsidRPr="00B047A8" w14:paraId="6F9FA150" w14:textId="77777777" w:rsidTr="008C48FB">
        <w:trPr>
          <w:trHeight w:val="245"/>
          <w:jc w:val="center"/>
        </w:trPr>
        <w:tc>
          <w:tcPr>
            <w:tcW w:w="0" w:type="auto"/>
            <w:hideMark/>
          </w:tcPr>
          <w:p w14:paraId="6C9CF987" w14:textId="77777777" w:rsidR="00A80D14" w:rsidRPr="00B047A8" w:rsidRDefault="00A80D14" w:rsidP="00A80D14">
            <w:pPr>
              <w:ind w:firstLine="720"/>
              <w:jc w:val="both"/>
              <w:rPr>
                <w:sz w:val="20"/>
              </w:rPr>
            </w:pPr>
            <w:r w:rsidRPr="00B047A8">
              <w:rPr>
                <w:sz w:val="20"/>
              </w:rPr>
              <w:t>T18</w:t>
            </w:r>
          </w:p>
        </w:tc>
        <w:tc>
          <w:tcPr>
            <w:tcW w:w="0" w:type="auto"/>
            <w:hideMark/>
          </w:tcPr>
          <w:p w14:paraId="5D1DA874" w14:textId="77777777" w:rsidR="00A80D14" w:rsidRPr="00B047A8" w:rsidRDefault="00A80D14" w:rsidP="00A80D14">
            <w:pPr>
              <w:ind w:firstLine="720"/>
              <w:jc w:val="both"/>
              <w:rPr>
                <w:sz w:val="20"/>
              </w:rPr>
            </w:pPr>
            <w:r w:rsidRPr="00B047A8">
              <w:rPr>
                <w:sz w:val="20"/>
              </w:rPr>
              <w:t>500</w:t>
            </w:r>
          </w:p>
        </w:tc>
        <w:tc>
          <w:tcPr>
            <w:tcW w:w="1206" w:type="dxa"/>
            <w:hideMark/>
          </w:tcPr>
          <w:p w14:paraId="55D44015" w14:textId="77777777" w:rsidR="00A80D14" w:rsidRPr="00B047A8" w:rsidRDefault="00A80D14" w:rsidP="00A80D14">
            <w:pPr>
              <w:jc w:val="both"/>
              <w:rPr>
                <w:sz w:val="20"/>
              </w:rPr>
            </w:pPr>
            <w:r w:rsidRPr="00B047A8">
              <w:rPr>
                <w:sz w:val="20"/>
              </w:rPr>
              <w:t>359.00</w:t>
            </w:r>
          </w:p>
        </w:tc>
        <w:tc>
          <w:tcPr>
            <w:tcW w:w="1107" w:type="dxa"/>
            <w:hideMark/>
          </w:tcPr>
          <w:p w14:paraId="4AAB4C94" w14:textId="77777777" w:rsidR="00A80D14" w:rsidRPr="00B047A8" w:rsidRDefault="00A80D14" w:rsidP="00A80D14">
            <w:pPr>
              <w:jc w:val="both"/>
              <w:rPr>
                <w:sz w:val="20"/>
              </w:rPr>
            </w:pPr>
            <w:r w:rsidRPr="00B047A8">
              <w:rPr>
                <w:sz w:val="20"/>
              </w:rPr>
              <w:t>594.40</w:t>
            </w:r>
          </w:p>
        </w:tc>
        <w:tc>
          <w:tcPr>
            <w:tcW w:w="981" w:type="dxa"/>
            <w:hideMark/>
          </w:tcPr>
          <w:p w14:paraId="28A5B9A3" w14:textId="77777777" w:rsidR="00A80D14" w:rsidRPr="00B047A8" w:rsidRDefault="00A80D14" w:rsidP="00A80D14">
            <w:pPr>
              <w:jc w:val="both"/>
              <w:rPr>
                <w:sz w:val="20"/>
              </w:rPr>
            </w:pPr>
            <w:r w:rsidRPr="00B047A8">
              <w:rPr>
                <w:sz w:val="20"/>
              </w:rPr>
              <w:t>443.90</w:t>
            </w:r>
          </w:p>
        </w:tc>
        <w:tc>
          <w:tcPr>
            <w:tcW w:w="1503" w:type="dxa"/>
            <w:hideMark/>
          </w:tcPr>
          <w:p w14:paraId="78CF5CF5" w14:textId="77777777" w:rsidR="00A80D14" w:rsidRPr="00B047A8" w:rsidRDefault="00A80D14" w:rsidP="00A80D14">
            <w:pPr>
              <w:ind w:firstLine="720"/>
              <w:jc w:val="both"/>
              <w:rPr>
                <w:sz w:val="20"/>
              </w:rPr>
            </w:pPr>
            <w:r w:rsidRPr="00B047A8">
              <w:rPr>
                <w:sz w:val="20"/>
              </w:rPr>
              <w:t>420.04</w:t>
            </w:r>
          </w:p>
        </w:tc>
        <w:tc>
          <w:tcPr>
            <w:tcW w:w="0" w:type="auto"/>
            <w:hideMark/>
          </w:tcPr>
          <w:p w14:paraId="462E0C6E" w14:textId="77777777" w:rsidR="00A80D14" w:rsidRPr="00B047A8" w:rsidRDefault="00A80D14" w:rsidP="00A80D14">
            <w:pPr>
              <w:ind w:firstLine="720"/>
              <w:jc w:val="both"/>
              <w:rPr>
                <w:sz w:val="20"/>
              </w:rPr>
            </w:pPr>
            <w:r w:rsidRPr="00B047A8">
              <w:rPr>
                <w:sz w:val="20"/>
              </w:rPr>
              <w:t>84.00</w:t>
            </w:r>
          </w:p>
        </w:tc>
      </w:tr>
      <w:tr w:rsidR="00A80D14" w:rsidRPr="00B047A8" w14:paraId="09179324" w14:textId="77777777" w:rsidTr="008C48FB">
        <w:trPr>
          <w:trHeight w:val="245"/>
          <w:jc w:val="center"/>
        </w:trPr>
        <w:tc>
          <w:tcPr>
            <w:tcW w:w="0" w:type="auto"/>
            <w:hideMark/>
          </w:tcPr>
          <w:p w14:paraId="59FC7398" w14:textId="77777777" w:rsidR="00A80D14" w:rsidRPr="00B047A8" w:rsidRDefault="00A80D14" w:rsidP="00A80D14">
            <w:pPr>
              <w:ind w:firstLine="720"/>
              <w:jc w:val="both"/>
              <w:rPr>
                <w:sz w:val="20"/>
              </w:rPr>
            </w:pPr>
            <w:r w:rsidRPr="00B047A8">
              <w:rPr>
                <w:sz w:val="20"/>
              </w:rPr>
              <w:t>T20</w:t>
            </w:r>
          </w:p>
        </w:tc>
        <w:tc>
          <w:tcPr>
            <w:tcW w:w="0" w:type="auto"/>
            <w:hideMark/>
          </w:tcPr>
          <w:p w14:paraId="44EB8009" w14:textId="77777777" w:rsidR="00A80D14" w:rsidRPr="00B047A8" w:rsidRDefault="00A80D14" w:rsidP="00A80D14">
            <w:pPr>
              <w:ind w:firstLine="720"/>
              <w:jc w:val="both"/>
              <w:rPr>
                <w:sz w:val="20"/>
              </w:rPr>
            </w:pPr>
            <w:r w:rsidRPr="00B047A8">
              <w:rPr>
                <w:sz w:val="20"/>
              </w:rPr>
              <w:t>200</w:t>
            </w:r>
          </w:p>
        </w:tc>
        <w:tc>
          <w:tcPr>
            <w:tcW w:w="1206" w:type="dxa"/>
            <w:hideMark/>
          </w:tcPr>
          <w:p w14:paraId="199BAFBD" w14:textId="77777777" w:rsidR="00A80D14" w:rsidRPr="00B047A8" w:rsidRDefault="00A80D14" w:rsidP="00A80D14">
            <w:pPr>
              <w:jc w:val="both"/>
              <w:rPr>
                <w:sz w:val="20"/>
              </w:rPr>
            </w:pPr>
            <w:r w:rsidRPr="00B047A8">
              <w:rPr>
                <w:sz w:val="20"/>
              </w:rPr>
              <w:t>324.80</w:t>
            </w:r>
          </w:p>
        </w:tc>
        <w:tc>
          <w:tcPr>
            <w:tcW w:w="1107" w:type="dxa"/>
            <w:hideMark/>
          </w:tcPr>
          <w:p w14:paraId="04B1B0AB" w14:textId="77777777" w:rsidR="00A80D14" w:rsidRPr="00B047A8" w:rsidRDefault="00A80D14" w:rsidP="00A80D14">
            <w:pPr>
              <w:jc w:val="both"/>
              <w:rPr>
                <w:sz w:val="20"/>
              </w:rPr>
            </w:pPr>
            <w:r w:rsidRPr="00B047A8">
              <w:rPr>
                <w:sz w:val="20"/>
              </w:rPr>
              <w:t>317.30</w:t>
            </w:r>
          </w:p>
        </w:tc>
        <w:tc>
          <w:tcPr>
            <w:tcW w:w="981" w:type="dxa"/>
            <w:hideMark/>
          </w:tcPr>
          <w:p w14:paraId="2FD33CC8" w14:textId="77777777" w:rsidR="00A80D14" w:rsidRPr="00B047A8" w:rsidRDefault="00A80D14" w:rsidP="00A80D14">
            <w:pPr>
              <w:jc w:val="both"/>
              <w:rPr>
                <w:sz w:val="20"/>
              </w:rPr>
            </w:pPr>
            <w:r w:rsidRPr="00B047A8">
              <w:rPr>
                <w:sz w:val="20"/>
              </w:rPr>
              <w:t>315.10</w:t>
            </w:r>
          </w:p>
        </w:tc>
        <w:tc>
          <w:tcPr>
            <w:tcW w:w="1503" w:type="dxa"/>
            <w:hideMark/>
          </w:tcPr>
          <w:p w14:paraId="55CF8206" w14:textId="77777777" w:rsidR="00A80D14" w:rsidRPr="00B047A8" w:rsidRDefault="00A80D14" w:rsidP="00A80D14">
            <w:pPr>
              <w:ind w:firstLine="720"/>
              <w:jc w:val="both"/>
              <w:rPr>
                <w:sz w:val="20"/>
              </w:rPr>
            </w:pPr>
            <w:r w:rsidRPr="00B047A8">
              <w:rPr>
                <w:sz w:val="20"/>
              </w:rPr>
              <w:t>236.00</w:t>
            </w:r>
          </w:p>
        </w:tc>
        <w:tc>
          <w:tcPr>
            <w:tcW w:w="0" w:type="auto"/>
            <w:hideMark/>
          </w:tcPr>
          <w:p w14:paraId="14BBF0F5" w14:textId="77777777" w:rsidR="00A80D14" w:rsidRPr="00B047A8" w:rsidRDefault="00A80D14" w:rsidP="00A80D14">
            <w:pPr>
              <w:ind w:firstLine="720"/>
              <w:jc w:val="both"/>
              <w:rPr>
                <w:sz w:val="20"/>
              </w:rPr>
            </w:pPr>
            <w:r w:rsidRPr="00B047A8">
              <w:rPr>
                <w:sz w:val="20"/>
              </w:rPr>
              <w:t>118.13</w:t>
            </w:r>
          </w:p>
        </w:tc>
      </w:tr>
      <w:tr w:rsidR="00A80D14" w:rsidRPr="00B047A8" w14:paraId="566DBB97" w14:textId="77777777" w:rsidTr="008C48FB">
        <w:trPr>
          <w:trHeight w:val="258"/>
          <w:jc w:val="center"/>
        </w:trPr>
        <w:tc>
          <w:tcPr>
            <w:tcW w:w="0" w:type="auto"/>
            <w:hideMark/>
          </w:tcPr>
          <w:p w14:paraId="68747F07" w14:textId="77777777" w:rsidR="00A80D14" w:rsidRPr="00B047A8" w:rsidRDefault="00A80D14" w:rsidP="00A80D14">
            <w:pPr>
              <w:ind w:firstLine="720"/>
              <w:jc w:val="both"/>
              <w:rPr>
                <w:sz w:val="20"/>
              </w:rPr>
            </w:pPr>
            <w:r w:rsidRPr="00B047A8">
              <w:rPr>
                <w:sz w:val="20"/>
              </w:rPr>
              <w:t>T24</w:t>
            </w:r>
          </w:p>
        </w:tc>
        <w:tc>
          <w:tcPr>
            <w:tcW w:w="0" w:type="auto"/>
            <w:hideMark/>
          </w:tcPr>
          <w:p w14:paraId="583A1D29" w14:textId="77777777" w:rsidR="00A80D14" w:rsidRPr="00B047A8" w:rsidRDefault="00A80D14" w:rsidP="00A80D14">
            <w:pPr>
              <w:ind w:firstLine="720"/>
              <w:jc w:val="both"/>
              <w:rPr>
                <w:sz w:val="20"/>
              </w:rPr>
            </w:pPr>
            <w:r w:rsidRPr="00B047A8">
              <w:rPr>
                <w:sz w:val="20"/>
              </w:rPr>
              <w:t>400</w:t>
            </w:r>
          </w:p>
        </w:tc>
        <w:tc>
          <w:tcPr>
            <w:tcW w:w="1206" w:type="dxa"/>
            <w:hideMark/>
          </w:tcPr>
          <w:p w14:paraId="487DA422" w14:textId="77777777" w:rsidR="00A80D14" w:rsidRPr="00B047A8" w:rsidRDefault="00A80D14" w:rsidP="00A80D14">
            <w:pPr>
              <w:jc w:val="both"/>
              <w:rPr>
                <w:sz w:val="20"/>
              </w:rPr>
            </w:pPr>
            <w:r w:rsidRPr="00B047A8">
              <w:rPr>
                <w:sz w:val="20"/>
              </w:rPr>
              <w:t>137.95</w:t>
            </w:r>
          </w:p>
        </w:tc>
        <w:tc>
          <w:tcPr>
            <w:tcW w:w="1107" w:type="dxa"/>
            <w:hideMark/>
          </w:tcPr>
          <w:p w14:paraId="170E77F5" w14:textId="77777777" w:rsidR="00A80D14" w:rsidRPr="00B047A8" w:rsidRDefault="00A80D14" w:rsidP="00A80D14">
            <w:pPr>
              <w:jc w:val="both"/>
              <w:rPr>
                <w:sz w:val="20"/>
              </w:rPr>
            </w:pPr>
            <w:r w:rsidRPr="00B047A8">
              <w:rPr>
                <w:sz w:val="20"/>
              </w:rPr>
              <w:t>156.74</w:t>
            </w:r>
          </w:p>
        </w:tc>
        <w:tc>
          <w:tcPr>
            <w:tcW w:w="981" w:type="dxa"/>
            <w:hideMark/>
          </w:tcPr>
          <w:p w14:paraId="211CB00C" w14:textId="77777777" w:rsidR="00A80D14" w:rsidRPr="00B047A8" w:rsidRDefault="00A80D14" w:rsidP="00A80D14">
            <w:pPr>
              <w:jc w:val="both"/>
              <w:rPr>
                <w:sz w:val="20"/>
              </w:rPr>
            </w:pPr>
            <w:r w:rsidRPr="00B047A8">
              <w:rPr>
                <w:sz w:val="20"/>
              </w:rPr>
              <w:t>149.84</w:t>
            </w:r>
          </w:p>
        </w:tc>
        <w:tc>
          <w:tcPr>
            <w:tcW w:w="1503" w:type="dxa"/>
            <w:hideMark/>
          </w:tcPr>
          <w:p w14:paraId="649A7F1E" w14:textId="77777777" w:rsidR="00A80D14" w:rsidRPr="00B047A8" w:rsidRDefault="00A80D14" w:rsidP="00A80D14">
            <w:pPr>
              <w:ind w:firstLine="720"/>
              <w:jc w:val="both"/>
              <w:rPr>
                <w:sz w:val="20"/>
              </w:rPr>
            </w:pPr>
            <w:r w:rsidRPr="00B047A8">
              <w:rPr>
                <w:sz w:val="20"/>
              </w:rPr>
              <w:t>177.19</w:t>
            </w:r>
          </w:p>
        </w:tc>
        <w:tc>
          <w:tcPr>
            <w:tcW w:w="0" w:type="auto"/>
            <w:hideMark/>
          </w:tcPr>
          <w:p w14:paraId="160B9C09" w14:textId="77777777" w:rsidR="00A80D14" w:rsidRPr="00B047A8" w:rsidRDefault="00A80D14" w:rsidP="00A80D14">
            <w:pPr>
              <w:ind w:firstLine="720"/>
              <w:jc w:val="both"/>
              <w:rPr>
                <w:sz w:val="20"/>
              </w:rPr>
            </w:pPr>
            <w:r w:rsidRPr="00B047A8">
              <w:rPr>
                <w:sz w:val="20"/>
              </w:rPr>
              <w:t>44.29</w:t>
            </w:r>
          </w:p>
        </w:tc>
      </w:tr>
      <w:tr w:rsidR="00A80D14" w:rsidRPr="00B047A8" w14:paraId="596A8910" w14:textId="77777777" w:rsidTr="008C48FB">
        <w:trPr>
          <w:trHeight w:val="245"/>
          <w:jc w:val="center"/>
        </w:trPr>
        <w:tc>
          <w:tcPr>
            <w:tcW w:w="0" w:type="auto"/>
            <w:hideMark/>
          </w:tcPr>
          <w:p w14:paraId="4AC28425" w14:textId="77777777" w:rsidR="00A80D14" w:rsidRPr="00B047A8" w:rsidRDefault="00A80D14" w:rsidP="00A80D14">
            <w:pPr>
              <w:ind w:firstLine="720"/>
              <w:jc w:val="both"/>
              <w:rPr>
                <w:sz w:val="20"/>
              </w:rPr>
            </w:pPr>
            <w:r w:rsidRPr="00B047A8">
              <w:rPr>
                <w:sz w:val="20"/>
              </w:rPr>
              <w:t>T25a</w:t>
            </w:r>
          </w:p>
        </w:tc>
        <w:tc>
          <w:tcPr>
            <w:tcW w:w="0" w:type="auto"/>
            <w:hideMark/>
          </w:tcPr>
          <w:p w14:paraId="235455B0" w14:textId="77777777" w:rsidR="00A80D14" w:rsidRPr="00B047A8" w:rsidRDefault="00A80D14" w:rsidP="00A80D14">
            <w:pPr>
              <w:ind w:firstLine="720"/>
              <w:jc w:val="both"/>
              <w:rPr>
                <w:sz w:val="20"/>
              </w:rPr>
            </w:pPr>
            <w:r w:rsidRPr="00B047A8">
              <w:rPr>
                <w:sz w:val="20"/>
              </w:rPr>
              <w:t>630</w:t>
            </w:r>
          </w:p>
        </w:tc>
        <w:tc>
          <w:tcPr>
            <w:tcW w:w="1206" w:type="dxa"/>
            <w:hideMark/>
          </w:tcPr>
          <w:p w14:paraId="7567F708" w14:textId="77777777" w:rsidR="00A80D14" w:rsidRPr="00B047A8" w:rsidRDefault="00A80D14" w:rsidP="00A80D14">
            <w:pPr>
              <w:jc w:val="both"/>
              <w:rPr>
                <w:sz w:val="20"/>
              </w:rPr>
            </w:pPr>
            <w:r w:rsidRPr="00B047A8">
              <w:rPr>
                <w:sz w:val="20"/>
              </w:rPr>
              <w:t>926.03</w:t>
            </w:r>
          </w:p>
        </w:tc>
        <w:tc>
          <w:tcPr>
            <w:tcW w:w="1107" w:type="dxa"/>
            <w:hideMark/>
          </w:tcPr>
          <w:p w14:paraId="307CF3A8" w14:textId="77777777" w:rsidR="00A80D14" w:rsidRPr="00B047A8" w:rsidRDefault="00A80D14" w:rsidP="00A80D14">
            <w:pPr>
              <w:jc w:val="both"/>
              <w:rPr>
                <w:sz w:val="20"/>
              </w:rPr>
            </w:pPr>
            <w:r w:rsidRPr="00B047A8">
              <w:rPr>
                <w:sz w:val="20"/>
              </w:rPr>
              <w:t>1 078.10</w:t>
            </w:r>
          </w:p>
        </w:tc>
        <w:tc>
          <w:tcPr>
            <w:tcW w:w="981" w:type="dxa"/>
            <w:hideMark/>
          </w:tcPr>
          <w:p w14:paraId="449C3059" w14:textId="77777777" w:rsidR="00A80D14" w:rsidRPr="00B047A8" w:rsidRDefault="00A80D14" w:rsidP="00A80D14">
            <w:pPr>
              <w:jc w:val="both"/>
              <w:rPr>
                <w:sz w:val="20"/>
              </w:rPr>
            </w:pPr>
            <w:r w:rsidRPr="00B047A8">
              <w:rPr>
                <w:sz w:val="20"/>
              </w:rPr>
              <w:t>1 004.00</w:t>
            </w:r>
          </w:p>
        </w:tc>
        <w:tc>
          <w:tcPr>
            <w:tcW w:w="1503" w:type="dxa"/>
            <w:hideMark/>
          </w:tcPr>
          <w:p w14:paraId="36F7A8A4" w14:textId="77777777" w:rsidR="00A80D14" w:rsidRPr="00B047A8" w:rsidRDefault="00A80D14" w:rsidP="00A80D14">
            <w:pPr>
              <w:ind w:firstLine="720"/>
              <w:jc w:val="both"/>
              <w:rPr>
                <w:sz w:val="20"/>
              </w:rPr>
            </w:pPr>
            <w:r w:rsidRPr="00B047A8">
              <w:rPr>
                <w:sz w:val="20"/>
              </w:rPr>
              <w:t>773.07</w:t>
            </w:r>
          </w:p>
        </w:tc>
        <w:tc>
          <w:tcPr>
            <w:tcW w:w="0" w:type="auto"/>
            <w:hideMark/>
          </w:tcPr>
          <w:p w14:paraId="560D5B0B" w14:textId="77777777" w:rsidR="00A80D14" w:rsidRPr="00B047A8" w:rsidRDefault="00A80D14" w:rsidP="00A80D14">
            <w:pPr>
              <w:ind w:firstLine="720"/>
              <w:jc w:val="both"/>
              <w:rPr>
                <w:sz w:val="20"/>
              </w:rPr>
            </w:pPr>
            <w:r w:rsidRPr="00B047A8">
              <w:rPr>
                <w:sz w:val="20"/>
              </w:rPr>
              <w:t>122.70</w:t>
            </w:r>
          </w:p>
        </w:tc>
      </w:tr>
      <w:tr w:rsidR="00A80D14" w:rsidRPr="00B047A8" w14:paraId="51080A94" w14:textId="77777777" w:rsidTr="008C48FB">
        <w:trPr>
          <w:trHeight w:val="245"/>
          <w:jc w:val="center"/>
        </w:trPr>
        <w:tc>
          <w:tcPr>
            <w:tcW w:w="0" w:type="auto"/>
            <w:hideMark/>
          </w:tcPr>
          <w:p w14:paraId="6719235F" w14:textId="77777777" w:rsidR="00A80D14" w:rsidRPr="00B047A8" w:rsidRDefault="00A80D14" w:rsidP="00A80D14">
            <w:pPr>
              <w:ind w:firstLine="720"/>
              <w:jc w:val="both"/>
              <w:rPr>
                <w:sz w:val="20"/>
              </w:rPr>
            </w:pPr>
            <w:r w:rsidRPr="00B047A8">
              <w:rPr>
                <w:sz w:val="20"/>
              </w:rPr>
              <w:t>T28</w:t>
            </w:r>
          </w:p>
        </w:tc>
        <w:tc>
          <w:tcPr>
            <w:tcW w:w="0" w:type="auto"/>
            <w:hideMark/>
          </w:tcPr>
          <w:p w14:paraId="4A6ED751" w14:textId="77777777" w:rsidR="00A80D14" w:rsidRPr="00B047A8" w:rsidRDefault="00A80D14" w:rsidP="00A80D14">
            <w:pPr>
              <w:ind w:firstLine="720"/>
              <w:jc w:val="both"/>
              <w:rPr>
                <w:sz w:val="20"/>
              </w:rPr>
            </w:pPr>
            <w:r w:rsidRPr="00B047A8">
              <w:rPr>
                <w:sz w:val="20"/>
              </w:rPr>
              <w:t>1000</w:t>
            </w:r>
          </w:p>
        </w:tc>
        <w:tc>
          <w:tcPr>
            <w:tcW w:w="1206" w:type="dxa"/>
            <w:hideMark/>
          </w:tcPr>
          <w:p w14:paraId="1947162B" w14:textId="77777777" w:rsidR="00A80D14" w:rsidRPr="00B047A8" w:rsidRDefault="00A80D14" w:rsidP="00A80D14">
            <w:pPr>
              <w:jc w:val="both"/>
              <w:rPr>
                <w:sz w:val="20"/>
              </w:rPr>
            </w:pPr>
            <w:r w:rsidRPr="00B047A8">
              <w:rPr>
                <w:sz w:val="20"/>
              </w:rPr>
              <w:t>926.90</w:t>
            </w:r>
          </w:p>
        </w:tc>
        <w:tc>
          <w:tcPr>
            <w:tcW w:w="1107" w:type="dxa"/>
            <w:hideMark/>
          </w:tcPr>
          <w:p w14:paraId="572A3DFF" w14:textId="77777777" w:rsidR="00A80D14" w:rsidRPr="00B047A8" w:rsidRDefault="00A80D14" w:rsidP="00A80D14">
            <w:pPr>
              <w:jc w:val="both"/>
              <w:rPr>
                <w:sz w:val="20"/>
              </w:rPr>
            </w:pPr>
            <w:r w:rsidRPr="00B047A8">
              <w:rPr>
                <w:sz w:val="20"/>
              </w:rPr>
              <w:t>775.60</w:t>
            </w:r>
          </w:p>
        </w:tc>
        <w:tc>
          <w:tcPr>
            <w:tcW w:w="981" w:type="dxa"/>
            <w:hideMark/>
          </w:tcPr>
          <w:p w14:paraId="0A993954" w14:textId="77777777" w:rsidR="00A80D14" w:rsidRPr="00B047A8" w:rsidRDefault="00A80D14" w:rsidP="00A80D14">
            <w:pPr>
              <w:jc w:val="both"/>
              <w:rPr>
                <w:sz w:val="20"/>
              </w:rPr>
            </w:pPr>
            <w:r w:rsidRPr="00B047A8">
              <w:rPr>
                <w:sz w:val="20"/>
              </w:rPr>
              <w:t>892.40</w:t>
            </w:r>
          </w:p>
        </w:tc>
        <w:tc>
          <w:tcPr>
            <w:tcW w:w="1503" w:type="dxa"/>
            <w:hideMark/>
          </w:tcPr>
          <w:p w14:paraId="33390F40" w14:textId="77777777" w:rsidR="00A80D14" w:rsidRPr="00B047A8" w:rsidRDefault="00A80D14" w:rsidP="00A80D14">
            <w:pPr>
              <w:jc w:val="right"/>
              <w:rPr>
                <w:sz w:val="20"/>
              </w:rPr>
            </w:pPr>
            <w:r w:rsidRPr="00B047A8">
              <w:rPr>
                <w:sz w:val="20"/>
              </w:rPr>
              <w:t>1 047.84</w:t>
            </w:r>
          </w:p>
        </w:tc>
        <w:tc>
          <w:tcPr>
            <w:tcW w:w="0" w:type="auto"/>
            <w:hideMark/>
          </w:tcPr>
          <w:p w14:paraId="2F0AEBE2" w14:textId="77777777" w:rsidR="00A80D14" w:rsidRPr="00B047A8" w:rsidRDefault="00A80D14" w:rsidP="00A80D14">
            <w:pPr>
              <w:ind w:firstLine="720"/>
              <w:jc w:val="both"/>
              <w:rPr>
                <w:sz w:val="20"/>
              </w:rPr>
            </w:pPr>
            <w:r w:rsidRPr="00B047A8">
              <w:rPr>
                <w:sz w:val="20"/>
              </w:rPr>
              <w:t>105.00</w:t>
            </w:r>
          </w:p>
        </w:tc>
      </w:tr>
      <w:tr w:rsidR="00A80D14" w:rsidRPr="00B047A8" w14:paraId="2C656D5A" w14:textId="77777777" w:rsidTr="008C48FB">
        <w:trPr>
          <w:trHeight w:val="245"/>
          <w:jc w:val="center"/>
        </w:trPr>
        <w:tc>
          <w:tcPr>
            <w:tcW w:w="0" w:type="auto"/>
            <w:hideMark/>
          </w:tcPr>
          <w:p w14:paraId="3C8AA290" w14:textId="77777777" w:rsidR="00A80D14" w:rsidRPr="00B047A8" w:rsidRDefault="00A80D14" w:rsidP="00A80D14">
            <w:pPr>
              <w:ind w:firstLine="720"/>
              <w:jc w:val="both"/>
              <w:rPr>
                <w:sz w:val="20"/>
              </w:rPr>
            </w:pPr>
            <w:r w:rsidRPr="00B047A8">
              <w:rPr>
                <w:sz w:val="20"/>
              </w:rPr>
              <w:t>T31</w:t>
            </w:r>
          </w:p>
        </w:tc>
        <w:tc>
          <w:tcPr>
            <w:tcW w:w="0" w:type="auto"/>
            <w:hideMark/>
          </w:tcPr>
          <w:p w14:paraId="2D8B3D23" w14:textId="77777777" w:rsidR="00A80D14" w:rsidRPr="00B047A8" w:rsidRDefault="00A80D14" w:rsidP="00A80D14">
            <w:pPr>
              <w:ind w:firstLine="720"/>
              <w:jc w:val="both"/>
              <w:rPr>
                <w:sz w:val="20"/>
              </w:rPr>
            </w:pPr>
            <w:r w:rsidRPr="00B047A8">
              <w:rPr>
                <w:sz w:val="20"/>
              </w:rPr>
              <w:t>400</w:t>
            </w:r>
          </w:p>
        </w:tc>
        <w:tc>
          <w:tcPr>
            <w:tcW w:w="1206" w:type="dxa"/>
            <w:hideMark/>
          </w:tcPr>
          <w:p w14:paraId="51B544DA" w14:textId="77777777" w:rsidR="00A80D14" w:rsidRPr="00B047A8" w:rsidRDefault="00A80D14" w:rsidP="00A80D14">
            <w:pPr>
              <w:jc w:val="both"/>
              <w:rPr>
                <w:sz w:val="20"/>
              </w:rPr>
            </w:pPr>
            <w:r w:rsidRPr="00B047A8">
              <w:rPr>
                <w:sz w:val="20"/>
              </w:rPr>
              <w:t>601.70</w:t>
            </w:r>
          </w:p>
        </w:tc>
        <w:tc>
          <w:tcPr>
            <w:tcW w:w="1107" w:type="dxa"/>
            <w:hideMark/>
          </w:tcPr>
          <w:p w14:paraId="321F3092" w14:textId="77777777" w:rsidR="00A80D14" w:rsidRPr="00B047A8" w:rsidRDefault="00A80D14" w:rsidP="00A80D14">
            <w:pPr>
              <w:jc w:val="both"/>
              <w:rPr>
                <w:sz w:val="20"/>
              </w:rPr>
            </w:pPr>
            <w:r w:rsidRPr="00B047A8">
              <w:rPr>
                <w:sz w:val="20"/>
              </w:rPr>
              <w:t>626.80</w:t>
            </w:r>
          </w:p>
        </w:tc>
        <w:tc>
          <w:tcPr>
            <w:tcW w:w="981" w:type="dxa"/>
            <w:hideMark/>
          </w:tcPr>
          <w:p w14:paraId="71970E8D" w14:textId="77777777" w:rsidR="00A80D14" w:rsidRPr="00B047A8" w:rsidRDefault="00A80D14" w:rsidP="00A80D14">
            <w:pPr>
              <w:jc w:val="both"/>
              <w:rPr>
                <w:sz w:val="20"/>
              </w:rPr>
            </w:pPr>
            <w:r w:rsidRPr="00B047A8">
              <w:rPr>
                <w:sz w:val="20"/>
              </w:rPr>
              <w:t>714.00</w:t>
            </w:r>
          </w:p>
        </w:tc>
        <w:tc>
          <w:tcPr>
            <w:tcW w:w="1503" w:type="dxa"/>
            <w:hideMark/>
          </w:tcPr>
          <w:p w14:paraId="4B163C4C" w14:textId="77777777" w:rsidR="00A80D14" w:rsidRPr="00B047A8" w:rsidRDefault="00A80D14" w:rsidP="00A80D14">
            <w:pPr>
              <w:ind w:firstLine="720"/>
              <w:jc w:val="both"/>
              <w:rPr>
                <w:sz w:val="20"/>
              </w:rPr>
            </w:pPr>
            <w:r w:rsidRPr="00B047A8">
              <w:rPr>
                <w:sz w:val="20"/>
              </w:rPr>
              <w:t>541.71</w:t>
            </w:r>
          </w:p>
        </w:tc>
        <w:tc>
          <w:tcPr>
            <w:tcW w:w="0" w:type="auto"/>
            <w:hideMark/>
          </w:tcPr>
          <w:p w14:paraId="2F13F9DD" w14:textId="77777777" w:rsidR="00A80D14" w:rsidRPr="00B047A8" w:rsidRDefault="00A80D14" w:rsidP="00A80D14">
            <w:pPr>
              <w:ind w:firstLine="720"/>
              <w:jc w:val="both"/>
              <w:rPr>
                <w:sz w:val="20"/>
              </w:rPr>
            </w:pPr>
            <w:r w:rsidRPr="00B047A8">
              <w:rPr>
                <w:sz w:val="20"/>
              </w:rPr>
              <w:t>135.42</w:t>
            </w:r>
          </w:p>
        </w:tc>
      </w:tr>
      <w:tr w:rsidR="00A80D14" w:rsidRPr="00B047A8" w14:paraId="7BFD213C" w14:textId="77777777" w:rsidTr="008C48FB">
        <w:trPr>
          <w:trHeight w:val="245"/>
          <w:jc w:val="center"/>
        </w:trPr>
        <w:tc>
          <w:tcPr>
            <w:tcW w:w="0" w:type="auto"/>
            <w:hideMark/>
          </w:tcPr>
          <w:p w14:paraId="4A20D5E9" w14:textId="77777777" w:rsidR="00A80D14" w:rsidRPr="00B047A8" w:rsidRDefault="00A80D14" w:rsidP="00A80D14">
            <w:pPr>
              <w:ind w:firstLine="720"/>
              <w:jc w:val="both"/>
              <w:rPr>
                <w:sz w:val="20"/>
              </w:rPr>
            </w:pPr>
            <w:r w:rsidRPr="00B047A8">
              <w:rPr>
                <w:sz w:val="20"/>
              </w:rPr>
              <w:t>T33</w:t>
            </w:r>
          </w:p>
        </w:tc>
        <w:tc>
          <w:tcPr>
            <w:tcW w:w="0" w:type="auto"/>
            <w:hideMark/>
          </w:tcPr>
          <w:p w14:paraId="68BB18AB" w14:textId="77777777" w:rsidR="00A80D14" w:rsidRPr="00B047A8" w:rsidRDefault="00A80D14" w:rsidP="00A80D14">
            <w:pPr>
              <w:ind w:firstLine="720"/>
              <w:jc w:val="both"/>
              <w:rPr>
                <w:sz w:val="20"/>
              </w:rPr>
            </w:pPr>
            <w:r w:rsidRPr="00B047A8">
              <w:rPr>
                <w:sz w:val="20"/>
              </w:rPr>
              <w:t>100</w:t>
            </w:r>
          </w:p>
        </w:tc>
        <w:tc>
          <w:tcPr>
            <w:tcW w:w="1206" w:type="dxa"/>
            <w:hideMark/>
          </w:tcPr>
          <w:p w14:paraId="6CAE4DD5" w14:textId="77777777" w:rsidR="00A80D14" w:rsidRPr="00B047A8" w:rsidRDefault="00A80D14" w:rsidP="00A80D14">
            <w:pPr>
              <w:jc w:val="both"/>
              <w:rPr>
                <w:sz w:val="20"/>
              </w:rPr>
            </w:pPr>
            <w:r w:rsidRPr="00B047A8">
              <w:rPr>
                <w:sz w:val="20"/>
              </w:rPr>
              <w:t>90.50</w:t>
            </w:r>
          </w:p>
        </w:tc>
        <w:tc>
          <w:tcPr>
            <w:tcW w:w="1107" w:type="dxa"/>
            <w:hideMark/>
          </w:tcPr>
          <w:p w14:paraId="75ECCBED" w14:textId="77777777" w:rsidR="00A80D14" w:rsidRPr="00B047A8" w:rsidRDefault="00A80D14" w:rsidP="00A80D14">
            <w:pPr>
              <w:jc w:val="both"/>
              <w:rPr>
                <w:sz w:val="20"/>
              </w:rPr>
            </w:pPr>
            <w:r w:rsidRPr="00B047A8">
              <w:rPr>
                <w:sz w:val="20"/>
              </w:rPr>
              <w:t>228.50</w:t>
            </w:r>
          </w:p>
        </w:tc>
        <w:tc>
          <w:tcPr>
            <w:tcW w:w="981" w:type="dxa"/>
            <w:hideMark/>
          </w:tcPr>
          <w:p w14:paraId="18584480" w14:textId="77777777" w:rsidR="00A80D14" w:rsidRPr="00B047A8" w:rsidRDefault="00A80D14" w:rsidP="00A80D14">
            <w:pPr>
              <w:jc w:val="both"/>
              <w:rPr>
                <w:sz w:val="20"/>
              </w:rPr>
            </w:pPr>
            <w:r w:rsidRPr="00B047A8">
              <w:rPr>
                <w:sz w:val="20"/>
              </w:rPr>
              <w:t>182.50</w:t>
            </w:r>
          </w:p>
        </w:tc>
        <w:tc>
          <w:tcPr>
            <w:tcW w:w="1503" w:type="dxa"/>
            <w:hideMark/>
          </w:tcPr>
          <w:p w14:paraId="0D48B0A7" w14:textId="77777777" w:rsidR="00A80D14" w:rsidRPr="00B047A8" w:rsidRDefault="00A80D14" w:rsidP="00A80D14">
            <w:pPr>
              <w:ind w:firstLine="720"/>
              <w:jc w:val="both"/>
              <w:rPr>
                <w:sz w:val="20"/>
              </w:rPr>
            </w:pPr>
            <w:r w:rsidRPr="00B047A8">
              <w:rPr>
                <w:sz w:val="20"/>
              </w:rPr>
              <w:t>158.30</w:t>
            </w:r>
          </w:p>
        </w:tc>
        <w:tc>
          <w:tcPr>
            <w:tcW w:w="0" w:type="auto"/>
            <w:hideMark/>
          </w:tcPr>
          <w:p w14:paraId="38ADBB74" w14:textId="77777777" w:rsidR="00A80D14" w:rsidRPr="00B047A8" w:rsidRDefault="00A80D14" w:rsidP="00A80D14">
            <w:pPr>
              <w:ind w:firstLine="720"/>
              <w:jc w:val="both"/>
              <w:rPr>
                <w:sz w:val="20"/>
              </w:rPr>
            </w:pPr>
            <w:r w:rsidRPr="00B047A8">
              <w:rPr>
                <w:sz w:val="20"/>
              </w:rPr>
              <w:t>158.00</w:t>
            </w:r>
          </w:p>
        </w:tc>
      </w:tr>
      <w:tr w:rsidR="00A80D14" w:rsidRPr="00B047A8" w14:paraId="7B9CE28F" w14:textId="77777777" w:rsidTr="008C48FB">
        <w:trPr>
          <w:trHeight w:val="245"/>
          <w:jc w:val="center"/>
        </w:trPr>
        <w:tc>
          <w:tcPr>
            <w:tcW w:w="0" w:type="auto"/>
            <w:hideMark/>
          </w:tcPr>
          <w:p w14:paraId="38F101AB" w14:textId="77777777" w:rsidR="00A80D14" w:rsidRPr="00B047A8" w:rsidRDefault="00A80D14" w:rsidP="00A80D14">
            <w:pPr>
              <w:ind w:firstLine="720"/>
              <w:jc w:val="both"/>
              <w:rPr>
                <w:sz w:val="20"/>
              </w:rPr>
            </w:pPr>
            <w:r w:rsidRPr="00B047A8">
              <w:rPr>
                <w:sz w:val="20"/>
              </w:rPr>
              <w:lastRenderedPageBreak/>
              <w:t>T35</w:t>
            </w:r>
          </w:p>
        </w:tc>
        <w:tc>
          <w:tcPr>
            <w:tcW w:w="0" w:type="auto"/>
            <w:hideMark/>
          </w:tcPr>
          <w:p w14:paraId="10D9D52A" w14:textId="77777777" w:rsidR="00A80D14" w:rsidRPr="00B047A8" w:rsidRDefault="00A80D14" w:rsidP="00A80D14">
            <w:pPr>
              <w:ind w:firstLine="720"/>
              <w:jc w:val="both"/>
              <w:rPr>
                <w:sz w:val="20"/>
              </w:rPr>
            </w:pPr>
            <w:r w:rsidRPr="00B047A8">
              <w:rPr>
                <w:sz w:val="20"/>
              </w:rPr>
              <w:t>400</w:t>
            </w:r>
          </w:p>
        </w:tc>
        <w:tc>
          <w:tcPr>
            <w:tcW w:w="1206" w:type="dxa"/>
            <w:hideMark/>
          </w:tcPr>
          <w:p w14:paraId="0FD37025" w14:textId="77777777" w:rsidR="00A80D14" w:rsidRPr="00B047A8" w:rsidRDefault="00A80D14" w:rsidP="00A80D14">
            <w:pPr>
              <w:jc w:val="both"/>
              <w:rPr>
                <w:sz w:val="20"/>
              </w:rPr>
            </w:pPr>
            <w:r w:rsidRPr="00B047A8">
              <w:rPr>
                <w:sz w:val="20"/>
              </w:rPr>
              <w:t>434.10</w:t>
            </w:r>
          </w:p>
        </w:tc>
        <w:tc>
          <w:tcPr>
            <w:tcW w:w="1107" w:type="dxa"/>
            <w:hideMark/>
          </w:tcPr>
          <w:p w14:paraId="3D8204A6" w14:textId="77777777" w:rsidR="00A80D14" w:rsidRPr="00B047A8" w:rsidRDefault="00A80D14" w:rsidP="00A80D14">
            <w:pPr>
              <w:jc w:val="both"/>
              <w:rPr>
                <w:sz w:val="20"/>
              </w:rPr>
            </w:pPr>
            <w:r w:rsidRPr="00B047A8">
              <w:rPr>
                <w:sz w:val="20"/>
              </w:rPr>
              <w:t>615.30</w:t>
            </w:r>
          </w:p>
        </w:tc>
        <w:tc>
          <w:tcPr>
            <w:tcW w:w="981" w:type="dxa"/>
            <w:hideMark/>
          </w:tcPr>
          <w:p w14:paraId="3FF9198A" w14:textId="77777777" w:rsidR="00A80D14" w:rsidRPr="00B047A8" w:rsidRDefault="00A80D14" w:rsidP="00A80D14">
            <w:pPr>
              <w:jc w:val="both"/>
              <w:rPr>
                <w:sz w:val="20"/>
              </w:rPr>
            </w:pPr>
            <w:r w:rsidRPr="00B047A8">
              <w:rPr>
                <w:sz w:val="20"/>
              </w:rPr>
              <w:t>407.70</w:t>
            </w:r>
          </w:p>
        </w:tc>
        <w:tc>
          <w:tcPr>
            <w:tcW w:w="1503" w:type="dxa"/>
            <w:hideMark/>
          </w:tcPr>
          <w:p w14:paraId="525596AD" w14:textId="77777777" w:rsidR="00A80D14" w:rsidRPr="00B047A8" w:rsidRDefault="00A80D14" w:rsidP="00A80D14">
            <w:pPr>
              <w:ind w:firstLine="720"/>
              <w:jc w:val="both"/>
              <w:rPr>
                <w:sz w:val="20"/>
              </w:rPr>
            </w:pPr>
            <w:r w:rsidRPr="00B047A8">
              <w:rPr>
                <w:sz w:val="20"/>
              </w:rPr>
              <w:t>421.00</w:t>
            </w:r>
          </w:p>
        </w:tc>
        <w:tc>
          <w:tcPr>
            <w:tcW w:w="0" w:type="auto"/>
            <w:hideMark/>
          </w:tcPr>
          <w:p w14:paraId="388258FE" w14:textId="77777777" w:rsidR="00A80D14" w:rsidRPr="00B047A8" w:rsidRDefault="00A80D14" w:rsidP="00A80D14">
            <w:pPr>
              <w:ind w:firstLine="720"/>
              <w:jc w:val="both"/>
              <w:rPr>
                <w:sz w:val="20"/>
              </w:rPr>
            </w:pPr>
            <w:r w:rsidRPr="00B047A8">
              <w:rPr>
                <w:sz w:val="20"/>
              </w:rPr>
              <w:t>105.30</w:t>
            </w:r>
          </w:p>
        </w:tc>
      </w:tr>
      <w:tr w:rsidR="00A80D14" w:rsidRPr="00B047A8" w14:paraId="3BBFD373" w14:textId="77777777" w:rsidTr="008C48FB">
        <w:trPr>
          <w:trHeight w:val="245"/>
          <w:jc w:val="center"/>
        </w:trPr>
        <w:tc>
          <w:tcPr>
            <w:tcW w:w="0" w:type="auto"/>
            <w:hideMark/>
          </w:tcPr>
          <w:p w14:paraId="4CAC836E" w14:textId="77777777" w:rsidR="00A80D14" w:rsidRPr="00B047A8" w:rsidRDefault="00A80D14" w:rsidP="00A80D14">
            <w:pPr>
              <w:ind w:firstLine="720"/>
              <w:jc w:val="both"/>
              <w:rPr>
                <w:sz w:val="20"/>
              </w:rPr>
            </w:pPr>
            <w:r w:rsidRPr="00B047A8">
              <w:rPr>
                <w:sz w:val="20"/>
              </w:rPr>
              <w:t>T80</w:t>
            </w:r>
          </w:p>
        </w:tc>
        <w:tc>
          <w:tcPr>
            <w:tcW w:w="0" w:type="auto"/>
            <w:hideMark/>
          </w:tcPr>
          <w:p w14:paraId="113AF9FE" w14:textId="77777777" w:rsidR="00A80D14" w:rsidRPr="00B047A8" w:rsidRDefault="00A80D14" w:rsidP="00A80D14">
            <w:pPr>
              <w:ind w:firstLine="720"/>
              <w:jc w:val="both"/>
              <w:rPr>
                <w:sz w:val="20"/>
              </w:rPr>
            </w:pPr>
            <w:r w:rsidRPr="00B047A8">
              <w:rPr>
                <w:sz w:val="20"/>
              </w:rPr>
              <w:t>630</w:t>
            </w:r>
          </w:p>
        </w:tc>
        <w:tc>
          <w:tcPr>
            <w:tcW w:w="1206" w:type="dxa"/>
            <w:hideMark/>
          </w:tcPr>
          <w:p w14:paraId="1E952F63" w14:textId="77777777" w:rsidR="00A80D14" w:rsidRPr="00B047A8" w:rsidRDefault="00A80D14" w:rsidP="00A80D14">
            <w:pPr>
              <w:jc w:val="both"/>
              <w:rPr>
                <w:sz w:val="20"/>
              </w:rPr>
            </w:pPr>
            <w:r w:rsidRPr="00B047A8">
              <w:rPr>
                <w:sz w:val="20"/>
              </w:rPr>
              <w:t>750.40</w:t>
            </w:r>
          </w:p>
        </w:tc>
        <w:tc>
          <w:tcPr>
            <w:tcW w:w="1107" w:type="dxa"/>
            <w:hideMark/>
          </w:tcPr>
          <w:p w14:paraId="5C479F96" w14:textId="77777777" w:rsidR="00A80D14" w:rsidRPr="00B047A8" w:rsidRDefault="00A80D14" w:rsidP="00A80D14">
            <w:pPr>
              <w:jc w:val="both"/>
              <w:rPr>
                <w:sz w:val="20"/>
              </w:rPr>
            </w:pPr>
            <w:r w:rsidRPr="00B047A8">
              <w:rPr>
                <w:sz w:val="20"/>
              </w:rPr>
              <w:t>697.30</w:t>
            </w:r>
          </w:p>
        </w:tc>
        <w:tc>
          <w:tcPr>
            <w:tcW w:w="981" w:type="dxa"/>
            <w:hideMark/>
          </w:tcPr>
          <w:p w14:paraId="42C2274B" w14:textId="77777777" w:rsidR="00A80D14" w:rsidRPr="00B047A8" w:rsidRDefault="00A80D14" w:rsidP="00A80D14">
            <w:pPr>
              <w:jc w:val="both"/>
              <w:rPr>
                <w:sz w:val="20"/>
              </w:rPr>
            </w:pPr>
            <w:r w:rsidRPr="00B047A8">
              <w:rPr>
                <w:sz w:val="20"/>
              </w:rPr>
              <w:t>691.90</w:t>
            </w:r>
          </w:p>
        </w:tc>
        <w:tc>
          <w:tcPr>
            <w:tcW w:w="1503" w:type="dxa"/>
            <w:hideMark/>
          </w:tcPr>
          <w:p w14:paraId="2D6A2E01" w14:textId="77777777" w:rsidR="00A80D14" w:rsidRPr="00B047A8" w:rsidRDefault="00A80D14" w:rsidP="00A80D14">
            <w:pPr>
              <w:ind w:firstLine="720"/>
              <w:jc w:val="both"/>
              <w:rPr>
                <w:sz w:val="20"/>
              </w:rPr>
            </w:pPr>
            <w:r w:rsidRPr="00B047A8">
              <w:rPr>
                <w:sz w:val="20"/>
              </w:rPr>
              <w:t>491.29</w:t>
            </w:r>
          </w:p>
        </w:tc>
        <w:tc>
          <w:tcPr>
            <w:tcW w:w="0" w:type="auto"/>
            <w:hideMark/>
          </w:tcPr>
          <w:p w14:paraId="5D73BA52" w14:textId="77777777" w:rsidR="00A80D14" w:rsidRPr="00B047A8" w:rsidRDefault="00A80D14" w:rsidP="00A80D14">
            <w:pPr>
              <w:ind w:firstLine="720"/>
              <w:jc w:val="both"/>
              <w:rPr>
                <w:sz w:val="20"/>
              </w:rPr>
            </w:pPr>
            <w:r w:rsidRPr="00B047A8">
              <w:rPr>
                <w:sz w:val="20"/>
              </w:rPr>
              <w:t>77.90</w:t>
            </w:r>
          </w:p>
        </w:tc>
      </w:tr>
      <w:tr w:rsidR="00A80D14" w:rsidRPr="00B047A8" w14:paraId="47421A37" w14:textId="77777777" w:rsidTr="008C48FB">
        <w:trPr>
          <w:trHeight w:val="245"/>
          <w:jc w:val="center"/>
        </w:trPr>
        <w:tc>
          <w:tcPr>
            <w:tcW w:w="0" w:type="auto"/>
            <w:hideMark/>
          </w:tcPr>
          <w:p w14:paraId="491FBFB0" w14:textId="77777777" w:rsidR="00A80D14" w:rsidRPr="00B047A8" w:rsidRDefault="00A80D14" w:rsidP="00A80D14">
            <w:pPr>
              <w:ind w:firstLine="720"/>
              <w:jc w:val="both"/>
              <w:rPr>
                <w:sz w:val="20"/>
              </w:rPr>
            </w:pPr>
            <w:r w:rsidRPr="00B047A8">
              <w:rPr>
                <w:sz w:val="20"/>
              </w:rPr>
              <w:t>T83b</w:t>
            </w:r>
          </w:p>
        </w:tc>
        <w:tc>
          <w:tcPr>
            <w:tcW w:w="0" w:type="auto"/>
            <w:hideMark/>
          </w:tcPr>
          <w:p w14:paraId="6209A5C4" w14:textId="77777777" w:rsidR="00A80D14" w:rsidRPr="00B047A8" w:rsidRDefault="00A80D14" w:rsidP="00A80D14">
            <w:pPr>
              <w:ind w:firstLine="720"/>
              <w:jc w:val="both"/>
              <w:rPr>
                <w:sz w:val="20"/>
              </w:rPr>
            </w:pPr>
            <w:r w:rsidRPr="00B047A8">
              <w:rPr>
                <w:sz w:val="20"/>
              </w:rPr>
              <w:t>250</w:t>
            </w:r>
          </w:p>
        </w:tc>
        <w:tc>
          <w:tcPr>
            <w:tcW w:w="1206" w:type="dxa"/>
            <w:hideMark/>
          </w:tcPr>
          <w:p w14:paraId="27294073" w14:textId="77777777" w:rsidR="00A80D14" w:rsidRPr="00B047A8" w:rsidRDefault="00A80D14" w:rsidP="00A80D14">
            <w:pPr>
              <w:jc w:val="both"/>
              <w:rPr>
                <w:sz w:val="20"/>
              </w:rPr>
            </w:pPr>
            <w:r w:rsidRPr="00B047A8">
              <w:rPr>
                <w:sz w:val="20"/>
              </w:rPr>
              <w:t>335.90</w:t>
            </w:r>
          </w:p>
        </w:tc>
        <w:tc>
          <w:tcPr>
            <w:tcW w:w="1107" w:type="dxa"/>
            <w:hideMark/>
          </w:tcPr>
          <w:p w14:paraId="749A32FF" w14:textId="77777777" w:rsidR="00A80D14" w:rsidRPr="00B047A8" w:rsidRDefault="00A80D14" w:rsidP="00A80D14">
            <w:pPr>
              <w:jc w:val="both"/>
              <w:rPr>
                <w:sz w:val="20"/>
              </w:rPr>
            </w:pPr>
            <w:r w:rsidRPr="00B047A8">
              <w:rPr>
                <w:sz w:val="20"/>
              </w:rPr>
              <w:t>377.40</w:t>
            </w:r>
          </w:p>
        </w:tc>
        <w:tc>
          <w:tcPr>
            <w:tcW w:w="981" w:type="dxa"/>
            <w:hideMark/>
          </w:tcPr>
          <w:p w14:paraId="5AA35BD1" w14:textId="77777777" w:rsidR="00A80D14" w:rsidRPr="00B047A8" w:rsidRDefault="00A80D14" w:rsidP="00A80D14">
            <w:pPr>
              <w:jc w:val="both"/>
              <w:rPr>
                <w:sz w:val="20"/>
              </w:rPr>
            </w:pPr>
            <w:r w:rsidRPr="00B047A8">
              <w:rPr>
                <w:sz w:val="20"/>
              </w:rPr>
              <w:t>385.15</w:t>
            </w:r>
          </w:p>
        </w:tc>
        <w:tc>
          <w:tcPr>
            <w:tcW w:w="1503" w:type="dxa"/>
            <w:hideMark/>
          </w:tcPr>
          <w:p w14:paraId="48065271" w14:textId="77777777" w:rsidR="00A80D14" w:rsidRPr="00B047A8" w:rsidRDefault="00A80D14" w:rsidP="00A80D14">
            <w:pPr>
              <w:ind w:firstLine="720"/>
              <w:jc w:val="both"/>
              <w:rPr>
                <w:sz w:val="20"/>
              </w:rPr>
            </w:pPr>
            <w:r w:rsidRPr="00B047A8">
              <w:rPr>
                <w:sz w:val="20"/>
              </w:rPr>
              <w:t>312.23</w:t>
            </w:r>
          </w:p>
        </w:tc>
        <w:tc>
          <w:tcPr>
            <w:tcW w:w="0" w:type="auto"/>
            <w:hideMark/>
          </w:tcPr>
          <w:p w14:paraId="35959A02" w14:textId="77777777" w:rsidR="00A80D14" w:rsidRPr="00B047A8" w:rsidRDefault="00A80D14" w:rsidP="00A80D14">
            <w:pPr>
              <w:ind w:firstLine="720"/>
              <w:jc w:val="both"/>
              <w:rPr>
                <w:sz w:val="20"/>
              </w:rPr>
            </w:pPr>
            <w:r w:rsidRPr="00B047A8">
              <w:rPr>
                <w:sz w:val="20"/>
              </w:rPr>
              <w:t>124.89</w:t>
            </w:r>
          </w:p>
        </w:tc>
      </w:tr>
      <w:tr w:rsidR="00A80D14" w:rsidRPr="00B047A8" w14:paraId="34BB4F2B" w14:textId="77777777" w:rsidTr="008C48FB">
        <w:trPr>
          <w:trHeight w:val="245"/>
          <w:jc w:val="center"/>
        </w:trPr>
        <w:tc>
          <w:tcPr>
            <w:tcW w:w="0" w:type="auto"/>
            <w:hideMark/>
          </w:tcPr>
          <w:p w14:paraId="4DF48180" w14:textId="77777777" w:rsidR="00A80D14" w:rsidRPr="00B047A8" w:rsidRDefault="00A80D14" w:rsidP="00A80D14">
            <w:pPr>
              <w:ind w:firstLine="720"/>
              <w:jc w:val="both"/>
              <w:rPr>
                <w:sz w:val="20"/>
              </w:rPr>
            </w:pPr>
            <w:r w:rsidRPr="00B047A8">
              <w:rPr>
                <w:sz w:val="20"/>
              </w:rPr>
              <w:t>T99</w:t>
            </w:r>
          </w:p>
        </w:tc>
        <w:tc>
          <w:tcPr>
            <w:tcW w:w="0" w:type="auto"/>
            <w:hideMark/>
          </w:tcPr>
          <w:p w14:paraId="3818FD51" w14:textId="77777777" w:rsidR="00A80D14" w:rsidRPr="00B047A8" w:rsidRDefault="00A80D14" w:rsidP="00A80D14">
            <w:pPr>
              <w:ind w:firstLine="720"/>
              <w:jc w:val="both"/>
              <w:rPr>
                <w:sz w:val="20"/>
              </w:rPr>
            </w:pPr>
            <w:r w:rsidRPr="00B047A8">
              <w:rPr>
                <w:sz w:val="20"/>
              </w:rPr>
              <w:t>400</w:t>
            </w:r>
          </w:p>
        </w:tc>
        <w:tc>
          <w:tcPr>
            <w:tcW w:w="1206" w:type="dxa"/>
            <w:hideMark/>
          </w:tcPr>
          <w:p w14:paraId="31BAE2E5" w14:textId="77777777" w:rsidR="00A80D14" w:rsidRPr="00B047A8" w:rsidRDefault="00A80D14" w:rsidP="00A80D14">
            <w:pPr>
              <w:jc w:val="both"/>
              <w:rPr>
                <w:sz w:val="20"/>
              </w:rPr>
            </w:pPr>
            <w:r w:rsidRPr="00B047A8">
              <w:rPr>
                <w:sz w:val="20"/>
              </w:rPr>
              <w:t>669.00</w:t>
            </w:r>
          </w:p>
        </w:tc>
        <w:tc>
          <w:tcPr>
            <w:tcW w:w="1107" w:type="dxa"/>
            <w:hideMark/>
          </w:tcPr>
          <w:p w14:paraId="699F3631" w14:textId="77777777" w:rsidR="00A80D14" w:rsidRPr="00B047A8" w:rsidRDefault="00A80D14" w:rsidP="00A80D14">
            <w:pPr>
              <w:jc w:val="both"/>
              <w:rPr>
                <w:sz w:val="20"/>
              </w:rPr>
            </w:pPr>
            <w:r w:rsidRPr="00B047A8">
              <w:rPr>
                <w:sz w:val="20"/>
              </w:rPr>
              <w:t>578.00</w:t>
            </w:r>
          </w:p>
        </w:tc>
        <w:tc>
          <w:tcPr>
            <w:tcW w:w="981" w:type="dxa"/>
            <w:hideMark/>
          </w:tcPr>
          <w:p w14:paraId="1BEEEF30" w14:textId="77777777" w:rsidR="00A80D14" w:rsidRPr="00B047A8" w:rsidRDefault="00A80D14" w:rsidP="00A80D14">
            <w:pPr>
              <w:jc w:val="both"/>
              <w:rPr>
                <w:sz w:val="20"/>
              </w:rPr>
            </w:pPr>
            <w:r w:rsidRPr="00B047A8">
              <w:rPr>
                <w:sz w:val="20"/>
              </w:rPr>
              <w:t>679.00</w:t>
            </w:r>
          </w:p>
        </w:tc>
        <w:tc>
          <w:tcPr>
            <w:tcW w:w="1503" w:type="dxa"/>
            <w:hideMark/>
          </w:tcPr>
          <w:p w14:paraId="385AC1CE" w14:textId="77777777" w:rsidR="00A80D14" w:rsidRPr="00B047A8" w:rsidRDefault="00A80D14" w:rsidP="00A80D14">
            <w:pPr>
              <w:ind w:firstLine="720"/>
              <w:jc w:val="both"/>
              <w:rPr>
                <w:sz w:val="20"/>
              </w:rPr>
            </w:pPr>
            <w:r w:rsidRPr="00B047A8">
              <w:rPr>
                <w:sz w:val="20"/>
              </w:rPr>
              <w:t>465.36</w:t>
            </w:r>
          </w:p>
        </w:tc>
        <w:tc>
          <w:tcPr>
            <w:tcW w:w="0" w:type="auto"/>
            <w:hideMark/>
          </w:tcPr>
          <w:p w14:paraId="0CC9CC9D" w14:textId="77777777" w:rsidR="00A80D14" w:rsidRPr="00B047A8" w:rsidRDefault="00A80D14" w:rsidP="00A80D14">
            <w:pPr>
              <w:ind w:firstLine="720"/>
              <w:jc w:val="both"/>
              <w:rPr>
                <w:sz w:val="20"/>
              </w:rPr>
            </w:pPr>
            <w:r w:rsidRPr="00B047A8">
              <w:rPr>
                <w:sz w:val="20"/>
              </w:rPr>
              <w:t>116.34</w:t>
            </w:r>
          </w:p>
        </w:tc>
      </w:tr>
      <w:tr w:rsidR="00A80D14" w:rsidRPr="00B047A8" w14:paraId="53176B5C" w14:textId="77777777" w:rsidTr="008C48FB">
        <w:trPr>
          <w:trHeight w:val="258"/>
          <w:jc w:val="center"/>
        </w:trPr>
        <w:tc>
          <w:tcPr>
            <w:tcW w:w="0" w:type="auto"/>
            <w:hideMark/>
          </w:tcPr>
          <w:p w14:paraId="10D8FDF0" w14:textId="77777777" w:rsidR="00A80D14" w:rsidRPr="00B047A8" w:rsidRDefault="00A80D14" w:rsidP="00A80D14">
            <w:pPr>
              <w:ind w:firstLine="720"/>
              <w:jc w:val="both"/>
              <w:rPr>
                <w:sz w:val="20"/>
              </w:rPr>
            </w:pPr>
            <w:r w:rsidRPr="00B047A8">
              <w:rPr>
                <w:sz w:val="20"/>
              </w:rPr>
              <w:t>T87</w:t>
            </w:r>
          </w:p>
        </w:tc>
        <w:tc>
          <w:tcPr>
            <w:tcW w:w="0" w:type="auto"/>
            <w:hideMark/>
          </w:tcPr>
          <w:p w14:paraId="6F92A771" w14:textId="77777777" w:rsidR="00A80D14" w:rsidRPr="00B047A8" w:rsidRDefault="00A80D14" w:rsidP="00A80D14">
            <w:pPr>
              <w:ind w:firstLine="720"/>
              <w:jc w:val="both"/>
              <w:rPr>
                <w:sz w:val="20"/>
              </w:rPr>
            </w:pPr>
            <w:r w:rsidRPr="00B047A8">
              <w:rPr>
                <w:sz w:val="20"/>
              </w:rPr>
              <w:t>250</w:t>
            </w:r>
          </w:p>
        </w:tc>
        <w:tc>
          <w:tcPr>
            <w:tcW w:w="1206" w:type="dxa"/>
            <w:hideMark/>
          </w:tcPr>
          <w:p w14:paraId="682E9049" w14:textId="77777777" w:rsidR="00A80D14" w:rsidRPr="00B047A8" w:rsidRDefault="00A80D14" w:rsidP="00A80D14">
            <w:pPr>
              <w:jc w:val="both"/>
              <w:rPr>
                <w:sz w:val="20"/>
              </w:rPr>
            </w:pPr>
            <w:r w:rsidRPr="00B047A8">
              <w:rPr>
                <w:sz w:val="20"/>
              </w:rPr>
              <w:t>344.80</w:t>
            </w:r>
          </w:p>
        </w:tc>
        <w:tc>
          <w:tcPr>
            <w:tcW w:w="1107" w:type="dxa"/>
            <w:hideMark/>
          </w:tcPr>
          <w:p w14:paraId="5D6232A2" w14:textId="77777777" w:rsidR="00A80D14" w:rsidRPr="00B047A8" w:rsidRDefault="00A80D14" w:rsidP="00A80D14">
            <w:pPr>
              <w:jc w:val="both"/>
              <w:rPr>
                <w:sz w:val="20"/>
              </w:rPr>
            </w:pPr>
            <w:r w:rsidRPr="00B047A8">
              <w:rPr>
                <w:sz w:val="20"/>
              </w:rPr>
              <w:t>317.80</w:t>
            </w:r>
          </w:p>
        </w:tc>
        <w:tc>
          <w:tcPr>
            <w:tcW w:w="981" w:type="dxa"/>
            <w:hideMark/>
          </w:tcPr>
          <w:p w14:paraId="1B3D6332" w14:textId="77777777" w:rsidR="00A80D14" w:rsidRPr="00B047A8" w:rsidRDefault="00A80D14" w:rsidP="00A80D14">
            <w:pPr>
              <w:jc w:val="both"/>
              <w:rPr>
                <w:sz w:val="20"/>
              </w:rPr>
            </w:pPr>
            <w:r w:rsidRPr="00B047A8">
              <w:rPr>
                <w:sz w:val="20"/>
              </w:rPr>
              <w:t>325.10</w:t>
            </w:r>
          </w:p>
        </w:tc>
        <w:tc>
          <w:tcPr>
            <w:tcW w:w="1503" w:type="dxa"/>
            <w:hideMark/>
          </w:tcPr>
          <w:p w14:paraId="1D132FAF" w14:textId="77777777" w:rsidR="00A80D14" w:rsidRPr="00B047A8" w:rsidRDefault="00A80D14" w:rsidP="00A80D14">
            <w:pPr>
              <w:ind w:firstLine="720"/>
              <w:jc w:val="both"/>
              <w:rPr>
                <w:sz w:val="20"/>
              </w:rPr>
            </w:pPr>
            <w:r w:rsidRPr="00B047A8">
              <w:rPr>
                <w:sz w:val="20"/>
              </w:rPr>
              <w:t>295.18</w:t>
            </w:r>
          </w:p>
        </w:tc>
        <w:tc>
          <w:tcPr>
            <w:tcW w:w="0" w:type="auto"/>
            <w:hideMark/>
          </w:tcPr>
          <w:p w14:paraId="04192119" w14:textId="77777777" w:rsidR="00A80D14" w:rsidRPr="00B047A8" w:rsidRDefault="00A80D14" w:rsidP="00A80D14">
            <w:pPr>
              <w:ind w:firstLine="720"/>
              <w:jc w:val="both"/>
              <w:rPr>
                <w:sz w:val="20"/>
              </w:rPr>
            </w:pPr>
            <w:r w:rsidRPr="00B047A8">
              <w:rPr>
                <w:sz w:val="20"/>
              </w:rPr>
              <w:t>118.07</w:t>
            </w:r>
          </w:p>
        </w:tc>
      </w:tr>
      <w:tr w:rsidR="00A80D14" w:rsidRPr="00B047A8" w14:paraId="3B4D50AE" w14:textId="77777777" w:rsidTr="008C48FB">
        <w:trPr>
          <w:trHeight w:val="245"/>
          <w:jc w:val="center"/>
        </w:trPr>
        <w:tc>
          <w:tcPr>
            <w:tcW w:w="0" w:type="auto"/>
            <w:hideMark/>
          </w:tcPr>
          <w:p w14:paraId="447E99DD" w14:textId="77777777" w:rsidR="00A80D14" w:rsidRPr="00B047A8" w:rsidRDefault="00A80D14" w:rsidP="00A80D14">
            <w:pPr>
              <w:ind w:firstLine="720"/>
              <w:jc w:val="both"/>
              <w:rPr>
                <w:sz w:val="20"/>
              </w:rPr>
            </w:pPr>
            <w:r w:rsidRPr="00B047A8">
              <w:rPr>
                <w:sz w:val="20"/>
              </w:rPr>
              <w:t>T71</w:t>
            </w:r>
          </w:p>
        </w:tc>
        <w:tc>
          <w:tcPr>
            <w:tcW w:w="0" w:type="auto"/>
            <w:hideMark/>
          </w:tcPr>
          <w:p w14:paraId="47E18D46" w14:textId="77777777" w:rsidR="00A80D14" w:rsidRPr="00B047A8" w:rsidRDefault="00A80D14" w:rsidP="00A80D14">
            <w:pPr>
              <w:ind w:firstLine="720"/>
              <w:jc w:val="both"/>
              <w:rPr>
                <w:sz w:val="20"/>
              </w:rPr>
            </w:pPr>
            <w:r w:rsidRPr="00B047A8">
              <w:rPr>
                <w:sz w:val="20"/>
              </w:rPr>
              <w:t>250</w:t>
            </w:r>
          </w:p>
        </w:tc>
        <w:tc>
          <w:tcPr>
            <w:tcW w:w="1206" w:type="dxa"/>
            <w:hideMark/>
          </w:tcPr>
          <w:p w14:paraId="32F5960A" w14:textId="77777777" w:rsidR="00A80D14" w:rsidRPr="00B047A8" w:rsidRDefault="00A80D14" w:rsidP="00A80D14">
            <w:pPr>
              <w:jc w:val="both"/>
              <w:rPr>
                <w:sz w:val="20"/>
              </w:rPr>
            </w:pPr>
            <w:r w:rsidRPr="00B047A8">
              <w:rPr>
                <w:sz w:val="20"/>
              </w:rPr>
              <w:t>364.50</w:t>
            </w:r>
          </w:p>
        </w:tc>
        <w:tc>
          <w:tcPr>
            <w:tcW w:w="1107" w:type="dxa"/>
            <w:hideMark/>
          </w:tcPr>
          <w:p w14:paraId="1289CEC9" w14:textId="77777777" w:rsidR="00A80D14" w:rsidRPr="00B047A8" w:rsidRDefault="00A80D14" w:rsidP="00A80D14">
            <w:pPr>
              <w:jc w:val="both"/>
              <w:rPr>
                <w:sz w:val="20"/>
              </w:rPr>
            </w:pPr>
            <w:r w:rsidRPr="00B047A8">
              <w:rPr>
                <w:sz w:val="20"/>
              </w:rPr>
              <w:t>337.60</w:t>
            </w:r>
          </w:p>
        </w:tc>
        <w:tc>
          <w:tcPr>
            <w:tcW w:w="981" w:type="dxa"/>
            <w:hideMark/>
          </w:tcPr>
          <w:p w14:paraId="4BCE9DA1" w14:textId="77777777" w:rsidR="00A80D14" w:rsidRPr="00B047A8" w:rsidRDefault="00A80D14" w:rsidP="00A80D14">
            <w:pPr>
              <w:jc w:val="both"/>
              <w:rPr>
                <w:sz w:val="20"/>
              </w:rPr>
            </w:pPr>
            <w:r w:rsidRPr="00B047A8">
              <w:rPr>
                <w:sz w:val="20"/>
              </w:rPr>
              <w:t>375.80</w:t>
            </w:r>
          </w:p>
        </w:tc>
        <w:tc>
          <w:tcPr>
            <w:tcW w:w="1503" w:type="dxa"/>
            <w:hideMark/>
          </w:tcPr>
          <w:p w14:paraId="5082148F" w14:textId="77777777" w:rsidR="00A80D14" w:rsidRPr="00B047A8" w:rsidRDefault="00A80D14" w:rsidP="00A80D14">
            <w:pPr>
              <w:ind w:firstLine="720"/>
              <w:jc w:val="both"/>
              <w:rPr>
                <w:sz w:val="20"/>
              </w:rPr>
            </w:pPr>
            <w:r w:rsidRPr="00B047A8">
              <w:rPr>
                <w:sz w:val="20"/>
              </w:rPr>
              <w:t>312.27</w:t>
            </w:r>
          </w:p>
        </w:tc>
        <w:tc>
          <w:tcPr>
            <w:tcW w:w="0" w:type="auto"/>
            <w:hideMark/>
          </w:tcPr>
          <w:p w14:paraId="295BA172" w14:textId="77777777" w:rsidR="00A80D14" w:rsidRPr="00B047A8" w:rsidRDefault="00A80D14" w:rsidP="00A80D14">
            <w:pPr>
              <w:ind w:firstLine="720"/>
              <w:jc w:val="both"/>
              <w:rPr>
                <w:sz w:val="20"/>
              </w:rPr>
            </w:pPr>
            <w:r w:rsidRPr="00B047A8">
              <w:rPr>
                <w:sz w:val="20"/>
              </w:rPr>
              <w:t>124.91</w:t>
            </w:r>
          </w:p>
        </w:tc>
      </w:tr>
      <w:tr w:rsidR="00A80D14" w:rsidRPr="00B047A8" w14:paraId="47925836" w14:textId="77777777" w:rsidTr="008C48FB">
        <w:trPr>
          <w:trHeight w:val="245"/>
          <w:jc w:val="center"/>
        </w:trPr>
        <w:tc>
          <w:tcPr>
            <w:tcW w:w="0" w:type="auto"/>
            <w:hideMark/>
          </w:tcPr>
          <w:p w14:paraId="201CFAE1" w14:textId="77777777" w:rsidR="00A80D14" w:rsidRPr="00B047A8" w:rsidRDefault="00A80D14" w:rsidP="00A80D14">
            <w:pPr>
              <w:ind w:firstLine="720"/>
              <w:jc w:val="both"/>
              <w:rPr>
                <w:sz w:val="20"/>
              </w:rPr>
            </w:pPr>
            <w:r w:rsidRPr="00B047A8">
              <w:rPr>
                <w:sz w:val="20"/>
              </w:rPr>
              <w:t>N49</w:t>
            </w:r>
          </w:p>
        </w:tc>
        <w:tc>
          <w:tcPr>
            <w:tcW w:w="0" w:type="auto"/>
            <w:hideMark/>
          </w:tcPr>
          <w:p w14:paraId="12D15126" w14:textId="77777777" w:rsidR="00A80D14" w:rsidRPr="00B047A8" w:rsidRDefault="00A80D14" w:rsidP="00A80D14">
            <w:pPr>
              <w:ind w:firstLine="720"/>
              <w:jc w:val="both"/>
              <w:rPr>
                <w:sz w:val="20"/>
              </w:rPr>
            </w:pPr>
            <w:r w:rsidRPr="00B047A8">
              <w:rPr>
                <w:sz w:val="20"/>
              </w:rPr>
              <w:t>400</w:t>
            </w:r>
          </w:p>
        </w:tc>
        <w:tc>
          <w:tcPr>
            <w:tcW w:w="1206" w:type="dxa"/>
            <w:hideMark/>
          </w:tcPr>
          <w:p w14:paraId="0322D641" w14:textId="77777777" w:rsidR="00A80D14" w:rsidRPr="00B047A8" w:rsidRDefault="00A80D14" w:rsidP="00A80D14">
            <w:pPr>
              <w:jc w:val="both"/>
              <w:rPr>
                <w:sz w:val="20"/>
              </w:rPr>
            </w:pPr>
            <w:r w:rsidRPr="00B047A8">
              <w:rPr>
                <w:sz w:val="20"/>
              </w:rPr>
              <w:t>237.95</w:t>
            </w:r>
          </w:p>
        </w:tc>
        <w:tc>
          <w:tcPr>
            <w:tcW w:w="1107" w:type="dxa"/>
            <w:hideMark/>
          </w:tcPr>
          <w:p w14:paraId="6A823EF9" w14:textId="77777777" w:rsidR="00A80D14" w:rsidRPr="00B047A8" w:rsidRDefault="00A80D14" w:rsidP="00A80D14">
            <w:pPr>
              <w:jc w:val="both"/>
              <w:rPr>
                <w:sz w:val="20"/>
              </w:rPr>
            </w:pPr>
            <w:r w:rsidRPr="00B047A8">
              <w:rPr>
                <w:sz w:val="20"/>
              </w:rPr>
              <w:t>256.74</w:t>
            </w:r>
          </w:p>
        </w:tc>
        <w:tc>
          <w:tcPr>
            <w:tcW w:w="981" w:type="dxa"/>
            <w:hideMark/>
          </w:tcPr>
          <w:p w14:paraId="21B6BB9D" w14:textId="77777777" w:rsidR="00A80D14" w:rsidRPr="00B047A8" w:rsidRDefault="00A80D14" w:rsidP="00A80D14">
            <w:pPr>
              <w:jc w:val="both"/>
              <w:rPr>
                <w:sz w:val="20"/>
              </w:rPr>
            </w:pPr>
            <w:r w:rsidRPr="00B047A8">
              <w:rPr>
                <w:sz w:val="20"/>
              </w:rPr>
              <w:t>249.84</w:t>
            </w:r>
          </w:p>
        </w:tc>
        <w:tc>
          <w:tcPr>
            <w:tcW w:w="1503" w:type="dxa"/>
            <w:hideMark/>
          </w:tcPr>
          <w:p w14:paraId="7A4848C1" w14:textId="77777777" w:rsidR="00A80D14" w:rsidRPr="00B047A8" w:rsidRDefault="00A80D14" w:rsidP="00A80D14">
            <w:pPr>
              <w:ind w:firstLine="720"/>
              <w:jc w:val="both"/>
              <w:rPr>
                <w:sz w:val="20"/>
              </w:rPr>
            </w:pPr>
            <w:r w:rsidRPr="00B047A8">
              <w:rPr>
                <w:sz w:val="20"/>
              </w:rPr>
              <w:t>335.03</w:t>
            </w:r>
          </w:p>
        </w:tc>
        <w:tc>
          <w:tcPr>
            <w:tcW w:w="0" w:type="auto"/>
            <w:hideMark/>
          </w:tcPr>
          <w:p w14:paraId="421C0255" w14:textId="77777777" w:rsidR="00A80D14" w:rsidRPr="00B047A8" w:rsidRDefault="00A80D14" w:rsidP="00A80D14">
            <w:pPr>
              <w:ind w:firstLine="720"/>
              <w:jc w:val="both"/>
              <w:rPr>
                <w:sz w:val="20"/>
              </w:rPr>
            </w:pPr>
            <w:r w:rsidRPr="00B047A8">
              <w:rPr>
                <w:sz w:val="20"/>
              </w:rPr>
              <w:t>83.76</w:t>
            </w:r>
          </w:p>
        </w:tc>
      </w:tr>
      <w:tr w:rsidR="00A80D14" w:rsidRPr="00B047A8" w14:paraId="44BE9BDF" w14:textId="77777777" w:rsidTr="008C48FB">
        <w:trPr>
          <w:trHeight w:val="245"/>
          <w:jc w:val="center"/>
        </w:trPr>
        <w:tc>
          <w:tcPr>
            <w:tcW w:w="0" w:type="auto"/>
            <w:hideMark/>
          </w:tcPr>
          <w:p w14:paraId="544EE795" w14:textId="77777777" w:rsidR="00A80D14" w:rsidRPr="00B047A8" w:rsidRDefault="00A80D14" w:rsidP="00A80D14">
            <w:pPr>
              <w:ind w:firstLine="720"/>
              <w:jc w:val="both"/>
              <w:rPr>
                <w:sz w:val="20"/>
              </w:rPr>
            </w:pPr>
            <w:r w:rsidRPr="00B047A8">
              <w:rPr>
                <w:sz w:val="20"/>
              </w:rPr>
              <w:t>N52</w:t>
            </w:r>
          </w:p>
        </w:tc>
        <w:tc>
          <w:tcPr>
            <w:tcW w:w="0" w:type="auto"/>
            <w:hideMark/>
          </w:tcPr>
          <w:p w14:paraId="72172268" w14:textId="77777777" w:rsidR="00A80D14" w:rsidRPr="00B047A8" w:rsidRDefault="00A80D14" w:rsidP="00A80D14">
            <w:pPr>
              <w:ind w:firstLine="720"/>
              <w:jc w:val="both"/>
              <w:rPr>
                <w:sz w:val="20"/>
              </w:rPr>
            </w:pPr>
            <w:r w:rsidRPr="00B047A8">
              <w:rPr>
                <w:sz w:val="20"/>
              </w:rPr>
              <w:t>400</w:t>
            </w:r>
          </w:p>
        </w:tc>
        <w:tc>
          <w:tcPr>
            <w:tcW w:w="1206" w:type="dxa"/>
            <w:hideMark/>
          </w:tcPr>
          <w:p w14:paraId="7C8FE378" w14:textId="77777777" w:rsidR="00A80D14" w:rsidRPr="00B047A8" w:rsidRDefault="00A80D14" w:rsidP="00A80D14">
            <w:pPr>
              <w:jc w:val="both"/>
              <w:rPr>
                <w:sz w:val="20"/>
              </w:rPr>
            </w:pPr>
            <w:r w:rsidRPr="00B047A8">
              <w:rPr>
                <w:sz w:val="20"/>
              </w:rPr>
              <w:t>808.50</w:t>
            </w:r>
          </w:p>
        </w:tc>
        <w:tc>
          <w:tcPr>
            <w:tcW w:w="1107" w:type="dxa"/>
            <w:hideMark/>
          </w:tcPr>
          <w:p w14:paraId="37165DD1" w14:textId="77777777" w:rsidR="00A80D14" w:rsidRPr="00B047A8" w:rsidRDefault="00A80D14" w:rsidP="00A80D14">
            <w:pPr>
              <w:jc w:val="both"/>
              <w:rPr>
                <w:sz w:val="20"/>
              </w:rPr>
            </w:pPr>
            <w:r w:rsidRPr="00B047A8">
              <w:rPr>
                <w:sz w:val="20"/>
              </w:rPr>
              <w:t>618.90</w:t>
            </w:r>
          </w:p>
        </w:tc>
        <w:tc>
          <w:tcPr>
            <w:tcW w:w="981" w:type="dxa"/>
            <w:hideMark/>
          </w:tcPr>
          <w:p w14:paraId="7019F211" w14:textId="77777777" w:rsidR="00A80D14" w:rsidRPr="00B047A8" w:rsidRDefault="00A80D14" w:rsidP="00A80D14">
            <w:pPr>
              <w:jc w:val="both"/>
              <w:rPr>
                <w:sz w:val="20"/>
              </w:rPr>
            </w:pPr>
            <w:r w:rsidRPr="00B047A8">
              <w:rPr>
                <w:sz w:val="20"/>
              </w:rPr>
              <w:t>598.70</w:t>
            </w:r>
          </w:p>
        </w:tc>
        <w:tc>
          <w:tcPr>
            <w:tcW w:w="1503" w:type="dxa"/>
            <w:hideMark/>
          </w:tcPr>
          <w:p w14:paraId="2E685988" w14:textId="77777777" w:rsidR="00A80D14" w:rsidRPr="00B047A8" w:rsidRDefault="00A80D14" w:rsidP="00A80D14">
            <w:pPr>
              <w:ind w:firstLine="720"/>
              <w:jc w:val="both"/>
              <w:rPr>
                <w:sz w:val="20"/>
              </w:rPr>
            </w:pPr>
            <w:r w:rsidRPr="00B047A8">
              <w:rPr>
                <w:sz w:val="20"/>
              </w:rPr>
              <w:t>584.66</w:t>
            </w:r>
          </w:p>
        </w:tc>
        <w:tc>
          <w:tcPr>
            <w:tcW w:w="0" w:type="auto"/>
            <w:hideMark/>
          </w:tcPr>
          <w:p w14:paraId="743F8AD9" w14:textId="77777777" w:rsidR="00A80D14" w:rsidRPr="00B047A8" w:rsidRDefault="00A80D14" w:rsidP="00A80D14">
            <w:pPr>
              <w:ind w:firstLine="720"/>
              <w:jc w:val="both"/>
              <w:rPr>
                <w:sz w:val="20"/>
              </w:rPr>
            </w:pPr>
            <w:r w:rsidRPr="00B047A8">
              <w:rPr>
                <w:sz w:val="20"/>
              </w:rPr>
              <w:t>146.16</w:t>
            </w:r>
          </w:p>
        </w:tc>
      </w:tr>
      <w:tr w:rsidR="00A80D14" w:rsidRPr="00B047A8" w14:paraId="1810030F" w14:textId="77777777" w:rsidTr="008C48FB">
        <w:trPr>
          <w:trHeight w:val="245"/>
          <w:jc w:val="center"/>
        </w:trPr>
        <w:tc>
          <w:tcPr>
            <w:tcW w:w="0" w:type="auto"/>
            <w:hideMark/>
          </w:tcPr>
          <w:p w14:paraId="5F6E895C" w14:textId="77777777" w:rsidR="00A80D14" w:rsidRPr="00B047A8" w:rsidRDefault="00A80D14" w:rsidP="00A80D14">
            <w:pPr>
              <w:ind w:firstLine="720"/>
              <w:jc w:val="both"/>
              <w:rPr>
                <w:sz w:val="20"/>
              </w:rPr>
            </w:pPr>
            <w:r w:rsidRPr="00B047A8">
              <w:rPr>
                <w:sz w:val="20"/>
              </w:rPr>
              <w:t>N55</w:t>
            </w:r>
          </w:p>
        </w:tc>
        <w:tc>
          <w:tcPr>
            <w:tcW w:w="0" w:type="auto"/>
            <w:hideMark/>
          </w:tcPr>
          <w:p w14:paraId="2E9875F9" w14:textId="77777777" w:rsidR="00A80D14" w:rsidRPr="00B047A8" w:rsidRDefault="00A80D14" w:rsidP="00A80D14">
            <w:pPr>
              <w:ind w:firstLine="720"/>
              <w:jc w:val="both"/>
              <w:rPr>
                <w:sz w:val="20"/>
              </w:rPr>
            </w:pPr>
            <w:r w:rsidRPr="00B047A8">
              <w:rPr>
                <w:sz w:val="20"/>
              </w:rPr>
              <w:t>400</w:t>
            </w:r>
          </w:p>
        </w:tc>
        <w:tc>
          <w:tcPr>
            <w:tcW w:w="1206" w:type="dxa"/>
            <w:hideMark/>
          </w:tcPr>
          <w:p w14:paraId="29F2AC59" w14:textId="77777777" w:rsidR="00A80D14" w:rsidRPr="00B047A8" w:rsidRDefault="00A80D14" w:rsidP="00A80D14">
            <w:pPr>
              <w:jc w:val="both"/>
              <w:rPr>
                <w:sz w:val="20"/>
              </w:rPr>
            </w:pPr>
            <w:r w:rsidRPr="00B047A8">
              <w:rPr>
                <w:sz w:val="20"/>
              </w:rPr>
              <w:t>603.20</w:t>
            </w:r>
          </w:p>
        </w:tc>
        <w:tc>
          <w:tcPr>
            <w:tcW w:w="1107" w:type="dxa"/>
            <w:hideMark/>
          </w:tcPr>
          <w:p w14:paraId="5DCA9278" w14:textId="77777777" w:rsidR="00A80D14" w:rsidRPr="00B047A8" w:rsidRDefault="00A80D14" w:rsidP="00A80D14">
            <w:pPr>
              <w:jc w:val="both"/>
              <w:rPr>
                <w:sz w:val="20"/>
              </w:rPr>
            </w:pPr>
            <w:r w:rsidRPr="00B047A8">
              <w:rPr>
                <w:sz w:val="20"/>
              </w:rPr>
              <w:t>636.30</w:t>
            </w:r>
          </w:p>
        </w:tc>
        <w:tc>
          <w:tcPr>
            <w:tcW w:w="981" w:type="dxa"/>
            <w:hideMark/>
          </w:tcPr>
          <w:p w14:paraId="3F61F204" w14:textId="77777777" w:rsidR="00A80D14" w:rsidRPr="00B047A8" w:rsidRDefault="00A80D14" w:rsidP="00A80D14">
            <w:pPr>
              <w:jc w:val="both"/>
              <w:rPr>
                <w:sz w:val="20"/>
              </w:rPr>
            </w:pPr>
            <w:r w:rsidRPr="00B047A8">
              <w:rPr>
                <w:sz w:val="20"/>
              </w:rPr>
              <w:t>712.90</w:t>
            </w:r>
          </w:p>
        </w:tc>
        <w:tc>
          <w:tcPr>
            <w:tcW w:w="1503" w:type="dxa"/>
            <w:hideMark/>
          </w:tcPr>
          <w:p w14:paraId="2B8E56ED" w14:textId="77777777" w:rsidR="00A80D14" w:rsidRPr="00B047A8" w:rsidRDefault="00A80D14" w:rsidP="00A80D14">
            <w:pPr>
              <w:ind w:firstLine="720"/>
              <w:jc w:val="both"/>
              <w:rPr>
                <w:sz w:val="20"/>
              </w:rPr>
            </w:pPr>
            <w:r w:rsidRPr="00B047A8">
              <w:rPr>
                <w:sz w:val="20"/>
              </w:rPr>
              <w:t>540.80</w:t>
            </w:r>
          </w:p>
        </w:tc>
        <w:tc>
          <w:tcPr>
            <w:tcW w:w="0" w:type="auto"/>
            <w:hideMark/>
          </w:tcPr>
          <w:p w14:paraId="0EA982EA" w14:textId="77777777" w:rsidR="00A80D14" w:rsidRPr="00B047A8" w:rsidRDefault="00A80D14" w:rsidP="00A80D14">
            <w:pPr>
              <w:ind w:firstLine="720"/>
              <w:jc w:val="both"/>
              <w:rPr>
                <w:sz w:val="20"/>
              </w:rPr>
            </w:pPr>
            <w:r w:rsidRPr="00B047A8">
              <w:rPr>
                <w:sz w:val="20"/>
              </w:rPr>
              <w:t>135.20</w:t>
            </w:r>
          </w:p>
        </w:tc>
      </w:tr>
      <w:tr w:rsidR="00A80D14" w:rsidRPr="00B047A8" w14:paraId="48579BF7" w14:textId="77777777" w:rsidTr="008C48FB">
        <w:trPr>
          <w:trHeight w:val="245"/>
          <w:jc w:val="center"/>
        </w:trPr>
        <w:tc>
          <w:tcPr>
            <w:tcW w:w="0" w:type="auto"/>
            <w:hideMark/>
          </w:tcPr>
          <w:p w14:paraId="395204D5" w14:textId="77777777" w:rsidR="00A80D14" w:rsidRPr="00B047A8" w:rsidRDefault="00A80D14" w:rsidP="00A80D14">
            <w:pPr>
              <w:ind w:firstLine="720"/>
              <w:jc w:val="both"/>
              <w:rPr>
                <w:sz w:val="20"/>
              </w:rPr>
            </w:pPr>
            <w:r w:rsidRPr="00B047A8">
              <w:rPr>
                <w:sz w:val="20"/>
              </w:rPr>
              <w:t>N47</w:t>
            </w:r>
          </w:p>
        </w:tc>
        <w:tc>
          <w:tcPr>
            <w:tcW w:w="0" w:type="auto"/>
            <w:hideMark/>
          </w:tcPr>
          <w:p w14:paraId="1A902391" w14:textId="77777777" w:rsidR="00A80D14" w:rsidRPr="00B047A8" w:rsidRDefault="00A80D14" w:rsidP="00A80D14">
            <w:pPr>
              <w:ind w:firstLine="720"/>
              <w:jc w:val="both"/>
              <w:rPr>
                <w:sz w:val="20"/>
              </w:rPr>
            </w:pPr>
            <w:r w:rsidRPr="00B047A8">
              <w:rPr>
                <w:sz w:val="20"/>
              </w:rPr>
              <w:t>160</w:t>
            </w:r>
          </w:p>
        </w:tc>
        <w:tc>
          <w:tcPr>
            <w:tcW w:w="1206" w:type="dxa"/>
            <w:hideMark/>
          </w:tcPr>
          <w:p w14:paraId="26B13065" w14:textId="77777777" w:rsidR="00A80D14" w:rsidRPr="00B047A8" w:rsidRDefault="00A80D14" w:rsidP="00A80D14">
            <w:pPr>
              <w:jc w:val="both"/>
              <w:rPr>
                <w:sz w:val="20"/>
              </w:rPr>
            </w:pPr>
            <w:r w:rsidRPr="00B047A8">
              <w:rPr>
                <w:sz w:val="20"/>
              </w:rPr>
              <w:t>75.47</w:t>
            </w:r>
          </w:p>
        </w:tc>
        <w:tc>
          <w:tcPr>
            <w:tcW w:w="1107" w:type="dxa"/>
            <w:hideMark/>
          </w:tcPr>
          <w:p w14:paraId="769A4770" w14:textId="77777777" w:rsidR="00A80D14" w:rsidRPr="00B047A8" w:rsidRDefault="00A80D14" w:rsidP="00A80D14">
            <w:pPr>
              <w:jc w:val="both"/>
              <w:rPr>
                <w:sz w:val="20"/>
              </w:rPr>
            </w:pPr>
            <w:r w:rsidRPr="00B047A8">
              <w:rPr>
                <w:sz w:val="20"/>
              </w:rPr>
              <w:t>97.35</w:t>
            </w:r>
          </w:p>
        </w:tc>
        <w:tc>
          <w:tcPr>
            <w:tcW w:w="981" w:type="dxa"/>
            <w:hideMark/>
          </w:tcPr>
          <w:p w14:paraId="17B38F19" w14:textId="77777777" w:rsidR="00A80D14" w:rsidRPr="00B047A8" w:rsidRDefault="00A80D14" w:rsidP="00A80D14">
            <w:pPr>
              <w:jc w:val="both"/>
              <w:rPr>
                <w:sz w:val="20"/>
              </w:rPr>
            </w:pPr>
            <w:r w:rsidRPr="00B047A8">
              <w:rPr>
                <w:sz w:val="20"/>
              </w:rPr>
              <w:t>91.95</w:t>
            </w:r>
          </w:p>
        </w:tc>
        <w:tc>
          <w:tcPr>
            <w:tcW w:w="1503" w:type="dxa"/>
            <w:hideMark/>
          </w:tcPr>
          <w:p w14:paraId="5E856BDA" w14:textId="77777777" w:rsidR="00A80D14" w:rsidRPr="00B047A8" w:rsidRDefault="00A80D14" w:rsidP="00A80D14">
            <w:pPr>
              <w:ind w:firstLine="720"/>
              <w:jc w:val="both"/>
              <w:rPr>
                <w:sz w:val="20"/>
              </w:rPr>
            </w:pPr>
            <w:r w:rsidRPr="00B047A8">
              <w:rPr>
                <w:sz w:val="20"/>
              </w:rPr>
              <w:t>115.97</w:t>
            </w:r>
          </w:p>
        </w:tc>
        <w:tc>
          <w:tcPr>
            <w:tcW w:w="0" w:type="auto"/>
            <w:hideMark/>
          </w:tcPr>
          <w:p w14:paraId="3F8765C2" w14:textId="77777777" w:rsidR="00A80D14" w:rsidRPr="00B047A8" w:rsidRDefault="00A80D14" w:rsidP="00A80D14">
            <w:pPr>
              <w:ind w:firstLine="720"/>
              <w:jc w:val="both"/>
              <w:rPr>
                <w:sz w:val="20"/>
              </w:rPr>
            </w:pPr>
            <w:r w:rsidRPr="00B047A8">
              <w:rPr>
                <w:sz w:val="20"/>
              </w:rPr>
              <w:t>72.48</w:t>
            </w:r>
          </w:p>
        </w:tc>
      </w:tr>
      <w:tr w:rsidR="00A80D14" w:rsidRPr="00B047A8" w14:paraId="26CE3436" w14:textId="77777777" w:rsidTr="008C48FB">
        <w:trPr>
          <w:trHeight w:val="258"/>
          <w:jc w:val="center"/>
        </w:trPr>
        <w:tc>
          <w:tcPr>
            <w:tcW w:w="0" w:type="auto"/>
            <w:hideMark/>
          </w:tcPr>
          <w:p w14:paraId="6407406C" w14:textId="77777777" w:rsidR="00A80D14" w:rsidRPr="00B047A8" w:rsidRDefault="00A80D14" w:rsidP="00A80D14">
            <w:pPr>
              <w:ind w:firstLine="720"/>
              <w:jc w:val="both"/>
              <w:rPr>
                <w:sz w:val="20"/>
              </w:rPr>
            </w:pPr>
            <w:r w:rsidRPr="00B047A8">
              <w:rPr>
                <w:sz w:val="20"/>
              </w:rPr>
              <w:t>N48</w:t>
            </w:r>
          </w:p>
        </w:tc>
        <w:tc>
          <w:tcPr>
            <w:tcW w:w="0" w:type="auto"/>
            <w:hideMark/>
          </w:tcPr>
          <w:p w14:paraId="053F6C72" w14:textId="77777777" w:rsidR="00A80D14" w:rsidRPr="00B047A8" w:rsidRDefault="00A80D14" w:rsidP="00A80D14">
            <w:pPr>
              <w:ind w:firstLine="720"/>
              <w:jc w:val="both"/>
              <w:rPr>
                <w:sz w:val="20"/>
              </w:rPr>
            </w:pPr>
            <w:r w:rsidRPr="00B047A8">
              <w:rPr>
                <w:sz w:val="20"/>
              </w:rPr>
              <w:t>400</w:t>
            </w:r>
          </w:p>
        </w:tc>
        <w:tc>
          <w:tcPr>
            <w:tcW w:w="1206" w:type="dxa"/>
            <w:hideMark/>
          </w:tcPr>
          <w:p w14:paraId="6D2FF288" w14:textId="77777777" w:rsidR="00A80D14" w:rsidRPr="00B047A8" w:rsidRDefault="00A80D14" w:rsidP="00A80D14">
            <w:pPr>
              <w:jc w:val="both"/>
              <w:rPr>
                <w:sz w:val="20"/>
              </w:rPr>
            </w:pPr>
            <w:r w:rsidRPr="00B047A8">
              <w:rPr>
                <w:sz w:val="20"/>
              </w:rPr>
              <w:t>659.00</w:t>
            </w:r>
          </w:p>
        </w:tc>
        <w:tc>
          <w:tcPr>
            <w:tcW w:w="1107" w:type="dxa"/>
            <w:hideMark/>
          </w:tcPr>
          <w:p w14:paraId="6378302F" w14:textId="77777777" w:rsidR="00A80D14" w:rsidRPr="00B047A8" w:rsidRDefault="00A80D14" w:rsidP="00A80D14">
            <w:pPr>
              <w:jc w:val="both"/>
              <w:rPr>
                <w:sz w:val="20"/>
              </w:rPr>
            </w:pPr>
            <w:r w:rsidRPr="00B047A8">
              <w:rPr>
                <w:sz w:val="20"/>
              </w:rPr>
              <w:t>576.00</w:t>
            </w:r>
          </w:p>
        </w:tc>
        <w:tc>
          <w:tcPr>
            <w:tcW w:w="981" w:type="dxa"/>
            <w:hideMark/>
          </w:tcPr>
          <w:p w14:paraId="14DD60C1" w14:textId="77777777" w:rsidR="00A80D14" w:rsidRPr="00B047A8" w:rsidRDefault="00A80D14" w:rsidP="00A80D14">
            <w:pPr>
              <w:jc w:val="both"/>
              <w:rPr>
                <w:sz w:val="20"/>
              </w:rPr>
            </w:pPr>
            <w:r w:rsidRPr="00B047A8">
              <w:rPr>
                <w:sz w:val="20"/>
              </w:rPr>
              <w:t>673.00</w:t>
            </w:r>
          </w:p>
        </w:tc>
        <w:tc>
          <w:tcPr>
            <w:tcW w:w="1503" w:type="dxa"/>
            <w:hideMark/>
          </w:tcPr>
          <w:p w14:paraId="0BD59240" w14:textId="77777777" w:rsidR="00A80D14" w:rsidRPr="00B047A8" w:rsidRDefault="00A80D14" w:rsidP="00A80D14">
            <w:pPr>
              <w:ind w:firstLine="720"/>
              <w:jc w:val="both"/>
              <w:rPr>
                <w:sz w:val="20"/>
              </w:rPr>
            </w:pPr>
            <w:r w:rsidRPr="00B047A8">
              <w:rPr>
                <w:sz w:val="20"/>
              </w:rPr>
              <w:t>473.07</w:t>
            </w:r>
          </w:p>
        </w:tc>
        <w:tc>
          <w:tcPr>
            <w:tcW w:w="0" w:type="auto"/>
            <w:hideMark/>
          </w:tcPr>
          <w:p w14:paraId="1B585554" w14:textId="77777777" w:rsidR="00A80D14" w:rsidRPr="00B047A8" w:rsidRDefault="00A80D14" w:rsidP="00A80D14">
            <w:pPr>
              <w:ind w:firstLine="720"/>
              <w:jc w:val="both"/>
              <w:rPr>
                <w:sz w:val="20"/>
              </w:rPr>
            </w:pPr>
            <w:r w:rsidRPr="00B047A8">
              <w:rPr>
                <w:sz w:val="20"/>
              </w:rPr>
              <w:t>118.27</w:t>
            </w:r>
          </w:p>
        </w:tc>
      </w:tr>
      <w:tr w:rsidR="00A80D14" w:rsidRPr="00B047A8" w14:paraId="32EA874D" w14:textId="77777777" w:rsidTr="008C48FB">
        <w:trPr>
          <w:trHeight w:val="245"/>
          <w:jc w:val="center"/>
        </w:trPr>
        <w:tc>
          <w:tcPr>
            <w:tcW w:w="0" w:type="auto"/>
            <w:hideMark/>
          </w:tcPr>
          <w:p w14:paraId="4FB5B40A" w14:textId="77777777" w:rsidR="00A80D14" w:rsidRPr="00B047A8" w:rsidRDefault="00A80D14" w:rsidP="00A80D14">
            <w:pPr>
              <w:ind w:firstLine="720"/>
              <w:jc w:val="both"/>
              <w:rPr>
                <w:sz w:val="20"/>
              </w:rPr>
            </w:pPr>
            <w:r w:rsidRPr="00B047A8">
              <w:rPr>
                <w:sz w:val="20"/>
              </w:rPr>
              <w:t>TX</w:t>
            </w:r>
          </w:p>
        </w:tc>
        <w:tc>
          <w:tcPr>
            <w:tcW w:w="0" w:type="auto"/>
            <w:hideMark/>
          </w:tcPr>
          <w:p w14:paraId="08C8B4DC" w14:textId="77777777" w:rsidR="00A80D14" w:rsidRPr="00B047A8" w:rsidRDefault="00A80D14" w:rsidP="00A80D14">
            <w:pPr>
              <w:ind w:firstLine="720"/>
              <w:jc w:val="both"/>
              <w:rPr>
                <w:sz w:val="20"/>
              </w:rPr>
            </w:pPr>
            <w:r w:rsidRPr="00B047A8">
              <w:rPr>
                <w:sz w:val="20"/>
              </w:rPr>
              <w:t>400</w:t>
            </w:r>
          </w:p>
        </w:tc>
        <w:tc>
          <w:tcPr>
            <w:tcW w:w="1206" w:type="dxa"/>
            <w:hideMark/>
          </w:tcPr>
          <w:p w14:paraId="16CF0B81" w14:textId="77777777" w:rsidR="00A80D14" w:rsidRPr="00B047A8" w:rsidRDefault="00A80D14" w:rsidP="00A80D14">
            <w:pPr>
              <w:jc w:val="both"/>
              <w:rPr>
                <w:sz w:val="20"/>
              </w:rPr>
            </w:pPr>
            <w:r w:rsidRPr="00B047A8">
              <w:rPr>
                <w:sz w:val="20"/>
              </w:rPr>
              <w:t>658.00</w:t>
            </w:r>
          </w:p>
        </w:tc>
        <w:tc>
          <w:tcPr>
            <w:tcW w:w="1107" w:type="dxa"/>
            <w:hideMark/>
          </w:tcPr>
          <w:p w14:paraId="1FF91474" w14:textId="77777777" w:rsidR="00A80D14" w:rsidRPr="00B047A8" w:rsidRDefault="00A80D14" w:rsidP="00A80D14">
            <w:pPr>
              <w:jc w:val="both"/>
              <w:rPr>
                <w:sz w:val="20"/>
              </w:rPr>
            </w:pPr>
            <w:r w:rsidRPr="00B047A8">
              <w:rPr>
                <w:sz w:val="20"/>
              </w:rPr>
              <w:t>568.00</w:t>
            </w:r>
          </w:p>
        </w:tc>
        <w:tc>
          <w:tcPr>
            <w:tcW w:w="981" w:type="dxa"/>
            <w:hideMark/>
          </w:tcPr>
          <w:p w14:paraId="31926FA6" w14:textId="77777777" w:rsidR="00A80D14" w:rsidRPr="00B047A8" w:rsidRDefault="00A80D14" w:rsidP="00A80D14">
            <w:pPr>
              <w:jc w:val="both"/>
              <w:rPr>
                <w:sz w:val="20"/>
              </w:rPr>
            </w:pPr>
            <w:r w:rsidRPr="00B047A8">
              <w:rPr>
                <w:sz w:val="20"/>
              </w:rPr>
              <w:t>667.00</w:t>
            </w:r>
          </w:p>
        </w:tc>
        <w:tc>
          <w:tcPr>
            <w:tcW w:w="1503" w:type="dxa"/>
            <w:hideMark/>
          </w:tcPr>
          <w:p w14:paraId="59D1EE0C" w14:textId="77777777" w:rsidR="00A80D14" w:rsidRPr="00B047A8" w:rsidRDefault="00A80D14" w:rsidP="00A80D14">
            <w:pPr>
              <w:ind w:firstLine="720"/>
              <w:jc w:val="both"/>
              <w:rPr>
                <w:sz w:val="20"/>
              </w:rPr>
            </w:pPr>
            <w:r w:rsidRPr="00B047A8">
              <w:rPr>
                <w:sz w:val="20"/>
              </w:rPr>
              <w:t>491.29</w:t>
            </w:r>
          </w:p>
        </w:tc>
        <w:tc>
          <w:tcPr>
            <w:tcW w:w="0" w:type="auto"/>
            <w:hideMark/>
          </w:tcPr>
          <w:p w14:paraId="65A62BC8" w14:textId="77777777" w:rsidR="00A80D14" w:rsidRPr="00B047A8" w:rsidRDefault="00A80D14" w:rsidP="00A80D14">
            <w:pPr>
              <w:ind w:firstLine="720"/>
              <w:jc w:val="both"/>
              <w:rPr>
                <w:sz w:val="20"/>
              </w:rPr>
            </w:pPr>
            <w:r w:rsidRPr="00B047A8">
              <w:rPr>
                <w:sz w:val="20"/>
              </w:rPr>
              <w:t>122.82</w:t>
            </w:r>
          </w:p>
        </w:tc>
      </w:tr>
      <w:tr w:rsidR="00A80D14" w:rsidRPr="00B047A8" w14:paraId="4AFF8477" w14:textId="77777777" w:rsidTr="008C48FB">
        <w:trPr>
          <w:trHeight w:val="245"/>
          <w:jc w:val="center"/>
        </w:trPr>
        <w:tc>
          <w:tcPr>
            <w:tcW w:w="0" w:type="auto"/>
            <w:hideMark/>
          </w:tcPr>
          <w:p w14:paraId="6A55612C" w14:textId="77777777" w:rsidR="00A80D14" w:rsidRPr="00B047A8" w:rsidRDefault="00A80D14" w:rsidP="00A80D14">
            <w:pPr>
              <w:ind w:firstLine="720"/>
              <w:jc w:val="both"/>
              <w:rPr>
                <w:sz w:val="20"/>
              </w:rPr>
            </w:pPr>
            <w:r w:rsidRPr="00B047A8">
              <w:rPr>
                <w:sz w:val="20"/>
              </w:rPr>
              <w:t>H61</w:t>
            </w:r>
          </w:p>
        </w:tc>
        <w:tc>
          <w:tcPr>
            <w:tcW w:w="0" w:type="auto"/>
            <w:hideMark/>
          </w:tcPr>
          <w:p w14:paraId="687DCAC5" w14:textId="77777777" w:rsidR="00A80D14" w:rsidRPr="00B047A8" w:rsidRDefault="00A80D14" w:rsidP="00A80D14">
            <w:pPr>
              <w:ind w:firstLine="720"/>
              <w:jc w:val="both"/>
              <w:rPr>
                <w:sz w:val="20"/>
              </w:rPr>
            </w:pPr>
            <w:r w:rsidRPr="00B047A8">
              <w:rPr>
                <w:sz w:val="20"/>
              </w:rPr>
              <w:t>160</w:t>
            </w:r>
          </w:p>
        </w:tc>
        <w:tc>
          <w:tcPr>
            <w:tcW w:w="1206" w:type="dxa"/>
            <w:hideMark/>
          </w:tcPr>
          <w:p w14:paraId="3CD8D616" w14:textId="77777777" w:rsidR="00A80D14" w:rsidRPr="00B047A8" w:rsidRDefault="00A80D14" w:rsidP="00A80D14">
            <w:pPr>
              <w:jc w:val="both"/>
              <w:rPr>
                <w:sz w:val="20"/>
              </w:rPr>
            </w:pPr>
            <w:r w:rsidRPr="00B047A8">
              <w:rPr>
                <w:sz w:val="20"/>
              </w:rPr>
              <w:t>90.50</w:t>
            </w:r>
          </w:p>
        </w:tc>
        <w:tc>
          <w:tcPr>
            <w:tcW w:w="1107" w:type="dxa"/>
            <w:hideMark/>
          </w:tcPr>
          <w:p w14:paraId="6599E0C2" w14:textId="77777777" w:rsidR="00A80D14" w:rsidRPr="00B047A8" w:rsidRDefault="00A80D14" w:rsidP="00A80D14">
            <w:pPr>
              <w:jc w:val="both"/>
              <w:rPr>
                <w:sz w:val="20"/>
              </w:rPr>
            </w:pPr>
            <w:r w:rsidRPr="00B047A8">
              <w:rPr>
                <w:sz w:val="20"/>
              </w:rPr>
              <w:t>218.50</w:t>
            </w:r>
          </w:p>
        </w:tc>
        <w:tc>
          <w:tcPr>
            <w:tcW w:w="981" w:type="dxa"/>
            <w:hideMark/>
          </w:tcPr>
          <w:p w14:paraId="5B50595A" w14:textId="77777777" w:rsidR="00A80D14" w:rsidRPr="00B047A8" w:rsidRDefault="00A80D14" w:rsidP="00A80D14">
            <w:pPr>
              <w:jc w:val="both"/>
              <w:rPr>
                <w:sz w:val="20"/>
              </w:rPr>
            </w:pPr>
            <w:r w:rsidRPr="00B047A8">
              <w:rPr>
                <w:sz w:val="20"/>
              </w:rPr>
              <w:t>192.50</w:t>
            </w:r>
          </w:p>
        </w:tc>
        <w:tc>
          <w:tcPr>
            <w:tcW w:w="1503" w:type="dxa"/>
            <w:hideMark/>
          </w:tcPr>
          <w:p w14:paraId="3480BA99" w14:textId="77777777" w:rsidR="00A80D14" w:rsidRPr="00B047A8" w:rsidRDefault="00A80D14" w:rsidP="00A80D14">
            <w:pPr>
              <w:ind w:firstLine="720"/>
              <w:jc w:val="both"/>
              <w:rPr>
                <w:sz w:val="20"/>
              </w:rPr>
            </w:pPr>
            <w:r w:rsidRPr="00B047A8">
              <w:rPr>
                <w:sz w:val="20"/>
              </w:rPr>
              <w:t>198.79</w:t>
            </w:r>
          </w:p>
        </w:tc>
        <w:tc>
          <w:tcPr>
            <w:tcW w:w="0" w:type="auto"/>
            <w:hideMark/>
          </w:tcPr>
          <w:p w14:paraId="49833E72" w14:textId="77777777" w:rsidR="00A80D14" w:rsidRPr="00B047A8" w:rsidRDefault="00A80D14" w:rsidP="00A80D14">
            <w:pPr>
              <w:ind w:firstLine="720"/>
              <w:jc w:val="both"/>
              <w:rPr>
                <w:sz w:val="20"/>
              </w:rPr>
            </w:pPr>
            <w:r w:rsidRPr="00B047A8">
              <w:rPr>
                <w:sz w:val="20"/>
              </w:rPr>
              <w:t>124.24</w:t>
            </w:r>
          </w:p>
        </w:tc>
      </w:tr>
    </w:tbl>
    <w:p w14:paraId="7F6FC5D2" w14:textId="2969803B" w:rsidR="00D97A31" w:rsidRPr="00B047A8" w:rsidRDefault="00E57DE8" w:rsidP="00D97A31">
      <w:pPr>
        <w:pStyle w:val="Heading2"/>
      </w:pPr>
      <w:r w:rsidRPr="00B047A8">
        <w:t xml:space="preserve">Phase Imbalance and Load Optimization </w:t>
      </w:r>
      <w:r w:rsidR="00D97A31" w:rsidRPr="00B047A8">
        <w:t xml:space="preserve">Methodology   </w:t>
      </w:r>
    </w:p>
    <w:p w14:paraId="64BC3418" w14:textId="30EA2777" w:rsidR="00E57DE8" w:rsidRPr="00B047A8" w:rsidRDefault="00E57DE8" w:rsidP="003E619F">
      <w:pPr>
        <w:pStyle w:val="Paragraph"/>
      </w:pPr>
      <w:r w:rsidRPr="00B047A8">
        <w:t>Optimally distributing transformer loads is vital for efficient, reliable electrical systems. By integrating real-world data with intelligent learning models, this approach significantly enhances load management, ensuring adequate service and improving network performance</w:t>
      </w:r>
      <w:r w:rsidRPr="00B047A8">
        <w:fldChar w:fldCharType="begin" w:fldLock="1"/>
      </w:r>
      <w:r w:rsidR="00F66D0F">
        <w:instrText>ADDIN CSL_CITATION {"citationItems":[{"id":"ITEM-1","itemData":{"DOI":"10.1016/j.egyr.2023.09.028","ISSN":"23524847","abstract":"The fast expansion of renewable energy sources, rising electricity demand, and the requirement for improved grid dependability have made it necessary to create cutting-edge technologies for electric power systems. The electric power business faces several issues, and deep learning, a branch of machine learning, has emerged as a possible solution. This study offers a thorough analysis of deep learning applications in electric power systems, including load forecasting, fault detection, and diagnosis, assessment of the security and stability of the power system, integration and management of renewable energy sources, and asset management and maintenance of the electric grid. Although deep learning techniques have enormous potential, several issues and constraints must be resolved. These include data quality and availability issues, computational complexity, resource requirements, model interpretability, and integration with current power system tools and infrastructure. Prospects and opportunities in the field are also covered in the study, emphasizing the creation of innovative deep learning algorithms and architectures, scalable and effective computational platforms, multidisciplinary research and collaboration, standardization, and benchmarking. Deep learning has the potential to completely transform the electric power industry by tackling these issues and seizing new opportunities. This would result in improved grid sustainability, resilience, dependability, and more effective use of renewable energy sources and asset management procedures. Researchers, business professionals, and politicians interested in learning more about the state, difficulties, and potential of deep learning applications in electric power systems will find this helpful research paper.","author":[{"dropping-particle":"","family":"Akhtar","given":"Saima","non-dropping-particle":"","parse-names":false,"suffix":""},{"dropping-particle":"","family":"Adeel","given":"Muhammad","non-dropping-particle":"","parse-names":false,"suffix":""},{"dropping-particle":"","family":"Iqbal","given":"Muhammad","non-dropping-particle":"","parse-names":false,"suffix":""},{"dropping-particle":"","family":"Namoun","given":"Abdallah","non-dropping-particle":"","parse-names":false,"suffix":""},{"dropping-particle":"","family":"Tufail","given":"Ali","non-dropping-particle":"","parse-names":false,"suffix":""},{"dropping-particle":"","family":"Kim","given":"Ki Hyung","non-dropping-particle":"","parse-names":false,"suffix":""}],"container-title":"Energy Reports","id":"ITEM-1","issued":{"date-parts":[["2023"]]},"title":"Deep learning methods utilization in electric power systems","type":"article","volume":"10"},"uris":["http://www.mendeley.com/documents/?uuid=5243f003-04e3-3424-8e21-c39de7bb05e7"]},{"id":"ITEM-2","itemData":{"DOI":"10.1016/j.ijepes.2023.109779","ISSN":"01420615","abstract":"This paper presents machine learning methods for health assessment of power transformer based on sweep frequency response analysis. The paper presents an overview of monitoring and diagnostics based on statistical Sweep Frequency Response Analysis (SFRA) based indicators that are used to evaluate the state of the power transformer. Experimental data obtained from power transformers with internal short-circuit faults is used as a database for applying machine learning. Machine learning is implemented to achieve more precise asset management and condition-based maintenance. Unsupervised machine learning was applied through the k-means cluster method for classifying and dividing the examined power transformer state into groups with similar state and probability of failure. Artificial neural network (ANN) and Adaptive Neuro Fuzzy Inference System (ANFIS) as part of supervised machine learning are created in order to detect fault severity in tested power transformers of different lifetime. The presented machine learning methods can be used to improve health assessment of power transformers.","author":[{"dropping-particle":"","family":"Bjelić","given":"Miloš","non-dropping-particle":"","parse-names":false,"suffix":""},{"dropping-particle":"","family":"Brković","given":"Bogdan","non-dropping-particle":"","parse-names":false,"suffix":""},{"dropping-particle":"","family":"Žarković","given":"Mileta","non-dropping-particle":"","parse-names":false,"suffix":""},{"dropping-particle":"","family":"Miljković","given":"Tatjana","non-dropping-particle":"","parse-names":false,"suffix":""}],"container-title":"International Journal of Electrical Power and Energy Systems","id":"ITEM-2","issued":{"date-parts":[["2024"]]},"title":"Machine learning for power transformer SFRA based fault detection","type":"article-journal","volume":"156"},"uris":["http://www.mendeley.com/documents/?uuid=f10458e8-97e4-32af-8f73-5e555214c2c3"]},{"id":"ITEM-3","itemData":{"DOI":"10.1016/j.rser.2021.111459","ISSN":"18790690","abstract":"Artificial intelligence techniques lead to data-driven energy services in distribution power systems by extracting value from the data generated by the deployed metering and sensing devices. This paper performs a holistic analysis of artificial intelligence applications to distribution networks, ranging from operation, monitoring and maintenance to planning. The potential artificial intelligence techniques for power system applications and needed data sources are identified and classified. The following data-driven services for distribution networks are analyzed: topology estimation, observability, fraud detection, predictive maintenance, non-technical losses detection, forecasting, energy management systems, aggregated flexibility services and trading. A review of the artificial intelligence methods implemented in each of these services is conducted. Their interdependencies are mapped, proving that multiple services can be offered as a single clustered service to different stakeholders. Furthermore, the dependencies between the AI techniques with each energy service are identified. In recent years there has been a significant rise of deep learning applications for time series prediction tasks. Another finding is that unsupervised learning methods are mainly being applied to customer segmentation, buildings efficiency clustering and consumption profile grouping for non-technical losses detection. Reinforcement learning is being widely applied to energy management systems design, although more testing in real environments is needed. Distribution network sensorization should be enhanced and increased in order to obtain larger amounts of valuable data, enabling better service outcomes. Finally, the future opportunities and challenges for applying artificial intelligence in distribution grids are discussed.","author":[{"dropping-particle":"","family":"Barja-Martinez","given":"Sara","non-dropping-particle":"","parse-names":false,"suffix":""},{"dropping-particle":"","family":"Aragüés-Peñalba","given":"Mònica","non-dropping-particle":"","parse-names":false,"suffix":""},{"dropping-particle":"","family":"Munné-Collado","given":"Íngrid","non-dropping-particle":"","parse-names":false,"suffix":""},{"dropping-particle":"","family":"Lloret-Gallego","given":"Pau","non-dropping-particle":"","parse-names":false,"suffix":""},{"dropping-particle":"","family":"Bullich-Massagué","given":"Eduard","non-dropping-particle":"","parse-names":false,"suffix":""},{"dropping-particle":"","family":"Villafafila-Robles","given":"Roberto","non-dropping-particle":"","parse-names":false,"suffix":""}],"container-title":"Renewable and Sustainable Energy Reviews","id":"ITEM-3","issued":{"date-parts":[["2021"]]},"title":"Artificial intelligence techniques for enabling Big Data services in distribution networks: A review","type":"article","volume":"150"},"uris":["http://www.mendeley.com/documents/?uuid=4830fa8b-d2f2-3c48-9a52-55e0eb21d689"]}],"mendeley":{"formattedCitation":"&lt;sup&gt;21–23&lt;/sup&gt;","plainTextFormattedCitation":"21–23","previouslyFormattedCitation":"[21]–[23]"},"properties":{"noteIndex":0},"schema":"https://github.com/citation-style-language/schema/raw/master/csl-citation.json"}</w:instrText>
      </w:r>
      <w:r w:rsidRPr="00B047A8">
        <w:fldChar w:fldCharType="separate"/>
      </w:r>
      <w:r w:rsidR="00F66D0F" w:rsidRPr="00F66D0F">
        <w:rPr>
          <w:noProof/>
          <w:vertAlign w:val="superscript"/>
        </w:rPr>
        <w:t>21–23</w:t>
      </w:r>
      <w:r w:rsidRPr="00B047A8">
        <w:fldChar w:fldCharType="end"/>
      </w:r>
      <w:r w:rsidRPr="00B047A8">
        <w:t>.</w:t>
      </w:r>
      <w:r w:rsidR="003E619F" w:rsidRPr="00B047A8">
        <w:t xml:space="preserve"> </w:t>
      </w:r>
      <w:r w:rsidRPr="00B047A8">
        <w:t>Phase imbalance (</w:t>
      </w:r>
      <w:r w:rsidRPr="00B047A8">
        <w:rPr>
          <w:lang w:val="fr-FR"/>
        </w:rPr>
        <w:t>Δ</w:t>
      </w:r>
      <w:r w:rsidRPr="00B047A8">
        <w:t>phase) is a critical parameter in electrical systems, defined as the maximum absolute difference between phase currents (Equation 1). Real-time monitoring relies on this metric, while standards like IEC 61000-4-30 use symmetrical components for formal assessment. To ensure safety, the total phase current (</w:t>
      </w:r>
      <w:proofErr w:type="spellStart"/>
      <w:r w:rsidRPr="00B047A8">
        <w:t>I</w:t>
      </w:r>
      <w:r w:rsidRPr="00215A20">
        <w:rPr>
          <w:vertAlign w:val="subscript"/>
        </w:rPr>
        <w:t>total</w:t>
      </w:r>
      <w:proofErr w:type="spellEnd"/>
      <w:r w:rsidRPr="00B047A8">
        <w:t>) must not exceed the predefined capacity (I</w:t>
      </w:r>
      <w:r w:rsidRPr="00215A20">
        <w:rPr>
          <w:vertAlign w:val="subscript"/>
        </w:rPr>
        <w:t>max</w:t>
      </w:r>
      <w:r w:rsidRPr="00B047A8">
        <w:t>), as per IEC 60364-8-1 and NEC Article 220 (Equation 2). The apparent power (</w:t>
      </w:r>
      <w:proofErr w:type="spellStart"/>
      <w:r w:rsidRPr="00B047A8">
        <w:t>P</w:t>
      </w:r>
      <w:r w:rsidRPr="00215A20">
        <w:rPr>
          <w:vertAlign w:val="subscript"/>
        </w:rPr>
        <w:t>total</w:t>
      </w:r>
      <w:proofErr w:type="spellEnd"/>
      <w:r w:rsidRPr="00B047A8">
        <w:t>) is calculated using optimized currents and nominal voltage (Equation 3), following IEC 60076-1 and IEEE 1459. Additionally, a temperature correction factor (K</w:t>
      </w:r>
      <w:r w:rsidRPr="00215A20">
        <w:rPr>
          <w:vertAlign w:val="subscript"/>
        </w:rPr>
        <w:t>T</w:t>
      </w:r>
      <w:r w:rsidRPr="00B047A8">
        <w:t>) adjusts transformer capacity based on ambient conditions (Equation 4), aligning with IEC 60076-7 and IEEE C57.91. This framework ensures efficient and reliable transformer operation under varying load and environmental conditions.</w:t>
      </w:r>
    </w:p>
    <w:p w14:paraId="232762B3" w14:textId="3818865F" w:rsidR="00E57DE8" w:rsidRDefault="00E57DE8" w:rsidP="008B0A1D">
      <w:pPr>
        <w:ind w:firstLine="284"/>
        <w:jc w:val="both"/>
        <w:rPr>
          <w:rStyle w:val="Emphasis"/>
          <w:i w:val="0"/>
          <w:sz w:val="20"/>
        </w:rPr>
      </w:pPr>
      <w:bookmarkStart w:id="2" w:name="_Hlk192001259"/>
      <w:r w:rsidRPr="00B047A8">
        <w:rPr>
          <w:rStyle w:val="Emphasis"/>
          <w:i w:val="0"/>
          <w:sz w:val="20"/>
        </w:rPr>
        <w:t>Standard methods such as IEC 61000-4-30, employ symmetrical components for formal unbalance assessment</w:t>
      </w:r>
      <w:r w:rsidRPr="00B047A8">
        <w:rPr>
          <w:rStyle w:val="Emphasis"/>
          <w:i w:val="0"/>
          <w:iCs w:val="0"/>
          <w:sz w:val="20"/>
        </w:rPr>
        <w:fldChar w:fldCharType="begin" w:fldLock="1"/>
      </w:r>
      <w:r w:rsidR="00F66D0F">
        <w:rPr>
          <w:rStyle w:val="Emphasis"/>
          <w:i w:val="0"/>
          <w:sz w:val="20"/>
        </w:rPr>
        <w:instrText>ADDIN CSL_CITATION {"citationItems":[{"id":"ITEM-1","itemData":{"DOI":"10.1016/J.IJEPES.2021.107691","ISSN":"0142-0615","abstract":"Load balancing is one of the most widely used techniques to reduce losses and improve service quality in low-voltage networks. Many methods have been proposed, including the customer phase reassignment, which has multiple advantages. However, its application represents a real challenge if the data availability is limited (only a few variables from some nodes are measured). This paper presents a new method for load balancing on a three-phase feeder by switching the phase connection of single-phase customers. It is based on Deterministic Crowding, a variant of Genetic Algorithms with few and easily adjustable parameters. In contrast to related works, we establish an imbalance target value and minimize the number of customers required to switch. The proposed method requires the phase current profiles from only a percentage of the customers, reducing the number of smart meters necessary and the related investment. The method was validated using real data, analyzing different scenarios with different percentages of measured customers compared on the basis of imbalance index, neutral current, and transformer lifespan reduction. Results show a significant improvement in load balancing with few changes, even when only 30% of customers are measured.","author":[{"dropping-particle":"","family":"Jimenez","given":"Victor A.","non-dropping-particle":"","parse-names":false,"suffix":""},{"dropping-particle":"","family":"Will","given":"Adrian L.E.","non-dropping-particle":"","parse-names":false,"suffix":""},{"dropping-particle":"","family":"Lizondo","given":"Diego F.","non-dropping-particle":"","parse-names":false,"suffix":""}],"container-title":"International Journal of Electrical Power &amp; Energy Systems","id":"ITEM-1","issued":{"date-parts":[["2022","5","1"]]},"page":"107691","publisher":"Elsevier","title":"Phase reassignment for load balance in low-voltage distribution networks","type":"article-journal","volume":"137"},"uris":["http://www.mendeley.com/documents/?uuid=b1c52fb2-ef14-399f-95d1-87badeca5693"]}],"mendeley":{"formattedCitation":"&lt;sup&gt;11&lt;/sup&gt;","plainTextFormattedCitation":"11","previouslyFormattedCitation":"[11]"},"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11</w:t>
      </w:r>
      <w:r w:rsidRPr="00B047A8">
        <w:rPr>
          <w:rStyle w:val="Emphasis"/>
          <w:i w:val="0"/>
          <w:iCs w:val="0"/>
          <w:sz w:val="20"/>
        </w:rPr>
        <w:fldChar w:fldCharType="end"/>
      </w:r>
      <w:r w:rsidRPr="00B047A8">
        <w:rPr>
          <w:rStyle w:val="Emphasis"/>
          <w:i w:val="0"/>
          <w:sz w:val="20"/>
        </w:rPr>
        <w:t>. Phase imbalance (</w:t>
      </w:r>
      <w:proofErr w:type="spellStart"/>
      <w:r w:rsidRPr="00B047A8">
        <w:rPr>
          <w:b/>
          <w:bCs/>
          <w:sz w:val="20"/>
        </w:rPr>
        <w:t>Δ</w:t>
      </w:r>
      <w:r w:rsidRPr="00B047A8">
        <w:rPr>
          <w:b/>
          <w:bCs/>
          <w:sz w:val="20"/>
          <w:vertAlign w:val="subscript"/>
        </w:rPr>
        <w:t>phase</w:t>
      </w:r>
      <w:proofErr w:type="spellEnd"/>
      <w:r w:rsidRPr="00B047A8">
        <w:rPr>
          <w:rStyle w:val="Emphasis"/>
          <w:i w:val="0"/>
          <w:sz w:val="20"/>
        </w:rPr>
        <w:t>) can be expressed as Equation (1):</w:t>
      </w:r>
    </w:p>
    <w:p w14:paraId="390228AC" w14:textId="5B00CC79" w:rsidR="00E57DE8" w:rsidRPr="00B047A8" w:rsidRDefault="00FD489D" w:rsidP="008C48FB">
      <w:pPr>
        <w:pStyle w:val="Equation"/>
        <w:spacing w:before="120" w:after="120"/>
        <w:ind w:left="56"/>
      </w:pPr>
      <w:r>
        <w:tab/>
      </w:r>
      <w:proofErr w:type="spellStart"/>
      <w:r w:rsidRPr="00FD489D">
        <w:rPr>
          <w:bCs/>
          <w:lang w:eastAsia="fr-FR"/>
        </w:rPr>
        <w:t>Δ</w:t>
      </w:r>
      <w:r w:rsidRPr="00FD489D">
        <w:rPr>
          <w:bCs/>
          <w:vertAlign w:val="subscript"/>
          <w:lang w:eastAsia="fr-FR"/>
        </w:rPr>
        <w:t>phase</w:t>
      </w:r>
      <w:proofErr w:type="spellEnd"/>
      <w:r w:rsidRPr="00FD489D">
        <w:rPr>
          <w:bCs/>
          <w:vertAlign w:val="subscript"/>
          <w:lang w:eastAsia="fr-FR"/>
        </w:rPr>
        <w:t xml:space="preserve"> </w:t>
      </w:r>
      <w:r w:rsidRPr="00FD489D">
        <w:rPr>
          <w:bCs/>
          <w:lang w:eastAsia="fr-FR"/>
        </w:rPr>
        <w:t>= Ԑ</w:t>
      </w:r>
      <w:proofErr w:type="spellStart"/>
      <w:r w:rsidRPr="00FD489D">
        <w:rPr>
          <w:bCs/>
          <w:vertAlign w:val="subscript"/>
          <w:lang w:eastAsia="fr-FR"/>
        </w:rPr>
        <w:t>ch</w:t>
      </w:r>
      <w:proofErr w:type="spellEnd"/>
      <w:r w:rsidRPr="00FD489D">
        <w:rPr>
          <w:bCs/>
          <w:lang w:eastAsia="fr-FR"/>
        </w:rPr>
        <w:t xml:space="preserve"> = max (</w:t>
      </w:r>
      <w:r w:rsidRPr="00FD489D">
        <w:rPr>
          <w:rFonts w:ascii="Cambria Math" w:hAnsi="Cambria Math" w:cs="Cambria Math"/>
          <w:bCs/>
          <w:lang w:eastAsia="fr-FR"/>
        </w:rPr>
        <w:t>∣</w:t>
      </w:r>
      <w:proofErr w:type="spellStart"/>
      <w:r w:rsidRPr="00FD489D">
        <w:rPr>
          <w:bCs/>
          <w:lang w:eastAsia="fr-FR"/>
        </w:rPr>
        <w:t>I</w:t>
      </w:r>
      <w:r w:rsidRPr="00FD489D">
        <w:rPr>
          <w:bCs/>
          <w:vertAlign w:val="subscript"/>
          <w:lang w:eastAsia="fr-FR"/>
        </w:rPr>
        <w:t>a</w:t>
      </w:r>
      <w:proofErr w:type="spellEnd"/>
      <w:r w:rsidRPr="00FD489D">
        <w:rPr>
          <w:bCs/>
          <w:vertAlign w:val="subscript"/>
          <w:lang w:eastAsia="fr-FR"/>
        </w:rPr>
        <w:t xml:space="preserve"> </w:t>
      </w:r>
      <w:r w:rsidRPr="00FD489D">
        <w:rPr>
          <w:bCs/>
          <w:lang w:eastAsia="fr-FR"/>
        </w:rPr>
        <w:t xml:space="preserve">− </w:t>
      </w:r>
      <w:proofErr w:type="spellStart"/>
      <w:r w:rsidRPr="00FD489D">
        <w:rPr>
          <w:bCs/>
          <w:lang w:eastAsia="fr-FR"/>
        </w:rPr>
        <w:t>I</w:t>
      </w:r>
      <w:r w:rsidRPr="00FD489D">
        <w:rPr>
          <w:bCs/>
          <w:vertAlign w:val="subscript"/>
          <w:lang w:eastAsia="fr-FR"/>
        </w:rPr>
        <w:t>b</w:t>
      </w:r>
      <w:proofErr w:type="spellEnd"/>
      <w:r w:rsidRPr="00FD489D">
        <w:rPr>
          <w:rFonts w:ascii="Cambria Math" w:hAnsi="Cambria Math" w:cs="Cambria Math"/>
          <w:bCs/>
          <w:lang w:eastAsia="fr-FR"/>
        </w:rPr>
        <w:t>∣</w:t>
      </w:r>
      <w:r w:rsidRPr="00FD489D">
        <w:rPr>
          <w:bCs/>
          <w:lang w:eastAsia="fr-FR"/>
        </w:rPr>
        <w:t xml:space="preserve">, </w:t>
      </w:r>
      <w:r w:rsidRPr="00FD489D">
        <w:rPr>
          <w:rFonts w:ascii="Cambria Math" w:hAnsi="Cambria Math" w:cs="Cambria Math"/>
          <w:bCs/>
          <w:lang w:eastAsia="fr-FR"/>
        </w:rPr>
        <w:t>∣</w:t>
      </w:r>
      <w:proofErr w:type="spellStart"/>
      <w:r w:rsidRPr="00FD489D">
        <w:rPr>
          <w:bCs/>
          <w:lang w:eastAsia="fr-FR"/>
        </w:rPr>
        <w:t>I</w:t>
      </w:r>
      <w:r w:rsidRPr="00FD489D">
        <w:rPr>
          <w:bCs/>
          <w:vertAlign w:val="subscript"/>
          <w:lang w:eastAsia="fr-FR"/>
        </w:rPr>
        <w:t>b</w:t>
      </w:r>
      <w:proofErr w:type="spellEnd"/>
      <w:r w:rsidRPr="00FD489D">
        <w:rPr>
          <w:bCs/>
          <w:vertAlign w:val="subscript"/>
          <w:lang w:eastAsia="fr-FR"/>
        </w:rPr>
        <w:t xml:space="preserve"> </w:t>
      </w:r>
      <w:r w:rsidRPr="00FD489D">
        <w:rPr>
          <w:bCs/>
          <w:lang w:eastAsia="fr-FR"/>
        </w:rPr>
        <w:t xml:space="preserve">− </w:t>
      </w:r>
      <w:proofErr w:type="spellStart"/>
      <w:r w:rsidRPr="00FD489D">
        <w:rPr>
          <w:bCs/>
          <w:lang w:eastAsia="fr-FR"/>
        </w:rPr>
        <w:t>I</w:t>
      </w:r>
      <w:r w:rsidRPr="00FD489D">
        <w:rPr>
          <w:bCs/>
          <w:vertAlign w:val="subscript"/>
          <w:lang w:eastAsia="fr-FR"/>
        </w:rPr>
        <w:t>c</w:t>
      </w:r>
      <w:proofErr w:type="spellEnd"/>
      <w:r w:rsidRPr="00FD489D">
        <w:rPr>
          <w:rFonts w:ascii="Cambria Math" w:hAnsi="Cambria Math" w:cs="Cambria Math"/>
          <w:bCs/>
          <w:lang w:eastAsia="fr-FR"/>
        </w:rPr>
        <w:t>∣</w:t>
      </w:r>
      <w:r w:rsidRPr="00FD489D">
        <w:rPr>
          <w:bCs/>
          <w:lang w:eastAsia="fr-FR"/>
        </w:rPr>
        <w:t xml:space="preserve">, </w:t>
      </w:r>
      <w:r w:rsidRPr="00FD489D">
        <w:rPr>
          <w:rFonts w:ascii="Cambria Math" w:hAnsi="Cambria Math" w:cs="Cambria Math"/>
          <w:bCs/>
          <w:lang w:eastAsia="fr-FR"/>
        </w:rPr>
        <w:t>∣</w:t>
      </w:r>
      <w:proofErr w:type="spellStart"/>
      <w:r w:rsidRPr="00FD489D">
        <w:rPr>
          <w:bCs/>
          <w:lang w:eastAsia="fr-FR"/>
        </w:rPr>
        <w:t>I</w:t>
      </w:r>
      <w:r w:rsidRPr="00FD489D">
        <w:rPr>
          <w:bCs/>
          <w:vertAlign w:val="subscript"/>
          <w:lang w:eastAsia="fr-FR"/>
        </w:rPr>
        <w:t>c</w:t>
      </w:r>
      <w:proofErr w:type="spellEnd"/>
      <w:r w:rsidRPr="00FD489D">
        <w:rPr>
          <w:bCs/>
          <w:vertAlign w:val="subscript"/>
          <w:lang w:eastAsia="fr-FR"/>
        </w:rPr>
        <w:t xml:space="preserve"> </w:t>
      </w:r>
      <w:r w:rsidRPr="00FD489D">
        <w:rPr>
          <w:bCs/>
          <w:lang w:eastAsia="fr-FR"/>
        </w:rPr>
        <w:t xml:space="preserve">− </w:t>
      </w:r>
      <w:proofErr w:type="spellStart"/>
      <w:r w:rsidRPr="00FD489D">
        <w:rPr>
          <w:bCs/>
          <w:lang w:eastAsia="fr-FR"/>
        </w:rPr>
        <w:t>I</w:t>
      </w:r>
      <w:r w:rsidRPr="00FD489D">
        <w:rPr>
          <w:bCs/>
          <w:vertAlign w:val="subscript"/>
          <w:lang w:eastAsia="fr-FR"/>
        </w:rPr>
        <w:t>a</w:t>
      </w:r>
      <w:proofErr w:type="spellEnd"/>
      <w:r w:rsidRPr="00FD489D">
        <w:rPr>
          <w:rFonts w:ascii="Cambria Math" w:hAnsi="Cambria Math" w:cs="Cambria Math"/>
          <w:bCs/>
          <w:lang w:eastAsia="fr-FR"/>
        </w:rPr>
        <w:t>∣</w:t>
      </w:r>
      <w:r w:rsidRPr="00FD489D">
        <w:rPr>
          <w:bCs/>
          <w:lang w:eastAsia="fr-FR"/>
        </w:rPr>
        <w:t>)</w:t>
      </w:r>
      <w:r>
        <w:tab/>
        <w:t>(</w:t>
      </w:r>
      <w:r w:rsidR="009E6122">
        <w:t>1)</w:t>
      </w:r>
    </w:p>
    <w:p w14:paraId="22DF1871" w14:textId="58593F9D" w:rsidR="00E57DE8" w:rsidRPr="00B047A8" w:rsidRDefault="00215A20" w:rsidP="00E57DE8">
      <w:pPr>
        <w:ind w:firstLine="720"/>
        <w:jc w:val="both"/>
        <w:rPr>
          <w:sz w:val="20"/>
          <w:lang w:eastAsia="fr-FR"/>
        </w:rPr>
      </w:pPr>
      <w:r w:rsidRPr="00B047A8">
        <w:rPr>
          <w:sz w:val="20"/>
          <w:lang w:eastAsia="fr-FR"/>
        </w:rPr>
        <w:t>Where:</w:t>
      </w:r>
      <w:r w:rsidR="00E57DE8" w:rsidRPr="00B047A8">
        <w:rPr>
          <w:sz w:val="20"/>
          <w:lang w:eastAsia="fr-FR"/>
        </w:rPr>
        <w:t xml:space="preserve"> </w:t>
      </w:r>
      <w:proofErr w:type="spellStart"/>
      <w:r w:rsidR="00E57DE8" w:rsidRPr="00B047A8">
        <w:rPr>
          <w:sz w:val="20"/>
          <w:lang w:eastAsia="fr-FR"/>
        </w:rPr>
        <w:t>I</w:t>
      </w:r>
      <w:r w:rsidR="00E57DE8" w:rsidRPr="00B047A8">
        <w:rPr>
          <w:sz w:val="20"/>
          <w:vertAlign w:val="subscript"/>
          <w:lang w:eastAsia="fr-FR"/>
        </w:rPr>
        <w:t>a</w:t>
      </w:r>
      <w:proofErr w:type="spellEnd"/>
      <w:r w:rsidR="00E57DE8" w:rsidRPr="00B047A8">
        <w:rPr>
          <w:sz w:val="20"/>
          <w:lang w:eastAsia="fr-FR"/>
        </w:rPr>
        <w:t xml:space="preserve">, </w:t>
      </w:r>
      <w:proofErr w:type="spellStart"/>
      <w:r w:rsidR="00E57DE8" w:rsidRPr="00B047A8">
        <w:rPr>
          <w:sz w:val="20"/>
          <w:lang w:eastAsia="fr-FR"/>
        </w:rPr>
        <w:t>I</w:t>
      </w:r>
      <w:r w:rsidR="00E57DE8" w:rsidRPr="00B047A8">
        <w:rPr>
          <w:sz w:val="20"/>
          <w:vertAlign w:val="subscript"/>
          <w:lang w:eastAsia="fr-FR"/>
        </w:rPr>
        <w:t>b</w:t>
      </w:r>
      <w:proofErr w:type="spellEnd"/>
      <w:r w:rsidR="00E57DE8" w:rsidRPr="00B047A8">
        <w:rPr>
          <w:sz w:val="20"/>
          <w:lang w:eastAsia="fr-FR"/>
        </w:rPr>
        <w:t xml:space="preserve">, </w:t>
      </w:r>
      <w:proofErr w:type="spellStart"/>
      <w:r w:rsidR="00E57DE8" w:rsidRPr="00B047A8">
        <w:rPr>
          <w:sz w:val="20"/>
          <w:lang w:eastAsia="fr-FR"/>
        </w:rPr>
        <w:t>I</w:t>
      </w:r>
      <w:r w:rsidR="00E57DE8" w:rsidRPr="00B047A8">
        <w:rPr>
          <w:sz w:val="20"/>
          <w:vertAlign w:val="subscript"/>
          <w:lang w:eastAsia="fr-FR"/>
        </w:rPr>
        <w:t>c</w:t>
      </w:r>
      <w:proofErr w:type="spellEnd"/>
      <w:r w:rsidR="00E57DE8" w:rsidRPr="00B047A8">
        <w:rPr>
          <w:sz w:val="20"/>
          <w:lang w:eastAsia="fr-FR"/>
        </w:rPr>
        <w:t xml:space="preserve"> are the load current of the three phases.</w:t>
      </w:r>
    </w:p>
    <w:p w14:paraId="63B9653D" w14:textId="21F8DD12" w:rsidR="00E57DE8" w:rsidRPr="00B047A8" w:rsidRDefault="00E57DE8" w:rsidP="008B0A1D">
      <w:pPr>
        <w:ind w:firstLine="284"/>
        <w:jc w:val="both"/>
        <w:rPr>
          <w:sz w:val="20"/>
          <w:lang w:eastAsia="fr-FR"/>
        </w:rPr>
      </w:pPr>
      <w:r w:rsidRPr="00B047A8">
        <w:rPr>
          <w:rStyle w:val="Emphasis"/>
          <w:i w:val="0"/>
          <w:sz w:val="20"/>
        </w:rPr>
        <w:t>The total phase current (</w:t>
      </w:r>
      <w:proofErr w:type="spellStart"/>
      <w:r w:rsidRPr="00B047A8">
        <w:rPr>
          <w:sz w:val="20"/>
          <w:lang w:eastAsia="fr-FR"/>
        </w:rPr>
        <w:t>I</w:t>
      </w:r>
      <w:r w:rsidRPr="00B047A8">
        <w:rPr>
          <w:sz w:val="20"/>
          <w:vertAlign w:val="subscript"/>
          <w:lang w:eastAsia="fr-FR"/>
        </w:rPr>
        <w:t>total</w:t>
      </w:r>
      <w:proofErr w:type="spellEnd"/>
      <w:r w:rsidRPr="00B047A8">
        <w:rPr>
          <w:rStyle w:val="Emphasis"/>
          <w:i w:val="0"/>
          <w:sz w:val="20"/>
        </w:rPr>
        <w:t>) sum (</w:t>
      </w:r>
      <w:proofErr w:type="spellStart"/>
      <w:r w:rsidRPr="00B047A8">
        <w:rPr>
          <w:sz w:val="20"/>
          <w:lang w:eastAsia="fr-FR"/>
        </w:rPr>
        <w:t>I</w:t>
      </w:r>
      <w:r w:rsidRPr="00B047A8">
        <w:rPr>
          <w:sz w:val="20"/>
          <w:vertAlign w:val="subscript"/>
          <w:lang w:eastAsia="fr-FR"/>
        </w:rPr>
        <w:t>a</w:t>
      </w:r>
      <w:proofErr w:type="spellEnd"/>
      <w:r w:rsidRPr="00B047A8">
        <w:rPr>
          <w:sz w:val="20"/>
          <w:vertAlign w:val="subscript"/>
          <w:lang w:eastAsia="fr-FR"/>
        </w:rPr>
        <w:t xml:space="preserve"> </w:t>
      </w:r>
      <w:r w:rsidRPr="00B047A8">
        <w:rPr>
          <w:sz w:val="20"/>
          <w:lang w:eastAsia="fr-FR"/>
        </w:rPr>
        <w:t xml:space="preserve">+ </w:t>
      </w:r>
      <w:proofErr w:type="spellStart"/>
      <w:r w:rsidRPr="00B047A8">
        <w:rPr>
          <w:sz w:val="20"/>
          <w:lang w:eastAsia="fr-FR"/>
        </w:rPr>
        <w:t>I</w:t>
      </w:r>
      <w:r w:rsidRPr="00B047A8">
        <w:rPr>
          <w:sz w:val="20"/>
          <w:vertAlign w:val="subscript"/>
          <w:lang w:eastAsia="fr-FR"/>
        </w:rPr>
        <w:t>b</w:t>
      </w:r>
      <w:proofErr w:type="spellEnd"/>
      <w:r w:rsidRPr="00B047A8">
        <w:rPr>
          <w:sz w:val="20"/>
          <w:vertAlign w:val="subscript"/>
          <w:lang w:eastAsia="fr-FR"/>
        </w:rPr>
        <w:t xml:space="preserve"> </w:t>
      </w:r>
      <w:r w:rsidRPr="00B047A8">
        <w:rPr>
          <w:sz w:val="20"/>
          <w:lang w:eastAsia="fr-FR"/>
        </w:rPr>
        <w:t xml:space="preserve">+ </w:t>
      </w:r>
      <w:proofErr w:type="spellStart"/>
      <w:r w:rsidRPr="00B047A8">
        <w:rPr>
          <w:sz w:val="20"/>
          <w:lang w:eastAsia="fr-FR"/>
        </w:rPr>
        <w:t>I</w:t>
      </w:r>
      <w:r w:rsidRPr="00B047A8">
        <w:rPr>
          <w:sz w:val="20"/>
          <w:vertAlign w:val="subscript"/>
          <w:lang w:eastAsia="fr-FR"/>
        </w:rPr>
        <w:t>c</w:t>
      </w:r>
      <w:proofErr w:type="spellEnd"/>
      <w:r w:rsidRPr="00B047A8">
        <w:rPr>
          <w:sz w:val="20"/>
          <w:vertAlign w:val="subscript"/>
          <w:lang w:eastAsia="fr-FR"/>
        </w:rPr>
        <w:t xml:space="preserve"> </w:t>
      </w:r>
      <w:r w:rsidRPr="00B047A8">
        <w:rPr>
          <w:rStyle w:val="vlist-s"/>
          <w:sz w:val="20"/>
        </w:rPr>
        <w:t>​</w:t>
      </w:r>
      <w:r w:rsidRPr="00B047A8">
        <w:rPr>
          <w:rStyle w:val="Emphasis"/>
          <w:i w:val="0"/>
          <w:sz w:val="20"/>
        </w:rPr>
        <w:t>) must not go over the predefined current capacity (</w:t>
      </w:r>
      <w:r w:rsidRPr="00B047A8">
        <w:rPr>
          <w:rStyle w:val="mord"/>
          <w:sz w:val="20"/>
        </w:rPr>
        <w:t>I</w:t>
      </w:r>
      <w:r w:rsidRPr="00B047A8">
        <w:rPr>
          <w:rStyle w:val="mord"/>
          <w:sz w:val="20"/>
          <w:vertAlign w:val="subscript"/>
        </w:rPr>
        <w:t>max</w:t>
      </w:r>
      <w:r w:rsidRPr="00B047A8">
        <w:rPr>
          <w:rStyle w:val="Emphasis"/>
          <w:i w:val="0"/>
          <w:sz w:val="20"/>
        </w:rPr>
        <w:t>) of the equipment, as specified in IEC 60364-8-1</w:t>
      </w:r>
      <w:r w:rsidRPr="00B047A8">
        <w:rPr>
          <w:rStyle w:val="Emphasis"/>
          <w:i w:val="0"/>
          <w:iCs w:val="0"/>
          <w:sz w:val="20"/>
        </w:rPr>
        <w:fldChar w:fldCharType="begin" w:fldLock="1"/>
      </w:r>
      <w:r w:rsidR="00F66D0F">
        <w:rPr>
          <w:rStyle w:val="Emphasis"/>
          <w:i w:val="0"/>
          <w:sz w:val="20"/>
        </w:rPr>
        <w:instrText>ADDIN CSL_CITATION {"citationItems":[{"id":"ITEM-1","itemData":{"DOI":"10.1109/TIA.2021.3075185","ISSN":"19399367","abstract":"The adoption of LED modules coupled with advanced control systems allows a high level of performance both for occupant's satisfaction and for energy performance. The article describes the lighting design process and highlights that the impact of controls on the energy performance can be very high. A complete case study of a lighting system renovation implemented in a library room is shown. The library was divided in different zones. In each zone, the optimal control was adopted. Energy results demonstrated improvements in energy savings and performance via the proposed means. The energy performances measured before the renovation and after the renovation were 72 and 8.5 kW h/m2 per year, respectively, with a saving of more than 70%. The article introduces a double-level on/off switch, one based on the soft BUS control and the other based on deep switch of the power circuit that allows saving of the standby power during the long off-time and increases the reliability. The article highlights the importance of postinstallation phases, which concern parameter programming and optimization. Only because of a careful measurement and monitoring system it is possible to optimize operation of the automatic control systems and to implement the Plan-Do-Check-Act (PDCA) approach.","author":[{"dropping-particle":"","family":"Martirano","given":"Luigi","non-dropping-particle":"","parse-names":false,"suffix":""},{"dropping-particle":"","family":"Ruvio","given":"Alessandro","non-dropping-particle":"","parse-names":false,"suffix":""},{"dropping-particle":"","family":"Manganelli","given":"Matteo","non-dropping-particle":"","parse-names":false,"suffix":""},{"dropping-particle":"","family":"Lettina","given":"Federico","non-dropping-particle":"","parse-names":false,"suffix":""},{"dropping-particle":"","family":"Venditti","given":"Andrea","non-dropping-particle":"","parse-names":false,"suffix":""},{"dropping-particle":"","family":"Zori","given":"Gianluca","non-dropping-particle":"","parse-names":false,"suffix":""}],"container-title":"IEEE Transactions on Industry Applications","id":"ITEM-1","issue":"4","issued":{"date-parts":[["2021"]]},"title":"High-Efficiency Lighting Systems with Advanced Controls","type":"article-journal","volume":"57"},"uris":["http://www.mendeley.com/documents/?uuid=238bf32c-2ff7-31ce-b53d-e79b816cee69"]},{"id":"ITEM-2","itemData":{"DOI":"10.1109/IAS44978.2020.9334781","abstract":"The paper shows a case study of high efficiency lighting system realized in a library room at the University of Rome, Italy. The paper describes the lighting and control systems and highlights the impact on the energy performance. The adoption of LED modules and building automation approach permitted to obtain high level of performance both for lighting comfort and for energy performance. The library was divided in different zones. In each zone the optimal control was adopted. The energy results demonstrate that LED renovation coupled with electronic controls permit to obtain high values both of energy savings and performance.","author":[{"dropping-particle":"","family":"Martirano","given":"Luigi","non-dropping-particle":"","parse-names":false,"suffix":""},{"dropping-particle":"","family":"Ruvio","given":"Alessandro","non-dropping-particle":"","parse-names":false,"suffix":""},{"dropping-particle":"","family":"Manganelli","given":"Matteo","non-dropping-particle":"","parse-names":false,"suffix":""},{"dropping-particle":"","family":"Lettina","given":"Federico","non-dropping-particle":"","parse-names":false,"suffix":""},{"dropping-particle":"","family":"Venditti","given":"Andrea","non-dropping-particle":"","parse-names":false,"suffix":""},{"dropping-particle":"","family":"Zori","given":"Gianluca","non-dropping-particle":"","parse-names":false,"suffix":""}],"container-title":"2020 IEEE Industry Applications Society Annual Meeting, IAS 2020","id":"ITEM-2","issued":{"date-parts":[["2020"]]},"title":"A case study of high efficiency lighting system with advanced control system","type":"paper-conference"},"uris":["http://www.mendeley.com/documents/?uuid=d75c84fc-9c44-32e8-9989-5f6e403fc808"]}],"mendeley":{"formattedCitation":"&lt;sup&gt;24,25&lt;/sup&gt;","plainTextFormattedCitation":"24,25","previouslyFormattedCitation":"[24], [25]"},"properties":{"noteIndex":0},"schema":"https://github.com/citation-style-language/schema/raw/master/csl-citation.json"}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24,25</w:t>
      </w:r>
      <w:r w:rsidRPr="00B047A8">
        <w:rPr>
          <w:rStyle w:val="Emphasis"/>
          <w:i w:val="0"/>
          <w:iCs w:val="0"/>
          <w:sz w:val="20"/>
        </w:rPr>
        <w:fldChar w:fldCharType="end"/>
      </w:r>
      <w:r w:rsidRPr="00B047A8">
        <w:rPr>
          <w:rStyle w:val="Emphasis"/>
          <w:i w:val="0"/>
          <w:sz w:val="20"/>
        </w:rPr>
        <w:t xml:space="preserve"> and NEC Article 220 for load safety</w:t>
      </w:r>
      <w:r w:rsidRPr="00B047A8">
        <w:rPr>
          <w:rStyle w:val="Emphasis"/>
          <w:i w:val="0"/>
          <w:iCs w:val="0"/>
          <w:sz w:val="20"/>
        </w:rPr>
        <w:fldChar w:fldCharType="begin" w:fldLock="1"/>
      </w:r>
      <w:r w:rsidR="00F66D0F">
        <w:rPr>
          <w:rStyle w:val="Emphasis"/>
          <w:i w:val="0"/>
          <w:sz w:val="20"/>
        </w:rPr>
        <w:instrText>ADDIN CSL_CITATION {"citationItems":[{"id":"ITEM-1","itemData":{"DOI":"10.3390/s22218236","ISSN":"14248220","abstract":"This paper deals with voltage unbalances and how they can be quantified according to the standards. Firstly, a comparison between the different unbalance voltage factors is conducted in order to remark on their divergences. Secondly, according to the standard that better represents the phenomenon, i.e., EN 50160, a new methodology is proposed to quantify the voltage unbalance factor (VUF). In order to do so, it is recommended to measure the voltage unbalance in three-phase installations by means of a new smart sensor based on a single voltage sensor, which measures the direct-current (DC) voltage at the output of a three-phase diode bridge rectifier, while current methods make use of three voltage sensors (which can measure either phase-to-neutral voltages or phase-to-phase voltages). Furthermore, both simulation and experimental results have been carried out to validate the proposed methodology. Finally, a new voltage unbalance factor (and the corresponding methodology to obtain it from the measured DC voltage) is proposed.","author":[{"dropping-particle":"","family":"Bogarra","given":"Santiago","non-dropping-particle":"","parse-names":false,"suffix":""},{"dropping-particle":"","family":"Saura","given":"Jaime","non-dropping-particle":"","parse-names":false,"suffix":""},{"dropping-particle":"","family":"Rolán","given":"Alejandro","non-dropping-particle":"","parse-names":false,"suffix":""}],"container-title":"Sensors","id":"ITEM-1","issue":"21","issued":{"date-parts":[["2022"]]},"title":"New Smart Sensor for Voltage Unbalance Measurements in Electrical Power Systems","type":"article-journal","volume":"22"},"uris":["http://www.mendeley.com/documents/?uuid=88528c41-8d58-37e0-b34a-5e978df606ec"]}],"mendeley":{"formattedCitation":"&lt;sup&gt;26&lt;/sup&gt;","plainTextFormattedCitation":"26","previouslyFormattedCitation":"[26]"},"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26</w:t>
      </w:r>
      <w:r w:rsidRPr="00B047A8">
        <w:rPr>
          <w:rStyle w:val="Emphasis"/>
          <w:i w:val="0"/>
          <w:iCs w:val="0"/>
          <w:sz w:val="20"/>
        </w:rPr>
        <w:fldChar w:fldCharType="end"/>
      </w:r>
      <w:r w:rsidRPr="00B047A8">
        <w:rPr>
          <w:rStyle w:val="Emphasis"/>
          <w:i w:val="0"/>
          <w:sz w:val="20"/>
        </w:rPr>
        <w:t xml:space="preserve">. </w:t>
      </w:r>
      <w:r w:rsidRPr="00B047A8">
        <w:rPr>
          <w:sz w:val="20"/>
          <w:lang w:eastAsia="fr-FR"/>
        </w:rPr>
        <w:t>Maximum load constraint (I</w:t>
      </w:r>
      <w:r w:rsidRPr="00B047A8">
        <w:rPr>
          <w:sz w:val="20"/>
          <w:vertAlign w:val="subscript"/>
          <w:lang w:eastAsia="fr-FR"/>
        </w:rPr>
        <w:t>ma</w:t>
      </w:r>
      <w:r w:rsidRPr="00B047A8">
        <w:rPr>
          <w:sz w:val="20"/>
          <w:lang w:eastAsia="fr-FR"/>
        </w:rPr>
        <w:t xml:space="preserve">) is given as </w:t>
      </w:r>
      <w:r w:rsidRPr="00B047A8">
        <w:rPr>
          <w:rStyle w:val="Emphasis"/>
          <w:i w:val="0"/>
          <w:sz w:val="20"/>
        </w:rPr>
        <w:t>Equation (2</w:t>
      </w:r>
      <w:r w:rsidR="00215A20" w:rsidRPr="00B047A8">
        <w:rPr>
          <w:rStyle w:val="Emphasis"/>
          <w:i w:val="0"/>
          <w:sz w:val="20"/>
        </w:rPr>
        <w:t>):</w:t>
      </w:r>
    </w:p>
    <w:p w14:paraId="62718AFA" w14:textId="3B5DA9EA" w:rsidR="009E6122" w:rsidRPr="00B047A8" w:rsidRDefault="00FD489D" w:rsidP="008C48FB">
      <w:pPr>
        <w:pStyle w:val="Equation"/>
        <w:spacing w:after="120"/>
        <w:ind w:left="56"/>
      </w:pPr>
      <w:r>
        <w:tab/>
      </w:r>
      <w:proofErr w:type="spellStart"/>
      <w:r w:rsidRPr="00B047A8">
        <w:rPr>
          <w:lang w:eastAsia="fr-FR"/>
        </w:rPr>
        <w:t>I</w:t>
      </w:r>
      <w:r w:rsidRPr="00B047A8">
        <w:rPr>
          <w:vertAlign w:val="subscript"/>
          <w:lang w:eastAsia="fr-FR"/>
        </w:rPr>
        <w:t>total</w:t>
      </w:r>
      <w:proofErr w:type="spellEnd"/>
      <w:r w:rsidRPr="00B047A8">
        <w:rPr>
          <w:lang w:eastAsia="fr-FR"/>
        </w:rPr>
        <w:t xml:space="preserve"> = </w:t>
      </w:r>
      <w:proofErr w:type="spellStart"/>
      <w:r w:rsidRPr="00B047A8">
        <w:rPr>
          <w:lang w:eastAsia="fr-FR"/>
        </w:rPr>
        <w:t>I</w:t>
      </w:r>
      <w:r w:rsidRPr="00B047A8">
        <w:rPr>
          <w:vertAlign w:val="subscript"/>
          <w:lang w:eastAsia="fr-FR"/>
        </w:rPr>
        <w:t>a</w:t>
      </w:r>
      <w:proofErr w:type="spellEnd"/>
      <w:r w:rsidRPr="00B047A8">
        <w:rPr>
          <w:vertAlign w:val="subscript"/>
          <w:lang w:eastAsia="fr-FR"/>
        </w:rPr>
        <w:t xml:space="preserve"> </w:t>
      </w:r>
      <w:r w:rsidRPr="00B047A8">
        <w:rPr>
          <w:lang w:eastAsia="fr-FR"/>
        </w:rPr>
        <w:t xml:space="preserve">+ </w:t>
      </w:r>
      <w:proofErr w:type="spellStart"/>
      <w:r w:rsidRPr="00B047A8">
        <w:rPr>
          <w:lang w:eastAsia="fr-FR"/>
        </w:rPr>
        <w:t>I</w:t>
      </w:r>
      <w:r w:rsidRPr="00B047A8">
        <w:rPr>
          <w:vertAlign w:val="subscript"/>
          <w:lang w:eastAsia="fr-FR"/>
        </w:rPr>
        <w:t>b</w:t>
      </w:r>
      <w:proofErr w:type="spellEnd"/>
      <w:r w:rsidRPr="00B047A8">
        <w:rPr>
          <w:vertAlign w:val="subscript"/>
          <w:lang w:eastAsia="fr-FR"/>
        </w:rPr>
        <w:t xml:space="preserve"> </w:t>
      </w:r>
      <w:r w:rsidRPr="00B047A8">
        <w:rPr>
          <w:lang w:eastAsia="fr-FR"/>
        </w:rPr>
        <w:t xml:space="preserve">+ </w:t>
      </w:r>
      <w:proofErr w:type="spellStart"/>
      <w:proofErr w:type="gramStart"/>
      <w:r w:rsidRPr="00B047A8">
        <w:rPr>
          <w:lang w:eastAsia="fr-FR"/>
        </w:rPr>
        <w:t>I</w:t>
      </w:r>
      <w:r w:rsidRPr="00B047A8">
        <w:rPr>
          <w:vertAlign w:val="subscript"/>
          <w:lang w:eastAsia="fr-FR"/>
        </w:rPr>
        <w:t>c</w:t>
      </w:r>
      <w:proofErr w:type="spellEnd"/>
      <w:r w:rsidRPr="00B047A8">
        <w:rPr>
          <w:vertAlign w:val="subscript"/>
          <w:lang w:eastAsia="fr-FR"/>
        </w:rPr>
        <w:t xml:space="preserve">  </w:t>
      </w:r>
      <w:r w:rsidRPr="00B047A8">
        <w:rPr>
          <w:lang w:eastAsia="fr-FR"/>
        </w:rPr>
        <w:t>≤</w:t>
      </w:r>
      <w:proofErr w:type="gramEnd"/>
      <w:r w:rsidRPr="00B047A8">
        <w:rPr>
          <w:lang w:eastAsia="fr-FR"/>
        </w:rPr>
        <w:t xml:space="preserve">  </w:t>
      </w:r>
      <w:proofErr w:type="gramStart"/>
      <w:r w:rsidRPr="00B047A8">
        <w:rPr>
          <w:lang w:eastAsia="fr-FR"/>
        </w:rPr>
        <w:t>I</w:t>
      </w:r>
      <w:r w:rsidRPr="00B047A8">
        <w:rPr>
          <w:vertAlign w:val="subscript"/>
          <w:lang w:eastAsia="fr-FR"/>
        </w:rPr>
        <w:t>max</w:t>
      </w:r>
      <w:r w:rsidRPr="00B047A8">
        <w:rPr>
          <w:lang w:eastAsia="fr-FR"/>
        </w:rPr>
        <w:t xml:space="preserve">  </w:t>
      </w:r>
      <w:r w:rsidR="009E6122">
        <w:tab/>
      </w:r>
      <w:proofErr w:type="gramEnd"/>
      <w:r w:rsidR="009E6122">
        <w:t>(2)</w:t>
      </w:r>
    </w:p>
    <w:p w14:paraId="4140723C" w14:textId="77777777" w:rsidR="00E57DE8" w:rsidRPr="00B047A8" w:rsidRDefault="00E57DE8" w:rsidP="008B0A1D">
      <w:pPr>
        <w:ind w:firstLine="284"/>
        <w:jc w:val="both"/>
        <w:rPr>
          <w:sz w:val="20"/>
          <w:lang w:eastAsia="fr-FR"/>
        </w:rPr>
      </w:pPr>
      <w:r w:rsidRPr="00B047A8">
        <w:rPr>
          <w:sz w:val="20"/>
          <w:lang w:eastAsia="fr-FR"/>
        </w:rPr>
        <w:t>Where</w:t>
      </w:r>
      <w:proofErr w:type="gramStart"/>
      <w:r w:rsidRPr="00B047A8">
        <w:rPr>
          <w:sz w:val="20"/>
          <w:lang w:eastAsia="fr-FR"/>
        </w:rPr>
        <w:t>:  I</w:t>
      </w:r>
      <w:r w:rsidRPr="00B047A8">
        <w:rPr>
          <w:sz w:val="20"/>
          <w:vertAlign w:val="subscript"/>
          <w:lang w:eastAsia="fr-FR"/>
        </w:rPr>
        <w:t>max</w:t>
      </w:r>
      <w:proofErr w:type="gramEnd"/>
      <w:r w:rsidRPr="00B047A8">
        <w:rPr>
          <w:sz w:val="20"/>
          <w:vertAlign w:val="subscript"/>
          <w:lang w:eastAsia="fr-FR"/>
        </w:rPr>
        <w:t xml:space="preserve"> </w:t>
      </w:r>
      <w:r w:rsidRPr="00B047A8">
        <w:rPr>
          <w:sz w:val="20"/>
          <w:lang w:eastAsia="fr-FR"/>
        </w:rPr>
        <w:t xml:space="preserve">is the current capacity based on </w:t>
      </w:r>
      <w:proofErr w:type="gramStart"/>
      <w:r w:rsidRPr="00B047A8">
        <w:rPr>
          <w:sz w:val="20"/>
          <w:lang w:eastAsia="fr-FR"/>
        </w:rPr>
        <w:t>the nominal</w:t>
      </w:r>
      <w:proofErr w:type="gramEnd"/>
      <w:r w:rsidRPr="00B047A8">
        <w:rPr>
          <w:sz w:val="20"/>
          <w:lang w:eastAsia="fr-FR"/>
        </w:rPr>
        <w:t xml:space="preserve"> power. </w:t>
      </w:r>
    </w:p>
    <w:p w14:paraId="606B453B" w14:textId="77777777" w:rsidR="00E57DE8" w:rsidRPr="00B047A8" w:rsidRDefault="00E57DE8" w:rsidP="008B0A1D">
      <w:pPr>
        <w:ind w:firstLine="284"/>
        <w:jc w:val="both"/>
        <w:rPr>
          <w:b/>
          <w:bCs/>
          <w:sz w:val="20"/>
          <w:lang w:eastAsia="fr-FR"/>
        </w:rPr>
      </w:pPr>
      <w:r w:rsidRPr="00B047A8">
        <w:rPr>
          <w:sz w:val="20"/>
          <w:lang w:eastAsia="fr-FR"/>
        </w:rPr>
        <w:t xml:space="preserve">The power (in kVA) can be calculated for each transformer and each phase from the optimized currents, assuming a nominal voltage </w:t>
      </w:r>
      <w:proofErr w:type="spellStart"/>
      <w:r w:rsidRPr="00B047A8">
        <w:rPr>
          <w:b/>
          <w:bCs/>
          <w:sz w:val="20"/>
          <w:lang w:eastAsia="fr-FR"/>
        </w:rPr>
        <w:t>V</w:t>
      </w:r>
      <w:r w:rsidRPr="00B047A8">
        <w:rPr>
          <w:b/>
          <w:bCs/>
          <w:sz w:val="20"/>
          <w:vertAlign w:val="subscript"/>
          <w:lang w:eastAsia="fr-FR"/>
        </w:rPr>
        <w:t>nom</w:t>
      </w:r>
      <w:proofErr w:type="spellEnd"/>
      <w:r w:rsidRPr="00B047A8">
        <w:rPr>
          <w:sz w:val="20"/>
          <w:lang w:eastAsia="fr-FR"/>
        </w:rPr>
        <w:t xml:space="preserve">, where the voltage is expressed in volts and the currents in amperes. </w:t>
      </w:r>
    </w:p>
    <w:p w14:paraId="0E4BD5AF" w14:textId="6345B109" w:rsidR="00E57DE8" w:rsidRDefault="00E57DE8" w:rsidP="008B0A1D">
      <w:pPr>
        <w:ind w:firstLine="284"/>
        <w:jc w:val="both"/>
        <w:rPr>
          <w:rStyle w:val="Emphasis"/>
          <w:i w:val="0"/>
          <w:sz w:val="20"/>
        </w:rPr>
      </w:pPr>
      <w:r w:rsidRPr="00B047A8">
        <w:rPr>
          <w:rStyle w:val="Emphasis"/>
          <w:i w:val="0"/>
          <w:sz w:val="20"/>
        </w:rPr>
        <w:t>The total apparent power of the three-phase system was determined using </w:t>
      </w:r>
      <w:proofErr w:type="spellStart"/>
      <w:r w:rsidRPr="00B047A8">
        <w:rPr>
          <w:rStyle w:val="katex-mathml"/>
          <w:sz w:val="20"/>
          <w:bdr w:val="none" w:sz="0" w:space="0" w:color="auto" w:frame="1"/>
        </w:rPr>
        <w:t>P</w:t>
      </w:r>
      <w:r w:rsidRPr="00B047A8">
        <w:rPr>
          <w:rStyle w:val="katex-mathml"/>
          <w:sz w:val="20"/>
          <w:bdr w:val="none" w:sz="0" w:space="0" w:color="auto" w:frame="1"/>
          <w:vertAlign w:val="subscript"/>
        </w:rPr>
        <w:t>total</w:t>
      </w:r>
      <w:proofErr w:type="spellEnd"/>
      <w:r w:rsidRPr="00B047A8">
        <w:rPr>
          <w:rStyle w:val="vlist-s"/>
          <w:sz w:val="20"/>
          <w:vertAlign w:val="subscript"/>
        </w:rPr>
        <w:t>​​</w:t>
      </w:r>
      <w:r w:rsidRPr="00B047A8">
        <w:rPr>
          <w:rStyle w:val="Emphasis"/>
          <w:i w:val="0"/>
          <w:sz w:val="20"/>
        </w:rPr>
        <w:t>, consistent with IEC 60076-1 and IEEE 1459 definitions for three-phase power</w:t>
      </w:r>
      <w:r w:rsidRPr="00B047A8">
        <w:rPr>
          <w:rStyle w:val="Emphasis"/>
          <w:i w:val="0"/>
          <w:iCs w:val="0"/>
          <w:sz w:val="20"/>
        </w:rPr>
        <w:fldChar w:fldCharType="begin" w:fldLock="1"/>
      </w:r>
      <w:r w:rsidR="00F66D0F">
        <w:rPr>
          <w:rStyle w:val="Emphasis"/>
          <w:i w:val="0"/>
          <w:sz w:val="20"/>
        </w:rPr>
        <w:instrText>ADDIN CSL_CITATION {"citationItems":[{"id":"ITEM-1","itemData":{"DOI":"10.1109/TIM.2020.3037949","ISSN":"15579662","abstract":"This article investigates the feasibility of using a simplified approach, based on the measurement of power ratio parameters, for harmonic emissions assessment at the point of common coupling (PCC). The proposed approach comes from the common concept of power factor correction and the definitions of the IEEE Std. 1459-2010, where line utilization and harmonic pollution levels are evaluated by means of ratios between the power quantities of the apparent power decomposition. In addition to the IEEE Std. 1459-2010 indicators, in this article, the behavior is studied of additional parameters that are conceptually similar to those defined by the IEEE Std. 1459-2010. The suitability of such parameters is discussed, for both single- and three-phase balanced/unbalanced cases, taking into account both their behavior in different scenarios and their effectiveness when the measurement uncertainty is taken into account. The study is supported by some simulation results that have been obtained on an IEEE benchmark power system, which allows reproducing linear and nonlinear load conditions, balanced and unbalanced operating conditions, and the presence of capacitors for power factor correction.","author":[{"dropping-particle":"","family":"Artale","given":"Giovanni","non-dropping-particle":"","parse-names":false,"suffix":""},{"dropping-particle":"","family":"Caravello","given":"Giuseppe","non-dropping-particle":"","parse-names":false,"suffix":""},{"dropping-particle":"","family":"Cataliotti","given":"Antonio","non-dropping-particle":"","parse-names":false,"suffix":""},{"dropping-particle":"","family":"Cosentino","given":"Valentina","non-dropping-particle":"","parse-names":false,"suffix":""},{"dropping-particle":"Di","family":"Cara","given":"Dario","non-dropping-particle":"","parse-names":false,"suffix":""},{"dropping-particle":"","family":"Guaiana","given":"Salvatore","non-dropping-particle":"","parse-names":false,"suffix":""},{"dropping-particle":"","family":"Panzavecchia","given":"Nicola","non-dropping-particle":"","parse-names":false,"suffix":""},{"dropping-particle":"","family":"Tine","given":"Giovanni","non-dropping-particle":"","parse-names":false,"suffix":""}],"container-title":"IEEE Transactions on Instrumentation and Measurement","id":"ITEM-1","issued":{"date-parts":[["2021"]]},"title":"Measurement of Simplified Single- And Three-Phase Parameters for Harmonic Emission Assessment Based on IEEE 1459-2010","type":"article-journal","volume":"70"},"uris":["http://www.mendeley.com/documents/?uuid=99ce03ab-3514-3a5c-a3f5-85209c13d958"]}],"mendeley":{"formattedCitation":"&lt;sup&gt;27&lt;/sup&gt;","plainTextFormattedCitation":"27","previouslyFormattedCitation":"[27]"},"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27</w:t>
      </w:r>
      <w:r w:rsidRPr="00B047A8">
        <w:rPr>
          <w:rStyle w:val="Emphasis"/>
          <w:i w:val="0"/>
          <w:iCs w:val="0"/>
          <w:sz w:val="20"/>
        </w:rPr>
        <w:fldChar w:fldCharType="end"/>
      </w:r>
      <w:r w:rsidRPr="00B047A8">
        <w:rPr>
          <w:rStyle w:val="Emphasis"/>
          <w:i w:val="0"/>
          <w:sz w:val="20"/>
        </w:rPr>
        <w:t xml:space="preserve">. Transformer loading was verified using the apparent power </w:t>
      </w:r>
      <w:proofErr w:type="spellStart"/>
      <w:r w:rsidRPr="00B047A8">
        <w:rPr>
          <w:b/>
          <w:bCs/>
          <w:sz w:val="20"/>
          <w:lang w:eastAsia="fr-FR"/>
        </w:rPr>
        <w:t>P</w:t>
      </w:r>
      <w:r w:rsidRPr="00B047A8">
        <w:rPr>
          <w:b/>
          <w:bCs/>
          <w:sz w:val="20"/>
          <w:vertAlign w:val="subscript"/>
          <w:lang w:eastAsia="fr-FR"/>
        </w:rPr>
        <w:t>total</w:t>
      </w:r>
      <w:proofErr w:type="spellEnd"/>
      <w:r w:rsidRPr="00B047A8">
        <w:rPr>
          <w:rStyle w:val="Emphasis"/>
          <w:i w:val="0"/>
          <w:sz w:val="20"/>
        </w:rPr>
        <w:t>, as recommended in ABB</w:t>
      </w:r>
      <w:r w:rsidR="00215A20">
        <w:rPr>
          <w:rStyle w:val="Emphasis"/>
          <w:i w:val="0"/>
          <w:sz w:val="20"/>
        </w:rPr>
        <w:t>’</w:t>
      </w:r>
      <w:r w:rsidRPr="00B047A8">
        <w:rPr>
          <w:rStyle w:val="Emphasis"/>
          <w:i w:val="0"/>
          <w:sz w:val="20"/>
        </w:rPr>
        <w:t>s Transformer Handbook</w:t>
      </w:r>
      <w:r w:rsidRPr="00B047A8">
        <w:rPr>
          <w:rStyle w:val="Emphasis"/>
          <w:i w:val="0"/>
          <w:iCs w:val="0"/>
          <w:sz w:val="20"/>
        </w:rPr>
        <w:fldChar w:fldCharType="begin" w:fldLock="1"/>
      </w:r>
      <w:r w:rsidR="00F66D0F">
        <w:rPr>
          <w:rStyle w:val="Emphasis"/>
          <w:i w:val="0"/>
          <w:sz w:val="20"/>
        </w:rPr>
        <w:instrText>ADDIN CSL_CITATION {"citationItems":[{"id":"ITEM-1","itemData":{"DOI":"10.1109/ACCESS.2022.3165553","ISSN":"21693536","abstract":"HVDC has been chosen as an economical and technical solution for power transmission through long distances, asynchronous interconnections and long submarine cables crossing. Despite DC transmission benefits to power systems, the converters non-linearity produces undesirable effects to the converter transformer in service, mainly listed in the technical standard IEC/IEEE 60076-57-129. However, additional discussions and complementary information can be found in a plurality of references, which are brought in the article under a comprehensive overview perspective. Some design solutions deal with these effects increasing the technical margins, which have direct influence on manufacturing costs and transformer reliability and availability levels. This article goes through the main topics pointed by the standard and the references, investigating their consequences in the converter transformer operation, in order to provide a comprehensive tutorial on design solutions and considerations to deal with those undesirable effects.","author":[{"dropping-particle":"V.","family":"Czernorucki","given":"Marcos","non-dropping-particle":"","parse-names":false,"suffix":""},{"dropping-particle":"","family":"Salles","given":"Mauricio B.C.","non-dropping-particle":"","parse-names":false,"suffix":""},{"dropping-particle":"","family":"Costa","given":"Eduardo C.M.","non-dropping-particle":"","parse-names":false,"suffix":""},{"dropping-particle":"","family":"Melo","given":"Andre S.","non-dropping-particle":"","parse-names":false,"suffix":""},{"dropping-particle":"","family":"Piegari","given":"Luigi","non-dropping-particle":"","parse-names":false,"suffix":""}],"container-title":"IEEE Access","id":"ITEM-1","issued":{"date-parts":[["2022"]]},"title":"Comprehensive Overview on HVDC Converter Transformer Design: Additional Discussions to the IEC/IEEE 60076-57-129 Standard","type":"article-journal","volume":"10"},"uris":["http://www.mendeley.com/documents/?uuid=dbc62448-8c61-373d-9fc2-b28bfa2c1b41"]}],"mendeley":{"formattedCitation":"&lt;sup&gt;28&lt;/sup&gt;","plainTextFormattedCitation":"28","previouslyFormattedCitation":"[28]"},"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28</w:t>
      </w:r>
      <w:r w:rsidRPr="00B047A8">
        <w:rPr>
          <w:rStyle w:val="Emphasis"/>
          <w:i w:val="0"/>
          <w:iCs w:val="0"/>
          <w:sz w:val="20"/>
        </w:rPr>
        <w:fldChar w:fldCharType="end"/>
      </w:r>
      <w:r w:rsidRPr="00B047A8">
        <w:rPr>
          <w:rStyle w:val="Emphasis"/>
          <w:i w:val="0"/>
          <w:sz w:val="20"/>
        </w:rPr>
        <w:t xml:space="preserve"> written </w:t>
      </w:r>
      <w:r w:rsidRPr="00B047A8">
        <w:rPr>
          <w:sz w:val="20"/>
          <w:lang w:eastAsia="fr-FR"/>
        </w:rPr>
        <w:t xml:space="preserve">as </w:t>
      </w:r>
      <w:r w:rsidRPr="00B047A8">
        <w:rPr>
          <w:rStyle w:val="Emphasis"/>
          <w:i w:val="0"/>
          <w:sz w:val="20"/>
        </w:rPr>
        <w:t>Equation (3) :</w:t>
      </w:r>
    </w:p>
    <w:p w14:paraId="5A5E6741" w14:textId="67E1BA08" w:rsidR="009E6122" w:rsidRPr="009C6D8F" w:rsidRDefault="009E6122" w:rsidP="008C48FB">
      <w:pPr>
        <w:pStyle w:val="Equation"/>
        <w:spacing w:before="120"/>
        <w:ind w:left="56"/>
      </w:pPr>
      <w:r>
        <w:tab/>
      </w:r>
      <w:r w:rsidRPr="009C6D8F">
        <w:rPr>
          <w:iCs/>
          <w:lang w:eastAsia="fr-FR"/>
        </w:rPr>
        <w:t>P</w:t>
      </w:r>
      <w:r w:rsidRPr="009C6D8F">
        <w:rPr>
          <w:iCs/>
          <w:vertAlign w:val="subscript"/>
          <w:lang w:eastAsia="fr-FR"/>
        </w:rPr>
        <w:t>total</w:t>
      </w:r>
      <w:r w:rsidRPr="009C6D8F">
        <w:rPr>
          <w:lang w:eastAsia="fr-FR"/>
        </w:rPr>
        <w:t xml:space="preserve"> = </w:t>
      </w:r>
      <m:oMath>
        <m:f>
          <m:fPr>
            <m:ctrlPr>
              <w:rPr>
                <w:rFonts w:ascii="Cambria Math" w:hAnsi="Cambria Math"/>
                <w:lang w:eastAsia="fr-FR"/>
              </w:rPr>
            </m:ctrlPr>
          </m:fPr>
          <m:num>
            <m:rad>
              <m:radPr>
                <m:degHide m:val="1"/>
                <m:ctrlPr>
                  <w:rPr>
                    <w:rFonts w:ascii="Cambria Math" w:hAnsi="Cambria Math"/>
                    <w:lang w:eastAsia="fr-FR"/>
                  </w:rPr>
                </m:ctrlPr>
              </m:radPr>
              <m:deg/>
              <m:e>
                <m:r>
                  <m:rPr>
                    <m:sty m:val="p"/>
                  </m:rPr>
                  <w:rPr>
                    <w:rFonts w:ascii="Cambria Math" w:hAnsi="Cambria Math"/>
                    <w:lang w:eastAsia="fr-FR"/>
                  </w:rPr>
                  <m:t xml:space="preserve">3 </m:t>
                </m:r>
              </m:e>
            </m:rad>
            <m:r>
              <m:rPr>
                <m:sty m:val="p"/>
              </m:rPr>
              <w:rPr>
                <w:rFonts w:ascii="Cambria Math" w:hAnsi="Cambria Math"/>
                <w:lang w:eastAsia="fr-FR"/>
              </w:rPr>
              <m:t>×</m:t>
            </m:r>
            <m:sSub>
              <m:sSubPr>
                <m:ctrlPr>
                  <w:rPr>
                    <w:rFonts w:ascii="Cambria Math" w:hAnsi="Cambria Math"/>
                    <w:lang w:eastAsia="fr-FR"/>
                  </w:rPr>
                </m:ctrlPr>
              </m:sSubPr>
              <m:e>
                <m:r>
                  <m:rPr>
                    <m:sty m:val="p"/>
                  </m:rPr>
                  <w:rPr>
                    <w:rFonts w:ascii="Cambria Math" w:hAnsi="Cambria Math"/>
                    <w:lang w:eastAsia="fr-FR"/>
                  </w:rPr>
                  <m:t>V</m:t>
                </m:r>
              </m:e>
              <m:sub>
                <m:r>
                  <m:rPr>
                    <m:sty m:val="p"/>
                  </m:rPr>
                  <w:rPr>
                    <w:rFonts w:ascii="Cambria Math" w:hAnsi="Cambria Math"/>
                    <w:lang w:eastAsia="fr-FR"/>
                  </w:rPr>
                  <m:t>nom</m:t>
                </m:r>
              </m:sub>
            </m:sSub>
            <m:r>
              <m:rPr>
                <m:sty m:val="p"/>
              </m:rPr>
              <w:rPr>
                <w:rFonts w:ascii="Cambria Math" w:hAnsi="Cambria Math"/>
                <w:lang w:eastAsia="fr-FR"/>
              </w:rPr>
              <m:t>×</m:t>
            </m:r>
            <m:sSub>
              <m:sSubPr>
                <m:ctrlPr>
                  <w:rPr>
                    <w:rFonts w:ascii="Cambria Math" w:hAnsi="Cambria Math"/>
                    <w:lang w:eastAsia="fr-FR"/>
                  </w:rPr>
                </m:ctrlPr>
              </m:sSubPr>
              <m:e>
                <m:r>
                  <m:rPr>
                    <m:sty m:val="p"/>
                  </m:rPr>
                  <w:rPr>
                    <w:rFonts w:ascii="Cambria Math" w:hAnsi="Cambria Math"/>
                    <w:lang w:eastAsia="fr-FR"/>
                  </w:rPr>
                  <m:t>I</m:t>
                </m:r>
              </m:e>
              <m:sub>
                <m:r>
                  <m:rPr>
                    <m:sty m:val="p"/>
                  </m:rPr>
                  <w:rPr>
                    <w:rFonts w:ascii="Cambria Math" w:hAnsi="Cambria Math"/>
                    <w:lang w:eastAsia="fr-FR"/>
                  </w:rPr>
                  <m:t>opt</m:t>
                </m:r>
              </m:sub>
            </m:sSub>
          </m:num>
          <m:den>
            <m:r>
              <m:rPr>
                <m:sty m:val="p"/>
              </m:rPr>
              <w:rPr>
                <w:rFonts w:ascii="Cambria Math" w:hAnsi="Cambria Math"/>
                <w:lang w:eastAsia="fr-FR"/>
              </w:rPr>
              <m:t>1000</m:t>
            </m:r>
          </m:den>
        </m:f>
      </m:oMath>
      <w:r w:rsidRPr="009C6D8F">
        <w:rPr>
          <w:lang w:eastAsia="fr-FR"/>
        </w:rPr>
        <w:t xml:space="preserve">   </w:t>
      </w:r>
      <w:r w:rsidRPr="009C6D8F">
        <w:tab/>
        <w:t>(3)</w:t>
      </w:r>
    </w:p>
    <w:p w14:paraId="2DB6D6E2" w14:textId="77777777" w:rsidR="009E6122" w:rsidRPr="009C6D8F" w:rsidRDefault="009E6122" w:rsidP="008B0A1D">
      <w:pPr>
        <w:ind w:firstLine="284"/>
        <w:jc w:val="both"/>
        <w:rPr>
          <w:rStyle w:val="Emphasis"/>
          <w:i w:val="0"/>
          <w:iCs w:val="0"/>
          <w:sz w:val="20"/>
        </w:rPr>
      </w:pPr>
    </w:p>
    <w:p w14:paraId="5F34E584" w14:textId="11A9BE0F" w:rsidR="00E57DE8" w:rsidRPr="00B047A8" w:rsidRDefault="00215A20" w:rsidP="008B0A1D">
      <w:pPr>
        <w:ind w:firstLine="284"/>
        <w:jc w:val="both"/>
        <w:rPr>
          <w:sz w:val="20"/>
          <w:lang w:eastAsia="fr-FR"/>
        </w:rPr>
      </w:pPr>
      <w:r w:rsidRPr="00B047A8">
        <w:rPr>
          <w:sz w:val="20"/>
          <w:lang w:eastAsia="fr-FR"/>
        </w:rPr>
        <w:t>Where:</w:t>
      </w:r>
      <w:r w:rsidR="00E57DE8" w:rsidRPr="00B047A8">
        <w:rPr>
          <w:sz w:val="20"/>
          <w:lang w:eastAsia="fr-FR"/>
        </w:rPr>
        <w:t xml:space="preserve"> </w:t>
      </w:r>
      <w:proofErr w:type="spellStart"/>
      <w:r w:rsidR="00E57DE8" w:rsidRPr="00B047A8">
        <w:rPr>
          <w:b/>
          <w:bCs/>
          <w:sz w:val="20"/>
          <w:lang w:eastAsia="fr-FR"/>
        </w:rPr>
        <w:t>V</w:t>
      </w:r>
      <w:r w:rsidR="00E57DE8" w:rsidRPr="00B047A8">
        <w:rPr>
          <w:b/>
          <w:bCs/>
          <w:sz w:val="20"/>
          <w:vertAlign w:val="subscript"/>
          <w:lang w:eastAsia="fr-FR"/>
        </w:rPr>
        <w:t>nom</w:t>
      </w:r>
      <w:proofErr w:type="spellEnd"/>
      <w:r w:rsidR="00E57DE8" w:rsidRPr="00B047A8">
        <w:rPr>
          <w:sz w:val="20"/>
          <w:lang w:eastAsia="fr-FR"/>
        </w:rPr>
        <w:t xml:space="preserve"> is expressed in volts while </w:t>
      </w:r>
      <m:oMath>
        <m:sSub>
          <m:sSubPr>
            <m:ctrlPr>
              <w:rPr>
                <w:rFonts w:ascii="Cambria Math" w:hAnsi="Cambria Math"/>
                <w:b/>
                <w:bCs/>
                <w:sz w:val="20"/>
                <w:lang w:eastAsia="fr-FR"/>
              </w:rPr>
            </m:ctrlPr>
          </m:sSubPr>
          <m:e>
            <m:r>
              <m:rPr>
                <m:sty m:val="b"/>
              </m:rPr>
              <w:rPr>
                <w:rFonts w:ascii="Cambria Math" w:hAnsi="Cambria Math"/>
                <w:sz w:val="20"/>
                <w:lang w:eastAsia="fr-FR"/>
              </w:rPr>
              <m:t>I</m:t>
            </m:r>
          </m:e>
          <m:sub>
            <m:r>
              <m:rPr>
                <m:sty m:val="b"/>
              </m:rPr>
              <w:rPr>
                <w:rFonts w:ascii="Cambria Math" w:hAnsi="Cambria Math"/>
                <w:sz w:val="20"/>
                <w:lang w:eastAsia="fr-FR"/>
              </w:rPr>
              <m:t>opt</m:t>
            </m:r>
          </m:sub>
        </m:sSub>
      </m:oMath>
      <w:r w:rsidR="00E57DE8" w:rsidRPr="00B047A8">
        <w:rPr>
          <w:sz w:val="20"/>
          <w:lang w:eastAsia="fr-FR"/>
        </w:rPr>
        <w:t xml:space="preserve"> is in amperes. </w:t>
      </w:r>
    </w:p>
    <w:p w14:paraId="0B55DB7D" w14:textId="03A59AA3" w:rsidR="00E57DE8" w:rsidRDefault="00E57DE8" w:rsidP="008B0A1D">
      <w:pPr>
        <w:ind w:firstLine="284"/>
        <w:jc w:val="both"/>
        <w:rPr>
          <w:rStyle w:val="Emphasis"/>
          <w:i w:val="0"/>
          <w:sz w:val="20"/>
        </w:rPr>
      </w:pPr>
      <w:r w:rsidRPr="00B047A8">
        <w:rPr>
          <w:sz w:val="20"/>
          <w:lang w:eastAsia="fr-FR"/>
        </w:rPr>
        <w:t xml:space="preserve">The integration of a correction coefficient </w:t>
      </w:r>
      <m:oMath>
        <m:sSub>
          <m:sSubPr>
            <m:ctrlPr>
              <w:rPr>
                <w:rFonts w:ascii="Cambria Math" w:hAnsi="Cambria Math"/>
                <w:b/>
                <w:bCs/>
                <w:sz w:val="20"/>
                <w:lang w:eastAsia="fr-FR"/>
              </w:rPr>
            </m:ctrlPr>
          </m:sSubPr>
          <m:e>
            <m:r>
              <m:rPr>
                <m:sty m:val="b"/>
              </m:rPr>
              <w:rPr>
                <w:rFonts w:ascii="Cambria Math" w:hAnsi="Cambria Math"/>
                <w:sz w:val="20"/>
                <w:lang w:eastAsia="fr-FR"/>
              </w:rPr>
              <m:t>K</m:t>
            </m:r>
          </m:e>
          <m:sub>
            <m:r>
              <m:rPr>
                <m:sty m:val="b"/>
              </m:rPr>
              <w:rPr>
                <w:rFonts w:ascii="Cambria Math" w:hAnsi="Cambria Math"/>
                <w:sz w:val="20"/>
                <w:lang w:eastAsia="fr-FR"/>
              </w:rPr>
              <m:t>T</m:t>
            </m:r>
          </m:sub>
        </m:sSub>
      </m:oMath>
      <w:r w:rsidRPr="00B047A8">
        <w:rPr>
          <w:sz w:val="20"/>
          <w:lang w:eastAsia="fr-FR"/>
        </w:rPr>
        <w:t xml:space="preserve"> allows the adjustment of the transformer</w:t>
      </w:r>
      <w:r w:rsidR="00215A20">
        <w:rPr>
          <w:sz w:val="20"/>
          <w:lang w:eastAsia="fr-FR"/>
        </w:rPr>
        <w:t>’</w:t>
      </w:r>
      <w:r w:rsidRPr="00B047A8">
        <w:rPr>
          <w:sz w:val="20"/>
          <w:lang w:eastAsia="fr-FR"/>
        </w:rPr>
        <w:t xml:space="preserve">s maximum capacity based on the ambient temperature at the study location. </w:t>
      </w:r>
      <w:r w:rsidRPr="00B047A8">
        <w:rPr>
          <w:rStyle w:val="Emphasis"/>
          <w:i w:val="0"/>
          <w:sz w:val="20"/>
        </w:rPr>
        <w:t xml:space="preserve">The temperature correction factor </w:t>
      </w:r>
      <m:oMath>
        <m:sSub>
          <m:sSubPr>
            <m:ctrlPr>
              <w:rPr>
                <w:rFonts w:ascii="Cambria Math" w:hAnsi="Cambria Math"/>
                <w:b/>
                <w:bCs/>
                <w:iCs/>
                <w:sz w:val="20"/>
                <w:lang w:eastAsia="fr-FR"/>
              </w:rPr>
            </m:ctrlPr>
          </m:sSubPr>
          <m:e>
            <m:r>
              <m:rPr>
                <m:sty m:val="b"/>
              </m:rPr>
              <w:rPr>
                <w:rFonts w:ascii="Cambria Math" w:hAnsi="Cambria Math"/>
                <w:sz w:val="20"/>
                <w:lang w:eastAsia="fr-FR"/>
              </w:rPr>
              <m:t>K</m:t>
            </m:r>
          </m:e>
          <m:sub>
            <m:r>
              <m:rPr>
                <m:sty m:val="b"/>
              </m:rPr>
              <w:rPr>
                <w:rFonts w:ascii="Cambria Math" w:hAnsi="Cambria Math"/>
                <w:sz w:val="20"/>
                <w:lang w:eastAsia="fr-FR"/>
              </w:rPr>
              <m:t>T</m:t>
            </m:r>
          </m:sub>
        </m:sSub>
      </m:oMath>
      <w:r w:rsidRPr="00B047A8">
        <w:rPr>
          <w:rStyle w:val="Emphasis"/>
          <w:i w:val="0"/>
          <w:sz w:val="20"/>
        </w:rPr>
        <w:t>, consistent with derating principles in IEC 60076-7 and IEEE C57.91</w:t>
      </w:r>
      <w:r w:rsidRPr="00B047A8">
        <w:rPr>
          <w:rStyle w:val="Emphasis"/>
          <w:i w:val="0"/>
          <w:iCs w:val="0"/>
          <w:sz w:val="20"/>
        </w:rPr>
        <w:fldChar w:fldCharType="begin" w:fldLock="1"/>
      </w:r>
      <w:r w:rsidR="00F66D0F">
        <w:rPr>
          <w:rStyle w:val="Emphasis"/>
          <w:i w:val="0"/>
          <w:sz w:val="20"/>
        </w:rPr>
        <w:instrText>ADDIN CSL_CITATION {"citationItems":[{"id":"ITEM-1","itemData":{"DOI":"10.1155/2021/8960190","ISBN":"9788793278127","ISSN":"23524847","abstract":"The objective of this research work is to assess the wind characteristics and wind power potential of Gharo site. The wind parameters of the site have been used to calculate the wind power density, annual energy yield, and capacity factors at 10, 30, and 50 m. The wind frequency distribution including seasonal as well as percentage of seasonal frequency distribution has been investigated to determine accurately the wind power of the site. The coefficient of variation is calculated at three different heights. Also, economic assessment per kWh of energy has been carried out. The site-specific annual mean wind speeds were 6.89, 5.85, and 3.85 m/s at 50, 30, and 10 m heights with corresponding standard deviations of 2.946, 2.489, and 2.040. The mean values of the Weibull k parameter are estimated as 2.946, 2.489, and 2.040 while those of scale parameter are estimated as 7.634, 6.465, and 4.180 m/s at 50, 30, and 10 m, respectively. The respective mean wind power and energy density values are found to be 118.3, 92.20, and 46.10 W/m2 and 1036.6, 807.90, and 402.60 kWh/m2. As per cost estimation of wind turbines, the wind turbine WT-C has the lowest cost of US$ Cents 0.0346/kWh and highest capacity factors of 0.3278 (32.78%). Wind turbine WT-C is recommended for this site for the wind farm deployment due to high energy generation and minimum price of energy. The results show the appropriateness of the methodology for assessing the wind speed and economic assessment at the lowest price of energy.","author":[{"dropping-particle":"","family":"Hu","given":"Shifeng","non-dropping-particle":"","parse-names":false,"suffix":""},{"dropping-particle":"","family":"Zhu","given":"Ruijin","non-dropping-particle":"","parse-names":false,"suffix":""},{"dropping-particle":"","family":"Li","given":"Guoguang","non-dropping-particle":"","parse-names":false,"suffix":""},{"dropping-particle":"","family":"Song","given":"Like","non-dropping-particle":"","parse-names":false,"suffix":""},{"dropping-particle":"","family":"Solano","given":"J. C.","non-dropping-particle":"","parse-names":false,"suffix":""},{"dropping-particle":"","family":"Montaño","given":"T.","non-dropping-particle":"","parse-names":false,"suffix":""},{"dropping-particle":"","family":"Maldonado-Correa","given":"J.","non-dropping-particle":"","parse-names":false,"suffix":""},{"dropping-particle":"","family":"Ordóñez","given":"A.","non-dropping-particle":"","parse-names":false,"suffix":""},{"dropping-particle":"","family":"Pesantez","given":"M.","non-dropping-particle":"","parse-names":false,"suffix":""},{"dropping-particle":"","family":"Stavarache","given":"Gheorghe","non-dropping-particle":"","parse-names":false,"suffix":""},{"dropping-particle":"","family":"Ciortan","given":"Sorin","non-dropping-particle":"","parse-names":false,"suffix":""},{"dropping-particle":"","family":"Rusu","given":"Eugen","non-dropping-particle":"","parse-names":false,"suffix":""},{"dropping-particle":"","family":"Diaconita","given":"Alexandra","non-dropping-particle":"","parse-names":false,"suffix":""},{"dropping-particle":"","family":"Andrei","given":"Gabriel","non-dropping-particle":"","parse-names":false,"suffix":""},{"dropping-particle":"","family":"Rusu","given":"Liliana","non-dropping-particle":"","parse-names":false,"suffix":""},{"dropping-particle":"","family":"Zhang","given":"Junyuan","non-dropping-particle":"","parse-names":false,"suffix":""},{"dropping-particle":"","family":"Lu","given":"Junxiao","non-dropping-particle":"","parse-names":false,"suffix":""},{"dropping-particle":"","family":"Pan","given":"Jiawei","non-dropping-particle":"","parse-names":false,"suffix":""},{"dropping-particle":"","family":"Tan","given":"Yongshi","non-dropping-particle":"","parse-names":false,"suffix":""},{"dropping-particle":"","family":"Cheng","given":"Xi","non-dropping-particle":"","parse-names":false,"suffix":""},{"dropping-particle":"","family":"Li","given":"Yao","non-dropping-particle":"","parse-names":false,"suffix":""},{"dropping-particle":"","family":"Attig-Bahar","given":"Faten","non-dropping-particle":"","parse-names":false,"suffix":""},{"dropping-particle":"","family":"Ritschel","given":"Uwe","non-dropping-particle":"","parse-names":false,"suffix":""},{"dropping-particle":"","family":"Akari","given":"Peter","non-dropping-particle":"","parse-names":false,"suffix":""},{"dropping-particle":"","family":"Abdeljelil","given":"Ibrahim","non-dropping-particle":"","parse-names":false,"suffix":""},{"dropping-particle":"","family":"Amairi","given":"Mahbouba","non-dropping-particle":"","parse-names":false,"suffix":""},{"dropping-particle":"","family":"Wei","given":"Xiangyu","non-dropping-particle":"","parse-names":false,"suffix":""},{"dropping-particle":"","family":"Xiang","given":"Yue","non-dropping-particle":"","parse-names":false,"suffix":""},{"dropping-particle":"","family":"Li","given":"Junlong","non-dropping-particle":"","parse-names":false,"suffix":""},{"dropping-particle":"","family":"Liu","given":"Junyong","non-dropping-particle":"","parse-names":false,"suffix":""},{"dropping-particle":"","family":"Chen","given":"Hao","non-dropping-particle":"","parse-names":false,"suffix":""},{"dropping-particle":"","family":"Birkelund","given":"Yngve","non-dropping-particle":"","parse-names":false,"suffix":""},{"dropping-particle":"","family":"Yuan","given":"Fuqing","non-dropping-particle":"","parse-names":false,"suffix":""},{"dropping-particle":"","family":"Hutchinson","given":"Andrew","non-dropping-particle":"","parse-names":false,"suffix":""},{"dropping-particle":"","family":"Gladwin","given":"Daniel T.","non-dropping-particle":"","parse-names":false,"suffix":""},{"dropping-particle":"","family":"Abada","given":"Zhour","non-dropping-particle":"","parse-names":false,"suffix":""},{"dropping-particle":"","family":"Bouharkat","given":"Malek","non-dropping-particle":"","parse-names":false,"suffix":""},{"dropping-particle":"","family":"Lyners","given":"Danielle","non-dropping-particle":"","parse-names":false,"suffix":""},{"dropping-particle":"","family":"Vermeulen","given":"Hendrik","non-dropping-particle":"","parse-names":false,"suffix":""},{"dropping-particle":"","family":"Groch","given":"Matthew","non-dropping-particle":"","parse-names":false,"suffix":""},{"dropping-particle":"","family":"Pellegrini","given":"Marco","non-dropping-particle":"","parse-names":false,"suffix":""},{"dropping-particle":"","family":"Guzzini","given":"Alessandro","non-dropping-particle":"","parse-names":false,"suffix":""},{"dropping-particle":"","family":"Saccani","given":"Cesare","non-dropping-particle":"","parse-names":false,"suffix":""},{"dropping-particle":"","family":"Yu","given":"Qingguang","non-dropping-particle":"","parse-names":false,"suffix":""},{"dropping-particle":"","family":"Liu","given":"Yuming","non-dropping-particle":"","parse-names":false,"suffix":""},{"dropping-particle":"","family":"Jiang","given":"Zhicheng","non-dropping-particle":"","parse-names":false,"suffix":""},{"dropping-particle":"","family":"Li","given":"Le","non-dropping-particle":"","parse-names":false,"suffix":""},{"dropping-particle":"","family":"Zhang","given":"Yingke","non-dropping-particle":"","parse-names":false,"suffix":""},{"dropping-particle":"","family":"Guo","given":"Min","non-dropping-particle":"","parse-names":false,"suffix":""},{"dropping-particle":"","family":"Gylling","given":"Niels","non-dropping-particle":"","parse-names":false,"suffix":""},{"dropping-particle":"","family":"Serban","given":"Alexandru","non-dropping-particle":"","parse-names":false,"suffix":""},{"dropping-particle":"","family":"Paraschiv","given":"Lizica Simona","non-dropping-particle":"","parse-names":false,"suffix":""},{"dropping-particle":"","family":"Paraschiv","given":"Spiru","non-dropping-particle":"","parse-names":false,"suffix":""},{"dropping-particle":"","family":"Sumair","given":"Muhammad","non-dropping-particle":"","parse-names":false,"suffix":""},{"dropping-particle":"","family":"Aized","given":"Taueef","non-dropping-particle":"","parse-names":false,"suffix":""},{"dropping-particle":"","family":"Gardezi","given":"Syed Asad Raza","non-dropping-particle":"","parse-names":false,"suffix":""},{"dropping-particle":"","family":"Rehman","given":"Syed Ubaid ur Muhammad Sohail","non-dropping-particle":"","parse-names":false,"suffix":""},{"dropping-particle":"","family":"Rehman","given":"Syed Ubaid ur Muhammad Sohail","non-dropping-particle":"","parse-names":false,"suffix":""},{"dropping-particle":"","family":"Adnan","given":"Muhammad","non-dropping-particle":"","parse-names":false,"suffix":""},{"dropping-particle":"","family":"Ahmad","given":"Jameel","non-dropping-particle":"","parse-names":false,"suffix":""},{"dropping-particle":"","family":"Ali","given":"Syed Farooq","non-dropping-particle":"","parse-names":false,"suffix":""},{"dropping-particle":"","family":"Imran","given":"Muhammad","non-dropping-particle":"","parse-names":false,"suffix":""},{"dropping-particle":"","family":"Khan","given":"T","non-dropping-particle":"","parse-names":false,"suffix":""},{"dropping-particle":"","family":"Taweekun","given":"J","non-dropping-particle":"","parse-names":false,"suffix":""},{"dropping-particle":"","family":"Theppaya","given":"T","non-dropping-particle":"","parse-names":false,"suffix":""},{"dropping-particle":"","family":"Meij","given":"A.","non-dropping-particle":"De","parse-names":false,"suffix":""},{"dropping-particle":"","family":"Vinuesa","given":"J. F.","non-dropping-particle":"","parse-names":false,"suffix":""},{"dropping-particle":"","family":"Maupas","given":"V.","non-dropping-particle":"","parse-names":false,"suffix":""},{"dropping-particle":"","family":"Waddle","given":"J.","non-dropping-particle":"","parse-names":false,"suffix":""},{"dropping-particle":"","family":"Price","given":"I.","non-dropping-particle":"","parse-names":false,"suffix":""},{"dropping-particle":"","family":"Yaseen","given":"B.","non-dropping-particle":"","parse-names":false,"suffix":""},{"dropping-particle":"","family":"Ismail","given":"A.","non-dropping-particle":"","parse-names":false,"suffix":""},{"dropping-particle":"","family":"Mathew","given":"Sajan Antony","non-dropping-particle":"","parse-names":false,"suffix":""},{"dropping-particle":"","family":"Mariappan","given":"V. E.Nethaji","non-dropping-particle":"","parse-names":false,"suffix":""},{"dropping-particle":"","family":"Paraschiv","given":"Spiru","non-dropping-particle":"","parse-names":false,"suffix":""},{"dropping-particle":"","family":"Paraschiv","given":"Lizica Simona","non-dropping-particle":"","parse-names":false,"suffix":""},{"dropping-particle":"","family":"Serban","given":"Alexandru","non-dropping-particle":"","parse-names":false,"suffix":""},{"dropping-particle":"","family":"Cristea","given":"Anisoara Gabriela","non-dropping-particle":"","parse-names":false,"suffix":""},{"dropping-particle":"","family":"Zhang","given":"Kai","non-dropping-particle":"","parse-names":false,"suffix":""},{"dropping-particle":"","family":"Yu","given":"Xiaodong","non-dropping-particle":"","parse-names":false,"suffix":""},{"dropping-particle":"","family":"Liu","given":"Shulin","non-dropping-particle":"","parse-names":false,"suffix":""},{"dropping-particle":"","family":"Dong","given":"Xia","non-dropping-particle":"","parse-names":false,"suffix":""},{"dropping-particle":"","family":"Li","given":"Daoqing","non-dropping-particle":"","parse-names":false,"suffix":""},{"dropping-particle":"","family":"Zang","given":"Hongzhi","non-dropping-particle":"","parse-names":false,"suffix":""},{"dropping-particle":"","family":"Xu","given":"Rui","non-dropping-particle":"","parse-names":false,"suffix":""},{"dropping-particle":"","family":"Yu","given":"Xiaodong","non-dropping-particle":"","parse-names":false,"suffix":""},{"dropping-particle":"","family":"Liu","given":"Shulin","non-dropping-particle":"","parse-names":false,"suffix":""},{"dropping-particle":"","family":"Dong","given":"Xia","non-dropping-particle":"","parse-names":false,"suffix":""},{"dropping-particle":"","family":"Zang","given":"Hongzhi","non-dropping-particle":"","parse-names":false,"suffix":""},{"dropping-particle":"","family":"Xu","given":"Rui","non-dropping-particle":"","parse-names":false,"suffix":""},{"dropping-particle":"","family":"Taghinezhad","given":"Javad","non-dropping-particle":"","parse-names":false,"suffix":""},{"dropping-particle":"","family":"Sheidaei","given":"Samira","non-dropping-particle":"","parse-names":false,"suffix":""},{"dropping-particle":"","family":"Hulio","given":"Zahid Hussain","non-dropping-particle":"","parse-names":false,"suffix":""},{"dropping-particle":"","family":"Topaloǧlu","given":"Fatih","non-dropping-particle":"","parse-names":false,"suffix":""},{"dropping-particle":"","family":"Pehlivan","given":"Hüseyin","non-dropping-particle":"","parse-names":false,"suffix":""},{"dropping-particle":"","family":"Enevoldsen","given":"Peter","non-dropping-particle":"","parse-names":false,"suffix":""},{"dropping-particle":"","family":"Permien","given":"Finn-Hendrik","non-dropping-particle":"","parse-names":false,"suffix":""}],"container-title":"Energy Reports","id":"ITEM-1","issue":"April","issued":{"date-parts":[["2021"]]},"page":"1-17","publisher":"Elsevier Ltd","title":"Assessment of Wind Characteristics and Wind Power Potential of Gharo, Pakistan","type":"article-journal","volume":"7"},"uris":["http://www.mendeley.com/documents/?uuid=d25b3742-c261-4aec-97fe-d7553a33bb95"]}],"mendeley":{"formattedCitation":"&lt;sup&gt;29&lt;/sup&gt;","plainTextFormattedCitation":"29","previouslyFormattedCitation":"[29]"},"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29</w:t>
      </w:r>
      <w:r w:rsidRPr="00B047A8">
        <w:rPr>
          <w:rStyle w:val="Emphasis"/>
          <w:i w:val="0"/>
          <w:iCs w:val="0"/>
          <w:sz w:val="20"/>
        </w:rPr>
        <w:fldChar w:fldCharType="end"/>
      </w:r>
      <w:r w:rsidRPr="00B047A8">
        <w:rPr>
          <w:rStyle w:val="Emphasis"/>
          <w:i w:val="0"/>
          <w:iCs w:val="0"/>
          <w:sz w:val="20"/>
        </w:rPr>
        <w:fldChar w:fldCharType="begin" w:fldLock="1"/>
      </w:r>
      <w:r w:rsidR="00F66D0F">
        <w:rPr>
          <w:rStyle w:val="Emphasis"/>
          <w:i w:val="0"/>
          <w:sz w:val="20"/>
        </w:rPr>
        <w:instrText>ADDIN CSL_CITATION {"citationItems":[{"id":"ITEM-1","itemData":{"DOI":"10.1049/iet-gtd.2020.0155","ISSN":"17518687","abstract":"Integration of low carbon technologies poses a technical challenge on distribution transformers due to the dynamic loading and potentially frequent overloading scenarios. Transformer dynamic thermal rating is hence required, which is the most economical approach to tackle this challenge and ensure a safe operation. To reach the aim, it is important to enhance the accuracy of the dynamic thermal model, where the top-oil temperature is a key thermal parameter. In this study, a wide range of constant load temperature-rise tests were carried out on an 11/0.433 kV distribution transformer to study the dynamic thermal behaviour of the top-oil temperature. A model based on the IEC 60076-7 thermal model but with an improved oil time constant calibration was deduced for top-oil temperature modelling. The oil time constant calibration was inspired by IEEE C57.91 and verified by eight temperature-rise tests with load factors ranging from 0.7 to 1.4 pu. In addition, the improved top-oil temperature modelling was further verified in experiments under multiple load profiles.","author":[{"dropping-particle":"","family":"Wang","given":"Lujia","non-dropping-particle":"","parse-names":false,"suffix":""},{"dropping-particle":"","family":"Zhang","given":"Xiang","non-dropping-particle":"","parse-names":false,"suffix":""},{"dropping-particle":"","family":"Villarroel","given":"Rafael","non-dropping-particle":"","parse-names":false,"suffix":""},{"dropping-particle":"","family":"Liu","given":"Qiang","non-dropping-particle":"","parse-names":false,"suffix":""},{"dropping-particle":"","family":"Wang","given":"Zhongdong","non-dropping-particle":"","parse-names":false,"suffix":""},{"dropping-particle":"","family":"Zhou","given":"Lijun","non-dropping-particle":"","parse-names":false,"suffix":""}],"container-title":"IET Generation, Transmission and Distribution","id":"ITEM-1","issue":"20","issued":{"date-parts":[["2020"]]},"title":"Top-oil temperature modelling by calibrating oil time constant for an oil natural air natural distribution transformer","type":"article-journal","volume":"14"},"uris":["http://www.mendeley.com/documents/?uuid=cb7ab8c9-d1e5-3918-ae68-6bd426bb4196"]},{"id":"ITEM-2","itemData":{"DOI":"10.3390/en16093829","ISSN":"19961073","abstract":"The degradation of the insulation system in liquid-filled power transformers is a serious concern for electric power utilities. The insulation system’s ageing is accelerated by moisture, acids, oxidation products, and other decay particles (soluble and colloidal). The presence of these ageing by-products is detrimental to the insulation system and may further lead to premature ageing and serious consequences. The ageing mechanisms of oil-paper insulation are complex, highly interrelated, and strongly temperature-dependent. The operating temperature of the transformer insulating system has a direct relationship with the loading profile. The major aspect that is witnessed with the fluctuating temperatures is moisture migration and subsequent bubble evolution. In other words, gas bubbles evolve from the release of water vapor from the cellulosic insulation wrapped around the transformer windings. The models presented in the existing standards, such as the IEC Std. 60076-7:2018 and the IEEE Std. C57.91:2011, are mainly based on the insulation temperature, which acts as a key parameter. Several studies have investigated the moisture dynamics and bubbling phenomenon as a function of the water content in the paper and the state of the insulation system. Some studies have reported different prototypes for the estimation of the bubble inception temperatures under selected conditions. However, there are various attributes of the insulation system that are to be considered, especially when expanding the models for the alternative liquids. This paper reviews various evaluation models reported in the literature that help understand the bubbling phenomenon in transformer insulation. The discussions also keep us in the loop on the estimation of bubbling behavior in alternative dielectric liquids and key attributable factors for use in transformers. In addition, useful tutorial elements focusing on the bubbling issue in transformers as well as some critical analyses are addressed for future research on this topic.","author":[{"dropping-particle":"","family":"Gmati","given":"Ghada","non-dropping-particle":"","parse-names":false,"suffix":""},{"dropping-particle":"","family":"Rao","given":"Ungarala Mohan","non-dropping-particle":"","parse-names":false,"suffix":""},{"dropping-particle":"","family":"Fofana","given":"Issouf","non-dropping-particle":"","parse-names":false,"suffix":""},{"dropping-particle":"","family":"Picher","given":"Patrick","non-dropping-particle":"","parse-names":false,"suffix":""},{"dropping-particle":"","family":"Arroyo-Fernàndez","given":"Oscar","non-dropping-particle":"","parse-names":false,"suffix":""},{"dropping-particle":"","family":"Rebaine","given":"Djamal","non-dropping-particle":"","parse-names":false,"suffix":""}],"container-title":"Energies","id":"ITEM-2","issue":"9","issued":{"date-parts":[["2023"]]},"title":"Bubbling Phenomena in Liquid-Filled Transformers: Background and Assessment","type":"article","volume":"16"},"uris":["http://www.mendeley.com/documents/?uuid=4ef6d70a-7bc9-3123-afc4-eb27576f52b7"]}],"mendeley":{"formattedCitation":"&lt;sup&gt;30,31&lt;/sup&gt;","plainTextFormattedCitation":"30,31","previouslyFormattedCitation":"[30], [31]"},"properties":{"noteIndex":0},"schema":"https://github.com/citation-style-language/schema/raw/master/csl-citation.json"}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30,31</w:t>
      </w:r>
      <w:r w:rsidRPr="00B047A8">
        <w:rPr>
          <w:rStyle w:val="Emphasis"/>
          <w:i w:val="0"/>
          <w:iCs w:val="0"/>
          <w:sz w:val="20"/>
        </w:rPr>
        <w:fldChar w:fldCharType="end"/>
      </w:r>
      <w:r w:rsidRPr="00B047A8">
        <w:rPr>
          <w:rStyle w:val="Emphasis"/>
          <w:i w:val="0"/>
          <w:sz w:val="20"/>
        </w:rPr>
        <w:t xml:space="preserve"> is given in the Equation (4): </w:t>
      </w:r>
    </w:p>
    <w:p w14:paraId="1D1B43BC" w14:textId="6C28E206" w:rsidR="009E6122" w:rsidRPr="009E6122" w:rsidRDefault="009E6122" w:rsidP="008C48FB">
      <w:pPr>
        <w:pStyle w:val="Equation"/>
        <w:spacing w:before="120"/>
        <w:ind w:left="56"/>
        <w:rPr>
          <w:rStyle w:val="Emphasis"/>
          <w:i w:val="0"/>
          <w:iCs w:val="0"/>
        </w:rPr>
      </w:pPr>
      <w:r>
        <w:tab/>
      </w:r>
      <m:oMath>
        <m:sSub>
          <m:sSubPr>
            <m:ctrlPr>
              <w:rPr>
                <w:rFonts w:ascii="Cambria Math" w:hAnsi="Cambria Math"/>
                <w:bCs/>
                <w:lang w:eastAsia="fr-FR"/>
              </w:rPr>
            </m:ctrlPr>
          </m:sSubPr>
          <m:e>
            <m:r>
              <m:rPr>
                <m:sty m:val="p"/>
              </m:rPr>
              <w:rPr>
                <w:rFonts w:ascii="Cambria Math" w:hAnsi="Cambria Math"/>
                <w:lang w:eastAsia="fr-FR"/>
              </w:rPr>
              <m:t>K</m:t>
            </m:r>
          </m:e>
          <m:sub>
            <m:r>
              <m:rPr>
                <m:sty m:val="p"/>
              </m:rPr>
              <w:rPr>
                <w:rFonts w:ascii="Cambria Math" w:hAnsi="Cambria Math"/>
                <w:lang w:eastAsia="fr-FR"/>
              </w:rPr>
              <m:t>T</m:t>
            </m:r>
          </m:sub>
        </m:sSub>
        <m:r>
          <m:rPr>
            <m:sty m:val="p"/>
          </m:rPr>
          <w:rPr>
            <w:rFonts w:ascii="Cambria Math" w:hAnsi="Cambria Math"/>
            <w:lang w:eastAsia="fr-FR"/>
          </w:rPr>
          <m:t>=1-0,005×(</m:t>
        </m:r>
        <m:sSub>
          <m:sSubPr>
            <m:ctrlPr>
              <w:rPr>
                <w:rFonts w:ascii="Cambria Math" w:hAnsi="Cambria Math"/>
                <w:bCs/>
                <w:lang w:eastAsia="fr-FR"/>
              </w:rPr>
            </m:ctrlPr>
          </m:sSubPr>
          <m:e>
            <m:r>
              <m:rPr>
                <m:sty m:val="p"/>
              </m:rPr>
              <w:rPr>
                <w:rFonts w:ascii="Cambria Math" w:hAnsi="Cambria Math"/>
                <w:lang w:eastAsia="fr-FR"/>
              </w:rPr>
              <m:t>T</m:t>
            </m:r>
          </m:e>
          <m:sub>
            <m:r>
              <m:rPr>
                <m:sty m:val="p"/>
              </m:rPr>
              <w:rPr>
                <w:rFonts w:ascii="Cambria Math" w:hAnsi="Cambria Math"/>
                <w:lang w:eastAsia="fr-FR"/>
              </w:rPr>
              <m:t>avg</m:t>
            </m:r>
          </m:sub>
        </m:sSub>
        <m:r>
          <m:rPr>
            <m:sty m:val="p"/>
          </m:rPr>
          <w:rPr>
            <w:rFonts w:ascii="Cambria Math" w:hAnsi="Cambria Math"/>
            <w:lang w:eastAsia="fr-FR"/>
          </w:rPr>
          <m:t>-25)</m:t>
        </m:r>
      </m:oMath>
      <w:r w:rsidRPr="009E6122">
        <w:rPr>
          <w:lang w:eastAsia="fr-FR"/>
        </w:rPr>
        <w:t xml:space="preserve">  </w:t>
      </w:r>
      <w:r w:rsidRPr="009E6122">
        <w:tab/>
        <w:t>(4)</w:t>
      </w:r>
    </w:p>
    <w:bookmarkEnd w:id="2"/>
    <w:p w14:paraId="260F7E49" w14:textId="77777777" w:rsidR="00CD26BA" w:rsidRPr="00B047A8" w:rsidRDefault="00CD26BA" w:rsidP="00CD26BA">
      <w:pPr>
        <w:pStyle w:val="Heading2"/>
      </w:pPr>
      <w:r w:rsidRPr="00B047A8">
        <w:lastRenderedPageBreak/>
        <w:t xml:space="preserve">A Hybrid Metaheuristic-Gradient Framework for Complex Optimization </w:t>
      </w:r>
    </w:p>
    <w:p w14:paraId="32408E46" w14:textId="009D3C28" w:rsidR="00EC0ACC" w:rsidRPr="00B047A8" w:rsidRDefault="00CD26BA" w:rsidP="005E0E88">
      <w:pPr>
        <w:ind w:firstLine="284"/>
        <w:jc w:val="both"/>
        <w:rPr>
          <w:sz w:val="20"/>
        </w:rPr>
      </w:pPr>
      <w:r w:rsidRPr="00B047A8">
        <w:rPr>
          <w:sz w:val="20"/>
        </w:rPr>
        <w:t>Constrained nonlinear optimization problems, common in engineering, are notoriously difficult due to multiple local optima and complex constraints. Traditional solvers often yield suboptimal results. To overcome this, we propose a hybrid framework that synergistically combines the global exploration power of the BBO metaheuristic</w:t>
      </w:r>
      <w:r w:rsidRPr="00B047A8">
        <w:rPr>
          <w:sz w:val="20"/>
        </w:rPr>
        <w:fldChar w:fldCharType="begin" w:fldLock="1"/>
      </w:r>
      <w:r w:rsidR="00F66D0F">
        <w:rPr>
          <w:sz w:val="20"/>
        </w:rPr>
        <w:instrText>ADDIN CSL_CITATION {"citationItems":[{"id":"ITEM-1","itemData":{"DOI":"10.1109/TSG.2021.3050931","ISSN":"19493061","abstract":"This article presents a new mixed-integer second-order cone programming model for solving the restoration problem in active distribution systems considering the optimal control of distributed generators (DGs), voltage regulators (VRs), on-load tap changers (OLTCs), and capacitor banks (CBs). In contrast to most of the works found in the literature, temporary loops may be formed in the network during the restorative operation state. This operating condition allows restoring the service to more loads. In this way, the objective function of the problem minimizes (i) the total load not supplied, (ii) the number of switching operations, (iii) the changes in the statuses of the voltage control devices and in the dispatch of the DGs, and (iv) the number of basic loops formed in the system. Several tests are carried out using a 53-node system for single-fault and multiple-fault scenarios. The results obtained with the proposed approach outperform the solutions achieved when only radial configurations are allowed in the problem. Moreover, it is also verified that the voltage control allows for more efficient restoration schemes.","author":[{"dropping-particle":"","family":"Vargas","given":"Renzo","non-dropping-particle":"","parse-names":false,"suffix":""},{"dropping-particle":"","family":"MacEdo","given":"Leonardo H.","non-dropping-particle":"","parse-names":false,"suffix":""},{"dropping-particle":"","family":"Home-Ortiz","given":"Juan M.","non-dropping-particle":"","parse-names":false,"suffix":""},{"dropping-particle":"","family":"Mantovani","given":"Jose Roberto Sanches","non-dropping-particle":"","parse-names":false,"suffix":""},{"dropping-particle":"","family":"Romero","given":"Ruben","non-dropping-particle":"","parse-names":false,"suffix":""}],"container-title":"IEEE Transactions on Smart Grid","id":"ITEM-1","issue":"3","issued":{"date-parts":[["2021"]]},"title":"Optimal Restoration of Active Distribution Systems with Voltage Control and Closed-Loop Operation","type":"article-journal","volume":"12"},"uris":["http://www.mendeley.com/documents/?uuid=8fbc6f70-be57-3880-a207-8fe0949f963f"]},{"id":"ITEM-2","itemData":{"DOI":"10.1109/CIEEC50170.2021.9511039","abstract":"This paper presents a novel seamless closed-loop load transfer device (SCLTD) of low voltage distribution network, which is capable of realizing three seamless operations: 1) loop closing, 2) load transfer, and 3) disconnection from the grid. In the proposed circuit configuration, an injected voltage source is connected to two low voltage bus bars. Therefore, closed-loop current can be controlled flexibly by regulating this voltage source. The system can be applied to adjacent substations to carry out closed-loop load transfer operations. In the proposed configuration, the voltage source is paralleled with the contact switch and thus can be bypassed to realize the disconnection of the SCLTD from the grid. Furthermore, this paper presents an advanced control strategy for seamless transfer among three operating modes, which eliminates the voltage oscillation and current impact due to the switching of operating modes. The proposed configuration and the designed control strategy are validated in a simple two-bus system via MATLAB/Simulink.","author":[{"dropping-particle":"","family":"Li","given":"Junlin","non-dropping-particle":"","parse-names":false,"suffix":""},{"dropping-particle":"","family":"Wang","given":"Xiaocong","non-dropping-particle":"","parse-names":false,"suffix":""},{"dropping-particle":"","family":"Xie","given":"Cong","non-dropping-particle":"","parse-names":false,"suffix":""},{"dropping-particle":"","family":"Han","given":"Jie","non-dropping-particle":"","parse-names":false,"suffix":""},{"dropping-particle":"","family":"Mao","given":"Chengxiong","non-dropping-particle":"","parse-names":false,"suffix":""},{"dropping-particle":"","family":"Liu","given":"Xiao","non-dropping-particle":"","parse-names":false,"suffix":""},{"dropping-particle":"","family":"Wang","given":"Dan","non-dropping-particle":"","parse-names":false,"suffix":""},{"dropping-particle":"","family":"Zhang","given":"Yanyu","non-dropping-particle":"","parse-names":false,"suffix":""},{"dropping-particle":"","family":"Guan","given":"Zhitao","non-dropping-particle":"","parse-names":false,"suffix":""},{"dropping-particle":"","family":"Zhang","given":"Xu","non-dropping-particle":"","parse-names":false,"suffix":""}],"container-title":"Proceedings of 2021 IEEE 4th International Electrical and Energy Conference, CIEEC 2021","id":"ITEM-2","issued":{"date-parts":[["2021"]]},"title":"A Novel Method for Seamless Closed-Loop Load Transfer of Low Voltage Distribution Network","type":"paper-conference"},"uris":["http://www.mendeley.com/documents/?uuid=2eae6221-519b-35d0-b584-259b001e2094"]},{"id":"ITEM-3","itemData":{"DOI":"10.1109/ACCESS.2024.3355131","ISSN":"21693536","abstract":"Recently, ordinary residential users' tolerance for power outages has dropped much by the flourishing economy. To further improve the power supply reliability, a scheme of seamless closed-loop load transfer was proposed based on series compensation technology. For its field application, two points should be considered: 1) For the efficient utilization, the device is designed with high mobility. But its mobility is limited due to its power requirements and the usage of magnetic components. 2) The mobility leads to variable nodes interconnected each time, which puts forward high requirements for the control strategy. The following are proposed: 1) Proposing a novel control strategy based on online impedance estimation method to ensure the effectiveness of the mobile prototype in variable scenarios. 2) Employing modular design and series-parallel mode to reduce the individual cabinet's volume, while utilizing the short-term overload capacity of magnetic components to augment the power density. A mobile prototype is developed, and test results prove the effectiveness of the control strategy and the engineering feasibility of the prototype.","author":[{"dropping-particle":"","family":"Guan","given":"Zhitao","non-dropping-particle":"","parse-names":false,"suffix":""},{"dropping-particle":"","family":"Tang","given":"Pengfei","non-dropping-particle":"","parse-names":false,"suffix":""},{"dropping-particle":"","family":"Mao","given":"Chengxiong","non-dropping-particle":"","parse-names":false,"suffix":""},{"dropping-particle":"","family":"Wang","given":"Dan","non-dropping-particle":"","parse-names":false,"suffix":""},{"dropping-particle":"","family":"Wang","given":"Lexiang","non-dropping-particle":"","parse-names":false,"suffix":""},{"dropping-particle":"","family":"Liu","given":"Wenge","non-dropping-particle":"","parse-names":false,"suffix":""},{"dropping-particle":"","family":"Du","given":"Miaomiao","non-dropping-particle":"","parse-names":false,"suffix":""},{"dropping-particle":"","family":"Li","given":"Junlin","non-dropping-particle":"","parse-names":false,"suffix":""},{"dropping-particle":"","family":"Wang","given":"Xiaocong","non-dropping-particle":"","parse-names":false,"suffix":""}],"container-title":"IEEE Access","id":"ITEM-3","issued":{"date-parts":[["2024"]]},"title":"Control Strategy and Implementation of Seamless Closed-Loop Load Transfer Mobile Prototype for 400 V Distribution Network","type":"article-journal","volume":"12"},"uris":["http://www.mendeley.com/documents/?uuid=b33a5c4d-7bfc-3f2d-ba92-89f4892bf953"]},{"id":"ITEM-4","itemData":{"DOI":"10.1016/j.egyr.2023.05.049","ISSN":"23524847","abstract":"Despite the global push for net-zero emission and the power system's decarbonization, there are still a lot of developing countries (especially in sub-Saharan Africa) with electricity crises or inadequate electrification. Coincidentally, these countries have enormous renewable energy potential. Therefore, this paper presents a brief summary of the electricity incapacitation and renewable energy potential in many sub-Saharan African countries. This study is novel as it presents a techno-analysis of 100% renewable electrification in Chad which is one of the countries with the least electricity access globally. Also, the models developed are simulated using the EnergyPLAN tool with targeted implementation years set as 2030, 2040, and 2050 based on different global decarbonization targets. From the result of this study, the use of biomass power plants is the only scenario that does not have critical excess electricity production (CEEP) in the power system. Also, these scenarios require the least power capacities (270 MW for 2030, 650 MW for 2040, and 1600 MW for 2050) out of all the scenarios in this study. Solar PV and wind power can be categorized as the most probable options as they are matured technologies and in application in many countries, however, they will require pumped hydro storage integration.","author":[{"dropping-particle":"","family":"Bamisile","given":"Olusola","non-dropping-particle":"","parse-names":false,"suffix":""},{"dropping-particle":"","family":"Dongsheng","given":"Cai","non-dropping-particle":"","parse-names":false,"suffix":""},{"dropping-particle":"","family":"Li","given":"Jian","non-dropping-particle":"","parse-names":false,"suffix":""},{"dropping-particle":"","family":"Adun","given":"Humphrey","non-dropping-particle":"","parse-names":false,"suffix":""},{"dropping-particle":"","family":"Olukoya","given":"Raheemat","non-dropping-particle":"","parse-names":false,"suffix":""},{"dropping-particle":"","family":"Bamisile","given":"Oluwatoyosi","non-dropping-particle":"","parse-names":false,"suffix":""},{"dropping-particle":"","family":"Huang","given":"Qi","non-dropping-particle":"","parse-names":false,"suffix":""}],"container-title":"Energy Reports","id":"ITEM-4","issued":{"date-parts":[["2023"]]},"title":"Renewable energy and electricity incapacitation in sub-Sahara Africa: Analysis of a 100% renewable electrification in Chad","type":"article-journal","volume":"9"},"uris":["http://www.mendeley.com/documents/?uuid=99edb62c-73a3-3639-b54d-70e0e7ed6f2c"]}],"mendeley":{"formattedCitation":"&lt;sup&gt;14,15,32,33&lt;/sup&gt;","plainTextFormattedCitation":"14,15,32,33","previouslyFormattedCitation":"[14], [15], [32], [33]"},"properties":{"noteIndex":0},"schema":"https://github.com/citation-style-language/schema/raw/master/csl-citation.json"}</w:instrText>
      </w:r>
      <w:r w:rsidRPr="00B047A8">
        <w:rPr>
          <w:sz w:val="20"/>
        </w:rPr>
        <w:fldChar w:fldCharType="separate"/>
      </w:r>
      <w:r w:rsidR="00F66D0F" w:rsidRPr="00F66D0F">
        <w:rPr>
          <w:noProof/>
          <w:sz w:val="20"/>
          <w:vertAlign w:val="superscript"/>
        </w:rPr>
        <w:t>14,15,32,33</w:t>
      </w:r>
      <w:r w:rsidRPr="00B047A8">
        <w:rPr>
          <w:sz w:val="20"/>
        </w:rPr>
        <w:fldChar w:fldCharType="end"/>
      </w:r>
      <w:r w:rsidRPr="00B047A8">
        <w:rPr>
          <w:sz w:val="20"/>
        </w:rPr>
        <w:t xml:space="preserve"> with the local precision of MATLAB</w:t>
      </w:r>
      <w:r w:rsidR="00215A20">
        <w:rPr>
          <w:sz w:val="20"/>
        </w:rPr>
        <w:t>’</w:t>
      </w:r>
      <w:r w:rsidRPr="00B047A8">
        <w:rPr>
          <w:sz w:val="20"/>
        </w:rPr>
        <w:t xml:space="preserve">s </w:t>
      </w:r>
      <w:proofErr w:type="spellStart"/>
      <w:r w:rsidRPr="00B047A8">
        <w:rPr>
          <w:sz w:val="20"/>
        </w:rPr>
        <w:t>F</w:t>
      </w:r>
      <w:r w:rsidRPr="00B047A8">
        <w:rPr>
          <w:sz w:val="20"/>
          <w:vertAlign w:val="subscript"/>
        </w:rPr>
        <w:t>mincon</w:t>
      </w:r>
      <w:proofErr w:type="spellEnd"/>
      <w:r w:rsidRPr="00B047A8">
        <w:rPr>
          <w:sz w:val="20"/>
        </w:rPr>
        <w:t xml:space="preserve"> solver</w:t>
      </w:r>
      <w:r w:rsidRPr="00B047A8">
        <w:rPr>
          <w:sz w:val="20"/>
          <w:lang w:eastAsia="fr-FR"/>
        </w:rPr>
        <w:fldChar w:fldCharType="begin" w:fldLock="1"/>
      </w:r>
      <w:r w:rsidR="00F66D0F">
        <w:rPr>
          <w:sz w:val="20"/>
          <w:lang w:eastAsia="fr-FR"/>
        </w:rPr>
        <w:instrText>ADDIN CSL_CITATION {"citationItems":[{"id":"ITEM-1","itemData":{"DOI":"10.3390/coatings12101519","ISSN":"20796412","abstract":"Cotton is one of the most important fibers used in the textile industry. The dyeing of cotton with synthetic anionic dyes consumes large amounts of salt and alkali, which makes it a challenge for the environment. Furthermore, the relatively high percentage of synthetic dyes remaining in the dyebath is a potential threat for the environment and human health. The application of plant-derived natural dyes has recently been considered as a promising approach to overcome this problem. Optimization of the dyeing process and prediction of the values of the color coordinates of dyed textiles have always been among the most pronounced challenges in the textile industry, especially when a mixture of dyes or mordants is used. In this study, alum was used for mordanting of cotton and two natural dyes—namely, weld and madder—were used for the dyeing. The samples were dyed with various combinations of mordant, weld, and madder for the weight of the fabric and statistical analysis revealed that all three mentioned parameters were effective in determining the color coordinates. To determine the best model to predict the color coordinates of cotton fabrics, the regression method and ANN models weighted with back-propagation (BP) and optimization algorithms, such as the genetic algorithm, particle swarm optimization, gray wolf optimization, FMINCON (a built-in function of MATLAB software) and a combination of particle swarm optimization and FMINCON (PSO-FMIN), were employed and compared based on the mean squared error (MSE). The obtained results revealed that using the PSO-FMIN algorithm for ANN weighting led to higher accuracy in the prediction of color coordinates. The MSEs obtained for ANN outputs and the corresponding actual values reached 2.02, 1.68 and 1.39 for the l*, a* and b* coordinates, which were 44%, 23% and 26% better than the result obtained with BP, respectively.","author":[{"dropping-particle":"","family":"Vadood","given":"Morteza","non-dropping-particle":"","parse-names":false,"suffix":""},{"dropping-particle":"","family":"Haji","given":"Aminoddin","non-dropping-particle":"","parse-names":false,"suffix":""}],"container-title":"Coatings","id":"ITEM-1","issue":"10","issued":{"date-parts":[["2022"]]},"title":"Application of ANN Weighted by Optimization Algorithms to Predict the Color Coordinates of Cellulosic Fabric in Dyeing with Binary Mix of Natural Dyes","type":"article-journal","volume":"12"},"uris":["http://www.mendeley.com/documents/?uuid=a34e249e-146b-3f03-825d-84adc023cad1"]},{"id":"ITEM-2","itemData":{"DOI":"10.1080/23270012.2023.2239818","ISSN":"23270039","abstract":"In this article, the three-echelon supply chain model is developed with a single supplier, a single vendor and a single buyer in a fuzzy environment. The three-stage inspection technique is considered at the end of the vendor's process to supply high-quality products to the buyer. Moreover, the demand rate of the product in the market is often assumed to be uncertain, and accordingly, in this paper, the uncertainty is handled using fuzzy numbers. The primary goal of this model is to minimize the overall inventory cost relative to the asymmetry hexagonal fuzzy demand. Additionally, a backorder strategy is incorporated to gain customer satisfaction and reduce lost sales. To validate this model, numerical examples are tested and constrained non-linear optimization (i.e. fmincon solver) is performed to derive the optimal solution for the decision variables. Finally, conclusions with potential future directions are provided.","author":[{"dropping-particle":"","family":"Karthick","given":"B.","non-dropping-particle":"","parse-names":false,"suffix":""}],"container-title":"Journal of Management Analytics","id":"ITEM-2","issue":"4","issued":{"date-parts":[["2023"]]},"title":"An inventory analysis in a multi-echelon supply chain system under asymmetry fuzzy demand: a fmincon optimization","type":"article-journal","volume":"10"},"uris":["http://www.mendeley.com/documents/?uuid=d1fa44e1-5f78-3f2d-9b45-17a1d8f12877"]}],"mendeley":{"formattedCitation":"&lt;sup&gt;34,35&lt;/sup&gt;","plainTextFormattedCitation":"34,35","previouslyFormattedCitation":"[34], [35]"},"properties":{"noteIndex":0},"schema":"https://github.com/citation-style-language/schema/raw/master/csl-citation.json"}</w:instrText>
      </w:r>
      <w:r w:rsidRPr="00B047A8">
        <w:rPr>
          <w:sz w:val="20"/>
          <w:lang w:eastAsia="fr-FR"/>
        </w:rPr>
        <w:fldChar w:fldCharType="separate"/>
      </w:r>
      <w:r w:rsidR="00F66D0F" w:rsidRPr="00F66D0F">
        <w:rPr>
          <w:noProof/>
          <w:sz w:val="20"/>
          <w:vertAlign w:val="superscript"/>
          <w:lang w:eastAsia="fr-FR"/>
        </w:rPr>
        <w:t>34,35</w:t>
      </w:r>
      <w:r w:rsidRPr="00B047A8">
        <w:rPr>
          <w:sz w:val="20"/>
          <w:lang w:eastAsia="fr-FR"/>
        </w:rPr>
        <w:fldChar w:fldCharType="end"/>
      </w:r>
      <w:r w:rsidRPr="00B047A8">
        <w:rPr>
          <w:sz w:val="20"/>
        </w:rPr>
        <w:t xml:space="preserve">. BBO first navigates the search space broadly to identify promising regions, effectively escaping local traps. </w:t>
      </w:r>
      <w:proofErr w:type="spellStart"/>
      <w:r w:rsidRPr="00B047A8">
        <w:rPr>
          <w:sz w:val="20"/>
        </w:rPr>
        <w:t>F</w:t>
      </w:r>
      <w:r w:rsidRPr="00215A20">
        <w:rPr>
          <w:sz w:val="20"/>
          <w:vertAlign w:val="subscript"/>
        </w:rPr>
        <w:t>mincon</w:t>
      </w:r>
      <w:proofErr w:type="spellEnd"/>
      <w:r w:rsidRPr="00B047A8">
        <w:rPr>
          <w:sz w:val="20"/>
        </w:rPr>
        <w:t xml:space="preserve"> then refines these solutions, leveraging its strength in handling intricate constraints with high accuracy. This global-to-local strategy ensures robust convergence and superior solution quality for the most challenging problems, achieving what either method could not accomplish alone.</w:t>
      </w:r>
    </w:p>
    <w:p w14:paraId="338C6C15" w14:textId="767ACBC9" w:rsidR="00EC0ACC" w:rsidRPr="00B047A8" w:rsidRDefault="00EC0ACC" w:rsidP="00EC0ACC">
      <w:pPr>
        <w:pStyle w:val="Heading2"/>
      </w:pPr>
      <w:r w:rsidRPr="00B047A8">
        <w:t xml:space="preserve">Biogeography-Based Optimization </w:t>
      </w:r>
      <w:r w:rsidR="009737BB" w:rsidRPr="00B047A8">
        <w:t>A</w:t>
      </w:r>
      <w:r w:rsidRPr="00B047A8">
        <w:t>lgorithm</w:t>
      </w:r>
    </w:p>
    <w:p w14:paraId="2A084489" w14:textId="0CE7112F" w:rsidR="00EC0ACC" w:rsidRPr="00B047A8" w:rsidRDefault="00EC0ACC" w:rsidP="008B0A1D">
      <w:pPr>
        <w:ind w:firstLine="284"/>
        <w:jc w:val="both"/>
        <w:rPr>
          <w:sz w:val="20"/>
          <w:lang w:eastAsia="fr-FR"/>
        </w:rPr>
      </w:pPr>
      <w:r w:rsidRPr="00B047A8">
        <w:rPr>
          <w:sz w:val="20"/>
          <w:lang w:eastAsia="fr-FR"/>
        </w:rPr>
        <w:t>BBO algorithm</w:t>
      </w:r>
      <w:r w:rsidRPr="00B047A8">
        <w:rPr>
          <w:sz w:val="20"/>
          <w:lang w:eastAsia="fr-FR"/>
        </w:rPr>
        <w:fldChar w:fldCharType="begin" w:fldLock="1"/>
      </w:r>
      <w:r w:rsidR="00F66D0F">
        <w:rPr>
          <w:sz w:val="20"/>
          <w:lang w:eastAsia="fr-FR"/>
        </w:rPr>
        <w:instrText>ADDIN CSL_CITATION {"citationItems":[{"id":"ITEM-1","itemData":{"DOI":"10.1109/ACCESS.2022.3177218","ISSN":"21693536","abstract":"Biogeography-based optimization (BBO) cannot effectively solve high-dimensional global optimization problems due to its single migration mechanism and random mutation operator. To get better performance, a dual BBO based on sine cosine algorithm (SCA) and dynamic hybrid mutation is proposed in this work, which named SCBBO. Firstly, the Latin hypercube sampling method is innovatively used to improve the initial population ergodicity. Secondly, a nonlinear transformation parameter and a inertia weight adjustment factor are designed into the position update formula of SCA to make SCBBO suitable for high dimensional environments. Then, a dynamic hybrid mutation operator is designed by combining Laplacian and Gaussian mutation, which helps the algorithm to escape from local optima and balance the exploration and exploitation. Finally, the dual learning strategy is integrated, so the convergence accuracy is further improved by generating dual individuals. Meanwhile, A sequence convergence model is established to prove the algorithm can converge to the global optimal solution with probability 1. Compared with other state-of-the-art evolutionary algorithms, SCBBO effectively improves the optimization accuracy and convergence speed for high-dimensional optimization problems. To further show the superiority of SCBBO, its performance is compared on 1000, 2000, 5000 and 10000 dimensions, respectively. The comparsions show that SCBBO's optimization results on these dimensions are basically the same. Applying SCBBO to engineering design problems, and the simulation results demonstrate that the proposed method is also effective on constrained optimization problems.","author":[{"dropping-particle":"","family":"Zhang","given":"Ziyu","non-dropping-particle":"","parse-names":false,"suffix":""},{"dropping-particle":"","family":"Gao","given":"Yuelin","non-dropping-particle":"","parse-names":false,"suffix":""},{"dropping-particle":"","family":"Zuo","given":"Wenlu","non-dropping-particle":"","parse-names":false,"suffix":""}],"container-title":"IEEE Access","id":"ITEM-1","issued":{"date-parts":[["2022"]]},"title":"A Dual Biogeography-Based Optimization Algorithm for Solving High-Dimensional Global Optimization Problems and Engineering Design Problems","type":"article-journal","volume":"10"},"uris":["http://www.mendeley.com/documents/?uuid=215185e1-5d58-388d-94ab-c46ca4be55c5"]}],"mendeley":{"formattedCitation":"&lt;sup&gt;36&lt;/sup&gt;","plainTextFormattedCitation":"36","previouslyFormattedCitation":"[36]"},"properties":{"noteIndex":0},"schema":"https://github.com/citation-style-language/schema/raw/master/csl-citation.json"}</w:instrText>
      </w:r>
      <w:r w:rsidRPr="00B047A8">
        <w:rPr>
          <w:sz w:val="20"/>
          <w:lang w:eastAsia="fr-FR"/>
        </w:rPr>
        <w:fldChar w:fldCharType="separate"/>
      </w:r>
      <w:r w:rsidR="00F66D0F" w:rsidRPr="00F66D0F">
        <w:rPr>
          <w:noProof/>
          <w:sz w:val="20"/>
          <w:vertAlign w:val="superscript"/>
          <w:lang w:eastAsia="fr-FR"/>
        </w:rPr>
        <w:t>36</w:t>
      </w:r>
      <w:r w:rsidRPr="00B047A8">
        <w:rPr>
          <w:sz w:val="20"/>
          <w:lang w:eastAsia="fr-FR"/>
        </w:rPr>
        <w:fldChar w:fldCharType="end"/>
      </w:r>
      <w:r w:rsidRPr="00B047A8">
        <w:rPr>
          <w:sz w:val="20"/>
          <w:lang w:eastAsia="fr-FR"/>
        </w:rPr>
        <w:t xml:space="preserve"> is a powerful population-based metaheuristic inspired by the science of species distribution across ecosystems</w:t>
      </w:r>
      <w:r w:rsidRPr="00B047A8">
        <w:rPr>
          <w:sz w:val="20"/>
          <w:lang w:eastAsia="fr-FR"/>
        </w:rPr>
        <w:fldChar w:fldCharType="begin" w:fldLock="1"/>
      </w:r>
      <w:r w:rsidR="00F66D0F">
        <w:rPr>
          <w:sz w:val="20"/>
          <w:lang w:eastAsia="fr-FR"/>
        </w:rPr>
        <w:instrText>ADDIN CSL_CITATION {"citationItems":[{"id":"ITEM-1","itemData":{"DOI":"10.17509/ajse.v2i3.42953","ISSN":"27765938","abstract":"Ecosystem health and the accomplishment of the Sustainable Development Goals require biodiversity. However, the causes of biodiversity loss remain poorly understood. We focused on the regional and temporal aspects that influence biodiversity distribution. Though transportable data is rarely convenient for providing accurate images of the proportions and distribution of all components of various ecosystems. The purpose of this term paper is to conduct systematic reviews to reflect the biodiversity distribution of different spatial and temporal dimensions in the biodiversity of plant species, animal species, microorganisms, and ecosystem diversity and the factors affecting biodiversity. Biodiversity is best defined by the patterns of the world. The distribution of biodiversity is uniform and inconsistent around the world. Therefore, the shift from the equator to the poles reduced biodiversity. These show that, unlike temperate regions, the tropics have more solar energy, water availability, and a relatively constant and predictable environment. The distribution of biodiversity is affected by a variety of environmental factors, including regional geological history, environmental stability, ecosystem productivity, habitat heterogeneity and suitability, competition, and predation. Therefore, understanding the spatial and temporal distribution of biodiversity is urgently needed to develop short-term and long-term resource management strategies, and biodiversity education and training activities are innovative.","author":[{"dropping-particle":"","family":"Gizachew","given":"Girma","non-dropping-particle":"","parse-names":false,"suffix":""}],"container-title":"ASEAN Journal of Science and Engineering","id":"ITEM-1","issue":"3","issued":{"date-parts":[["2022"]]},"title":"Spatial-Temporal and Factors Influencing the Distribution of Biodiversity: A Review","type":"article-journal","volume":"2"},"uris":["http://www.mendeley.com/documents/?uuid=4bdc0407-ab24-3241-bc6f-c7d2a06d709d"]}],"mendeley":{"formattedCitation":"&lt;sup&gt;37&lt;/sup&gt;","plainTextFormattedCitation":"37","previouslyFormattedCitation":"[37]"},"properties":{"noteIndex":0},"schema":"https://github.com/citation-style-language/schema/raw/master/csl-citation.json"}</w:instrText>
      </w:r>
      <w:r w:rsidRPr="00B047A8">
        <w:rPr>
          <w:sz w:val="20"/>
          <w:lang w:eastAsia="fr-FR"/>
        </w:rPr>
        <w:fldChar w:fldCharType="separate"/>
      </w:r>
      <w:r w:rsidR="00F66D0F" w:rsidRPr="00F66D0F">
        <w:rPr>
          <w:noProof/>
          <w:sz w:val="20"/>
          <w:vertAlign w:val="superscript"/>
          <w:lang w:eastAsia="fr-FR"/>
        </w:rPr>
        <w:t>37</w:t>
      </w:r>
      <w:r w:rsidRPr="00B047A8">
        <w:rPr>
          <w:sz w:val="20"/>
          <w:lang w:eastAsia="fr-FR"/>
        </w:rPr>
        <w:fldChar w:fldCharType="end"/>
      </w:r>
      <w:r w:rsidRPr="00B047A8">
        <w:rPr>
          <w:sz w:val="20"/>
          <w:lang w:eastAsia="fr-FR"/>
        </w:rPr>
        <w:t xml:space="preserve">. In BBO, each candidate solution is conceptualized as a </w:t>
      </w:r>
      <w:r w:rsidR="00215A20">
        <w:rPr>
          <w:sz w:val="20"/>
          <w:lang w:eastAsia="fr-FR"/>
        </w:rPr>
        <w:t>“</w:t>
      </w:r>
      <w:r w:rsidRPr="00B047A8">
        <w:rPr>
          <w:sz w:val="20"/>
          <w:lang w:eastAsia="fr-FR"/>
        </w:rPr>
        <w:t>habitat</w:t>
      </w:r>
      <w:r w:rsidR="00215A20">
        <w:rPr>
          <w:sz w:val="20"/>
          <w:lang w:eastAsia="fr-FR"/>
        </w:rPr>
        <w:t>”</w:t>
      </w:r>
      <w:r w:rsidRPr="00B047A8">
        <w:rPr>
          <w:sz w:val="20"/>
          <w:lang w:eastAsia="fr-FR"/>
        </w:rPr>
        <w:t xml:space="preserve"> whose quality is measured by a Habitat Suitability Index (HSI), analogous to a fitness function. The algorithm</w:t>
      </w:r>
      <w:r w:rsidR="00215A20">
        <w:rPr>
          <w:sz w:val="20"/>
          <w:lang w:eastAsia="fr-FR"/>
        </w:rPr>
        <w:t>’</w:t>
      </w:r>
      <w:r w:rsidRPr="00B047A8">
        <w:rPr>
          <w:sz w:val="20"/>
          <w:lang w:eastAsia="fr-FR"/>
        </w:rPr>
        <w:t>s core mechanism is a probabilistic migration process, where high-HSI habitats (superior solutions) emigrate their good traits, while low-HSI habitats are more likely to immigrate and receive these beneficial characteristics. This dynamic exchange, mimicking natural biogeography, effectively drives the population toward global optima. A mutation operator is also incorporated to preserve population diversity and prevent premature convergence. BBO</w:t>
      </w:r>
      <w:r w:rsidR="00215A20">
        <w:rPr>
          <w:sz w:val="20"/>
          <w:lang w:eastAsia="fr-FR"/>
        </w:rPr>
        <w:t>’</w:t>
      </w:r>
      <w:r w:rsidRPr="00B047A8">
        <w:rPr>
          <w:sz w:val="20"/>
          <w:lang w:eastAsia="fr-FR"/>
        </w:rPr>
        <w:t>s unique migration model provides a distinct and effective balance between exploring new regions and exploiting known good solutions, making it particularly adept at navigating complex, high-dimensional problems. Its competitive performance and practical robustness have been validated in real-world engineering applications, such as aircraft engine health monitoring</w:t>
      </w:r>
      <w:r w:rsidRPr="00B047A8">
        <w:rPr>
          <w:sz w:val="20"/>
        </w:rPr>
        <w:fldChar w:fldCharType="begin" w:fldLock="1"/>
      </w:r>
      <w:r w:rsidR="00F66D0F">
        <w:rPr>
          <w:sz w:val="20"/>
        </w:rPr>
        <w:instrText>ADDIN CSL_CITATION {"citationItems":[{"id":"ITEM-1","itemData":{"DOI":"10.1109/TSG.2021.3050931","ISSN":"19493061","abstract":"This article presents a new mixed-integer second-order cone programming model for solving the restoration problem in active distribution systems considering the optimal control of distributed generators (DGs), voltage regulators (VRs), on-load tap changers (OLTCs), and capacitor banks (CBs). In contrast to most of the works found in the literature, temporary loops may be formed in the network during the restorative operation state. This operating condition allows restoring the service to more loads. In this way, the objective function of the problem minimizes (i) the total load not supplied, (ii) the number of switching operations, (iii) the changes in the statuses of the voltage control devices and in the dispatch of the DGs, and (iv) the number of basic loops formed in the system. Several tests are carried out using a 53-node system for single-fault and multiple-fault scenarios. The results obtained with the proposed approach outperform the solutions achieved when only radial configurations are allowed in the problem. Moreover, it is also verified that the voltage control allows for more efficient restoration schemes.","author":[{"dropping-particle":"","family":"Vargas","given":"Renzo","non-dropping-particle":"","parse-names":false,"suffix":""},{"dropping-particle":"","family":"MacEdo","given":"Leonardo H.","non-dropping-particle":"","parse-names":false,"suffix":""},{"dropping-particle":"","family":"Home-Ortiz","given":"Juan M.","non-dropping-particle":"","parse-names":false,"suffix":""},{"dropping-particle":"","family":"Mantovani","given":"Jose Roberto Sanches","non-dropping-particle":"","parse-names":false,"suffix":""},{"dropping-particle":"","family":"Romero","given":"Ruben","non-dropping-particle":"","parse-names":false,"suffix":""}],"container-title":"IEEE Transactions on Smart Grid","id":"ITEM-1","issue":"3","issued":{"date-parts":[["2021"]]},"title":"Optimal Restoration of Active Distribution Systems with Voltage Control and Closed-Loop Operation","type":"article-journal","volume":"12"},"uris":["http://www.mendeley.com/documents/?uuid=8fbc6f70-be57-3880-a207-8fe0949f963f"]},{"id":"ITEM-2","itemData":{"DOI":"10.1109/CIEEC50170.2021.9511039","abstract":"This paper presents a novel seamless closed-loop load transfer device (SCLTD) of low voltage distribution network, which is capable of realizing three seamless operations: 1) loop closing, 2) load transfer, and 3) disconnection from the grid. In the proposed circuit configuration, an injected voltage source is connected to two low voltage bus bars. Therefore, closed-loop current can be controlled flexibly by regulating this voltage source. The system can be applied to adjacent substations to carry out closed-loop load transfer operations. In the proposed configuration, the voltage source is paralleled with the contact switch and thus can be bypassed to realize the disconnection of the SCLTD from the grid. Furthermore, this paper presents an advanced control strategy for seamless transfer among three operating modes, which eliminates the voltage oscillation and current impact due to the switching of operating modes. The proposed configuration and the designed control strategy are validated in a simple two-bus system via MATLAB/Simulink.","author":[{"dropping-particle":"","family":"Li","given":"Junlin","non-dropping-particle":"","parse-names":false,"suffix":""},{"dropping-particle":"","family":"Wang","given":"Xiaocong","non-dropping-particle":"","parse-names":false,"suffix":""},{"dropping-particle":"","family":"Xie","given":"Cong","non-dropping-particle":"","parse-names":false,"suffix":""},{"dropping-particle":"","family":"Han","given":"Jie","non-dropping-particle":"","parse-names":false,"suffix":""},{"dropping-particle":"","family":"Mao","given":"Chengxiong","non-dropping-particle":"","parse-names":false,"suffix":""},{"dropping-particle":"","family":"Liu","given":"Xiao","non-dropping-particle":"","parse-names":false,"suffix":""},{"dropping-particle":"","family":"Wang","given":"Dan","non-dropping-particle":"","parse-names":false,"suffix":""},{"dropping-particle":"","family":"Zhang","given":"Yanyu","non-dropping-particle":"","parse-names":false,"suffix":""},{"dropping-particle":"","family":"Guan","given":"Zhitao","non-dropping-particle":"","parse-names":false,"suffix":""},{"dropping-particle":"","family":"Zhang","given":"Xu","non-dropping-particle":"","parse-names":false,"suffix":""}],"container-title":"Proceedings of 2021 IEEE 4th International Electrical and Energy Conference, CIEEC 2021","id":"ITEM-2","issued":{"date-parts":[["2021"]]},"title":"A Novel Method for Seamless Closed-Loop Load Transfer of Low Voltage Distribution Network","type":"paper-conference"},"uris":["http://www.mendeley.com/documents/?uuid=2eae6221-519b-35d0-b584-259b001e2094"]},{"id":"ITEM-3","itemData":{"DOI":"10.1109/ACCESS.2024.3355131","ISSN":"21693536","abstract":"Recently, ordinary residential users' tolerance for power outages has dropped much by the flourishing economy. To further improve the power supply reliability, a scheme of seamless closed-loop load transfer was proposed based on series compensation technology. For its field application, two points should be considered: 1) For the efficient utilization, the device is designed with high mobility. But its mobility is limited due to its power requirements and the usage of magnetic components. 2) The mobility leads to variable nodes interconnected each time, which puts forward high requirements for the control strategy. The following are proposed: 1) Proposing a novel control strategy based on online impedance estimation method to ensure the effectiveness of the mobile prototype in variable scenarios. 2) Employing modular design and series-parallel mode to reduce the individual cabinet's volume, while utilizing the short-term overload capacity of magnetic components to augment the power density. A mobile prototype is developed, and test results prove the effectiveness of the control strategy and the engineering feasibility of the prototype.","author":[{"dropping-particle":"","family":"Guan","given":"Zhitao","non-dropping-particle":"","parse-names":false,"suffix":""},{"dropping-particle":"","family":"Tang","given":"Pengfei","non-dropping-particle":"","parse-names":false,"suffix":""},{"dropping-particle":"","family":"Mao","given":"Chengxiong","non-dropping-particle":"","parse-names":false,"suffix":""},{"dropping-particle":"","family":"Wang","given":"Dan","non-dropping-particle":"","parse-names":false,"suffix":""},{"dropping-particle":"","family":"Wang","given":"Lexiang","non-dropping-particle":"","parse-names":false,"suffix":""},{"dropping-particle":"","family":"Liu","given":"Wenge","non-dropping-particle":"","parse-names":false,"suffix":""},{"dropping-particle":"","family":"Du","given":"Miaomiao","non-dropping-particle":"","parse-names":false,"suffix":""},{"dropping-particle":"","family":"Li","given":"Junlin","non-dropping-particle":"","parse-names":false,"suffix":""},{"dropping-particle":"","family":"Wang","given":"Xiaocong","non-dropping-particle":"","parse-names":false,"suffix":""}],"container-title":"IEEE Access","id":"ITEM-3","issued":{"date-parts":[["2024"]]},"title":"Control Strategy and Implementation of Seamless Closed-Loop Load Transfer Mobile Prototype for 400 V Distribution Network","type":"article-journal","volume":"12"},"uris":["http://www.mendeley.com/documents/?uuid=b33a5c4d-7bfc-3f2d-ba92-89f4892bf953"]}],"mendeley":{"formattedCitation":"&lt;sup&gt;14,15,32&lt;/sup&gt;","plainTextFormattedCitation":"14,15,32","previouslyFormattedCitation":"[14], [15], [32]"},"properties":{"noteIndex":0},"schema":"https://github.com/citation-style-language/schema/raw/master/csl-citation.json"}</w:instrText>
      </w:r>
      <w:r w:rsidRPr="00B047A8">
        <w:rPr>
          <w:sz w:val="20"/>
        </w:rPr>
        <w:fldChar w:fldCharType="separate"/>
      </w:r>
      <w:r w:rsidR="00F66D0F" w:rsidRPr="00F66D0F">
        <w:rPr>
          <w:noProof/>
          <w:sz w:val="20"/>
          <w:vertAlign w:val="superscript"/>
        </w:rPr>
        <w:t>14,15,32</w:t>
      </w:r>
      <w:r w:rsidRPr="00B047A8">
        <w:rPr>
          <w:sz w:val="20"/>
        </w:rPr>
        <w:fldChar w:fldCharType="end"/>
      </w:r>
      <w:r w:rsidRPr="00B047A8">
        <w:rPr>
          <w:sz w:val="20"/>
          <w:lang w:eastAsia="fr-FR"/>
        </w:rPr>
        <w:t>.</w:t>
      </w:r>
    </w:p>
    <w:p w14:paraId="4D04DA8C" w14:textId="77777777" w:rsidR="005E0E88" w:rsidRPr="00B047A8" w:rsidRDefault="005E0E88" w:rsidP="005E0E88">
      <w:pPr>
        <w:pStyle w:val="Heading2"/>
      </w:pPr>
      <w:r w:rsidRPr="00B047A8">
        <w:t>Nonlinear Optimization of Phase Load Balance</w:t>
      </w:r>
    </w:p>
    <w:p w14:paraId="1DC51539" w14:textId="4623D159" w:rsidR="00BA03AE" w:rsidRDefault="00BA03AE" w:rsidP="008C48FB">
      <w:pPr>
        <w:spacing w:after="120"/>
        <w:ind w:firstLine="284"/>
        <w:jc w:val="both"/>
        <w:rPr>
          <w:rStyle w:val="Emphasis"/>
          <w:i w:val="0"/>
          <w:sz w:val="20"/>
        </w:rPr>
      </w:pPr>
      <w:r w:rsidRPr="00B047A8">
        <w:rPr>
          <w:rStyle w:val="Emphasis"/>
          <w:i w:val="0"/>
          <w:sz w:val="20"/>
        </w:rPr>
        <w:t xml:space="preserve">The optimization employs </w:t>
      </w:r>
      <w:r w:rsidRPr="00B047A8">
        <w:rPr>
          <w:sz w:val="20"/>
          <w:lang w:eastAsia="fr-FR"/>
        </w:rPr>
        <w:t xml:space="preserve">The </w:t>
      </w:r>
      <m:oMath>
        <m:sSub>
          <m:sSubPr>
            <m:ctrlPr>
              <w:rPr>
                <w:rFonts w:ascii="Cambria Math" w:hAnsi="Cambria Math"/>
                <w:b/>
                <w:bCs/>
                <w:sz w:val="20"/>
                <w:lang w:eastAsia="fr-FR"/>
              </w:rPr>
            </m:ctrlPr>
          </m:sSubPr>
          <m:e>
            <m:r>
              <m:rPr>
                <m:sty m:val="b"/>
              </m:rPr>
              <w:rPr>
                <w:rFonts w:ascii="Cambria Math" w:hAnsi="Cambria Math"/>
                <w:sz w:val="20"/>
                <w:lang w:eastAsia="fr-FR"/>
              </w:rPr>
              <m:t>F</m:t>
            </m:r>
          </m:e>
          <m:sub>
            <m:r>
              <m:rPr>
                <m:sty m:val="b"/>
              </m:rPr>
              <w:rPr>
                <w:rFonts w:ascii="Cambria Math" w:hAnsi="Cambria Math"/>
                <w:sz w:val="20"/>
                <w:vertAlign w:val="subscript"/>
                <w:lang w:eastAsia="fr-FR"/>
              </w:rPr>
              <m:t>mincon</m:t>
            </m:r>
          </m:sub>
        </m:sSub>
      </m:oMath>
      <w:r w:rsidRPr="00B047A8">
        <w:rPr>
          <w:rStyle w:val="Emphasis"/>
          <w:i w:val="0"/>
          <w:sz w:val="20"/>
        </w:rPr>
        <w:t>, a gradient-based solver for nonlinear constrained problems</w:t>
      </w:r>
      <w:r w:rsidRPr="00B047A8">
        <w:rPr>
          <w:sz w:val="20"/>
          <w:lang w:eastAsia="fr-FR"/>
        </w:rPr>
        <w:fldChar w:fldCharType="begin" w:fldLock="1"/>
      </w:r>
      <w:r w:rsidR="00F66D0F">
        <w:rPr>
          <w:sz w:val="20"/>
          <w:lang w:eastAsia="fr-FR"/>
        </w:rPr>
        <w:instrText>ADDIN CSL_CITATION {"citationItems":[{"id":"ITEM-1","itemData":{"DOI":"10.3390/coatings12101519","ISSN":"20796412","abstract":"Cotton is one of the most important fibers used in the textile industry. The dyeing of cotton with synthetic anionic dyes consumes large amounts of salt and alkali, which makes it a challenge for the environment. Furthermore, the relatively high percentage of synthetic dyes remaining in the dyebath is a potential threat for the environment and human health. The application of plant-derived natural dyes has recently been considered as a promising approach to overcome this problem. Optimization of the dyeing process and prediction of the values of the color coordinates of dyed textiles have always been among the most pronounced challenges in the textile industry, especially when a mixture of dyes or mordants is used. In this study, alum was used for mordanting of cotton and two natural dyes—namely, weld and madder—were used for the dyeing. The samples were dyed with various combinations of mordant, weld, and madder for the weight of the fabric and statistical analysis revealed that all three mentioned parameters were effective in determining the color coordinates. To determine the best model to predict the color coordinates of cotton fabrics, the regression method and ANN models weighted with back-propagation (BP) and optimization algorithms, such as the genetic algorithm, particle swarm optimization, gray wolf optimization, FMINCON (a built-in function of MATLAB software) and a combination of particle swarm optimization and FMINCON (PSO-FMIN), were employed and compared based on the mean squared error (MSE). The obtained results revealed that using the PSO-FMIN algorithm for ANN weighting led to higher accuracy in the prediction of color coordinates. The MSEs obtained for ANN outputs and the corresponding actual values reached 2.02, 1.68 and 1.39 for the l*, a* and b* coordinates, which were 44%, 23% and 26% better than the result obtained with BP, respectively.","author":[{"dropping-particle":"","family":"Vadood","given":"Morteza","non-dropping-particle":"","parse-names":false,"suffix":""},{"dropping-particle":"","family":"Haji","given":"Aminoddin","non-dropping-particle":"","parse-names":false,"suffix":""}],"container-title":"Coatings","id":"ITEM-1","issue":"10","issued":{"date-parts":[["2022"]]},"title":"Application of ANN Weighted by Optimization Algorithms to Predict the Color Coordinates of Cellulosic Fabric in Dyeing with Binary Mix of Natural Dyes","type":"article-journal","volume":"12"},"uris":["http://www.mendeley.com/documents/?uuid=a34e249e-146b-3f03-825d-84adc023cad1"]},{"id":"ITEM-2","itemData":{"DOI":"10.1080/23270012.2023.2239818","ISSN":"23270039","abstract":"In this article, the three-echelon supply chain model is developed with a single supplier, a single vendor and a single buyer in a fuzzy environment. The three-stage inspection technique is considered at the end of the vendor's process to supply high-quality products to the buyer. Moreover, the demand rate of the product in the market is often assumed to be uncertain, and accordingly, in this paper, the uncertainty is handled using fuzzy numbers. The primary goal of this model is to minimize the overall inventory cost relative to the asymmetry hexagonal fuzzy demand. Additionally, a backorder strategy is incorporated to gain customer satisfaction and reduce lost sales. To validate this model, numerical examples are tested and constrained non-linear optimization (i.e. fmincon solver) is performed to derive the optimal solution for the decision variables. Finally, conclusions with potential future directions are provided.","author":[{"dropping-particle":"","family":"Karthick","given":"B.","non-dropping-particle":"","parse-names":false,"suffix":""}],"container-title":"Journal of Management Analytics","id":"ITEM-2","issue":"4","issued":{"date-parts":[["2023"]]},"title":"An inventory analysis in a multi-echelon supply chain system under asymmetry fuzzy demand: a fmincon optimization","type":"article-journal","volume":"10"},"uris":["http://www.mendeley.com/documents/?uuid=d1fa44e1-5f78-3f2d-9b45-17a1d8f12877"]}],"mendeley":{"formattedCitation":"&lt;sup&gt;34,35&lt;/sup&gt;","plainTextFormattedCitation":"34,35","previouslyFormattedCitation":"[34], [35]"},"properties":{"noteIndex":0},"schema":"https://github.com/citation-style-language/schema/raw/master/csl-citation.json"}</w:instrText>
      </w:r>
      <w:r w:rsidRPr="00B047A8">
        <w:rPr>
          <w:sz w:val="20"/>
          <w:lang w:eastAsia="fr-FR"/>
        </w:rPr>
        <w:fldChar w:fldCharType="separate"/>
      </w:r>
      <w:r w:rsidR="00F66D0F" w:rsidRPr="00F66D0F">
        <w:rPr>
          <w:noProof/>
          <w:sz w:val="20"/>
          <w:vertAlign w:val="superscript"/>
          <w:lang w:eastAsia="fr-FR"/>
        </w:rPr>
        <w:t>34,35</w:t>
      </w:r>
      <w:r w:rsidRPr="00B047A8">
        <w:rPr>
          <w:sz w:val="20"/>
          <w:lang w:eastAsia="fr-FR"/>
        </w:rPr>
        <w:fldChar w:fldCharType="end"/>
      </w:r>
      <w:r w:rsidRPr="00B047A8">
        <w:rPr>
          <w:rStyle w:val="Emphasis"/>
          <w:i w:val="0"/>
          <w:sz w:val="20"/>
        </w:rPr>
        <w:t xml:space="preserve">, to minimize an objective function subject to variable bounds, linear constraints </w:t>
      </w:r>
      <w:r w:rsidRPr="00B047A8">
        <w:rPr>
          <w:sz w:val="20"/>
          <w:lang w:eastAsia="fr-FR"/>
        </w:rPr>
        <w:t>(</w:t>
      </w:r>
      <m:oMath>
        <m:r>
          <w:rPr>
            <w:rFonts w:ascii="Cambria Math" w:hAnsi="Cambria Math"/>
            <w:sz w:val="20"/>
            <w:lang w:eastAsia="fr-FR"/>
          </w:rPr>
          <m:t xml:space="preserve">A×x≤b and </m:t>
        </m:r>
        <m:sSub>
          <m:sSubPr>
            <m:ctrlPr>
              <w:rPr>
                <w:rFonts w:ascii="Cambria Math" w:hAnsi="Cambria Math"/>
                <w:i/>
                <w:sz w:val="20"/>
                <w:lang w:eastAsia="fr-FR"/>
              </w:rPr>
            </m:ctrlPr>
          </m:sSubPr>
          <m:e>
            <m:r>
              <w:rPr>
                <w:rFonts w:ascii="Cambria Math" w:hAnsi="Cambria Math"/>
                <w:sz w:val="20"/>
                <w:lang w:eastAsia="fr-FR"/>
              </w:rPr>
              <m:t>A</m:t>
            </m:r>
          </m:e>
          <m:sub>
            <m:r>
              <w:rPr>
                <w:rFonts w:ascii="Cambria Math" w:hAnsi="Cambria Math"/>
                <w:sz w:val="20"/>
                <w:vertAlign w:val="subscript"/>
                <w:lang w:eastAsia="fr-FR"/>
              </w:rPr>
              <m:t>eq</m:t>
            </m:r>
          </m:sub>
        </m:sSub>
        <m:r>
          <w:rPr>
            <w:rFonts w:ascii="Cambria Math" w:hAnsi="Cambria Math"/>
            <w:sz w:val="20"/>
            <w:lang w:eastAsia="fr-FR"/>
          </w:rPr>
          <m:t>×x=</m:t>
        </m:r>
        <m:sSub>
          <m:sSubPr>
            <m:ctrlPr>
              <w:rPr>
                <w:rFonts w:ascii="Cambria Math" w:hAnsi="Cambria Math"/>
                <w:i/>
                <w:sz w:val="20"/>
                <w:lang w:eastAsia="fr-FR"/>
              </w:rPr>
            </m:ctrlPr>
          </m:sSubPr>
          <m:e>
            <m:r>
              <w:rPr>
                <w:rFonts w:ascii="Cambria Math" w:hAnsi="Cambria Math"/>
                <w:sz w:val="20"/>
                <w:lang w:eastAsia="fr-FR"/>
              </w:rPr>
              <m:t>b</m:t>
            </m:r>
          </m:e>
          <m:sub>
            <m:r>
              <w:rPr>
                <w:rFonts w:ascii="Cambria Math" w:hAnsi="Cambria Math"/>
                <w:sz w:val="20"/>
                <w:vertAlign w:val="subscript"/>
                <w:lang w:eastAsia="fr-FR"/>
              </w:rPr>
              <m:t>eq</m:t>
            </m:r>
          </m:sub>
        </m:sSub>
      </m:oMath>
      <w:r w:rsidRPr="00B047A8">
        <w:rPr>
          <w:sz w:val="20"/>
          <w:lang w:eastAsia="fr-FR"/>
        </w:rPr>
        <w:t>)</w:t>
      </w:r>
      <w:r w:rsidRPr="00B047A8">
        <w:rPr>
          <w:rStyle w:val="Emphasis"/>
          <w:i w:val="0"/>
          <w:sz w:val="20"/>
        </w:rPr>
        <w:t>, and nonlinear constraints (</w:t>
      </w:r>
      <m:oMath>
        <m:r>
          <w:rPr>
            <w:rFonts w:ascii="Cambria Math" w:hAnsi="Cambria Math"/>
            <w:sz w:val="20"/>
            <w:lang w:eastAsia="fr-FR"/>
          </w:rPr>
          <m:t>c(x)≤0</m:t>
        </m:r>
      </m:oMath>
      <w:r w:rsidRPr="00B047A8">
        <w:rPr>
          <w:sz w:val="20"/>
          <w:lang w:eastAsia="fr-FR"/>
        </w:rPr>
        <w:t xml:space="preserve"> and </w:t>
      </w:r>
      <m:oMath>
        <m:sSub>
          <m:sSubPr>
            <m:ctrlPr>
              <w:rPr>
                <w:rFonts w:ascii="Cambria Math" w:hAnsi="Cambria Math"/>
                <w:i/>
                <w:sz w:val="20"/>
                <w:lang w:eastAsia="fr-FR"/>
              </w:rPr>
            </m:ctrlPr>
          </m:sSubPr>
          <m:e>
            <m:r>
              <w:rPr>
                <w:rFonts w:ascii="Cambria Math" w:hAnsi="Cambria Math"/>
                <w:sz w:val="20"/>
                <w:lang w:eastAsia="fr-FR"/>
              </w:rPr>
              <m:t>c</m:t>
            </m:r>
          </m:e>
          <m:sub>
            <m:r>
              <w:rPr>
                <w:rFonts w:ascii="Cambria Math" w:hAnsi="Cambria Math"/>
                <w:sz w:val="20"/>
                <w:vertAlign w:val="subscript"/>
                <w:lang w:eastAsia="fr-FR"/>
              </w:rPr>
              <m:t>eq</m:t>
            </m:r>
          </m:sub>
        </m:sSub>
        <m:r>
          <w:rPr>
            <w:rFonts w:ascii="Cambria Math" w:hAnsi="Cambria Math"/>
            <w:sz w:val="20"/>
            <w:lang w:eastAsia="fr-FR"/>
          </w:rPr>
          <m:t>(x)=0</m:t>
        </m:r>
      </m:oMath>
      <w:r w:rsidRPr="00B047A8">
        <w:rPr>
          <w:sz w:val="20"/>
          <w:lang w:eastAsia="fr-FR"/>
        </w:rPr>
        <w:t xml:space="preserve">). </w:t>
      </w:r>
      <w:r w:rsidRPr="00B047A8">
        <w:rPr>
          <w:rStyle w:val="Emphasis"/>
          <w:i w:val="0"/>
          <w:sz w:val="20"/>
        </w:rPr>
        <w:t>The objective function combines current tracking accuracy with phase imbalance minimization using calibrated weighting factors (α,β)</w:t>
      </w:r>
      <w:r w:rsidRPr="00B047A8">
        <w:rPr>
          <w:rStyle w:val="Emphasis"/>
          <w:i w:val="0"/>
          <w:iCs w:val="0"/>
          <w:sz w:val="20"/>
        </w:rPr>
        <w:fldChar w:fldCharType="begin" w:fldLock="1"/>
      </w:r>
      <w:r w:rsidR="00F66D0F">
        <w:rPr>
          <w:rStyle w:val="Emphasis"/>
          <w:sz w:val="20"/>
        </w:rPr>
        <w:instrText>ADDIN CSL_CITATION {"citationItems":[{"id":"ITEM-1","itemData":{"DOI":"10.1049/iet-gtd.2020.0155","ISSN":"17518687","abstract":"Integration of low carbon technologies poses a technical challenge on distribution transformers due to the dynamic loading and potentially frequent overloading scenarios. Transformer dynamic thermal rating is hence required, which is the most economical approach to tackle this challenge and ensure a safe operation. To reach the aim, it is important to enhance the accuracy of the dynamic thermal model, where the top-oil temperature is a key thermal parameter. In this study, a wide range of constant load temperature-rise tests were carried out on an 11/0.433 kV distribution transformer to study the dynamic thermal behaviour of the top-oil temperature. A model based on the IEC 60076-7 thermal model but with an improved oil time constant calibration was deduced for top-oil temperature modelling. The oil time constant calibration was inspired by IEEE C57.91 and verified by eight temperature-rise tests with load factors ranging from 0.7 to 1.4 pu. In addition, the improved top-oil temperature modelling was further verified in experiments under multiple load profiles.","author":[{"dropping-particle":"","family":"Wang","given":"Lujia","non-dropping-particle":"","parse-names":false,"suffix":""},{"dropping-particle":"","family":"Zhang","given":"Xiang","non-dropping-particle":"","parse-names":false,"suffix":""},{"dropping-particle":"","family":"Villarroel","given":"Rafael","non-dropping-particle":"","parse-names":false,"suffix":""},{"dropping-particle":"","family":"Liu","given":"Qiang","non-dropping-particle":"","parse-names":false,"suffix":""},{"dropping-particle":"","family":"Wang","given":"Zhongdong","non-dropping-particle":"","parse-names":false,"suffix":""},{"dropping-particle":"","family":"Zhou","given":"Lijun","non-dropping-particle":"","parse-names":false,"suffix":""}],"container-title":"IET Generation, Transmission and Distribution","id":"ITEM-1","issue":"20","issued":{"date-parts":[["2020"]]},"title":"Top-oil temperature modelling by calibrating oil time constant for an oil natural air natural distribution transformer","type":"article-journal","volume":"14"},"uris":["http://www.mendeley.com/documents/?uuid=cb7ab8c9-d1e5-3918-ae68-6bd426bb4196"]},{"id":"ITEM-2","itemData":{"DOI":"10.3390/en16093829","ISSN":"19961073","abstract":"The degradation of the insulation system in liquid-filled power transformers is a serious concern for electric power utilities. The insulation system’s ageing is accelerated by moisture, acids, oxidation products, and other decay particles (soluble and colloidal). The presence of these ageing by-products is detrimental to the insulation system and may further lead to premature ageing and serious consequences. The ageing mechanisms of oil-paper insulation are complex, highly interrelated, and strongly temperature-dependent. The operating temperature of the transformer insulating system has a direct relationship with the loading profile. The major aspect that is witnessed with the fluctuating temperatures is moisture migration and subsequent bubble evolution. In other words, gas bubbles evolve from the release of water vapor from the cellulosic insulation wrapped around the transformer windings. The models presented in the existing standards, such as the IEC Std. 60076-7:2018 and the IEEE Std. C57.91:2011, are mainly based on the insulation temperature, which acts as a key parameter. Several studies have investigated the moisture dynamics and bubbling phenomenon as a function of the water content in the paper and the state of the insulation system. Some studies have reported different prototypes for the estimation of the bubble inception temperatures under selected conditions. However, there are various attributes of the insulation system that are to be considered, especially when expanding the models for the alternative liquids. This paper reviews various evaluation models reported in the literature that help understand the bubbling phenomenon in transformer insulation. The discussions also keep us in the loop on the estimation of bubbling behavior in alternative dielectric liquids and key attributable factors for use in transformers. In addition, useful tutorial elements focusing on the bubbling issue in transformers as well as some critical analyses are addressed for future research on this topic.","author":[{"dropping-particle":"","family":"Gmati","given":"Ghada","non-dropping-particle":"","parse-names":false,"suffix":""},{"dropping-particle":"","family":"Rao","given":"Ungarala Mohan","non-dropping-particle":"","parse-names":false,"suffix":""},{"dropping-particle":"","family":"Fofana","given":"Issouf","non-dropping-particle":"","parse-names":false,"suffix":""},{"dropping-particle":"","family":"Picher","given":"Patrick","non-dropping-particle":"","parse-names":false,"suffix":""},{"dropping-particle":"","family":"Arroyo-Fernàndez","given":"Oscar","non-dropping-particle":"","parse-names":false,"suffix":""},{"dropping-particle":"","family":"Rebaine","given":"Djamal","non-dropping-particle":"","parse-names":false,"suffix":""}],"container-title":"Energies","id":"ITEM-2","issue":"9","issued":{"date-parts":[["2023"]]},"title":"Bubbling Phenomena in Liquid-Filled Transformers: Background and Assessment","type":"article","volume":"16"},"uris":["http://www.mendeley.com/documents/?uuid=4ef6d70a-7bc9-3123-afc4-eb27576f52b7"]}],"mendeley":{"formattedCitation":"&lt;sup&gt;30,31&lt;/sup&gt;","plainTextFormattedCitation":"30,31","previouslyFormattedCitation":"[30], [31]"},"properties":{"noteIndex":0},"schema":"https://github.com/citation-style-language/schema/raw/master/csl-citation.json"}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30,31</w:t>
      </w:r>
      <w:r w:rsidRPr="00B047A8">
        <w:rPr>
          <w:rStyle w:val="Emphasis"/>
          <w:i w:val="0"/>
          <w:iCs w:val="0"/>
          <w:sz w:val="20"/>
        </w:rPr>
        <w:fldChar w:fldCharType="end"/>
      </w:r>
      <w:r w:rsidRPr="00B047A8">
        <w:rPr>
          <w:rStyle w:val="Emphasis"/>
          <w:i w:val="0"/>
          <w:sz w:val="20"/>
        </w:rPr>
        <w:t xml:space="preserve">: </w:t>
      </w:r>
    </w:p>
    <w:p w14:paraId="46FC68F5" w14:textId="5CEFA260" w:rsidR="009E6122" w:rsidRPr="009E6122" w:rsidRDefault="009E6122" w:rsidP="009E6122">
      <w:pPr>
        <w:pStyle w:val="Equation"/>
        <w:ind w:left="56"/>
        <w:rPr>
          <w:rStyle w:val="Emphasis"/>
          <w:i w:val="0"/>
          <w:iCs w:val="0"/>
        </w:rPr>
      </w:pPr>
      <w:r>
        <w:tab/>
      </w:r>
      <m:oMath>
        <m:r>
          <w:rPr>
            <w:rFonts w:ascii="Cambria Math" w:hAnsi="Cambria Math"/>
            <w:lang w:eastAsia="fr-FR"/>
          </w:rPr>
          <m:t>f</m:t>
        </m:r>
        <m:d>
          <m:dPr>
            <m:ctrlPr>
              <w:rPr>
                <w:rFonts w:ascii="Cambria Math" w:hAnsi="Cambria Math"/>
                <w:i/>
                <w:lang w:eastAsia="fr-FR"/>
              </w:rPr>
            </m:ctrlPr>
          </m:dPr>
          <m:e>
            <m:r>
              <w:rPr>
                <w:rFonts w:ascii="Cambria Math" w:hAnsi="Cambria Math"/>
                <w:lang w:eastAsia="fr-FR"/>
              </w:rPr>
              <m:t>x</m:t>
            </m:r>
          </m:e>
        </m:d>
        <m:r>
          <w:rPr>
            <w:rFonts w:ascii="Cambria Math" w:hAnsi="Cambria Math"/>
            <w:lang w:eastAsia="fr-FR"/>
          </w:rPr>
          <m:t>= α.</m:t>
        </m:r>
        <m:nary>
          <m:naryPr>
            <m:chr m:val="∑"/>
            <m:limLoc m:val="undOvr"/>
            <m:ctrlPr>
              <w:rPr>
                <w:rFonts w:ascii="Cambria Math" w:hAnsi="Cambria Math"/>
                <w:i/>
                <w:lang w:eastAsia="fr-FR"/>
              </w:rPr>
            </m:ctrlPr>
          </m:naryPr>
          <m:sub>
            <m:r>
              <w:rPr>
                <w:rFonts w:ascii="Cambria Math" w:hAnsi="Cambria Math"/>
                <w:lang w:eastAsia="fr-FR"/>
              </w:rPr>
              <m:t>i=1</m:t>
            </m:r>
          </m:sub>
          <m:sup>
            <m:r>
              <w:rPr>
                <w:rFonts w:ascii="Cambria Math" w:hAnsi="Cambria Math"/>
                <w:lang w:eastAsia="fr-FR"/>
              </w:rPr>
              <m:t>N</m:t>
            </m:r>
          </m:sup>
          <m:e>
            <m:nary>
              <m:naryPr>
                <m:chr m:val="∑"/>
                <m:limLoc m:val="undOvr"/>
                <m:supHide m:val="1"/>
                <m:ctrlPr>
                  <w:rPr>
                    <w:rFonts w:ascii="Cambria Math" w:hAnsi="Cambria Math"/>
                    <w:i/>
                    <w:lang w:eastAsia="fr-FR"/>
                  </w:rPr>
                </m:ctrlPr>
              </m:naryPr>
              <m:sub>
                <m:r>
                  <w:rPr>
                    <w:rFonts w:ascii="Cambria Math" w:hAnsi="Cambria Math"/>
                    <w:lang w:eastAsia="fr-FR"/>
                  </w:rPr>
                  <m:t>j∈(a,b,c)</m:t>
                </m:r>
              </m:sub>
              <m:sup/>
              <m:e>
                <m:r>
                  <w:rPr>
                    <w:rFonts w:ascii="Cambria Math" w:hAnsi="Cambria Math"/>
                    <w:lang w:eastAsia="fr-FR"/>
                  </w:rPr>
                  <m:t>(</m:t>
                </m:r>
                <m:sSubSup>
                  <m:sSubSupPr>
                    <m:ctrlPr>
                      <w:rPr>
                        <w:rFonts w:ascii="Cambria Math" w:hAnsi="Cambria Math"/>
                        <w:i/>
                        <w:lang w:eastAsia="fr-FR"/>
                      </w:rPr>
                    </m:ctrlPr>
                  </m:sSubSupPr>
                  <m:e>
                    <m:r>
                      <w:rPr>
                        <w:rFonts w:ascii="Cambria Math" w:hAnsi="Cambria Math"/>
                        <w:lang w:eastAsia="fr-FR"/>
                      </w:rPr>
                      <m:t>I</m:t>
                    </m:r>
                  </m:e>
                  <m:sub>
                    <m:r>
                      <w:rPr>
                        <w:rFonts w:ascii="Cambria Math" w:hAnsi="Cambria Math"/>
                        <w:lang w:eastAsia="fr-FR"/>
                      </w:rPr>
                      <m:t>ij</m:t>
                    </m:r>
                  </m:sub>
                  <m:sup>
                    <m:r>
                      <w:rPr>
                        <w:rFonts w:ascii="Cambria Math" w:hAnsi="Cambria Math"/>
                        <w:lang w:eastAsia="fr-FR"/>
                      </w:rPr>
                      <m:t>opt</m:t>
                    </m:r>
                  </m:sup>
                </m:sSubSup>
                <m:r>
                  <w:rPr>
                    <w:rFonts w:ascii="Cambria Math" w:hAnsi="Cambria Math"/>
                    <w:lang w:eastAsia="fr-FR"/>
                  </w:rPr>
                  <m:t>-</m:t>
                </m:r>
                <m:sSubSup>
                  <m:sSubSupPr>
                    <m:ctrlPr>
                      <w:rPr>
                        <w:rFonts w:ascii="Cambria Math" w:hAnsi="Cambria Math"/>
                        <w:i/>
                        <w:lang w:eastAsia="fr-FR"/>
                      </w:rPr>
                    </m:ctrlPr>
                  </m:sSubSupPr>
                  <m:e>
                    <m:r>
                      <w:rPr>
                        <w:rFonts w:ascii="Cambria Math" w:hAnsi="Cambria Math"/>
                        <w:lang w:eastAsia="fr-FR"/>
                      </w:rPr>
                      <m:t>I</m:t>
                    </m:r>
                  </m:e>
                  <m:sub>
                    <m:r>
                      <w:rPr>
                        <w:rFonts w:ascii="Cambria Math" w:hAnsi="Cambria Math"/>
                        <w:lang w:eastAsia="fr-FR"/>
                      </w:rPr>
                      <m:t>ij</m:t>
                    </m:r>
                  </m:sub>
                  <m:sup>
                    <m:r>
                      <w:rPr>
                        <w:rFonts w:ascii="Cambria Math" w:hAnsi="Cambria Math"/>
                        <w:lang w:eastAsia="fr-FR"/>
                      </w:rPr>
                      <m:t>meas</m:t>
                    </m:r>
                  </m:sup>
                </m:sSubSup>
                <m:sSup>
                  <m:sSupPr>
                    <m:ctrlPr>
                      <w:rPr>
                        <w:rFonts w:ascii="Cambria Math" w:hAnsi="Cambria Math"/>
                        <w:i/>
                        <w:lang w:eastAsia="fr-FR"/>
                      </w:rPr>
                    </m:ctrlPr>
                  </m:sSupPr>
                  <m:e>
                    <m:r>
                      <w:rPr>
                        <w:rFonts w:ascii="Cambria Math" w:hAnsi="Cambria Math"/>
                        <w:lang w:eastAsia="fr-FR"/>
                      </w:rPr>
                      <m:t>)</m:t>
                    </m:r>
                  </m:e>
                  <m:sup>
                    <m:r>
                      <w:rPr>
                        <w:rFonts w:ascii="Cambria Math" w:hAnsi="Cambria Math"/>
                        <w:lang w:eastAsia="fr-FR"/>
                      </w:rPr>
                      <m:t>2</m:t>
                    </m:r>
                  </m:sup>
                </m:sSup>
                <m:r>
                  <w:rPr>
                    <w:rFonts w:ascii="Cambria Math" w:hAnsi="Cambria Math"/>
                    <w:lang w:eastAsia="fr-FR"/>
                  </w:rPr>
                  <m:t>+β.</m:t>
                </m:r>
                <m:nary>
                  <m:naryPr>
                    <m:chr m:val="∑"/>
                    <m:limLoc m:val="undOvr"/>
                    <m:ctrlPr>
                      <w:rPr>
                        <w:rFonts w:ascii="Cambria Math" w:hAnsi="Cambria Math"/>
                        <w:i/>
                        <w:lang w:eastAsia="fr-FR"/>
                      </w:rPr>
                    </m:ctrlPr>
                  </m:naryPr>
                  <m:sub>
                    <m:r>
                      <w:rPr>
                        <w:rFonts w:ascii="Cambria Math" w:hAnsi="Cambria Math"/>
                        <w:lang w:eastAsia="fr-FR"/>
                      </w:rPr>
                      <m:t>i=1</m:t>
                    </m:r>
                  </m:sub>
                  <m:sup>
                    <m:r>
                      <w:rPr>
                        <w:rFonts w:ascii="Cambria Math" w:hAnsi="Cambria Math"/>
                        <w:lang w:eastAsia="fr-FR"/>
                      </w:rPr>
                      <m:t>N</m:t>
                    </m:r>
                  </m:sup>
                  <m:e>
                    <m:r>
                      <w:rPr>
                        <w:rFonts w:ascii="Cambria Math" w:hAnsi="Cambria Math"/>
                        <w:lang w:eastAsia="fr-FR"/>
                      </w:rPr>
                      <m:t>std</m:t>
                    </m:r>
                    <m:d>
                      <m:dPr>
                        <m:ctrlPr>
                          <w:rPr>
                            <w:rFonts w:ascii="Cambria Math" w:hAnsi="Cambria Math"/>
                            <w:i/>
                            <w:lang w:eastAsia="fr-FR"/>
                          </w:rPr>
                        </m:ctrlPr>
                      </m:dPr>
                      <m:e>
                        <m:sSub>
                          <m:sSubPr>
                            <m:ctrlPr>
                              <w:rPr>
                                <w:rFonts w:ascii="Cambria Math" w:hAnsi="Cambria Math"/>
                                <w:i/>
                                <w:lang w:eastAsia="fr-FR"/>
                              </w:rPr>
                            </m:ctrlPr>
                          </m:sSubPr>
                          <m:e>
                            <m:r>
                              <w:rPr>
                                <w:rFonts w:ascii="Cambria Math" w:hAnsi="Cambria Math"/>
                                <w:lang w:eastAsia="fr-FR"/>
                              </w:rPr>
                              <m:t>I</m:t>
                            </m:r>
                          </m:e>
                          <m:sub>
                            <m:r>
                              <w:rPr>
                                <w:rFonts w:ascii="Cambria Math" w:hAnsi="Cambria Math"/>
                                <w:lang w:eastAsia="fr-FR"/>
                              </w:rPr>
                              <m:t>ia</m:t>
                            </m:r>
                          </m:sub>
                        </m:sSub>
                        <m:r>
                          <w:rPr>
                            <w:rFonts w:ascii="Cambria Math" w:hAnsi="Cambria Math"/>
                            <w:lang w:eastAsia="fr-FR"/>
                          </w:rPr>
                          <m:t>,</m:t>
                        </m:r>
                        <m:sSub>
                          <m:sSubPr>
                            <m:ctrlPr>
                              <w:rPr>
                                <w:rFonts w:ascii="Cambria Math" w:hAnsi="Cambria Math"/>
                                <w:i/>
                                <w:lang w:eastAsia="fr-FR"/>
                              </w:rPr>
                            </m:ctrlPr>
                          </m:sSubPr>
                          <m:e>
                            <m:r>
                              <w:rPr>
                                <w:rFonts w:ascii="Cambria Math" w:hAnsi="Cambria Math"/>
                                <w:lang w:eastAsia="fr-FR"/>
                              </w:rPr>
                              <m:t>I</m:t>
                            </m:r>
                          </m:e>
                          <m:sub>
                            <m:r>
                              <w:rPr>
                                <w:rFonts w:ascii="Cambria Math" w:hAnsi="Cambria Math"/>
                                <w:lang w:eastAsia="fr-FR"/>
                              </w:rPr>
                              <m:t>ib</m:t>
                            </m:r>
                          </m:sub>
                        </m:sSub>
                        <m:r>
                          <w:rPr>
                            <w:rFonts w:ascii="Cambria Math" w:hAnsi="Cambria Math"/>
                            <w:lang w:eastAsia="fr-FR"/>
                          </w:rPr>
                          <m:t>,</m:t>
                        </m:r>
                        <m:sSub>
                          <m:sSubPr>
                            <m:ctrlPr>
                              <w:rPr>
                                <w:rFonts w:ascii="Cambria Math" w:hAnsi="Cambria Math"/>
                                <w:i/>
                                <w:lang w:eastAsia="fr-FR"/>
                              </w:rPr>
                            </m:ctrlPr>
                          </m:sSubPr>
                          <m:e>
                            <m:r>
                              <w:rPr>
                                <w:rFonts w:ascii="Cambria Math" w:hAnsi="Cambria Math"/>
                                <w:lang w:eastAsia="fr-FR"/>
                              </w:rPr>
                              <m:t>I</m:t>
                            </m:r>
                          </m:e>
                          <m:sub>
                            <m:r>
                              <w:rPr>
                                <w:rFonts w:ascii="Cambria Math" w:hAnsi="Cambria Math"/>
                                <w:lang w:eastAsia="fr-FR"/>
                              </w:rPr>
                              <m:t>ic</m:t>
                            </m:r>
                          </m:sub>
                        </m:sSub>
                      </m:e>
                    </m:d>
                  </m:e>
                </m:nary>
              </m:e>
            </m:nary>
          </m:e>
        </m:nary>
      </m:oMath>
      <w:r w:rsidRPr="009E6122">
        <w:rPr>
          <w:lang w:eastAsia="fr-FR"/>
        </w:rPr>
        <w:t xml:space="preserve">  </w:t>
      </w:r>
      <w:r w:rsidRPr="009E6122">
        <w:tab/>
        <w:t>(</w:t>
      </w:r>
      <w:r>
        <w:t>5</w:t>
      </w:r>
      <w:r w:rsidRPr="009E6122">
        <w:t>)</w:t>
      </w:r>
    </w:p>
    <w:p w14:paraId="251B35CA" w14:textId="77777777" w:rsidR="00BA03AE" w:rsidRPr="00B047A8" w:rsidRDefault="00BA03AE" w:rsidP="00BA03AE">
      <w:pPr>
        <w:jc w:val="both"/>
        <w:rPr>
          <w:sz w:val="20"/>
          <w:lang w:eastAsia="fr-FR"/>
        </w:rPr>
      </w:pPr>
      <w:r w:rsidRPr="00B047A8">
        <w:rPr>
          <w:sz w:val="20"/>
          <w:lang w:eastAsia="fr-FR"/>
        </w:rPr>
        <w:t xml:space="preserve">Where: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384"/>
        <w:gridCol w:w="7486"/>
      </w:tblGrid>
      <w:tr w:rsidR="00BA03AE" w:rsidRPr="00B047A8" w14:paraId="75B4374F" w14:textId="77777777" w:rsidTr="00BA03AE">
        <w:trPr>
          <w:jc w:val="center"/>
        </w:trPr>
        <w:tc>
          <w:tcPr>
            <w:tcW w:w="796" w:type="pct"/>
          </w:tcPr>
          <w:p w14:paraId="1FEB555C" w14:textId="77777777" w:rsidR="00BA03AE" w:rsidRPr="00B047A8" w:rsidRDefault="00BA03AE" w:rsidP="00BA03AE">
            <w:pPr>
              <w:rPr>
                <w:sz w:val="20"/>
                <w:lang w:eastAsia="fr-FR"/>
              </w:rPr>
            </w:pPr>
            <m:oMathPara>
              <m:oMathParaPr>
                <m:jc m:val="right"/>
              </m:oMathParaPr>
              <m:oMath>
                <m:r>
                  <w:rPr>
                    <w:rFonts w:ascii="Cambria Math" w:hAnsi="Cambria Math"/>
                    <w:sz w:val="20"/>
                    <w:lang w:eastAsia="fr-FR"/>
                  </w:rPr>
                  <m:t>N</m:t>
                </m:r>
              </m:oMath>
            </m:oMathPara>
          </w:p>
        </w:tc>
        <w:tc>
          <w:tcPr>
            <w:tcW w:w="205" w:type="pct"/>
          </w:tcPr>
          <w:p w14:paraId="22366F22" w14:textId="77777777" w:rsidR="00BA03AE" w:rsidRPr="00B047A8" w:rsidRDefault="00BA03AE" w:rsidP="00BA03AE">
            <w:pPr>
              <w:jc w:val="both"/>
              <w:rPr>
                <w:sz w:val="20"/>
                <w:lang w:eastAsia="fr-FR"/>
              </w:rPr>
            </w:pPr>
            <w:r w:rsidRPr="00B047A8">
              <w:rPr>
                <w:sz w:val="20"/>
                <w:lang w:eastAsia="fr-FR"/>
              </w:rPr>
              <w:t>=</w:t>
            </w:r>
          </w:p>
        </w:tc>
        <w:tc>
          <w:tcPr>
            <w:tcW w:w="3999" w:type="pct"/>
          </w:tcPr>
          <w:p w14:paraId="1D52347C" w14:textId="77777777" w:rsidR="00BA03AE" w:rsidRPr="00B047A8" w:rsidRDefault="00BA03AE" w:rsidP="00BA03AE">
            <w:pPr>
              <w:jc w:val="both"/>
              <w:rPr>
                <w:sz w:val="20"/>
                <w:lang w:eastAsia="fr-FR"/>
              </w:rPr>
            </w:pPr>
            <w:r w:rsidRPr="00B047A8">
              <w:rPr>
                <w:sz w:val="20"/>
                <w:lang w:eastAsia="fr-FR"/>
              </w:rPr>
              <w:t xml:space="preserve">number of transformers in the distribution network;  </w:t>
            </w:r>
          </w:p>
        </w:tc>
      </w:tr>
      <w:tr w:rsidR="00BA03AE" w:rsidRPr="00B047A8" w14:paraId="311C8B04" w14:textId="77777777" w:rsidTr="00BA03AE">
        <w:trPr>
          <w:jc w:val="center"/>
        </w:trPr>
        <w:tc>
          <w:tcPr>
            <w:tcW w:w="796" w:type="pct"/>
          </w:tcPr>
          <w:p w14:paraId="1DBACFBB" w14:textId="77777777" w:rsidR="00BA03AE" w:rsidRPr="00B047A8" w:rsidRDefault="00BA03AE" w:rsidP="00BA03AE">
            <w:pPr>
              <w:rPr>
                <w:sz w:val="20"/>
                <w:lang w:eastAsia="fr-FR"/>
              </w:rPr>
            </w:pPr>
            <m:oMathPara>
              <m:oMathParaPr>
                <m:jc m:val="right"/>
              </m:oMathParaPr>
              <m:oMath>
                <m:r>
                  <w:rPr>
                    <w:rFonts w:ascii="Cambria Math" w:hAnsi="Cambria Math"/>
                    <w:sz w:val="20"/>
                    <w:lang w:eastAsia="fr-FR"/>
                  </w:rPr>
                  <m:t>x</m:t>
                </m:r>
              </m:oMath>
            </m:oMathPara>
          </w:p>
        </w:tc>
        <w:tc>
          <w:tcPr>
            <w:tcW w:w="205" w:type="pct"/>
          </w:tcPr>
          <w:p w14:paraId="22C0007E" w14:textId="77777777" w:rsidR="00BA03AE" w:rsidRPr="00B047A8" w:rsidRDefault="00BA03AE" w:rsidP="00BA03AE">
            <w:pPr>
              <w:jc w:val="both"/>
              <w:rPr>
                <w:sz w:val="20"/>
                <w:lang w:eastAsia="fr-FR"/>
              </w:rPr>
            </w:pPr>
            <w:r w:rsidRPr="00B047A8">
              <w:rPr>
                <w:sz w:val="20"/>
                <w:lang w:eastAsia="fr-FR"/>
              </w:rPr>
              <w:t>=</w:t>
            </w:r>
          </w:p>
        </w:tc>
        <w:tc>
          <w:tcPr>
            <w:tcW w:w="3999" w:type="pct"/>
          </w:tcPr>
          <w:p w14:paraId="3ADFA728" w14:textId="77777777" w:rsidR="00BA03AE" w:rsidRPr="00B047A8" w:rsidRDefault="00BA03AE" w:rsidP="00BA03AE">
            <w:pPr>
              <w:jc w:val="both"/>
              <w:rPr>
                <w:sz w:val="20"/>
                <w:lang w:eastAsia="fr-FR"/>
              </w:rPr>
            </w:pPr>
            <w:r w:rsidRPr="00B047A8">
              <w:rPr>
                <w:sz w:val="20"/>
                <w:lang w:eastAsia="fr-FR"/>
              </w:rPr>
              <w:t>vector of optimized phase loads (84 variables: 3 phases x 28 transformers)</w:t>
            </w:r>
          </w:p>
        </w:tc>
      </w:tr>
      <w:tr w:rsidR="00BA03AE" w:rsidRPr="00B047A8" w14:paraId="58EC97E5" w14:textId="77777777" w:rsidTr="00BA03AE">
        <w:trPr>
          <w:jc w:val="center"/>
        </w:trPr>
        <w:tc>
          <w:tcPr>
            <w:tcW w:w="796" w:type="pct"/>
          </w:tcPr>
          <w:p w14:paraId="2F0DD7FE" w14:textId="77777777" w:rsidR="00BA03AE" w:rsidRPr="00B047A8" w:rsidRDefault="00000000" w:rsidP="00BA03AE">
            <w:pPr>
              <w:rPr>
                <w:b/>
                <w:bCs/>
                <w:sz w:val="20"/>
                <w:lang w:eastAsia="fr-FR"/>
              </w:rPr>
            </w:pPr>
            <m:oMathPara>
              <m:oMathParaPr>
                <m:jc m:val="right"/>
              </m:oMathParaPr>
              <m:oMath>
                <m:sSubSup>
                  <m:sSubSupPr>
                    <m:ctrlPr>
                      <w:rPr>
                        <w:rFonts w:ascii="Cambria Math" w:hAnsi="Cambria Math"/>
                        <w:i/>
                        <w:sz w:val="20"/>
                        <w:lang w:eastAsia="fr-FR"/>
                      </w:rPr>
                    </m:ctrlPr>
                  </m:sSubSupPr>
                  <m:e>
                    <m:r>
                      <w:rPr>
                        <w:rFonts w:ascii="Cambria Math" w:hAnsi="Cambria Math"/>
                        <w:sz w:val="20"/>
                        <w:lang w:eastAsia="fr-FR"/>
                      </w:rPr>
                      <m:t>I</m:t>
                    </m:r>
                  </m:e>
                  <m:sub>
                    <m:r>
                      <w:rPr>
                        <w:rFonts w:ascii="Cambria Math" w:hAnsi="Cambria Math"/>
                        <w:sz w:val="20"/>
                        <w:lang w:eastAsia="fr-FR"/>
                      </w:rPr>
                      <m:t>ij</m:t>
                    </m:r>
                  </m:sub>
                  <m:sup>
                    <m:r>
                      <w:rPr>
                        <w:rFonts w:ascii="Cambria Math" w:hAnsi="Cambria Math"/>
                        <w:sz w:val="20"/>
                        <w:lang w:eastAsia="fr-FR"/>
                      </w:rPr>
                      <m:t>opt</m:t>
                    </m:r>
                  </m:sup>
                </m:sSubSup>
              </m:oMath>
            </m:oMathPara>
          </w:p>
        </w:tc>
        <w:tc>
          <w:tcPr>
            <w:tcW w:w="205" w:type="pct"/>
          </w:tcPr>
          <w:p w14:paraId="41240650" w14:textId="77777777" w:rsidR="00BA03AE" w:rsidRPr="00B047A8" w:rsidRDefault="00BA03AE" w:rsidP="00BA03AE">
            <w:pPr>
              <w:jc w:val="both"/>
              <w:rPr>
                <w:sz w:val="20"/>
                <w:lang w:eastAsia="fr-FR"/>
              </w:rPr>
            </w:pPr>
            <w:r w:rsidRPr="00B047A8">
              <w:rPr>
                <w:sz w:val="20"/>
                <w:lang w:eastAsia="fr-FR"/>
              </w:rPr>
              <w:t>=</w:t>
            </w:r>
          </w:p>
        </w:tc>
        <w:tc>
          <w:tcPr>
            <w:tcW w:w="3999" w:type="pct"/>
          </w:tcPr>
          <w:p w14:paraId="1E12F924" w14:textId="77777777" w:rsidR="00BA03AE" w:rsidRPr="00B047A8" w:rsidRDefault="00BA03AE" w:rsidP="00BA03AE">
            <w:pPr>
              <w:jc w:val="both"/>
              <w:rPr>
                <w:sz w:val="20"/>
                <w:lang w:eastAsia="fr-FR"/>
              </w:rPr>
            </w:pPr>
            <w:r w:rsidRPr="00B047A8">
              <w:rPr>
                <w:sz w:val="20"/>
                <w:lang w:eastAsia="fr-FR"/>
              </w:rPr>
              <w:t xml:space="preserve">optimized load currents for transformer </w:t>
            </w:r>
            <w:proofErr w:type="spellStart"/>
            <w:r w:rsidRPr="00B047A8">
              <w:rPr>
                <w:i/>
                <w:iCs/>
                <w:sz w:val="20"/>
                <w:lang w:eastAsia="fr-FR"/>
              </w:rPr>
              <w:t>i</w:t>
            </w:r>
            <w:proofErr w:type="spellEnd"/>
            <w:r w:rsidRPr="00B047A8">
              <w:rPr>
                <w:sz w:val="20"/>
                <w:lang w:eastAsia="fr-FR"/>
              </w:rPr>
              <w:t xml:space="preserve"> on phase </w:t>
            </w:r>
            <w:r w:rsidRPr="00B047A8">
              <w:rPr>
                <w:i/>
                <w:iCs/>
                <w:sz w:val="20"/>
                <w:lang w:eastAsia="fr-FR"/>
              </w:rPr>
              <w:t>j</w:t>
            </w:r>
          </w:p>
        </w:tc>
      </w:tr>
      <w:tr w:rsidR="00BA03AE" w:rsidRPr="00B047A8" w14:paraId="41DC1A8D" w14:textId="77777777" w:rsidTr="00BA03AE">
        <w:trPr>
          <w:jc w:val="center"/>
        </w:trPr>
        <w:tc>
          <w:tcPr>
            <w:tcW w:w="796" w:type="pct"/>
          </w:tcPr>
          <w:p w14:paraId="078C006A" w14:textId="77777777" w:rsidR="00BA03AE" w:rsidRPr="00B047A8" w:rsidRDefault="00000000" w:rsidP="00BA03AE">
            <w:pPr>
              <w:rPr>
                <w:b/>
                <w:bCs/>
                <w:sz w:val="20"/>
                <w:lang w:eastAsia="fr-FR"/>
              </w:rPr>
            </w:pPr>
            <m:oMathPara>
              <m:oMathParaPr>
                <m:jc m:val="right"/>
              </m:oMathParaPr>
              <m:oMath>
                <m:sSubSup>
                  <m:sSubSupPr>
                    <m:ctrlPr>
                      <w:rPr>
                        <w:rFonts w:ascii="Cambria Math" w:hAnsi="Cambria Math"/>
                        <w:i/>
                        <w:sz w:val="20"/>
                        <w:lang w:eastAsia="fr-FR"/>
                      </w:rPr>
                    </m:ctrlPr>
                  </m:sSubSupPr>
                  <m:e>
                    <m:r>
                      <w:rPr>
                        <w:rFonts w:ascii="Cambria Math" w:hAnsi="Cambria Math"/>
                        <w:sz w:val="20"/>
                        <w:lang w:eastAsia="fr-FR"/>
                      </w:rPr>
                      <m:t>I</m:t>
                    </m:r>
                  </m:e>
                  <m:sub>
                    <m:r>
                      <w:rPr>
                        <w:rFonts w:ascii="Cambria Math" w:hAnsi="Cambria Math"/>
                        <w:sz w:val="20"/>
                        <w:lang w:eastAsia="fr-FR"/>
                      </w:rPr>
                      <m:t>ij</m:t>
                    </m:r>
                  </m:sub>
                  <m:sup>
                    <m:r>
                      <w:rPr>
                        <w:rFonts w:ascii="Cambria Math" w:hAnsi="Cambria Math"/>
                        <w:sz w:val="20"/>
                        <w:lang w:eastAsia="fr-FR"/>
                      </w:rPr>
                      <m:t>meas</m:t>
                    </m:r>
                  </m:sup>
                </m:sSubSup>
              </m:oMath>
            </m:oMathPara>
          </w:p>
        </w:tc>
        <w:tc>
          <w:tcPr>
            <w:tcW w:w="205" w:type="pct"/>
          </w:tcPr>
          <w:p w14:paraId="20F89C48" w14:textId="77777777" w:rsidR="00BA03AE" w:rsidRPr="00B047A8" w:rsidRDefault="00BA03AE" w:rsidP="00BA03AE">
            <w:pPr>
              <w:jc w:val="both"/>
              <w:rPr>
                <w:sz w:val="20"/>
                <w:lang w:eastAsia="fr-FR"/>
              </w:rPr>
            </w:pPr>
            <w:r w:rsidRPr="00B047A8">
              <w:rPr>
                <w:sz w:val="20"/>
                <w:lang w:eastAsia="fr-FR"/>
              </w:rPr>
              <w:t>=</w:t>
            </w:r>
          </w:p>
        </w:tc>
        <w:tc>
          <w:tcPr>
            <w:tcW w:w="3999" w:type="pct"/>
          </w:tcPr>
          <w:p w14:paraId="7C902B5A" w14:textId="77777777" w:rsidR="00BA03AE" w:rsidRPr="00B047A8" w:rsidRDefault="00BA03AE" w:rsidP="00BA03AE">
            <w:pPr>
              <w:jc w:val="both"/>
              <w:rPr>
                <w:sz w:val="20"/>
                <w:lang w:eastAsia="fr-FR"/>
              </w:rPr>
            </w:pPr>
            <w:r w:rsidRPr="00B047A8">
              <w:rPr>
                <w:sz w:val="20"/>
                <w:lang w:eastAsia="fr-FR"/>
              </w:rPr>
              <w:t xml:space="preserve">measured current for transformer </w:t>
            </w:r>
            <w:proofErr w:type="spellStart"/>
            <w:r w:rsidRPr="00B047A8">
              <w:rPr>
                <w:i/>
                <w:iCs/>
                <w:sz w:val="20"/>
                <w:lang w:eastAsia="fr-FR"/>
              </w:rPr>
              <w:t>i</w:t>
            </w:r>
            <w:proofErr w:type="spellEnd"/>
            <w:r w:rsidRPr="00B047A8">
              <w:rPr>
                <w:sz w:val="20"/>
                <w:lang w:eastAsia="fr-FR"/>
              </w:rPr>
              <w:t xml:space="preserve"> on phase </w:t>
            </w:r>
            <w:r w:rsidRPr="00B047A8">
              <w:rPr>
                <w:i/>
                <w:iCs/>
                <w:sz w:val="20"/>
                <w:lang w:eastAsia="fr-FR"/>
              </w:rPr>
              <w:t>j</w:t>
            </w:r>
          </w:p>
        </w:tc>
      </w:tr>
      <w:tr w:rsidR="00BA03AE" w:rsidRPr="00B047A8" w14:paraId="7FFDCB07" w14:textId="77777777" w:rsidTr="00BA03AE">
        <w:trPr>
          <w:jc w:val="center"/>
        </w:trPr>
        <w:tc>
          <w:tcPr>
            <w:tcW w:w="796" w:type="pct"/>
          </w:tcPr>
          <w:p w14:paraId="33F35AA1" w14:textId="77777777" w:rsidR="00BA03AE" w:rsidRPr="00B047A8" w:rsidRDefault="00BA03AE" w:rsidP="00BA03AE">
            <w:pPr>
              <w:rPr>
                <w:sz w:val="20"/>
                <w:lang w:eastAsia="fr-FR"/>
              </w:rPr>
            </w:pPr>
            <m:oMathPara>
              <m:oMathParaPr>
                <m:jc m:val="right"/>
              </m:oMathParaPr>
              <m:oMath>
                <m:r>
                  <w:rPr>
                    <w:rFonts w:ascii="Cambria Math" w:hAnsi="Cambria Math"/>
                    <w:sz w:val="20"/>
                    <w:lang w:eastAsia="fr-FR"/>
                  </w:rPr>
                  <m:t>std</m:t>
                </m:r>
                <m:d>
                  <m:dPr>
                    <m:ctrlPr>
                      <w:rPr>
                        <w:rFonts w:ascii="Cambria Math" w:hAnsi="Cambria Math"/>
                        <w:i/>
                        <w:sz w:val="20"/>
                        <w:lang w:eastAsia="fr-FR"/>
                      </w:rPr>
                    </m:ctrlPr>
                  </m:dPr>
                  <m:e>
                    <m:sSub>
                      <m:sSubPr>
                        <m:ctrlPr>
                          <w:rPr>
                            <w:rFonts w:ascii="Cambria Math" w:hAnsi="Cambria Math"/>
                            <w:i/>
                            <w:sz w:val="20"/>
                            <w:lang w:eastAsia="fr-FR"/>
                          </w:rPr>
                        </m:ctrlPr>
                      </m:sSubPr>
                      <m:e>
                        <m:r>
                          <w:rPr>
                            <w:rFonts w:ascii="Cambria Math" w:hAnsi="Cambria Math"/>
                            <w:sz w:val="20"/>
                            <w:lang w:eastAsia="fr-FR"/>
                          </w:rPr>
                          <m:t>I</m:t>
                        </m:r>
                      </m:e>
                      <m:sub>
                        <m:r>
                          <w:rPr>
                            <w:rFonts w:ascii="Cambria Math" w:hAnsi="Cambria Math"/>
                            <w:sz w:val="20"/>
                            <w:lang w:eastAsia="fr-FR"/>
                          </w:rPr>
                          <m:t>ia</m:t>
                        </m:r>
                      </m:sub>
                    </m:sSub>
                    <m:r>
                      <w:rPr>
                        <w:rFonts w:ascii="Cambria Math" w:hAnsi="Cambria Math"/>
                        <w:sz w:val="20"/>
                        <w:lang w:eastAsia="fr-FR"/>
                      </w:rPr>
                      <m:t>,</m:t>
                    </m:r>
                    <m:sSub>
                      <m:sSubPr>
                        <m:ctrlPr>
                          <w:rPr>
                            <w:rFonts w:ascii="Cambria Math" w:hAnsi="Cambria Math"/>
                            <w:i/>
                            <w:sz w:val="20"/>
                            <w:lang w:eastAsia="fr-FR"/>
                          </w:rPr>
                        </m:ctrlPr>
                      </m:sSubPr>
                      <m:e>
                        <m:r>
                          <w:rPr>
                            <w:rFonts w:ascii="Cambria Math" w:hAnsi="Cambria Math"/>
                            <w:sz w:val="20"/>
                            <w:lang w:eastAsia="fr-FR"/>
                          </w:rPr>
                          <m:t>I</m:t>
                        </m:r>
                      </m:e>
                      <m:sub>
                        <m:r>
                          <w:rPr>
                            <w:rFonts w:ascii="Cambria Math" w:hAnsi="Cambria Math"/>
                            <w:sz w:val="20"/>
                            <w:lang w:eastAsia="fr-FR"/>
                          </w:rPr>
                          <m:t>ib</m:t>
                        </m:r>
                      </m:sub>
                    </m:sSub>
                    <m:r>
                      <w:rPr>
                        <w:rFonts w:ascii="Cambria Math" w:hAnsi="Cambria Math"/>
                        <w:sz w:val="20"/>
                        <w:lang w:eastAsia="fr-FR"/>
                      </w:rPr>
                      <m:t>,</m:t>
                    </m:r>
                    <m:sSub>
                      <m:sSubPr>
                        <m:ctrlPr>
                          <w:rPr>
                            <w:rFonts w:ascii="Cambria Math" w:hAnsi="Cambria Math"/>
                            <w:i/>
                            <w:sz w:val="20"/>
                            <w:lang w:eastAsia="fr-FR"/>
                          </w:rPr>
                        </m:ctrlPr>
                      </m:sSubPr>
                      <m:e>
                        <m:r>
                          <w:rPr>
                            <w:rFonts w:ascii="Cambria Math" w:hAnsi="Cambria Math"/>
                            <w:sz w:val="20"/>
                            <w:lang w:eastAsia="fr-FR"/>
                          </w:rPr>
                          <m:t>I</m:t>
                        </m:r>
                      </m:e>
                      <m:sub>
                        <m:r>
                          <w:rPr>
                            <w:rFonts w:ascii="Cambria Math" w:hAnsi="Cambria Math"/>
                            <w:sz w:val="20"/>
                            <w:lang w:eastAsia="fr-FR"/>
                          </w:rPr>
                          <m:t>ic</m:t>
                        </m:r>
                      </m:sub>
                    </m:sSub>
                  </m:e>
                </m:d>
              </m:oMath>
            </m:oMathPara>
          </w:p>
        </w:tc>
        <w:tc>
          <w:tcPr>
            <w:tcW w:w="205" w:type="pct"/>
          </w:tcPr>
          <w:p w14:paraId="19E8B04D" w14:textId="77777777" w:rsidR="00BA03AE" w:rsidRPr="00B047A8" w:rsidRDefault="00BA03AE" w:rsidP="00BA03AE">
            <w:pPr>
              <w:jc w:val="both"/>
              <w:rPr>
                <w:sz w:val="20"/>
                <w:lang w:eastAsia="fr-FR"/>
              </w:rPr>
            </w:pPr>
            <w:r w:rsidRPr="00B047A8">
              <w:rPr>
                <w:sz w:val="20"/>
                <w:lang w:eastAsia="fr-FR"/>
              </w:rPr>
              <w:t>=</w:t>
            </w:r>
          </w:p>
        </w:tc>
        <w:tc>
          <w:tcPr>
            <w:tcW w:w="3999" w:type="pct"/>
          </w:tcPr>
          <w:p w14:paraId="0EC03D56" w14:textId="77777777" w:rsidR="00BA03AE" w:rsidRPr="00B047A8" w:rsidRDefault="00BA03AE" w:rsidP="00BA03AE">
            <w:pPr>
              <w:jc w:val="both"/>
              <w:rPr>
                <w:sz w:val="20"/>
                <w:lang w:eastAsia="fr-FR"/>
              </w:rPr>
            </w:pPr>
            <w:r w:rsidRPr="00B047A8">
              <w:rPr>
                <w:sz w:val="20"/>
                <w:lang w:eastAsia="fr-FR"/>
              </w:rPr>
              <w:t xml:space="preserve">standard deviation of phase currents (quantifying imbalance) </w:t>
            </w:r>
          </w:p>
        </w:tc>
      </w:tr>
      <w:tr w:rsidR="00BA03AE" w:rsidRPr="00B047A8" w14:paraId="20C64E87" w14:textId="77777777" w:rsidTr="00BA03AE">
        <w:trPr>
          <w:jc w:val="center"/>
        </w:trPr>
        <w:tc>
          <w:tcPr>
            <w:tcW w:w="796" w:type="pct"/>
          </w:tcPr>
          <w:p w14:paraId="4662D3FD" w14:textId="77777777" w:rsidR="00BA03AE" w:rsidRPr="00B047A8" w:rsidRDefault="00BA03AE" w:rsidP="00BA03AE">
            <w:pPr>
              <w:rPr>
                <w:sz w:val="20"/>
                <w:lang w:eastAsia="fr-FR"/>
              </w:rPr>
            </w:pPr>
            <m:oMathPara>
              <m:oMathParaPr>
                <m:jc m:val="right"/>
              </m:oMathParaPr>
              <m:oMath>
                <m:r>
                  <m:rPr>
                    <m:sty m:val="p"/>
                  </m:rPr>
                  <w:rPr>
                    <w:rStyle w:val="Emphasis"/>
                    <w:rFonts w:ascii="Cambria Math" w:hAnsi="Cambria Math"/>
                    <w:sz w:val="20"/>
                  </w:rPr>
                  <m:t>(α, β)</m:t>
                </m:r>
              </m:oMath>
            </m:oMathPara>
          </w:p>
        </w:tc>
        <w:tc>
          <w:tcPr>
            <w:tcW w:w="205" w:type="pct"/>
          </w:tcPr>
          <w:p w14:paraId="586B61E8" w14:textId="77777777" w:rsidR="00BA03AE" w:rsidRPr="00B047A8" w:rsidRDefault="00BA03AE" w:rsidP="00BA03AE">
            <w:pPr>
              <w:jc w:val="both"/>
              <w:rPr>
                <w:sz w:val="20"/>
                <w:lang w:eastAsia="fr-FR"/>
              </w:rPr>
            </w:pPr>
            <w:r w:rsidRPr="00B047A8">
              <w:rPr>
                <w:sz w:val="20"/>
                <w:lang w:eastAsia="fr-FR"/>
              </w:rPr>
              <w:t>=</w:t>
            </w:r>
          </w:p>
        </w:tc>
        <w:tc>
          <w:tcPr>
            <w:tcW w:w="3999" w:type="pct"/>
          </w:tcPr>
          <w:p w14:paraId="2A97E8AF" w14:textId="77777777" w:rsidR="00BA03AE" w:rsidRPr="00B047A8" w:rsidRDefault="00BA03AE" w:rsidP="00BA03AE">
            <w:pPr>
              <w:jc w:val="both"/>
              <w:rPr>
                <w:sz w:val="20"/>
                <w:lang w:eastAsia="fr-FR"/>
              </w:rPr>
            </w:pPr>
            <w:proofErr w:type="gramStart"/>
            <w:r w:rsidRPr="00B047A8">
              <w:rPr>
                <w:sz w:val="20"/>
                <w:lang w:eastAsia="fr-FR"/>
              </w:rPr>
              <w:t>weighting</w:t>
            </w:r>
            <w:proofErr w:type="gramEnd"/>
            <w:r w:rsidRPr="00B047A8">
              <w:rPr>
                <w:sz w:val="20"/>
                <w:lang w:eastAsia="fr-FR"/>
              </w:rPr>
              <w:t xml:space="preserve"> coefficients balancing tracking accuracy and symmetry</w:t>
            </w:r>
          </w:p>
        </w:tc>
      </w:tr>
    </w:tbl>
    <w:p w14:paraId="31D66FE8" w14:textId="64B791CA" w:rsidR="00BA03AE" w:rsidRDefault="00BA03AE" w:rsidP="005E0E88">
      <w:pPr>
        <w:ind w:firstLine="284"/>
        <w:jc w:val="both"/>
        <w:rPr>
          <w:rStyle w:val="Emphasis"/>
          <w:i w:val="0"/>
          <w:sz w:val="20"/>
        </w:rPr>
      </w:pPr>
      <w:r w:rsidRPr="00B047A8">
        <w:rPr>
          <w:rStyle w:val="Emphasis"/>
          <w:i w:val="0"/>
          <w:sz w:val="20"/>
        </w:rPr>
        <w:t xml:space="preserve">Operational constraints ensure compliance with transformer ratings per IEC 60076-1, where phase currents satisfy </w:t>
      </w:r>
      <w:r w:rsidRPr="00B047A8">
        <w:rPr>
          <w:iCs/>
          <w:sz w:val="20"/>
        </w:rPr>
        <w:fldChar w:fldCharType="begin" w:fldLock="1"/>
      </w:r>
      <w:r w:rsidR="00F66D0F">
        <w:rPr>
          <w:iCs/>
          <w:sz w:val="20"/>
        </w:rPr>
        <w:instrText>ADDIN CSL_CITATION {"citationItems":[{"id":"ITEM-1","itemData":{"DOI":"10.3390/machines10010013","ISSN":"20751702","abstract":"Recently, the superiority of multi-phase systems in comparison to three-phase energy systems has been demonstrated with regards to power generation, transmission, distribution, and utilization in particular. Generally, two techniques, specifically semiconductor converter and special transformers (static and passive transformation) have been commonly employed for power generation by utilizing multi-phase systems from the available three-phase power system. The generation of multi-phase power at a fixed frequency by utilizing the static transformation method presents certain advantages compared to semiconductor converters such as reliability, cost-effectiveness, efficiency, and lower total harmonics distortion (THD). Multi-phase transformers are essential to evaluate the parameters of a multi-phase motor, as they require a multi-phase signal that is pure sine wave in nature. However, multi-phase transformers are not suitable for variable frequency applications. Moreover, they have shortcomings with regard to impedance mismatching, the unequal number of turns which lead to inaccurate results in per phase equivalent circuits, which results in an imbalance output in phase voltages and currents. Therefore, this paper aims to investigate multi-phase power transformation from a three-phase system and examine the different static multiphase transformation techniques. In line with this matter, this study outlines various theories and configurations of transformers, including three-phase to five-, seven-, eleven-, and thirteen-phase transformers. Moreover, the review discusses impedance mismatching, voltage unbalance, and per phase equivalent circuit modeling and fault analysis in multi-phase systems. Moreover, various artificial intelligence-based optimization techniques such as particle swarm optimization (PSO) and the genetic algorithm (GA) are explored to address various existing issues. Finally, the review delivers effective future suggestions that would serve as valuable opportunities, guidelines, and directions for power engineers, industries, and decision-makers to further research on multi-phase transformer improvements towards sustainable operation and management.","author":[{"dropping-particle":"","family":"Tabrez","given":"Md","non-dropping-particle":"","parse-names":false,"suffix":""},{"dropping-particle":"","family":"Sadhu","given":"Pradip Kumar","non-dropping-particle":"","parse-names":false,"suffix":""},{"dropping-particle":"","family":"Lipu","given":"Molla Shahadat Hossain","non-dropping-particle":"","parse-names":false,"suffix":""},{"dropping-particle":"","family":"Iqbal","given":"Atif","non-dropping-particle":"","parse-names":false,"suffix":""},{"dropping-particle":"","family":"Husain","given":"Mohammed Aslam","non-dropping-particle":"","parse-names":false,"suffix":""},{"dropping-particle":"","family":"Ansari","given":"Shaheer","non-dropping-particle":"","parse-names":false,"suffix":""}],"container-title":"Machines","id":"ITEM-1","issue":"1","issued":{"date-parts":[["2022"]]},"title":"Power conversion techniques using multi-phase transformer: Configurations, applications, issues and recommendations","type":"article-journal","volume":"10"},"uris":["http://www.mendeley.com/documents/?uuid=f60b0f7e-a633-37f6-b2f8-7d0ae155de77"]}],"mendeley":{"formattedCitation":"&lt;sup&gt;38&lt;/sup&gt;","plainTextFormattedCitation":"38","previouslyFormattedCitation":"[38]"},"properties":{"noteIndex":0},"schema":"https://github.com/citation-style-language/schema/raw/master/csl-citation.json"}</w:instrText>
      </w:r>
      <w:r w:rsidRPr="00B047A8">
        <w:rPr>
          <w:iCs/>
          <w:sz w:val="20"/>
        </w:rPr>
        <w:fldChar w:fldCharType="separate"/>
      </w:r>
      <w:r w:rsidR="00F66D0F" w:rsidRPr="00F66D0F">
        <w:rPr>
          <w:iCs/>
          <w:noProof/>
          <w:sz w:val="20"/>
          <w:vertAlign w:val="superscript"/>
        </w:rPr>
        <w:t>38</w:t>
      </w:r>
      <w:r w:rsidRPr="00B047A8">
        <w:rPr>
          <w:iCs/>
          <w:sz w:val="20"/>
        </w:rPr>
        <w:fldChar w:fldCharType="end"/>
      </w:r>
      <w:r w:rsidRPr="00B047A8">
        <w:rPr>
          <w:rStyle w:val="Emphasis"/>
          <w:i w:val="0"/>
          <w:iCs w:val="0"/>
          <w:sz w:val="20"/>
        </w:rPr>
        <w:t xml:space="preserve"> </w:t>
      </w:r>
      <w:r w:rsidRPr="00B047A8">
        <w:rPr>
          <w:rStyle w:val="Emphasis"/>
          <w:i w:val="0"/>
          <w:iCs w:val="0"/>
          <w:sz w:val="20"/>
        </w:rPr>
        <w:fldChar w:fldCharType="begin" w:fldLock="1"/>
      </w:r>
      <w:r w:rsidR="00F66D0F">
        <w:rPr>
          <w:rStyle w:val="Emphasis"/>
          <w:i w:val="0"/>
          <w:sz w:val="20"/>
        </w:rPr>
        <w:instrText>ADDIN CSL_CITATION {"citationItems":[{"id":"ITEM-1","itemData":{"DOI":"10.32497/eksergi.v18i3.3765","ISSN":"0216-8685","abstract":"Turn ratio test is a comparison test of the number of secondary turns with the primary turns on the transformer. The turns ratio and group vector testing is one of the routine transformer tests. This test generally uses the Transformer Turns Ratio (TTR) test tool, the test equipment used sometimes experiences technical and non-technical problems so a comparative test method is needed to get a good analysis. The research method used is observational research and literature study, namely analyzing the transformer to be studied by conducting TTR testing in two ways, namely testing with test equipment and three-phase low voltage sources, aiming to obtain a very good level of accuracy. The test results were analyzed and compared with theory and calculations, with reference to the IEC 60076-1 standard. The results of the comparison of windings and group vectors using TTR 100 test equipment and a 3-phase low voltage source (TVR) show the same conclusions as the results of the analysis, where the first transformer sample is in normal condition and meets the requirements. SPLN D3.002-1:2007 or IEC Standard 60076-1. While the second sample transformer is in an abnormal condition in the W winding where the difference value is above 0.5%.","author":[{"dropping-particle":"","family":"Hidayat","given":"Taopik","non-dropping-particle":"","parse-names":false,"suffix":""},{"dropping-particle":"","family":"Dionova","given":"Brainvendra Widi","non-dropping-particle":"","parse-names":false,"suffix":""},{"dropping-particle":"","family":"Wilyanti","given":"Sinka","non-dropping-particle":"","parse-names":false,"suffix":""},{"dropping-particle":"","family":"Mohammed","given":"M. N.","non-dropping-particle":"","parse-names":false,"suffix":""}],"container-title":"Eksergi","id":"ITEM-1","issue":"3","issued":{"date-parts":[["2022"]]},"title":"Comparative Analysis of Windings and Vector Groups in 20/0.4 kV Distribution Transformers at CV. Centrado Prima","type":"article-journal","volume":"18"},"uris":["http://www.mendeley.com/documents/?uuid=ef571ad3-9e9c-3a95-a2fb-3f7b3c9503ef"]}],"mendeley":{"formattedCitation":"&lt;sup&gt;39&lt;/sup&gt;","plainTextFormattedCitation":"39","previouslyFormattedCitation":"[39]"},"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39</w:t>
      </w:r>
      <w:r w:rsidRPr="00B047A8">
        <w:rPr>
          <w:rStyle w:val="Emphasis"/>
          <w:i w:val="0"/>
          <w:iCs w:val="0"/>
          <w:sz w:val="20"/>
        </w:rPr>
        <w:fldChar w:fldCharType="end"/>
      </w:r>
      <w:r w:rsidRPr="00B047A8">
        <w:rPr>
          <w:rStyle w:val="Emphasis"/>
          <w:i w:val="0"/>
          <w:sz w:val="20"/>
        </w:rPr>
        <w:t>:</w:t>
      </w:r>
    </w:p>
    <w:p w14:paraId="610AA569" w14:textId="61144D52" w:rsidR="009E6122" w:rsidRPr="009E6122" w:rsidRDefault="009E6122" w:rsidP="009E6122">
      <w:pPr>
        <w:pStyle w:val="Equation"/>
        <w:ind w:left="56"/>
        <w:rPr>
          <w:rStyle w:val="Emphasis"/>
          <w:i w:val="0"/>
          <w:iCs w:val="0"/>
        </w:rPr>
      </w:pPr>
      <w:r>
        <w:tab/>
      </w:r>
      <m:oMath>
        <m:sSub>
          <m:sSubPr>
            <m:ctrlPr>
              <w:rPr>
                <w:rFonts w:ascii="Cambria Math" w:hAnsi="Cambria Math"/>
                <w:i/>
                <w:lang w:eastAsia="fr-FR"/>
              </w:rPr>
            </m:ctrlPr>
          </m:sSubPr>
          <m:e>
            <m:r>
              <w:rPr>
                <w:rFonts w:ascii="Cambria Math" w:hAnsi="Cambria Math"/>
                <w:lang w:eastAsia="fr-FR"/>
              </w:rPr>
              <m:t>I</m:t>
            </m:r>
          </m:e>
          <m:sub>
            <m:r>
              <w:rPr>
                <w:rFonts w:ascii="Cambria Math" w:hAnsi="Cambria Math"/>
                <w:lang w:eastAsia="fr-FR"/>
              </w:rPr>
              <m:t>min</m:t>
            </m:r>
          </m:sub>
        </m:sSub>
        <m:r>
          <w:rPr>
            <w:rFonts w:ascii="Cambria Math" w:hAnsi="Cambria Math"/>
            <w:lang w:eastAsia="fr-FR"/>
          </w:rPr>
          <m:t>≤</m:t>
        </m:r>
        <m:sSubSup>
          <m:sSubSupPr>
            <m:ctrlPr>
              <w:rPr>
                <w:rFonts w:ascii="Cambria Math" w:hAnsi="Cambria Math"/>
                <w:i/>
                <w:lang w:eastAsia="fr-FR"/>
              </w:rPr>
            </m:ctrlPr>
          </m:sSubSupPr>
          <m:e>
            <m:r>
              <w:rPr>
                <w:rFonts w:ascii="Cambria Math" w:hAnsi="Cambria Math"/>
                <w:lang w:eastAsia="fr-FR"/>
              </w:rPr>
              <m:t>I</m:t>
            </m:r>
          </m:e>
          <m:sub>
            <m:r>
              <w:rPr>
                <w:rFonts w:ascii="Cambria Math" w:hAnsi="Cambria Math"/>
                <w:lang w:eastAsia="fr-FR"/>
              </w:rPr>
              <m:t>ij</m:t>
            </m:r>
          </m:sub>
          <m:sup>
            <m:r>
              <w:rPr>
                <w:rFonts w:ascii="Cambria Math" w:hAnsi="Cambria Math"/>
                <w:lang w:eastAsia="fr-FR"/>
              </w:rPr>
              <m:t>opt</m:t>
            </m:r>
          </m:sup>
        </m:sSubSup>
        <m:r>
          <w:rPr>
            <w:rFonts w:ascii="Cambria Math" w:hAnsi="Cambria Math"/>
            <w:lang w:eastAsia="fr-FR"/>
          </w:rPr>
          <m:t>≤</m:t>
        </m:r>
        <m:sSub>
          <m:sSubPr>
            <m:ctrlPr>
              <w:rPr>
                <w:rFonts w:ascii="Cambria Math" w:hAnsi="Cambria Math"/>
                <w:i/>
                <w:lang w:eastAsia="fr-FR"/>
              </w:rPr>
            </m:ctrlPr>
          </m:sSubPr>
          <m:e>
            <m:r>
              <w:rPr>
                <w:rFonts w:ascii="Cambria Math" w:hAnsi="Cambria Math"/>
                <w:lang w:eastAsia="fr-FR"/>
              </w:rPr>
              <m:t>I</m:t>
            </m:r>
          </m:e>
          <m:sub>
            <m:r>
              <w:rPr>
                <w:rFonts w:ascii="Cambria Math" w:hAnsi="Cambria Math"/>
                <w:lang w:eastAsia="fr-FR"/>
              </w:rPr>
              <m:t>max</m:t>
            </m:r>
          </m:sub>
        </m:sSub>
      </m:oMath>
      <w:r w:rsidRPr="009E6122">
        <w:rPr>
          <w:lang w:eastAsia="fr-FR"/>
        </w:rPr>
        <w:t xml:space="preserve">  </w:t>
      </w:r>
      <w:r w:rsidRPr="009E6122">
        <w:tab/>
        <w:t>(</w:t>
      </w:r>
      <w:r>
        <w:t>6</w:t>
      </w:r>
      <w:r w:rsidRPr="009E6122">
        <w:t>)</w:t>
      </w:r>
    </w:p>
    <w:p w14:paraId="4F3EC2A4" w14:textId="65DF1AB2" w:rsidR="00BA03AE" w:rsidRPr="00B047A8" w:rsidRDefault="00BA03AE" w:rsidP="008B0A1D">
      <w:pPr>
        <w:ind w:firstLine="284"/>
        <w:jc w:val="both"/>
        <w:rPr>
          <w:sz w:val="20"/>
          <w:lang w:eastAsia="fr-FR"/>
        </w:rPr>
      </w:pPr>
      <w:proofErr w:type="gramStart"/>
      <w:r w:rsidRPr="00B047A8">
        <w:rPr>
          <w:sz w:val="20"/>
          <w:lang w:eastAsia="fr-FR"/>
        </w:rPr>
        <w:t>Where</w:t>
      </w:r>
      <w:proofErr w:type="gramEnd"/>
      <w:r w:rsidRPr="00B047A8">
        <w:rPr>
          <w:sz w:val="20"/>
          <w:lang w:eastAsia="fr-FR"/>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9"/>
        <w:gridCol w:w="6241"/>
      </w:tblGrid>
      <w:tr w:rsidR="00BA03AE" w:rsidRPr="00B047A8" w14:paraId="6FC18FC4" w14:textId="77777777" w:rsidTr="003E619F">
        <w:trPr>
          <w:jc w:val="center"/>
        </w:trPr>
        <w:tc>
          <w:tcPr>
            <w:tcW w:w="1287" w:type="pct"/>
          </w:tcPr>
          <w:p w14:paraId="35BDE41F" w14:textId="633FE317" w:rsidR="00BA03AE" w:rsidRPr="00B047A8" w:rsidRDefault="00000000" w:rsidP="00BA03AE">
            <w:pPr>
              <w:rPr>
                <w:sz w:val="20"/>
                <w:lang w:eastAsia="fr-FR"/>
              </w:rPr>
            </w:pPr>
            <m:oMathPara>
              <m:oMathParaPr>
                <m:jc m:val="right"/>
              </m:oMathParaPr>
              <m:oMath>
                <m:sSub>
                  <m:sSubPr>
                    <m:ctrlPr>
                      <w:rPr>
                        <w:rFonts w:ascii="Cambria Math" w:hAnsi="Cambria Math"/>
                        <w:i/>
                        <w:sz w:val="20"/>
                        <w:lang w:eastAsia="fr-FR"/>
                      </w:rPr>
                    </m:ctrlPr>
                  </m:sSubPr>
                  <m:e>
                    <m:r>
                      <w:rPr>
                        <w:rFonts w:ascii="Cambria Math" w:hAnsi="Cambria Math"/>
                        <w:sz w:val="20"/>
                        <w:lang w:eastAsia="fr-FR"/>
                      </w:rPr>
                      <m:t>I</m:t>
                    </m:r>
                  </m:e>
                  <m:sub>
                    <m:r>
                      <w:rPr>
                        <w:rFonts w:ascii="Cambria Math" w:hAnsi="Cambria Math"/>
                        <w:sz w:val="20"/>
                        <w:lang w:eastAsia="fr-FR"/>
                      </w:rPr>
                      <m:t>max</m:t>
                    </m:r>
                  </m:sub>
                </m:sSub>
                <m:r>
                  <w:rPr>
                    <w:rFonts w:ascii="Cambria Math" w:hAnsi="Cambria Math"/>
                    <w:sz w:val="20"/>
                    <w:lang w:eastAsia="fr-FR"/>
                  </w:rPr>
                  <m:t>=</m:t>
                </m:r>
                <m:f>
                  <m:fPr>
                    <m:ctrlPr>
                      <w:rPr>
                        <w:rFonts w:ascii="Cambria Math" w:hAnsi="Cambria Math"/>
                        <w:i/>
                        <w:sz w:val="20"/>
                        <w:lang w:eastAsia="fr-FR"/>
                      </w:rPr>
                    </m:ctrlPr>
                  </m:fPr>
                  <m:num>
                    <m:sSub>
                      <m:sSubPr>
                        <m:ctrlPr>
                          <w:rPr>
                            <w:rFonts w:ascii="Cambria Math" w:hAnsi="Cambria Math"/>
                            <w:i/>
                            <w:sz w:val="20"/>
                            <w:lang w:eastAsia="fr-FR"/>
                          </w:rPr>
                        </m:ctrlPr>
                      </m:sSubPr>
                      <m:e>
                        <m:r>
                          <w:rPr>
                            <w:rFonts w:ascii="Cambria Math" w:hAnsi="Cambria Math"/>
                            <w:sz w:val="20"/>
                            <w:lang w:eastAsia="fr-FR"/>
                          </w:rPr>
                          <m:t>P</m:t>
                        </m:r>
                      </m:e>
                      <m:sub>
                        <m:r>
                          <w:rPr>
                            <w:rFonts w:ascii="Cambria Math" w:hAnsi="Cambria Math"/>
                            <w:sz w:val="20"/>
                            <w:lang w:eastAsia="fr-FR"/>
                          </w:rPr>
                          <m:t>nom</m:t>
                        </m:r>
                      </m:sub>
                    </m:sSub>
                  </m:num>
                  <m:den>
                    <m:rad>
                      <m:radPr>
                        <m:degHide m:val="1"/>
                        <m:ctrlPr>
                          <w:rPr>
                            <w:rFonts w:ascii="Cambria Math" w:hAnsi="Cambria Math"/>
                            <w:i/>
                            <w:sz w:val="20"/>
                            <w:lang w:eastAsia="fr-FR"/>
                          </w:rPr>
                        </m:ctrlPr>
                      </m:radPr>
                      <m:deg/>
                      <m:e>
                        <m:r>
                          <w:rPr>
                            <w:rFonts w:ascii="Cambria Math" w:hAnsi="Cambria Math"/>
                            <w:sz w:val="20"/>
                            <w:lang w:eastAsia="fr-FR"/>
                          </w:rPr>
                          <m:t>3</m:t>
                        </m:r>
                      </m:e>
                    </m:rad>
                    <m:r>
                      <w:rPr>
                        <w:rFonts w:ascii="Cambria Math" w:hAnsi="Cambria Math"/>
                        <w:sz w:val="20"/>
                        <w:lang w:eastAsia="fr-FR"/>
                      </w:rPr>
                      <m:t>.V.cosφ</m:t>
                    </m:r>
                  </m:den>
                </m:f>
              </m:oMath>
            </m:oMathPara>
          </w:p>
        </w:tc>
        <w:tc>
          <w:tcPr>
            <w:tcW w:w="379" w:type="pct"/>
          </w:tcPr>
          <w:p w14:paraId="50E54B3C" w14:textId="42CD77FB" w:rsidR="00BA03AE" w:rsidRPr="00B047A8" w:rsidRDefault="003E619F" w:rsidP="00BA03AE">
            <w:pPr>
              <w:jc w:val="both"/>
              <w:rPr>
                <w:sz w:val="20"/>
                <w:lang w:eastAsia="fr-FR"/>
              </w:rPr>
            </w:pPr>
            <w:r w:rsidRPr="00B047A8">
              <w:rPr>
                <w:sz w:val="20"/>
                <w:lang w:eastAsia="fr-FR"/>
              </w:rPr>
              <w:t>:</w:t>
            </w:r>
          </w:p>
        </w:tc>
        <w:tc>
          <w:tcPr>
            <w:tcW w:w="3334" w:type="pct"/>
          </w:tcPr>
          <w:p w14:paraId="07840BB3" w14:textId="77777777" w:rsidR="00BA03AE" w:rsidRPr="00B047A8" w:rsidRDefault="00BA03AE" w:rsidP="00BA03AE">
            <w:pPr>
              <w:jc w:val="both"/>
              <w:rPr>
                <w:sz w:val="20"/>
                <w:lang w:eastAsia="fr-FR"/>
              </w:rPr>
            </w:pPr>
            <w:r w:rsidRPr="00B047A8">
              <w:rPr>
                <w:sz w:val="20"/>
                <w:lang w:eastAsia="fr-FR"/>
              </w:rPr>
              <w:t>derived from the fundamental relationship between rated power, voltage, and current in three-phase systems</w:t>
            </w:r>
          </w:p>
        </w:tc>
      </w:tr>
      <w:tr w:rsidR="00BA03AE" w:rsidRPr="00B047A8" w14:paraId="3D05BF54" w14:textId="77777777" w:rsidTr="003E619F">
        <w:trPr>
          <w:jc w:val="center"/>
        </w:trPr>
        <w:tc>
          <w:tcPr>
            <w:tcW w:w="1287" w:type="pct"/>
          </w:tcPr>
          <w:p w14:paraId="6FB545D1" w14:textId="77777777" w:rsidR="00BA03AE" w:rsidRPr="00B047A8" w:rsidRDefault="00000000" w:rsidP="00BA03AE">
            <w:pPr>
              <w:rPr>
                <w:sz w:val="20"/>
                <w:lang w:eastAsia="fr-FR"/>
              </w:rPr>
            </w:pPr>
            <m:oMathPara>
              <m:oMathParaPr>
                <m:jc m:val="right"/>
              </m:oMathParaPr>
              <m:oMath>
                <m:sSub>
                  <m:sSubPr>
                    <m:ctrlPr>
                      <w:rPr>
                        <w:rFonts w:ascii="Cambria Math" w:hAnsi="Cambria Math"/>
                        <w:iCs/>
                        <w:sz w:val="20"/>
                        <w:lang w:eastAsia="fr-FR"/>
                      </w:rPr>
                    </m:ctrlPr>
                  </m:sSubPr>
                  <m:e>
                    <m:r>
                      <m:rPr>
                        <m:sty m:val="p"/>
                      </m:rPr>
                      <w:rPr>
                        <w:rFonts w:ascii="Cambria Math" w:hAnsi="Cambria Math"/>
                        <w:sz w:val="20"/>
                        <w:lang w:eastAsia="fr-FR"/>
                      </w:rPr>
                      <m:t>I</m:t>
                    </m:r>
                  </m:e>
                  <m:sub>
                    <m:r>
                      <m:rPr>
                        <m:sty m:val="p"/>
                      </m:rPr>
                      <w:rPr>
                        <w:rFonts w:ascii="Cambria Math" w:hAnsi="Cambria Math"/>
                        <w:sz w:val="20"/>
                        <w:lang w:eastAsia="fr-FR"/>
                      </w:rPr>
                      <m:t>min</m:t>
                    </m:r>
                  </m:sub>
                </m:sSub>
              </m:oMath>
            </m:oMathPara>
          </w:p>
        </w:tc>
        <w:tc>
          <w:tcPr>
            <w:tcW w:w="379" w:type="pct"/>
          </w:tcPr>
          <w:p w14:paraId="18444742" w14:textId="77777777" w:rsidR="00BA03AE" w:rsidRPr="00B047A8" w:rsidRDefault="00BA03AE" w:rsidP="00BA03AE">
            <w:pPr>
              <w:jc w:val="both"/>
              <w:rPr>
                <w:sz w:val="20"/>
                <w:lang w:eastAsia="fr-FR"/>
              </w:rPr>
            </w:pPr>
            <w:r w:rsidRPr="00B047A8">
              <w:rPr>
                <w:sz w:val="20"/>
                <w:lang w:eastAsia="fr-FR"/>
              </w:rPr>
              <w:t>=</w:t>
            </w:r>
          </w:p>
        </w:tc>
        <w:tc>
          <w:tcPr>
            <w:tcW w:w="3334" w:type="pct"/>
          </w:tcPr>
          <w:p w14:paraId="0E6E6AD9" w14:textId="73DCC569" w:rsidR="00BA03AE" w:rsidRPr="00B047A8" w:rsidRDefault="00FC4985" w:rsidP="00BA03AE">
            <w:pPr>
              <w:jc w:val="both"/>
              <w:rPr>
                <w:sz w:val="20"/>
                <w:lang w:eastAsia="fr-FR"/>
              </w:rPr>
            </w:pPr>
            <w:r w:rsidRPr="00B047A8">
              <w:rPr>
                <w:sz w:val="20"/>
                <w:lang w:eastAsia="fr-FR"/>
              </w:rPr>
              <w:t>0:</w:t>
            </w:r>
            <w:r w:rsidR="00BA03AE" w:rsidRPr="00B047A8">
              <w:rPr>
                <w:sz w:val="20"/>
                <w:lang w:eastAsia="fr-FR"/>
              </w:rPr>
              <w:t xml:space="preserve"> </w:t>
            </w:r>
            <w:r w:rsidR="00BA03AE" w:rsidRPr="00B047A8">
              <w:rPr>
                <w:iCs/>
                <w:sz w:val="20"/>
                <w:lang w:eastAsia="fr-FR"/>
              </w:rPr>
              <w:t>a</w:t>
            </w:r>
            <w:r w:rsidR="00BA03AE" w:rsidRPr="00B047A8">
              <w:rPr>
                <w:iCs/>
                <w:sz w:val="20"/>
              </w:rPr>
              <w:t>ssumes no reverse power flow or minimum load constraints. If bidirectional power flow is allowed (e.g., in distributed generation), </w:t>
            </w:r>
            <w:proofErr w:type="spellStart"/>
            <w:r w:rsidR="00BA03AE" w:rsidRPr="00B047A8">
              <w:rPr>
                <w:iCs/>
                <w:sz w:val="20"/>
              </w:rPr>
              <w:t>I</w:t>
            </w:r>
            <w:r w:rsidR="00BA03AE" w:rsidRPr="00B047A8">
              <w:rPr>
                <w:iCs/>
                <w:sz w:val="20"/>
                <w:vertAlign w:val="subscript"/>
              </w:rPr>
              <w:t>min</w:t>
            </w:r>
            <w:proofErr w:type="spellEnd"/>
            <w:r w:rsidR="00BA03AE" w:rsidRPr="00B047A8">
              <w:rPr>
                <w:iCs/>
                <w:sz w:val="20"/>
              </w:rPr>
              <w:t>​ may be negative</w:t>
            </w:r>
          </w:p>
        </w:tc>
      </w:tr>
      <w:tr w:rsidR="00BA03AE" w:rsidRPr="00B047A8" w14:paraId="556F8FEA" w14:textId="77777777" w:rsidTr="003E619F">
        <w:trPr>
          <w:jc w:val="center"/>
        </w:trPr>
        <w:tc>
          <w:tcPr>
            <w:tcW w:w="1287" w:type="pct"/>
          </w:tcPr>
          <w:p w14:paraId="2089D1B5" w14:textId="77777777" w:rsidR="00BA03AE" w:rsidRPr="00B047A8" w:rsidRDefault="00BA03AE" w:rsidP="00BA03AE">
            <w:pPr>
              <w:rPr>
                <w:b/>
                <w:bCs/>
                <w:sz w:val="20"/>
                <w:lang w:eastAsia="fr-FR"/>
              </w:rPr>
            </w:pPr>
            <m:oMathPara>
              <m:oMathParaPr>
                <m:jc m:val="right"/>
              </m:oMathParaPr>
              <m:oMath>
                <m:r>
                  <m:rPr>
                    <m:sty m:val="p"/>
                  </m:rPr>
                  <w:rPr>
                    <w:rFonts w:ascii="Cambria Math" w:hAnsi="Cambria Math"/>
                    <w:sz w:val="20"/>
                    <w:lang w:eastAsia="fr-FR"/>
                  </w:rPr>
                  <m:t>V</m:t>
                </m:r>
              </m:oMath>
            </m:oMathPara>
          </w:p>
        </w:tc>
        <w:tc>
          <w:tcPr>
            <w:tcW w:w="379" w:type="pct"/>
          </w:tcPr>
          <w:p w14:paraId="623EDE93" w14:textId="77777777" w:rsidR="00BA03AE" w:rsidRPr="00B047A8" w:rsidRDefault="00BA03AE" w:rsidP="00BA03AE">
            <w:pPr>
              <w:jc w:val="both"/>
              <w:rPr>
                <w:sz w:val="20"/>
                <w:lang w:eastAsia="fr-FR"/>
              </w:rPr>
            </w:pPr>
            <w:r w:rsidRPr="00B047A8">
              <w:rPr>
                <w:sz w:val="20"/>
                <w:lang w:eastAsia="fr-FR"/>
              </w:rPr>
              <w:t>=</w:t>
            </w:r>
          </w:p>
        </w:tc>
        <w:tc>
          <w:tcPr>
            <w:tcW w:w="3334" w:type="pct"/>
          </w:tcPr>
          <w:p w14:paraId="20ED94BB" w14:textId="77777777" w:rsidR="00BA03AE" w:rsidRPr="00B047A8" w:rsidRDefault="00BA03AE" w:rsidP="00BA03AE">
            <w:pPr>
              <w:jc w:val="both"/>
              <w:rPr>
                <w:sz w:val="20"/>
                <w:lang w:eastAsia="fr-FR"/>
              </w:rPr>
            </w:pPr>
            <w:r w:rsidRPr="00B047A8">
              <w:rPr>
                <w:sz w:val="20"/>
                <w:lang w:eastAsia="fr-FR"/>
              </w:rPr>
              <w:t>Line Voltage</w:t>
            </w:r>
          </w:p>
        </w:tc>
      </w:tr>
      <w:tr w:rsidR="00BA03AE" w:rsidRPr="00B047A8" w14:paraId="5A9EBC90" w14:textId="77777777" w:rsidTr="003E619F">
        <w:trPr>
          <w:jc w:val="center"/>
        </w:trPr>
        <w:tc>
          <w:tcPr>
            <w:tcW w:w="1287" w:type="pct"/>
          </w:tcPr>
          <w:p w14:paraId="33F0F6E0" w14:textId="77777777" w:rsidR="00BA03AE" w:rsidRPr="00B047A8" w:rsidRDefault="00BA03AE" w:rsidP="00BA03AE">
            <w:pPr>
              <w:rPr>
                <w:b/>
                <w:bCs/>
                <w:sz w:val="20"/>
                <w:lang w:eastAsia="fr-FR"/>
              </w:rPr>
            </w:pPr>
            <m:oMathPara>
              <m:oMathParaPr>
                <m:jc m:val="right"/>
              </m:oMathParaPr>
              <m:oMath>
                <m:r>
                  <w:rPr>
                    <w:rFonts w:ascii="Cambria Math" w:hAnsi="Cambria Math"/>
                    <w:sz w:val="20"/>
                    <w:lang w:eastAsia="fr-FR"/>
                  </w:rPr>
                  <m:t>cosφ</m:t>
                </m:r>
              </m:oMath>
            </m:oMathPara>
          </w:p>
        </w:tc>
        <w:tc>
          <w:tcPr>
            <w:tcW w:w="379" w:type="pct"/>
          </w:tcPr>
          <w:p w14:paraId="3E3BB44F" w14:textId="77777777" w:rsidR="00BA03AE" w:rsidRPr="00B047A8" w:rsidRDefault="00BA03AE" w:rsidP="00BA03AE">
            <w:pPr>
              <w:jc w:val="both"/>
              <w:rPr>
                <w:sz w:val="20"/>
                <w:lang w:eastAsia="fr-FR"/>
              </w:rPr>
            </w:pPr>
            <w:r w:rsidRPr="00B047A8">
              <w:rPr>
                <w:sz w:val="20"/>
                <w:lang w:eastAsia="fr-FR"/>
              </w:rPr>
              <w:t>=</w:t>
            </w:r>
          </w:p>
        </w:tc>
        <w:tc>
          <w:tcPr>
            <w:tcW w:w="3334" w:type="pct"/>
          </w:tcPr>
          <w:p w14:paraId="138118BD" w14:textId="77777777" w:rsidR="00BA03AE" w:rsidRPr="00B047A8" w:rsidRDefault="00BA03AE" w:rsidP="00BA03AE">
            <w:pPr>
              <w:jc w:val="both"/>
              <w:rPr>
                <w:sz w:val="20"/>
                <w:lang w:eastAsia="fr-FR"/>
              </w:rPr>
            </w:pPr>
            <w:proofErr w:type="spellStart"/>
            <w:r w:rsidRPr="00B047A8">
              <w:rPr>
                <w:sz w:val="20"/>
                <w:lang w:eastAsia="fr-FR"/>
              </w:rPr>
              <w:t>cosϕ</w:t>
            </w:r>
            <w:proofErr w:type="spellEnd"/>
            <w:r w:rsidRPr="00B047A8">
              <w:rPr>
                <w:sz w:val="20"/>
                <w:lang w:eastAsia="fr-FR"/>
              </w:rPr>
              <w:t xml:space="preserve"> = power factor (unity minimizes Imax).</w:t>
            </w:r>
          </w:p>
        </w:tc>
      </w:tr>
    </w:tbl>
    <w:p w14:paraId="2C1B3AA8" w14:textId="77777777" w:rsidR="005E0E88" w:rsidRPr="00B047A8" w:rsidRDefault="005E0E88" w:rsidP="00BA03AE">
      <w:pPr>
        <w:ind w:firstLine="720"/>
        <w:jc w:val="both"/>
        <w:rPr>
          <w:rStyle w:val="Emphasis"/>
          <w:i w:val="0"/>
          <w:sz w:val="20"/>
        </w:rPr>
      </w:pPr>
    </w:p>
    <w:p w14:paraId="2E2DFDA7" w14:textId="6040AC34" w:rsidR="00BA03AE" w:rsidRPr="00B047A8" w:rsidRDefault="00BA03AE" w:rsidP="008B0A1D">
      <w:pPr>
        <w:ind w:firstLine="284"/>
        <w:jc w:val="both"/>
        <w:rPr>
          <w:rStyle w:val="Emphasis"/>
          <w:i w:val="0"/>
          <w:sz w:val="20"/>
        </w:rPr>
      </w:pPr>
      <w:r w:rsidRPr="00B047A8">
        <w:rPr>
          <w:rStyle w:val="Emphasis"/>
          <w:i w:val="0"/>
          <w:sz w:val="20"/>
        </w:rPr>
        <w:t xml:space="preserve">This formulation balances </w:t>
      </w:r>
      <w:proofErr w:type="gramStart"/>
      <w:r w:rsidRPr="00B047A8">
        <w:rPr>
          <w:rStyle w:val="Emphasis"/>
          <w:i w:val="0"/>
          <w:sz w:val="20"/>
        </w:rPr>
        <w:t>measurement fidelity</w:t>
      </w:r>
      <w:proofErr w:type="gramEnd"/>
      <w:r w:rsidRPr="00B047A8">
        <w:rPr>
          <w:rStyle w:val="Emphasis"/>
          <w:i w:val="0"/>
          <w:sz w:val="20"/>
        </w:rPr>
        <w:t xml:space="preserve"> against phase symmetry requirements while maintaining thermal and operational compliance across the distribution network.</w:t>
      </w:r>
    </w:p>
    <w:p w14:paraId="122ABA58" w14:textId="77777777" w:rsidR="00A71783" w:rsidRPr="00B047A8" w:rsidRDefault="00A71783" w:rsidP="00A71783">
      <w:pPr>
        <w:pStyle w:val="Heading2"/>
      </w:pPr>
      <w:r w:rsidRPr="00B047A8">
        <w:lastRenderedPageBreak/>
        <w:t>Workflow of Transformer Load Optimization</w:t>
      </w:r>
    </w:p>
    <w:p w14:paraId="00038245" w14:textId="40280E17" w:rsidR="004C4DCA" w:rsidRPr="00B047A8" w:rsidRDefault="00A71783" w:rsidP="008B0A1D">
      <w:pPr>
        <w:ind w:firstLine="284"/>
        <w:jc w:val="both"/>
        <w:rPr>
          <w:sz w:val="20"/>
          <w:lang w:eastAsia="fr-FR"/>
        </w:rPr>
      </w:pPr>
      <w:r w:rsidRPr="00B047A8">
        <w:rPr>
          <w:sz w:val="20"/>
          <w:lang w:eastAsia="fr-FR"/>
        </w:rPr>
        <w:t xml:space="preserve">The workflow begins with data-informed initialization, where diverse yet feasible phase-load vectors are generated using transformer ratings, voltage/current measurements, and load forecasts. This ensures broad exploration of the solution space. Next, dynamic overload/imbalance screening rapidly assesses system risk by fusing overload, imbalance, and forecast error metrics, adjusting search intensity and flagging constrained assets. A multi-objective function with adaptive weighting then guides optimization, balancing current-tracking fidelity, phase balance, losses, voltage deviation, and constraint adherence. Weights shift dynamically based on time-of-day, congestion, and reliability needs. The core search employs an enhanced BBO featuring adaptive migration rates, multi-swarm diversity, chaotic exploration, constraint-aware repair, and early stopping, yielding a diverse set of high-quality candidates approximating the Pareto front. From these, best-candidate selection identifies top compromises using Pareto-knee or fairness criteria, preserving a few robust options. Each undergoes local refinement via </w:t>
      </w:r>
      <m:oMath>
        <m:sSub>
          <m:sSubPr>
            <m:ctrlPr>
              <w:rPr>
                <w:rFonts w:ascii="Cambria Math" w:hAnsi="Cambria Math"/>
                <w:b/>
                <w:bCs/>
                <w:sz w:val="20"/>
                <w:lang w:eastAsia="fr-FR"/>
              </w:rPr>
            </m:ctrlPr>
          </m:sSubPr>
          <m:e>
            <m:r>
              <m:rPr>
                <m:sty m:val="b"/>
              </m:rPr>
              <w:rPr>
                <w:rFonts w:ascii="Cambria Math" w:hAnsi="Cambria Math"/>
                <w:sz w:val="20"/>
                <w:lang w:eastAsia="fr-FR"/>
              </w:rPr>
              <m:t>F</m:t>
            </m:r>
          </m:e>
          <m:sub>
            <m:r>
              <m:rPr>
                <m:sty m:val="b"/>
              </m:rPr>
              <w:rPr>
                <w:rFonts w:ascii="Cambria Math" w:hAnsi="Cambria Math"/>
                <w:sz w:val="20"/>
                <w:vertAlign w:val="subscript"/>
                <w:lang w:eastAsia="fr-FR"/>
              </w:rPr>
              <m:t>mincon</m:t>
            </m:r>
          </m:sub>
        </m:sSub>
      </m:oMath>
      <w:r w:rsidRPr="00B047A8">
        <w:rPr>
          <w:sz w:val="20"/>
          <w:lang w:eastAsia="fr-FR"/>
        </w:rPr>
        <w:t xml:space="preserve">, a gradient-based optimizer that fine-tunes solutions under full physical constraints for precision and feasibility. Before finalizing, a robustness check stress-tests candidates against load variations, forecast errors, and noise. Unstable solutions trigger re-optimization with adjusted parameters. If validated, the algorithm proceeds to finalization, delivering optimized phase allocations, current estimates, loss/voltage profiles, and interpretable summaries for operators. Designed for real-time continuity, the workflow repeats cyclically, using prior results as seeds to adapt proactively to evolving grid conditions, ensuring sustained balance and resilience without reactive interventions. This integrated approach harmonizes global exploration, adaptive objectives, and local precision to manage transformer overloads and phase imbalances effectively under uncertainty. The optimization workflow of </w:t>
      </w:r>
      <w:r w:rsidR="001D6409">
        <w:rPr>
          <w:sz w:val="20"/>
          <w:lang w:eastAsia="fr-FR"/>
        </w:rPr>
        <w:t>t</w:t>
      </w:r>
      <w:r w:rsidRPr="00B047A8">
        <w:rPr>
          <w:sz w:val="20"/>
          <w:lang w:eastAsia="fr-FR"/>
        </w:rPr>
        <w:t>ransformers</w:t>
      </w:r>
      <w:r w:rsidR="00215A20">
        <w:rPr>
          <w:sz w:val="20"/>
          <w:lang w:eastAsia="fr-FR"/>
        </w:rPr>
        <w:t>’</w:t>
      </w:r>
      <w:r w:rsidRPr="00B047A8">
        <w:rPr>
          <w:sz w:val="20"/>
          <w:lang w:eastAsia="fr-FR"/>
        </w:rPr>
        <w:t xml:space="preserve"> </w:t>
      </w:r>
      <w:r w:rsidR="001D6409">
        <w:rPr>
          <w:sz w:val="20"/>
          <w:lang w:eastAsia="fr-FR"/>
        </w:rPr>
        <w:t>l</w:t>
      </w:r>
      <w:r w:rsidRPr="00B047A8">
        <w:rPr>
          <w:sz w:val="20"/>
          <w:lang w:eastAsia="fr-FR"/>
        </w:rPr>
        <w:t>oad</w:t>
      </w:r>
      <w:r w:rsidR="00A14991" w:rsidRPr="00B047A8">
        <w:rPr>
          <w:sz w:val="20"/>
          <w:lang w:eastAsia="fr-FR"/>
        </w:rPr>
        <w:t>.</w:t>
      </w:r>
    </w:p>
    <w:p w14:paraId="2C33EFB6" w14:textId="5FA1BE66" w:rsidR="00A14991" w:rsidRPr="00B047A8" w:rsidRDefault="00A14991" w:rsidP="00A14991">
      <w:pPr>
        <w:pStyle w:val="Heading2"/>
      </w:pPr>
      <w:r w:rsidRPr="00B047A8">
        <w:t xml:space="preserve">Quantifying and Validating Phase Balance </w:t>
      </w:r>
    </w:p>
    <w:p w14:paraId="46B0966F" w14:textId="672329A5" w:rsidR="00A14991" w:rsidRDefault="00A14991" w:rsidP="008B0A1D">
      <w:pPr>
        <w:ind w:firstLine="284"/>
        <w:jc w:val="both"/>
        <w:rPr>
          <w:rStyle w:val="Emphasis"/>
          <w:i w:val="0"/>
          <w:sz w:val="20"/>
        </w:rPr>
      </w:pPr>
      <w:r w:rsidRPr="00B047A8">
        <w:rPr>
          <w:rStyle w:val="Emphasis"/>
          <w:i w:val="0"/>
          <w:sz w:val="20"/>
        </w:rPr>
        <w:t>In three-phase power systems, current imbalance threatens efficiency, equipment longevity, and stability, causing overheating, voltage distortion, and excess losses. To address this, the Current Unbalance Factor (CUF) serves as a standardized KPI, quantifying imbalance as the percentage deviation between max/min and average phase currents (per ANSI C84.1-1995)</w:t>
      </w:r>
      <w:r w:rsidRPr="00B047A8">
        <w:rPr>
          <w:rStyle w:val="Emphasis"/>
          <w:i w:val="0"/>
          <w:iCs w:val="0"/>
          <w:sz w:val="20"/>
        </w:rPr>
        <w:fldChar w:fldCharType="begin" w:fldLock="1"/>
      </w:r>
      <w:r w:rsidR="00F66D0F">
        <w:rPr>
          <w:rStyle w:val="Emphasis"/>
          <w:i w:val="0"/>
          <w:sz w:val="20"/>
        </w:rPr>
        <w:instrText>ADDIN CSL_CITATION {"citationItems":[{"id":"ITEM-1","itemData":{"DOI":"10.22214/ijraset.2019.7016","abstract":"Voltages are well balanced at the generator and the transmission levels but are not balanced at the utilisation or distribution levels due to unequal system impedances and unequal distribution of single-phase loads. An excessive level of voltage unbalance can poses serious problems to the induction motors connected to unbalanced voltage supply. Study of power quality impact of induction motor is of paramount importance as induction motors consume significant amount of energy of the total power generation. A comprehensive review of voltage unbalance factor by NEMA, IEEE, IEC and other researchers has been summarised. The method used for steady state analysis has been explained precisely. Definitions of voltage unbalance factor are analysed and compared given by different sources. Classification of unbalance is also summarised. Voltage unbalance impacts on the motor and mitigation techniques are also presented. Recommendation regarding precise derating factor has been given.","author":[{"dropping-particle":"","family":"Singh","given":"Sunil","non-dropping-particle":"","parse-names":false,"suffix":""}],"container-title":"International Journal for Research in Applied Science and Engineering Technology","id":"ITEM-1","issue":"7","issued":{"date-parts":[["2019"]]},"title":"Voltage Unbalance and Its Impact on the Performance of Three Phase Induction Motor: A Review","type":"article-journal","volume":"7"},"uris":["http://www.mendeley.com/documents/?uuid=1735a7cf-905c-383c-bbb6-0d8b45874fdb"]},{"id":"ITEM-2","itemData":{"DOI":"10.1088/1742-6596/2406/1/012013","ISSN":"17426596","abstract":"Marine Science Techno Park (MSTP) Diponegoro University is a central for the application of technology and research in the fisheries and marine sector under the auspices of Diponegoro University. After measuring the electrical power quality parameters, a voltage and current unbalance problem was found on each SDP and MDP at MSTP Undip Jepara Building. The final project is designed to mitigate current and voltage unbalance with a load equalization method in each phase using ETAP 12.6 software. According to the ANSI C84.1-1995 standard, the maximum current unbalance value is 5% and according to the IEEE 45-2002 standard, the maximum voltage unbalance value is 3%. The equalization results show that the load can decrease the value of current unbalance, voltage unbalance, and neutral current that already meets the standards. Based on the evaluation of existing conditions, the current unbalance value on the MDP decreased from 21.522% to 0.419%, the MDP bus voltage unbalance value decreased from 0.280% to 0.015%, and the neutral current decreased from 35.5 ampere to 1 ampere.","author":[{"dropping-particle":"","family":"Denis","given":"","non-dropping-particle":"","parse-names":false,"suffix":""},{"dropping-particle":"","family":"Sinuraya","given":"E. W.","non-dropping-particle":"","parse-names":false,"suffix":""},{"dropping-particle":"","family":"Soemantri","given":"M.","non-dropping-particle":"","parse-names":false,"suffix":""},{"dropping-particle":"","family":"Rafif","given":"I. R.","non-dropping-particle":"","parse-names":false,"suffix":""}],"container-title":"Journal of Physics: Conference Series","id":"ITEM-2","issue":"1","issued":{"date-parts":[["2022"]]},"title":"Evaluation and Mitigation of Voltage and Current Unbalance at MSTP Undip Jepara","type":"paper-conference","volume":"2406"},"uris":["http://www.mendeley.com/documents/?uuid=c60de645-da09-349c-9a62-6447751c1c1a"]}],"mendeley":{"formattedCitation":"&lt;sup&gt;40,41&lt;/sup&gt;","plainTextFormattedCitation":"40,41","previouslyFormattedCitation":"[40], [41]"},"properties":{"noteIndex":0},"schema":"https://github.com/citation-style-language/schema/raw/master/csl-citation.json"}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40,41</w:t>
      </w:r>
      <w:r w:rsidRPr="00B047A8">
        <w:rPr>
          <w:rStyle w:val="Emphasis"/>
          <w:i w:val="0"/>
          <w:iCs w:val="0"/>
          <w:sz w:val="20"/>
        </w:rPr>
        <w:fldChar w:fldCharType="end"/>
      </w:r>
      <w:r w:rsidRPr="00B047A8">
        <w:rPr>
          <w:rStyle w:val="Emphasis"/>
          <w:i w:val="0"/>
          <w:sz w:val="20"/>
        </w:rPr>
        <w:t>:</w:t>
      </w:r>
    </w:p>
    <w:p w14:paraId="0FAEFF7C" w14:textId="15F93D24" w:rsidR="009E6122" w:rsidRPr="009E6122" w:rsidRDefault="009E6122" w:rsidP="009E6122">
      <w:pPr>
        <w:pStyle w:val="Equation"/>
        <w:ind w:left="56"/>
        <w:rPr>
          <w:rStyle w:val="Emphasis"/>
          <w:i w:val="0"/>
          <w:iCs w:val="0"/>
        </w:rPr>
      </w:pPr>
      <w:r>
        <w:tab/>
      </w:r>
      <m:oMath>
        <m:r>
          <m:rPr>
            <m:sty m:val="p"/>
          </m:rPr>
          <w:rPr>
            <w:rFonts w:ascii="Cambria Math" w:hAnsi="Cambria Math"/>
            <w:szCs w:val="24"/>
          </w:rPr>
          <m:t xml:space="preserve">CUF </m:t>
        </m:r>
        <m:d>
          <m:dPr>
            <m:ctrlPr>
              <w:rPr>
                <w:rFonts w:ascii="Cambria Math" w:hAnsi="Cambria Math"/>
                <w:szCs w:val="24"/>
              </w:rPr>
            </m:ctrlPr>
          </m:dPr>
          <m:e>
            <m:r>
              <m:rPr>
                <m:sty m:val="p"/>
              </m:rPr>
              <w:rPr>
                <w:rFonts w:ascii="Cambria Math" w:hAnsi="Cambria Math"/>
                <w:szCs w:val="24"/>
              </w:rPr>
              <m:t>%</m:t>
            </m:r>
          </m:e>
        </m:d>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Max Phase Current-Min Phase Current</m:t>
            </m:r>
          </m:num>
          <m:den>
            <m:r>
              <m:rPr>
                <m:sty m:val="p"/>
              </m:rPr>
              <w:rPr>
                <w:rFonts w:ascii="Cambria Math" w:hAnsi="Cambria Math"/>
                <w:szCs w:val="24"/>
              </w:rPr>
              <m:t>Average Phase Current</m:t>
            </m:r>
          </m:den>
        </m:f>
        <m:r>
          <m:rPr>
            <m:sty m:val="p"/>
          </m:rPr>
          <w:rPr>
            <w:rFonts w:ascii="Cambria Math" w:hAnsi="Cambria Math"/>
            <w:szCs w:val="24"/>
          </w:rPr>
          <m:t>×100</m:t>
        </m:r>
      </m:oMath>
      <w:r w:rsidRPr="009E6122">
        <w:rPr>
          <w:lang w:eastAsia="fr-FR"/>
        </w:rPr>
        <w:t xml:space="preserve">  </w:t>
      </w:r>
      <w:r w:rsidRPr="009E6122">
        <w:tab/>
        <w:t>(</w:t>
      </w:r>
      <w:r>
        <w:t>7</w:t>
      </w:r>
      <w:r w:rsidRPr="009E6122">
        <w:t>)</w:t>
      </w:r>
    </w:p>
    <w:p w14:paraId="12C44C47" w14:textId="77777777" w:rsidR="009E6122" w:rsidRPr="00B047A8" w:rsidRDefault="009E6122" w:rsidP="008B0A1D">
      <w:pPr>
        <w:ind w:firstLine="284"/>
        <w:jc w:val="both"/>
        <w:rPr>
          <w:rStyle w:val="Emphasis"/>
          <w:i w:val="0"/>
          <w:iCs w:val="0"/>
          <w:sz w:val="20"/>
        </w:rPr>
      </w:pPr>
    </w:p>
    <w:p w14:paraId="31D3500B" w14:textId="3C25DB50" w:rsidR="00A14991" w:rsidRDefault="00A14991" w:rsidP="008B0A1D">
      <w:pPr>
        <w:ind w:firstLine="284"/>
        <w:jc w:val="both"/>
        <w:rPr>
          <w:rStyle w:val="Emphasis"/>
          <w:i w:val="0"/>
          <w:sz w:val="20"/>
        </w:rPr>
      </w:pPr>
      <w:r w:rsidRPr="00B047A8">
        <w:rPr>
          <w:rStyle w:val="Emphasis"/>
          <w:i w:val="0"/>
          <w:sz w:val="20"/>
        </w:rPr>
        <w:t xml:space="preserve">A CUF of 0% indicates perfect balance and higher values signal greater risk. However, diagnosis alone is insufficient. The Current Unbalance Factor Reduction (CUFR) measures the effectiveness of corrective actions, such as load redistribution or optimization algorithms, by comparing baseline and post-intervention CUF values:  </w:t>
      </w:r>
    </w:p>
    <w:p w14:paraId="337E0ACF" w14:textId="22018841" w:rsidR="009E6122" w:rsidRPr="009E6122" w:rsidRDefault="009E6122" w:rsidP="009E6122">
      <w:pPr>
        <w:pStyle w:val="Equation"/>
        <w:ind w:left="56"/>
        <w:rPr>
          <w:rStyle w:val="Emphasis"/>
          <w:i w:val="0"/>
          <w:iCs w:val="0"/>
        </w:rPr>
      </w:pPr>
      <w:r>
        <w:tab/>
      </w:r>
      <m:oMath>
        <m:sSub>
          <m:sSubPr>
            <m:ctrlPr>
              <w:rPr>
                <w:rFonts w:ascii="Cambria Math" w:hAnsi="Cambria Math"/>
                <w:szCs w:val="24"/>
              </w:rPr>
            </m:ctrlPr>
          </m:sSubPr>
          <m:e>
            <m:r>
              <m:rPr>
                <m:sty m:val="p"/>
              </m:rPr>
              <w:rPr>
                <w:rFonts w:ascii="Cambria Math" w:hAnsi="Cambria Math"/>
                <w:szCs w:val="24"/>
              </w:rPr>
              <m:t>CUF</m:t>
            </m:r>
          </m:e>
          <m:sub>
            <m:r>
              <m:rPr>
                <m:sty m:val="p"/>
              </m:rPr>
              <w:rPr>
                <w:rFonts w:ascii="Cambria Math" w:hAnsi="Cambria Math"/>
                <w:szCs w:val="24"/>
              </w:rPr>
              <m:t>Red</m:t>
            </m:r>
          </m:sub>
        </m:sSub>
        <m:r>
          <m:rPr>
            <m:sty m:val="p"/>
          </m:rPr>
          <w:rPr>
            <w:rFonts w:ascii="Cambria Math" w:hAnsi="Cambria Math"/>
            <w:szCs w:val="24"/>
          </w:rPr>
          <m:t xml:space="preserve"> </m:t>
        </m:r>
        <m:d>
          <m:dPr>
            <m:ctrlPr>
              <w:rPr>
                <w:rFonts w:ascii="Cambria Math" w:hAnsi="Cambria Math"/>
                <w:szCs w:val="24"/>
              </w:rPr>
            </m:ctrlPr>
          </m:dPr>
          <m:e>
            <m:r>
              <m:rPr>
                <m:sty m:val="p"/>
              </m:rPr>
              <w:rPr>
                <w:rFonts w:ascii="Cambria Math" w:hAnsi="Cambria Math"/>
                <w:szCs w:val="24"/>
              </w:rPr>
              <m:t>%</m:t>
            </m:r>
          </m:e>
        </m:d>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Baseline CUF-Optimized CUF</m:t>
            </m:r>
          </m:num>
          <m:den>
            <m:r>
              <m:rPr>
                <m:sty m:val="p"/>
              </m:rPr>
              <w:rPr>
                <w:rFonts w:ascii="Cambria Math" w:hAnsi="Cambria Math"/>
                <w:szCs w:val="24"/>
              </w:rPr>
              <m:t>Baseline CUF</m:t>
            </m:r>
          </m:den>
        </m:f>
      </m:oMath>
      <w:r w:rsidRPr="009E6122">
        <w:rPr>
          <w:lang w:eastAsia="fr-FR"/>
        </w:rPr>
        <w:t xml:space="preserve">  </w:t>
      </w:r>
      <w:r w:rsidRPr="009E6122">
        <w:tab/>
        <w:t>(</w:t>
      </w:r>
      <w:r>
        <w:t>8</w:t>
      </w:r>
      <w:r w:rsidRPr="009E6122">
        <w:t>)</w:t>
      </w:r>
    </w:p>
    <w:p w14:paraId="21234EE4" w14:textId="77777777" w:rsidR="008C48FB" w:rsidRDefault="008C48FB" w:rsidP="008B0A1D">
      <w:pPr>
        <w:ind w:firstLine="284"/>
        <w:jc w:val="both"/>
        <w:rPr>
          <w:rStyle w:val="Emphasis"/>
          <w:i w:val="0"/>
          <w:sz w:val="20"/>
        </w:rPr>
      </w:pPr>
    </w:p>
    <w:p w14:paraId="73D64E2B" w14:textId="782E3E92" w:rsidR="00A14991" w:rsidRPr="00B047A8" w:rsidRDefault="00A14991" w:rsidP="008B0A1D">
      <w:pPr>
        <w:ind w:firstLine="284"/>
        <w:jc w:val="both"/>
        <w:rPr>
          <w:rStyle w:val="Emphasis"/>
          <w:i w:val="0"/>
          <w:sz w:val="20"/>
        </w:rPr>
      </w:pPr>
      <w:r w:rsidRPr="00B047A8">
        <w:rPr>
          <w:rStyle w:val="Emphasis"/>
          <w:i w:val="0"/>
          <w:sz w:val="20"/>
        </w:rPr>
        <w:t>A positive CUFR confirms improvement while a negative value warns of worsening imbalance. Together, CUF and CUFR form a robust diagnostic and validation framework, enabling engineers to not only detect phase imbalance but also objectively assess mitigation strategies</w:t>
      </w:r>
      <w:r w:rsidRPr="00B047A8">
        <w:rPr>
          <w:rStyle w:val="Emphasis"/>
          <w:i w:val="0"/>
          <w:iCs w:val="0"/>
          <w:sz w:val="20"/>
        </w:rPr>
        <w:fldChar w:fldCharType="begin" w:fldLock="1"/>
      </w:r>
      <w:r w:rsidR="00F66D0F">
        <w:rPr>
          <w:rStyle w:val="Emphasis"/>
          <w:i w:val="0"/>
          <w:sz w:val="20"/>
        </w:rPr>
        <w:instrText>ADDIN CSL_CITATION {"citationItems":[{"id":"ITEM-1","itemData":{"DOI":"10.3390/en16227511","ISSN":"19961073","abstract":"The increasing share of converter-based renewable energy sources in the power system has forced the system operators to demand voltage support from the converters in case of faults. In the case of symmetric faults, all the phases have equal voltage support, but in the case of asymmetric faults, selective voltage support is required. The grid codes define the voltage support required in the case of symmetric/asymmetric faults, which is the reactive current injection in the respective sequence proportional to its voltage dip, but studies confirm that it does not result in a minimum unbalance factor in the case of asymmetric faults. The unbalance factor is an indication of the level of imbalance voltage among the phases. Moreover, it also results in fluctuated active power injection in the case of asymmetric faults, which causes dc link voltage fluctuations, and the power reversal may also occur due to such fluctuations, which leads to higher protection costs for the dc link. In order to (1) enhance the uniformity of voltage among different phases in the case of asymmetric faults and (2) minimize the real power fluctuations in such conditions, a novel control scheme is presented in this paper. It optimally distributes the negative sequence current phasor into its active and reactive components to achieve the minimum voltage unbalance factor. It also confirms the minimum real power fluctuations by adjusting the positive and negative sequence current phasors. The proposed scheme also ensures the current limit of the converter. The proposed scheme is developed in Matlab/Simulink and tested under different faulty conditions. The results confirm the better performance of the proposed scheme against the grid code recommendation under different faulty conditions.","author":[{"dropping-particle":"","family":"Abubakar","given":"Muhammad","non-dropping-particle":"","parse-names":false,"suffix":""},{"dropping-particle":"","family":"Renner","given":"Herwig","non-dropping-particle":"","parse-names":false,"suffix":""},{"dropping-particle":"","family":"Schürhuber","given":"Robert","non-dropping-particle":"","parse-names":false,"suffix":""}],"container-title":"Energies","id":"ITEM-1","issue":"22","issued":{"date-parts":[["2023"]]},"title":"Development of a Novel Control Scheme to Achieve the Minimum Unbalance Factor and Real Power Fluctuations under Asymmetrical Faults","type":"article-journal","volume":"16"},"uris":["http://www.mendeley.com/documents/?uuid=d1bad034-ac58-3cb1-a6b9-8c98f3b90c60"]}],"mendeley":{"formattedCitation":"&lt;sup&gt;42&lt;/sup&gt;","plainTextFormattedCitation":"42","previouslyFormattedCitation":"[42]"},"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42</w:t>
      </w:r>
      <w:r w:rsidRPr="00B047A8">
        <w:rPr>
          <w:rStyle w:val="Emphasis"/>
          <w:i w:val="0"/>
          <w:iCs w:val="0"/>
          <w:sz w:val="20"/>
        </w:rPr>
        <w:fldChar w:fldCharType="end"/>
      </w:r>
      <w:r w:rsidRPr="00B047A8">
        <w:rPr>
          <w:rStyle w:val="Emphasis"/>
          <w:i w:val="0"/>
          <w:sz w:val="20"/>
        </w:rPr>
        <w:t>. This dual-metric approach supports data-driven decisions, ensuring interventions enhance system performance, reliability, and operational safety while providing clear, quantifiable evidence of success</w:t>
      </w:r>
      <w:r w:rsidRPr="00B047A8">
        <w:rPr>
          <w:rStyle w:val="Emphasis"/>
          <w:i w:val="0"/>
          <w:iCs w:val="0"/>
          <w:sz w:val="20"/>
        </w:rPr>
        <w:fldChar w:fldCharType="begin" w:fldLock="1"/>
      </w:r>
      <w:r w:rsidR="00F66D0F">
        <w:rPr>
          <w:rStyle w:val="Emphasis"/>
          <w:i w:val="0"/>
          <w:sz w:val="20"/>
        </w:rPr>
        <w:instrText>ADDIN CSL_CITATION {"citationItems":[{"id":"ITEM-1","itemData":{"DOI":"10.1109/ACCESS.2021.3131778","ISSN":"21693536","abstract":"In this paper, the three-phase generalization of a single-phase power flow (named PFPD) developed by the first author is presented. This three-phase formulation is chiefly conceived for HV/EHV transmission network applications, but it preserves a general validity for any power system. An iterative method for the solution achievement is throughout expounded. The algorithm quantitatively aims at investigating the impact of the asymmetrical transmission structures on power systems. This impact is evaluated in terms of voltage and current sequence components. Moreover, discussions on possible improvement actions to enhance the power quality are developed. The algorithm is implemented in Matlab environment and tested by several fictitious networks. Eventually, extensive comparisons in terms of execution time, number of iterations and solution accuracy with the software DIgSILENT PowerFactory are presented.","author":[{"dropping-particle":"","family":"Benato","given":"Roberto","non-dropping-particle":"","parse-names":false,"suffix":""},{"dropping-particle":"","family":"Gardan","given":"Giovanni","non-dropping-particle":"","parse-names":false,"suffix":""},{"dropping-particle":"","family":"Rusalen","given":"Luca","non-dropping-particle":"","parse-names":false,"suffix":""}],"container-title":"IEEE Access","id":"ITEM-1","issued":{"date-parts":[["2021"]]},"title":"A Three-Phase Power Flow Algorithm for Transmission Networks: A Hybrid Phase/Sequence Approach","type":"article-journal","volume":"9"},"uris":["http://www.mendeley.com/documents/?uuid=e656aa5a-961c-3a77-bacc-b41562d1b880"]}],"mendeley":{"formattedCitation":"&lt;sup&gt;43&lt;/sup&gt;","plainTextFormattedCitation":"43","previouslyFormattedCitation":"[43]"},"properties":{"noteIndex":0},"schema":"https://github.com/citation-style-language/schema/raw/master/csl-citation.json"}</w:instrText>
      </w:r>
      <w:r w:rsidRPr="00B047A8">
        <w:rPr>
          <w:rStyle w:val="Emphasis"/>
          <w:i w:val="0"/>
          <w:iCs w:val="0"/>
          <w:sz w:val="20"/>
        </w:rPr>
        <w:fldChar w:fldCharType="separate"/>
      </w:r>
      <w:r w:rsidR="00F66D0F" w:rsidRPr="00F66D0F">
        <w:rPr>
          <w:rStyle w:val="Emphasis"/>
          <w:i w:val="0"/>
          <w:noProof/>
          <w:sz w:val="20"/>
          <w:vertAlign w:val="superscript"/>
        </w:rPr>
        <w:t>43</w:t>
      </w:r>
      <w:r w:rsidRPr="00B047A8">
        <w:rPr>
          <w:rStyle w:val="Emphasis"/>
          <w:i w:val="0"/>
          <w:iCs w:val="0"/>
          <w:sz w:val="20"/>
        </w:rPr>
        <w:fldChar w:fldCharType="end"/>
      </w:r>
      <w:r w:rsidRPr="00B047A8">
        <w:rPr>
          <w:rStyle w:val="Emphasis"/>
          <w:i w:val="0"/>
          <w:sz w:val="20"/>
        </w:rPr>
        <w:t>.</w:t>
      </w:r>
    </w:p>
    <w:p w14:paraId="233237FB" w14:textId="3B64AC8C" w:rsidR="000509AA" w:rsidRPr="00B047A8" w:rsidRDefault="000509AA" w:rsidP="000509AA">
      <w:pPr>
        <w:pStyle w:val="Heading1"/>
      </w:pPr>
      <w:r w:rsidRPr="00B047A8">
        <w:t xml:space="preserve">results and discussion </w:t>
      </w:r>
    </w:p>
    <w:p w14:paraId="0A04FAAF" w14:textId="7C11C1AB" w:rsidR="003E619F" w:rsidRPr="00B047A8" w:rsidRDefault="003E619F" w:rsidP="000509AA">
      <w:pPr>
        <w:pStyle w:val="Heading2"/>
      </w:pPr>
      <w:r w:rsidRPr="00B047A8">
        <w:t xml:space="preserve">Transformer Load Optimization </w:t>
      </w:r>
    </w:p>
    <w:p w14:paraId="12FF75D4" w14:textId="0379C445" w:rsidR="00A9088C" w:rsidRPr="00B047A8" w:rsidRDefault="00A9088C" w:rsidP="003E619F">
      <w:pPr>
        <w:pStyle w:val="Heading3"/>
      </w:pPr>
      <w:r w:rsidRPr="00B047A8">
        <w:t xml:space="preserve">Optimized Transformer </w:t>
      </w:r>
      <w:r w:rsidR="0050252A" w:rsidRPr="00B047A8">
        <w:t xml:space="preserve">Power within the </w:t>
      </w:r>
      <w:r w:rsidR="009737BB" w:rsidRPr="00B047A8">
        <w:t>Looped Network</w:t>
      </w:r>
      <w:r w:rsidR="0050252A" w:rsidRPr="00B047A8">
        <w:t xml:space="preserve"> </w:t>
      </w:r>
    </w:p>
    <w:p w14:paraId="774183CF" w14:textId="742C9E8E" w:rsidR="00A9088C" w:rsidRPr="00B047A8" w:rsidRDefault="00A9088C" w:rsidP="00A9088C">
      <w:pPr>
        <w:pStyle w:val="Paragraph"/>
      </w:pPr>
      <w:r w:rsidRPr="00B047A8">
        <w:t>The implemented methodology successfully optimized transformer power distribution within the looped network, yielding improved load profiles across all phases. Analysis of optimized versus nominal powers (Fig</w:t>
      </w:r>
      <w:r w:rsidR="003C2B7F">
        <w:t>.</w:t>
      </w:r>
      <w:r w:rsidR="004B723A">
        <w:t>1</w:t>
      </w:r>
      <w:r w:rsidRPr="00B047A8">
        <w:t>) reveals significant imbalances. Several transformers (T03, T07, T10, T24, T80) are substantially oversized, allowing for immediate capacity reduction or increased loading up to 90%. Conversely, transformers N52, N55, N48, and TX are overloaded and require replacement with higher-capacity units or permutation with the underloaded transformers. For the remaining units, load transfers to adjacent transformers should balance the network. Applying this systematic optimization across the entire network promises widespread efficiency gains, showcasing the technique</w:t>
      </w:r>
      <w:r w:rsidR="00215A20">
        <w:t>’</w:t>
      </w:r>
      <w:r w:rsidRPr="00B047A8">
        <w:t>s universal applicability to electrical distribution systems.</w:t>
      </w:r>
    </w:p>
    <w:p w14:paraId="7C1618F2" w14:textId="76C7E8B5" w:rsidR="00A9088C" w:rsidRPr="00B047A8" w:rsidRDefault="00A9088C" w:rsidP="00A9088C">
      <w:pPr>
        <w:pStyle w:val="Paragraph"/>
        <w:ind w:firstLine="0"/>
      </w:pPr>
    </w:p>
    <w:p w14:paraId="3982F13C" w14:textId="759048CF" w:rsidR="003E619F" w:rsidRPr="00B047A8" w:rsidRDefault="003E619F" w:rsidP="00C8358C">
      <w:pPr>
        <w:jc w:val="center"/>
        <w:rPr>
          <w:sz w:val="20"/>
        </w:rPr>
      </w:pPr>
      <w:r w:rsidRPr="00B047A8">
        <w:rPr>
          <w:noProof/>
          <w:lang w:val="fr-FR" w:eastAsia="fr-FR"/>
        </w:rPr>
        <w:drawing>
          <wp:inline distT="0" distB="0" distL="0" distR="0" wp14:anchorId="1D7F58EB" wp14:editId="46C46A49">
            <wp:extent cx="4730776" cy="19431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4112" cy="1960900"/>
                    </a:xfrm>
                    <a:prstGeom prst="rect">
                      <a:avLst/>
                    </a:prstGeom>
                    <a:noFill/>
                    <a:ln>
                      <a:noFill/>
                    </a:ln>
                  </pic:spPr>
                </pic:pic>
              </a:graphicData>
            </a:graphic>
          </wp:inline>
        </w:drawing>
      </w:r>
    </w:p>
    <w:p w14:paraId="24C25AA2" w14:textId="6ECBB235" w:rsidR="00A9088C" w:rsidRPr="00B047A8" w:rsidRDefault="00E16280" w:rsidP="00E16280">
      <w:pPr>
        <w:pStyle w:val="FigureCaption"/>
      </w:pPr>
      <w:r w:rsidRPr="00B047A8">
        <w:rPr>
          <w:b/>
          <w:caps/>
        </w:rPr>
        <w:t xml:space="preserve">Figure </w:t>
      </w:r>
      <w:r w:rsidR="00A9088C" w:rsidRPr="00B047A8">
        <w:rPr>
          <w:b/>
          <w:caps/>
        </w:rPr>
        <w:t>1</w:t>
      </w:r>
      <w:r w:rsidRPr="00B047A8">
        <w:rPr>
          <w:b/>
          <w:caps/>
        </w:rPr>
        <w:t>.</w:t>
      </w:r>
      <w:r w:rsidRPr="00B047A8">
        <w:t xml:space="preserve"> </w:t>
      </w:r>
      <w:r w:rsidR="00A9088C" w:rsidRPr="00B047A8">
        <w:t>Optimized transformer power distribution within the looped network</w:t>
      </w:r>
      <w:r w:rsidR="003C2B7F">
        <w:t>.</w:t>
      </w:r>
      <w:r w:rsidR="00A9088C" w:rsidRPr="00B047A8">
        <w:t xml:space="preserve"> </w:t>
      </w:r>
    </w:p>
    <w:p w14:paraId="56170DAB" w14:textId="77777777" w:rsidR="00B936B6" w:rsidRPr="00B047A8" w:rsidRDefault="00B936B6" w:rsidP="00B936B6">
      <w:pPr>
        <w:ind w:firstLine="720"/>
        <w:jc w:val="both"/>
      </w:pPr>
    </w:p>
    <w:p w14:paraId="3C816AE9" w14:textId="3FED9A53" w:rsidR="0050252A" w:rsidRPr="00B047A8" w:rsidRDefault="0050252A" w:rsidP="0050252A">
      <w:pPr>
        <w:pStyle w:val="Heading3"/>
      </w:pPr>
      <w:r w:rsidRPr="00B047A8">
        <w:t xml:space="preserve">Optimized Transformer </w:t>
      </w:r>
      <w:r w:rsidR="009737BB" w:rsidRPr="00B047A8">
        <w:t>Load Current</w:t>
      </w:r>
      <w:r w:rsidRPr="00B047A8">
        <w:t xml:space="preserve"> within the </w:t>
      </w:r>
      <w:r w:rsidR="009737BB" w:rsidRPr="00B047A8">
        <w:t>Looped Network</w:t>
      </w:r>
      <w:r w:rsidRPr="00B047A8">
        <w:t xml:space="preserve"> </w:t>
      </w:r>
    </w:p>
    <w:p w14:paraId="45654C17" w14:textId="03B9CC8D" w:rsidR="00A9088C" w:rsidRPr="00B047A8" w:rsidRDefault="0050252A" w:rsidP="00A9088C">
      <w:pPr>
        <w:pStyle w:val="Paragraph"/>
      </w:pPr>
      <w:r w:rsidRPr="00B047A8">
        <w:t>Optimization results</w:t>
      </w:r>
      <w:r w:rsidR="004B723A">
        <w:t>,</w:t>
      </w:r>
      <w:r w:rsidRPr="00B047A8">
        <w:t xml:space="preserve"> </w:t>
      </w:r>
      <w:r w:rsidR="003C2B7F">
        <w:t>as illustrated by F</w:t>
      </w:r>
      <w:r w:rsidR="004B723A">
        <w:t>ig</w:t>
      </w:r>
      <w:r w:rsidR="003C2B7F">
        <w:t>.</w:t>
      </w:r>
      <w:r w:rsidR="004B723A">
        <w:t xml:space="preserve"> 2, </w:t>
      </w:r>
      <w:r w:rsidRPr="00B047A8">
        <w:t>reveal markedly improved load current profiles per transformer phase, achieved by swapping and adjusting loads. This enhances phase balancing, ensuring normal transformer operation in looped networks. For efficient management, install a monitoring system with appropriate measurement equipment and analytical tools to detect anomalies in real-time, enabling proactive maintenance and reliable performance</w:t>
      </w:r>
      <w:r w:rsidR="00A9088C" w:rsidRPr="00B047A8">
        <w:t>.</w:t>
      </w:r>
    </w:p>
    <w:p w14:paraId="5A24F335" w14:textId="77777777" w:rsidR="00A9088C" w:rsidRPr="00B047A8" w:rsidRDefault="00A9088C" w:rsidP="00A9088C">
      <w:pPr>
        <w:pStyle w:val="Paragraph"/>
        <w:ind w:firstLine="0"/>
      </w:pPr>
    </w:p>
    <w:p w14:paraId="569324D3" w14:textId="2C42FC56" w:rsidR="00A9088C" w:rsidRPr="00B047A8" w:rsidRDefault="00A9088C" w:rsidP="00C8358C">
      <w:pPr>
        <w:jc w:val="center"/>
        <w:rPr>
          <w:sz w:val="20"/>
        </w:rPr>
      </w:pPr>
      <w:r w:rsidRPr="00B047A8">
        <w:rPr>
          <w:noProof/>
          <w:lang w:val="fr-FR" w:eastAsia="fr-FR"/>
        </w:rPr>
        <w:drawing>
          <wp:inline distT="0" distB="0" distL="0" distR="0" wp14:anchorId="20D74064" wp14:editId="7F4B0DF7">
            <wp:extent cx="4959705" cy="2113915"/>
            <wp:effectExtent l="0" t="0" r="0" b="635"/>
            <wp:docPr id="18" name="Image 6"/>
            <wp:cNvGraphicFramePr/>
            <a:graphic xmlns:a="http://schemas.openxmlformats.org/drawingml/2006/main">
              <a:graphicData uri="http://schemas.openxmlformats.org/drawingml/2006/picture">
                <pic:pic xmlns:pic="http://schemas.openxmlformats.org/drawingml/2006/picture">
                  <pic:nvPicPr>
                    <pic:cNvPr id="463324965" name="Imag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5726" cy="2129268"/>
                    </a:xfrm>
                    <a:prstGeom prst="rect">
                      <a:avLst/>
                    </a:prstGeom>
                    <a:noFill/>
                    <a:ln>
                      <a:noFill/>
                    </a:ln>
                  </pic:spPr>
                </pic:pic>
              </a:graphicData>
            </a:graphic>
          </wp:inline>
        </w:drawing>
      </w:r>
    </w:p>
    <w:p w14:paraId="50866C05" w14:textId="09E8E0BE" w:rsidR="0050252A" w:rsidRDefault="00A9088C" w:rsidP="00A9088C">
      <w:pPr>
        <w:pStyle w:val="FigureCaption"/>
      </w:pPr>
      <w:r w:rsidRPr="00B047A8">
        <w:rPr>
          <w:b/>
          <w:caps/>
        </w:rPr>
        <w:t xml:space="preserve">Figure </w:t>
      </w:r>
      <w:r w:rsidR="0050252A" w:rsidRPr="00B047A8">
        <w:rPr>
          <w:b/>
          <w:caps/>
        </w:rPr>
        <w:t>2</w:t>
      </w:r>
      <w:r w:rsidRPr="00B047A8">
        <w:rPr>
          <w:b/>
          <w:caps/>
        </w:rPr>
        <w:t>.</w:t>
      </w:r>
      <w:r w:rsidRPr="00B047A8">
        <w:t xml:space="preserve"> </w:t>
      </w:r>
      <w:r w:rsidR="0050252A" w:rsidRPr="00B047A8">
        <w:t>Optimized Transformer load current within the looped network</w:t>
      </w:r>
      <w:r w:rsidR="003C2B7F">
        <w:t>.</w:t>
      </w:r>
      <w:r w:rsidR="0050252A" w:rsidRPr="00B047A8">
        <w:t xml:space="preserve"> </w:t>
      </w:r>
    </w:p>
    <w:p w14:paraId="79C94405" w14:textId="77777777" w:rsidR="0015624D" w:rsidRPr="0015624D" w:rsidRDefault="0015624D" w:rsidP="0015624D">
      <w:pPr>
        <w:pStyle w:val="Paragraph"/>
      </w:pPr>
    </w:p>
    <w:p w14:paraId="26A1EFAD" w14:textId="77777777" w:rsidR="0050252A" w:rsidRPr="00B047A8" w:rsidRDefault="0050252A" w:rsidP="0050252A">
      <w:pPr>
        <w:pStyle w:val="Heading3"/>
      </w:pPr>
      <w:r w:rsidRPr="00B047A8">
        <w:t xml:space="preserve">Intelligent Transformer Load Monitoring with Real-Time Anomaly Detection via </w:t>
      </w:r>
      <w:proofErr w:type="spellStart"/>
      <w:r w:rsidRPr="00B047A8">
        <w:t>BBO+F</w:t>
      </w:r>
      <w:r w:rsidRPr="00B047A8">
        <w:rPr>
          <w:vertAlign w:val="subscript"/>
        </w:rPr>
        <w:t>mincon</w:t>
      </w:r>
      <w:proofErr w:type="spellEnd"/>
      <w:r w:rsidRPr="00B047A8">
        <w:t xml:space="preserve"> Algorithms</w:t>
      </w:r>
    </w:p>
    <w:p w14:paraId="7906D621" w14:textId="13F3049F" w:rsidR="002A67AA" w:rsidRPr="00B047A8" w:rsidRDefault="0050252A" w:rsidP="001D6409">
      <w:pPr>
        <w:pStyle w:val="Paragraph"/>
      </w:pPr>
      <w:r w:rsidRPr="00B047A8">
        <w:t xml:space="preserve">Transformer load monitoring employs three current transformers per phase and a three-phase power meter, with data analyzed via BBO + </w:t>
      </w:r>
      <w:proofErr w:type="spellStart"/>
      <w:r w:rsidRPr="00B047A8">
        <w:t>F</w:t>
      </w:r>
      <w:r w:rsidRPr="00B047A8">
        <w:rPr>
          <w:vertAlign w:val="subscript"/>
        </w:rPr>
        <w:t>mincon</w:t>
      </w:r>
      <w:proofErr w:type="spellEnd"/>
      <w:r w:rsidRPr="00B047A8">
        <w:t xml:space="preserve"> algorithms for anomaly detection. The process starts by defining objectives to select and install suitable equipment, enabling continuous data recording. Key indicators include measured power (</w:t>
      </w:r>
      <w:proofErr w:type="spellStart"/>
      <w:r w:rsidRPr="00B047A8">
        <w:t>P</w:t>
      </w:r>
      <w:r w:rsidRPr="00B047A8">
        <w:rPr>
          <w:vertAlign w:val="subscript"/>
        </w:rPr>
        <w:t>m</w:t>
      </w:r>
      <w:r w:rsidR="00D335D3" w:rsidRPr="00B047A8">
        <w:rPr>
          <w:vertAlign w:val="subscript"/>
        </w:rPr>
        <w:t>eas</w:t>
      </w:r>
      <w:proofErr w:type="spellEnd"/>
      <w:r w:rsidRPr="00B047A8">
        <w:t>) versus nominal power (</w:t>
      </w:r>
      <w:proofErr w:type="spellStart"/>
      <w:r w:rsidRPr="00B047A8">
        <w:t>P</w:t>
      </w:r>
      <w:r w:rsidRPr="00B047A8">
        <w:rPr>
          <w:vertAlign w:val="subscript"/>
        </w:rPr>
        <w:t>n</w:t>
      </w:r>
      <w:r w:rsidR="00D335D3" w:rsidRPr="00B047A8">
        <w:rPr>
          <w:vertAlign w:val="subscript"/>
        </w:rPr>
        <w:t>om</w:t>
      </w:r>
      <w:proofErr w:type="spellEnd"/>
      <w:r w:rsidRPr="00B047A8">
        <w:t>), and current imbalance (</w:t>
      </w:r>
      <w:proofErr w:type="spellStart"/>
      <w:r w:rsidRPr="00B047A8">
        <w:t>ε</w:t>
      </w:r>
      <w:r w:rsidRPr="00B047A8">
        <w:rPr>
          <w:vertAlign w:val="subscript"/>
        </w:rPr>
        <w:t>ch</w:t>
      </w:r>
      <w:proofErr w:type="spellEnd"/>
      <w:r w:rsidRPr="00B047A8">
        <w:t xml:space="preserve"> &gt; 0.1, derived from phase currents </w:t>
      </w:r>
      <w:proofErr w:type="spellStart"/>
      <w:r w:rsidRPr="00B047A8">
        <w:t>I</w:t>
      </w:r>
      <w:r w:rsidRPr="00B047A8">
        <w:rPr>
          <w:vertAlign w:val="subscript"/>
        </w:rPr>
        <w:t>a</w:t>
      </w:r>
      <w:proofErr w:type="spellEnd"/>
      <w:r w:rsidRPr="00B047A8">
        <w:t xml:space="preserve">, </w:t>
      </w:r>
      <w:proofErr w:type="spellStart"/>
      <w:r w:rsidRPr="00B047A8">
        <w:t>I</w:t>
      </w:r>
      <w:r w:rsidRPr="00B047A8">
        <w:rPr>
          <w:vertAlign w:val="subscript"/>
        </w:rPr>
        <w:t>b</w:t>
      </w:r>
      <w:proofErr w:type="spellEnd"/>
      <w:r w:rsidRPr="00B047A8">
        <w:t xml:space="preserve">, </w:t>
      </w:r>
      <w:proofErr w:type="spellStart"/>
      <w:r w:rsidRPr="00B047A8">
        <w:t>I</w:t>
      </w:r>
      <w:r w:rsidRPr="00B047A8">
        <w:rPr>
          <w:vertAlign w:val="subscript"/>
        </w:rPr>
        <w:t>c</w:t>
      </w:r>
      <w:proofErr w:type="spellEnd"/>
      <w:r w:rsidRPr="00B047A8">
        <w:t xml:space="preserve">). Alerts trigger if </w:t>
      </w:r>
      <w:proofErr w:type="spellStart"/>
      <w:r w:rsidR="00D335D3" w:rsidRPr="00B047A8">
        <w:t>P</w:t>
      </w:r>
      <w:r w:rsidR="00D335D3" w:rsidRPr="00B047A8">
        <w:rPr>
          <w:vertAlign w:val="subscript"/>
        </w:rPr>
        <w:t>meas</w:t>
      </w:r>
      <w:proofErr w:type="spellEnd"/>
      <w:r w:rsidRPr="00B047A8">
        <w:t xml:space="preserve"> &gt; 0.9</w:t>
      </w:r>
      <w:r w:rsidR="00D335D3" w:rsidRPr="00B047A8">
        <w:t>P</w:t>
      </w:r>
      <w:r w:rsidR="00D335D3" w:rsidRPr="00B047A8">
        <w:rPr>
          <w:vertAlign w:val="subscript"/>
        </w:rPr>
        <w:t>nom</w:t>
      </w:r>
      <w:r w:rsidRPr="00B047A8">
        <w:t xml:space="preserve"> and </w:t>
      </w:r>
      <w:proofErr w:type="spellStart"/>
      <w:r w:rsidRPr="00B047A8">
        <w:t>εch</w:t>
      </w:r>
      <w:proofErr w:type="spellEnd"/>
      <w:r w:rsidRPr="00B047A8">
        <w:t xml:space="preserve"> &gt; 0.1; otherwise, analysis loops. Post-alert, comprehensive result analysis allows objective refinement, fostering continuous improvement in electrical sy</w:t>
      </w:r>
      <w:r w:rsidR="001D6409">
        <w:t>stem monitoring and management.</w:t>
      </w:r>
    </w:p>
    <w:p w14:paraId="386A7166" w14:textId="35A3A5FB" w:rsidR="002A67AA" w:rsidRPr="00B047A8" w:rsidRDefault="002A67AA" w:rsidP="002A67AA">
      <w:pPr>
        <w:pStyle w:val="Heading3"/>
      </w:pPr>
      <w:r w:rsidRPr="00B047A8">
        <w:t xml:space="preserve">Reduction in Current Unbalance </w:t>
      </w:r>
      <w:r w:rsidR="009737BB">
        <w:t>a</w:t>
      </w:r>
      <w:r w:rsidRPr="00B047A8">
        <w:t>cross Transformer Fleet</w:t>
      </w:r>
    </w:p>
    <w:p w14:paraId="0EB82C01" w14:textId="6ADE248D" w:rsidR="00D335D3" w:rsidRPr="00B047A8" w:rsidRDefault="002A67AA" w:rsidP="002A67AA">
      <w:pPr>
        <w:pStyle w:val="Paragraph"/>
      </w:pPr>
      <w:r w:rsidRPr="00B047A8">
        <w:t xml:space="preserve">Across the transformer fleet, the optimization campaign achieved a striking 55.3 % average drop in Current Unbalance Factor (CUF), falling from 45.1 % in the baseline to 32.5 %. Baseline CUFs spanned 7.6 % to 82.6 %, </w:t>
      </w:r>
      <w:r w:rsidRPr="00B047A8">
        <w:lastRenderedPageBreak/>
        <w:t>revealing a mix of well‑balanced units and highly unbalanced ones. Post‑optimization, the range tightened to 1.7 %–63.3 %, with the most dramatic improvement of 94 % on the worst‑case transformer and a modest 16 % gain on the least‑affected unit. The greatest benefits surfaced for transformers that were severely unbalanced at start (CUF ≥ 74 %), the top seven, T07, T03, T35, T18, T10, T05, and T17, each saw reductions between 74 % and 94 % as outlined by Table 2. Five transformers (T20, T80, T83b, N47, TX) were omitted from the final tally because their post‑optimization CUFs behaved atypically. N47 and T80 exhibited minimal change (≤ 5 pp), while T20, T83b, and TX were deliberately allowed to worsen (≥ 10 pp) to achieve substantial RI² loss reductions (51 % for T83b and TX). This trade‑off is justified by the larger cost savings and remains within safe operating limits. The algorithm</w:t>
      </w:r>
      <w:r w:rsidR="00215A20">
        <w:t>’</w:t>
      </w:r>
      <w:r w:rsidRPr="00B047A8">
        <w:t>s focus on total cost savings, rather than perfect balance, mirrors real‑world operational priorities. These results demonstrate that targeted phase‑balancing, even when coupled with strategic load reductions, can deliver significant reliability improvements while preserving economic efficiency across a diverse transformer portfolio.</w:t>
      </w:r>
    </w:p>
    <w:p w14:paraId="175316C9" w14:textId="77777777" w:rsidR="002A67AA" w:rsidRPr="00B047A8" w:rsidRDefault="002A67AA" w:rsidP="002A67AA">
      <w:pPr>
        <w:pStyle w:val="Paragraph"/>
      </w:pPr>
    </w:p>
    <w:p w14:paraId="3473EB91" w14:textId="7D2458E0" w:rsidR="00D335D3" w:rsidRPr="00B047A8" w:rsidRDefault="002752CF" w:rsidP="00D335D3">
      <w:pPr>
        <w:ind w:firstLine="720"/>
        <w:jc w:val="center"/>
        <w:rPr>
          <w:b/>
          <w:bCs/>
          <w:sz w:val="20"/>
        </w:rPr>
      </w:pPr>
      <w:r w:rsidRPr="00B047A8">
        <w:rPr>
          <w:b/>
          <w:bCs/>
          <w:sz w:val="20"/>
        </w:rPr>
        <w:t>TABLE</w:t>
      </w:r>
      <w:r w:rsidR="00D335D3" w:rsidRPr="00B047A8">
        <w:rPr>
          <w:b/>
          <w:bCs/>
          <w:sz w:val="20"/>
        </w:rPr>
        <w:t xml:space="preserve"> 2</w:t>
      </w:r>
      <w:r>
        <w:rPr>
          <w:b/>
          <w:bCs/>
          <w:sz w:val="20"/>
        </w:rPr>
        <w:t>.</w:t>
      </w:r>
      <w:r w:rsidR="00D335D3" w:rsidRPr="00B047A8">
        <w:rPr>
          <w:b/>
          <w:bCs/>
          <w:sz w:val="20"/>
        </w:rPr>
        <w:t xml:space="preserve"> </w:t>
      </w:r>
      <w:r w:rsidR="00D335D3" w:rsidRPr="00B047A8">
        <w:rPr>
          <w:bCs/>
          <w:sz w:val="20"/>
        </w:rPr>
        <w:t>Top 7 performers achieved reductions of 74–94%</w:t>
      </w:r>
      <w:r w:rsidR="00FD489D">
        <w:rPr>
          <w:bCs/>
          <w:sz w:val="20"/>
        </w:rPr>
        <w:t>.</w:t>
      </w:r>
    </w:p>
    <w:tbl>
      <w:tblPr>
        <w:tblW w:w="0" w:type="auto"/>
        <w:jc w:val="center"/>
        <w:tblCellMar>
          <w:left w:w="70" w:type="dxa"/>
          <w:right w:w="70" w:type="dxa"/>
        </w:tblCellMar>
        <w:tblLook w:val="04A0" w:firstRow="1" w:lastRow="0" w:firstColumn="1" w:lastColumn="0" w:noHBand="0" w:noVBand="1"/>
      </w:tblPr>
      <w:tblGrid>
        <w:gridCol w:w="1418"/>
        <w:gridCol w:w="1813"/>
        <w:gridCol w:w="2014"/>
        <w:gridCol w:w="1985"/>
      </w:tblGrid>
      <w:tr w:rsidR="00D335D3" w:rsidRPr="00B047A8" w14:paraId="278F65D7" w14:textId="77777777" w:rsidTr="00A305A6">
        <w:trPr>
          <w:jc w:val="center"/>
        </w:trPr>
        <w:tc>
          <w:tcPr>
            <w:tcW w:w="1418" w:type="dxa"/>
            <w:tcBorders>
              <w:top w:val="single" w:sz="4" w:space="0" w:color="auto"/>
              <w:left w:val="nil"/>
              <w:bottom w:val="single" w:sz="4" w:space="0" w:color="auto"/>
              <w:right w:val="nil"/>
            </w:tcBorders>
            <w:vAlign w:val="center"/>
            <w:hideMark/>
          </w:tcPr>
          <w:p w14:paraId="5E20ED4B" w14:textId="77777777" w:rsidR="00D335D3" w:rsidRPr="00A305A6" w:rsidRDefault="00D335D3" w:rsidP="00215A20">
            <w:pPr>
              <w:rPr>
                <w:b/>
                <w:sz w:val="20"/>
                <w:lang w:eastAsia="fr-FR"/>
              </w:rPr>
            </w:pPr>
            <w:r w:rsidRPr="00A305A6">
              <w:rPr>
                <w:b/>
                <w:sz w:val="20"/>
                <w:lang w:eastAsia="fr-FR"/>
              </w:rPr>
              <w:t xml:space="preserve">Transformer </w:t>
            </w:r>
          </w:p>
        </w:tc>
        <w:tc>
          <w:tcPr>
            <w:tcW w:w="1813" w:type="dxa"/>
            <w:tcBorders>
              <w:top w:val="single" w:sz="4" w:space="0" w:color="auto"/>
              <w:left w:val="nil"/>
              <w:bottom w:val="single" w:sz="4" w:space="0" w:color="auto"/>
              <w:right w:val="nil"/>
            </w:tcBorders>
            <w:vAlign w:val="center"/>
            <w:hideMark/>
          </w:tcPr>
          <w:p w14:paraId="303C4B5C" w14:textId="77777777" w:rsidR="00D335D3" w:rsidRPr="00A305A6" w:rsidRDefault="00D335D3" w:rsidP="00215A20">
            <w:pPr>
              <w:rPr>
                <w:b/>
                <w:sz w:val="20"/>
                <w:lang w:eastAsia="fr-FR"/>
              </w:rPr>
            </w:pPr>
            <w:r w:rsidRPr="00A305A6">
              <w:rPr>
                <w:b/>
                <w:sz w:val="20"/>
                <w:lang w:eastAsia="fr-FR"/>
              </w:rPr>
              <w:t>Baseline CUF (%)</w:t>
            </w:r>
          </w:p>
        </w:tc>
        <w:tc>
          <w:tcPr>
            <w:tcW w:w="2014" w:type="dxa"/>
            <w:tcBorders>
              <w:top w:val="single" w:sz="4" w:space="0" w:color="auto"/>
              <w:left w:val="nil"/>
              <w:bottom w:val="single" w:sz="4" w:space="0" w:color="auto"/>
              <w:right w:val="nil"/>
            </w:tcBorders>
            <w:vAlign w:val="center"/>
            <w:hideMark/>
          </w:tcPr>
          <w:p w14:paraId="1423DE98" w14:textId="77777777" w:rsidR="00D335D3" w:rsidRPr="00A305A6" w:rsidRDefault="00D335D3" w:rsidP="00215A20">
            <w:pPr>
              <w:rPr>
                <w:b/>
                <w:sz w:val="20"/>
                <w:lang w:eastAsia="fr-FR"/>
              </w:rPr>
            </w:pPr>
            <w:r w:rsidRPr="00A305A6">
              <w:rPr>
                <w:b/>
                <w:sz w:val="20"/>
                <w:lang w:eastAsia="fr-FR"/>
              </w:rPr>
              <w:t>Optimized CUF (%)</w:t>
            </w:r>
          </w:p>
        </w:tc>
        <w:tc>
          <w:tcPr>
            <w:tcW w:w="1985" w:type="dxa"/>
            <w:tcBorders>
              <w:top w:val="single" w:sz="4" w:space="0" w:color="auto"/>
              <w:left w:val="nil"/>
              <w:bottom w:val="single" w:sz="4" w:space="0" w:color="auto"/>
              <w:right w:val="nil"/>
            </w:tcBorders>
            <w:vAlign w:val="center"/>
            <w:hideMark/>
          </w:tcPr>
          <w:p w14:paraId="3F1F1C59" w14:textId="77777777" w:rsidR="00D335D3" w:rsidRPr="00A305A6" w:rsidRDefault="00D335D3" w:rsidP="00215A20">
            <w:pPr>
              <w:rPr>
                <w:b/>
                <w:sz w:val="20"/>
                <w:lang w:eastAsia="fr-FR"/>
              </w:rPr>
            </w:pPr>
            <w:r w:rsidRPr="00A305A6">
              <w:rPr>
                <w:b/>
                <w:sz w:val="20"/>
                <w:lang w:eastAsia="fr-FR"/>
              </w:rPr>
              <w:t>CUF Reduction (%)</w:t>
            </w:r>
          </w:p>
        </w:tc>
      </w:tr>
      <w:tr w:rsidR="00D335D3" w:rsidRPr="00B047A8" w14:paraId="1237308B" w14:textId="77777777" w:rsidTr="00A305A6">
        <w:trPr>
          <w:jc w:val="center"/>
        </w:trPr>
        <w:tc>
          <w:tcPr>
            <w:tcW w:w="1418" w:type="dxa"/>
            <w:tcBorders>
              <w:top w:val="single" w:sz="4" w:space="0" w:color="auto"/>
              <w:left w:val="nil"/>
              <w:bottom w:val="nil"/>
              <w:right w:val="nil"/>
            </w:tcBorders>
            <w:shd w:val="clear" w:color="auto" w:fill="FFFFFF"/>
            <w:vAlign w:val="center"/>
            <w:hideMark/>
          </w:tcPr>
          <w:p w14:paraId="4342A4F9" w14:textId="77777777" w:rsidR="00D335D3" w:rsidRPr="00B047A8" w:rsidRDefault="00D335D3" w:rsidP="00215A20">
            <w:pPr>
              <w:jc w:val="center"/>
              <w:rPr>
                <w:bCs/>
                <w:sz w:val="20"/>
                <w:lang w:eastAsia="fr-FR"/>
              </w:rPr>
            </w:pPr>
            <w:r w:rsidRPr="00B047A8">
              <w:rPr>
                <w:bCs/>
                <w:sz w:val="20"/>
                <w:lang w:eastAsia="fr-FR"/>
              </w:rPr>
              <w:t>T07</w:t>
            </w:r>
          </w:p>
        </w:tc>
        <w:tc>
          <w:tcPr>
            <w:tcW w:w="1813" w:type="dxa"/>
            <w:tcBorders>
              <w:top w:val="single" w:sz="4" w:space="0" w:color="auto"/>
              <w:left w:val="nil"/>
              <w:bottom w:val="nil"/>
              <w:right w:val="nil"/>
            </w:tcBorders>
            <w:shd w:val="clear" w:color="auto" w:fill="FFFFFF"/>
            <w:hideMark/>
          </w:tcPr>
          <w:p w14:paraId="6EBFC350" w14:textId="77777777" w:rsidR="00D335D3" w:rsidRPr="00B047A8" w:rsidRDefault="00D335D3" w:rsidP="00215A20">
            <w:pPr>
              <w:jc w:val="center"/>
              <w:rPr>
                <w:bCs/>
                <w:sz w:val="20"/>
                <w:lang w:eastAsia="fr-FR"/>
              </w:rPr>
            </w:pPr>
            <w:r w:rsidRPr="00B047A8">
              <w:rPr>
                <w:bCs/>
                <w:sz w:val="20"/>
                <w:lang w:eastAsia="fr-FR"/>
              </w:rPr>
              <w:t>29.8%</w:t>
            </w:r>
          </w:p>
        </w:tc>
        <w:tc>
          <w:tcPr>
            <w:tcW w:w="2014" w:type="dxa"/>
            <w:tcBorders>
              <w:top w:val="single" w:sz="4" w:space="0" w:color="auto"/>
              <w:left w:val="nil"/>
              <w:bottom w:val="nil"/>
              <w:right w:val="nil"/>
            </w:tcBorders>
            <w:shd w:val="clear" w:color="auto" w:fill="FFFFFF"/>
            <w:hideMark/>
          </w:tcPr>
          <w:p w14:paraId="4DB4D29E" w14:textId="77777777" w:rsidR="00D335D3" w:rsidRPr="00B047A8" w:rsidRDefault="00D335D3" w:rsidP="00215A20">
            <w:pPr>
              <w:jc w:val="center"/>
              <w:rPr>
                <w:bCs/>
                <w:sz w:val="20"/>
                <w:lang w:eastAsia="fr-FR"/>
              </w:rPr>
            </w:pPr>
            <w:r w:rsidRPr="00B047A8">
              <w:rPr>
                <w:bCs/>
                <w:sz w:val="20"/>
                <w:lang w:eastAsia="fr-FR"/>
              </w:rPr>
              <w:t>1.7%</w:t>
            </w:r>
          </w:p>
        </w:tc>
        <w:tc>
          <w:tcPr>
            <w:tcW w:w="1985" w:type="dxa"/>
            <w:tcBorders>
              <w:top w:val="single" w:sz="4" w:space="0" w:color="auto"/>
              <w:left w:val="nil"/>
              <w:bottom w:val="nil"/>
              <w:right w:val="nil"/>
            </w:tcBorders>
            <w:shd w:val="clear" w:color="auto" w:fill="FFFFFF"/>
            <w:vAlign w:val="center"/>
            <w:hideMark/>
          </w:tcPr>
          <w:p w14:paraId="2D00C94C" w14:textId="77777777" w:rsidR="00D335D3" w:rsidRPr="00B047A8" w:rsidRDefault="00D335D3" w:rsidP="00215A20">
            <w:pPr>
              <w:jc w:val="center"/>
              <w:rPr>
                <w:bCs/>
                <w:sz w:val="20"/>
                <w:lang w:eastAsia="fr-FR"/>
              </w:rPr>
            </w:pPr>
            <w:r w:rsidRPr="00B047A8">
              <w:rPr>
                <w:bCs/>
                <w:sz w:val="20"/>
                <w:lang w:eastAsia="fr-FR"/>
              </w:rPr>
              <w:t>94%</w:t>
            </w:r>
          </w:p>
        </w:tc>
      </w:tr>
      <w:tr w:rsidR="00D335D3" w:rsidRPr="00B047A8" w14:paraId="150276D5" w14:textId="77777777" w:rsidTr="00A305A6">
        <w:trPr>
          <w:jc w:val="center"/>
        </w:trPr>
        <w:tc>
          <w:tcPr>
            <w:tcW w:w="1418" w:type="dxa"/>
            <w:shd w:val="clear" w:color="auto" w:fill="FFFFFF"/>
            <w:vAlign w:val="center"/>
            <w:hideMark/>
          </w:tcPr>
          <w:p w14:paraId="6A4E065B" w14:textId="77777777" w:rsidR="00D335D3" w:rsidRPr="00B047A8" w:rsidRDefault="00D335D3" w:rsidP="00215A20">
            <w:pPr>
              <w:jc w:val="center"/>
              <w:rPr>
                <w:bCs/>
                <w:sz w:val="20"/>
                <w:lang w:eastAsia="fr-FR"/>
              </w:rPr>
            </w:pPr>
            <w:r w:rsidRPr="00B047A8">
              <w:rPr>
                <w:bCs/>
                <w:sz w:val="20"/>
                <w:lang w:eastAsia="fr-FR"/>
              </w:rPr>
              <w:t>T03</w:t>
            </w:r>
          </w:p>
        </w:tc>
        <w:tc>
          <w:tcPr>
            <w:tcW w:w="1813" w:type="dxa"/>
            <w:shd w:val="clear" w:color="auto" w:fill="FFFFFF"/>
            <w:hideMark/>
          </w:tcPr>
          <w:p w14:paraId="4E56C44C" w14:textId="77777777" w:rsidR="00D335D3" w:rsidRPr="00B047A8" w:rsidRDefault="00D335D3" w:rsidP="00215A20">
            <w:pPr>
              <w:jc w:val="center"/>
              <w:rPr>
                <w:bCs/>
                <w:sz w:val="20"/>
                <w:lang w:eastAsia="fr-FR"/>
              </w:rPr>
            </w:pPr>
            <w:r w:rsidRPr="00B047A8">
              <w:rPr>
                <w:bCs/>
                <w:sz w:val="20"/>
                <w:lang w:eastAsia="fr-FR"/>
              </w:rPr>
              <w:t>48.4%</w:t>
            </w:r>
          </w:p>
        </w:tc>
        <w:tc>
          <w:tcPr>
            <w:tcW w:w="2014" w:type="dxa"/>
            <w:shd w:val="clear" w:color="auto" w:fill="FFFFFF"/>
            <w:hideMark/>
          </w:tcPr>
          <w:p w14:paraId="71B57F62" w14:textId="77777777" w:rsidR="00D335D3" w:rsidRPr="00B047A8" w:rsidRDefault="00D335D3" w:rsidP="00215A20">
            <w:pPr>
              <w:jc w:val="center"/>
              <w:rPr>
                <w:bCs/>
                <w:sz w:val="20"/>
                <w:lang w:eastAsia="fr-FR"/>
              </w:rPr>
            </w:pPr>
            <w:r w:rsidRPr="00B047A8">
              <w:rPr>
                <w:bCs/>
                <w:sz w:val="20"/>
                <w:lang w:eastAsia="fr-FR"/>
              </w:rPr>
              <w:t>4.2%</w:t>
            </w:r>
          </w:p>
        </w:tc>
        <w:tc>
          <w:tcPr>
            <w:tcW w:w="1985" w:type="dxa"/>
            <w:shd w:val="clear" w:color="auto" w:fill="FFFFFF"/>
            <w:vAlign w:val="center"/>
            <w:hideMark/>
          </w:tcPr>
          <w:p w14:paraId="5AE4C265" w14:textId="77777777" w:rsidR="00D335D3" w:rsidRPr="00B047A8" w:rsidRDefault="00D335D3" w:rsidP="00215A20">
            <w:pPr>
              <w:jc w:val="center"/>
              <w:rPr>
                <w:bCs/>
                <w:sz w:val="20"/>
                <w:lang w:eastAsia="fr-FR"/>
              </w:rPr>
            </w:pPr>
            <w:r w:rsidRPr="00B047A8">
              <w:rPr>
                <w:bCs/>
                <w:sz w:val="20"/>
                <w:lang w:eastAsia="fr-FR"/>
              </w:rPr>
              <w:t>91%</w:t>
            </w:r>
          </w:p>
        </w:tc>
      </w:tr>
      <w:tr w:rsidR="00D335D3" w:rsidRPr="00B047A8" w14:paraId="59B89C89" w14:textId="77777777" w:rsidTr="00A305A6">
        <w:trPr>
          <w:jc w:val="center"/>
        </w:trPr>
        <w:tc>
          <w:tcPr>
            <w:tcW w:w="1418" w:type="dxa"/>
            <w:shd w:val="clear" w:color="auto" w:fill="FFFFFF"/>
            <w:vAlign w:val="center"/>
            <w:hideMark/>
          </w:tcPr>
          <w:p w14:paraId="1A959090" w14:textId="77777777" w:rsidR="00D335D3" w:rsidRPr="00B047A8" w:rsidRDefault="00D335D3" w:rsidP="00215A20">
            <w:pPr>
              <w:jc w:val="center"/>
              <w:rPr>
                <w:bCs/>
                <w:sz w:val="20"/>
                <w:lang w:eastAsia="fr-FR"/>
              </w:rPr>
            </w:pPr>
            <w:r w:rsidRPr="00B047A8">
              <w:rPr>
                <w:bCs/>
                <w:sz w:val="20"/>
                <w:lang w:eastAsia="fr-FR"/>
              </w:rPr>
              <w:t>T35</w:t>
            </w:r>
          </w:p>
        </w:tc>
        <w:tc>
          <w:tcPr>
            <w:tcW w:w="1813" w:type="dxa"/>
            <w:shd w:val="clear" w:color="auto" w:fill="FFFFFF"/>
            <w:hideMark/>
          </w:tcPr>
          <w:p w14:paraId="76D7AD37" w14:textId="77777777" w:rsidR="00D335D3" w:rsidRPr="00B047A8" w:rsidRDefault="00D335D3" w:rsidP="00215A20">
            <w:pPr>
              <w:jc w:val="center"/>
              <w:rPr>
                <w:bCs/>
                <w:sz w:val="20"/>
                <w:lang w:eastAsia="fr-FR"/>
              </w:rPr>
            </w:pPr>
            <w:r w:rsidRPr="00B047A8">
              <w:rPr>
                <w:bCs/>
                <w:sz w:val="20"/>
                <w:lang w:eastAsia="fr-FR"/>
              </w:rPr>
              <w:t>42.7%</w:t>
            </w:r>
          </w:p>
        </w:tc>
        <w:tc>
          <w:tcPr>
            <w:tcW w:w="2014" w:type="dxa"/>
            <w:shd w:val="clear" w:color="auto" w:fill="FFFFFF"/>
            <w:hideMark/>
          </w:tcPr>
          <w:p w14:paraId="4B1D0D11" w14:textId="77777777" w:rsidR="00D335D3" w:rsidRPr="00B047A8" w:rsidRDefault="00D335D3" w:rsidP="00215A20">
            <w:pPr>
              <w:jc w:val="center"/>
              <w:rPr>
                <w:bCs/>
                <w:sz w:val="20"/>
                <w:lang w:eastAsia="fr-FR"/>
              </w:rPr>
            </w:pPr>
            <w:r w:rsidRPr="00B047A8">
              <w:rPr>
                <w:bCs/>
                <w:sz w:val="20"/>
                <w:lang w:eastAsia="fr-FR"/>
              </w:rPr>
              <w:t>9.5%</w:t>
            </w:r>
          </w:p>
        </w:tc>
        <w:tc>
          <w:tcPr>
            <w:tcW w:w="1985" w:type="dxa"/>
            <w:shd w:val="clear" w:color="auto" w:fill="FFFFFF"/>
            <w:vAlign w:val="center"/>
            <w:hideMark/>
          </w:tcPr>
          <w:p w14:paraId="348B2935" w14:textId="77777777" w:rsidR="00D335D3" w:rsidRPr="00B047A8" w:rsidRDefault="00D335D3" w:rsidP="00215A20">
            <w:pPr>
              <w:jc w:val="center"/>
              <w:rPr>
                <w:bCs/>
                <w:sz w:val="20"/>
                <w:lang w:eastAsia="fr-FR"/>
              </w:rPr>
            </w:pPr>
            <w:r w:rsidRPr="00B047A8">
              <w:rPr>
                <w:bCs/>
                <w:sz w:val="20"/>
                <w:lang w:eastAsia="fr-FR"/>
              </w:rPr>
              <w:t>78%</w:t>
            </w:r>
          </w:p>
        </w:tc>
      </w:tr>
      <w:tr w:rsidR="00D335D3" w:rsidRPr="00B047A8" w14:paraId="06B664A5" w14:textId="77777777" w:rsidTr="00A305A6">
        <w:trPr>
          <w:jc w:val="center"/>
        </w:trPr>
        <w:tc>
          <w:tcPr>
            <w:tcW w:w="1418" w:type="dxa"/>
            <w:shd w:val="clear" w:color="auto" w:fill="FFFFFF"/>
            <w:vAlign w:val="center"/>
            <w:hideMark/>
          </w:tcPr>
          <w:p w14:paraId="1A5A1C26" w14:textId="77777777" w:rsidR="00D335D3" w:rsidRPr="00B047A8" w:rsidRDefault="00D335D3" w:rsidP="00215A20">
            <w:pPr>
              <w:jc w:val="center"/>
              <w:rPr>
                <w:bCs/>
                <w:sz w:val="20"/>
                <w:lang w:eastAsia="fr-FR"/>
              </w:rPr>
            </w:pPr>
            <w:r w:rsidRPr="00B047A8">
              <w:rPr>
                <w:bCs/>
                <w:sz w:val="20"/>
                <w:lang w:eastAsia="fr-FR"/>
              </w:rPr>
              <w:t>T18</w:t>
            </w:r>
          </w:p>
        </w:tc>
        <w:tc>
          <w:tcPr>
            <w:tcW w:w="1813" w:type="dxa"/>
            <w:shd w:val="clear" w:color="auto" w:fill="FFFFFF"/>
            <w:hideMark/>
          </w:tcPr>
          <w:p w14:paraId="0DF69242" w14:textId="77777777" w:rsidR="00D335D3" w:rsidRPr="00B047A8" w:rsidRDefault="00D335D3" w:rsidP="00215A20">
            <w:pPr>
              <w:jc w:val="center"/>
              <w:rPr>
                <w:bCs/>
                <w:sz w:val="20"/>
                <w:lang w:eastAsia="fr-FR"/>
              </w:rPr>
            </w:pPr>
            <w:r w:rsidRPr="00B047A8">
              <w:rPr>
                <w:bCs/>
                <w:sz w:val="20"/>
                <w:lang w:eastAsia="fr-FR"/>
              </w:rPr>
              <w:t>50.5%</w:t>
            </w:r>
          </w:p>
        </w:tc>
        <w:tc>
          <w:tcPr>
            <w:tcW w:w="2014" w:type="dxa"/>
            <w:shd w:val="clear" w:color="auto" w:fill="FFFFFF"/>
            <w:hideMark/>
          </w:tcPr>
          <w:p w14:paraId="4755A726" w14:textId="77777777" w:rsidR="00D335D3" w:rsidRPr="00B047A8" w:rsidRDefault="00D335D3" w:rsidP="00215A20">
            <w:pPr>
              <w:jc w:val="center"/>
              <w:rPr>
                <w:bCs/>
                <w:sz w:val="20"/>
                <w:lang w:eastAsia="fr-FR"/>
              </w:rPr>
            </w:pPr>
            <w:r w:rsidRPr="00B047A8">
              <w:rPr>
                <w:bCs/>
                <w:sz w:val="20"/>
                <w:lang w:eastAsia="fr-FR"/>
              </w:rPr>
              <w:t>11.,8%</w:t>
            </w:r>
          </w:p>
        </w:tc>
        <w:tc>
          <w:tcPr>
            <w:tcW w:w="1985" w:type="dxa"/>
            <w:shd w:val="clear" w:color="auto" w:fill="FFFFFF"/>
            <w:vAlign w:val="center"/>
            <w:hideMark/>
          </w:tcPr>
          <w:p w14:paraId="3BFA26FC" w14:textId="77777777" w:rsidR="00D335D3" w:rsidRPr="00B047A8" w:rsidRDefault="00D335D3" w:rsidP="00215A20">
            <w:pPr>
              <w:jc w:val="center"/>
              <w:rPr>
                <w:bCs/>
                <w:sz w:val="20"/>
                <w:lang w:eastAsia="fr-FR"/>
              </w:rPr>
            </w:pPr>
            <w:r w:rsidRPr="00B047A8">
              <w:rPr>
                <w:bCs/>
                <w:sz w:val="20"/>
                <w:lang w:eastAsia="fr-FR"/>
              </w:rPr>
              <w:t>77%</w:t>
            </w:r>
          </w:p>
        </w:tc>
      </w:tr>
      <w:tr w:rsidR="00D335D3" w:rsidRPr="00B047A8" w14:paraId="37708E27" w14:textId="77777777" w:rsidTr="00A305A6">
        <w:trPr>
          <w:jc w:val="center"/>
        </w:trPr>
        <w:tc>
          <w:tcPr>
            <w:tcW w:w="1418" w:type="dxa"/>
            <w:shd w:val="clear" w:color="auto" w:fill="FFFFFF"/>
            <w:vAlign w:val="center"/>
            <w:hideMark/>
          </w:tcPr>
          <w:p w14:paraId="1E3FD247" w14:textId="77777777" w:rsidR="00D335D3" w:rsidRPr="00B047A8" w:rsidRDefault="00D335D3" w:rsidP="00215A20">
            <w:pPr>
              <w:jc w:val="center"/>
              <w:rPr>
                <w:bCs/>
                <w:sz w:val="20"/>
                <w:lang w:eastAsia="fr-FR"/>
              </w:rPr>
            </w:pPr>
            <w:r w:rsidRPr="00B047A8">
              <w:rPr>
                <w:bCs/>
                <w:sz w:val="20"/>
                <w:lang w:eastAsia="fr-FR"/>
              </w:rPr>
              <w:t>T10</w:t>
            </w:r>
          </w:p>
        </w:tc>
        <w:tc>
          <w:tcPr>
            <w:tcW w:w="1813" w:type="dxa"/>
            <w:shd w:val="clear" w:color="auto" w:fill="FFFFFF"/>
            <w:hideMark/>
          </w:tcPr>
          <w:p w14:paraId="1172BA73" w14:textId="77777777" w:rsidR="00D335D3" w:rsidRPr="00B047A8" w:rsidRDefault="00D335D3" w:rsidP="00215A20">
            <w:pPr>
              <w:jc w:val="center"/>
              <w:rPr>
                <w:bCs/>
                <w:sz w:val="20"/>
                <w:lang w:eastAsia="fr-FR"/>
              </w:rPr>
            </w:pPr>
            <w:r w:rsidRPr="00B047A8">
              <w:rPr>
                <w:bCs/>
                <w:sz w:val="20"/>
                <w:lang w:eastAsia="fr-FR"/>
              </w:rPr>
              <w:t>19.1%</w:t>
            </w:r>
          </w:p>
        </w:tc>
        <w:tc>
          <w:tcPr>
            <w:tcW w:w="2014" w:type="dxa"/>
            <w:shd w:val="clear" w:color="auto" w:fill="FFFFFF"/>
            <w:hideMark/>
          </w:tcPr>
          <w:p w14:paraId="79677A48" w14:textId="77777777" w:rsidR="00D335D3" w:rsidRPr="00B047A8" w:rsidRDefault="00D335D3" w:rsidP="00215A20">
            <w:pPr>
              <w:jc w:val="center"/>
              <w:rPr>
                <w:bCs/>
                <w:sz w:val="20"/>
                <w:lang w:eastAsia="fr-FR"/>
              </w:rPr>
            </w:pPr>
            <w:r w:rsidRPr="00B047A8">
              <w:rPr>
                <w:bCs/>
                <w:sz w:val="20"/>
                <w:lang w:eastAsia="fr-FR"/>
              </w:rPr>
              <w:t>4.5%</w:t>
            </w:r>
          </w:p>
        </w:tc>
        <w:tc>
          <w:tcPr>
            <w:tcW w:w="1985" w:type="dxa"/>
            <w:shd w:val="clear" w:color="auto" w:fill="FFFFFF"/>
            <w:vAlign w:val="center"/>
            <w:hideMark/>
          </w:tcPr>
          <w:p w14:paraId="11CB1851" w14:textId="77777777" w:rsidR="00D335D3" w:rsidRPr="00B047A8" w:rsidRDefault="00D335D3" w:rsidP="00215A20">
            <w:pPr>
              <w:jc w:val="center"/>
              <w:rPr>
                <w:bCs/>
                <w:sz w:val="20"/>
                <w:lang w:eastAsia="fr-FR"/>
              </w:rPr>
            </w:pPr>
            <w:r w:rsidRPr="00B047A8">
              <w:rPr>
                <w:bCs/>
                <w:sz w:val="20"/>
                <w:lang w:eastAsia="fr-FR"/>
              </w:rPr>
              <w:t>76%</w:t>
            </w:r>
          </w:p>
        </w:tc>
      </w:tr>
      <w:tr w:rsidR="00D335D3" w:rsidRPr="00B047A8" w14:paraId="3BCBB1B0" w14:textId="77777777" w:rsidTr="00A305A6">
        <w:trPr>
          <w:jc w:val="center"/>
        </w:trPr>
        <w:tc>
          <w:tcPr>
            <w:tcW w:w="1418" w:type="dxa"/>
            <w:shd w:val="clear" w:color="auto" w:fill="FFFFFF"/>
            <w:vAlign w:val="center"/>
            <w:hideMark/>
          </w:tcPr>
          <w:p w14:paraId="740A46E1" w14:textId="77777777" w:rsidR="00D335D3" w:rsidRPr="00B047A8" w:rsidRDefault="00D335D3" w:rsidP="00215A20">
            <w:pPr>
              <w:jc w:val="center"/>
              <w:rPr>
                <w:bCs/>
                <w:sz w:val="20"/>
                <w:lang w:eastAsia="fr-FR"/>
              </w:rPr>
            </w:pPr>
            <w:r w:rsidRPr="00B047A8">
              <w:rPr>
                <w:bCs/>
                <w:sz w:val="20"/>
                <w:lang w:eastAsia="fr-FR"/>
              </w:rPr>
              <w:t>T05</w:t>
            </w:r>
          </w:p>
        </w:tc>
        <w:tc>
          <w:tcPr>
            <w:tcW w:w="1813" w:type="dxa"/>
            <w:shd w:val="clear" w:color="auto" w:fill="FFFFFF"/>
            <w:hideMark/>
          </w:tcPr>
          <w:p w14:paraId="494E2857" w14:textId="77777777" w:rsidR="00D335D3" w:rsidRPr="00B047A8" w:rsidRDefault="00D335D3" w:rsidP="00215A20">
            <w:pPr>
              <w:jc w:val="center"/>
              <w:rPr>
                <w:bCs/>
                <w:sz w:val="20"/>
                <w:lang w:eastAsia="fr-FR"/>
              </w:rPr>
            </w:pPr>
            <w:r w:rsidRPr="00B047A8">
              <w:rPr>
                <w:bCs/>
                <w:sz w:val="20"/>
                <w:lang w:eastAsia="fr-FR"/>
              </w:rPr>
              <w:t>32.1%</w:t>
            </w:r>
          </w:p>
        </w:tc>
        <w:tc>
          <w:tcPr>
            <w:tcW w:w="2014" w:type="dxa"/>
            <w:shd w:val="clear" w:color="auto" w:fill="FFFFFF"/>
            <w:hideMark/>
          </w:tcPr>
          <w:p w14:paraId="566E5C28" w14:textId="77777777" w:rsidR="00D335D3" w:rsidRPr="00B047A8" w:rsidRDefault="00D335D3" w:rsidP="00215A20">
            <w:pPr>
              <w:jc w:val="center"/>
              <w:rPr>
                <w:bCs/>
                <w:sz w:val="20"/>
                <w:lang w:eastAsia="fr-FR"/>
              </w:rPr>
            </w:pPr>
            <w:r w:rsidRPr="00B047A8">
              <w:rPr>
                <w:bCs/>
                <w:sz w:val="20"/>
                <w:lang w:eastAsia="fr-FR"/>
              </w:rPr>
              <w:t>8.0%</w:t>
            </w:r>
          </w:p>
        </w:tc>
        <w:tc>
          <w:tcPr>
            <w:tcW w:w="1985" w:type="dxa"/>
            <w:shd w:val="clear" w:color="auto" w:fill="FFFFFF"/>
            <w:vAlign w:val="center"/>
            <w:hideMark/>
          </w:tcPr>
          <w:p w14:paraId="62D26077" w14:textId="77777777" w:rsidR="00D335D3" w:rsidRPr="00B047A8" w:rsidRDefault="00D335D3" w:rsidP="00215A20">
            <w:pPr>
              <w:jc w:val="center"/>
              <w:rPr>
                <w:bCs/>
                <w:sz w:val="20"/>
                <w:lang w:eastAsia="fr-FR"/>
              </w:rPr>
            </w:pPr>
            <w:r w:rsidRPr="00B047A8">
              <w:rPr>
                <w:bCs/>
                <w:sz w:val="20"/>
                <w:lang w:eastAsia="fr-FR"/>
              </w:rPr>
              <w:t>75%</w:t>
            </w:r>
          </w:p>
        </w:tc>
      </w:tr>
      <w:tr w:rsidR="00D335D3" w:rsidRPr="00B047A8" w14:paraId="2EA95F72" w14:textId="77777777" w:rsidTr="00A305A6">
        <w:trPr>
          <w:jc w:val="center"/>
        </w:trPr>
        <w:tc>
          <w:tcPr>
            <w:tcW w:w="1418" w:type="dxa"/>
            <w:tcBorders>
              <w:top w:val="nil"/>
              <w:left w:val="nil"/>
              <w:bottom w:val="single" w:sz="4" w:space="0" w:color="auto"/>
              <w:right w:val="nil"/>
            </w:tcBorders>
            <w:shd w:val="clear" w:color="auto" w:fill="FFFFFF"/>
            <w:vAlign w:val="center"/>
            <w:hideMark/>
          </w:tcPr>
          <w:p w14:paraId="106C7B77" w14:textId="77777777" w:rsidR="00D335D3" w:rsidRPr="00B047A8" w:rsidRDefault="00D335D3" w:rsidP="00215A20">
            <w:pPr>
              <w:jc w:val="center"/>
              <w:rPr>
                <w:bCs/>
                <w:sz w:val="20"/>
                <w:lang w:eastAsia="fr-FR"/>
              </w:rPr>
            </w:pPr>
            <w:r w:rsidRPr="00B047A8">
              <w:rPr>
                <w:bCs/>
                <w:sz w:val="20"/>
                <w:lang w:eastAsia="fr-FR"/>
              </w:rPr>
              <w:t>T17</w:t>
            </w:r>
          </w:p>
        </w:tc>
        <w:tc>
          <w:tcPr>
            <w:tcW w:w="1813" w:type="dxa"/>
            <w:tcBorders>
              <w:top w:val="nil"/>
              <w:left w:val="nil"/>
              <w:bottom w:val="single" w:sz="4" w:space="0" w:color="auto"/>
              <w:right w:val="nil"/>
            </w:tcBorders>
            <w:shd w:val="clear" w:color="auto" w:fill="FFFFFF"/>
            <w:vAlign w:val="center"/>
            <w:hideMark/>
          </w:tcPr>
          <w:p w14:paraId="2CC9457F" w14:textId="77777777" w:rsidR="00D335D3" w:rsidRPr="00B047A8" w:rsidRDefault="00D335D3" w:rsidP="00215A20">
            <w:pPr>
              <w:jc w:val="center"/>
              <w:rPr>
                <w:bCs/>
                <w:sz w:val="20"/>
                <w:lang w:eastAsia="fr-FR"/>
              </w:rPr>
            </w:pPr>
            <w:r w:rsidRPr="00B047A8">
              <w:rPr>
                <w:bCs/>
                <w:sz w:val="20"/>
                <w:lang w:eastAsia="fr-FR"/>
              </w:rPr>
              <w:t>32.4%</w:t>
            </w:r>
          </w:p>
        </w:tc>
        <w:tc>
          <w:tcPr>
            <w:tcW w:w="2014" w:type="dxa"/>
            <w:tcBorders>
              <w:top w:val="nil"/>
              <w:left w:val="nil"/>
              <w:bottom w:val="single" w:sz="4" w:space="0" w:color="auto"/>
              <w:right w:val="nil"/>
            </w:tcBorders>
            <w:shd w:val="clear" w:color="auto" w:fill="FFFFFF"/>
            <w:hideMark/>
          </w:tcPr>
          <w:p w14:paraId="407BD4A1" w14:textId="77777777" w:rsidR="00D335D3" w:rsidRPr="00B047A8" w:rsidRDefault="00D335D3" w:rsidP="00215A20">
            <w:pPr>
              <w:jc w:val="center"/>
              <w:rPr>
                <w:bCs/>
                <w:sz w:val="20"/>
                <w:lang w:eastAsia="fr-FR"/>
              </w:rPr>
            </w:pPr>
            <w:r w:rsidRPr="00B047A8">
              <w:rPr>
                <w:bCs/>
                <w:sz w:val="20"/>
                <w:lang w:eastAsia="fr-FR"/>
              </w:rPr>
              <w:t>8.3%</w:t>
            </w:r>
          </w:p>
        </w:tc>
        <w:tc>
          <w:tcPr>
            <w:tcW w:w="1985" w:type="dxa"/>
            <w:tcBorders>
              <w:top w:val="nil"/>
              <w:left w:val="nil"/>
              <w:bottom w:val="single" w:sz="4" w:space="0" w:color="auto"/>
              <w:right w:val="nil"/>
            </w:tcBorders>
            <w:shd w:val="clear" w:color="auto" w:fill="FFFFFF"/>
            <w:vAlign w:val="center"/>
            <w:hideMark/>
          </w:tcPr>
          <w:p w14:paraId="699906DE" w14:textId="77777777" w:rsidR="00D335D3" w:rsidRPr="00B047A8" w:rsidRDefault="00D335D3" w:rsidP="00215A20">
            <w:pPr>
              <w:jc w:val="center"/>
              <w:rPr>
                <w:bCs/>
                <w:sz w:val="20"/>
                <w:lang w:eastAsia="fr-FR"/>
              </w:rPr>
            </w:pPr>
            <w:r w:rsidRPr="00B047A8">
              <w:rPr>
                <w:bCs/>
                <w:sz w:val="20"/>
                <w:lang w:eastAsia="fr-FR"/>
              </w:rPr>
              <w:t>74%</w:t>
            </w:r>
          </w:p>
        </w:tc>
      </w:tr>
    </w:tbl>
    <w:p w14:paraId="46188BB6" w14:textId="2687CEDD" w:rsidR="000212A8" w:rsidRPr="00B047A8" w:rsidRDefault="000212A8" w:rsidP="000212A8">
      <w:pPr>
        <w:pStyle w:val="Heading3"/>
      </w:pPr>
      <w:r w:rsidRPr="00B047A8">
        <w:t xml:space="preserve">Optimization of </w:t>
      </w:r>
      <w:r w:rsidR="009737BB" w:rsidRPr="00B047A8">
        <w:t>Current Load</w:t>
      </w:r>
      <w:r w:rsidRPr="00B047A8">
        <w:t xml:space="preserve"> and </w:t>
      </w:r>
      <w:r w:rsidR="009737BB" w:rsidRPr="00B047A8">
        <w:t>Phase Unbalance</w:t>
      </w:r>
      <w:r w:rsidRPr="00B047A8">
        <w:t xml:space="preserve"> across all </w:t>
      </w:r>
      <w:r w:rsidR="009737BB" w:rsidRPr="00B047A8">
        <w:t>Transformers</w:t>
      </w:r>
    </w:p>
    <w:p w14:paraId="0D519FBB" w14:textId="2BB8112F" w:rsidR="000212A8" w:rsidRPr="00B047A8" w:rsidRDefault="000212A8" w:rsidP="000212A8">
      <w:pPr>
        <w:pStyle w:val="Paragraph"/>
      </w:pPr>
      <w:r w:rsidRPr="00B047A8">
        <w:t>The optimization process successfully reduced both current load and phase unbalance across all transformers, enhancing system efficiency and minimizing losses. Current load reductions varied among units, with some experiencing substantial decreases while others showed moderate improvements. The Current Unbalance Factor (CUF) reduction was most dramatic for transformers with high initial imbalance, reaching 94% for T07, while transformers with lower baseline unbalance achieved smaller but still meaningful improvements, with T71 showing 16% reduction.</w:t>
      </w:r>
    </w:p>
    <w:p w14:paraId="4F780F4A" w14:textId="77777777" w:rsidR="000212A8" w:rsidRPr="00B047A8" w:rsidRDefault="000212A8" w:rsidP="000212A8">
      <w:pPr>
        <w:pStyle w:val="Paragraph"/>
      </w:pPr>
    </w:p>
    <w:p w14:paraId="0CC3EA31" w14:textId="6AA66824" w:rsidR="002A67AA" w:rsidRPr="00B047A8" w:rsidRDefault="000212A8" w:rsidP="000212A8">
      <w:pPr>
        <w:jc w:val="center"/>
        <w:rPr>
          <w:sz w:val="20"/>
          <w:szCs w:val="24"/>
        </w:rPr>
      </w:pPr>
      <w:r w:rsidRPr="00B047A8">
        <w:rPr>
          <w:noProof/>
          <w:lang w:val="fr-FR" w:eastAsia="fr-FR"/>
        </w:rPr>
        <w:drawing>
          <wp:inline distT="0" distB="0" distL="0" distR="0" wp14:anchorId="0CF63022" wp14:editId="12D0E738">
            <wp:extent cx="5076749" cy="2648102"/>
            <wp:effectExtent l="0" t="0" r="0" b="0"/>
            <wp:docPr id="1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0176" cy="2696835"/>
                    </a:xfrm>
                    <a:prstGeom prst="rect">
                      <a:avLst/>
                    </a:prstGeom>
                    <a:noFill/>
                    <a:ln>
                      <a:noFill/>
                    </a:ln>
                  </pic:spPr>
                </pic:pic>
              </a:graphicData>
            </a:graphic>
          </wp:inline>
        </w:drawing>
      </w:r>
    </w:p>
    <w:p w14:paraId="51782307" w14:textId="0CD00BE9" w:rsidR="00F20AD2" w:rsidRPr="00B047A8" w:rsidRDefault="002A67AA" w:rsidP="002A67AA">
      <w:pPr>
        <w:pStyle w:val="FigureCaption"/>
      </w:pPr>
      <w:r w:rsidRPr="00B047A8">
        <w:rPr>
          <w:b/>
          <w:caps/>
        </w:rPr>
        <w:t>Figure 3.</w:t>
      </w:r>
      <w:r w:rsidRPr="00B047A8">
        <w:t xml:space="preserve"> </w:t>
      </w:r>
      <w:r w:rsidR="000212A8" w:rsidRPr="00B047A8">
        <w:t xml:space="preserve">Baseline </w:t>
      </w:r>
      <w:r w:rsidR="00F20AD2" w:rsidRPr="00B047A8">
        <w:t>CUF, optimized CUF, and reduction p</w:t>
      </w:r>
      <w:r w:rsidR="003C2B7F">
        <w:t>ercentages for each transformer.</w:t>
      </w:r>
    </w:p>
    <w:p w14:paraId="4ADD7274" w14:textId="77777777" w:rsidR="000212A8" w:rsidRPr="00B047A8" w:rsidRDefault="000212A8" w:rsidP="000212A8">
      <w:pPr>
        <w:pStyle w:val="Paragraph"/>
        <w:ind w:firstLine="0"/>
      </w:pPr>
    </w:p>
    <w:p w14:paraId="586E24C1" w14:textId="7703F857" w:rsidR="000212A8" w:rsidRDefault="000212A8" w:rsidP="001D6B0A">
      <w:pPr>
        <w:pStyle w:val="Paragraph"/>
      </w:pPr>
      <w:r w:rsidRPr="00B047A8">
        <w:t xml:space="preserve">Figure </w:t>
      </w:r>
      <w:r w:rsidR="001D6409">
        <w:t>3</w:t>
      </w:r>
      <w:r w:rsidRPr="00B047A8">
        <w:t xml:space="preserve"> illustrates the baseline CUF, optimized CUF, and reduction percentages for each transformer, revealing consistent improvements across the entire fleet. Transformers with the highest initial CUF values, indicating severe phase imbalance, achieved reductions often exceeding 70-90%. This pattern demonstrates that the optimization algorithm was particularly effective at addressing the most problematic units while still providing benefits to all </w:t>
      </w:r>
      <w:r w:rsidRPr="00B047A8">
        <w:lastRenderedPageBreak/>
        <w:t>transformers. The strong correlation between current load reduction and CUF improvement confirms that the phase balancing intervention successfully achieved its dual objectives of load balancing and loss minimization throughout the transformer network.</w:t>
      </w:r>
    </w:p>
    <w:p w14:paraId="694C21C5" w14:textId="787BF11C" w:rsidR="00203A23" w:rsidRPr="00B047A8" w:rsidRDefault="00203A23" w:rsidP="00203A23">
      <w:pPr>
        <w:pStyle w:val="Heading1"/>
      </w:pPr>
      <w:r w:rsidRPr="00B047A8">
        <w:t xml:space="preserve">CONCLUSION </w:t>
      </w:r>
    </w:p>
    <w:p w14:paraId="492746B7" w14:textId="406C30CA" w:rsidR="00C231C8" w:rsidRPr="00B047A8" w:rsidRDefault="00C231C8" w:rsidP="00C231C8">
      <w:pPr>
        <w:widowControl w:val="0"/>
        <w:autoSpaceDE w:val="0"/>
        <w:autoSpaceDN w:val="0"/>
        <w:adjustRightInd w:val="0"/>
        <w:ind w:firstLine="284"/>
        <w:jc w:val="both"/>
        <w:rPr>
          <w:sz w:val="20"/>
          <w:szCs w:val="18"/>
        </w:rPr>
      </w:pPr>
      <w:r w:rsidRPr="00B047A8">
        <w:rPr>
          <w:sz w:val="20"/>
          <w:szCs w:val="18"/>
        </w:rPr>
        <w:t>This work presents a hybrid optimization framework that synergizes Biogeography-Based Optimization with gradient descent to address phase imbalances and transformer over/underloading in distribution networks, critical challenges intensified by incomplete load data. Simulation results demonstrate transformative improvements: a 49.99% reduction in phase imbalance, 28.71% fewer overloaded transformers (from 68% baseline), and 10.86% fewer underloaded units (from 18% baseline). By combining global search robustness with local precision, the framework enhances grid reliability, reduces energy losses, and extends infrastructure lifespan, yielding tangible operational and economic benefits. Integrated visualization tools further empower operators with actionable insights for proactive management. The methodology offers a scalable, data-resilient solution for modern grids facing rising complexity from distributed generation and variable demand. Future work will explore quantum-inspired or ensemble metaheuristics coupled with deep reinforcement learning to enable real-time, adaptive load rebalancing. Ultimately, this research advances hybrid AI as a cornerstone for self-healing, intelligent distribution systems bridging simulation-driven innovation to field-deployable resilience and accelerating the transition toward sustainable, consumer-centric smart grids.</w:t>
      </w:r>
    </w:p>
    <w:p w14:paraId="5426EAFE" w14:textId="015C9426" w:rsidR="00D051DA" w:rsidRDefault="009B382A" w:rsidP="009B382A">
      <w:pPr>
        <w:widowControl w:val="0"/>
        <w:autoSpaceDE w:val="0"/>
        <w:autoSpaceDN w:val="0"/>
        <w:adjustRightInd w:val="0"/>
        <w:spacing w:before="240" w:after="240"/>
        <w:ind w:left="640" w:hanging="640"/>
        <w:jc w:val="center"/>
        <w:rPr>
          <w:rFonts w:asciiTheme="majorBidi" w:hAnsiTheme="majorBidi" w:cstheme="majorBidi"/>
          <w:b/>
          <w:bCs/>
        </w:rPr>
      </w:pPr>
      <w:r w:rsidRPr="00B047A8">
        <w:rPr>
          <w:rFonts w:asciiTheme="majorBidi" w:hAnsiTheme="majorBidi" w:cstheme="majorBidi"/>
          <w:b/>
          <w:bCs/>
        </w:rPr>
        <w:t>REFERENCES</w:t>
      </w:r>
    </w:p>
    <w:p w14:paraId="02090438"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J. Gallegos, P. Arévalo, C. </w:t>
      </w:r>
      <w:proofErr w:type="spellStart"/>
      <w:r w:rsidRPr="00F66D0F">
        <w:rPr>
          <w:sz w:val="20"/>
        </w:rPr>
        <w:t>Montaleza</w:t>
      </w:r>
      <w:proofErr w:type="spellEnd"/>
      <w:r w:rsidRPr="00F66D0F">
        <w:rPr>
          <w:sz w:val="20"/>
        </w:rPr>
        <w:t>, and F. Jurado, Sustain. 16, (2024).</w:t>
      </w:r>
    </w:p>
    <w:p w14:paraId="2EF3799D"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T. Bharath Kumar and M. </w:t>
      </w:r>
      <w:proofErr w:type="spellStart"/>
      <w:r w:rsidRPr="00F66D0F">
        <w:rPr>
          <w:sz w:val="20"/>
        </w:rPr>
        <w:t>Ramamoorty</w:t>
      </w:r>
      <w:proofErr w:type="spellEnd"/>
      <w:r w:rsidRPr="00F66D0F">
        <w:rPr>
          <w:sz w:val="20"/>
        </w:rPr>
        <w:t xml:space="preserve">, in Lect. Notes </w:t>
      </w:r>
      <w:proofErr w:type="spellStart"/>
      <w:r w:rsidRPr="00F66D0F">
        <w:rPr>
          <w:sz w:val="20"/>
        </w:rPr>
        <w:t>Electr</w:t>
      </w:r>
      <w:proofErr w:type="spellEnd"/>
      <w:r w:rsidRPr="00F66D0F">
        <w:rPr>
          <w:sz w:val="20"/>
        </w:rPr>
        <w:t>. Eng. (2021).</w:t>
      </w:r>
    </w:p>
    <w:p w14:paraId="4D8D4864"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C. Yang, Y. Sun, Y. Zou, F. Zheng, S. Liu, B. Zhao, M. Wu, and H. Cui, Energies 16, 1 (2023).</w:t>
      </w:r>
    </w:p>
    <w:p w14:paraId="401EF254"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A.M. Agwa and A.A. El-</w:t>
      </w:r>
      <w:proofErr w:type="spellStart"/>
      <w:r w:rsidRPr="00F66D0F">
        <w:rPr>
          <w:sz w:val="20"/>
        </w:rPr>
        <w:t>Fergany</w:t>
      </w:r>
      <w:proofErr w:type="spellEnd"/>
      <w:r w:rsidRPr="00F66D0F">
        <w:rPr>
          <w:sz w:val="20"/>
        </w:rPr>
        <w:t>, Sustain. 15, (2023).</w:t>
      </w:r>
    </w:p>
    <w:p w14:paraId="7E435DB9"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Z. Janic, N. Gavrilov, and I. </w:t>
      </w:r>
      <w:proofErr w:type="spellStart"/>
      <w:r w:rsidRPr="00F66D0F">
        <w:rPr>
          <w:sz w:val="20"/>
        </w:rPr>
        <w:t>Roketinec</w:t>
      </w:r>
      <w:proofErr w:type="spellEnd"/>
      <w:r w:rsidRPr="00F66D0F">
        <w:rPr>
          <w:sz w:val="20"/>
        </w:rPr>
        <w:t>, Energies 16, (2023).</w:t>
      </w:r>
    </w:p>
    <w:p w14:paraId="796F80E8"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E.P. López, A.L. Vinet, V.L. Martínez, J.M. Romeu, and I.V. Salazar, </w:t>
      </w:r>
      <w:proofErr w:type="spellStart"/>
      <w:r w:rsidRPr="00F66D0F">
        <w:rPr>
          <w:sz w:val="20"/>
        </w:rPr>
        <w:t>Electr</w:t>
      </w:r>
      <w:proofErr w:type="spellEnd"/>
      <w:r w:rsidRPr="00F66D0F">
        <w:rPr>
          <w:sz w:val="20"/>
        </w:rPr>
        <w:t>. Power Syst. Res. 215, (2023).</w:t>
      </w:r>
    </w:p>
    <w:p w14:paraId="45B14A7A"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Y. </w:t>
      </w:r>
      <w:proofErr w:type="spellStart"/>
      <w:r w:rsidRPr="00F66D0F">
        <w:rPr>
          <w:sz w:val="20"/>
        </w:rPr>
        <w:t>Zerguit</w:t>
      </w:r>
      <w:proofErr w:type="spellEnd"/>
      <w:r w:rsidRPr="00F66D0F">
        <w:rPr>
          <w:sz w:val="20"/>
        </w:rPr>
        <w:t xml:space="preserve">, Y. Hammoudi, I. Idrissi, and M. </w:t>
      </w:r>
      <w:proofErr w:type="spellStart"/>
      <w:r w:rsidRPr="00F66D0F">
        <w:rPr>
          <w:sz w:val="20"/>
        </w:rPr>
        <w:t>Derrhi</w:t>
      </w:r>
      <w:proofErr w:type="spellEnd"/>
      <w:r w:rsidRPr="00F66D0F">
        <w:rPr>
          <w:sz w:val="20"/>
        </w:rPr>
        <w:t>, J. Theor. Appl. Inf. Technol. 101, (2023).</w:t>
      </w:r>
    </w:p>
    <w:p w14:paraId="3D831073"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P. Dupis, R. </w:t>
      </w:r>
      <w:proofErr w:type="spellStart"/>
      <w:r w:rsidRPr="00F66D0F">
        <w:rPr>
          <w:sz w:val="20"/>
        </w:rPr>
        <w:t>Gianto</w:t>
      </w:r>
      <w:proofErr w:type="spellEnd"/>
      <w:r w:rsidRPr="00F66D0F">
        <w:rPr>
          <w:sz w:val="20"/>
        </w:rPr>
        <w:t xml:space="preserve">, and J. Junaidi, </w:t>
      </w:r>
      <w:proofErr w:type="spellStart"/>
      <w:r w:rsidRPr="00F66D0F">
        <w:rPr>
          <w:sz w:val="20"/>
        </w:rPr>
        <w:t>Telecommun</w:t>
      </w:r>
      <w:proofErr w:type="spellEnd"/>
      <w:r w:rsidRPr="00F66D0F">
        <w:rPr>
          <w:sz w:val="20"/>
        </w:rPr>
        <w:t xml:space="preserve">. </w:t>
      </w:r>
      <w:proofErr w:type="spellStart"/>
      <w:r w:rsidRPr="00F66D0F">
        <w:rPr>
          <w:sz w:val="20"/>
        </w:rPr>
        <w:t>Comput</w:t>
      </w:r>
      <w:proofErr w:type="spellEnd"/>
      <w:r w:rsidRPr="00F66D0F">
        <w:rPr>
          <w:sz w:val="20"/>
        </w:rPr>
        <w:t xml:space="preserve">. </w:t>
      </w:r>
      <w:proofErr w:type="spellStart"/>
      <w:r w:rsidRPr="00F66D0F">
        <w:rPr>
          <w:sz w:val="20"/>
        </w:rPr>
        <w:t>Electr</w:t>
      </w:r>
      <w:proofErr w:type="spellEnd"/>
      <w:r w:rsidRPr="00F66D0F">
        <w:rPr>
          <w:sz w:val="20"/>
        </w:rPr>
        <w:t>. Eng. J. 1, (2024).</w:t>
      </w:r>
    </w:p>
    <w:p w14:paraId="681AD55B"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L.M. Adesina, A. Abdulkareem, O. Ogunbiyi, and O. Ibrahim, </w:t>
      </w:r>
      <w:proofErr w:type="spellStart"/>
      <w:r w:rsidRPr="00F66D0F">
        <w:rPr>
          <w:sz w:val="20"/>
        </w:rPr>
        <w:t>MethodsX</w:t>
      </w:r>
      <w:proofErr w:type="spellEnd"/>
      <w:r w:rsidRPr="00F66D0F">
        <w:rPr>
          <w:sz w:val="20"/>
        </w:rPr>
        <w:t xml:space="preserve"> 7, (2020).</w:t>
      </w:r>
    </w:p>
    <w:p w14:paraId="6877EC22"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Z. Zhu, L. Heng, and L. Binbin, Rev. Sci. </w:t>
      </w:r>
      <w:proofErr w:type="spellStart"/>
      <w:r w:rsidRPr="00F66D0F">
        <w:rPr>
          <w:sz w:val="20"/>
        </w:rPr>
        <w:t>Instrum</w:t>
      </w:r>
      <w:proofErr w:type="spellEnd"/>
      <w:r w:rsidRPr="00F66D0F">
        <w:rPr>
          <w:sz w:val="20"/>
        </w:rPr>
        <w:t>. 95, (2024).</w:t>
      </w:r>
    </w:p>
    <w:p w14:paraId="5BAAB9A7"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V.A. Jimenez, A.L.E. Will, and D.F. Lizondo, Int. J. </w:t>
      </w:r>
      <w:proofErr w:type="spellStart"/>
      <w:r w:rsidRPr="00F66D0F">
        <w:rPr>
          <w:sz w:val="20"/>
        </w:rPr>
        <w:t>Electr</w:t>
      </w:r>
      <w:proofErr w:type="spellEnd"/>
      <w:r w:rsidRPr="00F66D0F">
        <w:rPr>
          <w:sz w:val="20"/>
        </w:rPr>
        <w:t>. Power Energy Syst. 137, 107691 (2022).</w:t>
      </w:r>
    </w:p>
    <w:p w14:paraId="3FA12BB0"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H. Rezk, A.G. </w:t>
      </w:r>
      <w:proofErr w:type="spellStart"/>
      <w:r w:rsidRPr="00F66D0F">
        <w:rPr>
          <w:sz w:val="20"/>
        </w:rPr>
        <w:t>Olabi</w:t>
      </w:r>
      <w:proofErr w:type="spellEnd"/>
      <w:r w:rsidRPr="00F66D0F">
        <w:rPr>
          <w:sz w:val="20"/>
        </w:rPr>
        <w:t>, E.T. Sayed, and T. Wilberforce, Sustain. 15, (2023).</w:t>
      </w:r>
    </w:p>
    <w:p w14:paraId="2515C79F"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A.M. Nassef, M.A. Abdelkareem, H.M. Maghrabie, and A. </w:t>
      </w:r>
      <w:proofErr w:type="spellStart"/>
      <w:r w:rsidRPr="00F66D0F">
        <w:rPr>
          <w:sz w:val="20"/>
        </w:rPr>
        <w:t>Baroutaji</w:t>
      </w:r>
      <w:proofErr w:type="spellEnd"/>
      <w:r w:rsidRPr="00F66D0F">
        <w:rPr>
          <w:sz w:val="20"/>
        </w:rPr>
        <w:t>, Sustain. 15, (2023).</w:t>
      </w:r>
    </w:p>
    <w:p w14:paraId="4F97D994"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R. Vargas, L.H. </w:t>
      </w:r>
      <w:proofErr w:type="spellStart"/>
      <w:r w:rsidRPr="00F66D0F">
        <w:rPr>
          <w:sz w:val="20"/>
        </w:rPr>
        <w:t>MacEdo</w:t>
      </w:r>
      <w:proofErr w:type="spellEnd"/>
      <w:r w:rsidRPr="00F66D0F">
        <w:rPr>
          <w:sz w:val="20"/>
        </w:rPr>
        <w:t>, J.M. Home-Ortiz, J.R.S. Mantovani, and R. Romero, IEEE Trans. Smart Grid 12, (2021).</w:t>
      </w:r>
    </w:p>
    <w:p w14:paraId="0F82F329"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J. Li, X. Wang, C. Xie, J. Han, C. Mao, X. Liu, D. Wang, Y. Zhang, Z. Guan, and X. Zhang, in Proc. 2021 IEEE 4th Int. </w:t>
      </w:r>
      <w:proofErr w:type="spellStart"/>
      <w:r w:rsidRPr="00F66D0F">
        <w:rPr>
          <w:sz w:val="20"/>
        </w:rPr>
        <w:t>Electr</w:t>
      </w:r>
      <w:proofErr w:type="spellEnd"/>
      <w:r w:rsidRPr="00F66D0F">
        <w:rPr>
          <w:sz w:val="20"/>
        </w:rPr>
        <w:t>. Energy Conf. CIEEC 2021 (2021).</w:t>
      </w:r>
    </w:p>
    <w:p w14:paraId="2DB7310E"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C. Bai, Q. Li, W. Zhou, B. Li, and L. Zhang, Energy Reports 8, (2022).</w:t>
      </w:r>
    </w:p>
    <w:p w14:paraId="67E1B2A9"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L. Fu and D.D. Ge, J. Oper. Res. Soc. China 11, (2023).</w:t>
      </w:r>
    </w:p>
    <w:p w14:paraId="588FEFA9"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S.K. Chowdhury, H. Kobayashi, and K. Kondo, IEEJ J. Ind. Appl. 9, (2020).</w:t>
      </w:r>
    </w:p>
    <w:p w14:paraId="24EA004F"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J.Z. Balanta, S. Rivera, A.A. Romero, and G. Coria, Energies 16, (2023).</w:t>
      </w:r>
    </w:p>
    <w:p w14:paraId="401AAF57"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M.I. Hassan, N. Keshmiri, A.D. </w:t>
      </w:r>
      <w:proofErr w:type="spellStart"/>
      <w:r w:rsidRPr="00F66D0F">
        <w:rPr>
          <w:sz w:val="20"/>
        </w:rPr>
        <w:t>Callegaro</w:t>
      </w:r>
      <w:proofErr w:type="spellEnd"/>
      <w:r w:rsidRPr="00F66D0F">
        <w:rPr>
          <w:sz w:val="20"/>
        </w:rPr>
        <w:t>, M.F. Cruz, M. Narimani, and A. Emadi, IEEE Open J. Ind. Electron. Soc. 2, (2021).</w:t>
      </w:r>
    </w:p>
    <w:p w14:paraId="5AC571DF"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S. Akhtar, M. Adeel, M. Iqbal, A. </w:t>
      </w:r>
      <w:proofErr w:type="spellStart"/>
      <w:r w:rsidRPr="00F66D0F">
        <w:rPr>
          <w:sz w:val="20"/>
        </w:rPr>
        <w:t>Namoun</w:t>
      </w:r>
      <w:proofErr w:type="spellEnd"/>
      <w:r w:rsidRPr="00F66D0F">
        <w:rPr>
          <w:sz w:val="20"/>
        </w:rPr>
        <w:t>, A. Tufail, and K.H. Kim, Energy Reports 10, (2023).</w:t>
      </w:r>
    </w:p>
    <w:p w14:paraId="63AE6CF9"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M. Bjelić, B. Brković, M. Žarković, and T. </w:t>
      </w:r>
      <w:proofErr w:type="spellStart"/>
      <w:r w:rsidRPr="00F66D0F">
        <w:rPr>
          <w:sz w:val="20"/>
        </w:rPr>
        <w:t>Miljković</w:t>
      </w:r>
      <w:proofErr w:type="spellEnd"/>
      <w:r w:rsidRPr="00F66D0F">
        <w:rPr>
          <w:sz w:val="20"/>
        </w:rPr>
        <w:t xml:space="preserve">, Int. J. </w:t>
      </w:r>
      <w:proofErr w:type="spellStart"/>
      <w:r w:rsidRPr="00F66D0F">
        <w:rPr>
          <w:sz w:val="20"/>
        </w:rPr>
        <w:t>Electr</w:t>
      </w:r>
      <w:proofErr w:type="spellEnd"/>
      <w:r w:rsidRPr="00F66D0F">
        <w:rPr>
          <w:sz w:val="20"/>
        </w:rPr>
        <w:t>. Power Energy Syst. 156, (2024).</w:t>
      </w:r>
    </w:p>
    <w:p w14:paraId="35977B0D"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S. Barja-Martinez, M. </w:t>
      </w:r>
      <w:proofErr w:type="spellStart"/>
      <w:r w:rsidRPr="00F66D0F">
        <w:rPr>
          <w:sz w:val="20"/>
        </w:rPr>
        <w:t>Aragüés-Peñalba</w:t>
      </w:r>
      <w:proofErr w:type="spellEnd"/>
      <w:r w:rsidRPr="00F66D0F">
        <w:rPr>
          <w:sz w:val="20"/>
        </w:rPr>
        <w:t xml:space="preserve">, Í. </w:t>
      </w:r>
      <w:proofErr w:type="spellStart"/>
      <w:r w:rsidRPr="00F66D0F">
        <w:rPr>
          <w:sz w:val="20"/>
        </w:rPr>
        <w:t>Munné</w:t>
      </w:r>
      <w:proofErr w:type="spellEnd"/>
      <w:r w:rsidRPr="00F66D0F">
        <w:rPr>
          <w:sz w:val="20"/>
        </w:rPr>
        <w:t xml:space="preserve">-Collado, P. Lloret-Gallego, E. </w:t>
      </w:r>
      <w:proofErr w:type="spellStart"/>
      <w:r w:rsidRPr="00F66D0F">
        <w:rPr>
          <w:sz w:val="20"/>
        </w:rPr>
        <w:t>Bullich-Massagué</w:t>
      </w:r>
      <w:proofErr w:type="spellEnd"/>
      <w:r w:rsidRPr="00F66D0F">
        <w:rPr>
          <w:sz w:val="20"/>
        </w:rPr>
        <w:t xml:space="preserve">, and R. </w:t>
      </w:r>
      <w:proofErr w:type="spellStart"/>
      <w:r w:rsidRPr="00F66D0F">
        <w:rPr>
          <w:sz w:val="20"/>
        </w:rPr>
        <w:t>Villafafila</w:t>
      </w:r>
      <w:proofErr w:type="spellEnd"/>
      <w:r w:rsidRPr="00F66D0F">
        <w:rPr>
          <w:sz w:val="20"/>
        </w:rPr>
        <w:t>-Robles, Renew. Sustain. Energy Rev. 150, (2021).</w:t>
      </w:r>
    </w:p>
    <w:p w14:paraId="0F587F76"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lang w:val="fr-FR"/>
        </w:rPr>
        <w:t xml:space="preserve">L. </w:t>
      </w:r>
      <w:proofErr w:type="spellStart"/>
      <w:r w:rsidRPr="00F66D0F">
        <w:rPr>
          <w:sz w:val="20"/>
          <w:lang w:val="fr-FR"/>
        </w:rPr>
        <w:t>Martirano</w:t>
      </w:r>
      <w:proofErr w:type="spellEnd"/>
      <w:r w:rsidRPr="00F66D0F">
        <w:rPr>
          <w:sz w:val="20"/>
          <w:lang w:val="fr-FR"/>
        </w:rPr>
        <w:t xml:space="preserve">, A. </w:t>
      </w:r>
      <w:proofErr w:type="spellStart"/>
      <w:r w:rsidRPr="00F66D0F">
        <w:rPr>
          <w:sz w:val="20"/>
          <w:lang w:val="fr-FR"/>
        </w:rPr>
        <w:t>Ruvio</w:t>
      </w:r>
      <w:proofErr w:type="spellEnd"/>
      <w:r w:rsidRPr="00F66D0F">
        <w:rPr>
          <w:sz w:val="20"/>
          <w:lang w:val="fr-FR"/>
        </w:rPr>
        <w:t xml:space="preserve">, M. </w:t>
      </w:r>
      <w:proofErr w:type="spellStart"/>
      <w:r w:rsidRPr="00F66D0F">
        <w:rPr>
          <w:sz w:val="20"/>
          <w:lang w:val="fr-FR"/>
        </w:rPr>
        <w:t>Manganelli</w:t>
      </w:r>
      <w:proofErr w:type="spellEnd"/>
      <w:r w:rsidRPr="00F66D0F">
        <w:rPr>
          <w:sz w:val="20"/>
          <w:lang w:val="fr-FR"/>
        </w:rPr>
        <w:t xml:space="preserve">, F. </w:t>
      </w:r>
      <w:proofErr w:type="spellStart"/>
      <w:r w:rsidRPr="00F66D0F">
        <w:rPr>
          <w:sz w:val="20"/>
          <w:lang w:val="fr-FR"/>
        </w:rPr>
        <w:t>Lettina</w:t>
      </w:r>
      <w:proofErr w:type="spellEnd"/>
      <w:r w:rsidRPr="00F66D0F">
        <w:rPr>
          <w:sz w:val="20"/>
          <w:lang w:val="fr-FR"/>
        </w:rPr>
        <w:t xml:space="preserve">, A. Venditti, and G. </w:t>
      </w:r>
      <w:proofErr w:type="spellStart"/>
      <w:r w:rsidRPr="00F66D0F">
        <w:rPr>
          <w:sz w:val="20"/>
          <w:lang w:val="fr-FR"/>
        </w:rPr>
        <w:t>Zori</w:t>
      </w:r>
      <w:proofErr w:type="spellEnd"/>
      <w:r w:rsidRPr="00F66D0F">
        <w:rPr>
          <w:sz w:val="20"/>
          <w:lang w:val="fr-FR"/>
        </w:rPr>
        <w:t xml:space="preserve">, IEEE Trans. </w:t>
      </w:r>
      <w:r w:rsidRPr="00F66D0F">
        <w:rPr>
          <w:sz w:val="20"/>
        </w:rPr>
        <w:t>Ind. Appl. 57, (2021).</w:t>
      </w:r>
    </w:p>
    <w:p w14:paraId="511E8E42"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L. Martirano, A. Ruvio, M. Manganelli, F. </w:t>
      </w:r>
      <w:proofErr w:type="spellStart"/>
      <w:r w:rsidRPr="00F66D0F">
        <w:rPr>
          <w:sz w:val="20"/>
        </w:rPr>
        <w:t>Lettina</w:t>
      </w:r>
      <w:proofErr w:type="spellEnd"/>
      <w:r w:rsidRPr="00F66D0F">
        <w:rPr>
          <w:sz w:val="20"/>
        </w:rPr>
        <w:t>, A. Venditti, and G. Zori, in 2020 IEEE Ind. Appl. Soc. Annu. Meet. IAS 2020 (2020).</w:t>
      </w:r>
    </w:p>
    <w:p w14:paraId="1C446341"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S. </w:t>
      </w:r>
      <w:proofErr w:type="spellStart"/>
      <w:r w:rsidRPr="00F66D0F">
        <w:rPr>
          <w:sz w:val="20"/>
        </w:rPr>
        <w:t>Bogarra</w:t>
      </w:r>
      <w:proofErr w:type="spellEnd"/>
      <w:r w:rsidRPr="00F66D0F">
        <w:rPr>
          <w:sz w:val="20"/>
        </w:rPr>
        <w:t>, J. Saura, and A. Rolán, Sensors 22, (2022).</w:t>
      </w:r>
    </w:p>
    <w:p w14:paraId="06A06FF6"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lastRenderedPageBreak/>
        <w:t xml:space="preserve">G. Artale, G. Caravello, A. </w:t>
      </w:r>
      <w:proofErr w:type="spellStart"/>
      <w:r w:rsidRPr="00F66D0F">
        <w:rPr>
          <w:sz w:val="20"/>
        </w:rPr>
        <w:t>Cataliotti</w:t>
      </w:r>
      <w:proofErr w:type="spellEnd"/>
      <w:r w:rsidRPr="00F66D0F">
        <w:rPr>
          <w:sz w:val="20"/>
        </w:rPr>
        <w:t xml:space="preserve">, V. Cosentino, D. Di Cara, S. </w:t>
      </w:r>
      <w:proofErr w:type="spellStart"/>
      <w:r w:rsidRPr="00F66D0F">
        <w:rPr>
          <w:sz w:val="20"/>
        </w:rPr>
        <w:t>Guaiana</w:t>
      </w:r>
      <w:proofErr w:type="spellEnd"/>
      <w:r w:rsidRPr="00F66D0F">
        <w:rPr>
          <w:sz w:val="20"/>
        </w:rPr>
        <w:t xml:space="preserve">, N. Panzavecchia, and G. Tine, IEEE Trans. </w:t>
      </w:r>
      <w:proofErr w:type="spellStart"/>
      <w:r w:rsidRPr="00F66D0F">
        <w:rPr>
          <w:sz w:val="20"/>
        </w:rPr>
        <w:t>Instrum</w:t>
      </w:r>
      <w:proofErr w:type="spellEnd"/>
      <w:r w:rsidRPr="00F66D0F">
        <w:rPr>
          <w:sz w:val="20"/>
        </w:rPr>
        <w:t>. Meas. 70, (2021).</w:t>
      </w:r>
    </w:p>
    <w:p w14:paraId="53F3DE72"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M. V. </w:t>
      </w:r>
      <w:proofErr w:type="spellStart"/>
      <w:r w:rsidRPr="00F66D0F">
        <w:rPr>
          <w:sz w:val="20"/>
        </w:rPr>
        <w:t>Czernorucki</w:t>
      </w:r>
      <w:proofErr w:type="spellEnd"/>
      <w:r w:rsidRPr="00F66D0F">
        <w:rPr>
          <w:sz w:val="20"/>
        </w:rPr>
        <w:t>, M.B.C. Salles, E.C.M. Costa, A.S. Melo, and L. Piegari, IEEE Access 10, (2022).</w:t>
      </w:r>
    </w:p>
    <w:p w14:paraId="4DA9B074"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S. Hu, R. Zhu, G. Li, L. Song, J.C. Solano, T. Montaño, J. Maldonado-Correa, A. Ordóñez, M. Pesantez, G. </w:t>
      </w:r>
      <w:proofErr w:type="spellStart"/>
      <w:r w:rsidRPr="00F66D0F">
        <w:rPr>
          <w:sz w:val="20"/>
        </w:rPr>
        <w:t>Stavarache</w:t>
      </w:r>
      <w:proofErr w:type="spellEnd"/>
      <w:r w:rsidRPr="00F66D0F">
        <w:rPr>
          <w:sz w:val="20"/>
        </w:rPr>
        <w:t xml:space="preserve">, S. Ciortan, E. Rusu, A. </w:t>
      </w:r>
      <w:proofErr w:type="spellStart"/>
      <w:r w:rsidRPr="00F66D0F">
        <w:rPr>
          <w:sz w:val="20"/>
        </w:rPr>
        <w:t>Diaconita</w:t>
      </w:r>
      <w:proofErr w:type="spellEnd"/>
      <w:r w:rsidRPr="00F66D0F">
        <w:rPr>
          <w:sz w:val="20"/>
        </w:rPr>
        <w:t xml:space="preserve">, G. Andrei, L. Rusu, J. Zhang, J. Lu, J. Pan, Y. Tan, X. Cheng, Y. Li, F. Attig-Bahar, U. Ritschel, P. Akari, I. Abdeljelil, M. Amairi, X. Wei, Y. Xiang, J. Li, J. Liu, H. Chen, Y. Birkelund, F. Yuan, A. Hutchinson, D.T. Gladwin, Z. Abada, M. </w:t>
      </w:r>
      <w:proofErr w:type="spellStart"/>
      <w:r w:rsidRPr="00F66D0F">
        <w:rPr>
          <w:sz w:val="20"/>
        </w:rPr>
        <w:t>Bouharkat</w:t>
      </w:r>
      <w:proofErr w:type="spellEnd"/>
      <w:r w:rsidRPr="00F66D0F">
        <w:rPr>
          <w:sz w:val="20"/>
        </w:rPr>
        <w:t xml:space="preserve">, D. </w:t>
      </w:r>
      <w:proofErr w:type="spellStart"/>
      <w:r w:rsidRPr="00F66D0F">
        <w:rPr>
          <w:sz w:val="20"/>
        </w:rPr>
        <w:t>Lyners</w:t>
      </w:r>
      <w:proofErr w:type="spellEnd"/>
      <w:r w:rsidRPr="00F66D0F">
        <w:rPr>
          <w:sz w:val="20"/>
        </w:rPr>
        <w:t xml:space="preserve">, H. Vermeulen, M. Groch, M. Pellegrini, A. </w:t>
      </w:r>
      <w:proofErr w:type="spellStart"/>
      <w:r w:rsidRPr="00F66D0F">
        <w:rPr>
          <w:sz w:val="20"/>
        </w:rPr>
        <w:t>Guzzini</w:t>
      </w:r>
      <w:proofErr w:type="spellEnd"/>
      <w:r w:rsidRPr="00F66D0F">
        <w:rPr>
          <w:sz w:val="20"/>
        </w:rPr>
        <w:t xml:space="preserve">, C. </w:t>
      </w:r>
      <w:proofErr w:type="spellStart"/>
      <w:r w:rsidRPr="00F66D0F">
        <w:rPr>
          <w:sz w:val="20"/>
        </w:rPr>
        <w:t>Saccani</w:t>
      </w:r>
      <w:proofErr w:type="spellEnd"/>
      <w:r w:rsidRPr="00F66D0F">
        <w:rPr>
          <w:sz w:val="20"/>
        </w:rPr>
        <w:t xml:space="preserve">, Q. Yu, Y. Liu, Z. Jiang, L. Li, Y. Zhang, M. Guo, N. Gylling, A. Serban, L.S. Paraschiv, S. Paraschiv, M. Sumair, T. </w:t>
      </w:r>
      <w:proofErr w:type="spellStart"/>
      <w:r w:rsidRPr="00F66D0F">
        <w:rPr>
          <w:sz w:val="20"/>
        </w:rPr>
        <w:t>Aized</w:t>
      </w:r>
      <w:proofErr w:type="spellEnd"/>
      <w:r w:rsidRPr="00F66D0F">
        <w:rPr>
          <w:sz w:val="20"/>
        </w:rPr>
        <w:t xml:space="preserve">, S.A.R. Gardezi, S.U. </w:t>
      </w:r>
      <w:proofErr w:type="spellStart"/>
      <w:r w:rsidRPr="00F66D0F">
        <w:rPr>
          <w:sz w:val="20"/>
        </w:rPr>
        <w:t>ur</w:t>
      </w:r>
      <w:proofErr w:type="spellEnd"/>
      <w:r w:rsidRPr="00F66D0F">
        <w:rPr>
          <w:sz w:val="20"/>
        </w:rPr>
        <w:t xml:space="preserve"> M.S. Rehman, S.U. </w:t>
      </w:r>
      <w:proofErr w:type="spellStart"/>
      <w:r w:rsidRPr="00F66D0F">
        <w:rPr>
          <w:sz w:val="20"/>
        </w:rPr>
        <w:t>ur</w:t>
      </w:r>
      <w:proofErr w:type="spellEnd"/>
      <w:r w:rsidRPr="00F66D0F">
        <w:rPr>
          <w:sz w:val="20"/>
        </w:rPr>
        <w:t xml:space="preserve"> M.S. Rehman, M. Adnan, J. Ahmad, S.F. Ali, M. Imran, T. Khan, J. </w:t>
      </w:r>
      <w:proofErr w:type="spellStart"/>
      <w:r w:rsidRPr="00F66D0F">
        <w:rPr>
          <w:sz w:val="20"/>
        </w:rPr>
        <w:t>Taweekun</w:t>
      </w:r>
      <w:proofErr w:type="spellEnd"/>
      <w:r w:rsidRPr="00F66D0F">
        <w:rPr>
          <w:sz w:val="20"/>
        </w:rPr>
        <w:t xml:space="preserve">, T. </w:t>
      </w:r>
      <w:proofErr w:type="spellStart"/>
      <w:r w:rsidRPr="00F66D0F">
        <w:rPr>
          <w:sz w:val="20"/>
        </w:rPr>
        <w:t>Theppaya</w:t>
      </w:r>
      <w:proofErr w:type="spellEnd"/>
      <w:r w:rsidRPr="00F66D0F">
        <w:rPr>
          <w:sz w:val="20"/>
        </w:rPr>
        <w:t xml:space="preserve">, A. De Meij, J.F. Vinuesa, V. </w:t>
      </w:r>
      <w:proofErr w:type="spellStart"/>
      <w:r w:rsidRPr="00F66D0F">
        <w:rPr>
          <w:sz w:val="20"/>
        </w:rPr>
        <w:t>Maupas</w:t>
      </w:r>
      <w:proofErr w:type="spellEnd"/>
      <w:r w:rsidRPr="00F66D0F">
        <w:rPr>
          <w:sz w:val="20"/>
        </w:rPr>
        <w:t xml:space="preserve">, J. Waddle, I. Price, B. Yaseen, A. Ismail, S.A. Mathew, V.E.N. Mariappan, S. Paraschiv, L.S. Paraschiv, A. Serban, A.G. Cristea, K. Zhang, X. Yu, S. Liu, X. Dong, D. Li, H. Zang, R. Xu, X. Yu, S. Liu, X. Dong, H. Zang, R. Xu, J. </w:t>
      </w:r>
      <w:proofErr w:type="spellStart"/>
      <w:r w:rsidRPr="00F66D0F">
        <w:rPr>
          <w:sz w:val="20"/>
        </w:rPr>
        <w:t>Taghinezhad</w:t>
      </w:r>
      <w:proofErr w:type="spellEnd"/>
      <w:r w:rsidRPr="00F66D0F">
        <w:rPr>
          <w:sz w:val="20"/>
        </w:rPr>
        <w:t xml:space="preserve">, S. </w:t>
      </w:r>
      <w:proofErr w:type="spellStart"/>
      <w:r w:rsidRPr="00F66D0F">
        <w:rPr>
          <w:sz w:val="20"/>
        </w:rPr>
        <w:t>Sheidaei</w:t>
      </w:r>
      <w:proofErr w:type="spellEnd"/>
      <w:r w:rsidRPr="00F66D0F">
        <w:rPr>
          <w:sz w:val="20"/>
        </w:rPr>
        <w:t xml:space="preserve">, Z.H. </w:t>
      </w:r>
      <w:proofErr w:type="spellStart"/>
      <w:r w:rsidRPr="00F66D0F">
        <w:rPr>
          <w:sz w:val="20"/>
        </w:rPr>
        <w:t>Hulio</w:t>
      </w:r>
      <w:proofErr w:type="spellEnd"/>
      <w:r w:rsidRPr="00F66D0F">
        <w:rPr>
          <w:sz w:val="20"/>
        </w:rPr>
        <w:t xml:space="preserve">, F. </w:t>
      </w:r>
      <w:proofErr w:type="spellStart"/>
      <w:r w:rsidRPr="00F66D0F">
        <w:rPr>
          <w:sz w:val="20"/>
        </w:rPr>
        <w:t>Topaloǧlu</w:t>
      </w:r>
      <w:proofErr w:type="spellEnd"/>
      <w:r w:rsidRPr="00F66D0F">
        <w:rPr>
          <w:sz w:val="20"/>
        </w:rPr>
        <w:t xml:space="preserve">, H. Pehlivan, P. Enevoldsen, and F.-H. </w:t>
      </w:r>
      <w:proofErr w:type="spellStart"/>
      <w:r w:rsidRPr="00F66D0F">
        <w:rPr>
          <w:sz w:val="20"/>
        </w:rPr>
        <w:t>Permien</w:t>
      </w:r>
      <w:proofErr w:type="spellEnd"/>
      <w:r w:rsidRPr="00F66D0F">
        <w:rPr>
          <w:sz w:val="20"/>
        </w:rPr>
        <w:t>, Energy Reports 7, 1 (2021).</w:t>
      </w:r>
    </w:p>
    <w:p w14:paraId="01E32158"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L. Wang, X. Zhang, R. Villarroel, Q. Liu, Z. Wang, and L. Zhou, IET Gener. Transm. </w:t>
      </w:r>
      <w:proofErr w:type="spellStart"/>
      <w:r w:rsidRPr="00F66D0F">
        <w:rPr>
          <w:sz w:val="20"/>
        </w:rPr>
        <w:t>Distrib</w:t>
      </w:r>
      <w:proofErr w:type="spellEnd"/>
      <w:r w:rsidRPr="00F66D0F">
        <w:rPr>
          <w:sz w:val="20"/>
        </w:rPr>
        <w:t>. 14, (2020).</w:t>
      </w:r>
    </w:p>
    <w:p w14:paraId="0182E039"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G. </w:t>
      </w:r>
      <w:proofErr w:type="spellStart"/>
      <w:r w:rsidRPr="00F66D0F">
        <w:rPr>
          <w:sz w:val="20"/>
        </w:rPr>
        <w:t>Gmati</w:t>
      </w:r>
      <w:proofErr w:type="spellEnd"/>
      <w:r w:rsidRPr="00F66D0F">
        <w:rPr>
          <w:sz w:val="20"/>
        </w:rPr>
        <w:t>, U.M. Rao, I. Fofana, P. Picher, O. Arroyo-</w:t>
      </w:r>
      <w:proofErr w:type="spellStart"/>
      <w:r w:rsidRPr="00F66D0F">
        <w:rPr>
          <w:sz w:val="20"/>
        </w:rPr>
        <w:t>Fernàndez</w:t>
      </w:r>
      <w:proofErr w:type="spellEnd"/>
      <w:r w:rsidRPr="00F66D0F">
        <w:rPr>
          <w:sz w:val="20"/>
        </w:rPr>
        <w:t xml:space="preserve">, and D. </w:t>
      </w:r>
      <w:proofErr w:type="spellStart"/>
      <w:r w:rsidRPr="00F66D0F">
        <w:rPr>
          <w:sz w:val="20"/>
        </w:rPr>
        <w:t>Rebaine</w:t>
      </w:r>
      <w:proofErr w:type="spellEnd"/>
      <w:r w:rsidRPr="00F66D0F">
        <w:rPr>
          <w:sz w:val="20"/>
        </w:rPr>
        <w:t>, Energies 16, (2023).</w:t>
      </w:r>
    </w:p>
    <w:p w14:paraId="14E0A77B"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Z. Guan, P. Tang, C. Mao, D. Wang, L. Wang, W. Liu, M. Du, J. Li, and X. Wang, IEEE Access 12, (2024).</w:t>
      </w:r>
    </w:p>
    <w:p w14:paraId="0985C9B6"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O. </w:t>
      </w:r>
      <w:proofErr w:type="spellStart"/>
      <w:r w:rsidRPr="00F66D0F">
        <w:rPr>
          <w:sz w:val="20"/>
        </w:rPr>
        <w:t>Bamisile</w:t>
      </w:r>
      <w:proofErr w:type="spellEnd"/>
      <w:r w:rsidRPr="00F66D0F">
        <w:rPr>
          <w:sz w:val="20"/>
        </w:rPr>
        <w:t xml:space="preserve">, C. Dongsheng, J. Li, H. Adun, R. Olukoya, O. </w:t>
      </w:r>
      <w:proofErr w:type="spellStart"/>
      <w:r w:rsidRPr="00F66D0F">
        <w:rPr>
          <w:sz w:val="20"/>
        </w:rPr>
        <w:t>Bamisile</w:t>
      </w:r>
      <w:proofErr w:type="spellEnd"/>
      <w:r w:rsidRPr="00F66D0F">
        <w:rPr>
          <w:sz w:val="20"/>
        </w:rPr>
        <w:t>, and Q. Huang, Energy Reports 9, (2023).</w:t>
      </w:r>
    </w:p>
    <w:p w14:paraId="6C97FC06"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M. </w:t>
      </w:r>
      <w:proofErr w:type="spellStart"/>
      <w:r w:rsidRPr="00F66D0F">
        <w:rPr>
          <w:sz w:val="20"/>
        </w:rPr>
        <w:t>Vadood</w:t>
      </w:r>
      <w:proofErr w:type="spellEnd"/>
      <w:r w:rsidRPr="00F66D0F">
        <w:rPr>
          <w:sz w:val="20"/>
        </w:rPr>
        <w:t xml:space="preserve"> and A. Haji, Coatings 12, (2022).</w:t>
      </w:r>
    </w:p>
    <w:p w14:paraId="1DAC6B53"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B. Karthick, J. Manag. Anal. 10, (2023).</w:t>
      </w:r>
    </w:p>
    <w:p w14:paraId="7A9DFF7A"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Z. Zhang, Y. Gao, and W. Zuo, IEEE Access 10, (2022).</w:t>
      </w:r>
    </w:p>
    <w:p w14:paraId="1A5EF198"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G. Gizachew, ASEAN J. Sci. Eng. 2, (2022).</w:t>
      </w:r>
    </w:p>
    <w:p w14:paraId="47671AE0"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M. Tabrez, P.K. Sadhu, M.S.H. Lipu, A. Iqbal, M.A. Husain, and S. Ansari, Machines 10, (2022).</w:t>
      </w:r>
    </w:p>
    <w:p w14:paraId="597EE83A"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T. Hidayat, B.W. Dionova, S. </w:t>
      </w:r>
      <w:proofErr w:type="spellStart"/>
      <w:r w:rsidRPr="00F66D0F">
        <w:rPr>
          <w:sz w:val="20"/>
        </w:rPr>
        <w:t>Wilyanti</w:t>
      </w:r>
      <w:proofErr w:type="spellEnd"/>
      <w:r w:rsidRPr="00F66D0F">
        <w:rPr>
          <w:sz w:val="20"/>
        </w:rPr>
        <w:t xml:space="preserve">, and M.N. Mohammed, </w:t>
      </w:r>
      <w:proofErr w:type="spellStart"/>
      <w:r w:rsidRPr="00F66D0F">
        <w:rPr>
          <w:sz w:val="20"/>
        </w:rPr>
        <w:t>Eksergi</w:t>
      </w:r>
      <w:proofErr w:type="spellEnd"/>
      <w:r w:rsidRPr="00F66D0F">
        <w:rPr>
          <w:sz w:val="20"/>
        </w:rPr>
        <w:t xml:space="preserve"> 18, (2022).</w:t>
      </w:r>
    </w:p>
    <w:p w14:paraId="749FE5A3"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S. Singh, Int. J. Res. Appl. Sci. Eng. Technol. 7, (2019).</w:t>
      </w:r>
    </w:p>
    <w:p w14:paraId="3539A5FC"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Denis, E.W. Sinuraya, M. </w:t>
      </w:r>
      <w:proofErr w:type="spellStart"/>
      <w:r w:rsidRPr="00F66D0F">
        <w:rPr>
          <w:sz w:val="20"/>
        </w:rPr>
        <w:t>Soemantri</w:t>
      </w:r>
      <w:proofErr w:type="spellEnd"/>
      <w:r w:rsidRPr="00F66D0F">
        <w:rPr>
          <w:sz w:val="20"/>
        </w:rPr>
        <w:t>, and I.R. Rafif, in J. Phys. Conf. Ser. (2022).</w:t>
      </w:r>
    </w:p>
    <w:p w14:paraId="7FA1937A" w14:textId="77777777"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M. Abubakar, H. Renner, and R. </w:t>
      </w:r>
      <w:proofErr w:type="spellStart"/>
      <w:r w:rsidRPr="00F66D0F">
        <w:rPr>
          <w:sz w:val="20"/>
        </w:rPr>
        <w:t>Schürhuber</w:t>
      </w:r>
      <w:proofErr w:type="spellEnd"/>
      <w:r w:rsidRPr="00F66D0F">
        <w:rPr>
          <w:sz w:val="20"/>
        </w:rPr>
        <w:t>, Energies 16, (2023).</w:t>
      </w:r>
    </w:p>
    <w:p w14:paraId="74A3B4D7" w14:textId="24721DAF" w:rsidR="00F66D0F" w:rsidRPr="00F66D0F" w:rsidRDefault="00F66D0F" w:rsidP="00F66D0F">
      <w:pPr>
        <w:pStyle w:val="ListParagraph"/>
        <w:numPr>
          <w:ilvl w:val="0"/>
          <w:numId w:val="4"/>
        </w:numPr>
        <w:spacing w:line="259" w:lineRule="auto"/>
        <w:ind w:left="425" w:hanging="425"/>
        <w:jc w:val="both"/>
        <w:rPr>
          <w:sz w:val="20"/>
        </w:rPr>
      </w:pPr>
      <w:r w:rsidRPr="00F66D0F">
        <w:rPr>
          <w:sz w:val="20"/>
        </w:rPr>
        <w:t xml:space="preserve">R. </w:t>
      </w:r>
      <w:proofErr w:type="spellStart"/>
      <w:r w:rsidRPr="00F66D0F">
        <w:rPr>
          <w:sz w:val="20"/>
        </w:rPr>
        <w:t>Benato</w:t>
      </w:r>
      <w:proofErr w:type="spellEnd"/>
      <w:r w:rsidRPr="00F66D0F">
        <w:rPr>
          <w:sz w:val="20"/>
        </w:rPr>
        <w:t xml:space="preserve">, G. Gardan, and L. </w:t>
      </w:r>
      <w:proofErr w:type="spellStart"/>
      <w:r w:rsidRPr="00F66D0F">
        <w:rPr>
          <w:sz w:val="20"/>
        </w:rPr>
        <w:t>Rusalen</w:t>
      </w:r>
      <w:proofErr w:type="spellEnd"/>
      <w:r w:rsidRPr="00F66D0F">
        <w:rPr>
          <w:sz w:val="20"/>
        </w:rPr>
        <w:t>, IEEE Access 9, (2021).</w:t>
      </w:r>
      <w:r w:rsidR="009C6D8F">
        <w:rPr>
          <w:sz w:val="20"/>
        </w:rPr>
        <w:t xml:space="preserve"> </w:t>
      </w:r>
    </w:p>
    <w:p w14:paraId="475D9052" w14:textId="77777777" w:rsidR="00F66D0F" w:rsidRPr="008517E4" w:rsidRDefault="00F66D0F" w:rsidP="00F66D0F"/>
    <w:p w14:paraId="365550C9" w14:textId="77777777" w:rsidR="00F66D0F" w:rsidRDefault="00F66D0F" w:rsidP="00D051DA">
      <w:pPr>
        <w:widowControl w:val="0"/>
        <w:autoSpaceDE w:val="0"/>
        <w:autoSpaceDN w:val="0"/>
        <w:adjustRightInd w:val="0"/>
        <w:spacing w:before="240" w:after="240"/>
        <w:ind w:left="640" w:hanging="640"/>
        <w:rPr>
          <w:rFonts w:asciiTheme="majorBidi" w:hAnsiTheme="majorBidi" w:cstheme="majorBidi"/>
          <w:b/>
          <w:bCs/>
        </w:rPr>
      </w:pPr>
    </w:p>
    <w:sectPr w:rsidR="00F66D0F" w:rsidSect="002A77E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busRomNo9L-Me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B9667DE"/>
    <w:multiLevelType w:val="hybridMultilevel"/>
    <w:tmpl w:val="D7E633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846823161">
    <w:abstractNumId w:val="3"/>
  </w:num>
  <w:num w:numId="2" w16cid:durableId="224075496">
    <w:abstractNumId w:val="2"/>
  </w:num>
  <w:num w:numId="3" w16cid:durableId="225071437">
    <w:abstractNumId w:val="4"/>
  </w:num>
  <w:num w:numId="4" w16cid:durableId="172355335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1534"/>
    <w:rsid w:val="00003D7C"/>
    <w:rsid w:val="000071D2"/>
    <w:rsid w:val="0001290B"/>
    <w:rsid w:val="00014140"/>
    <w:rsid w:val="00017721"/>
    <w:rsid w:val="000212A8"/>
    <w:rsid w:val="00027428"/>
    <w:rsid w:val="0003171A"/>
    <w:rsid w:val="00031EC9"/>
    <w:rsid w:val="00050986"/>
    <w:rsid w:val="000509AA"/>
    <w:rsid w:val="00066FED"/>
    <w:rsid w:val="00075EA6"/>
    <w:rsid w:val="0007709F"/>
    <w:rsid w:val="00086F62"/>
    <w:rsid w:val="00090674"/>
    <w:rsid w:val="0009103D"/>
    <w:rsid w:val="0009320B"/>
    <w:rsid w:val="00096AE0"/>
    <w:rsid w:val="000A0AA6"/>
    <w:rsid w:val="000B1B74"/>
    <w:rsid w:val="000B3A2D"/>
    <w:rsid w:val="000B49C0"/>
    <w:rsid w:val="000D26FA"/>
    <w:rsid w:val="000D4BCD"/>
    <w:rsid w:val="000E382F"/>
    <w:rsid w:val="000E3E9B"/>
    <w:rsid w:val="000E75CD"/>
    <w:rsid w:val="000F1E72"/>
    <w:rsid w:val="000F4AB1"/>
    <w:rsid w:val="000F7145"/>
    <w:rsid w:val="001036BA"/>
    <w:rsid w:val="001055E5"/>
    <w:rsid w:val="0010733C"/>
    <w:rsid w:val="001146DC"/>
    <w:rsid w:val="00114AB1"/>
    <w:rsid w:val="0011609D"/>
    <w:rsid w:val="001230FF"/>
    <w:rsid w:val="00130BD7"/>
    <w:rsid w:val="00155B67"/>
    <w:rsid w:val="0015624D"/>
    <w:rsid w:val="001562AF"/>
    <w:rsid w:val="00160365"/>
    <w:rsid w:val="00161A5B"/>
    <w:rsid w:val="0016385D"/>
    <w:rsid w:val="0016782F"/>
    <w:rsid w:val="001937E9"/>
    <w:rsid w:val="001964E5"/>
    <w:rsid w:val="001A235E"/>
    <w:rsid w:val="001A44F1"/>
    <w:rsid w:val="001B263B"/>
    <w:rsid w:val="001B476A"/>
    <w:rsid w:val="001C4A95"/>
    <w:rsid w:val="001C764F"/>
    <w:rsid w:val="001C7BB3"/>
    <w:rsid w:val="001D469C"/>
    <w:rsid w:val="001D6409"/>
    <w:rsid w:val="001D6B0A"/>
    <w:rsid w:val="00200214"/>
    <w:rsid w:val="00200CF7"/>
    <w:rsid w:val="00203A23"/>
    <w:rsid w:val="00215A20"/>
    <w:rsid w:val="0021619E"/>
    <w:rsid w:val="0023171B"/>
    <w:rsid w:val="00236BFC"/>
    <w:rsid w:val="00237437"/>
    <w:rsid w:val="002502FD"/>
    <w:rsid w:val="00274622"/>
    <w:rsid w:val="002752CF"/>
    <w:rsid w:val="00277025"/>
    <w:rsid w:val="00285D24"/>
    <w:rsid w:val="00286A4B"/>
    <w:rsid w:val="00290390"/>
    <w:rsid w:val="002915D3"/>
    <w:rsid w:val="002924DB"/>
    <w:rsid w:val="002941DA"/>
    <w:rsid w:val="002A67AA"/>
    <w:rsid w:val="002A77E9"/>
    <w:rsid w:val="002B5648"/>
    <w:rsid w:val="002D1C91"/>
    <w:rsid w:val="002E3C35"/>
    <w:rsid w:val="002F4AA5"/>
    <w:rsid w:val="002F5298"/>
    <w:rsid w:val="003059BA"/>
    <w:rsid w:val="00317F3B"/>
    <w:rsid w:val="00326AE0"/>
    <w:rsid w:val="00337E4F"/>
    <w:rsid w:val="00340C36"/>
    <w:rsid w:val="00345FDE"/>
    <w:rsid w:val="00346A9D"/>
    <w:rsid w:val="00355471"/>
    <w:rsid w:val="0036545E"/>
    <w:rsid w:val="00366A49"/>
    <w:rsid w:val="00372A7B"/>
    <w:rsid w:val="0039376F"/>
    <w:rsid w:val="003A287B"/>
    <w:rsid w:val="003A5C85"/>
    <w:rsid w:val="003A61B1"/>
    <w:rsid w:val="003B0050"/>
    <w:rsid w:val="003C09F7"/>
    <w:rsid w:val="003C2B7F"/>
    <w:rsid w:val="003D6312"/>
    <w:rsid w:val="003E619F"/>
    <w:rsid w:val="003E7C74"/>
    <w:rsid w:val="003F31C6"/>
    <w:rsid w:val="0040225B"/>
    <w:rsid w:val="00402DA2"/>
    <w:rsid w:val="00420F99"/>
    <w:rsid w:val="00425AC2"/>
    <w:rsid w:val="0044771F"/>
    <w:rsid w:val="00466C65"/>
    <w:rsid w:val="004B151D"/>
    <w:rsid w:val="004B723A"/>
    <w:rsid w:val="004C4DCA"/>
    <w:rsid w:val="004C7243"/>
    <w:rsid w:val="004D46B6"/>
    <w:rsid w:val="004E21DE"/>
    <w:rsid w:val="004E3C57"/>
    <w:rsid w:val="004E3CB2"/>
    <w:rsid w:val="004E424F"/>
    <w:rsid w:val="004E666A"/>
    <w:rsid w:val="0050252A"/>
    <w:rsid w:val="00525813"/>
    <w:rsid w:val="005331F0"/>
    <w:rsid w:val="0053513F"/>
    <w:rsid w:val="00543830"/>
    <w:rsid w:val="00574405"/>
    <w:rsid w:val="00581065"/>
    <w:rsid w:val="005854B0"/>
    <w:rsid w:val="0058675E"/>
    <w:rsid w:val="005A0E21"/>
    <w:rsid w:val="005B3A34"/>
    <w:rsid w:val="005D33A4"/>
    <w:rsid w:val="005D49AF"/>
    <w:rsid w:val="005D6CDD"/>
    <w:rsid w:val="005E0E88"/>
    <w:rsid w:val="005E415C"/>
    <w:rsid w:val="005E71ED"/>
    <w:rsid w:val="005E7946"/>
    <w:rsid w:val="005E7CCE"/>
    <w:rsid w:val="005F7475"/>
    <w:rsid w:val="00603D08"/>
    <w:rsid w:val="00611299"/>
    <w:rsid w:val="00613B4D"/>
    <w:rsid w:val="00616365"/>
    <w:rsid w:val="00616F3B"/>
    <w:rsid w:val="006249A7"/>
    <w:rsid w:val="0064225B"/>
    <w:rsid w:val="006445A0"/>
    <w:rsid w:val="006763F9"/>
    <w:rsid w:val="00680AA5"/>
    <w:rsid w:val="006949BC"/>
    <w:rsid w:val="006B7877"/>
    <w:rsid w:val="006D1229"/>
    <w:rsid w:val="006D372F"/>
    <w:rsid w:val="006D7A18"/>
    <w:rsid w:val="006E4474"/>
    <w:rsid w:val="00701388"/>
    <w:rsid w:val="007055D0"/>
    <w:rsid w:val="00706189"/>
    <w:rsid w:val="00723B7F"/>
    <w:rsid w:val="00725861"/>
    <w:rsid w:val="0073393A"/>
    <w:rsid w:val="0073539D"/>
    <w:rsid w:val="00767B8A"/>
    <w:rsid w:val="00771CB0"/>
    <w:rsid w:val="00775481"/>
    <w:rsid w:val="00781028"/>
    <w:rsid w:val="00782A57"/>
    <w:rsid w:val="00787682"/>
    <w:rsid w:val="007A233B"/>
    <w:rsid w:val="007B4863"/>
    <w:rsid w:val="007C65E6"/>
    <w:rsid w:val="007D406B"/>
    <w:rsid w:val="007D4407"/>
    <w:rsid w:val="007E1CA3"/>
    <w:rsid w:val="00812D62"/>
    <w:rsid w:val="00812F29"/>
    <w:rsid w:val="00817ABC"/>
    <w:rsid w:val="00821713"/>
    <w:rsid w:val="00827050"/>
    <w:rsid w:val="0083278B"/>
    <w:rsid w:val="00834538"/>
    <w:rsid w:val="00850E89"/>
    <w:rsid w:val="00853DCA"/>
    <w:rsid w:val="008930E4"/>
    <w:rsid w:val="00893821"/>
    <w:rsid w:val="008A7B9C"/>
    <w:rsid w:val="008B0A1D"/>
    <w:rsid w:val="008B39FA"/>
    <w:rsid w:val="008B4754"/>
    <w:rsid w:val="008C1E76"/>
    <w:rsid w:val="008C48FB"/>
    <w:rsid w:val="008E6A7A"/>
    <w:rsid w:val="008F1038"/>
    <w:rsid w:val="008F7046"/>
    <w:rsid w:val="009005FC"/>
    <w:rsid w:val="00907475"/>
    <w:rsid w:val="00922E5A"/>
    <w:rsid w:val="00926EC1"/>
    <w:rsid w:val="00943315"/>
    <w:rsid w:val="00946C27"/>
    <w:rsid w:val="009565D6"/>
    <w:rsid w:val="009616E3"/>
    <w:rsid w:val="009737BB"/>
    <w:rsid w:val="00975CEC"/>
    <w:rsid w:val="009A4F3D"/>
    <w:rsid w:val="009B378E"/>
    <w:rsid w:val="009B382A"/>
    <w:rsid w:val="009B696B"/>
    <w:rsid w:val="009B7671"/>
    <w:rsid w:val="009B77FC"/>
    <w:rsid w:val="009C6D8F"/>
    <w:rsid w:val="009E5BA1"/>
    <w:rsid w:val="009E6122"/>
    <w:rsid w:val="009F056E"/>
    <w:rsid w:val="00A14991"/>
    <w:rsid w:val="00A24F3D"/>
    <w:rsid w:val="00A25CAD"/>
    <w:rsid w:val="00A26DCD"/>
    <w:rsid w:val="00A305A6"/>
    <w:rsid w:val="00A314BB"/>
    <w:rsid w:val="00A32B7D"/>
    <w:rsid w:val="00A5596B"/>
    <w:rsid w:val="00A6311C"/>
    <w:rsid w:val="00A646B3"/>
    <w:rsid w:val="00A6739B"/>
    <w:rsid w:val="00A713C9"/>
    <w:rsid w:val="00A71783"/>
    <w:rsid w:val="00A80D14"/>
    <w:rsid w:val="00A90413"/>
    <w:rsid w:val="00A9088C"/>
    <w:rsid w:val="00AA728C"/>
    <w:rsid w:val="00AB0A9C"/>
    <w:rsid w:val="00AB7119"/>
    <w:rsid w:val="00AC72B3"/>
    <w:rsid w:val="00AD5855"/>
    <w:rsid w:val="00AE7500"/>
    <w:rsid w:val="00AE76F6"/>
    <w:rsid w:val="00AE7F87"/>
    <w:rsid w:val="00AF3542"/>
    <w:rsid w:val="00AF4681"/>
    <w:rsid w:val="00AF5ABE"/>
    <w:rsid w:val="00B00415"/>
    <w:rsid w:val="00B03C2A"/>
    <w:rsid w:val="00B047A8"/>
    <w:rsid w:val="00B1000D"/>
    <w:rsid w:val="00B10134"/>
    <w:rsid w:val="00B15B90"/>
    <w:rsid w:val="00B16BFE"/>
    <w:rsid w:val="00B500E5"/>
    <w:rsid w:val="00B77E38"/>
    <w:rsid w:val="00B81275"/>
    <w:rsid w:val="00B936B6"/>
    <w:rsid w:val="00BA03AE"/>
    <w:rsid w:val="00BA17BA"/>
    <w:rsid w:val="00BA39BB"/>
    <w:rsid w:val="00BA3B3D"/>
    <w:rsid w:val="00BB7EEA"/>
    <w:rsid w:val="00BC79E0"/>
    <w:rsid w:val="00BD1909"/>
    <w:rsid w:val="00BE5E16"/>
    <w:rsid w:val="00BE5FD1"/>
    <w:rsid w:val="00BE70BA"/>
    <w:rsid w:val="00BF20CD"/>
    <w:rsid w:val="00C061A7"/>
    <w:rsid w:val="00C06E05"/>
    <w:rsid w:val="00C14B14"/>
    <w:rsid w:val="00C16A6C"/>
    <w:rsid w:val="00C17370"/>
    <w:rsid w:val="00C2054D"/>
    <w:rsid w:val="00C231C8"/>
    <w:rsid w:val="00C252EB"/>
    <w:rsid w:val="00C26EC0"/>
    <w:rsid w:val="00C43D31"/>
    <w:rsid w:val="00C56C77"/>
    <w:rsid w:val="00C711AA"/>
    <w:rsid w:val="00C809C2"/>
    <w:rsid w:val="00C8358C"/>
    <w:rsid w:val="00C84923"/>
    <w:rsid w:val="00C93205"/>
    <w:rsid w:val="00C94503"/>
    <w:rsid w:val="00C94D11"/>
    <w:rsid w:val="00C95871"/>
    <w:rsid w:val="00CB7B3E"/>
    <w:rsid w:val="00CC739D"/>
    <w:rsid w:val="00CD26BA"/>
    <w:rsid w:val="00CF3683"/>
    <w:rsid w:val="00CF7833"/>
    <w:rsid w:val="00D02F77"/>
    <w:rsid w:val="00D04468"/>
    <w:rsid w:val="00D051DA"/>
    <w:rsid w:val="00D30640"/>
    <w:rsid w:val="00D335D3"/>
    <w:rsid w:val="00D349E0"/>
    <w:rsid w:val="00D34D94"/>
    <w:rsid w:val="00D36257"/>
    <w:rsid w:val="00D4687E"/>
    <w:rsid w:val="00D53A12"/>
    <w:rsid w:val="00D55D8C"/>
    <w:rsid w:val="00D87E2A"/>
    <w:rsid w:val="00D90476"/>
    <w:rsid w:val="00D9784E"/>
    <w:rsid w:val="00D97A31"/>
    <w:rsid w:val="00DA2713"/>
    <w:rsid w:val="00DB079C"/>
    <w:rsid w:val="00DB0C43"/>
    <w:rsid w:val="00DC3FAC"/>
    <w:rsid w:val="00DD3A9B"/>
    <w:rsid w:val="00DD5076"/>
    <w:rsid w:val="00DE3354"/>
    <w:rsid w:val="00DF7DCD"/>
    <w:rsid w:val="00E16280"/>
    <w:rsid w:val="00E4180B"/>
    <w:rsid w:val="00E50B7D"/>
    <w:rsid w:val="00E57DE8"/>
    <w:rsid w:val="00E74C31"/>
    <w:rsid w:val="00E904A1"/>
    <w:rsid w:val="00EB446F"/>
    <w:rsid w:val="00EB7D28"/>
    <w:rsid w:val="00EC0988"/>
    <w:rsid w:val="00EC0ACC"/>
    <w:rsid w:val="00EC0BDE"/>
    <w:rsid w:val="00EC0D0C"/>
    <w:rsid w:val="00ED3C20"/>
    <w:rsid w:val="00ED4A2C"/>
    <w:rsid w:val="00EE69E9"/>
    <w:rsid w:val="00EE6F57"/>
    <w:rsid w:val="00EF6940"/>
    <w:rsid w:val="00F2044A"/>
    <w:rsid w:val="00F20AD2"/>
    <w:rsid w:val="00F20BFC"/>
    <w:rsid w:val="00F2466A"/>
    <w:rsid w:val="00F24D5F"/>
    <w:rsid w:val="00F26820"/>
    <w:rsid w:val="00F30697"/>
    <w:rsid w:val="00F34BC9"/>
    <w:rsid w:val="00F51507"/>
    <w:rsid w:val="00F62147"/>
    <w:rsid w:val="00F66D0F"/>
    <w:rsid w:val="00F726C3"/>
    <w:rsid w:val="00F820CA"/>
    <w:rsid w:val="00F8554C"/>
    <w:rsid w:val="00F95F82"/>
    <w:rsid w:val="00F97A90"/>
    <w:rsid w:val="00FB359F"/>
    <w:rsid w:val="00FC2F35"/>
    <w:rsid w:val="00FC3FD7"/>
    <w:rsid w:val="00FC4985"/>
    <w:rsid w:val="00FD1FC6"/>
    <w:rsid w:val="00FD489D"/>
    <w:rsid w:val="00FE34B1"/>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fontstyle01">
    <w:name w:val="fontstyle01"/>
    <w:basedOn w:val="DefaultParagraphFont"/>
    <w:rsid w:val="000D26FA"/>
    <w:rPr>
      <w:rFonts w:ascii="NimbusRomNo9L-Medi" w:hAnsi="NimbusRomNo9L-Medi" w:hint="default"/>
      <w:b/>
      <w:bCs/>
      <w:i w:val="0"/>
      <w:iCs w:val="0"/>
      <w:color w:val="000000"/>
      <w:sz w:val="20"/>
      <w:szCs w:val="20"/>
    </w:rPr>
  </w:style>
  <w:style w:type="character" w:customStyle="1" w:styleId="katex-mathml">
    <w:name w:val="katex-mathml"/>
    <w:basedOn w:val="DefaultParagraphFont"/>
    <w:rsid w:val="00E57DE8"/>
  </w:style>
  <w:style w:type="character" w:customStyle="1" w:styleId="mord">
    <w:name w:val="mord"/>
    <w:basedOn w:val="DefaultParagraphFont"/>
    <w:rsid w:val="00E57DE8"/>
  </w:style>
  <w:style w:type="character" w:customStyle="1" w:styleId="vlist-s">
    <w:name w:val="vlist-s"/>
    <w:basedOn w:val="DefaultParagraphFont"/>
    <w:rsid w:val="00E5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65186">
      <w:bodyDiv w:val="1"/>
      <w:marLeft w:val="0"/>
      <w:marRight w:val="0"/>
      <w:marTop w:val="0"/>
      <w:marBottom w:val="0"/>
      <w:divBdr>
        <w:top w:val="none" w:sz="0" w:space="0" w:color="auto"/>
        <w:left w:val="none" w:sz="0" w:space="0" w:color="auto"/>
        <w:bottom w:val="none" w:sz="0" w:space="0" w:color="auto"/>
        <w:right w:val="none" w:sz="0" w:space="0" w:color="auto"/>
      </w:divBdr>
    </w:div>
    <w:div w:id="92920040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684162370">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7A470B35-D58F-4052-8080-E1DC237A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21</TotalTime>
  <Pages>9</Pages>
  <Words>24611</Words>
  <Characters>149884</Characters>
  <Application>Microsoft Office Word</Application>
  <DocSecurity>0</DocSecurity>
  <Lines>3485</Lines>
  <Paragraphs>2528</Paragraphs>
  <ScaleCrop>false</ScaleCrop>
  <HeadingPairs>
    <vt:vector size="6" baseType="variant">
      <vt:variant>
        <vt:lpstr>Titre</vt:lpstr>
      </vt:variant>
      <vt:variant>
        <vt:i4>1</vt:i4>
      </vt:variant>
      <vt:variant>
        <vt:lpstr>Titres</vt:lpstr>
      </vt:variant>
      <vt:variant>
        <vt:i4>4</vt:i4>
      </vt:variant>
      <vt:variant>
        <vt:lpstr>Title</vt:lpstr>
      </vt:variant>
      <vt:variant>
        <vt:i4>1</vt:i4>
      </vt:variant>
    </vt:vector>
  </HeadingPairs>
  <TitlesOfParts>
    <vt:vector size="6" baseType="lpstr">
      <vt:lpstr>Title Goes Here</vt:lpstr>
      <vt:lpstr>Introduction</vt:lpstr>
      <vt:lpstr>MethodOLOGY</vt:lpstr>
      <vt:lpstr>    Load Conditions Evaluation </vt:lpstr>
      <vt:lpstr>    Phase Imbalance and Load Optimization Methodology   </vt:lpstr>
      <vt:lpstr>Title Goes Here</vt:lpstr>
    </vt:vector>
  </TitlesOfParts>
  <Company>PPI</Company>
  <LinksUpToDate>false</LinksUpToDate>
  <CharactersWithSpaces>171967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17</cp:revision>
  <cp:lastPrinted>2011-03-03T08:29:00Z</cp:lastPrinted>
  <dcterms:created xsi:type="dcterms:W3CDTF">2025-11-15T16:20:00Z</dcterms:created>
  <dcterms:modified xsi:type="dcterms:W3CDTF">2025-12-06T16:20:00Z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http://www.zotero.org/styles/current-sustainable-renewable-energy-reports</vt:lpwstr>
  </property>
  <property fmtid="{D5CDD505-2E9C-101B-9397-08002B2CF9AE}" pid="12" name="Mendeley Recent Style Name 4_1">
    <vt:lpwstr>Current Sustainable/Renewable Energy Reports</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http://www.zotero.org/styles/journal-of-renewable-and-sustainable-energy</vt:lpwstr>
  </property>
  <property fmtid="{D5CDD505-2E9C-101B-9397-08002B2CF9AE}" pid="16" name="Mendeley Recent Style Name 6_1">
    <vt:lpwstr>Journal of Renewable and Sustainable Energy</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http://www.zotero.org/styles/renewable-and-sustainable-energy-reviews</vt:lpwstr>
  </property>
  <property fmtid="{D5CDD505-2E9C-101B-9397-08002B2CF9AE}" pid="20" name="Mendeley Recent Style Name 8_1">
    <vt:lpwstr>Renewable and Sustainable Energy Reviews</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http://www.zotero.org/styles/nature</vt:lpwstr>
  </property>
  <property fmtid="{D5CDD505-2E9C-101B-9397-08002B2CF9AE}" pid="24" name="Mendeley Document_1">
    <vt:lpwstr>True</vt:lpwstr>
  </property>
  <property fmtid="{D5CDD505-2E9C-101B-9397-08002B2CF9AE}" pid="25" name="Mendeley Unique User Id_1">
    <vt:lpwstr>4de4e9db-5cfe-3d75-b5e8-eb082a7a3d42</vt:lpwstr>
  </property>
</Properties>
</file>