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301CD4E4" w:rsidR="0016385D" w:rsidRPr="00FD7EF6" w:rsidRDefault="001117AA" w:rsidP="00C978F3">
      <w:pPr>
        <w:pStyle w:val="PaperTitle"/>
        <w:spacing w:before="0"/>
        <w:rPr>
          <w:bCs/>
        </w:rPr>
      </w:pPr>
      <w:r w:rsidRPr="00FD7EF6">
        <w:rPr>
          <w:bCs/>
        </w:rPr>
        <w:t>Polymorphism</w:t>
      </w:r>
      <w:r w:rsidR="00855104">
        <w:rPr>
          <w:bCs/>
        </w:rPr>
        <w:t>s</w:t>
      </w:r>
      <w:r w:rsidRPr="00FD7EF6">
        <w:rPr>
          <w:bCs/>
        </w:rPr>
        <w:t xml:space="preserve"> of </w:t>
      </w:r>
      <w:r w:rsidR="00C733B4" w:rsidRPr="00FD7EF6">
        <w:rPr>
          <w:bCs/>
        </w:rPr>
        <w:t>Heat Shock Protein70-hom (</w:t>
      </w:r>
      <w:r w:rsidRPr="00FD7EF6">
        <w:rPr>
          <w:bCs/>
          <w:i/>
          <w:iCs/>
        </w:rPr>
        <w:t>H</w:t>
      </w:r>
      <w:r w:rsidR="00FD7EF6" w:rsidRPr="00FD7EF6">
        <w:rPr>
          <w:bCs/>
          <w:i/>
          <w:iCs/>
        </w:rPr>
        <w:t>sp</w:t>
      </w:r>
      <w:r w:rsidR="00C733B4" w:rsidRPr="00FD7EF6">
        <w:rPr>
          <w:bCs/>
        </w:rPr>
        <w:t>70-hom)</w:t>
      </w:r>
      <w:r w:rsidRPr="00FD7EF6">
        <w:rPr>
          <w:bCs/>
        </w:rPr>
        <w:t xml:space="preserve"> Gene in </w:t>
      </w:r>
      <w:r w:rsidR="004C0E25" w:rsidRPr="004C0E25">
        <w:rPr>
          <w:bCs/>
        </w:rPr>
        <w:t>Iraqi Women with Breast Cancer</w:t>
      </w:r>
    </w:p>
    <w:p w14:paraId="548D96A3" w14:textId="18772230" w:rsidR="00C14B14" w:rsidRDefault="00401EC8" w:rsidP="00FD7EF6">
      <w:pPr>
        <w:pStyle w:val="AuthorName"/>
        <w:rPr>
          <w:sz w:val="20"/>
          <w:lang w:val="en-GB" w:eastAsia="en-GB"/>
        </w:rPr>
      </w:pPr>
      <w:r w:rsidRPr="00401EC8">
        <w:t>Wafaa Sabri Mahood</w:t>
      </w:r>
      <w:r w:rsidR="00EF6940" w:rsidRPr="2F830975">
        <w:rPr>
          <w:vertAlign w:val="superscript"/>
        </w:rPr>
        <w:t>1,</w:t>
      </w:r>
      <w:r w:rsidR="00223199">
        <w:rPr>
          <w:vertAlign w:val="superscript"/>
        </w:rPr>
        <w:t xml:space="preserve"> </w:t>
      </w:r>
      <w:r w:rsidR="00EF6940" w:rsidRPr="2F830975">
        <w:rPr>
          <w:vertAlign w:val="superscript"/>
        </w:rPr>
        <w:t>a)</w:t>
      </w:r>
      <w:r>
        <w:t xml:space="preserve">, </w:t>
      </w:r>
      <w:r w:rsidRPr="00401EC8">
        <w:t>Salwa Ali Ganim</w:t>
      </w:r>
      <w:r>
        <w:rPr>
          <w:vertAlign w:val="superscript"/>
        </w:rPr>
        <w:t>1</w:t>
      </w:r>
      <w:r w:rsidR="001117AA">
        <w:rPr>
          <w:vertAlign w:val="superscript"/>
        </w:rPr>
        <w:t>,</w:t>
      </w:r>
      <w:r w:rsidR="00223199">
        <w:rPr>
          <w:vertAlign w:val="superscript"/>
        </w:rPr>
        <w:t xml:space="preserve"> </w:t>
      </w:r>
      <w:r w:rsidRPr="2F830975">
        <w:rPr>
          <w:vertAlign w:val="superscript"/>
        </w:rPr>
        <w:t>b)</w:t>
      </w:r>
      <w:r>
        <w:t xml:space="preserve">, </w:t>
      </w:r>
      <w:r w:rsidRPr="00401EC8">
        <w:t>Shaimaa Sabah Al Obaidy</w:t>
      </w:r>
      <w:r w:rsidR="001117AA">
        <w:rPr>
          <w:vertAlign w:val="superscript"/>
        </w:rPr>
        <w:t>1,</w:t>
      </w:r>
      <w:r w:rsidR="00223199">
        <w:rPr>
          <w:vertAlign w:val="superscript"/>
        </w:rPr>
        <w:t xml:space="preserve"> </w:t>
      </w:r>
      <w:r>
        <w:rPr>
          <w:vertAlign w:val="superscript"/>
        </w:rPr>
        <w:t>c</w:t>
      </w:r>
      <w:r w:rsidRPr="2F830975">
        <w:rPr>
          <w:vertAlign w:val="superscript"/>
        </w:rPr>
        <w:t>)</w:t>
      </w:r>
      <w:r w:rsidR="00FD7EF6">
        <w:t>,</w:t>
      </w:r>
      <w:r w:rsidR="0016385D">
        <w:t xml:space="preserve"> </w:t>
      </w:r>
      <w:proofErr w:type="spellStart"/>
      <w:r w:rsidRPr="00401EC8">
        <w:t>Lenha</w:t>
      </w:r>
      <w:proofErr w:type="spellEnd"/>
      <w:r w:rsidRPr="00401EC8">
        <w:t xml:space="preserve"> </w:t>
      </w:r>
      <w:proofErr w:type="spellStart"/>
      <w:r w:rsidRPr="00401EC8">
        <w:t>Qutaiba</w:t>
      </w:r>
      <w:proofErr w:type="spellEnd"/>
      <w:r w:rsidRPr="00401EC8">
        <w:t xml:space="preserve"> Ahmed</w:t>
      </w:r>
      <w:r w:rsidR="001117AA">
        <w:rPr>
          <w:vertAlign w:val="superscript"/>
        </w:rPr>
        <w:t>1,</w:t>
      </w:r>
      <w:r w:rsidR="00223199">
        <w:rPr>
          <w:vertAlign w:val="superscript"/>
        </w:rPr>
        <w:t xml:space="preserve"> </w:t>
      </w:r>
      <w:r>
        <w:rPr>
          <w:vertAlign w:val="superscript"/>
        </w:rPr>
        <w:t>d</w:t>
      </w:r>
      <w:r w:rsidR="003A5C85" w:rsidRPr="2F830975">
        <w:rPr>
          <w:vertAlign w:val="superscript"/>
        </w:rPr>
        <w:t>)</w:t>
      </w:r>
    </w:p>
    <w:p w14:paraId="29CCA845" w14:textId="40D39801" w:rsidR="009D6508" w:rsidRDefault="00027428" w:rsidP="00F56C05">
      <w:pPr>
        <w:pStyle w:val="AuthorAffiliation"/>
      </w:pPr>
      <w:r w:rsidRPr="00075EA6">
        <w:rPr>
          <w:i w:val="0"/>
          <w:iCs/>
          <w:vertAlign w:val="superscript"/>
        </w:rPr>
        <w:t>1</w:t>
      </w:r>
      <w:r w:rsidR="00401EC8" w:rsidRPr="00401EC8">
        <w:t>Department of Biology, College of Education for Pure Sciences (Ibn Al-Hai</w:t>
      </w:r>
      <w:r w:rsidR="00401EC8">
        <w:t>tham),</w:t>
      </w:r>
      <w:r w:rsidR="00F04ADB">
        <w:t xml:space="preserve"> </w:t>
      </w:r>
      <w:r w:rsidR="00401EC8">
        <w:t xml:space="preserve">University of Baghdad, Baghdad, </w:t>
      </w:r>
      <w:r w:rsidR="00401EC8" w:rsidRPr="00401EC8">
        <w:t>Iraq</w:t>
      </w:r>
      <w:r w:rsidR="00B1112C">
        <w:t>.</w:t>
      </w:r>
    </w:p>
    <w:p w14:paraId="30D751E3" w14:textId="70D418A0" w:rsidR="00F56C05" w:rsidRPr="00F04ADB" w:rsidRDefault="0016782F" w:rsidP="00F56C05">
      <w:pPr>
        <w:pStyle w:val="AuthorAffiliation"/>
      </w:pPr>
      <w:r w:rsidRPr="00075EA6">
        <w:br/>
      </w:r>
      <w:r w:rsidR="00F56C05" w:rsidRPr="00F04ADB">
        <w:rPr>
          <w:szCs w:val="28"/>
          <w:vertAlign w:val="superscript"/>
        </w:rPr>
        <w:t>a)</w:t>
      </w:r>
      <w:r w:rsidR="009478F5">
        <w:rPr>
          <w:szCs w:val="28"/>
          <w:vertAlign w:val="superscript"/>
        </w:rPr>
        <w:t xml:space="preserve"> </w:t>
      </w:r>
      <w:r w:rsidR="00F56C05" w:rsidRPr="00F04ADB">
        <w:t>corresponding author</w:t>
      </w:r>
      <w:r w:rsidR="00F56C05" w:rsidRPr="00F04ADB">
        <w:rPr>
          <w:szCs w:val="28"/>
        </w:rPr>
        <w:t xml:space="preserve">: </w:t>
      </w:r>
      <w:r w:rsidR="00F56C05" w:rsidRPr="00F04ADB">
        <w:t>wafaa.s.m@ihcoedu.uobaghdad.edu.iq</w:t>
      </w:r>
      <w:r w:rsidR="00F56C05" w:rsidRPr="00F04ADB">
        <w:br/>
      </w:r>
      <w:proofErr w:type="gramStart"/>
      <w:r w:rsidR="00F56C05" w:rsidRPr="00F04ADB">
        <w:rPr>
          <w:szCs w:val="28"/>
          <w:vertAlign w:val="superscript"/>
        </w:rPr>
        <w:t>b)</w:t>
      </w:r>
      <w:r w:rsidR="00F56C05" w:rsidRPr="00F04ADB">
        <w:t>salwa.a.g@ihcoedu.uobaghdad.edu.iq</w:t>
      </w:r>
      <w:proofErr w:type="gramEnd"/>
    </w:p>
    <w:p w14:paraId="4F6D2E75" w14:textId="5F321159" w:rsidR="00F56C05" w:rsidRPr="00F04ADB" w:rsidRDefault="00F56C05" w:rsidP="00F56C05">
      <w:pPr>
        <w:pStyle w:val="AuthorAffiliation"/>
        <w:rPr>
          <w:rtl/>
        </w:rPr>
      </w:pPr>
      <w:r w:rsidRPr="00F04ADB">
        <w:rPr>
          <w:szCs w:val="28"/>
          <w:vertAlign w:val="superscript"/>
        </w:rPr>
        <w:t>c)</w:t>
      </w:r>
      <w:r w:rsidRPr="00F04ADB">
        <w:t>shaima.s.m@ihcoedu.uobaghdad.edu.iq</w:t>
      </w:r>
    </w:p>
    <w:p w14:paraId="5E05E235" w14:textId="3EE5E0DE" w:rsidR="003A5C85" w:rsidRPr="00F04ADB" w:rsidRDefault="00F56C05" w:rsidP="003B2AB0">
      <w:pPr>
        <w:pStyle w:val="AuthorAffiliation"/>
        <w:rPr>
          <w:rtl/>
        </w:rPr>
      </w:pPr>
      <w:r w:rsidRPr="00F04ADB">
        <w:rPr>
          <w:szCs w:val="28"/>
          <w:vertAlign w:val="superscript"/>
        </w:rPr>
        <w:t>d)</w:t>
      </w:r>
      <w:r w:rsidRPr="00F04ADB">
        <w:t>linha.q@ihcoedu.uobaghdad.edu.iq</w:t>
      </w:r>
    </w:p>
    <w:p w14:paraId="22C3F2A8" w14:textId="7BD22AF0" w:rsidR="0016385D" w:rsidRDefault="0016385D" w:rsidP="009877FB">
      <w:pPr>
        <w:pStyle w:val="Abstract"/>
      </w:pPr>
      <w:r w:rsidRPr="00075EA6">
        <w:rPr>
          <w:b/>
          <w:bCs/>
        </w:rPr>
        <w:t>Abstract.</w:t>
      </w:r>
      <w:r w:rsidRPr="00075EA6">
        <w:t xml:space="preserve"> </w:t>
      </w:r>
      <w:r w:rsidR="00FC702B" w:rsidRPr="00FC702B">
        <w:t xml:space="preserve">In the current study, we investigated the incidence of breast cancer and determined the most variable clinicopathological parameters in a cohort of female carcinoma patients from Baghdad. We also analyzed whether the heat-shock protein gene </w:t>
      </w:r>
      <w:r w:rsidR="00FC702B" w:rsidRPr="00D3238B">
        <w:rPr>
          <w:i/>
          <w:iCs/>
        </w:rPr>
        <w:t>Hsp</w:t>
      </w:r>
      <w:r w:rsidR="00FC702B" w:rsidRPr="00D3238B">
        <w:t>70</w:t>
      </w:r>
      <w:r w:rsidR="00FC702B" w:rsidRPr="00FC702B">
        <w:t>-hom T/C (rs2227956) polymorphism is associated with susceptibility to developing breast cancer in Iraqi</w:t>
      </w:r>
      <w:r w:rsidR="00B86583">
        <w:t xml:space="preserve"> females. The </w:t>
      </w:r>
      <w:r w:rsidR="00B86583" w:rsidRPr="00D3238B">
        <w:rPr>
          <w:i/>
          <w:iCs/>
        </w:rPr>
        <w:t>Hsp</w:t>
      </w:r>
      <w:r w:rsidR="00B86583">
        <w:t>70-</w:t>
      </w:r>
      <w:r w:rsidR="00B86583" w:rsidRPr="00B86583">
        <w:t>hom</w:t>
      </w:r>
      <w:r w:rsidR="00B86583">
        <w:t xml:space="preserve"> </w:t>
      </w:r>
      <w:r w:rsidR="00FC702B" w:rsidRPr="00FC702B">
        <w:t xml:space="preserve">polymorphism was analyzed using the Restriction Fragment Length Polymorphism (RFLP) technique in 90 breast cancer patients and 40 apparently healthy women as a control group. The results showed a significantly higher percentage of patients (60%) </w:t>
      </w:r>
      <w:proofErr w:type="gramStart"/>
      <w:r w:rsidR="00FC702B" w:rsidRPr="00FC702B">
        <w:t>were</w:t>
      </w:r>
      <w:proofErr w:type="gramEnd"/>
      <w:r w:rsidR="00FC702B" w:rsidRPr="00FC702B">
        <w:t xml:space="preserve"> over 50 years of age (P≤ 0.05). All patients (100%) in the study were diagnosed with Invasive Ductal Carcinoma (IND). </w:t>
      </w:r>
      <w:proofErr w:type="gramStart"/>
      <w:r w:rsidR="00FC702B" w:rsidRPr="00FC702B">
        <w:t>The majority of</w:t>
      </w:r>
      <w:proofErr w:type="gramEnd"/>
      <w:r w:rsidR="00FC702B" w:rsidRPr="00FC702B">
        <w:t xml:space="preserve"> cases (78%) were classified as Grade II (P≤ 0.05), and there was a notably higher incidence of the T2NM stage (60% or 54/90) (P≤ 0.05). No significant association was found between breast cancer and </w:t>
      </w:r>
      <w:r w:rsidR="00B86583">
        <w:t>L</w:t>
      </w:r>
      <w:r w:rsidR="00FC702B" w:rsidRPr="00FC702B">
        <w:t xml:space="preserve">ymph </w:t>
      </w:r>
      <w:r w:rsidR="00B86583">
        <w:t>N</w:t>
      </w:r>
      <w:r w:rsidR="00FC702B" w:rsidRPr="00FC702B">
        <w:t xml:space="preserve">ode </w:t>
      </w:r>
      <w:r w:rsidR="00B86583">
        <w:t>M</w:t>
      </w:r>
      <w:r w:rsidR="00FC702B" w:rsidRPr="00FC702B">
        <w:t>etastasis</w:t>
      </w:r>
      <w:r w:rsidR="00B86583">
        <w:t xml:space="preserve"> (LNM)</w:t>
      </w:r>
      <w:r w:rsidR="00FC702B" w:rsidRPr="00FC702B">
        <w:t xml:space="preserve">. Regarding hormonal status, positive results were observed in 82% (74/90) and 70% (63/90) of patients for Estrogen Receptor (ER) and Progesterone Receptor (PR), respectively, although these findings lacked statistical significance. Furthermore, 90% of the breast cancer cases had the Hsp70-hom TT genotype in a homozygous state (compared to 80% in the control group), with an Odds Ratio (OR) of </w:t>
      </w:r>
      <w:r w:rsidR="009877FB">
        <w:t>0</w:t>
      </w:r>
      <w:r w:rsidR="00FC702B" w:rsidRPr="00FC702B">
        <w:t>.</w:t>
      </w:r>
      <w:r w:rsidR="009877FB">
        <w:t>8</w:t>
      </w:r>
      <w:r w:rsidR="00FC702B" w:rsidRPr="00FC702B">
        <w:t>5 (95% CI: 0.55-</w:t>
      </w:r>
      <w:r w:rsidR="00AC672D">
        <w:rPr>
          <w:rFonts w:hint="cs"/>
          <w:rtl/>
        </w:rPr>
        <w:t>1</w:t>
      </w:r>
      <w:r w:rsidR="00FC702B" w:rsidRPr="00FC702B">
        <w:t>.18) and a P</w:t>
      </w:r>
      <w:r w:rsidR="00B86583">
        <w:t>-</w:t>
      </w:r>
      <w:r w:rsidR="00FC702B" w:rsidRPr="00FC702B">
        <w:t>value of 0.259. These genetic findings indicate a negative risk association between the Hsp70-hom T/C (rs2227956) genotypes and the induction of breast cancer in Iraqi females</w:t>
      </w:r>
      <w:r w:rsidR="00FC702B">
        <w:t>.</w:t>
      </w:r>
    </w:p>
    <w:p w14:paraId="3707D9FE" w14:textId="77777777" w:rsidR="00FC702B" w:rsidRPr="00FC702B" w:rsidRDefault="00FC702B" w:rsidP="00FC702B">
      <w:pPr>
        <w:pStyle w:val="Abstract"/>
      </w:pPr>
      <w:r w:rsidRPr="00FC702B">
        <w:rPr>
          <w:b/>
          <w:bCs/>
        </w:rPr>
        <w:t>Key Words:</w:t>
      </w:r>
      <w:r w:rsidRPr="00FC702B">
        <w:t xml:space="preserve"> Heat Shock protein gene, Chaperone, Hsp70-hom gene, Breast Cancer, Iraq</w:t>
      </w:r>
    </w:p>
    <w:p w14:paraId="4241DDCE" w14:textId="400AD889" w:rsidR="00D3238B" w:rsidRPr="00215B4F" w:rsidRDefault="00FC702B" w:rsidP="00215B4F">
      <w:pPr>
        <w:pStyle w:val="Heading1"/>
        <w:rPr>
          <w:b w:val="0"/>
          <w:caps w:val="0"/>
          <w:szCs w:val="24"/>
        </w:rPr>
      </w:pPr>
      <w:r w:rsidRPr="00FC702B">
        <w:rPr>
          <w:szCs w:val="24"/>
        </w:rPr>
        <w:t>Introduction</w:t>
      </w:r>
    </w:p>
    <w:p w14:paraId="31369302" w14:textId="41F47C59" w:rsidR="00FC702B" w:rsidRPr="00FC702B" w:rsidRDefault="00D3238B" w:rsidP="00D3238B">
      <w:pPr>
        <w:pStyle w:val="Paragraph"/>
      </w:pPr>
      <w:r>
        <w:t xml:space="preserve">Breast cancer is </w:t>
      </w:r>
      <w:r w:rsidR="00FC702B" w:rsidRPr="00FC702B">
        <w:t>a major problem concern the Iraqi females. High i</w:t>
      </w:r>
      <w:r w:rsidR="00D34213">
        <w:t>ncidence of new cases has</w:t>
      </w:r>
      <w:r w:rsidR="00FC702B" w:rsidRPr="00FC702B">
        <w:t xml:space="preserve"> been documented since </w:t>
      </w:r>
      <w:r w:rsidRPr="00FC702B">
        <w:t>2000;</w:t>
      </w:r>
      <w:r w:rsidR="00FC702B" w:rsidRPr="00FC702B">
        <w:rPr>
          <w:rFonts w:hint="cs"/>
          <w:rtl/>
        </w:rPr>
        <w:t xml:space="preserve"> </w:t>
      </w:r>
      <w:r w:rsidR="00FC702B" w:rsidRPr="00FC702B">
        <w:t>it was responsible for approximately one-third of all cancer cases in 2019. It exhibits the highest percentage incide</w:t>
      </w:r>
      <w:r w:rsidR="00B86583">
        <w:t xml:space="preserve">nce rate (18.17/100,000) among </w:t>
      </w:r>
      <w:r w:rsidR="00FC702B" w:rsidRPr="00FC702B">
        <w:t xml:space="preserve">the top five cancers in </w:t>
      </w:r>
      <w:r w:rsidR="00672E2A">
        <w:t xml:space="preserve">Iraq </w:t>
      </w:r>
      <w:r w:rsidR="00FC702B" w:rsidRPr="00FC702B">
        <w:t>(1</w:t>
      </w:r>
      <w:r w:rsidRPr="00FC702B">
        <w:t>, 2</w:t>
      </w:r>
      <w:r w:rsidR="00FC702B" w:rsidRPr="00FC702B">
        <w:t>). Heat shock proteins (H</w:t>
      </w:r>
      <w:r w:rsidR="00B86583">
        <w:t>SP</w:t>
      </w:r>
      <w:r w:rsidR="00FC702B" w:rsidRPr="00FC702B">
        <w:t>s) are a group of proteins that can be activated response to various cellular stressors, including hypoxia, heat, ischemia, and reactive oxygen species (oxida</w:t>
      </w:r>
      <w:r w:rsidR="00B86583">
        <w:t xml:space="preserve">tive stress) and toxins </w:t>
      </w:r>
      <w:r w:rsidR="00FC702B" w:rsidRPr="00FC702B">
        <w:t>protect</w:t>
      </w:r>
      <w:r>
        <w:t>ing</w:t>
      </w:r>
      <w:r w:rsidR="00FC702B" w:rsidRPr="00FC702B">
        <w:t xml:space="preserve"> cells from environmental stresses (3,4). HSPs are classifie</w:t>
      </w:r>
      <w:r w:rsidR="00B86583">
        <w:t xml:space="preserve">d into various families depend </w:t>
      </w:r>
      <w:r w:rsidR="00FC702B" w:rsidRPr="00FC702B">
        <w:t>on molec</w:t>
      </w:r>
      <w:r w:rsidR="00B86583">
        <w:t>ular masses, including</w:t>
      </w:r>
      <w:r w:rsidR="00FC702B" w:rsidRPr="00FC702B">
        <w:t xml:space="preserve"> (HSP110, HSP90, HSP/HSC7</w:t>
      </w:r>
      <w:r w:rsidR="00B86583">
        <w:t>0, HSP60, HSP47, in addition to</w:t>
      </w:r>
      <w:r w:rsidR="00FC702B" w:rsidRPr="00FC702B">
        <w:t xml:space="preserve"> the small HSPs </w:t>
      </w:r>
      <w:r w:rsidR="00B86583">
        <w:t>(</w:t>
      </w:r>
      <w:r w:rsidR="00FC702B" w:rsidRPr="00FC702B">
        <w:t>HSP10–30), the main biological role of HSPs is their ability to act as chaperone molecules. The HSP70 family includes eight members that exhibit structural similarity yet display distinct biological activities and cellular localization (5, 6). HSPs play an important dual role as housekeeping genes and molecular chaperones. As chaperones, they are essential for achieving the suitable folding of newly synthesized proteins. Their functions are continuously required to prevent the accumulation of unstable or misfolded proteins and to facilitate protein transfer across cellular compartments (7</w:t>
      </w:r>
      <w:proofErr w:type="gramStart"/>
      <w:r w:rsidR="00FC702B" w:rsidRPr="00FC702B">
        <w:t>).The</w:t>
      </w:r>
      <w:proofErr w:type="gramEnd"/>
      <w:r w:rsidR="00FC702B" w:rsidRPr="00FC702B">
        <w:t xml:space="preserve"> members of the HSP70 class are encoded by three genes found at (6p21.3) inside major histocompatibility complex class III region: </w:t>
      </w:r>
      <w:r w:rsidR="00FC702B" w:rsidRPr="00FC702B">
        <w:rPr>
          <w:i/>
          <w:iCs/>
        </w:rPr>
        <w:t>Hsp70</w:t>
      </w:r>
      <w:r w:rsidR="00FC702B" w:rsidRPr="00FC702B">
        <w:t xml:space="preserve">-1, </w:t>
      </w:r>
      <w:r w:rsidR="00FC702B" w:rsidRPr="00FC702B">
        <w:rPr>
          <w:i/>
          <w:iCs/>
        </w:rPr>
        <w:t>Hsp70</w:t>
      </w:r>
      <w:r w:rsidR="00FC702B" w:rsidRPr="00FC702B">
        <w:t xml:space="preserve">-2 and </w:t>
      </w:r>
      <w:r w:rsidR="00FC702B" w:rsidRPr="00FC702B">
        <w:rPr>
          <w:i/>
          <w:iCs/>
        </w:rPr>
        <w:t>Hsp70</w:t>
      </w:r>
      <w:r w:rsidR="00FC702B" w:rsidRPr="00FC702B">
        <w:t xml:space="preserve">-hom. The heat-inducible proteins encoded by </w:t>
      </w:r>
      <w:r w:rsidR="00FC702B" w:rsidRPr="00FC702B">
        <w:rPr>
          <w:i/>
          <w:iCs/>
        </w:rPr>
        <w:t>Hsp70</w:t>
      </w:r>
      <w:r w:rsidR="00FC702B" w:rsidRPr="00FC702B">
        <w:t xml:space="preserve">-1 and </w:t>
      </w:r>
      <w:r w:rsidR="00FC702B" w:rsidRPr="00FC702B">
        <w:rPr>
          <w:i/>
          <w:iCs/>
        </w:rPr>
        <w:t>Hsp70</w:t>
      </w:r>
      <w:r w:rsidR="00FC702B" w:rsidRPr="00FC702B">
        <w:t xml:space="preserve">-2 genes with an </w:t>
      </w:r>
      <w:proofErr w:type="gramStart"/>
      <w:r w:rsidR="00FC702B" w:rsidRPr="00FC702B">
        <w:t>identical domains</w:t>
      </w:r>
      <w:proofErr w:type="gramEnd"/>
      <w:r w:rsidR="00FC702B" w:rsidRPr="00FC702B">
        <w:t xml:space="preserve"> but differ in their regulatory domains. Whereas a non-heat inducible protein encoded by HSP70-hom gene (8). Some variants of the HSP70 class polymorphic genes potentially account for differences in protein function and an individual's susceptibility to stress tolerance (9). A key change is the nonsynonymous mutation in the </w:t>
      </w:r>
      <w:r w:rsidR="00FC702B" w:rsidRPr="00FC702B">
        <w:rPr>
          <w:i/>
          <w:iCs/>
        </w:rPr>
        <w:t>Hsp</w:t>
      </w:r>
      <w:r w:rsidR="00FC702B" w:rsidRPr="00A8424C">
        <w:t>70</w:t>
      </w:r>
      <w:r w:rsidR="00FC702B" w:rsidRPr="00FC702B">
        <w:t>-hom T &gt; C polymorphism (rs2227956</w:t>
      </w:r>
      <w:proofErr w:type="gramStart"/>
      <w:r w:rsidR="00FC702B" w:rsidRPr="00FC702B">
        <w:t>),  which</w:t>
      </w:r>
      <w:proofErr w:type="gramEnd"/>
      <w:r w:rsidR="00FC702B" w:rsidRPr="00FC702B">
        <w:t xml:space="preserve"> result in a Methionine to Threonine (</w:t>
      </w:r>
      <w:proofErr w:type="spellStart"/>
      <w:r w:rsidR="00FC702B" w:rsidRPr="00FC702B">
        <w:t>Met→Thr</w:t>
      </w:r>
      <w:proofErr w:type="spellEnd"/>
      <w:r w:rsidR="00FC702B" w:rsidRPr="00FC702B">
        <w:t xml:space="preserve">) substitution at position 493 in the peptide binding domain, which may impact HSP70's chaperone activity and substrate binding selectivity (10). </w:t>
      </w:r>
      <w:r w:rsidR="00FC702B" w:rsidRPr="00FC702B">
        <w:rPr>
          <w:lang w:val="en"/>
        </w:rPr>
        <w:lastRenderedPageBreak/>
        <w:t xml:space="preserve">Researchers have shown that genetic mutations of </w:t>
      </w:r>
      <w:proofErr w:type="gramStart"/>
      <w:r w:rsidR="00FC702B" w:rsidRPr="00FC702B">
        <w:rPr>
          <w:lang w:val="en"/>
        </w:rPr>
        <w:t>the HSP70</w:t>
      </w:r>
      <w:proofErr w:type="gramEnd"/>
      <w:r w:rsidR="00FC702B" w:rsidRPr="00FC702B">
        <w:rPr>
          <w:lang w:val="en"/>
        </w:rPr>
        <w:t>-2 and/or HSP70-hom may alter a person's susceptibility to cancer; the frequency of these variant genotypes was much higher in cancer patients than in controls (11-13).</w:t>
      </w:r>
      <w:r w:rsidR="00FC702B" w:rsidRPr="00FC702B">
        <w:rPr>
          <w:vertAlign w:val="superscript"/>
        </w:rPr>
        <w:t xml:space="preserve"> </w:t>
      </w:r>
      <w:r w:rsidR="00FC702B" w:rsidRPr="00FC702B">
        <w:t>It has been observed to have associations with several cancers such as cervical carcinoma</w:t>
      </w:r>
      <w:r w:rsidR="001B3910">
        <w:t xml:space="preserve"> </w:t>
      </w:r>
      <w:r w:rsidR="00FC702B" w:rsidRPr="00FC702B">
        <w:t>(14</w:t>
      </w:r>
      <w:proofErr w:type="gramStart"/>
      <w:r w:rsidR="00FC702B" w:rsidRPr="00FC702B">
        <w:t>),  lung</w:t>
      </w:r>
      <w:proofErr w:type="gramEnd"/>
      <w:r w:rsidR="00FC702B" w:rsidRPr="00FC702B">
        <w:t xml:space="preserve"> </w:t>
      </w:r>
      <w:proofErr w:type="gramStart"/>
      <w:r w:rsidR="00FC702B" w:rsidRPr="00FC702B">
        <w:t>cancer  (</w:t>
      </w:r>
      <w:proofErr w:type="gramEnd"/>
      <w:r w:rsidR="00FC702B" w:rsidRPr="00FC702B">
        <w:t xml:space="preserve">15) and breast cancer (16).  </w:t>
      </w:r>
    </w:p>
    <w:p w14:paraId="15B27059" w14:textId="77777777" w:rsidR="00FC702B" w:rsidRPr="00FC702B" w:rsidRDefault="00FC702B" w:rsidP="00FC702B">
      <w:pPr>
        <w:pStyle w:val="Paragraph"/>
      </w:pPr>
      <w:r w:rsidRPr="00FC702B">
        <w:t xml:space="preserve">The HSP70 family acts as a chaperone molecule for antigenic peptides derived from tumor cells, inducing cytotoxic T lymphocytes (CTL) activation. This mechanism is crucial for the anti-tumor immune recognition process (17,18). </w:t>
      </w:r>
      <w:proofErr w:type="gramStart"/>
      <w:r w:rsidRPr="00FC702B">
        <w:t>However,  HSP</w:t>
      </w:r>
      <w:proofErr w:type="gramEnd"/>
      <w:r w:rsidRPr="00FC702B">
        <w:t xml:space="preserve">70 also </w:t>
      </w:r>
      <w:proofErr w:type="gramStart"/>
      <w:r w:rsidRPr="00FC702B">
        <w:t>assist</w:t>
      </w:r>
      <w:proofErr w:type="gramEnd"/>
      <w:r w:rsidRPr="00FC702B">
        <w:t xml:space="preserve"> </w:t>
      </w:r>
      <w:proofErr w:type="gramStart"/>
      <w:r w:rsidRPr="00FC702B">
        <w:t>to overcome</w:t>
      </w:r>
      <w:proofErr w:type="gramEnd"/>
      <w:r w:rsidRPr="00FC702B">
        <w:t xml:space="preserve"> </w:t>
      </w:r>
      <w:proofErr w:type="gramStart"/>
      <w:r w:rsidRPr="00FC702B">
        <w:t>the stressful</w:t>
      </w:r>
      <w:proofErr w:type="gramEnd"/>
      <w:r w:rsidRPr="00FC702B">
        <w:t xml:space="preserve"> conditions faced by the tumor cells, such as lack of oxygen, nutrient, or immune response leading to their survival (19). </w:t>
      </w:r>
      <w:r w:rsidRPr="00FC702B">
        <w:rPr>
          <w:lang w:val="en"/>
        </w:rPr>
        <w:t xml:space="preserve">High levels of </w:t>
      </w:r>
      <w:r w:rsidRPr="00FC702B">
        <w:rPr>
          <w:i/>
          <w:iCs/>
          <w:lang w:val="en"/>
        </w:rPr>
        <w:t>Hsp</w:t>
      </w:r>
      <w:r w:rsidRPr="00FC702B">
        <w:rPr>
          <w:lang w:val="en"/>
        </w:rPr>
        <w:t>70</w:t>
      </w:r>
      <w:r w:rsidRPr="00FC702B">
        <w:rPr>
          <w:rtl/>
        </w:rPr>
        <w:t xml:space="preserve"> </w:t>
      </w:r>
      <w:r w:rsidRPr="00FC702B">
        <w:t>gene expression</w:t>
      </w:r>
      <w:r w:rsidRPr="00FC702B">
        <w:rPr>
          <w:lang w:val="en"/>
        </w:rPr>
        <w:t xml:space="preserve"> have been found in metastatic and non-metastatic breast cancer patients, and </w:t>
      </w:r>
      <w:r w:rsidRPr="00FC702B">
        <w:t xml:space="preserve">linked to cancer cell survival and resistance indicating </w:t>
      </w:r>
      <w:r w:rsidRPr="00FC702B">
        <w:rPr>
          <w:lang w:val="en"/>
        </w:rPr>
        <w:t xml:space="preserve">to a strong association between over expression of HSP70 and advanced disease, HSP70 could be a useful biomarker for early detection, diagnosis, follow-up, and </w:t>
      </w:r>
      <w:r w:rsidRPr="00FC702B">
        <w:t xml:space="preserve">could be used as effective strategies for target therapy </w:t>
      </w:r>
      <w:r w:rsidRPr="00FC702B">
        <w:rPr>
          <w:lang w:val="en"/>
        </w:rPr>
        <w:t xml:space="preserve">of cancer </w:t>
      </w:r>
      <w:r w:rsidRPr="00FC702B">
        <w:t>patients (16,20).</w:t>
      </w:r>
      <w:r w:rsidRPr="00FC702B">
        <w:rPr>
          <w:lang w:val="en"/>
        </w:rPr>
        <w:t xml:space="preserve"> </w:t>
      </w:r>
    </w:p>
    <w:p w14:paraId="1E7702EE" w14:textId="2C1EB71F" w:rsidR="00B1000D" w:rsidRDefault="00FC702B" w:rsidP="00A85F09">
      <w:pPr>
        <w:pStyle w:val="Paragraph"/>
        <w:rPr>
          <w:lang w:bidi="ar-IQ"/>
        </w:rPr>
      </w:pPr>
      <w:r w:rsidRPr="00FC702B">
        <w:t xml:space="preserve">This study used a cohort of phenotypically well-defined Iraqi breast cancer </w:t>
      </w:r>
      <w:r w:rsidR="00A85F09">
        <w:t>women</w:t>
      </w:r>
      <w:r w:rsidRPr="00FC702B">
        <w:t xml:space="preserve"> and normal control females to describe the incidence of breast cancer, identify the most variable </w:t>
      </w:r>
      <w:proofErr w:type="spellStart"/>
      <w:r w:rsidRPr="00FC702B">
        <w:t>clincopathological</w:t>
      </w:r>
      <w:proofErr w:type="spellEnd"/>
      <w:r w:rsidRPr="00FC702B">
        <w:t xml:space="preserve"> parameters, and explore the hypothesis that breast cancer is linked to the </w:t>
      </w:r>
      <w:r w:rsidRPr="00FC702B">
        <w:rPr>
          <w:i/>
          <w:iCs/>
        </w:rPr>
        <w:t>Hsp70</w:t>
      </w:r>
      <w:r w:rsidRPr="00FC702B">
        <w:t xml:space="preserve"> </w:t>
      </w:r>
      <w:proofErr w:type="spellStart"/>
      <w:r w:rsidRPr="00FC702B">
        <w:t>hom</w:t>
      </w:r>
      <w:proofErr w:type="spellEnd"/>
      <w:r w:rsidRPr="00FC702B">
        <w:t xml:space="preserve"> gene polymorphism</w:t>
      </w:r>
      <w:r w:rsidR="004C66FC">
        <w:t xml:space="preserve"> </w:t>
      </w:r>
      <w:r w:rsidRPr="00FC702B">
        <w:t xml:space="preserve">(rs2227956). </w:t>
      </w:r>
    </w:p>
    <w:p w14:paraId="420B6B8C" w14:textId="19C5CCDE" w:rsidR="00FC702B" w:rsidRDefault="00FC702B" w:rsidP="00FC702B">
      <w:pPr>
        <w:pStyle w:val="Heading1"/>
        <w:rPr>
          <w:lang w:bidi="ar-IQ"/>
        </w:rPr>
      </w:pPr>
      <w:r w:rsidRPr="00FC702B">
        <w:rPr>
          <w:bCs/>
          <w:lang w:bidi="ar-IQ"/>
        </w:rPr>
        <w:t xml:space="preserve">Material </w:t>
      </w:r>
      <w:r w:rsidRPr="00FC702B">
        <w:rPr>
          <w:szCs w:val="24"/>
        </w:rPr>
        <w:t>and</w:t>
      </w:r>
      <w:r w:rsidRPr="00FC702B">
        <w:rPr>
          <w:bCs/>
          <w:lang w:bidi="ar-IQ"/>
        </w:rPr>
        <w:t xml:space="preserve"> Methods</w:t>
      </w:r>
    </w:p>
    <w:p w14:paraId="457D9E87" w14:textId="3F9E587C" w:rsidR="00616F3B" w:rsidRPr="00075EA6" w:rsidRDefault="006C21CC" w:rsidP="0090447F">
      <w:pPr>
        <w:pStyle w:val="Heading2"/>
      </w:pPr>
      <w:r>
        <w:t>Patients'</w:t>
      </w:r>
      <w:r w:rsidR="00FC702B" w:rsidRPr="00FC702B">
        <w:t xml:space="preserve"> </w:t>
      </w:r>
      <w:r w:rsidR="0090447F">
        <w:t>B</w:t>
      </w:r>
      <w:r w:rsidR="00FC702B" w:rsidRPr="00FC702B">
        <w:t xml:space="preserve">lood </w:t>
      </w:r>
      <w:r w:rsidR="0090447F">
        <w:t>S</w:t>
      </w:r>
      <w:r w:rsidR="00FC702B" w:rsidRPr="00FC702B">
        <w:t>amples</w:t>
      </w:r>
    </w:p>
    <w:p w14:paraId="0E1EA587" w14:textId="5621089B" w:rsidR="00616F3B" w:rsidRDefault="00D40FEB" w:rsidP="0079521A">
      <w:pPr>
        <w:pStyle w:val="Paragraph"/>
      </w:pPr>
      <w:r w:rsidRPr="00D40FEB">
        <w:t>Between May 2023 and Fe</w:t>
      </w:r>
      <w:r w:rsidR="004C66FC">
        <w:t xml:space="preserve">bruary 2024, a total of </w:t>
      </w:r>
      <w:r w:rsidR="005B7C73">
        <w:rPr>
          <w:rFonts w:hint="cs"/>
          <w:rtl/>
        </w:rPr>
        <w:t>90</w:t>
      </w:r>
      <w:r w:rsidR="004C66FC">
        <w:t xml:space="preserve"> </w:t>
      </w:r>
      <w:r w:rsidRPr="00D40FEB">
        <w:t>blood samples were drawn in EDTA</w:t>
      </w:r>
      <w:r w:rsidR="00F06AC6">
        <w:rPr>
          <w:rFonts w:hint="cs"/>
          <w:rtl/>
        </w:rPr>
        <w:t>-</w:t>
      </w:r>
      <w:r w:rsidRPr="00D40FEB">
        <w:t>containing tubes from females diagnosed with breast cancer.</w:t>
      </w:r>
      <w:r w:rsidR="0079521A" w:rsidRPr="0079521A">
        <w:t xml:space="preserve"> whose ages ranged between 32 and 71 years old. The mean age of the patients was 51.5 ±10.4 years</w:t>
      </w:r>
      <w:r w:rsidR="0079521A">
        <w:t>.</w:t>
      </w:r>
      <w:r w:rsidRPr="00D40FEB">
        <w:t xml:space="preserve"> </w:t>
      </w:r>
      <w:r w:rsidR="0079521A" w:rsidRPr="0079521A">
        <w:t>Forty blood samples were drawn from healthy women as a control group whose ages ranged between 30 and 64 years. Their mean age was 46.9 ± 9.8 years</w:t>
      </w:r>
      <w:r w:rsidR="0079521A">
        <w:t xml:space="preserve">. </w:t>
      </w:r>
      <w:r w:rsidRPr="00D40FEB">
        <w:t>Diagnosis for the</w:t>
      </w:r>
      <w:r w:rsidR="00F06AC6">
        <w:t xml:space="preserve"> patient cohort was confirmed by</w:t>
      </w:r>
      <w:r w:rsidRPr="00D40FEB">
        <w:t xml:space="preserve"> medical experts at the Medical City (Oncology Teaching Hospital), Baghdad, based on clinical findings, mammography, and histological results. All patients were identified early in their diagnosis, and none of them had undergone mastectomy, chemotherapy, or radiotherapy prior to blood sample collection. Every participant in this study provided their informed consent and agreement. The current study received approval from the Ethics Committee of the Iraqi Ministry of Health</w:t>
      </w:r>
      <w:r w:rsidR="00616F3B" w:rsidRPr="00075EA6">
        <w:t>.</w:t>
      </w:r>
    </w:p>
    <w:p w14:paraId="15A1BF0E" w14:textId="390D7607" w:rsidR="00D40FEB" w:rsidRPr="00075EA6" w:rsidRDefault="00D40FEB" w:rsidP="00D40FEB">
      <w:pPr>
        <w:pStyle w:val="Heading2"/>
      </w:pPr>
      <w:r w:rsidRPr="00D40FEB">
        <w:t>Genotyping</w:t>
      </w:r>
    </w:p>
    <w:p w14:paraId="4E751582" w14:textId="40A8BD6B" w:rsidR="00D40FEB" w:rsidRPr="00D40FEB" w:rsidRDefault="00D40FEB" w:rsidP="00D40FEB">
      <w:pPr>
        <w:pStyle w:val="Paragraph"/>
      </w:pPr>
      <w:r w:rsidRPr="00D40FEB">
        <w:t xml:space="preserve">Using the </w:t>
      </w:r>
      <w:proofErr w:type="spellStart"/>
      <w:r w:rsidRPr="00D40FEB">
        <w:t>ReliaPrep</w:t>
      </w:r>
      <w:r w:rsidRPr="00D40FEB">
        <w:rPr>
          <w:vertAlign w:val="superscript"/>
        </w:rPr>
        <w:t>TM</w:t>
      </w:r>
      <w:proofErr w:type="spellEnd"/>
      <w:r w:rsidRPr="00D40FEB">
        <w:t xml:space="preserve"> Blood gDNA Miniprep System (Promega Corporation, USA), genomic DNA was isolated from EDTA blood samples. Following purity and concentration evaluation, PCR amplification was performed. The following primers were utilized to genotype the </w:t>
      </w:r>
      <w:r w:rsidRPr="00D40FEB">
        <w:rPr>
          <w:i/>
          <w:iCs/>
        </w:rPr>
        <w:t>Hsp70</w:t>
      </w:r>
      <w:r w:rsidRPr="00D40FEB">
        <w:t>-hom gene T/C (rs2227956) using the Polymerase Chain Reaction–Restriction Fragment Length Polymorphism (PCR-RFLP) technique. forward</w:t>
      </w:r>
      <w:r w:rsidR="0079521A">
        <w:t xml:space="preserve">-5′GGACAAGTCTGAGAAGGTACAG-3′and </w:t>
      </w:r>
      <w:r w:rsidRPr="00D40FEB">
        <w:t xml:space="preserve">reverse-5′-GTAACTTAGATTCAGGTCTGG-3′ (21). PCR amplifications were carried out using 20μl volumes that contained </w:t>
      </w:r>
      <w:proofErr w:type="spellStart"/>
      <w:r w:rsidRPr="00D40FEB">
        <w:t>GoTaq</w:t>
      </w:r>
      <w:proofErr w:type="spellEnd"/>
      <w:r w:rsidRPr="00D40FEB">
        <w:t xml:space="preserve"> Green Master Mix (2X) (10μl) , 3μl of template DNA, and 1μl of each primer (10 </w:t>
      </w:r>
      <w:proofErr w:type="spellStart"/>
      <w:r w:rsidRPr="00D40FEB">
        <w:t>pmol</w:t>
      </w:r>
      <w:proofErr w:type="spellEnd"/>
      <w:r w:rsidRPr="00D40FEB">
        <w:t xml:space="preserve">), finally, 5μl of nuclease-free water, The following temperature program was used to carry out PCR cycling using PCR Express (Thermal Cycler, </w:t>
      </w:r>
      <w:proofErr w:type="spellStart"/>
      <w:r w:rsidRPr="00D40FEB">
        <w:t>Veriti</w:t>
      </w:r>
      <w:proofErr w:type="spellEnd"/>
      <w:r w:rsidRPr="00D40FEB">
        <w:t xml:space="preserve">, USA): 30 cycles of denaturation at 95°C for 30 seconds, annealing at 61°C for 30 seconds, and extension at 72°C for 30 seconds were performed after being denatured at 95°C for 5 minutes. To halt the reactions, a final extension incubation was performed for seven minutes at o 72°C, followed by a hold at 4°C. The resulting amplicon </w:t>
      </w:r>
      <w:proofErr w:type="gramStart"/>
      <w:r w:rsidRPr="00D40FEB">
        <w:t>( expected</w:t>
      </w:r>
      <w:proofErr w:type="gramEnd"/>
      <w:r w:rsidRPr="00D40FEB">
        <w:t xml:space="preserve"> size 862 bp) was visualized in 1% agarose gel and staining the gel with ethidium bromide (10 mg/ml</w:t>
      </w:r>
      <w:proofErr w:type="gramStart"/>
      <w:r w:rsidRPr="00D40FEB">
        <w:t>) .</w:t>
      </w:r>
      <w:proofErr w:type="gramEnd"/>
      <w:r w:rsidRPr="00D40FEB">
        <w:t xml:space="preserve"> The amplified products were subjected to restriction endonuclease </w:t>
      </w:r>
      <w:proofErr w:type="spellStart"/>
      <w:r w:rsidRPr="00D40FEB">
        <w:t>NcoI</w:t>
      </w:r>
      <w:proofErr w:type="spellEnd"/>
      <w:r w:rsidRPr="00D40FEB">
        <w:t xml:space="preserve"> (New England Biolabs, UK) as restriction digestion for 2 </w:t>
      </w:r>
      <w:proofErr w:type="spellStart"/>
      <w:r w:rsidRPr="00D40FEB">
        <w:t>hrs</w:t>
      </w:r>
      <w:proofErr w:type="spellEnd"/>
      <w:r w:rsidRPr="00D40FEB">
        <w:t xml:space="preserve"> at 37°C and then resolved in 1.5% agarose gel.</w:t>
      </w:r>
    </w:p>
    <w:p w14:paraId="76456E14" w14:textId="224A235D" w:rsidR="00D40FEB" w:rsidRDefault="00D40FEB" w:rsidP="0090447F">
      <w:pPr>
        <w:pStyle w:val="Heading2"/>
      </w:pPr>
      <w:r w:rsidRPr="00D40FEB">
        <w:rPr>
          <w:bCs/>
        </w:rPr>
        <w:t xml:space="preserve">Statistical </w:t>
      </w:r>
      <w:r w:rsidR="0090447F">
        <w:rPr>
          <w:bCs/>
        </w:rPr>
        <w:t>A</w:t>
      </w:r>
      <w:r w:rsidRPr="00D40FEB">
        <w:rPr>
          <w:bCs/>
        </w:rPr>
        <w:t>nalyses</w:t>
      </w:r>
    </w:p>
    <w:p w14:paraId="30C6BB5B" w14:textId="7D1C9708" w:rsidR="00A646B3" w:rsidRPr="00075EA6" w:rsidRDefault="00D40FEB" w:rsidP="00D40FEB">
      <w:pPr>
        <w:pStyle w:val="Paragraph"/>
      </w:pPr>
      <w:r w:rsidRPr="00D40FEB">
        <w:t xml:space="preserve">The statistical analyses were conducted using SPSS, a commercial software program (version 11.5). It was deemed significant when P≤ 0.05. To test the relationships between genotypes and breast cancer risk, an odds ratio (OR) with a 95% confidence interval (CI) were </w:t>
      </w:r>
      <w:r>
        <w:t>used too</w:t>
      </w:r>
      <w:r w:rsidR="00346A9D" w:rsidRPr="00075EA6">
        <w:t xml:space="preserve">. </w:t>
      </w:r>
    </w:p>
    <w:p w14:paraId="6401B72D" w14:textId="0FFCC0B0" w:rsidR="0039376F" w:rsidRPr="00075EA6" w:rsidRDefault="00D40FEB" w:rsidP="00D40FEB">
      <w:pPr>
        <w:pStyle w:val="Heading1"/>
        <w:rPr>
          <w:caps w:val="0"/>
          <w:lang w:val="en-GB" w:eastAsia="en-GB"/>
        </w:rPr>
      </w:pPr>
      <w:r w:rsidRPr="00D40FEB">
        <w:rPr>
          <w:bCs/>
        </w:rPr>
        <w:lastRenderedPageBreak/>
        <w:t>Results</w:t>
      </w:r>
    </w:p>
    <w:p w14:paraId="2C6C87A7" w14:textId="0FC88C13" w:rsidR="009E5BA1" w:rsidRPr="00075EA6" w:rsidRDefault="00D40FEB" w:rsidP="00D40FEB">
      <w:pPr>
        <w:pStyle w:val="Heading2"/>
      </w:pPr>
      <w:r w:rsidRPr="00D40FEB">
        <w:t>Characteristics of Patients</w:t>
      </w:r>
      <w:r>
        <w:rPr>
          <w:lang w:val="en-GB" w:eastAsia="en-GB"/>
        </w:rPr>
        <w:t xml:space="preserve"> </w:t>
      </w:r>
    </w:p>
    <w:p w14:paraId="5A9CE97C" w14:textId="326BEBBC" w:rsidR="004E3C57" w:rsidRDefault="001B3910" w:rsidP="00D40FEB">
      <w:pPr>
        <w:pStyle w:val="Paragraph"/>
      </w:pPr>
      <w:r w:rsidRPr="001B3910">
        <w:t>Table 1</w:t>
      </w:r>
      <w:r w:rsidR="00D40FEB" w:rsidRPr="00D40FEB">
        <w:t xml:space="preserve"> </w:t>
      </w:r>
      <w:proofErr w:type="gramStart"/>
      <w:r w:rsidR="00D40FEB" w:rsidRPr="00D40FEB">
        <w:t>refer</w:t>
      </w:r>
      <w:proofErr w:type="gramEnd"/>
      <w:r w:rsidR="00D40FEB" w:rsidRPr="00D40FEB">
        <w:t xml:space="preserve"> to the features of the patients, revealing that 36 out of 90 individuals (40%) were below 50 years of </w:t>
      </w:r>
      <w:proofErr w:type="gramStart"/>
      <w:r w:rsidR="00D40FEB" w:rsidRPr="00D40FEB">
        <w:t>the age</w:t>
      </w:r>
      <w:proofErr w:type="gramEnd"/>
      <w:r w:rsidR="00D40FEB" w:rsidRPr="00D40FEB">
        <w:t>, while a significantly higher percentage of 54 out of 90 individuals (60%) were 50 years or older (</w:t>
      </w:r>
      <w:r w:rsidR="00D40FEB" w:rsidRPr="00D40FEB">
        <w:rPr>
          <w:i/>
          <w:iCs/>
        </w:rPr>
        <w:t>P</w:t>
      </w:r>
      <w:r w:rsidR="00D40FEB" w:rsidRPr="00D40FEB">
        <w:t>≤ 0.05). This indicates a statistically significant association between advanced age and breast cancer in this cohort. All of the patients (100%) in the study were diagnosed with invasive ductal carcinoma (IND), the majority of cases (78%) classified as grade II tumors in comparison with (22%) of grade III, high statistical significant association depend on the grade (</w:t>
      </w:r>
      <w:r w:rsidR="00D40FEB" w:rsidRPr="00D40FEB">
        <w:rPr>
          <w:i/>
          <w:iCs/>
        </w:rPr>
        <w:t>P</w:t>
      </w:r>
      <w:r w:rsidR="00D40FEB" w:rsidRPr="00D40FEB">
        <w:t>≤ 0.05), there is a notably higher incidence of T2NM (54/90 or 60%) with high statistically significant association (</w:t>
      </w:r>
      <w:r w:rsidR="00D40FEB" w:rsidRPr="00D40FEB">
        <w:rPr>
          <w:i/>
          <w:iCs/>
        </w:rPr>
        <w:t>P</w:t>
      </w:r>
      <w:r w:rsidR="00D40FEB" w:rsidRPr="00D40FEB">
        <w:t xml:space="preserve"> ≤ 0.05),while no significant relation between breast cancer and  lymph node metastasis (</w:t>
      </w:r>
      <w:r w:rsidR="00D40FEB" w:rsidRPr="00D40FEB">
        <w:rPr>
          <w:i/>
          <w:iCs/>
        </w:rPr>
        <w:t>P</w:t>
      </w:r>
      <w:r w:rsidR="00D40FEB" w:rsidRPr="00D40FEB">
        <w:t xml:space="preserve"> 0.424). The classification based on hormonal status reveals positive results (</w:t>
      </w:r>
      <w:r w:rsidR="00D40FEB" w:rsidRPr="00D40FEB">
        <w:rPr>
          <w:i/>
          <w:iCs/>
        </w:rPr>
        <w:t>P</w:t>
      </w:r>
      <w:r w:rsidR="00D40FEB" w:rsidRPr="00D40FEB">
        <w:t>≤ 0.05) in 82% (74/90), 70% (63/90), of patients for estrogen receptor (ER), progesterone receptor (PR) respectively</w:t>
      </w:r>
      <w:r w:rsidR="009B7671" w:rsidRPr="00075EA6">
        <w:t>:</w:t>
      </w:r>
    </w:p>
    <w:p w14:paraId="343672FD" w14:textId="77777777" w:rsidR="00CB7005" w:rsidRDefault="00CB7005" w:rsidP="00D40FEB">
      <w:pPr>
        <w:pStyle w:val="Paragraph"/>
      </w:pPr>
    </w:p>
    <w:tbl>
      <w:tblPr>
        <w:tblStyle w:val="TableGrid"/>
        <w:tblW w:w="0" w:type="auto"/>
        <w:jc w:val="center"/>
        <w:tblBorders>
          <w:left w:val="none" w:sz="0" w:space="0" w:color="auto"/>
          <w:right w:val="none" w:sz="0" w:space="0" w:color="auto"/>
          <w:insideH w:val="none" w:sz="0" w:space="0" w:color="auto"/>
        </w:tblBorders>
        <w:tblLook w:val="04A0" w:firstRow="1" w:lastRow="0" w:firstColumn="1" w:lastColumn="0" w:noHBand="0" w:noVBand="1"/>
      </w:tblPr>
      <w:tblGrid>
        <w:gridCol w:w="1248"/>
        <w:gridCol w:w="1332"/>
        <w:gridCol w:w="1051"/>
        <w:gridCol w:w="939"/>
      </w:tblGrid>
      <w:tr w:rsidR="00B71E1A" w:rsidRPr="00FF7B72" w14:paraId="3CEA3090" w14:textId="77777777" w:rsidTr="00993068">
        <w:trPr>
          <w:trHeight w:val="70"/>
          <w:jc w:val="center"/>
        </w:trPr>
        <w:tc>
          <w:tcPr>
            <w:tcW w:w="0" w:type="auto"/>
            <w:gridSpan w:val="4"/>
            <w:tcBorders>
              <w:top w:val="nil"/>
              <w:bottom w:val="single" w:sz="4" w:space="0" w:color="auto"/>
            </w:tcBorders>
          </w:tcPr>
          <w:p w14:paraId="223095A9" w14:textId="77777777" w:rsidR="00B71E1A" w:rsidRPr="00373794" w:rsidRDefault="00B71E1A" w:rsidP="00993068">
            <w:pPr>
              <w:pStyle w:val="TableCaption"/>
              <w:rPr>
                <w:rFonts w:asciiTheme="majorBidi" w:hAnsiTheme="majorBidi" w:cstheme="majorBidi"/>
              </w:rPr>
            </w:pPr>
            <w:r w:rsidRPr="00373794">
              <w:rPr>
                <w:rFonts w:asciiTheme="majorBidi" w:hAnsiTheme="majorBidi" w:cstheme="majorBidi"/>
                <w:b/>
                <w:bCs/>
              </w:rPr>
              <w:t>TABLE 1.</w:t>
            </w:r>
            <w:r w:rsidRPr="00373794">
              <w:rPr>
                <w:rFonts w:asciiTheme="majorBidi" w:hAnsiTheme="majorBidi" w:cstheme="majorBidi"/>
              </w:rPr>
              <w:t xml:space="preserve"> Characteristics of </w:t>
            </w:r>
            <w:proofErr w:type="gramStart"/>
            <w:r w:rsidRPr="00373794">
              <w:rPr>
                <w:rFonts w:asciiTheme="majorBidi" w:hAnsiTheme="majorBidi" w:cstheme="majorBidi"/>
              </w:rPr>
              <w:t>the patients</w:t>
            </w:r>
            <w:proofErr w:type="gramEnd"/>
            <w:r w:rsidRPr="00373794">
              <w:rPr>
                <w:rFonts w:asciiTheme="majorBidi" w:hAnsiTheme="majorBidi" w:cstheme="majorBidi"/>
              </w:rPr>
              <w:t xml:space="preserve"> with Breast cancer</w:t>
            </w:r>
          </w:p>
        </w:tc>
      </w:tr>
      <w:tr w:rsidR="00B71E1A" w:rsidRPr="00FF7B72" w14:paraId="65CE0B6E" w14:textId="77777777" w:rsidTr="00993068">
        <w:trPr>
          <w:trHeight w:val="70"/>
          <w:jc w:val="center"/>
        </w:trPr>
        <w:tc>
          <w:tcPr>
            <w:tcW w:w="0" w:type="auto"/>
            <w:gridSpan w:val="2"/>
            <w:tcBorders>
              <w:top w:val="single" w:sz="4" w:space="0" w:color="auto"/>
              <w:bottom w:val="single" w:sz="4" w:space="0" w:color="auto"/>
              <w:right w:val="nil"/>
            </w:tcBorders>
          </w:tcPr>
          <w:p w14:paraId="7F55D8AE" w14:textId="77777777" w:rsidR="00B71E1A" w:rsidRPr="00373794" w:rsidRDefault="00B71E1A" w:rsidP="00993068">
            <w:pPr>
              <w:jc w:val="center"/>
              <w:rPr>
                <w:rFonts w:asciiTheme="majorBidi" w:hAnsiTheme="majorBidi" w:cstheme="majorBidi"/>
                <w:b/>
                <w:bCs/>
                <w:sz w:val="18"/>
                <w:szCs w:val="18"/>
              </w:rPr>
            </w:pPr>
            <w:r w:rsidRPr="00373794">
              <w:rPr>
                <w:rFonts w:asciiTheme="majorBidi" w:hAnsiTheme="majorBidi" w:cstheme="majorBidi"/>
                <w:b/>
                <w:bCs/>
                <w:sz w:val="18"/>
                <w:szCs w:val="18"/>
              </w:rPr>
              <w:t>Characteristics of Patients</w:t>
            </w:r>
          </w:p>
        </w:tc>
        <w:tc>
          <w:tcPr>
            <w:tcW w:w="0" w:type="auto"/>
            <w:tcBorders>
              <w:top w:val="single" w:sz="4" w:space="0" w:color="auto"/>
              <w:left w:val="nil"/>
              <w:bottom w:val="single" w:sz="4" w:space="0" w:color="auto"/>
              <w:right w:val="nil"/>
            </w:tcBorders>
          </w:tcPr>
          <w:p w14:paraId="1B667948" w14:textId="77777777" w:rsidR="00B71E1A" w:rsidRPr="00373794" w:rsidRDefault="00B71E1A" w:rsidP="00993068">
            <w:pPr>
              <w:jc w:val="center"/>
              <w:rPr>
                <w:rFonts w:asciiTheme="majorBidi" w:hAnsiTheme="majorBidi" w:cstheme="majorBidi"/>
                <w:b/>
                <w:bCs/>
                <w:sz w:val="18"/>
                <w:szCs w:val="18"/>
              </w:rPr>
            </w:pPr>
            <w:proofErr w:type="gramStart"/>
            <w:r w:rsidRPr="00373794">
              <w:rPr>
                <w:rFonts w:asciiTheme="majorBidi" w:hAnsiTheme="majorBidi" w:cstheme="majorBidi"/>
                <w:b/>
                <w:bCs/>
                <w:sz w:val="18"/>
                <w:szCs w:val="18"/>
              </w:rPr>
              <w:t>No.(</w:t>
            </w:r>
            <w:proofErr w:type="gramEnd"/>
            <w:r w:rsidRPr="00373794">
              <w:rPr>
                <w:rFonts w:asciiTheme="majorBidi" w:hAnsiTheme="majorBidi" w:cstheme="majorBidi"/>
                <w:b/>
                <w:bCs/>
                <w:sz w:val="18"/>
                <w:szCs w:val="18"/>
              </w:rPr>
              <w:t>%)</w:t>
            </w:r>
          </w:p>
        </w:tc>
        <w:tc>
          <w:tcPr>
            <w:tcW w:w="0" w:type="auto"/>
            <w:tcBorders>
              <w:top w:val="single" w:sz="4" w:space="0" w:color="auto"/>
              <w:left w:val="nil"/>
              <w:bottom w:val="single" w:sz="4" w:space="0" w:color="auto"/>
            </w:tcBorders>
          </w:tcPr>
          <w:p w14:paraId="4547928D" w14:textId="77777777" w:rsidR="00B71E1A" w:rsidRPr="00373794" w:rsidRDefault="00B71E1A" w:rsidP="00993068">
            <w:pPr>
              <w:jc w:val="center"/>
              <w:rPr>
                <w:rFonts w:asciiTheme="majorBidi" w:hAnsiTheme="majorBidi" w:cstheme="majorBidi"/>
                <w:b/>
                <w:bCs/>
                <w:sz w:val="18"/>
                <w:szCs w:val="18"/>
              </w:rPr>
            </w:pPr>
            <w:r w:rsidRPr="00373794">
              <w:rPr>
                <w:rFonts w:asciiTheme="majorBidi" w:hAnsiTheme="majorBidi" w:cstheme="majorBidi"/>
                <w:b/>
                <w:bCs/>
                <w:i/>
                <w:iCs/>
                <w:sz w:val="18"/>
                <w:szCs w:val="18"/>
              </w:rPr>
              <w:t>P</w:t>
            </w:r>
            <w:r w:rsidRPr="00373794">
              <w:rPr>
                <w:rFonts w:asciiTheme="majorBidi" w:hAnsiTheme="majorBidi" w:cstheme="majorBidi"/>
                <w:b/>
                <w:bCs/>
                <w:sz w:val="18"/>
                <w:szCs w:val="18"/>
              </w:rPr>
              <w:t>-Value</w:t>
            </w:r>
          </w:p>
        </w:tc>
      </w:tr>
      <w:tr w:rsidR="00B71E1A" w:rsidRPr="00FF7B72" w14:paraId="73A29BDD" w14:textId="77777777" w:rsidTr="00993068">
        <w:trPr>
          <w:trHeight w:val="70"/>
          <w:jc w:val="center"/>
        </w:trPr>
        <w:tc>
          <w:tcPr>
            <w:tcW w:w="0" w:type="auto"/>
            <w:vMerge w:val="restart"/>
            <w:tcBorders>
              <w:top w:val="single" w:sz="4" w:space="0" w:color="auto"/>
              <w:bottom w:val="nil"/>
              <w:right w:val="nil"/>
            </w:tcBorders>
          </w:tcPr>
          <w:p w14:paraId="2C995D7E" w14:textId="77777777" w:rsidR="00B71E1A" w:rsidRPr="00373794" w:rsidRDefault="00B71E1A" w:rsidP="00993068">
            <w:pPr>
              <w:jc w:val="center"/>
              <w:rPr>
                <w:rFonts w:asciiTheme="majorBidi" w:hAnsiTheme="majorBidi" w:cstheme="majorBidi"/>
                <w:sz w:val="18"/>
                <w:szCs w:val="18"/>
              </w:rPr>
            </w:pPr>
            <w:r w:rsidRPr="00373794">
              <w:rPr>
                <w:rFonts w:asciiTheme="majorBidi" w:hAnsiTheme="majorBidi" w:cstheme="majorBidi"/>
                <w:sz w:val="18"/>
                <w:szCs w:val="18"/>
              </w:rPr>
              <w:t>Age</w:t>
            </w:r>
          </w:p>
        </w:tc>
        <w:tc>
          <w:tcPr>
            <w:tcW w:w="0" w:type="auto"/>
            <w:tcBorders>
              <w:top w:val="single" w:sz="4" w:space="0" w:color="auto"/>
              <w:left w:val="nil"/>
              <w:bottom w:val="nil"/>
              <w:right w:val="nil"/>
            </w:tcBorders>
          </w:tcPr>
          <w:p w14:paraId="12A47F25" w14:textId="77777777" w:rsidR="00B71E1A" w:rsidRPr="00373794" w:rsidRDefault="00B71E1A" w:rsidP="00993068">
            <w:pPr>
              <w:jc w:val="center"/>
              <w:rPr>
                <w:rFonts w:asciiTheme="majorBidi" w:hAnsiTheme="majorBidi" w:cstheme="majorBidi"/>
                <w:sz w:val="18"/>
                <w:szCs w:val="18"/>
              </w:rPr>
            </w:pPr>
            <w:r w:rsidRPr="00373794">
              <w:rPr>
                <w:rFonts w:asciiTheme="majorBidi" w:hAnsiTheme="majorBidi" w:cstheme="majorBidi"/>
                <w:sz w:val="18"/>
                <w:szCs w:val="18"/>
              </w:rPr>
              <w:t>Less 50</w:t>
            </w:r>
          </w:p>
        </w:tc>
        <w:tc>
          <w:tcPr>
            <w:tcW w:w="0" w:type="auto"/>
            <w:tcBorders>
              <w:top w:val="single" w:sz="4" w:space="0" w:color="auto"/>
              <w:left w:val="nil"/>
              <w:bottom w:val="nil"/>
              <w:right w:val="nil"/>
            </w:tcBorders>
          </w:tcPr>
          <w:p w14:paraId="4BAE7626" w14:textId="77777777" w:rsidR="00B71E1A" w:rsidRPr="00373794" w:rsidRDefault="00B71E1A" w:rsidP="00993068">
            <w:pPr>
              <w:tabs>
                <w:tab w:val="left" w:pos="360"/>
                <w:tab w:val="center" w:pos="882"/>
              </w:tabs>
              <w:jc w:val="center"/>
              <w:rPr>
                <w:rFonts w:asciiTheme="majorBidi" w:hAnsiTheme="majorBidi" w:cstheme="majorBidi"/>
                <w:sz w:val="18"/>
                <w:szCs w:val="18"/>
              </w:rPr>
            </w:pPr>
            <w:r w:rsidRPr="00373794">
              <w:rPr>
                <w:rFonts w:asciiTheme="majorBidi" w:hAnsiTheme="majorBidi" w:cstheme="majorBidi"/>
                <w:sz w:val="18"/>
                <w:szCs w:val="18"/>
              </w:rPr>
              <w:t>36(40%)</w:t>
            </w:r>
          </w:p>
        </w:tc>
        <w:tc>
          <w:tcPr>
            <w:tcW w:w="0" w:type="auto"/>
            <w:vMerge w:val="restart"/>
            <w:tcBorders>
              <w:top w:val="single" w:sz="4" w:space="0" w:color="auto"/>
              <w:left w:val="nil"/>
              <w:bottom w:val="nil"/>
            </w:tcBorders>
          </w:tcPr>
          <w:p w14:paraId="7EF7631F" w14:textId="77777777" w:rsidR="00B71E1A" w:rsidRPr="00373794" w:rsidRDefault="00B71E1A" w:rsidP="00993068">
            <w:pPr>
              <w:jc w:val="center"/>
              <w:rPr>
                <w:rFonts w:asciiTheme="majorBidi" w:hAnsiTheme="majorBidi" w:cstheme="majorBidi"/>
                <w:sz w:val="18"/>
                <w:szCs w:val="18"/>
              </w:rPr>
            </w:pPr>
            <w:r w:rsidRPr="00373794">
              <w:rPr>
                <w:rFonts w:asciiTheme="majorBidi" w:hAnsiTheme="majorBidi" w:cstheme="majorBidi"/>
                <w:sz w:val="18"/>
                <w:szCs w:val="18"/>
              </w:rPr>
              <w:t>0.046</w:t>
            </w:r>
          </w:p>
        </w:tc>
      </w:tr>
      <w:tr w:rsidR="00B71E1A" w:rsidRPr="00FF7B72" w14:paraId="2C6B437F" w14:textId="77777777" w:rsidTr="00993068">
        <w:trPr>
          <w:jc w:val="center"/>
        </w:trPr>
        <w:tc>
          <w:tcPr>
            <w:tcW w:w="0" w:type="auto"/>
            <w:vMerge/>
            <w:tcBorders>
              <w:top w:val="nil"/>
              <w:bottom w:val="nil"/>
              <w:right w:val="nil"/>
            </w:tcBorders>
          </w:tcPr>
          <w:p w14:paraId="40425403" w14:textId="77777777" w:rsidR="00B71E1A" w:rsidRPr="00373794" w:rsidRDefault="00B71E1A" w:rsidP="00993068">
            <w:pPr>
              <w:jc w:val="center"/>
              <w:rPr>
                <w:rFonts w:asciiTheme="majorBidi" w:hAnsiTheme="majorBidi" w:cstheme="majorBidi"/>
                <w:b/>
                <w:bCs/>
                <w:sz w:val="18"/>
                <w:szCs w:val="18"/>
              </w:rPr>
            </w:pPr>
          </w:p>
        </w:tc>
        <w:tc>
          <w:tcPr>
            <w:tcW w:w="0" w:type="auto"/>
            <w:tcBorders>
              <w:top w:val="nil"/>
              <w:left w:val="nil"/>
              <w:bottom w:val="nil"/>
              <w:right w:val="nil"/>
            </w:tcBorders>
          </w:tcPr>
          <w:p w14:paraId="4B9DD221" w14:textId="77777777" w:rsidR="00B71E1A" w:rsidRPr="00373794" w:rsidRDefault="00B71E1A" w:rsidP="00993068">
            <w:pPr>
              <w:jc w:val="center"/>
              <w:rPr>
                <w:rFonts w:asciiTheme="majorBidi" w:hAnsiTheme="majorBidi" w:cstheme="majorBidi"/>
                <w:sz w:val="18"/>
                <w:szCs w:val="18"/>
              </w:rPr>
            </w:pPr>
            <w:r w:rsidRPr="00373794">
              <w:rPr>
                <w:rFonts w:asciiTheme="majorBidi" w:hAnsiTheme="majorBidi" w:cstheme="majorBidi"/>
                <w:sz w:val="18"/>
                <w:szCs w:val="18"/>
              </w:rPr>
              <w:t>More than 50</w:t>
            </w:r>
          </w:p>
        </w:tc>
        <w:tc>
          <w:tcPr>
            <w:tcW w:w="0" w:type="auto"/>
            <w:tcBorders>
              <w:top w:val="nil"/>
              <w:left w:val="nil"/>
              <w:bottom w:val="nil"/>
              <w:right w:val="nil"/>
            </w:tcBorders>
          </w:tcPr>
          <w:p w14:paraId="00930A11" w14:textId="77777777" w:rsidR="00B71E1A" w:rsidRPr="00373794" w:rsidRDefault="00B71E1A" w:rsidP="00993068">
            <w:pPr>
              <w:jc w:val="center"/>
              <w:rPr>
                <w:rFonts w:asciiTheme="majorBidi" w:hAnsiTheme="majorBidi" w:cstheme="majorBidi"/>
                <w:sz w:val="18"/>
                <w:szCs w:val="18"/>
              </w:rPr>
            </w:pPr>
            <w:r w:rsidRPr="00373794">
              <w:rPr>
                <w:rFonts w:asciiTheme="majorBidi" w:hAnsiTheme="majorBidi" w:cstheme="majorBidi"/>
                <w:sz w:val="18"/>
                <w:szCs w:val="18"/>
              </w:rPr>
              <w:t>54(60%)</w:t>
            </w:r>
          </w:p>
        </w:tc>
        <w:tc>
          <w:tcPr>
            <w:tcW w:w="0" w:type="auto"/>
            <w:vMerge/>
            <w:tcBorders>
              <w:top w:val="nil"/>
              <w:left w:val="nil"/>
              <w:bottom w:val="nil"/>
            </w:tcBorders>
          </w:tcPr>
          <w:p w14:paraId="23F5EBFE" w14:textId="77777777" w:rsidR="00B71E1A" w:rsidRPr="00373794" w:rsidRDefault="00B71E1A" w:rsidP="00993068">
            <w:pPr>
              <w:jc w:val="center"/>
              <w:rPr>
                <w:rFonts w:asciiTheme="majorBidi" w:hAnsiTheme="majorBidi" w:cstheme="majorBidi"/>
                <w:sz w:val="18"/>
                <w:szCs w:val="18"/>
              </w:rPr>
            </w:pPr>
          </w:p>
        </w:tc>
      </w:tr>
      <w:tr w:rsidR="00B71E1A" w:rsidRPr="00FF7B72" w14:paraId="1892E9F3" w14:textId="77777777" w:rsidTr="00993068">
        <w:trPr>
          <w:trHeight w:val="70"/>
          <w:jc w:val="center"/>
        </w:trPr>
        <w:tc>
          <w:tcPr>
            <w:tcW w:w="0" w:type="auto"/>
            <w:tcBorders>
              <w:top w:val="nil"/>
              <w:bottom w:val="nil"/>
              <w:right w:val="nil"/>
            </w:tcBorders>
          </w:tcPr>
          <w:p w14:paraId="2A092469" w14:textId="77777777" w:rsidR="00B71E1A" w:rsidRPr="00373794" w:rsidRDefault="00B71E1A" w:rsidP="00993068">
            <w:pPr>
              <w:jc w:val="center"/>
              <w:rPr>
                <w:rFonts w:asciiTheme="majorBidi" w:hAnsiTheme="majorBidi" w:cstheme="majorBidi"/>
                <w:sz w:val="18"/>
                <w:szCs w:val="18"/>
              </w:rPr>
            </w:pPr>
            <w:r w:rsidRPr="00373794">
              <w:rPr>
                <w:rFonts w:asciiTheme="majorBidi" w:hAnsiTheme="majorBidi" w:cstheme="majorBidi"/>
                <w:sz w:val="18"/>
                <w:szCs w:val="18"/>
              </w:rPr>
              <w:t>Tumor type</w:t>
            </w:r>
          </w:p>
        </w:tc>
        <w:tc>
          <w:tcPr>
            <w:tcW w:w="0" w:type="auto"/>
            <w:tcBorders>
              <w:top w:val="nil"/>
              <w:left w:val="nil"/>
              <w:bottom w:val="nil"/>
              <w:right w:val="nil"/>
            </w:tcBorders>
          </w:tcPr>
          <w:p w14:paraId="3BC693FE" w14:textId="77777777" w:rsidR="00B71E1A" w:rsidRPr="00373794" w:rsidRDefault="00B71E1A" w:rsidP="00993068">
            <w:pPr>
              <w:jc w:val="center"/>
              <w:rPr>
                <w:rFonts w:asciiTheme="majorBidi" w:hAnsiTheme="majorBidi" w:cstheme="majorBidi"/>
                <w:sz w:val="18"/>
                <w:szCs w:val="18"/>
              </w:rPr>
            </w:pPr>
            <w:r w:rsidRPr="00373794">
              <w:rPr>
                <w:rFonts w:asciiTheme="majorBidi" w:hAnsiTheme="majorBidi" w:cstheme="majorBidi"/>
                <w:sz w:val="18"/>
                <w:szCs w:val="18"/>
              </w:rPr>
              <w:t>IDC</w:t>
            </w:r>
          </w:p>
        </w:tc>
        <w:tc>
          <w:tcPr>
            <w:tcW w:w="0" w:type="auto"/>
            <w:tcBorders>
              <w:top w:val="nil"/>
              <w:left w:val="nil"/>
              <w:bottom w:val="nil"/>
              <w:right w:val="nil"/>
            </w:tcBorders>
          </w:tcPr>
          <w:p w14:paraId="4C28502D" w14:textId="77777777" w:rsidR="00B71E1A" w:rsidRPr="00373794" w:rsidRDefault="00B71E1A" w:rsidP="00993068">
            <w:pPr>
              <w:jc w:val="center"/>
              <w:rPr>
                <w:rFonts w:asciiTheme="majorBidi" w:hAnsiTheme="majorBidi" w:cstheme="majorBidi"/>
                <w:sz w:val="18"/>
                <w:szCs w:val="18"/>
              </w:rPr>
            </w:pPr>
            <w:r w:rsidRPr="00373794">
              <w:rPr>
                <w:rFonts w:asciiTheme="majorBidi" w:hAnsiTheme="majorBidi" w:cstheme="majorBidi"/>
                <w:sz w:val="18"/>
                <w:szCs w:val="18"/>
              </w:rPr>
              <w:t>90(100%)</w:t>
            </w:r>
          </w:p>
        </w:tc>
        <w:tc>
          <w:tcPr>
            <w:tcW w:w="0" w:type="auto"/>
            <w:tcBorders>
              <w:top w:val="nil"/>
              <w:left w:val="nil"/>
              <w:bottom w:val="nil"/>
            </w:tcBorders>
          </w:tcPr>
          <w:p w14:paraId="4198A8DC" w14:textId="77777777" w:rsidR="00B71E1A" w:rsidRPr="00373794" w:rsidRDefault="00B71E1A" w:rsidP="00993068">
            <w:pPr>
              <w:jc w:val="center"/>
              <w:rPr>
                <w:rFonts w:asciiTheme="majorBidi" w:hAnsiTheme="majorBidi" w:cstheme="majorBidi"/>
                <w:sz w:val="18"/>
                <w:szCs w:val="18"/>
              </w:rPr>
            </w:pPr>
          </w:p>
        </w:tc>
      </w:tr>
      <w:tr w:rsidR="00B71E1A" w:rsidRPr="00FF7B72" w14:paraId="110D3667" w14:textId="77777777" w:rsidTr="00993068">
        <w:trPr>
          <w:jc w:val="center"/>
        </w:trPr>
        <w:tc>
          <w:tcPr>
            <w:tcW w:w="0" w:type="auto"/>
            <w:vMerge w:val="restart"/>
            <w:tcBorders>
              <w:top w:val="nil"/>
              <w:bottom w:val="nil"/>
              <w:right w:val="nil"/>
            </w:tcBorders>
          </w:tcPr>
          <w:p w14:paraId="5725C394" w14:textId="77777777" w:rsidR="00B71E1A" w:rsidRPr="00373794" w:rsidRDefault="00B71E1A" w:rsidP="00993068">
            <w:pPr>
              <w:jc w:val="center"/>
              <w:rPr>
                <w:rFonts w:asciiTheme="majorBidi" w:hAnsiTheme="majorBidi" w:cstheme="majorBidi"/>
                <w:sz w:val="18"/>
                <w:szCs w:val="18"/>
              </w:rPr>
            </w:pPr>
            <w:r w:rsidRPr="00373794">
              <w:rPr>
                <w:rFonts w:asciiTheme="majorBidi" w:hAnsiTheme="majorBidi" w:cstheme="majorBidi"/>
                <w:sz w:val="18"/>
                <w:szCs w:val="18"/>
              </w:rPr>
              <w:t>Tumor Grad</w:t>
            </w:r>
          </w:p>
        </w:tc>
        <w:tc>
          <w:tcPr>
            <w:tcW w:w="0" w:type="auto"/>
            <w:tcBorders>
              <w:top w:val="nil"/>
              <w:left w:val="nil"/>
              <w:bottom w:val="nil"/>
              <w:right w:val="nil"/>
            </w:tcBorders>
          </w:tcPr>
          <w:p w14:paraId="5ECCD65C" w14:textId="77777777" w:rsidR="00B71E1A" w:rsidRPr="00373794" w:rsidRDefault="00B71E1A" w:rsidP="00993068">
            <w:pPr>
              <w:jc w:val="center"/>
              <w:rPr>
                <w:rFonts w:asciiTheme="majorBidi" w:hAnsiTheme="majorBidi" w:cstheme="majorBidi"/>
                <w:sz w:val="18"/>
                <w:szCs w:val="18"/>
              </w:rPr>
            </w:pPr>
            <w:r w:rsidRPr="00373794">
              <w:rPr>
                <w:rFonts w:asciiTheme="majorBidi" w:hAnsiTheme="majorBidi" w:cstheme="majorBidi"/>
                <w:sz w:val="18"/>
                <w:szCs w:val="18"/>
              </w:rPr>
              <w:t>II</w:t>
            </w:r>
          </w:p>
        </w:tc>
        <w:tc>
          <w:tcPr>
            <w:tcW w:w="0" w:type="auto"/>
            <w:tcBorders>
              <w:top w:val="nil"/>
              <w:left w:val="nil"/>
              <w:bottom w:val="nil"/>
              <w:right w:val="nil"/>
            </w:tcBorders>
          </w:tcPr>
          <w:p w14:paraId="73488034" w14:textId="77777777" w:rsidR="00B71E1A" w:rsidRPr="00373794" w:rsidRDefault="00B71E1A" w:rsidP="00993068">
            <w:pPr>
              <w:jc w:val="center"/>
              <w:rPr>
                <w:rFonts w:asciiTheme="majorBidi" w:hAnsiTheme="majorBidi" w:cstheme="majorBidi"/>
                <w:sz w:val="18"/>
                <w:szCs w:val="18"/>
              </w:rPr>
            </w:pPr>
            <w:r w:rsidRPr="00373794">
              <w:rPr>
                <w:rFonts w:asciiTheme="majorBidi" w:hAnsiTheme="majorBidi" w:cstheme="majorBidi"/>
                <w:sz w:val="18"/>
                <w:szCs w:val="18"/>
              </w:rPr>
              <w:t>70 (78%)</w:t>
            </w:r>
          </w:p>
        </w:tc>
        <w:tc>
          <w:tcPr>
            <w:tcW w:w="0" w:type="auto"/>
            <w:vMerge w:val="restart"/>
            <w:tcBorders>
              <w:top w:val="nil"/>
              <w:left w:val="nil"/>
              <w:bottom w:val="nil"/>
            </w:tcBorders>
          </w:tcPr>
          <w:p w14:paraId="3F6B439A" w14:textId="77777777" w:rsidR="00B71E1A" w:rsidRPr="00373794" w:rsidRDefault="00B71E1A" w:rsidP="00993068">
            <w:pPr>
              <w:jc w:val="center"/>
              <w:rPr>
                <w:rFonts w:asciiTheme="majorBidi" w:hAnsiTheme="majorBidi" w:cstheme="majorBidi"/>
                <w:sz w:val="18"/>
                <w:szCs w:val="18"/>
                <w:vertAlign w:val="superscript"/>
              </w:rPr>
            </w:pPr>
            <w:r w:rsidRPr="00373794">
              <w:rPr>
                <w:rFonts w:asciiTheme="majorBidi" w:hAnsiTheme="majorBidi" w:cstheme="majorBidi"/>
                <w:sz w:val="18"/>
                <w:szCs w:val="18"/>
              </w:rPr>
              <w:t>≤ 0.05</w:t>
            </w:r>
          </w:p>
        </w:tc>
      </w:tr>
      <w:tr w:rsidR="00B71E1A" w:rsidRPr="00FF7B72" w14:paraId="6214110C" w14:textId="77777777" w:rsidTr="00993068">
        <w:trPr>
          <w:trHeight w:val="227"/>
          <w:jc w:val="center"/>
        </w:trPr>
        <w:tc>
          <w:tcPr>
            <w:tcW w:w="0" w:type="auto"/>
            <w:vMerge/>
            <w:tcBorders>
              <w:top w:val="nil"/>
              <w:bottom w:val="nil"/>
              <w:right w:val="nil"/>
            </w:tcBorders>
          </w:tcPr>
          <w:p w14:paraId="42ECBD86" w14:textId="77777777" w:rsidR="00B71E1A" w:rsidRPr="00373794" w:rsidRDefault="00B71E1A" w:rsidP="00993068">
            <w:pPr>
              <w:jc w:val="center"/>
              <w:rPr>
                <w:rFonts w:asciiTheme="majorBidi" w:hAnsiTheme="majorBidi" w:cstheme="majorBidi"/>
                <w:sz w:val="18"/>
                <w:szCs w:val="18"/>
              </w:rPr>
            </w:pPr>
          </w:p>
        </w:tc>
        <w:tc>
          <w:tcPr>
            <w:tcW w:w="0" w:type="auto"/>
            <w:tcBorders>
              <w:top w:val="nil"/>
              <w:left w:val="nil"/>
              <w:bottom w:val="nil"/>
              <w:right w:val="nil"/>
            </w:tcBorders>
          </w:tcPr>
          <w:p w14:paraId="0F2F88B0" w14:textId="77777777" w:rsidR="00B71E1A" w:rsidRPr="00373794" w:rsidRDefault="00B71E1A" w:rsidP="00993068">
            <w:pPr>
              <w:jc w:val="center"/>
              <w:rPr>
                <w:rFonts w:asciiTheme="majorBidi" w:hAnsiTheme="majorBidi" w:cstheme="majorBidi"/>
                <w:sz w:val="18"/>
                <w:szCs w:val="18"/>
              </w:rPr>
            </w:pPr>
            <w:r w:rsidRPr="00373794">
              <w:rPr>
                <w:rFonts w:asciiTheme="majorBidi" w:hAnsiTheme="majorBidi" w:cstheme="majorBidi"/>
                <w:sz w:val="18"/>
                <w:szCs w:val="18"/>
              </w:rPr>
              <w:t>III</w:t>
            </w:r>
          </w:p>
        </w:tc>
        <w:tc>
          <w:tcPr>
            <w:tcW w:w="0" w:type="auto"/>
            <w:tcBorders>
              <w:top w:val="nil"/>
              <w:left w:val="nil"/>
              <w:bottom w:val="nil"/>
              <w:right w:val="nil"/>
            </w:tcBorders>
          </w:tcPr>
          <w:p w14:paraId="2D9B7499" w14:textId="77777777" w:rsidR="00B71E1A" w:rsidRPr="00373794" w:rsidRDefault="00B71E1A" w:rsidP="00993068">
            <w:pPr>
              <w:jc w:val="center"/>
              <w:rPr>
                <w:rFonts w:asciiTheme="majorBidi" w:hAnsiTheme="majorBidi" w:cstheme="majorBidi"/>
                <w:sz w:val="18"/>
                <w:szCs w:val="18"/>
              </w:rPr>
            </w:pPr>
            <w:r w:rsidRPr="00373794">
              <w:rPr>
                <w:rFonts w:asciiTheme="majorBidi" w:hAnsiTheme="majorBidi" w:cstheme="majorBidi"/>
                <w:sz w:val="18"/>
                <w:szCs w:val="18"/>
              </w:rPr>
              <w:t>20(22%)</w:t>
            </w:r>
          </w:p>
        </w:tc>
        <w:tc>
          <w:tcPr>
            <w:tcW w:w="0" w:type="auto"/>
            <w:vMerge/>
            <w:tcBorders>
              <w:top w:val="nil"/>
              <w:left w:val="nil"/>
              <w:bottom w:val="nil"/>
            </w:tcBorders>
          </w:tcPr>
          <w:p w14:paraId="3FD4CEF3" w14:textId="77777777" w:rsidR="00B71E1A" w:rsidRPr="00373794" w:rsidRDefault="00B71E1A" w:rsidP="00993068">
            <w:pPr>
              <w:jc w:val="center"/>
              <w:rPr>
                <w:rFonts w:asciiTheme="majorBidi" w:hAnsiTheme="majorBidi" w:cstheme="majorBidi"/>
                <w:sz w:val="18"/>
                <w:szCs w:val="18"/>
              </w:rPr>
            </w:pPr>
          </w:p>
        </w:tc>
      </w:tr>
      <w:tr w:rsidR="00B71E1A" w:rsidRPr="00FF7B72" w14:paraId="13348B1A" w14:textId="77777777" w:rsidTr="00993068">
        <w:trPr>
          <w:trHeight w:val="70"/>
          <w:jc w:val="center"/>
        </w:trPr>
        <w:tc>
          <w:tcPr>
            <w:tcW w:w="0" w:type="auto"/>
            <w:vMerge w:val="restart"/>
            <w:tcBorders>
              <w:top w:val="nil"/>
              <w:bottom w:val="nil"/>
              <w:right w:val="nil"/>
            </w:tcBorders>
          </w:tcPr>
          <w:p w14:paraId="36DEF238" w14:textId="77777777" w:rsidR="00B71E1A" w:rsidRPr="00373794" w:rsidRDefault="00B71E1A" w:rsidP="00993068">
            <w:pPr>
              <w:jc w:val="center"/>
              <w:rPr>
                <w:rFonts w:asciiTheme="majorBidi" w:hAnsiTheme="majorBidi" w:cstheme="majorBidi"/>
                <w:sz w:val="18"/>
                <w:szCs w:val="18"/>
              </w:rPr>
            </w:pPr>
            <w:r w:rsidRPr="00373794">
              <w:rPr>
                <w:rFonts w:asciiTheme="majorBidi" w:hAnsiTheme="majorBidi" w:cstheme="majorBidi"/>
                <w:sz w:val="18"/>
                <w:szCs w:val="18"/>
              </w:rPr>
              <w:t>TNM</w:t>
            </w:r>
          </w:p>
        </w:tc>
        <w:tc>
          <w:tcPr>
            <w:tcW w:w="0" w:type="auto"/>
            <w:tcBorders>
              <w:top w:val="nil"/>
              <w:left w:val="nil"/>
              <w:bottom w:val="nil"/>
              <w:right w:val="nil"/>
            </w:tcBorders>
          </w:tcPr>
          <w:p w14:paraId="21FF27A9" w14:textId="77777777" w:rsidR="00B71E1A" w:rsidRPr="00373794" w:rsidRDefault="00B71E1A" w:rsidP="00993068">
            <w:pPr>
              <w:jc w:val="center"/>
              <w:rPr>
                <w:rFonts w:asciiTheme="majorBidi" w:hAnsiTheme="majorBidi" w:cstheme="majorBidi"/>
                <w:sz w:val="18"/>
                <w:szCs w:val="18"/>
              </w:rPr>
            </w:pPr>
            <w:r w:rsidRPr="00373794">
              <w:rPr>
                <w:rFonts w:asciiTheme="majorBidi" w:eastAsia="Calibri" w:hAnsiTheme="majorBidi" w:cstheme="majorBidi"/>
                <w:sz w:val="18"/>
                <w:szCs w:val="18"/>
              </w:rPr>
              <w:t>T1NM</w:t>
            </w:r>
          </w:p>
        </w:tc>
        <w:tc>
          <w:tcPr>
            <w:tcW w:w="0" w:type="auto"/>
            <w:tcBorders>
              <w:top w:val="nil"/>
              <w:left w:val="nil"/>
              <w:bottom w:val="nil"/>
              <w:right w:val="nil"/>
            </w:tcBorders>
          </w:tcPr>
          <w:p w14:paraId="54A145A7" w14:textId="77777777" w:rsidR="00B71E1A" w:rsidRPr="00373794" w:rsidRDefault="00B71E1A" w:rsidP="00993068">
            <w:pPr>
              <w:jc w:val="center"/>
              <w:rPr>
                <w:rFonts w:asciiTheme="majorBidi" w:hAnsiTheme="majorBidi" w:cstheme="majorBidi"/>
                <w:sz w:val="18"/>
                <w:szCs w:val="18"/>
              </w:rPr>
            </w:pPr>
            <w:r w:rsidRPr="00373794">
              <w:rPr>
                <w:rFonts w:asciiTheme="majorBidi" w:hAnsiTheme="majorBidi" w:cstheme="majorBidi"/>
                <w:sz w:val="18"/>
                <w:szCs w:val="18"/>
              </w:rPr>
              <w:t>22(24%)</w:t>
            </w:r>
          </w:p>
        </w:tc>
        <w:tc>
          <w:tcPr>
            <w:tcW w:w="0" w:type="auto"/>
            <w:vMerge w:val="restart"/>
            <w:tcBorders>
              <w:top w:val="nil"/>
              <w:left w:val="nil"/>
              <w:bottom w:val="nil"/>
            </w:tcBorders>
          </w:tcPr>
          <w:p w14:paraId="49F9E78B" w14:textId="77777777" w:rsidR="00B71E1A" w:rsidRPr="00373794" w:rsidRDefault="00B71E1A" w:rsidP="00993068">
            <w:pPr>
              <w:jc w:val="center"/>
              <w:rPr>
                <w:rFonts w:asciiTheme="majorBidi" w:hAnsiTheme="majorBidi" w:cstheme="majorBidi"/>
                <w:sz w:val="18"/>
                <w:szCs w:val="18"/>
                <w:vertAlign w:val="superscript"/>
              </w:rPr>
            </w:pPr>
            <w:r w:rsidRPr="00373794">
              <w:rPr>
                <w:rFonts w:asciiTheme="majorBidi" w:hAnsiTheme="majorBidi" w:cstheme="majorBidi"/>
                <w:sz w:val="18"/>
                <w:szCs w:val="18"/>
              </w:rPr>
              <w:t>≤ 0.05</w:t>
            </w:r>
          </w:p>
        </w:tc>
      </w:tr>
      <w:tr w:rsidR="00B71E1A" w:rsidRPr="00FF7B72" w14:paraId="18376967" w14:textId="77777777" w:rsidTr="00993068">
        <w:trPr>
          <w:trHeight w:val="70"/>
          <w:jc w:val="center"/>
        </w:trPr>
        <w:tc>
          <w:tcPr>
            <w:tcW w:w="0" w:type="auto"/>
            <w:vMerge/>
            <w:tcBorders>
              <w:top w:val="nil"/>
              <w:bottom w:val="nil"/>
              <w:right w:val="nil"/>
            </w:tcBorders>
          </w:tcPr>
          <w:p w14:paraId="61C9227C" w14:textId="77777777" w:rsidR="00B71E1A" w:rsidRPr="00373794" w:rsidRDefault="00B71E1A" w:rsidP="00993068">
            <w:pPr>
              <w:jc w:val="center"/>
              <w:rPr>
                <w:rFonts w:asciiTheme="majorBidi" w:hAnsiTheme="majorBidi" w:cstheme="majorBidi"/>
                <w:sz w:val="18"/>
                <w:szCs w:val="18"/>
              </w:rPr>
            </w:pPr>
          </w:p>
        </w:tc>
        <w:tc>
          <w:tcPr>
            <w:tcW w:w="0" w:type="auto"/>
            <w:tcBorders>
              <w:top w:val="nil"/>
              <w:left w:val="nil"/>
              <w:bottom w:val="nil"/>
              <w:right w:val="nil"/>
            </w:tcBorders>
          </w:tcPr>
          <w:p w14:paraId="7C3CD82B" w14:textId="77777777" w:rsidR="00B71E1A" w:rsidRPr="00373794" w:rsidRDefault="00B71E1A" w:rsidP="00993068">
            <w:pPr>
              <w:jc w:val="center"/>
              <w:rPr>
                <w:rFonts w:asciiTheme="majorBidi" w:eastAsia="Calibri" w:hAnsiTheme="majorBidi" w:cstheme="majorBidi"/>
                <w:sz w:val="18"/>
                <w:szCs w:val="18"/>
              </w:rPr>
            </w:pPr>
            <w:r w:rsidRPr="00373794">
              <w:rPr>
                <w:rFonts w:asciiTheme="majorBidi" w:eastAsia="Calibri" w:hAnsiTheme="majorBidi" w:cstheme="majorBidi"/>
                <w:sz w:val="18"/>
                <w:szCs w:val="18"/>
              </w:rPr>
              <w:t>T2NM</w:t>
            </w:r>
          </w:p>
        </w:tc>
        <w:tc>
          <w:tcPr>
            <w:tcW w:w="0" w:type="auto"/>
            <w:tcBorders>
              <w:top w:val="nil"/>
              <w:left w:val="nil"/>
              <w:bottom w:val="nil"/>
              <w:right w:val="nil"/>
            </w:tcBorders>
          </w:tcPr>
          <w:p w14:paraId="453DE3C1" w14:textId="77777777" w:rsidR="00B71E1A" w:rsidRPr="00373794" w:rsidRDefault="00B71E1A" w:rsidP="00993068">
            <w:pPr>
              <w:jc w:val="center"/>
              <w:rPr>
                <w:rFonts w:asciiTheme="majorBidi" w:hAnsiTheme="majorBidi" w:cstheme="majorBidi"/>
                <w:sz w:val="18"/>
                <w:szCs w:val="18"/>
              </w:rPr>
            </w:pPr>
            <w:r w:rsidRPr="00373794">
              <w:rPr>
                <w:rFonts w:asciiTheme="majorBidi" w:hAnsiTheme="majorBidi" w:cstheme="majorBidi"/>
                <w:sz w:val="18"/>
                <w:szCs w:val="18"/>
              </w:rPr>
              <w:t>54(60%)</w:t>
            </w:r>
          </w:p>
        </w:tc>
        <w:tc>
          <w:tcPr>
            <w:tcW w:w="0" w:type="auto"/>
            <w:vMerge/>
            <w:tcBorders>
              <w:top w:val="nil"/>
              <w:left w:val="nil"/>
              <w:bottom w:val="nil"/>
            </w:tcBorders>
          </w:tcPr>
          <w:p w14:paraId="72573FCC" w14:textId="77777777" w:rsidR="00B71E1A" w:rsidRPr="00373794" w:rsidRDefault="00B71E1A" w:rsidP="00993068">
            <w:pPr>
              <w:jc w:val="center"/>
              <w:rPr>
                <w:rFonts w:asciiTheme="majorBidi" w:hAnsiTheme="majorBidi" w:cstheme="majorBidi"/>
                <w:sz w:val="18"/>
                <w:szCs w:val="18"/>
              </w:rPr>
            </w:pPr>
          </w:p>
        </w:tc>
      </w:tr>
      <w:tr w:rsidR="00B71E1A" w:rsidRPr="00FF7B72" w14:paraId="17B6C1F2" w14:textId="77777777" w:rsidTr="00993068">
        <w:trPr>
          <w:trHeight w:val="70"/>
          <w:jc w:val="center"/>
        </w:trPr>
        <w:tc>
          <w:tcPr>
            <w:tcW w:w="0" w:type="auto"/>
            <w:vMerge/>
            <w:tcBorders>
              <w:top w:val="nil"/>
              <w:bottom w:val="nil"/>
              <w:right w:val="nil"/>
            </w:tcBorders>
          </w:tcPr>
          <w:p w14:paraId="20D3444D" w14:textId="77777777" w:rsidR="00B71E1A" w:rsidRPr="00373794" w:rsidRDefault="00B71E1A" w:rsidP="00993068">
            <w:pPr>
              <w:jc w:val="center"/>
              <w:rPr>
                <w:rFonts w:asciiTheme="majorBidi" w:hAnsiTheme="majorBidi" w:cstheme="majorBidi"/>
                <w:sz w:val="18"/>
                <w:szCs w:val="18"/>
              </w:rPr>
            </w:pPr>
          </w:p>
        </w:tc>
        <w:tc>
          <w:tcPr>
            <w:tcW w:w="0" w:type="auto"/>
            <w:tcBorders>
              <w:top w:val="nil"/>
              <w:left w:val="nil"/>
              <w:bottom w:val="nil"/>
              <w:right w:val="nil"/>
            </w:tcBorders>
          </w:tcPr>
          <w:p w14:paraId="63EFF412" w14:textId="77777777" w:rsidR="00B71E1A" w:rsidRPr="00373794" w:rsidRDefault="00B71E1A" w:rsidP="00993068">
            <w:pPr>
              <w:jc w:val="center"/>
              <w:rPr>
                <w:rFonts w:asciiTheme="majorBidi" w:eastAsia="Calibri" w:hAnsiTheme="majorBidi" w:cstheme="majorBidi"/>
                <w:sz w:val="18"/>
                <w:szCs w:val="18"/>
              </w:rPr>
            </w:pPr>
            <w:r w:rsidRPr="00373794">
              <w:rPr>
                <w:rFonts w:asciiTheme="majorBidi" w:eastAsia="Calibri" w:hAnsiTheme="majorBidi" w:cstheme="majorBidi"/>
                <w:sz w:val="18"/>
                <w:szCs w:val="18"/>
              </w:rPr>
              <w:t>T3NM</w:t>
            </w:r>
          </w:p>
        </w:tc>
        <w:tc>
          <w:tcPr>
            <w:tcW w:w="0" w:type="auto"/>
            <w:tcBorders>
              <w:top w:val="nil"/>
              <w:left w:val="nil"/>
              <w:bottom w:val="nil"/>
              <w:right w:val="nil"/>
            </w:tcBorders>
          </w:tcPr>
          <w:p w14:paraId="077335ED" w14:textId="77777777" w:rsidR="00B71E1A" w:rsidRPr="00373794" w:rsidRDefault="00B71E1A" w:rsidP="00993068">
            <w:pPr>
              <w:jc w:val="center"/>
              <w:rPr>
                <w:rFonts w:asciiTheme="majorBidi" w:hAnsiTheme="majorBidi" w:cstheme="majorBidi"/>
                <w:sz w:val="18"/>
                <w:szCs w:val="18"/>
              </w:rPr>
            </w:pPr>
            <w:r w:rsidRPr="00373794">
              <w:rPr>
                <w:rFonts w:asciiTheme="majorBidi" w:hAnsiTheme="majorBidi" w:cstheme="majorBidi"/>
                <w:sz w:val="18"/>
                <w:szCs w:val="18"/>
              </w:rPr>
              <w:t>10(12%)</w:t>
            </w:r>
          </w:p>
        </w:tc>
        <w:tc>
          <w:tcPr>
            <w:tcW w:w="0" w:type="auto"/>
            <w:vMerge/>
            <w:tcBorders>
              <w:top w:val="nil"/>
              <w:left w:val="nil"/>
              <w:bottom w:val="nil"/>
            </w:tcBorders>
          </w:tcPr>
          <w:p w14:paraId="69E88156" w14:textId="77777777" w:rsidR="00B71E1A" w:rsidRPr="00373794" w:rsidRDefault="00B71E1A" w:rsidP="00993068">
            <w:pPr>
              <w:jc w:val="center"/>
              <w:rPr>
                <w:rFonts w:asciiTheme="majorBidi" w:hAnsiTheme="majorBidi" w:cstheme="majorBidi"/>
                <w:sz w:val="18"/>
                <w:szCs w:val="18"/>
              </w:rPr>
            </w:pPr>
          </w:p>
        </w:tc>
      </w:tr>
      <w:tr w:rsidR="00B71E1A" w:rsidRPr="00FF7B72" w14:paraId="6E5910AC" w14:textId="77777777" w:rsidTr="00993068">
        <w:trPr>
          <w:trHeight w:val="70"/>
          <w:jc w:val="center"/>
        </w:trPr>
        <w:tc>
          <w:tcPr>
            <w:tcW w:w="0" w:type="auto"/>
            <w:vMerge/>
            <w:tcBorders>
              <w:top w:val="nil"/>
              <w:bottom w:val="nil"/>
              <w:right w:val="nil"/>
            </w:tcBorders>
          </w:tcPr>
          <w:p w14:paraId="593B2480" w14:textId="77777777" w:rsidR="00B71E1A" w:rsidRPr="00373794" w:rsidRDefault="00B71E1A" w:rsidP="00993068">
            <w:pPr>
              <w:jc w:val="center"/>
              <w:rPr>
                <w:rFonts w:asciiTheme="majorBidi" w:hAnsiTheme="majorBidi" w:cstheme="majorBidi"/>
                <w:sz w:val="18"/>
                <w:szCs w:val="18"/>
              </w:rPr>
            </w:pPr>
          </w:p>
        </w:tc>
        <w:tc>
          <w:tcPr>
            <w:tcW w:w="0" w:type="auto"/>
            <w:tcBorders>
              <w:top w:val="nil"/>
              <w:left w:val="nil"/>
              <w:bottom w:val="nil"/>
              <w:right w:val="nil"/>
            </w:tcBorders>
          </w:tcPr>
          <w:p w14:paraId="4CF41632" w14:textId="77777777" w:rsidR="00B71E1A" w:rsidRPr="00373794" w:rsidRDefault="00B71E1A" w:rsidP="00993068">
            <w:pPr>
              <w:jc w:val="center"/>
              <w:rPr>
                <w:rFonts w:asciiTheme="majorBidi" w:eastAsia="Calibri" w:hAnsiTheme="majorBidi" w:cstheme="majorBidi"/>
                <w:sz w:val="18"/>
                <w:szCs w:val="18"/>
              </w:rPr>
            </w:pPr>
            <w:r w:rsidRPr="00373794">
              <w:rPr>
                <w:rFonts w:asciiTheme="majorBidi" w:eastAsia="Calibri" w:hAnsiTheme="majorBidi" w:cstheme="majorBidi"/>
                <w:sz w:val="18"/>
                <w:szCs w:val="18"/>
              </w:rPr>
              <w:t>T4NM</w:t>
            </w:r>
          </w:p>
        </w:tc>
        <w:tc>
          <w:tcPr>
            <w:tcW w:w="0" w:type="auto"/>
            <w:tcBorders>
              <w:top w:val="nil"/>
              <w:left w:val="nil"/>
              <w:bottom w:val="nil"/>
              <w:right w:val="nil"/>
            </w:tcBorders>
          </w:tcPr>
          <w:p w14:paraId="4B0451E2" w14:textId="77777777" w:rsidR="00B71E1A" w:rsidRPr="00373794" w:rsidRDefault="00B71E1A" w:rsidP="00993068">
            <w:pPr>
              <w:jc w:val="center"/>
              <w:rPr>
                <w:rFonts w:asciiTheme="majorBidi" w:hAnsiTheme="majorBidi" w:cstheme="majorBidi"/>
                <w:sz w:val="18"/>
                <w:szCs w:val="18"/>
              </w:rPr>
            </w:pPr>
            <w:r w:rsidRPr="00373794">
              <w:rPr>
                <w:rFonts w:asciiTheme="majorBidi" w:hAnsiTheme="majorBidi" w:cstheme="majorBidi"/>
                <w:sz w:val="18"/>
                <w:szCs w:val="18"/>
              </w:rPr>
              <w:t>4(4%)</w:t>
            </w:r>
          </w:p>
        </w:tc>
        <w:tc>
          <w:tcPr>
            <w:tcW w:w="0" w:type="auto"/>
            <w:vMerge/>
            <w:tcBorders>
              <w:top w:val="nil"/>
              <w:left w:val="nil"/>
              <w:bottom w:val="nil"/>
            </w:tcBorders>
          </w:tcPr>
          <w:p w14:paraId="7FC61D25" w14:textId="77777777" w:rsidR="00B71E1A" w:rsidRPr="00373794" w:rsidRDefault="00B71E1A" w:rsidP="00993068">
            <w:pPr>
              <w:jc w:val="center"/>
              <w:rPr>
                <w:rFonts w:asciiTheme="majorBidi" w:hAnsiTheme="majorBidi" w:cstheme="majorBidi"/>
                <w:sz w:val="18"/>
                <w:szCs w:val="18"/>
              </w:rPr>
            </w:pPr>
          </w:p>
        </w:tc>
      </w:tr>
      <w:tr w:rsidR="00B71E1A" w:rsidRPr="00FF7B72" w14:paraId="6443B3EB" w14:textId="77777777" w:rsidTr="00993068">
        <w:trPr>
          <w:jc w:val="center"/>
        </w:trPr>
        <w:tc>
          <w:tcPr>
            <w:tcW w:w="0" w:type="auto"/>
            <w:vMerge w:val="restart"/>
            <w:tcBorders>
              <w:top w:val="nil"/>
              <w:bottom w:val="nil"/>
              <w:right w:val="nil"/>
            </w:tcBorders>
          </w:tcPr>
          <w:p w14:paraId="69E17677" w14:textId="77777777" w:rsidR="00B71E1A" w:rsidRPr="00373794" w:rsidRDefault="00B71E1A" w:rsidP="00993068">
            <w:pPr>
              <w:jc w:val="center"/>
              <w:rPr>
                <w:rFonts w:asciiTheme="majorBidi" w:hAnsiTheme="majorBidi" w:cstheme="majorBidi"/>
                <w:sz w:val="18"/>
                <w:szCs w:val="18"/>
              </w:rPr>
            </w:pPr>
            <w:r w:rsidRPr="00373794">
              <w:rPr>
                <w:rFonts w:asciiTheme="majorBidi" w:hAnsiTheme="majorBidi" w:cstheme="majorBidi"/>
                <w:sz w:val="18"/>
                <w:szCs w:val="18"/>
              </w:rPr>
              <w:t>LNM</w:t>
            </w:r>
          </w:p>
        </w:tc>
        <w:tc>
          <w:tcPr>
            <w:tcW w:w="0" w:type="auto"/>
            <w:tcBorders>
              <w:top w:val="nil"/>
              <w:left w:val="nil"/>
              <w:bottom w:val="nil"/>
              <w:right w:val="nil"/>
            </w:tcBorders>
          </w:tcPr>
          <w:p w14:paraId="098AA74C" w14:textId="77777777" w:rsidR="00B71E1A" w:rsidRPr="00373794" w:rsidRDefault="00B71E1A" w:rsidP="00993068">
            <w:pPr>
              <w:jc w:val="center"/>
              <w:rPr>
                <w:rFonts w:asciiTheme="majorBidi" w:hAnsiTheme="majorBidi" w:cstheme="majorBidi"/>
                <w:sz w:val="18"/>
                <w:szCs w:val="18"/>
              </w:rPr>
            </w:pPr>
            <w:r w:rsidRPr="00373794">
              <w:rPr>
                <w:rFonts w:asciiTheme="majorBidi" w:hAnsiTheme="majorBidi" w:cstheme="majorBidi"/>
                <w:sz w:val="18"/>
                <w:szCs w:val="18"/>
              </w:rPr>
              <w:t>+</w:t>
            </w:r>
          </w:p>
        </w:tc>
        <w:tc>
          <w:tcPr>
            <w:tcW w:w="0" w:type="auto"/>
            <w:tcBorders>
              <w:top w:val="nil"/>
              <w:left w:val="nil"/>
              <w:bottom w:val="nil"/>
              <w:right w:val="nil"/>
            </w:tcBorders>
          </w:tcPr>
          <w:p w14:paraId="2740CFF3" w14:textId="77777777" w:rsidR="00B71E1A" w:rsidRPr="00373794" w:rsidRDefault="00B71E1A" w:rsidP="00993068">
            <w:pPr>
              <w:jc w:val="center"/>
              <w:rPr>
                <w:rFonts w:asciiTheme="majorBidi" w:hAnsiTheme="majorBidi" w:cstheme="majorBidi"/>
                <w:sz w:val="18"/>
                <w:szCs w:val="18"/>
              </w:rPr>
            </w:pPr>
            <w:r w:rsidRPr="00373794">
              <w:rPr>
                <w:rFonts w:asciiTheme="majorBidi" w:hAnsiTheme="majorBidi" w:cstheme="majorBidi"/>
                <w:sz w:val="18"/>
                <w:szCs w:val="18"/>
              </w:rPr>
              <w:t>49(54%)</w:t>
            </w:r>
          </w:p>
        </w:tc>
        <w:tc>
          <w:tcPr>
            <w:tcW w:w="0" w:type="auto"/>
            <w:vMerge w:val="restart"/>
            <w:tcBorders>
              <w:top w:val="nil"/>
              <w:left w:val="nil"/>
              <w:bottom w:val="nil"/>
            </w:tcBorders>
          </w:tcPr>
          <w:p w14:paraId="7C765FBC" w14:textId="77777777" w:rsidR="00B71E1A" w:rsidRPr="00373794" w:rsidRDefault="00B71E1A" w:rsidP="00993068">
            <w:pPr>
              <w:jc w:val="center"/>
              <w:rPr>
                <w:rFonts w:asciiTheme="majorBidi" w:hAnsiTheme="majorBidi" w:cstheme="majorBidi"/>
                <w:sz w:val="18"/>
                <w:szCs w:val="18"/>
              </w:rPr>
            </w:pPr>
            <w:r w:rsidRPr="00373794">
              <w:rPr>
                <w:rFonts w:asciiTheme="majorBidi" w:hAnsiTheme="majorBidi" w:cstheme="majorBidi"/>
                <w:sz w:val="18"/>
                <w:szCs w:val="18"/>
              </w:rPr>
              <w:t>0.424</w:t>
            </w:r>
          </w:p>
        </w:tc>
      </w:tr>
      <w:tr w:rsidR="00B71E1A" w:rsidRPr="00FF7B72" w14:paraId="5D78D9FC" w14:textId="77777777" w:rsidTr="00993068">
        <w:trPr>
          <w:jc w:val="center"/>
        </w:trPr>
        <w:tc>
          <w:tcPr>
            <w:tcW w:w="0" w:type="auto"/>
            <w:vMerge/>
            <w:tcBorders>
              <w:top w:val="nil"/>
              <w:bottom w:val="nil"/>
              <w:right w:val="nil"/>
            </w:tcBorders>
          </w:tcPr>
          <w:p w14:paraId="145A2B8B" w14:textId="77777777" w:rsidR="00B71E1A" w:rsidRPr="00373794" w:rsidRDefault="00B71E1A" w:rsidP="00993068">
            <w:pPr>
              <w:jc w:val="center"/>
              <w:rPr>
                <w:rFonts w:asciiTheme="majorBidi" w:hAnsiTheme="majorBidi" w:cstheme="majorBidi"/>
                <w:sz w:val="18"/>
                <w:szCs w:val="18"/>
              </w:rPr>
            </w:pPr>
          </w:p>
        </w:tc>
        <w:tc>
          <w:tcPr>
            <w:tcW w:w="0" w:type="auto"/>
            <w:tcBorders>
              <w:top w:val="nil"/>
              <w:left w:val="nil"/>
              <w:bottom w:val="nil"/>
              <w:right w:val="nil"/>
            </w:tcBorders>
          </w:tcPr>
          <w:p w14:paraId="62453FEC" w14:textId="77777777" w:rsidR="00B71E1A" w:rsidRPr="00373794" w:rsidRDefault="00B71E1A" w:rsidP="00993068">
            <w:pPr>
              <w:jc w:val="center"/>
              <w:rPr>
                <w:rFonts w:asciiTheme="majorBidi" w:hAnsiTheme="majorBidi" w:cstheme="majorBidi"/>
                <w:sz w:val="18"/>
                <w:szCs w:val="18"/>
              </w:rPr>
            </w:pPr>
            <w:r w:rsidRPr="00373794">
              <w:rPr>
                <w:rFonts w:asciiTheme="majorBidi" w:hAnsiTheme="majorBidi" w:cstheme="majorBidi"/>
                <w:sz w:val="18"/>
                <w:szCs w:val="18"/>
              </w:rPr>
              <w:t>-</w:t>
            </w:r>
          </w:p>
        </w:tc>
        <w:tc>
          <w:tcPr>
            <w:tcW w:w="0" w:type="auto"/>
            <w:tcBorders>
              <w:top w:val="nil"/>
              <w:left w:val="nil"/>
              <w:bottom w:val="nil"/>
              <w:right w:val="nil"/>
            </w:tcBorders>
          </w:tcPr>
          <w:p w14:paraId="15B22511" w14:textId="77777777" w:rsidR="00B71E1A" w:rsidRPr="00373794" w:rsidRDefault="00B71E1A" w:rsidP="00993068">
            <w:pPr>
              <w:jc w:val="center"/>
              <w:rPr>
                <w:rFonts w:asciiTheme="majorBidi" w:hAnsiTheme="majorBidi" w:cstheme="majorBidi"/>
                <w:sz w:val="18"/>
                <w:szCs w:val="18"/>
              </w:rPr>
            </w:pPr>
            <w:r w:rsidRPr="00373794">
              <w:rPr>
                <w:rFonts w:asciiTheme="majorBidi" w:hAnsiTheme="majorBidi" w:cstheme="majorBidi"/>
                <w:sz w:val="18"/>
                <w:szCs w:val="18"/>
              </w:rPr>
              <w:t>41(46%)</w:t>
            </w:r>
          </w:p>
        </w:tc>
        <w:tc>
          <w:tcPr>
            <w:tcW w:w="0" w:type="auto"/>
            <w:vMerge/>
            <w:tcBorders>
              <w:top w:val="nil"/>
              <w:left w:val="nil"/>
              <w:bottom w:val="nil"/>
            </w:tcBorders>
          </w:tcPr>
          <w:p w14:paraId="6E44B8F7" w14:textId="77777777" w:rsidR="00B71E1A" w:rsidRPr="00373794" w:rsidRDefault="00B71E1A" w:rsidP="00993068">
            <w:pPr>
              <w:jc w:val="center"/>
              <w:rPr>
                <w:rFonts w:asciiTheme="majorBidi" w:hAnsiTheme="majorBidi" w:cstheme="majorBidi"/>
                <w:sz w:val="18"/>
                <w:szCs w:val="18"/>
              </w:rPr>
            </w:pPr>
          </w:p>
        </w:tc>
      </w:tr>
      <w:tr w:rsidR="00B71E1A" w:rsidRPr="00FF7B72" w14:paraId="019A9544" w14:textId="77777777" w:rsidTr="00993068">
        <w:trPr>
          <w:jc w:val="center"/>
        </w:trPr>
        <w:tc>
          <w:tcPr>
            <w:tcW w:w="0" w:type="auto"/>
            <w:vMerge w:val="restart"/>
            <w:tcBorders>
              <w:top w:val="nil"/>
              <w:bottom w:val="nil"/>
              <w:right w:val="nil"/>
            </w:tcBorders>
          </w:tcPr>
          <w:p w14:paraId="004F74F0" w14:textId="77777777" w:rsidR="00B71E1A" w:rsidRPr="00373794" w:rsidRDefault="00B71E1A" w:rsidP="00993068">
            <w:pPr>
              <w:jc w:val="center"/>
              <w:rPr>
                <w:rFonts w:asciiTheme="majorBidi" w:hAnsiTheme="majorBidi" w:cstheme="majorBidi"/>
                <w:sz w:val="18"/>
                <w:szCs w:val="18"/>
              </w:rPr>
            </w:pPr>
            <w:r w:rsidRPr="00373794">
              <w:rPr>
                <w:rFonts w:asciiTheme="majorBidi" w:hAnsiTheme="majorBidi" w:cstheme="majorBidi"/>
                <w:sz w:val="18"/>
                <w:szCs w:val="18"/>
              </w:rPr>
              <w:t>ER</w:t>
            </w:r>
          </w:p>
        </w:tc>
        <w:tc>
          <w:tcPr>
            <w:tcW w:w="0" w:type="auto"/>
            <w:tcBorders>
              <w:top w:val="nil"/>
              <w:left w:val="nil"/>
              <w:bottom w:val="nil"/>
              <w:right w:val="nil"/>
            </w:tcBorders>
          </w:tcPr>
          <w:p w14:paraId="0345CD3E" w14:textId="77777777" w:rsidR="00B71E1A" w:rsidRPr="00373794" w:rsidRDefault="00B71E1A" w:rsidP="00993068">
            <w:pPr>
              <w:jc w:val="center"/>
              <w:rPr>
                <w:rFonts w:asciiTheme="majorBidi" w:hAnsiTheme="majorBidi" w:cstheme="majorBidi"/>
                <w:sz w:val="18"/>
                <w:szCs w:val="18"/>
              </w:rPr>
            </w:pPr>
            <w:r w:rsidRPr="00373794">
              <w:rPr>
                <w:rFonts w:asciiTheme="majorBidi" w:hAnsiTheme="majorBidi" w:cstheme="majorBidi"/>
                <w:sz w:val="18"/>
                <w:szCs w:val="18"/>
              </w:rPr>
              <w:t>+</w:t>
            </w:r>
          </w:p>
        </w:tc>
        <w:tc>
          <w:tcPr>
            <w:tcW w:w="0" w:type="auto"/>
            <w:tcBorders>
              <w:top w:val="nil"/>
              <w:left w:val="nil"/>
              <w:bottom w:val="nil"/>
              <w:right w:val="nil"/>
            </w:tcBorders>
          </w:tcPr>
          <w:p w14:paraId="27DF83E4" w14:textId="77777777" w:rsidR="00B71E1A" w:rsidRPr="00373794" w:rsidRDefault="00B71E1A" w:rsidP="00993068">
            <w:pPr>
              <w:jc w:val="center"/>
              <w:rPr>
                <w:rFonts w:asciiTheme="majorBidi" w:hAnsiTheme="majorBidi" w:cstheme="majorBidi"/>
                <w:sz w:val="18"/>
                <w:szCs w:val="18"/>
              </w:rPr>
            </w:pPr>
            <w:r w:rsidRPr="00373794">
              <w:rPr>
                <w:rFonts w:asciiTheme="majorBidi" w:hAnsiTheme="majorBidi" w:cstheme="majorBidi"/>
                <w:sz w:val="18"/>
                <w:szCs w:val="18"/>
              </w:rPr>
              <w:t>74(82%)</w:t>
            </w:r>
          </w:p>
        </w:tc>
        <w:tc>
          <w:tcPr>
            <w:tcW w:w="0" w:type="auto"/>
            <w:vMerge w:val="restart"/>
            <w:tcBorders>
              <w:top w:val="nil"/>
              <w:left w:val="nil"/>
              <w:bottom w:val="nil"/>
            </w:tcBorders>
          </w:tcPr>
          <w:p w14:paraId="44D384CD" w14:textId="77777777" w:rsidR="00B71E1A" w:rsidRPr="00373794" w:rsidRDefault="00B71E1A" w:rsidP="00993068">
            <w:pPr>
              <w:jc w:val="center"/>
              <w:rPr>
                <w:rFonts w:asciiTheme="majorBidi" w:hAnsiTheme="majorBidi" w:cstheme="majorBidi"/>
                <w:sz w:val="18"/>
                <w:szCs w:val="18"/>
                <w:vertAlign w:val="superscript"/>
              </w:rPr>
            </w:pPr>
            <w:r w:rsidRPr="00373794">
              <w:rPr>
                <w:rFonts w:asciiTheme="majorBidi" w:hAnsiTheme="majorBidi" w:cstheme="majorBidi"/>
                <w:sz w:val="18"/>
                <w:szCs w:val="18"/>
              </w:rPr>
              <w:t>≤ 0.05</w:t>
            </w:r>
          </w:p>
        </w:tc>
      </w:tr>
      <w:tr w:rsidR="00B71E1A" w:rsidRPr="00FF7B72" w14:paraId="7CA88ABC" w14:textId="77777777" w:rsidTr="00993068">
        <w:trPr>
          <w:jc w:val="center"/>
        </w:trPr>
        <w:tc>
          <w:tcPr>
            <w:tcW w:w="0" w:type="auto"/>
            <w:vMerge/>
            <w:tcBorders>
              <w:top w:val="nil"/>
              <w:bottom w:val="nil"/>
              <w:right w:val="nil"/>
            </w:tcBorders>
          </w:tcPr>
          <w:p w14:paraId="225CF2F9" w14:textId="77777777" w:rsidR="00B71E1A" w:rsidRPr="00373794" w:rsidRDefault="00B71E1A" w:rsidP="00993068">
            <w:pPr>
              <w:jc w:val="center"/>
              <w:rPr>
                <w:rFonts w:asciiTheme="majorBidi" w:hAnsiTheme="majorBidi" w:cstheme="majorBidi"/>
                <w:sz w:val="18"/>
                <w:szCs w:val="18"/>
              </w:rPr>
            </w:pPr>
          </w:p>
        </w:tc>
        <w:tc>
          <w:tcPr>
            <w:tcW w:w="0" w:type="auto"/>
            <w:tcBorders>
              <w:top w:val="nil"/>
              <w:left w:val="nil"/>
              <w:bottom w:val="nil"/>
              <w:right w:val="nil"/>
            </w:tcBorders>
          </w:tcPr>
          <w:p w14:paraId="62E206CF" w14:textId="77777777" w:rsidR="00B71E1A" w:rsidRPr="00373794" w:rsidRDefault="00B71E1A" w:rsidP="00993068">
            <w:pPr>
              <w:jc w:val="center"/>
              <w:rPr>
                <w:rFonts w:asciiTheme="majorBidi" w:hAnsiTheme="majorBidi" w:cstheme="majorBidi"/>
                <w:sz w:val="18"/>
                <w:szCs w:val="18"/>
              </w:rPr>
            </w:pPr>
            <w:r w:rsidRPr="00373794">
              <w:rPr>
                <w:rFonts w:asciiTheme="majorBidi" w:hAnsiTheme="majorBidi" w:cstheme="majorBidi"/>
                <w:sz w:val="18"/>
                <w:szCs w:val="18"/>
              </w:rPr>
              <w:t>-</w:t>
            </w:r>
          </w:p>
        </w:tc>
        <w:tc>
          <w:tcPr>
            <w:tcW w:w="0" w:type="auto"/>
            <w:tcBorders>
              <w:top w:val="nil"/>
              <w:left w:val="nil"/>
              <w:bottom w:val="nil"/>
              <w:right w:val="nil"/>
            </w:tcBorders>
          </w:tcPr>
          <w:p w14:paraId="142C1C10" w14:textId="77777777" w:rsidR="00B71E1A" w:rsidRPr="00373794" w:rsidRDefault="00B71E1A" w:rsidP="00993068">
            <w:pPr>
              <w:jc w:val="center"/>
              <w:rPr>
                <w:rFonts w:asciiTheme="majorBidi" w:hAnsiTheme="majorBidi" w:cstheme="majorBidi"/>
                <w:sz w:val="18"/>
                <w:szCs w:val="18"/>
              </w:rPr>
            </w:pPr>
            <w:r w:rsidRPr="00373794">
              <w:rPr>
                <w:rFonts w:asciiTheme="majorBidi" w:hAnsiTheme="majorBidi" w:cstheme="majorBidi"/>
                <w:sz w:val="18"/>
                <w:szCs w:val="18"/>
              </w:rPr>
              <w:t>16(18%)</w:t>
            </w:r>
          </w:p>
        </w:tc>
        <w:tc>
          <w:tcPr>
            <w:tcW w:w="0" w:type="auto"/>
            <w:vMerge/>
            <w:tcBorders>
              <w:top w:val="nil"/>
              <w:left w:val="nil"/>
              <w:bottom w:val="nil"/>
            </w:tcBorders>
          </w:tcPr>
          <w:p w14:paraId="7B3D6069" w14:textId="77777777" w:rsidR="00B71E1A" w:rsidRPr="00373794" w:rsidRDefault="00B71E1A" w:rsidP="00993068">
            <w:pPr>
              <w:jc w:val="center"/>
              <w:rPr>
                <w:rFonts w:asciiTheme="majorBidi" w:hAnsiTheme="majorBidi" w:cstheme="majorBidi"/>
                <w:sz w:val="18"/>
                <w:szCs w:val="18"/>
              </w:rPr>
            </w:pPr>
          </w:p>
        </w:tc>
      </w:tr>
      <w:tr w:rsidR="00B71E1A" w:rsidRPr="00FF7B72" w14:paraId="0330F498" w14:textId="77777777" w:rsidTr="00993068">
        <w:trPr>
          <w:jc w:val="center"/>
        </w:trPr>
        <w:tc>
          <w:tcPr>
            <w:tcW w:w="0" w:type="auto"/>
            <w:vMerge w:val="restart"/>
            <w:tcBorders>
              <w:top w:val="nil"/>
              <w:bottom w:val="nil"/>
              <w:right w:val="nil"/>
            </w:tcBorders>
          </w:tcPr>
          <w:p w14:paraId="68DF5265" w14:textId="77777777" w:rsidR="00B71E1A" w:rsidRPr="00373794" w:rsidRDefault="00B71E1A" w:rsidP="00993068">
            <w:pPr>
              <w:jc w:val="center"/>
              <w:rPr>
                <w:rFonts w:asciiTheme="majorBidi" w:hAnsiTheme="majorBidi" w:cstheme="majorBidi"/>
                <w:sz w:val="18"/>
                <w:szCs w:val="18"/>
              </w:rPr>
            </w:pPr>
            <w:r w:rsidRPr="00373794">
              <w:rPr>
                <w:rFonts w:asciiTheme="majorBidi" w:hAnsiTheme="majorBidi" w:cstheme="majorBidi"/>
                <w:sz w:val="18"/>
                <w:szCs w:val="18"/>
              </w:rPr>
              <w:t>PR</w:t>
            </w:r>
          </w:p>
        </w:tc>
        <w:tc>
          <w:tcPr>
            <w:tcW w:w="0" w:type="auto"/>
            <w:tcBorders>
              <w:top w:val="nil"/>
              <w:left w:val="nil"/>
              <w:bottom w:val="nil"/>
              <w:right w:val="nil"/>
            </w:tcBorders>
          </w:tcPr>
          <w:p w14:paraId="5A68CF85" w14:textId="77777777" w:rsidR="00B71E1A" w:rsidRPr="00373794" w:rsidRDefault="00B71E1A" w:rsidP="00993068">
            <w:pPr>
              <w:jc w:val="center"/>
              <w:rPr>
                <w:rFonts w:asciiTheme="majorBidi" w:hAnsiTheme="majorBidi" w:cstheme="majorBidi"/>
                <w:sz w:val="18"/>
                <w:szCs w:val="18"/>
              </w:rPr>
            </w:pPr>
            <w:r w:rsidRPr="00373794">
              <w:rPr>
                <w:rFonts w:asciiTheme="majorBidi" w:hAnsiTheme="majorBidi" w:cstheme="majorBidi"/>
                <w:sz w:val="18"/>
                <w:szCs w:val="18"/>
              </w:rPr>
              <w:t>+</w:t>
            </w:r>
          </w:p>
        </w:tc>
        <w:tc>
          <w:tcPr>
            <w:tcW w:w="0" w:type="auto"/>
            <w:tcBorders>
              <w:top w:val="nil"/>
              <w:left w:val="nil"/>
              <w:bottom w:val="nil"/>
              <w:right w:val="nil"/>
            </w:tcBorders>
          </w:tcPr>
          <w:p w14:paraId="01EE1190" w14:textId="77777777" w:rsidR="00B71E1A" w:rsidRPr="00373794" w:rsidRDefault="00B71E1A" w:rsidP="00993068">
            <w:pPr>
              <w:jc w:val="center"/>
              <w:rPr>
                <w:rFonts w:asciiTheme="majorBidi" w:hAnsiTheme="majorBidi" w:cstheme="majorBidi"/>
                <w:sz w:val="18"/>
                <w:szCs w:val="18"/>
              </w:rPr>
            </w:pPr>
            <w:r w:rsidRPr="00373794">
              <w:rPr>
                <w:rFonts w:asciiTheme="majorBidi" w:hAnsiTheme="majorBidi" w:cstheme="majorBidi"/>
                <w:sz w:val="18"/>
                <w:szCs w:val="18"/>
              </w:rPr>
              <w:t>63(70%)</w:t>
            </w:r>
          </w:p>
        </w:tc>
        <w:tc>
          <w:tcPr>
            <w:tcW w:w="0" w:type="auto"/>
            <w:vMerge w:val="restart"/>
            <w:tcBorders>
              <w:top w:val="nil"/>
              <w:left w:val="nil"/>
              <w:bottom w:val="nil"/>
            </w:tcBorders>
          </w:tcPr>
          <w:p w14:paraId="25247889" w14:textId="77777777" w:rsidR="00B71E1A" w:rsidRPr="00373794" w:rsidRDefault="00B71E1A" w:rsidP="00993068">
            <w:pPr>
              <w:jc w:val="center"/>
              <w:rPr>
                <w:rFonts w:asciiTheme="majorBidi" w:hAnsiTheme="majorBidi" w:cstheme="majorBidi"/>
                <w:sz w:val="18"/>
                <w:szCs w:val="18"/>
                <w:vertAlign w:val="superscript"/>
              </w:rPr>
            </w:pPr>
            <w:r w:rsidRPr="00373794">
              <w:rPr>
                <w:rFonts w:asciiTheme="majorBidi" w:hAnsiTheme="majorBidi" w:cstheme="majorBidi"/>
                <w:sz w:val="18"/>
                <w:szCs w:val="18"/>
              </w:rPr>
              <w:t>≤ 0.05</w:t>
            </w:r>
          </w:p>
        </w:tc>
      </w:tr>
      <w:tr w:rsidR="00B71E1A" w:rsidRPr="00FF7B72" w14:paraId="3DD25918" w14:textId="77777777" w:rsidTr="00993068">
        <w:trPr>
          <w:jc w:val="center"/>
        </w:trPr>
        <w:tc>
          <w:tcPr>
            <w:tcW w:w="0" w:type="auto"/>
            <w:vMerge/>
            <w:tcBorders>
              <w:top w:val="nil"/>
              <w:bottom w:val="nil"/>
              <w:right w:val="nil"/>
            </w:tcBorders>
          </w:tcPr>
          <w:p w14:paraId="08242704" w14:textId="77777777" w:rsidR="00B71E1A" w:rsidRPr="00373794" w:rsidRDefault="00B71E1A" w:rsidP="00993068">
            <w:pPr>
              <w:jc w:val="center"/>
              <w:rPr>
                <w:rFonts w:asciiTheme="majorBidi" w:hAnsiTheme="majorBidi" w:cstheme="majorBidi"/>
                <w:sz w:val="18"/>
                <w:szCs w:val="18"/>
              </w:rPr>
            </w:pPr>
          </w:p>
        </w:tc>
        <w:tc>
          <w:tcPr>
            <w:tcW w:w="0" w:type="auto"/>
            <w:tcBorders>
              <w:top w:val="nil"/>
              <w:left w:val="nil"/>
              <w:bottom w:val="nil"/>
              <w:right w:val="nil"/>
            </w:tcBorders>
          </w:tcPr>
          <w:p w14:paraId="6DF975FB" w14:textId="77777777" w:rsidR="00B71E1A" w:rsidRPr="00373794" w:rsidRDefault="00B71E1A" w:rsidP="00993068">
            <w:pPr>
              <w:jc w:val="center"/>
              <w:rPr>
                <w:rFonts w:asciiTheme="majorBidi" w:hAnsiTheme="majorBidi" w:cstheme="majorBidi"/>
                <w:sz w:val="18"/>
                <w:szCs w:val="18"/>
              </w:rPr>
            </w:pPr>
            <w:r w:rsidRPr="00373794">
              <w:rPr>
                <w:rFonts w:asciiTheme="majorBidi" w:hAnsiTheme="majorBidi" w:cstheme="majorBidi"/>
                <w:sz w:val="18"/>
                <w:szCs w:val="18"/>
              </w:rPr>
              <w:t>-</w:t>
            </w:r>
          </w:p>
        </w:tc>
        <w:tc>
          <w:tcPr>
            <w:tcW w:w="0" w:type="auto"/>
            <w:tcBorders>
              <w:top w:val="nil"/>
              <w:left w:val="nil"/>
              <w:bottom w:val="nil"/>
              <w:right w:val="nil"/>
            </w:tcBorders>
          </w:tcPr>
          <w:p w14:paraId="1630117E" w14:textId="77777777" w:rsidR="00B71E1A" w:rsidRPr="00373794" w:rsidRDefault="00B71E1A" w:rsidP="00993068">
            <w:pPr>
              <w:jc w:val="center"/>
              <w:rPr>
                <w:rFonts w:asciiTheme="majorBidi" w:hAnsiTheme="majorBidi" w:cstheme="majorBidi"/>
                <w:sz w:val="18"/>
                <w:szCs w:val="18"/>
              </w:rPr>
            </w:pPr>
            <w:r w:rsidRPr="00373794">
              <w:rPr>
                <w:rFonts w:asciiTheme="majorBidi" w:hAnsiTheme="majorBidi" w:cstheme="majorBidi"/>
                <w:sz w:val="18"/>
                <w:szCs w:val="18"/>
              </w:rPr>
              <w:t>27(30%)</w:t>
            </w:r>
          </w:p>
        </w:tc>
        <w:tc>
          <w:tcPr>
            <w:tcW w:w="0" w:type="auto"/>
            <w:vMerge/>
            <w:tcBorders>
              <w:top w:val="nil"/>
              <w:left w:val="nil"/>
              <w:bottom w:val="nil"/>
            </w:tcBorders>
          </w:tcPr>
          <w:p w14:paraId="4D1BC7F1" w14:textId="77777777" w:rsidR="00B71E1A" w:rsidRPr="00373794" w:rsidRDefault="00B71E1A" w:rsidP="00993068">
            <w:pPr>
              <w:jc w:val="center"/>
              <w:rPr>
                <w:rFonts w:asciiTheme="majorBidi" w:hAnsiTheme="majorBidi" w:cstheme="majorBidi"/>
                <w:sz w:val="18"/>
                <w:szCs w:val="18"/>
              </w:rPr>
            </w:pPr>
          </w:p>
        </w:tc>
      </w:tr>
      <w:tr w:rsidR="00B71E1A" w:rsidRPr="00FF7B72" w14:paraId="36C60C3C" w14:textId="77777777" w:rsidTr="00993068">
        <w:trPr>
          <w:jc w:val="center"/>
        </w:trPr>
        <w:tc>
          <w:tcPr>
            <w:tcW w:w="0" w:type="auto"/>
            <w:vMerge w:val="restart"/>
            <w:tcBorders>
              <w:top w:val="nil"/>
              <w:bottom w:val="nil"/>
              <w:right w:val="nil"/>
            </w:tcBorders>
          </w:tcPr>
          <w:p w14:paraId="49B0C0D0" w14:textId="77777777" w:rsidR="00B71E1A" w:rsidRPr="00373794" w:rsidRDefault="00B71E1A" w:rsidP="00993068">
            <w:pPr>
              <w:jc w:val="center"/>
              <w:rPr>
                <w:rFonts w:asciiTheme="majorBidi" w:hAnsiTheme="majorBidi" w:cstheme="majorBidi"/>
                <w:sz w:val="18"/>
                <w:szCs w:val="18"/>
              </w:rPr>
            </w:pPr>
            <w:r w:rsidRPr="00373794">
              <w:rPr>
                <w:rFonts w:asciiTheme="majorBidi" w:hAnsiTheme="majorBidi" w:cstheme="majorBidi"/>
                <w:sz w:val="18"/>
                <w:szCs w:val="18"/>
              </w:rPr>
              <w:t>Her/2</w:t>
            </w:r>
          </w:p>
        </w:tc>
        <w:tc>
          <w:tcPr>
            <w:tcW w:w="0" w:type="auto"/>
            <w:tcBorders>
              <w:top w:val="nil"/>
              <w:left w:val="nil"/>
              <w:bottom w:val="nil"/>
              <w:right w:val="nil"/>
            </w:tcBorders>
          </w:tcPr>
          <w:p w14:paraId="1CE1D643" w14:textId="77777777" w:rsidR="00B71E1A" w:rsidRPr="00373794" w:rsidRDefault="00B71E1A" w:rsidP="00993068">
            <w:pPr>
              <w:jc w:val="center"/>
              <w:rPr>
                <w:rFonts w:asciiTheme="majorBidi" w:hAnsiTheme="majorBidi" w:cstheme="majorBidi"/>
                <w:sz w:val="18"/>
                <w:szCs w:val="18"/>
              </w:rPr>
            </w:pPr>
            <w:r w:rsidRPr="00373794">
              <w:rPr>
                <w:rFonts w:asciiTheme="majorBidi" w:hAnsiTheme="majorBidi" w:cstheme="majorBidi"/>
                <w:sz w:val="18"/>
                <w:szCs w:val="18"/>
              </w:rPr>
              <w:t>+</w:t>
            </w:r>
          </w:p>
        </w:tc>
        <w:tc>
          <w:tcPr>
            <w:tcW w:w="0" w:type="auto"/>
            <w:tcBorders>
              <w:top w:val="nil"/>
              <w:left w:val="nil"/>
              <w:bottom w:val="nil"/>
              <w:right w:val="nil"/>
            </w:tcBorders>
          </w:tcPr>
          <w:p w14:paraId="1EE594FE" w14:textId="77777777" w:rsidR="00B71E1A" w:rsidRPr="00373794" w:rsidRDefault="00B71E1A" w:rsidP="00993068">
            <w:pPr>
              <w:jc w:val="center"/>
              <w:rPr>
                <w:rFonts w:asciiTheme="majorBidi" w:hAnsiTheme="majorBidi" w:cstheme="majorBidi"/>
                <w:sz w:val="18"/>
                <w:szCs w:val="18"/>
              </w:rPr>
            </w:pPr>
            <w:r w:rsidRPr="00373794">
              <w:rPr>
                <w:rFonts w:asciiTheme="majorBidi" w:hAnsiTheme="majorBidi" w:cstheme="majorBidi"/>
                <w:sz w:val="18"/>
                <w:szCs w:val="18"/>
              </w:rPr>
              <w:t>36(40%)</w:t>
            </w:r>
          </w:p>
        </w:tc>
        <w:tc>
          <w:tcPr>
            <w:tcW w:w="0" w:type="auto"/>
            <w:vMerge w:val="restart"/>
            <w:tcBorders>
              <w:top w:val="nil"/>
              <w:left w:val="nil"/>
              <w:bottom w:val="nil"/>
            </w:tcBorders>
          </w:tcPr>
          <w:p w14:paraId="6891A724" w14:textId="77777777" w:rsidR="00B71E1A" w:rsidRPr="00373794" w:rsidRDefault="00B71E1A" w:rsidP="00993068">
            <w:pPr>
              <w:jc w:val="center"/>
              <w:rPr>
                <w:rFonts w:asciiTheme="majorBidi" w:hAnsiTheme="majorBidi" w:cstheme="majorBidi"/>
                <w:sz w:val="18"/>
                <w:szCs w:val="18"/>
              </w:rPr>
            </w:pPr>
            <w:r w:rsidRPr="00373794">
              <w:rPr>
                <w:rFonts w:asciiTheme="majorBidi" w:hAnsiTheme="majorBidi" w:cstheme="majorBidi"/>
                <w:sz w:val="18"/>
                <w:szCs w:val="18"/>
              </w:rPr>
              <w:t>0.046</w:t>
            </w:r>
          </w:p>
        </w:tc>
      </w:tr>
      <w:tr w:rsidR="00B71E1A" w:rsidRPr="00FF7B72" w14:paraId="1A0BCAB7" w14:textId="77777777" w:rsidTr="00993068">
        <w:trPr>
          <w:jc w:val="center"/>
        </w:trPr>
        <w:tc>
          <w:tcPr>
            <w:tcW w:w="0" w:type="auto"/>
            <w:vMerge/>
            <w:tcBorders>
              <w:top w:val="nil"/>
              <w:bottom w:val="single" w:sz="4" w:space="0" w:color="auto"/>
              <w:right w:val="nil"/>
            </w:tcBorders>
          </w:tcPr>
          <w:p w14:paraId="66D032CF" w14:textId="77777777" w:rsidR="00B71E1A" w:rsidRPr="00FF7B72" w:rsidRDefault="00B71E1A" w:rsidP="00993068">
            <w:pPr>
              <w:rPr>
                <w:rFonts w:asciiTheme="majorBidi" w:hAnsiTheme="majorBidi" w:cstheme="majorBidi"/>
                <w:sz w:val="18"/>
                <w:szCs w:val="18"/>
              </w:rPr>
            </w:pPr>
          </w:p>
        </w:tc>
        <w:tc>
          <w:tcPr>
            <w:tcW w:w="0" w:type="auto"/>
            <w:tcBorders>
              <w:top w:val="nil"/>
              <w:left w:val="nil"/>
              <w:bottom w:val="single" w:sz="4" w:space="0" w:color="auto"/>
              <w:right w:val="nil"/>
            </w:tcBorders>
          </w:tcPr>
          <w:p w14:paraId="5C3A274F" w14:textId="77777777" w:rsidR="00B71E1A" w:rsidRPr="00FF7B72" w:rsidRDefault="00B71E1A" w:rsidP="00993068">
            <w:pPr>
              <w:jc w:val="center"/>
              <w:rPr>
                <w:rFonts w:asciiTheme="majorBidi" w:hAnsiTheme="majorBidi" w:cstheme="majorBidi"/>
                <w:sz w:val="18"/>
                <w:szCs w:val="18"/>
              </w:rPr>
            </w:pPr>
            <w:r w:rsidRPr="00FF7B72">
              <w:rPr>
                <w:rFonts w:asciiTheme="majorBidi" w:hAnsiTheme="majorBidi" w:cstheme="majorBidi"/>
                <w:sz w:val="18"/>
                <w:szCs w:val="18"/>
              </w:rPr>
              <w:t>-</w:t>
            </w:r>
          </w:p>
        </w:tc>
        <w:tc>
          <w:tcPr>
            <w:tcW w:w="0" w:type="auto"/>
            <w:tcBorders>
              <w:top w:val="nil"/>
              <w:left w:val="nil"/>
              <w:bottom w:val="single" w:sz="4" w:space="0" w:color="auto"/>
              <w:right w:val="nil"/>
            </w:tcBorders>
          </w:tcPr>
          <w:p w14:paraId="3E02E20F" w14:textId="77777777" w:rsidR="00B71E1A" w:rsidRPr="00FF7B72" w:rsidRDefault="00B71E1A" w:rsidP="00993068">
            <w:pPr>
              <w:jc w:val="center"/>
              <w:rPr>
                <w:rFonts w:asciiTheme="majorBidi" w:hAnsiTheme="majorBidi" w:cstheme="majorBidi"/>
                <w:sz w:val="20"/>
              </w:rPr>
            </w:pPr>
            <w:r w:rsidRPr="00FF7B72">
              <w:rPr>
                <w:rFonts w:asciiTheme="majorBidi" w:hAnsiTheme="majorBidi" w:cstheme="majorBidi"/>
                <w:sz w:val="20"/>
              </w:rPr>
              <w:t>54(60%)</w:t>
            </w:r>
          </w:p>
        </w:tc>
        <w:tc>
          <w:tcPr>
            <w:tcW w:w="0" w:type="auto"/>
            <w:vMerge/>
            <w:tcBorders>
              <w:top w:val="nil"/>
              <w:left w:val="nil"/>
            </w:tcBorders>
          </w:tcPr>
          <w:p w14:paraId="0FA7238E" w14:textId="77777777" w:rsidR="00B71E1A" w:rsidRPr="00FF7B72" w:rsidRDefault="00B71E1A" w:rsidP="00993068">
            <w:pPr>
              <w:rPr>
                <w:rFonts w:asciiTheme="majorBidi" w:hAnsiTheme="majorBidi" w:cstheme="majorBidi"/>
                <w:sz w:val="18"/>
                <w:szCs w:val="18"/>
              </w:rPr>
            </w:pPr>
          </w:p>
        </w:tc>
      </w:tr>
    </w:tbl>
    <w:p w14:paraId="6BE3EE0F" w14:textId="77777777" w:rsidR="00B71E1A" w:rsidRDefault="00B71E1A" w:rsidP="00B71E1A">
      <w:pPr>
        <w:pStyle w:val="Paragraph"/>
        <w:ind w:firstLine="0"/>
      </w:pPr>
    </w:p>
    <w:p w14:paraId="333F8A0A" w14:textId="2EFC7740" w:rsidR="00B71E1A" w:rsidRPr="00075EA6" w:rsidRDefault="00B71E1A" w:rsidP="0090447F">
      <w:pPr>
        <w:pStyle w:val="Heading2"/>
      </w:pPr>
      <w:r w:rsidRPr="00B71E1A">
        <w:rPr>
          <w:bCs/>
        </w:rPr>
        <w:t xml:space="preserve">Genotyping of </w:t>
      </w:r>
      <w:r w:rsidRPr="00B71E1A">
        <w:rPr>
          <w:bCs/>
          <w:i/>
          <w:iCs/>
        </w:rPr>
        <w:t>HSP70-</w:t>
      </w:r>
      <w:r w:rsidRPr="00B71E1A">
        <w:rPr>
          <w:bCs/>
        </w:rPr>
        <w:t xml:space="preserve">hom </w:t>
      </w:r>
      <w:r w:rsidR="0090447F">
        <w:rPr>
          <w:bCs/>
        </w:rPr>
        <w:t>G</w:t>
      </w:r>
      <w:r w:rsidRPr="00B71E1A">
        <w:rPr>
          <w:bCs/>
        </w:rPr>
        <w:t>ene</w:t>
      </w:r>
    </w:p>
    <w:p w14:paraId="24FBEF4A" w14:textId="2AA4264A" w:rsidR="00D40FEB" w:rsidRDefault="00B71E1A" w:rsidP="001B3910">
      <w:pPr>
        <w:pStyle w:val="Paragraph"/>
      </w:pPr>
      <w:r w:rsidRPr="00B71E1A">
        <w:t xml:space="preserve">The Current study screened the polymorphism of the </w:t>
      </w:r>
      <w:r w:rsidRPr="00B71E1A">
        <w:rPr>
          <w:i/>
          <w:iCs/>
        </w:rPr>
        <w:t>HSP70-</w:t>
      </w:r>
      <w:r w:rsidRPr="00B71E1A">
        <w:t xml:space="preserve">hom gene using the Restriction Fragment Length Polymorphism (RFLP) technique. The initial PCR products of </w:t>
      </w:r>
      <w:proofErr w:type="spellStart"/>
      <w:r w:rsidRPr="00B71E1A">
        <w:rPr>
          <w:i/>
          <w:iCs/>
        </w:rPr>
        <w:t>Hsp</w:t>
      </w:r>
      <w:proofErr w:type="spellEnd"/>
      <w:r w:rsidRPr="00B71E1A">
        <w:rPr>
          <w:i/>
          <w:iCs/>
        </w:rPr>
        <w:t xml:space="preserve"> </w:t>
      </w:r>
      <w:r w:rsidRPr="00B71E1A">
        <w:t xml:space="preserve">70-hom gene, which is 878 base pairs when uncut, </w:t>
      </w:r>
      <w:proofErr w:type="gramStart"/>
      <w:r w:rsidRPr="00B71E1A">
        <w:t>is</w:t>
      </w:r>
      <w:proofErr w:type="gramEnd"/>
      <w:r w:rsidRPr="00B71E1A">
        <w:t xml:space="preserve"> shown in </w:t>
      </w:r>
      <w:r w:rsidR="001C2A54">
        <w:rPr>
          <w:b/>
          <w:bCs/>
        </w:rPr>
        <w:t>figure</w:t>
      </w:r>
      <w:r w:rsidRPr="00064B34">
        <w:rPr>
          <w:b/>
          <w:bCs/>
        </w:rPr>
        <w:t xml:space="preserve"> 1</w:t>
      </w:r>
      <w:r w:rsidRPr="00B71E1A">
        <w:t>.</w:t>
      </w:r>
      <w:r w:rsidR="00A26880" w:rsidRPr="00A26880">
        <w:t xml:space="preserve"> The PCR products of the HSP70-hom gene were subjected to enzymatic digestion using Nco1 enzyme. The electrophoretic analysis demonstrated the successful separation of reaction products on a 1.5% agarose gel (</w:t>
      </w:r>
      <w:r w:rsidR="001C2A54">
        <w:rPr>
          <w:b/>
          <w:bCs/>
        </w:rPr>
        <w:t>figure</w:t>
      </w:r>
      <w:r w:rsidR="00A26880" w:rsidRPr="00A26880">
        <w:rPr>
          <w:b/>
          <w:bCs/>
        </w:rPr>
        <w:t xml:space="preserve"> 2</w:t>
      </w:r>
      <w:r w:rsidR="00A26880" w:rsidRPr="00A26880">
        <w:t>).</w:t>
      </w:r>
      <w:r w:rsidRPr="00B71E1A">
        <w:t xml:space="preserve"> The identification of the </w:t>
      </w:r>
      <w:r w:rsidRPr="00B71E1A">
        <w:rPr>
          <w:i/>
          <w:iCs/>
        </w:rPr>
        <w:t>Hsp</w:t>
      </w:r>
      <w:r w:rsidRPr="00B71E1A">
        <w:t>70-hom T/T homozygous genotype was shown to be correlated with the presence of an Nco1 restriction site and was indicated by the presence of two products size 551 bp and 327 bp. Hsp70-hom C/C homozygous genotype was shown to be correlated with the absence of an Nco1 restriction site and was indicated by the presence of one band with products size 878bp.While Hsp70-hom T/C heterozygous genotype was detected in three bands of products size 551 bp, 327 bp and 878bp</w:t>
      </w:r>
      <w:r w:rsidR="00A26880">
        <w:t>.</w:t>
      </w:r>
    </w:p>
    <w:p w14:paraId="12544B89" w14:textId="0BDF3A49" w:rsidR="00223199" w:rsidRPr="00A26880" w:rsidRDefault="00223199" w:rsidP="001B3910">
      <w:pPr>
        <w:pStyle w:val="Paragraph"/>
      </w:pPr>
      <w:r w:rsidRPr="00223199">
        <w:t>TABLE 2 presents the Hsp70-hom genotypes and allelic frequency in patients with breast cancer and the control group. The data indicates that 90% of breast cancer cases had the Hsp70-hom TT genotype (homozygous), compared to 80% in the control group. This finding did not show a statistically significant positive association, with an Odds Ratio (95% CI</w:t>
      </w:r>
      <w:proofErr w:type="gramStart"/>
      <w:r w:rsidRPr="00223199">
        <w:t>) :</w:t>
      </w:r>
      <w:proofErr w:type="gramEnd"/>
      <w:r w:rsidRPr="00223199">
        <w:t xml:space="preserve"> 0.85 (0.55-1.18) at (P value 0.259). Conversely, about 10% of breast cancer patients had the Hsp70-hom TC genotype (heterozygous), compared to 20% of controls. The Odds Ratio (95%CI): 0.44 (0.11-1.81) at P value (0.259).</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576"/>
      </w:tblGrid>
      <w:tr w:rsidR="00B71E1A" w14:paraId="584529D6" w14:textId="77777777" w:rsidTr="00B71E1A">
        <w:tc>
          <w:tcPr>
            <w:tcW w:w="9576" w:type="dxa"/>
          </w:tcPr>
          <w:p w14:paraId="5FB5B09C" w14:textId="774D6C97" w:rsidR="00B71E1A" w:rsidRDefault="00B71E1A" w:rsidP="004A38C7">
            <w:pPr>
              <w:pStyle w:val="Paragraph"/>
              <w:ind w:firstLine="0"/>
              <w:jc w:val="center"/>
            </w:pPr>
            <w:r w:rsidRPr="00A31A61">
              <w:rPr>
                <w:rFonts w:asciiTheme="majorBidi" w:hAnsiTheme="majorBidi" w:cstheme="majorBidi"/>
                <w:noProof/>
                <w:sz w:val="24"/>
                <w:szCs w:val="24"/>
              </w:rPr>
              <w:lastRenderedPageBreak/>
              <w:drawing>
                <wp:inline distT="0" distB="0" distL="0" distR="0" wp14:anchorId="704BCC6C" wp14:editId="16EA1205">
                  <wp:extent cx="5322570" cy="2285989"/>
                  <wp:effectExtent l="0" t="0" r="0" b="635"/>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7147" cy="2292250"/>
                          </a:xfrm>
                          <a:prstGeom prst="rect">
                            <a:avLst/>
                          </a:prstGeom>
                          <a:noFill/>
                          <a:ln>
                            <a:noFill/>
                          </a:ln>
                        </pic:spPr>
                      </pic:pic>
                    </a:graphicData>
                  </a:graphic>
                </wp:inline>
              </w:drawing>
            </w:r>
          </w:p>
        </w:tc>
      </w:tr>
    </w:tbl>
    <w:p w14:paraId="647A0BE1" w14:textId="67536A01" w:rsidR="004E3C57" w:rsidRPr="00373794" w:rsidRDefault="004E3C57" w:rsidP="001B3910">
      <w:pPr>
        <w:pStyle w:val="FigureCaption"/>
        <w:rPr>
          <w:szCs w:val="18"/>
        </w:rPr>
      </w:pPr>
      <w:r w:rsidRPr="004358D0">
        <w:rPr>
          <w:b/>
          <w:caps/>
          <w:szCs w:val="18"/>
        </w:rPr>
        <w:t xml:space="preserve">Figure </w:t>
      </w:r>
      <w:r w:rsidR="00F8554C" w:rsidRPr="004358D0">
        <w:rPr>
          <w:b/>
          <w:caps/>
          <w:szCs w:val="18"/>
        </w:rPr>
        <w:t>1</w:t>
      </w:r>
      <w:r w:rsidRPr="004358D0">
        <w:rPr>
          <w:b/>
          <w:caps/>
          <w:szCs w:val="18"/>
        </w:rPr>
        <w:t>.</w:t>
      </w:r>
      <w:r w:rsidRPr="00373794">
        <w:rPr>
          <w:szCs w:val="18"/>
        </w:rPr>
        <w:t xml:space="preserve"> </w:t>
      </w:r>
      <w:r w:rsidR="00CB7005" w:rsidRPr="00373794">
        <w:rPr>
          <w:szCs w:val="18"/>
        </w:rPr>
        <w:t>Th</w:t>
      </w:r>
      <w:r w:rsidR="00B71E1A" w:rsidRPr="00373794">
        <w:rPr>
          <w:szCs w:val="18"/>
        </w:rPr>
        <w:t xml:space="preserve">e </w:t>
      </w:r>
      <w:proofErr w:type="spellStart"/>
      <w:r w:rsidR="00B71E1A" w:rsidRPr="00373794">
        <w:rPr>
          <w:i/>
          <w:iCs/>
          <w:szCs w:val="18"/>
        </w:rPr>
        <w:t>H</w:t>
      </w:r>
      <w:r w:rsidR="00CB7005" w:rsidRPr="00373794">
        <w:rPr>
          <w:i/>
          <w:iCs/>
          <w:szCs w:val="18"/>
        </w:rPr>
        <w:t>sp</w:t>
      </w:r>
      <w:proofErr w:type="spellEnd"/>
      <w:r w:rsidR="00CB7005" w:rsidRPr="00373794">
        <w:rPr>
          <w:i/>
          <w:iCs/>
          <w:szCs w:val="18"/>
        </w:rPr>
        <w:t xml:space="preserve"> 7</w:t>
      </w:r>
      <w:r w:rsidR="00CB7005" w:rsidRPr="00373794">
        <w:rPr>
          <w:szCs w:val="18"/>
        </w:rPr>
        <w:t>0</w:t>
      </w:r>
      <w:r w:rsidR="00B71E1A" w:rsidRPr="00373794">
        <w:rPr>
          <w:szCs w:val="18"/>
        </w:rPr>
        <w:t xml:space="preserve">-hom gene amplification in breast cancer </w:t>
      </w:r>
      <w:r w:rsidR="0079521A" w:rsidRPr="00373794">
        <w:rPr>
          <w:szCs w:val="18"/>
        </w:rPr>
        <w:t>female</w:t>
      </w:r>
      <w:r w:rsidR="0079521A">
        <w:rPr>
          <w:szCs w:val="18"/>
        </w:rPr>
        <w:t>s</w:t>
      </w:r>
      <w:r w:rsidR="00B71E1A" w:rsidRPr="00373794">
        <w:rPr>
          <w:szCs w:val="18"/>
        </w:rPr>
        <w:t xml:space="preserve">' blood samples were separated on 1% agarose gel electrophoresis and stained with the </w:t>
      </w:r>
      <w:proofErr w:type="spellStart"/>
      <w:r w:rsidR="00B71E1A" w:rsidRPr="00373794">
        <w:rPr>
          <w:szCs w:val="18"/>
        </w:rPr>
        <w:t>Ethedium</w:t>
      </w:r>
      <w:proofErr w:type="spellEnd"/>
      <w:r w:rsidR="00B71E1A" w:rsidRPr="00373794">
        <w:rPr>
          <w:szCs w:val="18"/>
        </w:rPr>
        <w:t xml:space="preserve"> </w:t>
      </w:r>
      <w:r w:rsidR="0052267D" w:rsidRPr="00373794">
        <w:rPr>
          <w:szCs w:val="18"/>
        </w:rPr>
        <w:t>Bromide</w:t>
      </w:r>
      <w:r w:rsidR="00B71E1A" w:rsidRPr="00373794">
        <w:rPr>
          <w:szCs w:val="18"/>
        </w:rPr>
        <w:t xml:space="preserve">, M: 100 bp ladder </w:t>
      </w:r>
      <w:r w:rsidR="0079521A" w:rsidRPr="00373794">
        <w:rPr>
          <w:szCs w:val="18"/>
        </w:rPr>
        <w:t>markers</w:t>
      </w:r>
      <w:r w:rsidR="0079521A">
        <w:rPr>
          <w:szCs w:val="18"/>
        </w:rPr>
        <w:t>,</w:t>
      </w:r>
      <w:r w:rsidR="00B71E1A" w:rsidRPr="00373794">
        <w:rPr>
          <w:szCs w:val="18"/>
        </w:rPr>
        <w:t xml:space="preserve"> </w:t>
      </w:r>
      <w:r w:rsidR="0079521A">
        <w:rPr>
          <w:szCs w:val="18"/>
        </w:rPr>
        <w:t>t</w:t>
      </w:r>
      <w:r w:rsidR="00B71E1A" w:rsidRPr="00373794">
        <w:rPr>
          <w:szCs w:val="18"/>
        </w:rPr>
        <w:t>he samples had a size of 878 bp.</w:t>
      </w:r>
    </w:p>
    <w:p w14:paraId="7B4D46D3" w14:textId="77777777" w:rsidR="00064B34" w:rsidRDefault="00064B34" w:rsidP="00B71E1A">
      <w:pPr>
        <w:pStyle w:val="Paragraph"/>
        <w:rPr>
          <w:sz w:val="18"/>
          <w:szCs w:val="18"/>
          <w:lang w:val="en-GB" w:eastAsia="en-GB"/>
        </w:rPr>
      </w:pPr>
    </w:p>
    <w:p w14:paraId="72541622" w14:textId="77777777" w:rsidR="00223199" w:rsidRDefault="00223199" w:rsidP="00B71E1A">
      <w:pPr>
        <w:pStyle w:val="Paragraph"/>
        <w:rPr>
          <w:lang w:eastAsia="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576"/>
      </w:tblGrid>
      <w:tr w:rsidR="00B71E1A" w14:paraId="09A6E5A9" w14:textId="77777777" w:rsidTr="00993068">
        <w:tc>
          <w:tcPr>
            <w:tcW w:w="9576" w:type="dxa"/>
          </w:tcPr>
          <w:p w14:paraId="7004F7E4" w14:textId="490FB277" w:rsidR="00B71E1A" w:rsidRDefault="00B71E1A" w:rsidP="00B71E1A">
            <w:pPr>
              <w:pStyle w:val="Paragraph"/>
              <w:ind w:firstLine="0"/>
              <w:jc w:val="center"/>
            </w:pPr>
            <w:r w:rsidRPr="00A31A61">
              <w:rPr>
                <w:rFonts w:asciiTheme="majorBidi" w:hAnsiTheme="majorBidi" w:cstheme="majorBidi"/>
                <w:noProof/>
                <w:sz w:val="24"/>
                <w:szCs w:val="24"/>
              </w:rPr>
              <w:drawing>
                <wp:inline distT="0" distB="0" distL="0" distR="0" wp14:anchorId="7A3E6834" wp14:editId="5A4C8DB4">
                  <wp:extent cx="5543828" cy="240919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1377" cy="2408125"/>
                          </a:xfrm>
                          <a:prstGeom prst="rect">
                            <a:avLst/>
                          </a:prstGeom>
                          <a:noFill/>
                          <a:ln>
                            <a:noFill/>
                          </a:ln>
                        </pic:spPr>
                      </pic:pic>
                    </a:graphicData>
                  </a:graphic>
                </wp:inline>
              </w:drawing>
            </w:r>
          </w:p>
        </w:tc>
      </w:tr>
    </w:tbl>
    <w:p w14:paraId="3BDB45AA" w14:textId="47C7B19E" w:rsidR="006E6659" w:rsidRPr="00373794" w:rsidRDefault="00B71E1A" w:rsidP="001B3910">
      <w:pPr>
        <w:pStyle w:val="FigureCaption"/>
        <w:rPr>
          <w:szCs w:val="18"/>
        </w:rPr>
      </w:pPr>
      <w:r w:rsidRPr="004358D0">
        <w:rPr>
          <w:b/>
          <w:caps/>
          <w:szCs w:val="18"/>
        </w:rPr>
        <w:t>Figure 2</w:t>
      </w:r>
      <w:r w:rsidR="00CB7005" w:rsidRPr="004358D0">
        <w:rPr>
          <w:b/>
          <w:caps/>
          <w:szCs w:val="18"/>
        </w:rPr>
        <w:t>.</w:t>
      </w:r>
      <w:r w:rsidR="00CB7005" w:rsidRPr="00373794">
        <w:rPr>
          <w:b/>
          <w:caps/>
          <w:szCs w:val="18"/>
        </w:rPr>
        <w:t xml:space="preserve"> </w:t>
      </w:r>
      <w:r w:rsidR="0079521A" w:rsidRPr="000669B6">
        <w:rPr>
          <w:bCs/>
          <w:caps/>
          <w:szCs w:val="18"/>
        </w:rPr>
        <w:t>T</w:t>
      </w:r>
      <w:r w:rsidR="0079521A">
        <w:rPr>
          <w:szCs w:val="18"/>
        </w:rPr>
        <w:t>he</w:t>
      </w:r>
      <w:r w:rsidR="0079521A" w:rsidRPr="00373794">
        <w:rPr>
          <w:b/>
          <w:caps/>
          <w:szCs w:val="18"/>
        </w:rPr>
        <w:t xml:space="preserve"> </w:t>
      </w:r>
      <w:r w:rsidRPr="00373794">
        <w:rPr>
          <w:szCs w:val="18"/>
        </w:rPr>
        <w:t>RFLP</w:t>
      </w:r>
      <w:r w:rsidR="0079521A">
        <w:rPr>
          <w:szCs w:val="18"/>
        </w:rPr>
        <w:t xml:space="preserve"> </w:t>
      </w:r>
      <w:r w:rsidRPr="00373794">
        <w:rPr>
          <w:szCs w:val="18"/>
        </w:rPr>
        <w:t xml:space="preserve">products obtained after digestion of </w:t>
      </w:r>
      <w:r w:rsidRPr="00373794">
        <w:rPr>
          <w:i/>
          <w:iCs/>
          <w:szCs w:val="18"/>
        </w:rPr>
        <w:t>Hsp70-</w:t>
      </w:r>
      <w:r w:rsidR="0079521A">
        <w:rPr>
          <w:szCs w:val="18"/>
        </w:rPr>
        <w:t>hom</w:t>
      </w:r>
      <w:r w:rsidRPr="00373794">
        <w:rPr>
          <w:szCs w:val="18"/>
        </w:rPr>
        <w:t xml:space="preserve"> PCR</w:t>
      </w:r>
      <w:r w:rsidR="0079521A">
        <w:rPr>
          <w:szCs w:val="18"/>
        </w:rPr>
        <w:t xml:space="preserve"> product</w:t>
      </w:r>
      <w:r w:rsidRPr="00373794">
        <w:rPr>
          <w:szCs w:val="18"/>
        </w:rPr>
        <w:t xml:space="preserve"> with </w:t>
      </w:r>
      <w:proofErr w:type="spellStart"/>
      <w:r w:rsidRPr="00373794">
        <w:rPr>
          <w:szCs w:val="18"/>
        </w:rPr>
        <w:t>NocI</w:t>
      </w:r>
      <w:proofErr w:type="spellEnd"/>
      <w:r w:rsidRPr="00373794">
        <w:rPr>
          <w:szCs w:val="18"/>
        </w:rPr>
        <w:t xml:space="preserve"> restriction enzyme visualized on 1.5% agarose gel stained with </w:t>
      </w:r>
      <w:proofErr w:type="spellStart"/>
      <w:r w:rsidRPr="00373794">
        <w:rPr>
          <w:szCs w:val="18"/>
        </w:rPr>
        <w:t>Ethedium</w:t>
      </w:r>
      <w:proofErr w:type="spellEnd"/>
      <w:r w:rsidRPr="00373794">
        <w:rPr>
          <w:szCs w:val="18"/>
        </w:rPr>
        <w:t xml:space="preserve"> </w:t>
      </w:r>
      <w:r w:rsidR="0052267D" w:rsidRPr="00373794">
        <w:rPr>
          <w:szCs w:val="18"/>
        </w:rPr>
        <w:t>Bromide</w:t>
      </w:r>
      <w:r w:rsidRPr="00373794">
        <w:rPr>
          <w:szCs w:val="18"/>
        </w:rPr>
        <w:t xml:space="preserve"> M: 100bp ladder marker. Lanes 1-</w:t>
      </w:r>
      <w:r w:rsidR="0052267D" w:rsidRPr="00373794">
        <w:rPr>
          <w:szCs w:val="18"/>
        </w:rPr>
        <w:t>19 resemble</w:t>
      </w:r>
      <w:r w:rsidRPr="00373794">
        <w:rPr>
          <w:szCs w:val="18"/>
        </w:rPr>
        <w:t xml:space="preserve"> RFLP </w:t>
      </w:r>
      <w:r w:rsidR="0052267D" w:rsidRPr="00373794">
        <w:rPr>
          <w:szCs w:val="18"/>
        </w:rPr>
        <w:t>products. The</w:t>
      </w:r>
      <w:r w:rsidRPr="00373794">
        <w:rPr>
          <w:szCs w:val="18"/>
        </w:rPr>
        <w:t xml:space="preserve"> presence of the </w:t>
      </w:r>
      <w:r w:rsidRPr="00373794">
        <w:rPr>
          <w:i/>
          <w:iCs/>
          <w:szCs w:val="18"/>
        </w:rPr>
        <w:t>Hsp</w:t>
      </w:r>
      <w:r w:rsidRPr="00373794">
        <w:rPr>
          <w:szCs w:val="18"/>
        </w:rPr>
        <w:t>70-hom</w:t>
      </w:r>
      <w:r w:rsidRPr="00373794">
        <w:rPr>
          <w:i/>
          <w:iCs/>
          <w:szCs w:val="18"/>
        </w:rPr>
        <w:t xml:space="preserve"> </w:t>
      </w:r>
      <w:r w:rsidRPr="00373794">
        <w:rPr>
          <w:szCs w:val="18"/>
        </w:rPr>
        <w:t xml:space="preserve">T/C allele was detected in Lanes 2, 6, and 17 with three fragments (551, 327 and 878) bp. The </w:t>
      </w:r>
      <w:r w:rsidRPr="00373794">
        <w:rPr>
          <w:i/>
          <w:iCs/>
          <w:szCs w:val="18"/>
        </w:rPr>
        <w:t>Hsp70-</w:t>
      </w:r>
      <w:r w:rsidRPr="00373794">
        <w:rPr>
          <w:szCs w:val="18"/>
        </w:rPr>
        <w:t xml:space="preserve">hom T/T genotype was observed in lanes 1, 3-5, 7-16, and 18,19, which included digested </w:t>
      </w:r>
      <w:r w:rsidRPr="00373794">
        <w:rPr>
          <w:i/>
          <w:iCs/>
          <w:szCs w:val="18"/>
        </w:rPr>
        <w:t>Hsp70-</w:t>
      </w:r>
      <w:r w:rsidRPr="00373794">
        <w:rPr>
          <w:szCs w:val="18"/>
        </w:rPr>
        <w:t>hom PCR products of (551 and 327) bp.</w:t>
      </w:r>
    </w:p>
    <w:p w14:paraId="1B0FDD8D" w14:textId="77777777" w:rsidR="00B86583" w:rsidRPr="00B86583" w:rsidRDefault="00B86583" w:rsidP="003B2AB0">
      <w:pPr>
        <w:pStyle w:val="Paragraph"/>
        <w:ind w:firstLine="0"/>
      </w:pPr>
    </w:p>
    <w:tbl>
      <w:tblPr>
        <w:tblStyle w:val="TableGrid"/>
        <w:tblW w:w="0" w:type="auto"/>
        <w:tblBorders>
          <w:top w:val="none" w:sz="0" w:space="0" w:color="auto"/>
          <w:left w:val="none" w:sz="0" w:space="0" w:color="auto"/>
          <w:right w:val="none" w:sz="0" w:space="0" w:color="auto"/>
          <w:insideH w:val="none" w:sz="0" w:space="0" w:color="auto"/>
        </w:tblBorders>
        <w:tblLook w:val="04A0" w:firstRow="1" w:lastRow="0" w:firstColumn="1" w:lastColumn="0" w:noHBand="0" w:noVBand="1"/>
      </w:tblPr>
      <w:tblGrid>
        <w:gridCol w:w="1779"/>
        <w:gridCol w:w="1012"/>
        <w:gridCol w:w="919"/>
        <w:gridCol w:w="1033"/>
        <w:gridCol w:w="851"/>
        <w:gridCol w:w="2552"/>
        <w:gridCol w:w="1430"/>
      </w:tblGrid>
      <w:tr w:rsidR="00543F8A" w:rsidRPr="00373794" w14:paraId="17A9B1A7" w14:textId="77777777" w:rsidTr="00064B34">
        <w:tc>
          <w:tcPr>
            <w:tcW w:w="0" w:type="auto"/>
            <w:gridSpan w:val="7"/>
            <w:tcBorders>
              <w:bottom w:val="single" w:sz="4" w:space="0" w:color="auto"/>
            </w:tcBorders>
            <w:vAlign w:val="center"/>
          </w:tcPr>
          <w:p w14:paraId="767F95FB" w14:textId="765DC1A4" w:rsidR="00543F8A" w:rsidRPr="00373794" w:rsidRDefault="00543F8A" w:rsidP="001C2A54">
            <w:pPr>
              <w:pStyle w:val="TableCaption"/>
              <w:rPr>
                <w:lang w:bidi="ar-IQ"/>
              </w:rPr>
            </w:pPr>
            <w:r w:rsidRPr="00373794">
              <w:rPr>
                <w:b/>
                <w:bCs/>
              </w:rPr>
              <w:t>TABLE</w:t>
            </w:r>
            <w:r w:rsidRPr="00373794">
              <w:t xml:space="preserve"> </w:t>
            </w:r>
            <w:r w:rsidRPr="00373794">
              <w:rPr>
                <w:b/>
                <w:bCs/>
              </w:rPr>
              <w:t>2</w:t>
            </w:r>
            <w:r w:rsidR="000669B6">
              <w:rPr>
                <w:b/>
                <w:bCs/>
              </w:rPr>
              <w:t>.</w:t>
            </w:r>
            <w:r w:rsidRPr="00373794">
              <w:t xml:space="preserve">  Frequencies distributions of the genotypes and alleles of the </w:t>
            </w:r>
            <w:r w:rsidRPr="0079521A">
              <w:rPr>
                <w:i/>
                <w:iCs/>
              </w:rPr>
              <w:t>hsp</w:t>
            </w:r>
            <w:r w:rsidRPr="00373794">
              <w:t>70-hom in patients with breast cancer and control groups</w:t>
            </w:r>
          </w:p>
        </w:tc>
      </w:tr>
      <w:tr w:rsidR="00543F8A" w:rsidRPr="00373794" w14:paraId="5F1593F4" w14:textId="77777777" w:rsidTr="00064B34">
        <w:tc>
          <w:tcPr>
            <w:tcW w:w="0" w:type="auto"/>
            <w:vMerge w:val="restart"/>
            <w:tcBorders>
              <w:top w:val="single" w:sz="4" w:space="0" w:color="auto"/>
              <w:bottom w:val="single" w:sz="4" w:space="0" w:color="auto"/>
              <w:right w:val="nil"/>
            </w:tcBorders>
            <w:vAlign w:val="center"/>
          </w:tcPr>
          <w:p w14:paraId="641103B2" w14:textId="77777777" w:rsidR="00543F8A" w:rsidRPr="00373794" w:rsidRDefault="00543F8A" w:rsidP="00064B34">
            <w:pPr>
              <w:pStyle w:val="Paragraph"/>
              <w:rPr>
                <w:b/>
                <w:bCs/>
                <w:sz w:val="18"/>
                <w:szCs w:val="18"/>
              </w:rPr>
            </w:pPr>
            <w:r w:rsidRPr="00373794">
              <w:rPr>
                <w:b/>
                <w:bCs/>
                <w:sz w:val="18"/>
                <w:szCs w:val="18"/>
              </w:rPr>
              <w:t>Genotype</w:t>
            </w:r>
          </w:p>
        </w:tc>
        <w:tc>
          <w:tcPr>
            <w:tcW w:w="0" w:type="auto"/>
            <w:gridSpan w:val="2"/>
            <w:tcBorders>
              <w:top w:val="single" w:sz="4" w:space="0" w:color="auto"/>
              <w:left w:val="nil"/>
              <w:bottom w:val="single" w:sz="4" w:space="0" w:color="auto"/>
              <w:right w:val="nil"/>
            </w:tcBorders>
            <w:vAlign w:val="center"/>
          </w:tcPr>
          <w:p w14:paraId="7BC7AE0F" w14:textId="77777777" w:rsidR="00543F8A" w:rsidRPr="00373794" w:rsidRDefault="00543F8A" w:rsidP="00064B34">
            <w:pPr>
              <w:pStyle w:val="Paragraph"/>
              <w:rPr>
                <w:b/>
                <w:bCs/>
                <w:sz w:val="18"/>
                <w:szCs w:val="18"/>
              </w:rPr>
            </w:pPr>
            <w:r w:rsidRPr="00373794">
              <w:rPr>
                <w:b/>
                <w:bCs/>
                <w:sz w:val="18"/>
                <w:szCs w:val="18"/>
              </w:rPr>
              <w:t>Total No. of Patients =90</w:t>
            </w:r>
          </w:p>
        </w:tc>
        <w:tc>
          <w:tcPr>
            <w:tcW w:w="0" w:type="auto"/>
            <w:gridSpan w:val="2"/>
            <w:tcBorders>
              <w:top w:val="single" w:sz="4" w:space="0" w:color="auto"/>
              <w:left w:val="nil"/>
              <w:bottom w:val="single" w:sz="4" w:space="0" w:color="auto"/>
              <w:right w:val="nil"/>
            </w:tcBorders>
            <w:vAlign w:val="center"/>
          </w:tcPr>
          <w:p w14:paraId="366D72F4" w14:textId="77777777" w:rsidR="00543F8A" w:rsidRPr="00373794" w:rsidRDefault="00543F8A" w:rsidP="00064B34">
            <w:pPr>
              <w:pStyle w:val="Paragraph"/>
              <w:rPr>
                <w:b/>
                <w:bCs/>
                <w:sz w:val="18"/>
                <w:szCs w:val="18"/>
              </w:rPr>
            </w:pPr>
            <w:r w:rsidRPr="00373794">
              <w:rPr>
                <w:b/>
                <w:bCs/>
                <w:sz w:val="18"/>
                <w:szCs w:val="18"/>
              </w:rPr>
              <w:t>Total No. of Control=40</w:t>
            </w:r>
          </w:p>
        </w:tc>
        <w:tc>
          <w:tcPr>
            <w:tcW w:w="0" w:type="auto"/>
            <w:vMerge w:val="restart"/>
            <w:tcBorders>
              <w:top w:val="single" w:sz="4" w:space="0" w:color="auto"/>
              <w:left w:val="nil"/>
              <w:bottom w:val="single" w:sz="4" w:space="0" w:color="auto"/>
              <w:right w:val="nil"/>
            </w:tcBorders>
            <w:vAlign w:val="center"/>
          </w:tcPr>
          <w:p w14:paraId="1FDFDE13" w14:textId="77777777" w:rsidR="00543F8A" w:rsidRPr="00373794" w:rsidRDefault="00543F8A" w:rsidP="00064B34">
            <w:pPr>
              <w:pStyle w:val="Paragraph"/>
              <w:rPr>
                <w:b/>
                <w:bCs/>
                <w:sz w:val="18"/>
                <w:szCs w:val="18"/>
              </w:rPr>
            </w:pPr>
            <w:r w:rsidRPr="00373794">
              <w:rPr>
                <w:b/>
                <w:bCs/>
                <w:sz w:val="18"/>
                <w:szCs w:val="18"/>
              </w:rPr>
              <w:t>Odd’s ratio</w:t>
            </w:r>
          </w:p>
          <w:p w14:paraId="6A5733CD" w14:textId="77777777" w:rsidR="00543F8A" w:rsidRPr="00373794" w:rsidRDefault="00543F8A" w:rsidP="00064B34">
            <w:pPr>
              <w:pStyle w:val="Paragraph"/>
              <w:rPr>
                <w:b/>
                <w:bCs/>
                <w:sz w:val="18"/>
                <w:szCs w:val="18"/>
              </w:rPr>
            </w:pPr>
            <w:r w:rsidRPr="00373794">
              <w:rPr>
                <w:b/>
                <w:bCs/>
                <w:sz w:val="18"/>
                <w:szCs w:val="18"/>
              </w:rPr>
              <w:t>(95% CI)</w:t>
            </w:r>
          </w:p>
        </w:tc>
        <w:tc>
          <w:tcPr>
            <w:tcW w:w="0" w:type="auto"/>
            <w:tcBorders>
              <w:top w:val="single" w:sz="4" w:space="0" w:color="auto"/>
              <w:left w:val="nil"/>
              <w:bottom w:val="single" w:sz="4" w:space="0" w:color="auto"/>
            </w:tcBorders>
            <w:vAlign w:val="center"/>
          </w:tcPr>
          <w:p w14:paraId="2E6B2274" w14:textId="77777777" w:rsidR="00543F8A" w:rsidRPr="00373794" w:rsidRDefault="00543F8A" w:rsidP="00064B34">
            <w:pPr>
              <w:pStyle w:val="Paragraph"/>
              <w:rPr>
                <w:b/>
                <w:bCs/>
                <w:i/>
                <w:iCs/>
                <w:sz w:val="18"/>
                <w:szCs w:val="18"/>
              </w:rPr>
            </w:pPr>
            <w:r w:rsidRPr="00373794">
              <w:rPr>
                <w:b/>
                <w:bCs/>
                <w:i/>
                <w:iCs/>
                <w:sz w:val="18"/>
                <w:szCs w:val="18"/>
              </w:rPr>
              <w:t>P</w:t>
            </w:r>
            <w:r w:rsidRPr="00373794">
              <w:rPr>
                <w:b/>
                <w:bCs/>
                <w:sz w:val="18"/>
                <w:szCs w:val="18"/>
              </w:rPr>
              <w:t xml:space="preserve"> value</w:t>
            </w:r>
          </w:p>
        </w:tc>
      </w:tr>
      <w:tr w:rsidR="00543F8A" w:rsidRPr="00373794" w14:paraId="6C131B08" w14:textId="77777777" w:rsidTr="00064B34">
        <w:trPr>
          <w:trHeight w:val="70"/>
        </w:trPr>
        <w:tc>
          <w:tcPr>
            <w:tcW w:w="0" w:type="auto"/>
            <w:vMerge/>
            <w:tcBorders>
              <w:top w:val="single" w:sz="4" w:space="0" w:color="auto"/>
              <w:bottom w:val="single" w:sz="4" w:space="0" w:color="auto"/>
              <w:right w:val="nil"/>
            </w:tcBorders>
            <w:vAlign w:val="center"/>
          </w:tcPr>
          <w:p w14:paraId="59D9F359" w14:textId="77777777" w:rsidR="00543F8A" w:rsidRPr="00373794" w:rsidRDefault="00543F8A" w:rsidP="00064B34">
            <w:pPr>
              <w:pStyle w:val="Paragraph"/>
              <w:rPr>
                <w:sz w:val="18"/>
                <w:szCs w:val="18"/>
              </w:rPr>
            </w:pPr>
          </w:p>
        </w:tc>
        <w:tc>
          <w:tcPr>
            <w:tcW w:w="0" w:type="auto"/>
            <w:tcBorders>
              <w:top w:val="single" w:sz="4" w:space="0" w:color="auto"/>
              <w:left w:val="nil"/>
              <w:bottom w:val="single" w:sz="4" w:space="0" w:color="auto"/>
              <w:right w:val="nil"/>
            </w:tcBorders>
            <w:vAlign w:val="center"/>
          </w:tcPr>
          <w:p w14:paraId="195972E7" w14:textId="77777777" w:rsidR="00543F8A" w:rsidRPr="00373794" w:rsidRDefault="00543F8A" w:rsidP="00064B34">
            <w:pPr>
              <w:pStyle w:val="Paragraph"/>
              <w:rPr>
                <w:b/>
                <w:bCs/>
                <w:sz w:val="18"/>
                <w:szCs w:val="18"/>
              </w:rPr>
            </w:pPr>
            <w:r w:rsidRPr="00373794">
              <w:rPr>
                <w:b/>
                <w:bCs/>
                <w:sz w:val="18"/>
                <w:szCs w:val="18"/>
              </w:rPr>
              <w:t>No</w:t>
            </w:r>
          </w:p>
        </w:tc>
        <w:tc>
          <w:tcPr>
            <w:tcW w:w="0" w:type="auto"/>
            <w:tcBorders>
              <w:top w:val="single" w:sz="4" w:space="0" w:color="auto"/>
              <w:left w:val="nil"/>
              <w:bottom w:val="single" w:sz="4" w:space="0" w:color="auto"/>
              <w:right w:val="nil"/>
            </w:tcBorders>
            <w:vAlign w:val="center"/>
          </w:tcPr>
          <w:p w14:paraId="1799CC08" w14:textId="77777777" w:rsidR="00543F8A" w:rsidRPr="00373794" w:rsidRDefault="00543F8A" w:rsidP="00064B34">
            <w:pPr>
              <w:pStyle w:val="Paragraph"/>
              <w:rPr>
                <w:b/>
                <w:bCs/>
                <w:sz w:val="18"/>
                <w:szCs w:val="18"/>
              </w:rPr>
            </w:pPr>
            <w:r w:rsidRPr="00373794">
              <w:rPr>
                <w:b/>
                <w:bCs/>
                <w:sz w:val="18"/>
                <w:szCs w:val="18"/>
              </w:rPr>
              <w:t>%</w:t>
            </w:r>
          </w:p>
        </w:tc>
        <w:tc>
          <w:tcPr>
            <w:tcW w:w="0" w:type="auto"/>
            <w:tcBorders>
              <w:top w:val="single" w:sz="4" w:space="0" w:color="auto"/>
              <w:left w:val="nil"/>
              <w:bottom w:val="single" w:sz="4" w:space="0" w:color="auto"/>
              <w:right w:val="nil"/>
            </w:tcBorders>
            <w:vAlign w:val="center"/>
          </w:tcPr>
          <w:p w14:paraId="023506A8" w14:textId="77777777" w:rsidR="00543F8A" w:rsidRPr="00373794" w:rsidRDefault="00543F8A" w:rsidP="00064B34">
            <w:pPr>
              <w:pStyle w:val="Paragraph"/>
              <w:rPr>
                <w:b/>
                <w:bCs/>
                <w:sz w:val="18"/>
                <w:szCs w:val="18"/>
              </w:rPr>
            </w:pPr>
            <w:r w:rsidRPr="00373794">
              <w:rPr>
                <w:b/>
                <w:bCs/>
                <w:sz w:val="18"/>
                <w:szCs w:val="18"/>
              </w:rPr>
              <w:t>No.</w:t>
            </w:r>
          </w:p>
        </w:tc>
        <w:tc>
          <w:tcPr>
            <w:tcW w:w="0" w:type="auto"/>
            <w:tcBorders>
              <w:top w:val="single" w:sz="4" w:space="0" w:color="auto"/>
              <w:left w:val="nil"/>
              <w:bottom w:val="single" w:sz="4" w:space="0" w:color="auto"/>
              <w:right w:val="nil"/>
            </w:tcBorders>
            <w:vAlign w:val="center"/>
          </w:tcPr>
          <w:p w14:paraId="474D13E7" w14:textId="77777777" w:rsidR="00543F8A" w:rsidRPr="00373794" w:rsidRDefault="00543F8A" w:rsidP="00064B34">
            <w:pPr>
              <w:pStyle w:val="Paragraph"/>
              <w:rPr>
                <w:b/>
                <w:bCs/>
                <w:sz w:val="18"/>
                <w:szCs w:val="18"/>
              </w:rPr>
            </w:pPr>
            <w:r w:rsidRPr="00373794">
              <w:rPr>
                <w:b/>
                <w:bCs/>
                <w:sz w:val="18"/>
                <w:szCs w:val="18"/>
              </w:rPr>
              <w:t>%</w:t>
            </w:r>
          </w:p>
        </w:tc>
        <w:tc>
          <w:tcPr>
            <w:tcW w:w="0" w:type="auto"/>
            <w:vMerge/>
            <w:tcBorders>
              <w:top w:val="single" w:sz="4" w:space="0" w:color="auto"/>
              <w:left w:val="nil"/>
              <w:bottom w:val="single" w:sz="4" w:space="0" w:color="auto"/>
              <w:right w:val="nil"/>
            </w:tcBorders>
            <w:vAlign w:val="center"/>
          </w:tcPr>
          <w:p w14:paraId="73015996" w14:textId="77777777" w:rsidR="00543F8A" w:rsidRPr="00373794" w:rsidRDefault="00543F8A" w:rsidP="00064B34">
            <w:pPr>
              <w:pStyle w:val="Paragraph"/>
              <w:rPr>
                <w:sz w:val="18"/>
                <w:szCs w:val="18"/>
              </w:rPr>
            </w:pPr>
          </w:p>
        </w:tc>
        <w:tc>
          <w:tcPr>
            <w:tcW w:w="0" w:type="auto"/>
            <w:tcBorders>
              <w:top w:val="single" w:sz="4" w:space="0" w:color="auto"/>
              <w:left w:val="nil"/>
              <w:bottom w:val="single" w:sz="4" w:space="0" w:color="auto"/>
            </w:tcBorders>
            <w:vAlign w:val="center"/>
          </w:tcPr>
          <w:p w14:paraId="15D6CA14" w14:textId="77777777" w:rsidR="00543F8A" w:rsidRPr="00373794" w:rsidRDefault="00543F8A" w:rsidP="00064B34">
            <w:pPr>
              <w:pStyle w:val="Paragraph"/>
              <w:rPr>
                <w:sz w:val="18"/>
                <w:szCs w:val="18"/>
              </w:rPr>
            </w:pPr>
          </w:p>
        </w:tc>
      </w:tr>
      <w:tr w:rsidR="00543F8A" w:rsidRPr="00373794" w14:paraId="27A74108" w14:textId="77777777" w:rsidTr="00064B34">
        <w:trPr>
          <w:trHeight w:val="70"/>
        </w:trPr>
        <w:tc>
          <w:tcPr>
            <w:tcW w:w="0" w:type="auto"/>
            <w:tcBorders>
              <w:top w:val="single" w:sz="4" w:space="0" w:color="auto"/>
              <w:bottom w:val="nil"/>
              <w:right w:val="nil"/>
            </w:tcBorders>
            <w:vAlign w:val="center"/>
          </w:tcPr>
          <w:p w14:paraId="340103D5" w14:textId="77777777" w:rsidR="00543F8A" w:rsidRPr="00373794" w:rsidRDefault="00543F8A" w:rsidP="00064B34">
            <w:pPr>
              <w:pStyle w:val="Paragraph"/>
              <w:rPr>
                <w:sz w:val="18"/>
                <w:szCs w:val="18"/>
              </w:rPr>
            </w:pPr>
            <w:r w:rsidRPr="00373794">
              <w:rPr>
                <w:sz w:val="18"/>
                <w:szCs w:val="18"/>
              </w:rPr>
              <w:t>TT</w:t>
            </w:r>
          </w:p>
        </w:tc>
        <w:tc>
          <w:tcPr>
            <w:tcW w:w="0" w:type="auto"/>
            <w:tcBorders>
              <w:top w:val="single" w:sz="4" w:space="0" w:color="auto"/>
              <w:left w:val="nil"/>
              <w:bottom w:val="nil"/>
              <w:right w:val="nil"/>
            </w:tcBorders>
            <w:vAlign w:val="center"/>
          </w:tcPr>
          <w:p w14:paraId="25FCDADF" w14:textId="77777777" w:rsidR="00543F8A" w:rsidRPr="00373794" w:rsidRDefault="00543F8A" w:rsidP="00064B34">
            <w:pPr>
              <w:pStyle w:val="Paragraph"/>
              <w:rPr>
                <w:sz w:val="18"/>
                <w:szCs w:val="18"/>
              </w:rPr>
            </w:pPr>
            <w:r w:rsidRPr="00373794">
              <w:rPr>
                <w:sz w:val="18"/>
                <w:szCs w:val="18"/>
              </w:rPr>
              <w:t>81</w:t>
            </w:r>
          </w:p>
        </w:tc>
        <w:tc>
          <w:tcPr>
            <w:tcW w:w="0" w:type="auto"/>
            <w:tcBorders>
              <w:top w:val="single" w:sz="4" w:space="0" w:color="auto"/>
              <w:left w:val="nil"/>
              <w:bottom w:val="nil"/>
              <w:right w:val="nil"/>
            </w:tcBorders>
            <w:vAlign w:val="center"/>
          </w:tcPr>
          <w:p w14:paraId="70656457" w14:textId="77777777" w:rsidR="00543F8A" w:rsidRPr="00373794" w:rsidRDefault="00543F8A" w:rsidP="00064B34">
            <w:pPr>
              <w:pStyle w:val="Paragraph"/>
              <w:rPr>
                <w:sz w:val="18"/>
                <w:szCs w:val="18"/>
              </w:rPr>
            </w:pPr>
            <w:r w:rsidRPr="00373794">
              <w:rPr>
                <w:sz w:val="18"/>
                <w:szCs w:val="18"/>
              </w:rPr>
              <w:t>90</w:t>
            </w:r>
          </w:p>
        </w:tc>
        <w:tc>
          <w:tcPr>
            <w:tcW w:w="0" w:type="auto"/>
            <w:tcBorders>
              <w:top w:val="single" w:sz="4" w:space="0" w:color="auto"/>
              <w:left w:val="nil"/>
              <w:bottom w:val="nil"/>
              <w:right w:val="nil"/>
            </w:tcBorders>
            <w:vAlign w:val="center"/>
          </w:tcPr>
          <w:p w14:paraId="7CC75ACF" w14:textId="77777777" w:rsidR="00543F8A" w:rsidRPr="00373794" w:rsidRDefault="00543F8A" w:rsidP="00064B34">
            <w:pPr>
              <w:pStyle w:val="Paragraph"/>
              <w:rPr>
                <w:sz w:val="18"/>
                <w:szCs w:val="18"/>
              </w:rPr>
            </w:pPr>
            <w:r w:rsidRPr="00373794">
              <w:rPr>
                <w:sz w:val="18"/>
                <w:szCs w:val="18"/>
              </w:rPr>
              <w:t>64</w:t>
            </w:r>
          </w:p>
        </w:tc>
        <w:tc>
          <w:tcPr>
            <w:tcW w:w="0" w:type="auto"/>
            <w:tcBorders>
              <w:top w:val="single" w:sz="4" w:space="0" w:color="auto"/>
              <w:left w:val="nil"/>
              <w:bottom w:val="nil"/>
              <w:right w:val="nil"/>
            </w:tcBorders>
            <w:vAlign w:val="center"/>
          </w:tcPr>
          <w:p w14:paraId="06F3A51F" w14:textId="77777777" w:rsidR="00543F8A" w:rsidRPr="00373794" w:rsidRDefault="00543F8A" w:rsidP="00064B34">
            <w:pPr>
              <w:pStyle w:val="Paragraph"/>
              <w:rPr>
                <w:sz w:val="18"/>
                <w:szCs w:val="18"/>
              </w:rPr>
            </w:pPr>
            <w:r w:rsidRPr="00373794">
              <w:rPr>
                <w:sz w:val="18"/>
                <w:szCs w:val="18"/>
              </w:rPr>
              <w:t>80</w:t>
            </w:r>
          </w:p>
        </w:tc>
        <w:tc>
          <w:tcPr>
            <w:tcW w:w="0" w:type="auto"/>
            <w:tcBorders>
              <w:top w:val="single" w:sz="4" w:space="0" w:color="auto"/>
              <w:left w:val="nil"/>
              <w:bottom w:val="nil"/>
              <w:right w:val="nil"/>
            </w:tcBorders>
            <w:vAlign w:val="center"/>
          </w:tcPr>
          <w:p w14:paraId="4C125BB8" w14:textId="35CB476B" w:rsidR="00543F8A" w:rsidRPr="00373794" w:rsidRDefault="009877FB" w:rsidP="009877FB">
            <w:pPr>
              <w:pStyle w:val="Paragraph"/>
              <w:rPr>
                <w:sz w:val="18"/>
                <w:szCs w:val="18"/>
              </w:rPr>
            </w:pPr>
            <w:r w:rsidRPr="00373794">
              <w:rPr>
                <w:sz w:val="18"/>
                <w:szCs w:val="18"/>
              </w:rPr>
              <w:t>0</w:t>
            </w:r>
            <w:r w:rsidR="00543F8A" w:rsidRPr="00373794">
              <w:rPr>
                <w:sz w:val="18"/>
                <w:szCs w:val="18"/>
              </w:rPr>
              <w:t>.</w:t>
            </w:r>
            <w:r w:rsidRPr="00373794">
              <w:rPr>
                <w:sz w:val="18"/>
                <w:szCs w:val="18"/>
              </w:rPr>
              <w:t>8</w:t>
            </w:r>
            <w:r w:rsidR="00543F8A" w:rsidRPr="00373794">
              <w:rPr>
                <w:sz w:val="18"/>
                <w:szCs w:val="18"/>
              </w:rPr>
              <w:t xml:space="preserve">5 (0.55- </w:t>
            </w:r>
            <w:r w:rsidR="00AC672D" w:rsidRPr="00373794">
              <w:rPr>
                <w:rFonts w:hint="cs"/>
                <w:sz w:val="18"/>
                <w:szCs w:val="18"/>
                <w:rtl/>
              </w:rPr>
              <w:t>1</w:t>
            </w:r>
            <w:r w:rsidR="00543F8A" w:rsidRPr="00373794">
              <w:rPr>
                <w:sz w:val="18"/>
                <w:szCs w:val="18"/>
              </w:rPr>
              <w:t>.18)</w:t>
            </w:r>
          </w:p>
        </w:tc>
        <w:tc>
          <w:tcPr>
            <w:tcW w:w="0" w:type="auto"/>
            <w:tcBorders>
              <w:top w:val="single" w:sz="4" w:space="0" w:color="auto"/>
              <w:left w:val="nil"/>
              <w:bottom w:val="nil"/>
            </w:tcBorders>
            <w:vAlign w:val="center"/>
          </w:tcPr>
          <w:p w14:paraId="77558A4A" w14:textId="77777777" w:rsidR="00543F8A" w:rsidRPr="00373794" w:rsidRDefault="00543F8A" w:rsidP="00064B34">
            <w:pPr>
              <w:pStyle w:val="Paragraph"/>
              <w:rPr>
                <w:sz w:val="18"/>
                <w:szCs w:val="18"/>
              </w:rPr>
            </w:pPr>
            <w:r w:rsidRPr="00373794">
              <w:rPr>
                <w:sz w:val="18"/>
                <w:szCs w:val="18"/>
              </w:rPr>
              <w:t>0.259</w:t>
            </w:r>
          </w:p>
        </w:tc>
      </w:tr>
      <w:tr w:rsidR="00543F8A" w:rsidRPr="00373794" w14:paraId="5A8D0EC0" w14:textId="77777777" w:rsidTr="00064B34">
        <w:trPr>
          <w:trHeight w:val="70"/>
        </w:trPr>
        <w:tc>
          <w:tcPr>
            <w:tcW w:w="0" w:type="auto"/>
            <w:tcBorders>
              <w:bottom w:val="nil"/>
              <w:right w:val="nil"/>
            </w:tcBorders>
            <w:vAlign w:val="center"/>
          </w:tcPr>
          <w:p w14:paraId="56768508" w14:textId="77777777" w:rsidR="00543F8A" w:rsidRPr="00373794" w:rsidRDefault="00543F8A" w:rsidP="00064B34">
            <w:pPr>
              <w:pStyle w:val="Paragraph"/>
              <w:rPr>
                <w:sz w:val="18"/>
                <w:szCs w:val="18"/>
              </w:rPr>
            </w:pPr>
            <w:r w:rsidRPr="00373794">
              <w:rPr>
                <w:sz w:val="18"/>
                <w:szCs w:val="18"/>
              </w:rPr>
              <w:t>TC</w:t>
            </w:r>
          </w:p>
        </w:tc>
        <w:tc>
          <w:tcPr>
            <w:tcW w:w="0" w:type="auto"/>
            <w:tcBorders>
              <w:left w:val="nil"/>
              <w:bottom w:val="nil"/>
              <w:right w:val="nil"/>
            </w:tcBorders>
            <w:vAlign w:val="center"/>
          </w:tcPr>
          <w:p w14:paraId="1BDA556E" w14:textId="77777777" w:rsidR="00543F8A" w:rsidRPr="00373794" w:rsidRDefault="00543F8A" w:rsidP="00064B34">
            <w:pPr>
              <w:pStyle w:val="Paragraph"/>
              <w:rPr>
                <w:sz w:val="18"/>
                <w:szCs w:val="18"/>
              </w:rPr>
            </w:pPr>
            <w:r w:rsidRPr="00373794">
              <w:rPr>
                <w:sz w:val="18"/>
                <w:szCs w:val="18"/>
              </w:rPr>
              <w:t>9</w:t>
            </w:r>
          </w:p>
        </w:tc>
        <w:tc>
          <w:tcPr>
            <w:tcW w:w="0" w:type="auto"/>
            <w:tcBorders>
              <w:left w:val="nil"/>
              <w:bottom w:val="nil"/>
              <w:right w:val="nil"/>
            </w:tcBorders>
            <w:vAlign w:val="center"/>
          </w:tcPr>
          <w:p w14:paraId="220C286A" w14:textId="77777777" w:rsidR="00543F8A" w:rsidRPr="00373794" w:rsidRDefault="00543F8A" w:rsidP="00064B34">
            <w:pPr>
              <w:pStyle w:val="Paragraph"/>
              <w:rPr>
                <w:sz w:val="18"/>
                <w:szCs w:val="18"/>
              </w:rPr>
            </w:pPr>
            <w:r w:rsidRPr="00373794">
              <w:rPr>
                <w:sz w:val="18"/>
                <w:szCs w:val="18"/>
              </w:rPr>
              <w:t>10</w:t>
            </w:r>
          </w:p>
        </w:tc>
        <w:tc>
          <w:tcPr>
            <w:tcW w:w="0" w:type="auto"/>
            <w:tcBorders>
              <w:left w:val="nil"/>
              <w:bottom w:val="nil"/>
              <w:right w:val="nil"/>
            </w:tcBorders>
            <w:vAlign w:val="center"/>
          </w:tcPr>
          <w:p w14:paraId="477740FA" w14:textId="77777777" w:rsidR="00543F8A" w:rsidRPr="00373794" w:rsidRDefault="00543F8A" w:rsidP="00064B34">
            <w:pPr>
              <w:pStyle w:val="Paragraph"/>
              <w:rPr>
                <w:sz w:val="18"/>
                <w:szCs w:val="18"/>
              </w:rPr>
            </w:pPr>
            <w:r w:rsidRPr="00373794">
              <w:rPr>
                <w:sz w:val="18"/>
                <w:szCs w:val="18"/>
              </w:rPr>
              <w:t>16</w:t>
            </w:r>
          </w:p>
        </w:tc>
        <w:tc>
          <w:tcPr>
            <w:tcW w:w="0" w:type="auto"/>
            <w:tcBorders>
              <w:left w:val="nil"/>
              <w:bottom w:val="nil"/>
              <w:right w:val="nil"/>
            </w:tcBorders>
            <w:vAlign w:val="center"/>
          </w:tcPr>
          <w:p w14:paraId="450481D3" w14:textId="77777777" w:rsidR="00543F8A" w:rsidRPr="00373794" w:rsidRDefault="00543F8A" w:rsidP="00064B34">
            <w:pPr>
              <w:pStyle w:val="Paragraph"/>
              <w:rPr>
                <w:sz w:val="18"/>
                <w:szCs w:val="18"/>
              </w:rPr>
            </w:pPr>
            <w:r w:rsidRPr="00373794">
              <w:rPr>
                <w:sz w:val="18"/>
                <w:szCs w:val="18"/>
              </w:rPr>
              <w:t>20</w:t>
            </w:r>
          </w:p>
        </w:tc>
        <w:tc>
          <w:tcPr>
            <w:tcW w:w="0" w:type="auto"/>
            <w:tcBorders>
              <w:left w:val="nil"/>
              <w:bottom w:val="nil"/>
              <w:right w:val="nil"/>
            </w:tcBorders>
            <w:vAlign w:val="center"/>
          </w:tcPr>
          <w:p w14:paraId="58F54EAC" w14:textId="77777777" w:rsidR="00543F8A" w:rsidRPr="00373794" w:rsidRDefault="00543F8A" w:rsidP="00064B34">
            <w:pPr>
              <w:pStyle w:val="Paragraph"/>
              <w:rPr>
                <w:sz w:val="18"/>
                <w:szCs w:val="18"/>
              </w:rPr>
            </w:pPr>
            <w:r w:rsidRPr="00373794">
              <w:rPr>
                <w:sz w:val="18"/>
                <w:szCs w:val="18"/>
              </w:rPr>
              <w:t>0.44 (0.11-1.81)</w:t>
            </w:r>
          </w:p>
        </w:tc>
        <w:tc>
          <w:tcPr>
            <w:tcW w:w="0" w:type="auto"/>
            <w:tcBorders>
              <w:left w:val="nil"/>
              <w:bottom w:val="nil"/>
            </w:tcBorders>
            <w:vAlign w:val="center"/>
          </w:tcPr>
          <w:p w14:paraId="55D80037" w14:textId="77777777" w:rsidR="00543F8A" w:rsidRPr="00373794" w:rsidRDefault="00543F8A" w:rsidP="00064B34">
            <w:pPr>
              <w:pStyle w:val="Paragraph"/>
              <w:rPr>
                <w:sz w:val="18"/>
                <w:szCs w:val="18"/>
              </w:rPr>
            </w:pPr>
            <w:r w:rsidRPr="00373794">
              <w:rPr>
                <w:sz w:val="18"/>
                <w:szCs w:val="18"/>
              </w:rPr>
              <w:t>0.259</w:t>
            </w:r>
          </w:p>
        </w:tc>
      </w:tr>
      <w:tr w:rsidR="00543F8A" w:rsidRPr="00373794" w14:paraId="1EF951F6" w14:textId="77777777" w:rsidTr="00064B34">
        <w:trPr>
          <w:trHeight w:val="70"/>
        </w:trPr>
        <w:tc>
          <w:tcPr>
            <w:tcW w:w="0" w:type="auto"/>
            <w:tcBorders>
              <w:bottom w:val="nil"/>
              <w:right w:val="nil"/>
            </w:tcBorders>
            <w:vAlign w:val="center"/>
          </w:tcPr>
          <w:p w14:paraId="707BD49B" w14:textId="77777777" w:rsidR="00543F8A" w:rsidRPr="00373794" w:rsidRDefault="00543F8A" w:rsidP="00064B34">
            <w:pPr>
              <w:pStyle w:val="Paragraph"/>
              <w:rPr>
                <w:sz w:val="18"/>
                <w:szCs w:val="18"/>
              </w:rPr>
            </w:pPr>
            <w:r w:rsidRPr="00373794">
              <w:rPr>
                <w:sz w:val="18"/>
                <w:szCs w:val="18"/>
              </w:rPr>
              <w:t>CC</w:t>
            </w:r>
          </w:p>
        </w:tc>
        <w:tc>
          <w:tcPr>
            <w:tcW w:w="0" w:type="auto"/>
            <w:tcBorders>
              <w:left w:val="nil"/>
              <w:bottom w:val="nil"/>
              <w:right w:val="nil"/>
            </w:tcBorders>
            <w:vAlign w:val="center"/>
          </w:tcPr>
          <w:p w14:paraId="59983DFC" w14:textId="77777777" w:rsidR="00543F8A" w:rsidRPr="00373794" w:rsidRDefault="00543F8A" w:rsidP="00064B34">
            <w:pPr>
              <w:pStyle w:val="Paragraph"/>
              <w:rPr>
                <w:sz w:val="18"/>
                <w:szCs w:val="18"/>
              </w:rPr>
            </w:pPr>
            <w:r w:rsidRPr="00373794">
              <w:rPr>
                <w:sz w:val="18"/>
                <w:szCs w:val="18"/>
              </w:rPr>
              <w:t>0</w:t>
            </w:r>
          </w:p>
        </w:tc>
        <w:tc>
          <w:tcPr>
            <w:tcW w:w="0" w:type="auto"/>
            <w:tcBorders>
              <w:left w:val="nil"/>
              <w:bottom w:val="nil"/>
              <w:right w:val="nil"/>
            </w:tcBorders>
            <w:vAlign w:val="center"/>
          </w:tcPr>
          <w:p w14:paraId="408EDA2B" w14:textId="77777777" w:rsidR="00543F8A" w:rsidRPr="00373794" w:rsidRDefault="00543F8A" w:rsidP="00064B34">
            <w:pPr>
              <w:pStyle w:val="Paragraph"/>
              <w:rPr>
                <w:sz w:val="18"/>
                <w:szCs w:val="18"/>
              </w:rPr>
            </w:pPr>
            <w:r w:rsidRPr="00373794">
              <w:rPr>
                <w:sz w:val="18"/>
                <w:szCs w:val="18"/>
              </w:rPr>
              <w:t>0</w:t>
            </w:r>
          </w:p>
        </w:tc>
        <w:tc>
          <w:tcPr>
            <w:tcW w:w="0" w:type="auto"/>
            <w:tcBorders>
              <w:left w:val="nil"/>
              <w:bottom w:val="nil"/>
              <w:right w:val="nil"/>
            </w:tcBorders>
            <w:vAlign w:val="center"/>
          </w:tcPr>
          <w:p w14:paraId="4354737F" w14:textId="77777777" w:rsidR="00543F8A" w:rsidRPr="00373794" w:rsidRDefault="00543F8A" w:rsidP="00064B34">
            <w:pPr>
              <w:pStyle w:val="Paragraph"/>
              <w:rPr>
                <w:sz w:val="18"/>
                <w:szCs w:val="18"/>
              </w:rPr>
            </w:pPr>
            <w:r w:rsidRPr="00373794">
              <w:rPr>
                <w:sz w:val="18"/>
                <w:szCs w:val="18"/>
              </w:rPr>
              <w:t>0</w:t>
            </w:r>
          </w:p>
        </w:tc>
        <w:tc>
          <w:tcPr>
            <w:tcW w:w="0" w:type="auto"/>
            <w:tcBorders>
              <w:left w:val="nil"/>
              <w:bottom w:val="nil"/>
              <w:right w:val="nil"/>
            </w:tcBorders>
            <w:vAlign w:val="center"/>
          </w:tcPr>
          <w:p w14:paraId="19DF9ABE" w14:textId="77777777" w:rsidR="00543F8A" w:rsidRPr="00373794" w:rsidRDefault="00543F8A" w:rsidP="00064B34">
            <w:pPr>
              <w:pStyle w:val="Paragraph"/>
              <w:rPr>
                <w:sz w:val="18"/>
                <w:szCs w:val="18"/>
              </w:rPr>
            </w:pPr>
            <w:r w:rsidRPr="00373794">
              <w:rPr>
                <w:sz w:val="18"/>
                <w:szCs w:val="18"/>
              </w:rPr>
              <w:t>0</w:t>
            </w:r>
          </w:p>
        </w:tc>
        <w:tc>
          <w:tcPr>
            <w:tcW w:w="0" w:type="auto"/>
            <w:tcBorders>
              <w:left w:val="nil"/>
              <w:bottom w:val="nil"/>
              <w:right w:val="nil"/>
            </w:tcBorders>
            <w:vAlign w:val="center"/>
          </w:tcPr>
          <w:p w14:paraId="32402911" w14:textId="77777777" w:rsidR="00543F8A" w:rsidRPr="00373794" w:rsidRDefault="00543F8A" w:rsidP="00064B34">
            <w:pPr>
              <w:pStyle w:val="Paragraph"/>
              <w:rPr>
                <w:sz w:val="18"/>
                <w:szCs w:val="18"/>
              </w:rPr>
            </w:pPr>
            <w:r w:rsidRPr="00373794">
              <w:rPr>
                <w:sz w:val="18"/>
                <w:szCs w:val="18"/>
              </w:rPr>
              <w:t>-</w:t>
            </w:r>
          </w:p>
        </w:tc>
        <w:tc>
          <w:tcPr>
            <w:tcW w:w="0" w:type="auto"/>
            <w:tcBorders>
              <w:left w:val="nil"/>
              <w:bottom w:val="nil"/>
            </w:tcBorders>
            <w:vAlign w:val="center"/>
          </w:tcPr>
          <w:p w14:paraId="627433EF" w14:textId="77777777" w:rsidR="00543F8A" w:rsidRPr="00373794" w:rsidRDefault="00543F8A" w:rsidP="00064B34">
            <w:pPr>
              <w:pStyle w:val="Paragraph"/>
              <w:rPr>
                <w:sz w:val="18"/>
                <w:szCs w:val="18"/>
              </w:rPr>
            </w:pPr>
            <w:r w:rsidRPr="00373794">
              <w:rPr>
                <w:sz w:val="18"/>
                <w:szCs w:val="18"/>
              </w:rPr>
              <w:t>-</w:t>
            </w:r>
          </w:p>
        </w:tc>
      </w:tr>
      <w:tr w:rsidR="00543F8A" w:rsidRPr="00373794" w14:paraId="2989543A" w14:textId="77777777" w:rsidTr="00064B34">
        <w:trPr>
          <w:trHeight w:val="70"/>
        </w:trPr>
        <w:tc>
          <w:tcPr>
            <w:tcW w:w="0" w:type="auto"/>
            <w:gridSpan w:val="7"/>
            <w:tcBorders>
              <w:bottom w:val="nil"/>
            </w:tcBorders>
            <w:vAlign w:val="center"/>
          </w:tcPr>
          <w:p w14:paraId="5DCA00B0" w14:textId="77777777" w:rsidR="00543F8A" w:rsidRPr="00373794" w:rsidRDefault="00543F8A" w:rsidP="00064B34">
            <w:pPr>
              <w:pStyle w:val="Paragraph"/>
              <w:rPr>
                <w:sz w:val="18"/>
                <w:szCs w:val="18"/>
              </w:rPr>
            </w:pPr>
            <w:r w:rsidRPr="00373794">
              <w:rPr>
                <w:sz w:val="18"/>
                <w:szCs w:val="18"/>
              </w:rPr>
              <w:t>Alleles frequency</w:t>
            </w:r>
          </w:p>
        </w:tc>
      </w:tr>
      <w:tr w:rsidR="00543F8A" w:rsidRPr="00373794" w14:paraId="1D5FE136" w14:textId="77777777" w:rsidTr="00064B34">
        <w:trPr>
          <w:trHeight w:val="70"/>
        </w:trPr>
        <w:tc>
          <w:tcPr>
            <w:tcW w:w="0" w:type="auto"/>
            <w:tcBorders>
              <w:right w:val="nil"/>
            </w:tcBorders>
            <w:vAlign w:val="center"/>
          </w:tcPr>
          <w:p w14:paraId="14710B51" w14:textId="77777777" w:rsidR="00543F8A" w:rsidRPr="00373794" w:rsidRDefault="00543F8A" w:rsidP="00064B34">
            <w:pPr>
              <w:pStyle w:val="Paragraph"/>
              <w:rPr>
                <w:sz w:val="18"/>
                <w:szCs w:val="18"/>
              </w:rPr>
            </w:pPr>
            <w:r w:rsidRPr="00373794">
              <w:rPr>
                <w:sz w:val="18"/>
                <w:szCs w:val="18"/>
              </w:rPr>
              <w:t>T</w:t>
            </w:r>
          </w:p>
        </w:tc>
        <w:tc>
          <w:tcPr>
            <w:tcW w:w="0" w:type="auto"/>
            <w:tcBorders>
              <w:left w:val="nil"/>
              <w:bottom w:val="nil"/>
              <w:right w:val="nil"/>
            </w:tcBorders>
            <w:vAlign w:val="center"/>
          </w:tcPr>
          <w:p w14:paraId="4FCBD886" w14:textId="77777777" w:rsidR="00543F8A" w:rsidRPr="00373794" w:rsidRDefault="00543F8A" w:rsidP="00064B34">
            <w:pPr>
              <w:pStyle w:val="Paragraph"/>
              <w:rPr>
                <w:sz w:val="18"/>
                <w:szCs w:val="18"/>
              </w:rPr>
            </w:pPr>
            <w:r w:rsidRPr="00373794">
              <w:rPr>
                <w:sz w:val="18"/>
                <w:szCs w:val="18"/>
              </w:rPr>
              <w:t>86</w:t>
            </w:r>
          </w:p>
        </w:tc>
        <w:tc>
          <w:tcPr>
            <w:tcW w:w="0" w:type="auto"/>
            <w:tcBorders>
              <w:left w:val="nil"/>
              <w:bottom w:val="nil"/>
              <w:right w:val="nil"/>
            </w:tcBorders>
            <w:vAlign w:val="center"/>
          </w:tcPr>
          <w:p w14:paraId="5A3E6C10" w14:textId="77777777" w:rsidR="00543F8A" w:rsidRPr="00373794" w:rsidRDefault="00543F8A" w:rsidP="00064B34">
            <w:pPr>
              <w:pStyle w:val="Paragraph"/>
              <w:rPr>
                <w:sz w:val="18"/>
                <w:szCs w:val="18"/>
              </w:rPr>
            </w:pPr>
            <w:r w:rsidRPr="00373794">
              <w:rPr>
                <w:sz w:val="18"/>
                <w:szCs w:val="18"/>
              </w:rPr>
              <w:t>96</w:t>
            </w:r>
          </w:p>
        </w:tc>
        <w:tc>
          <w:tcPr>
            <w:tcW w:w="0" w:type="auto"/>
            <w:tcBorders>
              <w:left w:val="nil"/>
              <w:bottom w:val="nil"/>
              <w:right w:val="nil"/>
            </w:tcBorders>
            <w:vAlign w:val="center"/>
          </w:tcPr>
          <w:p w14:paraId="27C4846C" w14:textId="77777777" w:rsidR="00543F8A" w:rsidRPr="00373794" w:rsidRDefault="00543F8A" w:rsidP="00064B34">
            <w:pPr>
              <w:pStyle w:val="Paragraph"/>
              <w:rPr>
                <w:sz w:val="18"/>
                <w:szCs w:val="18"/>
              </w:rPr>
            </w:pPr>
            <w:r w:rsidRPr="00373794">
              <w:rPr>
                <w:sz w:val="18"/>
                <w:szCs w:val="18"/>
              </w:rPr>
              <w:t>72</w:t>
            </w:r>
          </w:p>
        </w:tc>
        <w:tc>
          <w:tcPr>
            <w:tcW w:w="0" w:type="auto"/>
            <w:tcBorders>
              <w:left w:val="nil"/>
              <w:bottom w:val="nil"/>
              <w:right w:val="nil"/>
            </w:tcBorders>
            <w:vAlign w:val="center"/>
          </w:tcPr>
          <w:p w14:paraId="3918D836" w14:textId="77777777" w:rsidR="00543F8A" w:rsidRPr="00373794" w:rsidRDefault="00543F8A" w:rsidP="00064B34">
            <w:pPr>
              <w:pStyle w:val="Paragraph"/>
              <w:rPr>
                <w:sz w:val="18"/>
                <w:szCs w:val="18"/>
              </w:rPr>
            </w:pPr>
            <w:r w:rsidRPr="00373794">
              <w:rPr>
                <w:sz w:val="18"/>
                <w:szCs w:val="18"/>
              </w:rPr>
              <w:t>90</w:t>
            </w:r>
          </w:p>
        </w:tc>
        <w:tc>
          <w:tcPr>
            <w:tcW w:w="0" w:type="auto"/>
            <w:tcBorders>
              <w:left w:val="nil"/>
              <w:bottom w:val="nil"/>
              <w:right w:val="nil"/>
            </w:tcBorders>
            <w:vAlign w:val="center"/>
          </w:tcPr>
          <w:p w14:paraId="092B5335" w14:textId="33957626" w:rsidR="00543F8A" w:rsidRPr="00373794" w:rsidRDefault="009877FB" w:rsidP="009877FB">
            <w:pPr>
              <w:pStyle w:val="Paragraph"/>
              <w:rPr>
                <w:sz w:val="18"/>
                <w:szCs w:val="18"/>
              </w:rPr>
            </w:pPr>
            <w:r w:rsidRPr="00373794">
              <w:rPr>
                <w:sz w:val="18"/>
                <w:szCs w:val="18"/>
              </w:rPr>
              <w:t>0</w:t>
            </w:r>
            <w:r w:rsidR="00543F8A" w:rsidRPr="00373794">
              <w:rPr>
                <w:sz w:val="18"/>
                <w:szCs w:val="18"/>
              </w:rPr>
              <w:t>.</w:t>
            </w:r>
            <w:r w:rsidRPr="00373794">
              <w:rPr>
                <w:sz w:val="18"/>
                <w:szCs w:val="18"/>
              </w:rPr>
              <w:t>8</w:t>
            </w:r>
            <w:r w:rsidR="00543F8A" w:rsidRPr="00373794">
              <w:rPr>
                <w:sz w:val="18"/>
                <w:szCs w:val="18"/>
              </w:rPr>
              <w:t>1 (0.54-1.20)</w:t>
            </w:r>
          </w:p>
        </w:tc>
        <w:tc>
          <w:tcPr>
            <w:tcW w:w="0" w:type="auto"/>
            <w:tcBorders>
              <w:left w:val="nil"/>
              <w:bottom w:val="nil"/>
            </w:tcBorders>
            <w:vAlign w:val="center"/>
          </w:tcPr>
          <w:p w14:paraId="5E23C596" w14:textId="77777777" w:rsidR="00543F8A" w:rsidRPr="00373794" w:rsidRDefault="00543F8A" w:rsidP="00064B34">
            <w:pPr>
              <w:pStyle w:val="Paragraph"/>
              <w:rPr>
                <w:sz w:val="18"/>
                <w:szCs w:val="18"/>
              </w:rPr>
            </w:pPr>
            <w:r w:rsidRPr="00373794">
              <w:rPr>
                <w:sz w:val="18"/>
                <w:szCs w:val="18"/>
              </w:rPr>
              <w:t>0.276</w:t>
            </w:r>
          </w:p>
        </w:tc>
      </w:tr>
      <w:tr w:rsidR="00543F8A" w:rsidRPr="00373794" w14:paraId="0D539E49" w14:textId="77777777" w:rsidTr="00064B34">
        <w:trPr>
          <w:trHeight w:val="70"/>
        </w:trPr>
        <w:tc>
          <w:tcPr>
            <w:tcW w:w="0" w:type="auto"/>
            <w:tcBorders>
              <w:right w:val="nil"/>
            </w:tcBorders>
            <w:vAlign w:val="center"/>
          </w:tcPr>
          <w:p w14:paraId="024FA6AB" w14:textId="77777777" w:rsidR="00543F8A" w:rsidRPr="00373794" w:rsidRDefault="00543F8A" w:rsidP="00064B34">
            <w:pPr>
              <w:pStyle w:val="Paragraph"/>
              <w:rPr>
                <w:sz w:val="18"/>
                <w:szCs w:val="18"/>
              </w:rPr>
            </w:pPr>
            <w:r w:rsidRPr="00373794">
              <w:rPr>
                <w:sz w:val="18"/>
                <w:szCs w:val="18"/>
              </w:rPr>
              <w:t>C</w:t>
            </w:r>
          </w:p>
        </w:tc>
        <w:tc>
          <w:tcPr>
            <w:tcW w:w="0" w:type="auto"/>
            <w:tcBorders>
              <w:left w:val="nil"/>
              <w:bottom w:val="single" w:sz="4" w:space="0" w:color="auto"/>
              <w:right w:val="nil"/>
            </w:tcBorders>
            <w:vAlign w:val="center"/>
          </w:tcPr>
          <w:p w14:paraId="44B99DA0" w14:textId="77777777" w:rsidR="00543F8A" w:rsidRPr="00373794" w:rsidRDefault="00543F8A" w:rsidP="00064B34">
            <w:pPr>
              <w:pStyle w:val="Paragraph"/>
              <w:rPr>
                <w:sz w:val="18"/>
                <w:szCs w:val="18"/>
              </w:rPr>
            </w:pPr>
            <w:r w:rsidRPr="00373794">
              <w:rPr>
                <w:sz w:val="18"/>
                <w:szCs w:val="18"/>
              </w:rPr>
              <w:t>4</w:t>
            </w:r>
          </w:p>
        </w:tc>
        <w:tc>
          <w:tcPr>
            <w:tcW w:w="0" w:type="auto"/>
            <w:tcBorders>
              <w:left w:val="nil"/>
              <w:bottom w:val="single" w:sz="4" w:space="0" w:color="auto"/>
              <w:right w:val="nil"/>
            </w:tcBorders>
            <w:vAlign w:val="center"/>
          </w:tcPr>
          <w:p w14:paraId="1FE0E31D" w14:textId="77777777" w:rsidR="00543F8A" w:rsidRPr="00373794" w:rsidRDefault="00543F8A" w:rsidP="00064B34">
            <w:pPr>
              <w:pStyle w:val="Paragraph"/>
              <w:rPr>
                <w:sz w:val="18"/>
                <w:szCs w:val="18"/>
              </w:rPr>
            </w:pPr>
            <w:r w:rsidRPr="00373794">
              <w:rPr>
                <w:sz w:val="18"/>
                <w:szCs w:val="18"/>
              </w:rPr>
              <w:t>4</w:t>
            </w:r>
          </w:p>
        </w:tc>
        <w:tc>
          <w:tcPr>
            <w:tcW w:w="0" w:type="auto"/>
            <w:tcBorders>
              <w:left w:val="nil"/>
              <w:bottom w:val="single" w:sz="4" w:space="0" w:color="auto"/>
              <w:right w:val="nil"/>
            </w:tcBorders>
            <w:vAlign w:val="center"/>
          </w:tcPr>
          <w:p w14:paraId="11758DCE" w14:textId="77777777" w:rsidR="00543F8A" w:rsidRPr="00373794" w:rsidRDefault="00543F8A" w:rsidP="00064B34">
            <w:pPr>
              <w:pStyle w:val="Paragraph"/>
              <w:rPr>
                <w:sz w:val="18"/>
                <w:szCs w:val="18"/>
              </w:rPr>
            </w:pPr>
            <w:r w:rsidRPr="00373794">
              <w:rPr>
                <w:sz w:val="18"/>
                <w:szCs w:val="18"/>
              </w:rPr>
              <w:t>8</w:t>
            </w:r>
          </w:p>
        </w:tc>
        <w:tc>
          <w:tcPr>
            <w:tcW w:w="0" w:type="auto"/>
            <w:tcBorders>
              <w:left w:val="nil"/>
              <w:bottom w:val="single" w:sz="4" w:space="0" w:color="auto"/>
              <w:right w:val="nil"/>
            </w:tcBorders>
            <w:vAlign w:val="center"/>
          </w:tcPr>
          <w:p w14:paraId="65CDC923" w14:textId="77777777" w:rsidR="00543F8A" w:rsidRPr="00373794" w:rsidRDefault="00543F8A" w:rsidP="00064B34">
            <w:pPr>
              <w:pStyle w:val="Paragraph"/>
              <w:rPr>
                <w:sz w:val="18"/>
                <w:szCs w:val="18"/>
              </w:rPr>
            </w:pPr>
            <w:r w:rsidRPr="00373794">
              <w:rPr>
                <w:sz w:val="18"/>
                <w:szCs w:val="18"/>
              </w:rPr>
              <w:t>10</w:t>
            </w:r>
          </w:p>
        </w:tc>
        <w:tc>
          <w:tcPr>
            <w:tcW w:w="0" w:type="auto"/>
            <w:tcBorders>
              <w:left w:val="nil"/>
              <w:bottom w:val="single" w:sz="4" w:space="0" w:color="auto"/>
              <w:right w:val="nil"/>
            </w:tcBorders>
            <w:vAlign w:val="center"/>
          </w:tcPr>
          <w:p w14:paraId="22AA317D" w14:textId="77777777" w:rsidR="00543F8A" w:rsidRPr="00373794" w:rsidRDefault="00543F8A" w:rsidP="00064B34">
            <w:pPr>
              <w:pStyle w:val="Paragraph"/>
              <w:rPr>
                <w:sz w:val="18"/>
                <w:szCs w:val="18"/>
              </w:rPr>
            </w:pPr>
            <w:r w:rsidRPr="00373794">
              <w:rPr>
                <w:sz w:val="18"/>
                <w:szCs w:val="18"/>
              </w:rPr>
              <w:t>0.47 (0.12-1.84)</w:t>
            </w:r>
          </w:p>
        </w:tc>
        <w:tc>
          <w:tcPr>
            <w:tcW w:w="0" w:type="auto"/>
            <w:tcBorders>
              <w:left w:val="nil"/>
              <w:bottom w:val="single" w:sz="4" w:space="0" w:color="auto"/>
            </w:tcBorders>
            <w:vAlign w:val="center"/>
          </w:tcPr>
          <w:p w14:paraId="76393FDB" w14:textId="77777777" w:rsidR="00543F8A" w:rsidRPr="00373794" w:rsidRDefault="00543F8A" w:rsidP="00064B34">
            <w:pPr>
              <w:pStyle w:val="Paragraph"/>
              <w:rPr>
                <w:sz w:val="18"/>
                <w:szCs w:val="18"/>
              </w:rPr>
            </w:pPr>
            <w:r w:rsidRPr="00373794">
              <w:rPr>
                <w:sz w:val="18"/>
                <w:szCs w:val="18"/>
              </w:rPr>
              <w:t>0.276</w:t>
            </w:r>
          </w:p>
        </w:tc>
      </w:tr>
    </w:tbl>
    <w:p w14:paraId="6E0F4075" w14:textId="77777777" w:rsidR="00064B34" w:rsidRPr="00373794" w:rsidRDefault="00064B34" w:rsidP="00543F8A">
      <w:pPr>
        <w:pStyle w:val="Paragraph"/>
        <w:rPr>
          <w:sz w:val="18"/>
          <w:szCs w:val="18"/>
        </w:rPr>
      </w:pPr>
    </w:p>
    <w:p w14:paraId="6C7134EA" w14:textId="77777777" w:rsidR="00A26880" w:rsidRDefault="00A26880" w:rsidP="00543F8A">
      <w:pPr>
        <w:pStyle w:val="Paragraph"/>
        <w:rPr>
          <w:b/>
          <w:bCs/>
        </w:rPr>
      </w:pPr>
    </w:p>
    <w:p w14:paraId="3C5DABE9" w14:textId="72B10C33" w:rsidR="005F7475" w:rsidRPr="00075EA6" w:rsidRDefault="00543F8A" w:rsidP="00543F8A">
      <w:pPr>
        <w:pStyle w:val="Heading1"/>
      </w:pPr>
      <w:r w:rsidRPr="00543F8A">
        <w:lastRenderedPageBreak/>
        <w:t>Discussion</w:t>
      </w:r>
    </w:p>
    <w:p w14:paraId="1BA28DA9" w14:textId="615B2591" w:rsidR="00543F8A" w:rsidRPr="00543F8A" w:rsidRDefault="00543F8A" w:rsidP="00543F8A">
      <w:pPr>
        <w:pStyle w:val="Paragraph"/>
      </w:pPr>
      <w:r w:rsidRPr="00543F8A">
        <w:t xml:space="preserve">This study aims to detect the most variable clinicopathological characteristics in breast carcinoma, and to examine the incidence of breast cancer in a cohort of females from Baghdad. The study also aims to screen the genotype and allele frequencies of a significant missense Single Nucleotide Polymorphism (T/C) rs2227956 in the </w:t>
      </w:r>
      <w:r w:rsidRPr="006F2315">
        <w:rPr>
          <w:i/>
          <w:iCs/>
        </w:rPr>
        <w:t>Hsp</w:t>
      </w:r>
      <w:r w:rsidRPr="00543F8A">
        <w:t xml:space="preserve">70-hom gene in 90 females with breast cancer and 40 apparently healthy females used as a control group. The results indicated a high risk of breast cancer in females older than fifty years with a statistically significant association. A positive association was also found based on Grade II, (of the TNM classification), and hormonal status ER and PR (P≤ 0.05). Conversely, a negative association was found between breast cancer and HER2. Breast cancer represents one of the top five cancers in Iraq, followed by lung cancer, colorectal cancer, brain cancer, and leukemia </w:t>
      </w:r>
      <w:r w:rsidR="00A26880">
        <w:t>(</w:t>
      </w:r>
      <w:r w:rsidRPr="00A26880">
        <w:t>22</w:t>
      </w:r>
      <w:r w:rsidR="00A26880">
        <w:t>)</w:t>
      </w:r>
      <w:r w:rsidRPr="00543F8A">
        <w:t>. One of the most predominant causes of breast cancer is advanced age, in addition to body mass index in females. All patients in the present study were diagnosed with Invasive Ductal Carcinoma (IDC), the majority of whom (78%) were Grade II, which may suggest an advanced stage of breast cancer in Iraqi females. Similar findings were reported in Saudi Arab</w:t>
      </w:r>
      <w:r w:rsidR="0052267D">
        <w:t>ia (23), Iran (24), Turkey (25)</w:t>
      </w:r>
      <w:r w:rsidRPr="00543F8A">
        <w:t>, and Egypt (26). The current results are inconsistent with another study reporting a lower incidence in older Iraqi Kurdish women (27). These differences may be attributed to lifestyle, social factors, genetic factors, and the use of hormonal therapy.</w:t>
      </w:r>
    </w:p>
    <w:p w14:paraId="09749B33" w14:textId="328E3710" w:rsidR="00111A31" w:rsidRPr="000F027C" w:rsidRDefault="00543F8A" w:rsidP="006F2315">
      <w:pPr>
        <w:jc w:val="both"/>
        <w:rPr>
          <w:sz w:val="20"/>
        </w:rPr>
      </w:pPr>
      <w:r w:rsidRPr="006F2315">
        <w:rPr>
          <w:sz w:val="20"/>
        </w:rPr>
        <w:t xml:space="preserve">The current study evaluates the association between a specific </w:t>
      </w:r>
      <w:r w:rsidRPr="006F2315">
        <w:rPr>
          <w:i/>
          <w:iCs/>
          <w:sz w:val="20"/>
        </w:rPr>
        <w:t>Hsp</w:t>
      </w:r>
      <w:r w:rsidRPr="006F2315">
        <w:rPr>
          <w:sz w:val="20"/>
        </w:rPr>
        <w:t>70-hom genotype</w:t>
      </w:r>
      <w:r w:rsidR="006F2315">
        <w:rPr>
          <w:sz w:val="20"/>
        </w:rPr>
        <w:t>s</w:t>
      </w:r>
      <w:r w:rsidRPr="006F2315">
        <w:rPr>
          <w:sz w:val="20"/>
        </w:rPr>
        <w:t xml:space="preserve">, its allelic variants, and the risk of developing breast cancer in Iraqi </w:t>
      </w:r>
      <w:r w:rsidR="00A26880" w:rsidRPr="006F2315">
        <w:rPr>
          <w:sz w:val="20"/>
        </w:rPr>
        <w:t>females</w:t>
      </w:r>
      <w:r w:rsidR="00A26880" w:rsidRPr="00543F8A">
        <w:t xml:space="preserve">. </w:t>
      </w:r>
      <w:r w:rsidR="00111A31" w:rsidRPr="000F027C">
        <w:rPr>
          <w:sz w:val="20"/>
        </w:rPr>
        <w:t xml:space="preserve">The frequencies of the </w:t>
      </w:r>
      <w:r w:rsidR="00111A31" w:rsidRPr="000F027C">
        <w:rPr>
          <w:i/>
          <w:iCs/>
          <w:sz w:val="20"/>
        </w:rPr>
        <w:t>Hsp</w:t>
      </w:r>
      <w:r w:rsidR="00111A31" w:rsidRPr="000F027C">
        <w:rPr>
          <w:sz w:val="20"/>
        </w:rPr>
        <w:t>70-hom genotypes (TT) homozygote and (TC) heterozygote) and their corresponding allele frequencies were not significantly associated with breast cancer risk. Specifically, the TT genotype had an Odds Ratio</w:t>
      </w:r>
      <w:r w:rsidR="0066301E" w:rsidRPr="000F027C">
        <w:rPr>
          <w:sz w:val="20"/>
        </w:rPr>
        <w:t xml:space="preserve"> of </w:t>
      </w:r>
      <w:r w:rsidR="00111A31" w:rsidRPr="000F027C">
        <w:rPr>
          <w:sz w:val="20"/>
        </w:rPr>
        <w:t>0.85</w:t>
      </w:r>
      <w:r w:rsidR="0066301E" w:rsidRPr="000F027C">
        <w:rPr>
          <w:sz w:val="20"/>
        </w:rPr>
        <w:t>%</w:t>
      </w:r>
      <w:r w:rsidR="00111A31" w:rsidRPr="000F027C">
        <w:rPr>
          <w:sz w:val="20"/>
        </w:rPr>
        <w:t xml:space="preserve"> (95</w:t>
      </w:r>
      <w:r w:rsidR="0066301E" w:rsidRPr="000F027C">
        <w:rPr>
          <w:sz w:val="20"/>
        </w:rPr>
        <w:t xml:space="preserve">% </w:t>
      </w:r>
      <w:r w:rsidR="00111A31" w:rsidRPr="000F027C">
        <w:rPr>
          <w:sz w:val="20"/>
        </w:rPr>
        <w:t>CI: 0.55-1.18) and the</w:t>
      </w:r>
      <w:r w:rsidR="0066301E" w:rsidRPr="000F027C">
        <w:rPr>
          <w:sz w:val="20"/>
        </w:rPr>
        <w:t xml:space="preserve"> TC genotype had an Odds Ratio</w:t>
      </w:r>
      <w:r w:rsidR="00CB7005">
        <w:rPr>
          <w:sz w:val="20"/>
        </w:rPr>
        <w:t xml:space="preserve"> </w:t>
      </w:r>
      <w:r w:rsidR="0066301E" w:rsidRPr="000F027C">
        <w:rPr>
          <w:sz w:val="20"/>
        </w:rPr>
        <w:t>of 0.44 (95% CI: 0.11-1.81) with a non-significant P-value of 0.259 for both. Notably, the CC homozygote was absent in the Iraqi study population.</w:t>
      </w:r>
    </w:p>
    <w:p w14:paraId="21D45AFE" w14:textId="0DCBAE48" w:rsidR="006F2315" w:rsidRPr="0090447F" w:rsidRDefault="00543F8A" w:rsidP="001B3910">
      <w:pPr>
        <w:ind w:firstLine="284"/>
        <w:rPr>
          <w:sz w:val="20"/>
        </w:rPr>
      </w:pPr>
      <w:r w:rsidRPr="0090447F">
        <w:rPr>
          <w:sz w:val="20"/>
        </w:rPr>
        <w:t xml:space="preserve">These results suggest that the </w:t>
      </w:r>
      <w:proofErr w:type="spellStart"/>
      <w:r w:rsidRPr="0090447F">
        <w:rPr>
          <w:i/>
          <w:iCs/>
          <w:sz w:val="20"/>
        </w:rPr>
        <w:t>Hsp</w:t>
      </w:r>
      <w:proofErr w:type="spellEnd"/>
      <w:r w:rsidRPr="0090447F">
        <w:rPr>
          <w:sz w:val="20"/>
        </w:rPr>
        <w:t xml:space="preserve"> 70-hom polymorphism did not show any effect on susceptibility to breast cancer in Iraqi females.</w:t>
      </w:r>
      <w:r w:rsidR="00A26880" w:rsidRPr="0090447F">
        <w:rPr>
          <w:sz w:val="20"/>
        </w:rPr>
        <w:t xml:space="preserve"> </w:t>
      </w:r>
      <w:r w:rsidRPr="0090447F">
        <w:rPr>
          <w:sz w:val="20"/>
        </w:rPr>
        <w:t>These findings align with published data from Saudi Arabia, where other SNPs were studied</w:t>
      </w:r>
      <w:r w:rsidR="006F2315" w:rsidRPr="0090447F">
        <w:rPr>
          <w:sz w:val="20"/>
        </w:rPr>
        <w:t>;</w:t>
      </w:r>
      <w:r w:rsidRPr="0090447F">
        <w:rPr>
          <w:sz w:val="20"/>
        </w:rPr>
        <w:t xml:space="preserve"> no significant relationship was identified between either the rs35253356 (A&gt;G) or the rs4977219 (A&gt;C) polymorphisms </w:t>
      </w:r>
      <w:proofErr w:type="gramStart"/>
      <w:r w:rsidRPr="0090447F">
        <w:rPr>
          <w:sz w:val="20"/>
        </w:rPr>
        <w:t xml:space="preserve">in  </w:t>
      </w:r>
      <w:r w:rsidRPr="0090447F">
        <w:rPr>
          <w:i/>
          <w:iCs/>
          <w:sz w:val="20"/>
        </w:rPr>
        <w:t>HSF</w:t>
      </w:r>
      <w:proofErr w:type="gramEnd"/>
      <w:r w:rsidRPr="0090447F">
        <w:rPr>
          <w:sz w:val="20"/>
        </w:rPr>
        <w:t>1 gene and breast cancer (28).</w:t>
      </w:r>
      <w:r w:rsidR="006F2315" w:rsidRPr="0090447F">
        <w:rPr>
          <w:sz w:val="20"/>
        </w:rPr>
        <w:t xml:space="preserve"> </w:t>
      </w:r>
    </w:p>
    <w:p w14:paraId="7098DA0A" w14:textId="3DA81CB5" w:rsidR="00223199" w:rsidRDefault="00543F8A" w:rsidP="006F2315">
      <w:pPr>
        <w:pStyle w:val="Paragraph"/>
      </w:pPr>
      <w:r w:rsidRPr="00543F8A">
        <w:t xml:space="preserve">This contrasts with reports from other studies, such as one conducted in the Kashmiri population. That </w:t>
      </w:r>
      <w:r w:rsidR="000C330C">
        <w:t xml:space="preserve">specific </w:t>
      </w:r>
      <w:r w:rsidRPr="00543F8A">
        <w:t xml:space="preserve">study found a high, statistically significant relative risk for breast cancer associated with the </w:t>
      </w:r>
      <w:proofErr w:type="spellStart"/>
      <w:r w:rsidRPr="00543F8A">
        <w:rPr>
          <w:i/>
          <w:iCs/>
        </w:rPr>
        <w:t>Hsp</w:t>
      </w:r>
      <w:proofErr w:type="spellEnd"/>
      <w:r w:rsidRPr="00543F8A">
        <w:t xml:space="preserve"> CC genotype (Frequency of </w:t>
      </w:r>
      <w:smartTag w:uri="urn:schemas-microsoft-com:office:smarttags" w:element="metricconverter">
        <w:smartTagPr>
          <w:attr w:name="ProductID" w:val="0.50 in"/>
        </w:smartTagPr>
        <w:r w:rsidRPr="00543F8A">
          <w:t>0.50 in</w:t>
        </w:r>
      </w:smartTag>
      <w:r w:rsidRPr="00543F8A">
        <w:t xml:space="preserve"> patients versus </w:t>
      </w:r>
      <w:smartTag w:uri="urn:schemas-microsoft-com:office:smarttags" w:element="metricconverter">
        <w:smartTagPr>
          <w:attr w:name="ProductID" w:val="0.30 in"/>
        </w:smartTagPr>
        <w:r w:rsidRPr="00543F8A">
          <w:t>0.30 in</w:t>
        </w:r>
      </w:smartTag>
      <w:r w:rsidRPr="00543F8A">
        <w:t xml:space="preserve"> controls). Conversely, the risk was significantly decreased with an increased frequency of the </w:t>
      </w:r>
      <w:r w:rsidRPr="00543F8A">
        <w:rPr>
          <w:i/>
          <w:iCs/>
        </w:rPr>
        <w:t>Hsp</w:t>
      </w:r>
      <w:r w:rsidRPr="00543F8A">
        <w:t xml:space="preserve">70-hom G allele in either the homozygous or heterozygous state (RR=0.43, P=0.005).Another Tunisian study found that females with breast cancer had a higher frequency of the G allele in the </w:t>
      </w:r>
      <w:r w:rsidRPr="00543F8A">
        <w:rPr>
          <w:i/>
          <w:iCs/>
        </w:rPr>
        <w:t>Hsp</w:t>
      </w:r>
      <w:r w:rsidRPr="00543F8A">
        <w:t xml:space="preserve">70-hom, whether in the homozygous or heterozygous state, (0.13) than the control group (0.05) (RR=3.4, P=0.01) </w:t>
      </w:r>
      <w:r w:rsidR="00A26880">
        <w:t>(</w:t>
      </w:r>
      <w:r w:rsidRPr="00543F8A">
        <w:t>29</w:t>
      </w:r>
      <w:r w:rsidR="00A26880">
        <w:t>)</w:t>
      </w:r>
      <w:r w:rsidRPr="00543F8A">
        <w:t xml:space="preserve">.The variation in peptide binding specificity among </w:t>
      </w:r>
      <w:r w:rsidRPr="00543F8A">
        <w:rPr>
          <w:i/>
          <w:iCs/>
        </w:rPr>
        <w:t>Hsp</w:t>
      </w:r>
      <w:r w:rsidRPr="00543F8A">
        <w:t>70-hom haplotypes is linked to the (</w:t>
      </w:r>
      <w:proofErr w:type="spellStart"/>
      <w:r w:rsidRPr="00543F8A">
        <w:t>Met→Thr</w:t>
      </w:r>
      <w:proofErr w:type="spellEnd"/>
      <w:r w:rsidRPr="00543F8A">
        <w:t xml:space="preserve"> 493) amino acid substitution at position 493 caused by the </w:t>
      </w:r>
      <w:r w:rsidRPr="00543F8A">
        <w:rPr>
          <w:i/>
          <w:iCs/>
        </w:rPr>
        <w:t>Hsp70-</w:t>
      </w:r>
      <w:r w:rsidRPr="00543F8A">
        <w:t xml:space="preserve">hom polymorphism caused. This substitution has been linked in numerous reports to a number of illnesses, including multiple sclerosis (30), acute pancreatitis (31), schizophrenia (32), and insulin-dependent diabetes mellitus (33).Other studies have reported the association of the </w:t>
      </w:r>
      <w:r w:rsidRPr="00543F8A">
        <w:rPr>
          <w:i/>
          <w:iCs/>
        </w:rPr>
        <w:t>Hsp70-</w:t>
      </w:r>
      <w:r w:rsidRPr="00543F8A">
        <w:t xml:space="preserve">hom variation with cancer-related risks, such as inflammatory bowel disease (34) and a high relevance to the risk and prediction of hepatocellular carcinoma (35). However, another study did not confirm the association of the Hsp70-hom polymorphism with lung cancer risk (12). These contradictory results regarding the </w:t>
      </w:r>
      <w:r w:rsidRPr="00543F8A">
        <w:rPr>
          <w:i/>
          <w:iCs/>
        </w:rPr>
        <w:t>Hsp70-</w:t>
      </w:r>
      <w:r w:rsidRPr="00543F8A">
        <w:t xml:space="preserve">hom polymorphism may be due to several reasons, including differences in ethnic populations, genetic predisposition, and the influence of environmental factors such as diet and smoking. Furthermore, differences in the laboratory techniques used to detect </w:t>
      </w:r>
      <w:proofErr w:type="gramStart"/>
      <w:r w:rsidRPr="00543F8A">
        <w:t>the polymorphism</w:t>
      </w:r>
      <w:proofErr w:type="gramEnd"/>
      <w:r w:rsidRPr="00543F8A">
        <w:t xml:space="preserve"> may also contribute to the variance in results.</w:t>
      </w:r>
    </w:p>
    <w:p w14:paraId="0B91082D" w14:textId="59E9B6A1" w:rsidR="00223199" w:rsidRDefault="00223199" w:rsidP="001B3910">
      <w:pPr>
        <w:pStyle w:val="Heading1"/>
        <w:rPr>
          <w:b w:val="0"/>
          <w:caps w:val="0"/>
          <w:sz w:val="20"/>
        </w:rPr>
      </w:pPr>
      <w:r>
        <w:rPr>
          <w:rFonts w:asciiTheme="majorBidi" w:hAnsiTheme="majorBidi" w:cstheme="majorBidi"/>
        </w:rPr>
        <w:t>CONCLUSION</w:t>
      </w:r>
    </w:p>
    <w:p w14:paraId="55F35015" w14:textId="77777777" w:rsidR="00223199" w:rsidRDefault="00223199" w:rsidP="00223199">
      <w:pPr>
        <w:pStyle w:val="Heading1"/>
        <w:jc w:val="both"/>
        <w:rPr>
          <w:rFonts w:asciiTheme="majorBidi" w:hAnsiTheme="majorBidi" w:cstheme="majorBidi"/>
          <w:b w:val="0"/>
          <w:caps w:val="0"/>
          <w:sz w:val="20"/>
        </w:rPr>
      </w:pPr>
      <w:r w:rsidRPr="00D34213">
        <w:rPr>
          <w:rFonts w:asciiTheme="majorBidi" w:hAnsiTheme="majorBidi" w:cstheme="majorBidi"/>
          <w:b w:val="0"/>
          <w:caps w:val="0"/>
          <w:sz w:val="20"/>
        </w:rPr>
        <w:t xml:space="preserve">A high percentage of breast cancer cases were found to be associated with older patients, invasive ductal carcinoma, grade II tumors, T2NM, and positive hormonal status, ER receptor, and PR and progesterone receptor status in Iraqi women. Given these clinical correlations, it is important to implement effective health programs aimed at breast cancer early detection in Iraq. The </w:t>
      </w:r>
      <w:r w:rsidRPr="00114487">
        <w:rPr>
          <w:rFonts w:asciiTheme="majorBidi" w:hAnsiTheme="majorBidi" w:cstheme="majorBidi"/>
          <w:b w:val="0"/>
          <w:i/>
          <w:iCs/>
          <w:caps w:val="0"/>
          <w:sz w:val="20"/>
        </w:rPr>
        <w:t>Hsp70-hom</w:t>
      </w:r>
      <w:r>
        <w:rPr>
          <w:rFonts w:asciiTheme="majorBidi" w:hAnsiTheme="majorBidi" w:cstheme="majorBidi" w:hint="cs"/>
          <w:b w:val="0"/>
          <w:caps w:val="0"/>
          <w:sz w:val="20"/>
          <w:rtl/>
        </w:rPr>
        <w:t xml:space="preserve"> </w:t>
      </w:r>
      <w:r>
        <w:rPr>
          <w:rFonts w:asciiTheme="majorBidi" w:hAnsiTheme="majorBidi" w:cstheme="majorBidi"/>
          <w:b w:val="0"/>
          <w:caps w:val="0"/>
          <w:sz w:val="20"/>
        </w:rPr>
        <w:t xml:space="preserve">gene </w:t>
      </w:r>
      <w:r w:rsidRPr="00D34213">
        <w:rPr>
          <w:rFonts w:asciiTheme="majorBidi" w:hAnsiTheme="majorBidi" w:cstheme="majorBidi"/>
          <w:b w:val="0"/>
          <w:caps w:val="0"/>
          <w:sz w:val="20"/>
        </w:rPr>
        <w:t xml:space="preserve">polymorphism did not show any effect on susceptibility to breast cancer in Iraqi females. </w:t>
      </w:r>
      <w:r>
        <w:rPr>
          <w:rFonts w:asciiTheme="majorBidi" w:hAnsiTheme="majorBidi" w:cstheme="majorBidi"/>
          <w:b w:val="0"/>
          <w:caps w:val="0"/>
          <w:sz w:val="20"/>
        </w:rPr>
        <w:t>P</w:t>
      </w:r>
      <w:r w:rsidRPr="00114487">
        <w:rPr>
          <w:rFonts w:asciiTheme="majorBidi" w:hAnsiTheme="majorBidi" w:cstheme="majorBidi"/>
          <w:b w:val="0"/>
          <w:caps w:val="0"/>
          <w:sz w:val="20"/>
        </w:rPr>
        <w:t>rospective research with larger sample sizes and an investigation into diverse genetic and environmental factors is warranted.</w:t>
      </w:r>
    </w:p>
    <w:p w14:paraId="75621495" w14:textId="4EBC873F" w:rsidR="000B1B74" w:rsidRPr="00223199" w:rsidRDefault="000B1B74" w:rsidP="00223199">
      <w:pPr>
        <w:tabs>
          <w:tab w:val="left" w:pos="7335"/>
        </w:tabs>
      </w:pPr>
    </w:p>
    <w:p w14:paraId="7691B80C" w14:textId="2121569E" w:rsidR="00613B4D" w:rsidRPr="00075EA6" w:rsidRDefault="0016385D" w:rsidP="00543F8A">
      <w:pPr>
        <w:pStyle w:val="Heading1"/>
      </w:pPr>
      <w:r w:rsidRPr="00075EA6">
        <w:rPr>
          <w:rFonts w:asciiTheme="majorBidi" w:hAnsiTheme="majorBidi" w:cstheme="majorBidi"/>
        </w:rPr>
        <w:lastRenderedPageBreak/>
        <w:t>Acknowledgments</w:t>
      </w:r>
    </w:p>
    <w:p w14:paraId="4F4EA3E3" w14:textId="64A89A43" w:rsidR="000B3A2D" w:rsidRPr="00075EA6" w:rsidRDefault="00543F8A" w:rsidP="00543F8A">
      <w:pPr>
        <w:pStyle w:val="Paragraph"/>
        <w:rPr>
          <w:rFonts w:asciiTheme="majorBidi" w:hAnsiTheme="majorBidi" w:cstheme="majorBidi"/>
        </w:rPr>
      </w:pPr>
      <w:r w:rsidRPr="00543F8A">
        <w:rPr>
          <w:rFonts w:asciiTheme="majorBidi" w:hAnsiTheme="majorBidi" w:cstheme="majorBidi"/>
        </w:rPr>
        <w:t>With great appreciation, we extend our thanks to all the women and their families for their invaluable participation in this study</w:t>
      </w:r>
      <w:r w:rsidR="005E71ED">
        <w:rPr>
          <w:rFonts w:asciiTheme="majorBidi" w:hAnsiTheme="majorBidi" w:cstheme="majorBidi"/>
        </w:rPr>
        <w:t>.</w:t>
      </w:r>
    </w:p>
    <w:p w14:paraId="74D4F45E" w14:textId="5072DB7F" w:rsidR="00613B4D" w:rsidRPr="00470DD8" w:rsidRDefault="0016385D" w:rsidP="00470DD8">
      <w:pPr>
        <w:pStyle w:val="Heading1"/>
        <w:rPr>
          <w:b w:val="0"/>
          <w:caps w:val="0"/>
          <w:sz w:val="20"/>
        </w:rPr>
      </w:pPr>
      <w:r w:rsidRPr="00075EA6">
        <w:rPr>
          <w:rFonts w:asciiTheme="majorBidi" w:hAnsiTheme="majorBidi" w:cstheme="majorBidi"/>
        </w:rPr>
        <w:t>References</w:t>
      </w:r>
    </w:p>
    <w:p w14:paraId="52093C26" w14:textId="68330595" w:rsidR="00470DD8" w:rsidRPr="00033FE1" w:rsidRDefault="00470DD8" w:rsidP="001C2A54">
      <w:pPr>
        <w:pStyle w:val="Reference"/>
        <w:numPr>
          <w:ilvl w:val="0"/>
          <w:numId w:val="46"/>
        </w:numPr>
        <w:tabs>
          <w:tab w:val="clear" w:pos="720"/>
          <w:tab w:val="num" w:pos="567"/>
        </w:tabs>
        <w:ind w:left="432" w:hanging="432"/>
      </w:pPr>
      <w:r w:rsidRPr="00033FE1">
        <w:t xml:space="preserve">M. M. Y. Al-Hashimi, Asian Pac. J. Cancer Prev. 22, 3889–3896 (2021). </w:t>
      </w:r>
    </w:p>
    <w:p w14:paraId="47554D14" w14:textId="77777777" w:rsidR="00470DD8" w:rsidRPr="00033FE1" w:rsidRDefault="00470DD8" w:rsidP="001C2A54">
      <w:pPr>
        <w:pStyle w:val="Reference"/>
        <w:numPr>
          <w:ilvl w:val="0"/>
          <w:numId w:val="46"/>
        </w:numPr>
        <w:tabs>
          <w:tab w:val="clear" w:pos="720"/>
          <w:tab w:val="num" w:pos="567"/>
        </w:tabs>
        <w:ind w:left="432" w:hanging="432"/>
      </w:pPr>
      <w:r w:rsidRPr="00033FE1">
        <w:t xml:space="preserve">S. </w:t>
      </w:r>
      <w:proofErr w:type="spellStart"/>
      <w:r w:rsidRPr="00033FE1">
        <w:t>Almotwaa</w:t>
      </w:r>
      <w:proofErr w:type="spellEnd"/>
      <w:r w:rsidRPr="00033FE1">
        <w:t xml:space="preserve">, M. Elrobh, H. </w:t>
      </w:r>
      <w:proofErr w:type="spellStart"/>
      <w:r w:rsidRPr="00033FE1">
        <w:t>AbdulKarim</w:t>
      </w:r>
      <w:proofErr w:type="spellEnd"/>
      <w:r w:rsidRPr="00033FE1">
        <w:t xml:space="preserve">, M. Alanazi, S. </w:t>
      </w:r>
      <w:proofErr w:type="spellStart"/>
      <w:r w:rsidRPr="00033FE1">
        <w:t>Aldaihan</w:t>
      </w:r>
      <w:proofErr w:type="spellEnd"/>
      <w:r w:rsidRPr="00033FE1">
        <w:t xml:space="preserve">, J. Shaik, M. Arafa, and A. S. </w:t>
      </w:r>
      <w:proofErr w:type="spellStart"/>
      <w:r w:rsidRPr="00033FE1">
        <w:t>Warsy</w:t>
      </w:r>
      <w:proofErr w:type="spellEnd"/>
      <w:r w:rsidRPr="00033FE1">
        <w:t xml:space="preserve">, </w:t>
      </w:r>
      <w:proofErr w:type="spellStart"/>
      <w:r w:rsidRPr="00033FE1">
        <w:t>PLoS</w:t>
      </w:r>
      <w:proofErr w:type="spellEnd"/>
      <w:r w:rsidRPr="00033FE1">
        <w:t xml:space="preserve"> One 13, e0193095 (2018). </w:t>
      </w:r>
      <w:hyperlink r:id="rId11" w:tgtFrame="_new" w:history="1">
        <w:r w:rsidRPr="00033FE1">
          <w:rPr>
            <w:rStyle w:val="Hyperlink"/>
            <w:color w:val="auto"/>
            <w:u w:val="none"/>
          </w:rPr>
          <w:t>https://doi.org/10.1371/journal.pone.0193095</w:t>
        </w:r>
      </w:hyperlink>
    </w:p>
    <w:p w14:paraId="2E7AD8D9" w14:textId="77777777" w:rsidR="00470DD8" w:rsidRPr="00033FE1" w:rsidRDefault="00470DD8" w:rsidP="001C2A54">
      <w:pPr>
        <w:pStyle w:val="Reference"/>
        <w:numPr>
          <w:ilvl w:val="0"/>
          <w:numId w:val="46"/>
        </w:numPr>
        <w:tabs>
          <w:tab w:val="clear" w:pos="720"/>
          <w:tab w:val="num" w:pos="567"/>
        </w:tabs>
        <w:ind w:left="432" w:hanging="432"/>
      </w:pPr>
      <w:r w:rsidRPr="00033FE1">
        <w:t xml:space="preserve">C. Hu, J. Yang, Z. Qi, H. Wu, B. Wang, F. Zou, H. Mei, J. Liu, W. Wang, and Q. Liu, </w:t>
      </w:r>
      <w:proofErr w:type="spellStart"/>
      <w:r w:rsidRPr="00033FE1">
        <w:t>MedComm</w:t>
      </w:r>
      <w:proofErr w:type="spellEnd"/>
      <w:r w:rsidRPr="00033FE1">
        <w:t xml:space="preserve"> 3, e161 (2022). </w:t>
      </w:r>
      <w:hyperlink r:id="rId12" w:tgtFrame="_new" w:history="1">
        <w:r w:rsidRPr="00033FE1">
          <w:rPr>
            <w:rStyle w:val="Hyperlink"/>
            <w:color w:val="auto"/>
            <w:u w:val="none"/>
          </w:rPr>
          <w:t>https://doi.org/10.1002/mco2.161</w:t>
        </w:r>
      </w:hyperlink>
    </w:p>
    <w:p w14:paraId="39DDDBD8" w14:textId="77777777" w:rsidR="00470DD8" w:rsidRPr="00033FE1" w:rsidRDefault="00470DD8" w:rsidP="001C2A54">
      <w:pPr>
        <w:pStyle w:val="Reference"/>
        <w:numPr>
          <w:ilvl w:val="0"/>
          <w:numId w:val="46"/>
        </w:numPr>
        <w:tabs>
          <w:tab w:val="clear" w:pos="720"/>
          <w:tab w:val="num" w:pos="567"/>
        </w:tabs>
        <w:ind w:left="432" w:hanging="432"/>
      </w:pPr>
      <w:r w:rsidRPr="00033FE1">
        <w:t xml:space="preserve">J. </w:t>
      </w:r>
      <w:proofErr w:type="spellStart"/>
      <w:r w:rsidRPr="00033FE1">
        <w:t>Szyller</w:t>
      </w:r>
      <w:proofErr w:type="spellEnd"/>
      <w:r w:rsidRPr="00033FE1">
        <w:t xml:space="preserve"> and I. Bil-Lula, Oxid. Med. Cell. </w:t>
      </w:r>
      <w:proofErr w:type="spellStart"/>
      <w:r w:rsidRPr="00033FE1">
        <w:t>Longev</w:t>
      </w:r>
      <w:proofErr w:type="spellEnd"/>
      <w:r w:rsidRPr="00033FE1">
        <w:t xml:space="preserve">. 2021, 6678457 (2021). </w:t>
      </w:r>
      <w:hyperlink r:id="rId13" w:tgtFrame="_new" w:history="1">
        <w:r w:rsidRPr="00033FE1">
          <w:rPr>
            <w:rStyle w:val="Hyperlink"/>
            <w:color w:val="auto"/>
            <w:u w:val="none"/>
          </w:rPr>
          <w:t>https://doi.org/10.1155/2021/6678457</w:t>
        </w:r>
      </w:hyperlink>
    </w:p>
    <w:p w14:paraId="0F47AD3C" w14:textId="77777777" w:rsidR="00470DD8" w:rsidRPr="00033FE1" w:rsidRDefault="00470DD8" w:rsidP="001C2A54">
      <w:pPr>
        <w:pStyle w:val="Reference"/>
        <w:numPr>
          <w:ilvl w:val="0"/>
          <w:numId w:val="46"/>
        </w:numPr>
        <w:tabs>
          <w:tab w:val="clear" w:pos="720"/>
          <w:tab w:val="num" w:pos="567"/>
        </w:tabs>
        <w:ind w:left="432" w:hanging="432"/>
      </w:pPr>
      <w:r w:rsidRPr="00033FE1">
        <w:t xml:space="preserve">M. Zhang and X. Bi, Int. J. Mol. Sci. 25, 876 (2024). </w:t>
      </w:r>
      <w:hyperlink r:id="rId14" w:tgtFrame="_new" w:history="1">
        <w:r w:rsidRPr="00033FE1">
          <w:rPr>
            <w:rStyle w:val="Hyperlink"/>
            <w:color w:val="auto"/>
            <w:u w:val="none"/>
          </w:rPr>
          <w:t>https://doi.org/10.3390/ijms25020876</w:t>
        </w:r>
      </w:hyperlink>
    </w:p>
    <w:p w14:paraId="4BCDA060" w14:textId="77777777" w:rsidR="00470DD8" w:rsidRPr="00033FE1" w:rsidRDefault="00470DD8" w:rsidP="001C2A54">
      <w:pPr>
        <w:pStyle w:val="Reference"/>
        <w:numPr>
          <w:ilvl w:val="0"/>
          <w:numId w:val="46"/>
        </w:numPr>
        <w:tabs>
          <w:tab w:val="clear" w:pos="720"/>
          <w:tab w:val="num" w:pos="567"/>
        </w:tabs>
        <w:ind w:left="432" w:hanging="432"/>
      </w:pPr>
      <w:r w:rsidRPr="00033FE1">
        <w:t xml:space="preserve">M. K. Singh, Y. Shin, S. Ju, S. Han, W. Choe, K.-S. Yoon, S. S. Kim, and I. Kang, Int. J. Mol. Sci. 25, 4209 (2024). </w:t>
      </w:r>
      <w:hyperlink r:id="rId15" w:tgtFrame="_new" w:history="1">
        <w:r w:rsidRPr="00033FE1">
          <w:rPr>
            <w:rStyle w:val="Hyperlink"/>
            <w:color w:val="auto"/>
            <w:u w:val="none"/>
          </w:rPr>
          <w:t>https://doi.org/10.3390/ijms25084209</w:t>
        </w:r>
      </w:hyperlink>
    </w:p>
    <w:p w14:paraId="2A8E6AF4" w14:textId="77777777" w:rsidR="00470DD8" w:rsidRPr="00033FE1" w:rsidRDefault="00470DD8" w:rsidP="001C2A54">
      <w:pPr>
        <w:pStyle w:val="Reference"/>
        <w:numPr>
          <w:ilvl w:val="0"/>
          <w:numId w:val="46"/>
        </w:numPr>
        <w:tabs>
          <w:tab w:val="clear" w:pos="720"/>
          <w:tab w:val="num" w:pos="567"/>
        </w:tabs>
        <w:ind w:left="432" w:hanging="432"/>
      </w:pPr>
      <w:r w:rsidRPr="00033FE1">
        <w:t>A. J. Ambrose and E. Chapman, J. Med. Chem. 64, 7060–7082 (2021). https://doi.org/10.1021/acs.jmedchem.0c02091</w:t>
      </w:r>
    </w:p>
    <w:p w14:paraId="34A9D195" w14:textId="77777777" w:rsidR="00470DD8" w:rsidRPr="00033FE1" w:rsidRDefault="00470DD8" w:rsidP="001C2A54">
      <w:pPr>
        <w:pStyle w:val="Reference"/>
        <w:numPr>
          <w:ilvl w:val="0"/>
          <w:numId w:val="46"/>
        </w:numPr>
        <w:tabs>
          <w:tab w:val="clear" w:pos="720"/>
          <w:tab w:val="num" w:pos="567"/>
        </w:tabs>
        <w:ind w:left="432" w:hanging="432"/>
      </w:pPr>
      <w:r w:rsidRPr="00033FE1">
        <w:rPr>
          <w:lang w:val="fr-FR"/>
        </w:rPr>
        <w:t xml:space="preserve">C. </w:t>
      </w:r>
      <w:proofErr w:type="spellStart"/>
      <w:r w:rsidRPr="00033FE1">
        <w:rPr>
          <w:lang w:val="fr-FR"/>
        </w:rPr>
        <w:t>Boiocchi</w:t>
      </w:r>
      <w:proofErr w:type="spellEnd"/>
      <w:r w:rsidRPr="00033FE1">
        <w:rPr>
          <w:lang w:val="fr-FR"/>
        </w:rPr>
        <w:t xml:space="preserve">, M. C. Monti, C. Osera, G. </w:t>
      </w:r>
      <w:proofErr w:type="spellStart"/>
      <w:r w:rsidRPr="00033FE1">
        <w:rPr>
          <w:lang w:val="fr-FR"/>
        </w:rPr>
        <w:t>Mallucci</w:t>
      </w:r>
      <w:proofErr w:type="spellEnd"/>
      <w:r w:rsidRPr="00033FE1">
        <w:rPr>
          <w:lang w:val="fr-FR"/>
        </w:rPr>
        <w:t xml:space="preserve">, C. </w:t>
      </w:r>
      <w:proofErr w:type="spellStart"/>
      <w:r w:rsidRPr="00033FE1">
        <w:rPr>
          <w:lang w:val="fr-FR"/>
        </w:rPr>
        <w:t>Pistono</w:t>
      </w:r>
      <w:proofErr w:type="spellEnd"/>
      <w:r w:rsidRPr="00033FE1">
        <w:rPr>
          <w:lang w:val="fr-FR"/>
        </w:rPr>
        <w:t xml:space="preserve">, O. E. Ferraro, G. </w:t>
      </w:r>
      <w:proofErr w:type="spellStart"/>
      <w:r w:rsidRPr="00033FE1">
        <w:rPr>
          <w:lang w:val="fr-FR"/>
        </w:rPr>
        <w:t>Nosari</w:t>
      </w:r>
      <w:proofErr w:type="spellEnd"/>
      <w:r w:rsidRPr="00033FE1">
        <w:rPr>
          <w:lang w:val="fr-FR"/>
        </w:rPr>
        <w:t xml:space="preserve">, A. Romani, M. </w:t>
      </w:r>
      <w:proofErr w:type="spellStart"/>
      <w:r w:rsidRPr="00033FE1">
        <w:rPr>
          <w:lang w:val="fr-FR"/>
        </w:rPr>
        <w:t>Cuccia</w:t>
      </w:r>
      <w:proofErr w:type="spellEnd"/>
      <w:r w:rsidRPr="00033FE1">
        <w:rPr>
          <w:lang w:val="fr-FR"/>
        </w:rPr>
        <w:t xml:space="preserve">, S. </w:t>
      </w:r>
      <w:proofErr w:type="spellStart"/>
      <w:r w:rsidRPr="00033FE1">
        <w:rPr>
          <w:lang w:val="fr-FR"/>
        </w:rPr>
        <w:t>Govoni</w:t>
      </w:r>
      <w:proofErr w:type="spellEnd"/>
      <w:r w:rsidRPr="00033FE1">
        <w:rPr>
          <w:lang w:val="fr-FR"/>
        </w:rPr>
        <w:t xml:space="preserve">, A. Pascale, C. </w:t>
      </w:r>
      <w:proofErr w:type="spellStart"/>
      <w:r w:rsidRPr="00033FE1">
        <w:rPr>
          <w:lang w:val="fr-FR"/>
        </w:rPr>
        <w:t>Montomoli</w:t>
      </w:r>
      <w:proofErr w:type="spellEnd"/>
      <w:r w:rsidRPr="00033FE1">
        <w:rPr>
          <w:lang w:val="fr-FR"/>
        </w:rPr>
        <w:t xml:space="preserve">, and R. </w:t>
      </w:r>
      <w:proofErr w:type="spellStart"/>
      <w:r w:rsidRPr="00033FE1">
        <w:rPr>
          <w:lang w:val="fr-FR"/>
        </w:rPr>
        <w:t>Bergamaschi</w:t>
      </w:r>
      <w:proofErr w:type="spellEnd"/>
      <w:r w:rsidRPr="00033FE1">
        <w:rPr>
          <w:lang w:val="fr-FR"/>
        </w:rPr>
        <w:t xml:space="preserve">, J. </w:t>
      </w:r>
      <w:proofErr w:type="spellStart"/>
      <w:r w:rsidRPr="00033FE1">
        <w:rPr>
          <w:lang w:val="fr-FR"/>
        </w:rPr>
        <w:t>Neuroimmunol</w:t>
      </w:r>
      <w:proofErr w:type="spellEnd"/>
      <w:r w:rsidRPr="00033FE1">
        <w:rPr>
          <w:lang w:val="fr-FR"/>
        </w:rPr>
        <w:t xml:space="preserve">. </w:t>
      </w:r>
      <w:r w:rsidRPr="00033FE1">
        <w:t xml:space="preserve">289, 189–193 (2016). </w:t>
      </w:r>
      <w:hyperlink r:id="rId16" w:tgtFrame="_new" w:history="1">
        <w:r w:rsidRPr="00033FE1">
          <w:rPr>
            <w:rStyle w:val="Hyperlink"/>
            <w:color w:val="auto"/>
            <w:u w:val="none"/>
          </w:rPr>
          <w:t>https://doi.org/10.1016/j.jneuroim.2016.07.011</w:t>
        </w:r>
      </w:hyperlink>
    </w:p>
    <w:p w14:paraId="71DA0AC8" w14:textId="77777777" w:rsidR="00470DD8" w:rsidRPr="00033FE1" w:rsidRDefault="00470DD8" w:rsidP="001C2A54">
      <w:pPr>
        <w:pStyle w:val="Reference"/>
        <w:numPr>
          <w:ilvl w:val="0"/>
          <w:numId w:val="46"/>
        </w:numPr>
        <w:tabs>
          <w:tab w:val="clear" w:pos="720"/>
          <w:tab w:val="num" w:pos="567"/>
        </w:tabs>
        <w:ind w:left="432" w:hanging="432"/>
      </w:pPr>
      <w:r w:rsidRPr="00033FE1">
        <w:t xml:space="preserve">A. </w:t>
      </w:r>
      <w:proofErr w:type="spellStart"/>
      <w:r w:rsidRPr="00033FE1">
        <w:t>Bakhshandeh</w:t>
      </w:r>
      <w:proofErr w:type="spellEnd"/>
      <w:r w:rsidRPr="00033FE1">
        <w:t xml:space="preserve">, A. K. </w:t>
      </w:r>
      <w:proofErr w:type="spellStart"/>
      <w:r w:rsidRPr="00033FE1">
        <w:t>Dolatabadi</w:t>
      </w:r>
      <w:proofErr w:type="spellEnd"/>
      <w:r w:rsidRPr="00033FE1">
        <w:t xml:space="preserve">, F. </w:t>
      </w:r>
      <w:proofErr w:type="spellStart"/>
      <w:r w:rsidRPr="00033FE1">
        <w:t>Farazmanfar</w:t>
      </w:r>
      <w:proofErr w:type="spellEnd"/>
      <w:r w:rsidRPr="00033FE1">
        <w:t xml:space="preserve">, and M. Shahbaz, Am. J. Clin. Exp. Immunol. 13, 278–284 (2024). </w:t>
      </w:r>
      <w:hyperlink r:id="rId17" w:tgtFrame="_new" w:history="1">
        <w:r w:rsidRPr="00033FE1">
          <w:rPr>
            <w:rStyle w:val="Hyperlink"/>
            <w:color w:val="auto"/>
            <w:u w:val="none"/>
          </w:rPr>
          <w:t>https://doi.org/10.62347/CMYA9839</w:t>
        </w:r>
      </w:hyperlink>
    </w:p>
    <w:p w14:paraId="54DC89B3" w14:textId="77777777" w:rsidR="00470DD8" w:rsidRPr="00033FE1" w:rsidRDefault="00470DD8" w:rsidP="001C2A54">
      <w:pPr>
        <w:pStyle w:val="Reference"/>
        <w:numPr>
          <w:ilvl w:val="0"/>
          <w:numId w:val="46"/>
        </w:numPr>
        <w:tabs>
          <w:tab w:val="clear" w:pos="720"/>
          <w:tab w:val="num" w:pos="567"/>
        </w:tabs>
        <w:ind w:left="432" w:hanging="432"/>
      </w:pPr>
      <w:r w:rsidRPr="00033FE1">
        <w:t>C. M. Milner and R. D. Campbell, Immunogenetics 36, 357–362 (1992).</w:t>
      </w:r>
    </w:p>
    <w:p w14:paraId="2B9B7936" w14:textId="77777777" w:rsidR="00470DD8" w:rsidRPr="00033FE1" w:rsidRDefault="00470DD8" w:rsidP="001C2A54">
      <w:pPr>
        <w:pStyle w:val="Reference"/>
        <w:numPr>
          <w:ilvl w:val="0"/>
          <w:numId w:val="46"/>
        </w:numPr>
        <w:tabs>
          <w:tab w:val="clear" w:pos="720"/>
          <w:tab w:val="num" w:pos="567"/>
        </w:tabs>
        <w:ind w:left="432" w:hanging="432"/>
      </w:pPr>
      <w:r w:rsidRPr="00033FE1">
        <w:t xml:space="preserve">M. Ferrer-Ferrer, W. </w:t>
      </w:r>
      <w:proofErr w:type="spellStart"/>
      <w:r w:rsidRPr="00033FE1">
        <w:t>Malespín-Benda˜na</w:t>
      </w:r>
      <w:proofErr w:type="spellEnd"/>
      <w:r w:rsidRPr="00033FE1">
        <w:t>, V. Ramírez, et al., Arch. Med. Res. 44, 467–474 (2013).</w:t>
      </w:r>
    </w:p>
    <w:p w14:paraId="0685D6A6" w14:textId="77777777" w:rsidR="00470DD8" w:rsidRPr="00033FE1" w:rsidRDefault="00470DD8" w:rsidP="001C2A54">
      <w:pPr>
        <w:pStyle w:val="Reference"/>
        <w:numPr>
          <w:ilvl w:val="0"/>
          <w:numId w:val="46"/>
        </w:numPr>
        <w:tabs>
          <w:tab w:val="clear" w:pos="720"/>
          <w:tab w:val="num" w:pos="567"/>
        </w:tabs>
        <w:ind w:left="432" w:hanging="432"/>
      </w:pPr>
      <w:r w:rsidRPr="00033FE1">
        <w:t xml:space="preserve">L. He, T. Deng, and H. S. Luo, Sci. World J. 2014, 540309 (2014). </w:t>
      </w:r>
      <w:hyperlink r:id="rId18" w:tgtFrame="_new" w:history="1">
        <w:r w:rsidRPr="00033FE1">
          <w:rPr>
            <w:rStyle w:val="Hyperlink"/>
            <w:color w:val="auto"/>
            <w:u w:val="none"/>
          </w:rPr>
          <w:t>https://doi.org/10.1155/2014/540309</w:t>
        </w:r>
      </w:hyperlink>
    </w:p>
    <w:p w14:paraId="57886376" w14:textId="77777777" w:rsidR="00470DD8" w:rsidRPr="00033FE1" w:rsidRDefault="00470DD8" w:rsidP="001C2A54">
      <w:pPr>
        <w:pStyle w:val="Reference"/>
        <w:numPr>
          <w:ilvl w:val="0"/>
          <w:numId w:val="46"/>
        </w:numPr>
        <w:tabs>
          <w:tab w:val="clear" w:pos="720"/>
          <w:tab w:val="num" w:pos="567"/>
        </w:tabs>
        <w:ind w:left="432" w:hanging="432"/>
      </w:pPr>
      <w:r w:rsidRPr="00033FE1">
        <w:t xml:space="preserve">S. Medhi, M. P. Sarma, M. </w:t>
      </w:r>
      <w:proofErr w:type="gramStart"/>
      <w:r w:rsidRPr="00033FE1">
        <w:t>Asim, and</w:t>
      </w:r>
      <w:proofErr w:type="gramEnd"/>
      <w:r w:rsidRPr="00033FE1">
        <w:t xml:space="preserve"> P. Kar, J. Viral </w:t>
      </w:r>
      <w:proofErr w:type="spellStart"/>
      <w:r w:rsidRPr="00033FE1">
        <w:t>Hepat</w:t>
      </w:r>
      <w:proofErr w:type="spellEnd"/>
      <w:r w:rsidRPr="00033FE1">
        <w:t>. 20, e141–e147 (2013).</w:t>
      </w:r>
    </w:p>
    <w:p w14:paraId="265C98CF" w14:textId="77777777" w:rsidR="00470DD8" w:rsidRPr="00033FE1" w:rsidRDefault="00470DD8" w:rsidP="001C2A54">
      <w:pPr>
        <w:pStyle w:val="Reference"/>
        <w:numPr>
          <w:ilvl w:val="0"/>
          <w:numId w:val="46"/>
        </w:numPr>
        <w:tabs>
          <w:tab w:val="clear" w:pos="720"/>
          <w:tab w:val="num" w:pos="567"/>
        </w:tabs>
        <w:ind w:left="432" w:hanging="432"/>
      </w:pPr>
      <w:r w:rsidRPr="00033FE1">
        <w:t xml:space="preserve">M. Garg, D. Kanojia, S. Saini, S. Suri, A. Gupta, A. </w:t>
      </w:r>
      <w:proofErr w:type="spellStart"/>
      <w:r w:rsidRPr="00033FE1">
        <w:t>Surolia</w:t>
      </w:r>
      <w:proofErr w:type="spellEnd"/>
      <w:r w:rsidRPr="00033FE1">
        <w:t xml:space="preserve">, and A. Suri, Cancer 116, 3785–3796 (2010). </w:t>
      </w:r>
      <w:hyperlink r:id="rId19" w:tgtFrame="_new" w:history="1">
        <w:r w:rsidRPr="00033FE1">
          <w:rPr>
            <w:rStyle w:val="Hyperlink"/>
            <w:color w:val="auto"/>
            <w:u w:val="none"/>
          </w:rPr>
          <w:t>https://doi.org/10.1002/cncr.25218</w:t>
        </w:r>
      </w:hyperlink>
    </w:p>
    <w:p w14:paraId="495F091A" w14:textId="77777777" w:rsidR="00470DD8" w:rsidRPr="00033FE1" w:rsidRDefault="00470DD8" w:rsidP="001C2A54">
      <w:pPr>
        <w:pStyle w:val="Reference"/>
        <w:numPr>
          <w:ilvl w:val="0"/>
          <w:numId w:val="46"/>
        </w:numPr>
        <w:tabs>
          <w:tab w:val="clear" w:pos="720"/>
          <w:tab w:val="num" w:pos="567"/>
        </w:tabs>
        <w:ind w:left="432" w:hanging="432"/>
      </w:pPr>
      <w:r w:rsidRPr="00033FE1">
        <w:t xml:space="preserve">Y. Wang, F. Zhou, Y. Wu, D. Xu, W. Li, and S. Liang, Clin. Chem. Lab. Med. 48, 1657–1663 (2010). </w:t>
      </w:r>
      <w:hyperlink r:id="rId20" w:tgtFrame="_new" w:history="1">
        <w:r w:rsidRPr="00033FE1">
          <w:rPr>
            <w:rStyle w:val="Hyperlink"/>
            <w:color w:val="auto"/>
            <w:u w:val="none"/>
          </w:rPr>
          <w:t>https://doi.org/10.1515/CCLM.2010.304</w:t>
        </w:r>
      </w:hyperlink>
    </w:p>
    <w:p w14:paraId="5DED045C" w14:textId="77777777" w:rsidR="00470DD8" w:rsidRPr="00033FE1" w:rsidRDefault="00470DD8" w:rsidP="001C2A54">
      <w:pPr>
        <w:pStyle w:val="Reference"/>
        <w:numPr>
          <w:ilvl w:val="0"/>
          <w:numId w:val="46"/>
        </w:numPr>
        <w:tabs>
          <w:tab w:val="clear" w:pos="720"/>
          <w:tab w:val="num" w:pos="567"/>
        </w:tabs>
        <w:ind w:left="432" w:hanging="432"/>
      </w:pPr>
      <w:r w:rsidRPr="00033FE1">
        <w:t xml:space="preserve">N. Jagadish, S. Agarwal, N. Gupta, R. Fatima, S. Devi, V. Kumar, V. Suri, R. Kumar, V. Suri, T. C. </w:t>
      </w:r>
      <w:proofErr w:type="spellStart"/>
      <w:r w:rsidRPr="00033FE1">
        <w:t>Sadasukhi</w:t>
      </w:r>
      <w:proofErr w:type="spellEnd"/>
      <w:r w:rsidRPr="00033FE1">
        <w:t xml:space="preserve">, A. Gupta, A. S. Ansari, N. K. </w:t>
      </w:r>
      <w:proofErr w:type="spellStart"/>
      <w:r w:rsidRPr="00033FE1">
        <w:t>Lohiya</w:t>
      </w:r>
      <w:proofErr w:type="spellEnd"/>
      <w:r w:rsidRPr="00033FE1">
        <w:t xml:space="preserve">, and A. Suri, J. Exp. Clin. Cancer Res. 35, 150 (2016). </w:t>
      </w:r>
      <w:hyperlink r:id="rId21" w:tgtFrame="_new" w:history="1">
        <w:r w:rsidRPr="00033FE1">
          <w:rPr>
            <w:rStyle w:val="Hyperlink"/>
            <w:color w:val="auto"/>
            <w:u w:val="none"/>
          </w:rPr>
          <w:t>https://doi.org/10.1186/s13046-016-0425-9</w:t>
        </w:r>
      </w:hyperlink>
    </w:p>
    <w:p w14:paraId="68CD160F" w14:textId="77777777" w:rsidR="00470DD8" w:rsidRPr="00033FE1" w:rsidRDefault="00470DD8" w:rsidP="001C2A54">
      <w:pPr>
        <w:pStyle w:val="Reference"/>
        <w:numPr>
          <w:ilvl w:val="0"/>
          <w:numId w:val="46"/>
        </w:numPr>
        <w:tabs>
          <w:tab w:val="clear" w:pos="720"/>
          <w:tab w:val="num" w:pos="567"/>
        </w:tabs>
        <w:ind w:left="432" w:hanging="432"/>
      </w:pPr>
      <w:r w:rsidRPr="00033FE1">
        <w:t xml:space="preserve">S. K. Calderwood, M. A. </w:t>
      </w:r>
      <w:proofErr w:type="spellStart"/>
      <w:r w:rsidRPr="00033FE1">
        <w:t>Khaleque</w:t>
      </w:r>
      <w:proofErr w:type="spellEnd"/>
      <w:r w:rsidRPr="00033FE1">
        <w:t xml:space="preserve">, D. B. Sawyer, and D. R. Ciocca, Trends </w:t>
      </w:r>
      <w:proofErr w:type="spellStart"/>
      <w:r w:rsidRPr="00033FE1">
        <w:t>Biochem</w:t>
      </w:r>
      <w:proofErr w:type="spellEnd"/>
      <w:r w:rsidRPr="00033FE1">
        <w:t>. Sci. 31, 164–172 (2006).</w:t>
      </w:r>
    </w:p>
    <w:p w14:paraId="3B6590B5" w14:textId="77777777" w:rsidR="00470DD8" w:rsidRPr="00033FE1" w:rsidRDefault="00470DD8" w:rsidP="001C2A54">
      <w:pPr>
        <w:pStyle w:val="Reference"/>
        <w:numPr>
          <w:ilvl w:val="0"/>
          <w:numId w:val="47"/>
        </w:numPr>
        <w:tabs>
          <w:tab w:val="clear" w:pos="720"/>
          <w:tab w:val="num" w:pos="567"/>
        </w:tabs>
        <w:ind w:left="432" w:hanging="432"/>
      </w:pPr>
      <w:r w:rsidRPr="00033FE1">
        <w:t>D. R. Ciocca and S. K. Calderwood, Cell Stress Chaperones 2, 86–103 (2005).</w:t>
      </w:r>
    </w:p>
    <w:p w14:paraId="426D3AAF" w14:textId="77777777" w:rsidR="00470DD8" w:rsidRPr="00033FE1" w:rsidRDefault="00470DD8" w:rsidP="001C2A54">
      <w:pPr>
        <w:pStyle w:val="Reference"/>
        <w:numPr>
          <w:ilvl w:val="0"/>
          <w:numId w:val="47"/>
        </w:numPr>
        <w:tabs>
          <w:tab w:val="clear" w:pos="720"/>
          <w:tab w:val="num" w:pos="567"/>
        </w:tabs>
        <w:ind w:left="432" w:hanging="432"/>
      </w:pPr>
      <w:r w:rsidRPr="00033FE1">
        <w:t xml:space="preserve">C. Soti and P. Csermely, </w:t>
      </w:r>
      <w:proofErr w:type="spellStart"/>
      <w:r w:rsidRPr="00033FE1">
        <w:t>Pathol</w:t>
      </w:r>
      <w:proofErr w:type="spellEnd"/>
      <w:r w:rsidRPr="00033FE1">
        <w:t>. Oncol. Res. 4, 316–321 (1998).</w:t>
      </w:r>
    </w:p>
    <w:p w14:paraId="737117A0" w14:textId="77777777" w:rsidR="00470DD8" w:rsidRPr="00033FE1" w:rsidRDefault="00470DD8" w:rsidP="001C2A54">
      <w:pPr>
        <w:pStyle w:val="Reference"/>
        <w:numPr>
          <w:ilvl w:val="0"/>
          <w:numId w:val="47"/>
        </w:numPr>
        <w:tabs>
          <w:tab w:val="clear" w:pos="720"/>
          <w:tab w:val="num" w:pos="567"/>
        </w:tabs>
        <w:ind w:left="432" w:hanging="432"/>
      </w:pPr>
      <w:r w:rsidRPr="00033FE1">
        <w:t xml:space="preserve">T. L. Prince, B. J. Lang, M. E. Guerrero-Gimenez, J. M. Fernandez-Muñoz, A. Ackerman, and S. K. Calderwood, Cells 9, 1046 (2020). </w:t>
      </w:r>
      <w:hyperlink r:id="rId22" w:tgtFrame="_new" w:history="1">
        <w:r w:rsidRPr="00033FE1">
          <w:rPr>
            <w:rStyle w:val="Hyperlink"/>
            <w:color w:val="auto"/>
            <w:u w:val="none"/>
          </w:rPr>
          <w:t>https://doi.org/10.3390/cells9041046</w:t>
        </w:r>
      </w:hyperlink>
    </w:p>
    <w:p w14:paraId="54A43CFA" w14:textId="77777777" w:rsidR="00470DD8" w:rsidRPr="00033FE1" w:rsidRDefault="00470DD8" w:rsidP="001C2A54">
      <w:pPr>
        <w:pStyle w:val="Reference"/>
        <w:numPr>
          <w:ilvl w:val="0"/>
          <w:numId w:val="47"/>
        </w:numPr>
        <w:tabs>
          <w:tab w:val="clear" w:pos="720"/>
          <w:tab w:val="num" w:pos="567"/>
        </w:tabs>
        <w:ind w:left="432" w:hanging="432"/>
      </w:pPr>
      <w:r w:rsidRPr="00033FE1">
        <w:t xml:space="preserve">M. </w:t>
      </w:r>
      <w:proofErr w:type="spellStart"/>
      <w:r w:rsidRPr="00033FE1">
        <w:t>Moniruzzaman</w:t>
      </w:r>
      <w:proofErr w:type="spellEnd"/>
      <w:r w:rsidRPr="00033FE1">
        <w:t xml:space="preserve">, I. Ahmed, S. Huq, M. S. All Mahmud, S. Begum, U. S. </w:t>
      </w:r>
      <w:proofErr w:type="spellStart"/>
      <w:r w:rsidRPr="00033FE1">
        <w:t>Mahzabin</w:t>
      </w:r>
      <w:proofErr w:type="spellEnd"/>
      <w:r w:rsidRPr="00033FE1">
        <w:t xml:space="preserve"> Amin, M. H. Rahman, P. K. Sarker, M. U. Hossain, K. C. Das, and M. </w:t>
      </w:r>
      <w:proofErr w:type="spellStart"/>
      <w:r w:rsidRPr="00033FE1">
        <w:t>Salimullah</w:t>
      </w:r>
      <w:proofErr w:type="spellEnd"/>
      <w:r w:rsidRPr="00033FE1">
        <w:t xml:space="preserve">, Mol. Genet. Genomic Med. 8, e1073 (2020). </w:t>
      </w:r>
      <w:hyperlink r:id="rId23" w:tgtFrame="_new" w:history="1">
        <w:r w:rsidRPr="00033FE1">
          <w:rPr>
            <w:rStyle w:val="Hyperlink"/>
            <w:color w:val="auto"/>
            <w:u w:val="none"/>
          </w:rPr>
          <w:t>https://doi.org/10.1002/mgg3.1073</w:t>
        </w:r>
      </w:hyperlink>
    </w:p>
    <w:p w14:paraId="3BC41338" w14:textId="77777777" w:rsidR="00470DD8" w:rsidRPr="00033FE1" w:rsidRDefault="00470DD8" w:rsidP="001C2A54">
      <w:pPr>
        <w:pStyle w:val="Reference"/>
        <w:numPr>
          <w:ilvl w:val="0"/>
          <w:numId w:val="47"/>
        </w:numPr>
        <w:tabs>
          <w:tab w:val="clear" w:pos="720"/>
          <w:tab w:val="num" w:pos="567"/>
        </w:tabs>
        <w:ind w:left="432" w:hanging="432"/>
      </w:pPr>
      <w:r w:rsidRPr="00033FE1">
        <w:t>N. A. S. Alwan, F. Lami, M. Al Nsoor, and D. Kerr, Gulf J. Oncol. 1, 47–57 (2022).</w:t>
      </w:r>
    </w:p>
    <w:p w14:paraId="6C22215C" w14:textId="77777777" w:rsidR="00470DD8" w:rsidRPr="00033FE1" w:rsidRDefault="00470DD8" w:rsidP="001C2A54">
      <w:pPr>
        <w:pStyle w:val="Reference"/>
        <w:numPr>
          <w:ilvl w:val="0"/>
          <w:numId w:val="47"/>
        </w:numPr>
        <w:tabs>
          <w:tab w:val="clear" w:pos="720"/>
          <w:tab w:val="num" w:pos="567"/>
        </w:tabs>
        <w:ind w:left="432" w:hanging="432"/>
      </w:pPr>
      <w:r w:rsidRPr="00033FE1">
        <w:t xml:space="preserve">A. M. </w:t>
      </w:r>
      <w:proofErr w:type="spellStart"/>
      <w:r w:rsidRPr="00033FE1">
        <w:t>Alsughayer</w:t>
      </w:r>
      <w:proofErr w:type="spellEnd"/>
      <w:r w:rsidRPr="00033FE1">
        <w:t>, T. Z. Dabbagh, R. H. Abdel-Razeq, G. N. Al-</w:t>
      </w:r>
      <w:proofErr w:type="spellStart"/>
      <w:r w:rsidRPr="00033FE1">
        <w:t>Jussani</w:t>
      </w:r>
      <w:proofErr w:type="spellEnd"/>
      <w:r w:rsidRPr="00033FE1">
        <w:t xml:space="preserve">, S. </w:t>
      </w:r>
      <w:proofErr w:type="spellStart"/>
      <w:r w:rsidRPr="00033FE1">
        <w:t>Alhassoon</w:t>
      </w:r>
      <w:proofErr w:type="spellEnd"/>
      <w:r w:rsidRPr="00033FE1">
        <w:t xml:space="preserve">, and M. A. </w:t>
      </w:r>
      <w:proofErr w:type="spellStart"/>
      <w:r w:rsidRPr="00033FE1">
        <w:t>Sughayer</w:t>
      </w:r>
      <w:proofErr w:type="spellEnd"/>
      <w:r w:rsidRPr="00033FE1">
        <w:t xml:space="preserve">, JCO Glob. Oncol. 8, 1–7 (2022). </w:t>
      </w:r>
      <w:hyperlink r:id="rId24" w:tgtFrame="_new" w:history="1">
        <w:r w:rsidRPr="00033FE1">
          <w:rPr>
            <w:rStyle w:val="Hyperlink"/>
            <w:color w:val="auto"/>
            <w:u w:val="none"/>
          </w:rPr>
          <w:t>https://doi.org/10.1200/GO.21.00359</w:t>
        </w:r>
      </w:hyperlink>
    </w:p>
    <w:p w14:paraId="7466B457" w14:textId="77777777" w:rsidR="00470DD8" w:rsidRPr="00033FE1" w:rsidRDefault="00470DD8" w:rsidP="001C2A54">
      <w:pPr>
        <w:pStyle w:val="Reference"/>
        <w:numPr>
          <w:ilvl w:val="0"/>
          <w:numId w:val="47"/>
        </w:numPr>
        <w:tabs>
          <w:tab w:val="clear" w:pos="720"/>
          <w:tab w:val="num" w:pos="567"/>
        </w:tabs>
        <w:ind w:left="432" w:hanging="432"/>
      </w:pPr>
      <w:r w:rsidRPr="00033FE1">
        <w:t xml:space="preserve">N. </w:t>
      </w:r>
      <w:proofErr w:type="spellStart"/>
      <w:r w:rsidRPr="00033FE1">
        <w:t>Ziamajidi</w:t>
      </w:r>
      <w:proofErr w:type="spellEnd"/>
      <w:r w:rsidRPr="00033FE1">
        <w:t xml:space="preserve">, N. Moini, H. Danesh, R. </w:t>
      </w:r>
      <w:proofErr w:type="spellStart"/>
      <w:r w:rsidRPr="00033FE1">
        <w:t>Abbasalipourkabir</w:t>
      </w:r>
      <w:proofErr w:type="spellEnd"/>
      <w:r w:rsidRPr="00033FE1">
        <w:t xml:space="preserve">, N. </w:t>
      </w:r>
      <w:proofErr w:type="spellStart"/>
      <w:r w:rsidRPr="00033FE1">
        <w:t>Radnia</w:t>
      </w:r>
      <w:proofErr w:type="spellEnd"/>
      <w:r w:rsidRPr="00033FE1">
        <w:t xml:space="preserve">, and Z. </w:t>
      </w:r>
      <w:proofErr w:type="spellStart"/>
      <w:r w:rsidRPr="00033FE1">
        <w:t>Barartabar</w:t>
      </w:r>
      <w:proofErr w:type="spellEnd"/>
      <w:r w:rsidRPr="00033FE1">
        <w:t>, J. Obstet. Gynecol. Cancer Res. 9, 634–641 (2024). https://doi.org/10.30699/jogcr.9.6.634</w:t>
      </w:r>
    </w:p>
    <w:p w14:paraId="2321596E" w14:textId="77777777" w:rsidR="00470DD8" w:rsidRPr="00033FE1" w:rsidRDefault="00470DD8" w:rsidP="001C2A54">
      <w:pPr>
        <w:pStyle w:val="Reference"/>
        <w:numPr>
          <w:ilvl w:val="0"/>
          <w:numId w:val="47"/>
        </w:numPr>
        <w:tabs>
          <w:tab w:val="clear" w:pos="720"/>
          <w:tab w:val="num" w:pos="567"/>
        </w:tabs>
        <w:ind w:left="432" w:hanging="432"/>
      </w:pPr>
      <w:r w:rsidRPr="00033FE1">
        <w:t xml:space="preserve">V. Özmen, T. Özmen, and V. Doğru, Eur. J. Breast Health 15, 141–146 (2019). </w:t>
      </w:r>
      <w:hyperlink r:id="rId25" w:tgtFrame="_new" w:history="1">
        <w:r w:rsidRPr="00033FE1">
          <w:rPr>
            <w:rStyle w:val="Hyperlink"/>
            <w:color w:val="auto"/>
            <w:u w:val="none"/>
          </w:rPr>
          <w:t>https://doi.org/10.5152/ejbh.2019.4890</w:t>
        </w:r>
      </w:hyperlink>
    </w:p>
    <w:p w14:paraId="5170931F" w14:textId="77777777" w:rsidR="00470DD8" w:rsidRPr="00033FE1" w:rsidRDefault="00470DD8" w:rsidP="001C2A54">
      <w:pPr>
        <w:pStyle w:val="Reference"/>
        <w:numPr>
          <w:ilvl w:val="0"/>
          <w:numId w:val="47"/>
        </w:numPr>
        <w:tabs>
          <w:tab w:val="clear" w:pos="720"/>
          <w:tab w:val="num" w:pos="567"/>
        </w:tabs>
        <w:ind w:left="432" w:hanging="432"/>
      </w:pPr>
      <w:r w:rsidRPr="00033FE1">
        <w:t>B. O. Anderson, Breast Cancer Res. Treat. 120, 161–163 (2010).</w:t>
      </w:r>
    </w:p>
    <w:p w14:paraId="66C8F502" w14:textId="77777777" w:rsidR="00470DD8" w:rsidRPr="00033FE1" w:rsidRDefault="00470DD8" w:rsidP="001C2A54">
      <w:pPr>
        <w:pStyle w:val="Reference"/>
        <w:numPr>
          <w:ilvl w:val="0"/>
          <w:numId w:val="47"/>
        </w:numPr>
        <w:tabs>
          <w:tab w:val="clear" w:pos="720"/>
          <w:tab w:val="num" w:pos="567"/>
        </w:tabs>
        <w:ind w:left="432" w:hanging="432"/>
      </w:pPr>
      <w:r w:rsidRPr="00033FE1">
        <w:t xml:space="preserve">S. A. </w:t>
      </w:r>
      <w:proofErr w:type="spellStart"/>
      <w:r w:rsidRPr="00033FE1">
        <w:t>Molah</w:t>
      </w:r>
      <w:proofErr w:type="spellEnd"/>
      <w:r w:rsidRPr="00033FE1">
        <w:t xml:space="preserve"> Karim, H. H. Ghalib, S. A. Mohammed, and F. H. Rahim Fataah, Int. J. Surg. 32, 185 (2016). </w:t>
      </w:r>
      <w:hyperlink r:id="rId26" w:tgtFrame="_new" w:history="1">
        <w:r w:rsidRPr="00033FE1">
          <w:rPr>
            <w:rStyle w:val="Hyperlink"/>
            <w:color w:val="auto"/>
            <w:u w:val="none"/>
          </w:rPr>
          <w:t>https://doi.org/10.1016/j.ijsu.2016.06.037</w:t>
        </w:r>
      </w:hyperlink>
    </w:p>
    <w:p w14:paraId="466C4B62" w14:textId="77777777" w:rsidR="00470DD8" w:rsidRPr="00033FE1" w:rsidRDefault="00470DD8" w:rsidP="001C2A54">
      <w:pPr>
        <w:pStyle w:val="Reference"/>
        <w:numPr>
          <w:ilvl w:val="0"/>
          <w:numId w:val="47"/>
        </w:numPr>
        <w:tabs>
          <w:tab w:val="clear" w:pos="720"/>
          <w:tab w:val="num" w:pos="567"/>
        </w:tabs>
        <w:ind w:left="432" w:hanging="432"/>
      </w:pPr>
      <w:r w:rsidRPr="00033FE1">
        <w:lastRenderedPageBreak/>
        <w:t xml:space="preserve">S. </w:t>
      </w:r>
      <w:proofErr w:type="spellStart"/>
      <w:r w:rsidRPr="00033FE1">
        <w:t>Almotwaa</w:t>
      </w:r>
      <w:proofErr w:type="spellEnd"/>
      <w:r w:rsidRPr="00033FE1">
        <w:t xml:space="preserve">, M. Elrobh, H. </w:t>
      </w:r>
      <w:proofErr w:type="spellStart"/>
      <w:r w:rsidRPr="00033FE1">
        <w:t>AbdulKarim</w:t>
      </w:r>
      <w:proofErr w:type="spellEnd"/>
      <w:r w:rsidRPr="00033FE1">
        <w:t xml:space="preserve">, M. Alanazi, S. </w:t>
      </w:r>
      <w:proofErr w:type="spellStart"/>
      <w:r w:rsidRPr="00033FE1">
        <w:t>Aldaihan</w:t>
      </w:r>
      <w:proofErr w:type="spellEnd"/>
      <w:r w:rsidRPr="00033FE1">
        <w:t xml:space="preserve">, J. Shaik, M. Arafa, and A. S. </w:t>
      </w:r>
      <w:proofErr w:type="spellStart"/>
      <w:r w:rsidRPr="00033FE1">
        <w:t>Warsy</w:t>
      </w:r>
      <w:proofErr w:type="spellEnd"/>
      <w:r w:rsidRPr="00033FE1">
        <w:t xml:space="preserve">, </w:t>
      </w:r>
      <w:proofErr w:type="spellStart"/>
      <w:r w:rsidRPr="00033FE1">
        <w:t>PLoS</w:t>
      </w:r>
      <w:proofErr w:type="spellEnd"/>
      <w:r w:rsidRPr="00033FE1">
        <w:t xml:space="preserve"> One 13, e0193095 (2018). </w:t>
      </w:r>
      <w:hyperlink r:id="rId27" w:tgtFrame="_new" w:history="1">
        <w:r w:rsidRPr="00033FE1">
          <w:rPr>
            <w:rStyle w:val="Hyperlink"/>
            <w:color w:val="auto"/>
            <w:u w:val="none"/>
          </w:rPr>
          <w:t>https://doi.org/10.1371/journal.pone.0193095</w:t>
        </w:r>
      </w:hyperlink>
    </w:p>
    <w:p w14:paraId="4394B988" w14:textId="77777777" w:rsidR="00470DD8" w:rsidRPr="00033FE1" w:rsidRDefault="00470DD8" w:rsidP="001C2A54">
      <w:pPr>
        <w:pStyle w:val="Reference"/>
        <w:numPr>
          <w:ilvl w:val="0"/>
          <w:numId w:val="47"/>
        </w:numPr>
        <w:tabs>
          <w:tab w:val="clear" w:pos="720"/>
          <w:tab w:val="num" w:pos="567"/>
        </w:tabs>
        <w:ind w:left="432" w:hanging="432"/>
      </w:pPr>
      <w:r w:rsidRPr="00033FE1">
        <w:t xml:space="preserve">L. </w:t>
      </w:r>
      <w:proofErr w:type="spellStart"/>
      <w:r w:rsidRPr="00033FE1">
        <w:t>Chouchane</w:t>
      </w:r>
      <w:proofErr w:type="spellEnd"/>
      <w:r w:rsidRPr="00033FE1">
        <w:t xml:space="preserve">, S. B. Ahmed, S. Baccouche, and S. </w:t>
      </w:r>
      <w:proofErr w:type="spellStart"/>
      <w:r w:rsidRPr="00033FE1">
        <w:t>Remadi</w:t>
      </w:r>
      <w:proofErr w:type="spellEnd"/>
      <w:r w:rsidRPr="00033FE1">
        <w:t xml:space="preserve">, Cancer 80, 1489–1496 (1997). </w:t>
      </w:r>
      <w:hyperlink r:id="rId28" w:tgtFrame="_new" w:history="1">
        <w:r w:rsidRPr="00033FE1">
          <w:rPr>
            <w:rStyle w:val="Hyperlink"/>
            <w:color w:val="auto"/>
            <w:u w:val="none"/>
          </w:rPr>
          <w:t>https://doi.org/10.1002/(sici)1097-0142(19971015)80:8</w:t>
        </w:r>
      </w:hyperlink>
      <w:r w:rsidRPr="00033FE1">
        <w:t>&lt;</w:t>
      </w:r>
      <w:proofErr w:type="gramStart"/>
      <w:r w:rsidRPr="00033FE1">
        <w:t>1489::</w:t>
      </w:r>
      <w:proofErr w:type="gramEnd"/>
      <w:r w:rsidRPr="00033FE1">
        <w:t>aid-cncr17&gt;3.0.co;2-1</w:t>
      </w:r>
    </w:p>
    <w:p w14:paraId="3B9E6276" w14:textId="77777777" w:rsidR="00470DD8" w:rsidRPr="001C2A54" w:rsidRDefault="00470DD8" w:rsidP="001C2A54">
      <w:pPr>
        <w:pStyle w:val="Reference"/>
        <w:numPr>
          <w:ilvl w:val="0"/>
          <w:numId w:val="47"/>
        </w:numPr>
        <w:tabs>
          <w:tab w:val="clear" w:pos="720"/>
          <w:tab w:val="num" w:pos="567"/>
        </w:tabs>
        <w:ind w:left="432" w:hanging="432"/>
        <w:rPr>
          <w:lang w:val="fr-FR"/>
        </w:rPr>
      </w:pPr>
      <w:r w:rsidRPr="00033FE1">
        <w:t xml:space="preserve">A. </w:t>
      </w:r>
      <w:proofErr w:type="spellStart"/>
      <w:r w:rsidRPr="00033FE1">
        <w:t>Bakhshandeh</w:t>
      </w:r>
      <w:proofErr w:type="spellEnd"/>
      <w:r w:rsidRPr="00033FE1">
        <w:t xml:space="preserve"> and A. </w:t>
      </w:r>
      <w:proofErr w:type="spellStart"/>
      <w:r w:rsidRPr="00033FE1">
        <w:t>Dolatabad</w:t>
      </w:r>
      <w:proofErr w:type="spellEnd"/>
      <w:r w:rsidRPr="00033FE1">
        <w:t xml:space="preserve">, Am. J. Clin. Exp. </w:t>
      </w:r>
      <w:proofErr w:type="spellStart"/>
      <w:r w:rsidRPr="001C2A54">
        <w:rPr>
          <w:lang w:val="fr-FR"/>
        </w:rPr>
        <w:t>Immunol</w:t>
      </w:r>
      <w:proofErr w:type="spellEnd"/>
      <w:r w:rsidRPr="001C2A54">
        <w:rPr>
          <w:lang w:val="fr-FR"/>
        </w:rPr>
        <w:t xml:space="preserve">. 13, 278–284 (2024). </w:t>
      </w:r>
      <w:hyperlink r:id="rId29" w:tgtFrame="_new" w:history="1">
        <w:r w:rsidRPr="001C2A54">
          <w:rPr>
            <w:rStyle w:val="Hyperlink"/>
            <w:color w:val="auto"/>
            <w:u w:val="none"/>
            <w:lang w:val="fr-FR"/>
          </w:rPr>
          <w:t>https://doi.org/10.62347/CMYA9839</w:t>
        </w:r>
      </w:hyperlink>
    </w:p>
    <w:p w14:paraId="46340A5B" w14:textId="77777777" w:rsidR="00470DD8" w:rsidRPr="00033FE1" w:rsidRDefault="00470DD8" w:rsidP="001C2A54">
      <w:pPr>
        <w:pStyle w:val="Reference"/>
        <w:numPr>
          <w:ilvl w:val="0"/>
          <w:numId w:val="47"/>
        </w:numPr>
        <w:tabs>
          <w:tab w:val="clear" w:pos="720"/>
          <w:tab w:val="num" w:pos="567"/>
        </w:tabs>
        <w:ind w:left="432" w:hanging="432"/>
      </w:pPr>
      <w:r w:rsidRPr="004A38C7">
        <w:rPr>
          <w:lang w:val="fr-FR"/>
        </w:rPr>
        <w:t xml:space="preserve">L. S. Unnikrishnan, Srinivasan </w:t>
      </w:r>
      <w:proofErr w:type="spellStart"/>
      <w:r w:rsidRPr="004A38C7">
        <w:rPr>
          <w:lang w:val="fr-FR"/>
        </w:rPr>
        <w:t>Pugazhendhi</w:t>
      </w:r>
      <w:proofErr w:type="spellEnd"/>
      <w:r w:rsidRPr="004A38C7">
        <w:rPr>
          <w:lang w:val="fr-FR"/>
        </w:rPr>
        <w:t xml:space="preserve">, </w:t>
      </w:r>
      <w:proofErr w:type="spellStart"/>
      <w:r w:rsidRPr="004A38C7">
        <w:rPr>
          <w:lang w:val="fr-FR"/>
        </w:rPr>
        <w:t>Sudipta</w:t>
      </w:r>
      <w:proofErr w:type="spellEnd"/>
      <w:r w:rsidRPr="004A38C7">
        <w:rPr>
          <w:lang w:val="fr-FR"/>
        </w:rPr>
        <w:t xml:space="preserve"> </w:t>
      </w:r>
      <w:proofErr w:type="spellStart"/>
      <w:r w:rsidRPr="004A38C7">
        <w:rPr>
          <w:lang w:val="fr-FR"/>
        </w:rPr>
        <w:t>Dhar</w:t>
      </w:r>
      <w:proofErr w:type="spellEnd"/>
      <w:r w:rsidRPr="004A38C7">
        <w:rPr>
          <w:lang w:val="fr-FR"/>
        </w:rPr>
        <w:t xml:space="preserve"> Chowdhury, and </w:t>
      </w:r>
      <w:proofErr w:type="spellStart"/>
      <w:r w:rsidRPr="004A38C7">
        <w:rPr>
          <w:lang w:val="fr-FR"/>
        </w:rPr>
        <w:t>Balakrishnan</w:t>
      </w:r>
      <w:proofErr w:type="spellEnd"/>
      <w:r w:rsidRPr="004A38C7">
        <w:rPr>
          <w:lang w:val="fr-FR"/>
        </w:rPr>
        <w:t xml:space="preserve"> S. Ramakrishna, </w:t>
      </w:r>
      <w:proofErr w:type="spellStart"/>
      <w:r w:rsidRPr="004A38C7">
        <w:rPr>
          <w:lang w:val="fr-FR"/>
        </w:rPr>
        <w:t>Gastroenterol</w:t>
      </w:r>
      <w:proofErr w:type="spellEnd"/>
      <w:r w:rsidRPr="004A38C7">
        <w:rPr>
          <w:lang w:val="fr-FR"/>
        </w:rPr>
        <w:t xml:space="preserve">. </w:t>
      </w:r>
      <w:r w:rsidRPr="00033FE1">
        <w:t>Hepatol. E</w:t>
      </w:r>
      <w:proofErr w:type="spellStart"/>
      <w:r w:rsidRPr="00033FE1">
        <w:t>ndosc</w:t>
      </w:r>
      <w:proofErr w:type="spellEnd"/>
      <w:r w:rsidRPr="00033FE1">
        <w:t xml:space="preserve">. </w:t>
      </w:r>
      <w:proofErr w:type="spellStart"/>
      <w:r w:rsidRPr="00033FE1">
        <w:t>Pract</w:t>
      </w:r>
      <w:proofErr w:type="spellEnd"/>
      <w:r w:rsidRPr="00033FE1">
        <w:t>. 3, 24–28 (2023). https://doi.org/10.4103/ghep.ghep_32_22</w:t>
      </w:r>
    </w:p>
    <w:p w14:paraId="557E1575" w14:textId="77777777" w:rsidR="00470DD8" w:rsidRPr="001C2A54" w:rsidRDefault="00470DD8" w:rsidP="001C2A54">
      <w:pPr>
        <w:pStyle w:val="Reference"/>
        <w:numPr>
          <w:ilvl w:val="0"/>
          <w:numId w:val="47"/>
        </w:numPr>
        <w:tabs>
          <w:tab w:val="clear" w:pos="720"/>
          <w:tab w:val="num" w:pos="567"/>
        </w:tabs>
        <w:ind w:left="432" w:hanging="432"/>
      </w:pPr>
      <w:r w:rsidRPr="00033FE1">
        <w:t xml:space="preserve">L. Sepe, J. Xu, and D. Li, Eur. </w:t>
      </w:r>
      <w:proofErr w:type="spellStart"/>
      <w:r w:rsidRPr="00033FE1">
        <w:rPr>
          <w:lang w:val="fr-FR"/>
        </w:rPr>
        <w:t>Neuropsychopharmacol</w:t>
      </w:r>
      <w:proofErr w:type="spellEnd"/>
      <w:r w:rsidRPr="00033FE1">
        <w:rPr>
          <w:lang w:val="fr-FR"/>
        </w:rPr>
        <w:t xml:space="preserve">. </w:t>
      </w:r>
      <w:r w:rsidRPr="001C2A54">
        <w:t xml:space="preserve">75, S212 (2023). </w:t>
      </w:r>
      <w:hyperlink r:id="rId30" w:tgtFrame="_new" w:history="1">
        <w:r w:rsidRPr="001C2A54">
          <w:rPr>
            <w:rStyle w:val="Hyperlink"/>
            <w:color w:val="auto"/>
            <w:u w:val="none"/>
          </w:rPr>
          <w:t>https://doi.org/10.1016/j.euroneuro.2023.08.377</w:t>
        </w:r>
      </w:hyperlink>
    </w:p>
    <w:p w14:paraId="6109FF85" w14:textId="77777777" w:rsidR="00470DD8" w:rsidRPr="00033FE1" w:rsidRDefault="00470DD8" w:rsidP="001C2A54">
      <w:pPr>
        <w:pStyle w:val="Reference"/>
        <w:numPr>
          <w:ilvl w:val="0"/>
          <w:numId w:val="47"/>
        </w:numPr>
        <w:tabs>
          <w:tab w:val="clear" w:pos="720"/>
          <w:tab w:val="num" w:pos="567"/>
        </w:tabs>
        <w:ind w:left="432" w:hanging="432"/>
      </w:pPr>
      <w:r w:rsidRPr="00033FE1">
        <w:t xml:space="preserve">M. </w:t>
      </w:r>
      <w:proofErr w:type="spellStart"/>
      <w:r w:rsidRPr="00033FE1">
        <w:t>Moniruzzaman</w:t>
      </w:r>
      <w:proofErr w:type="spellEnd"/>
      <w:r w:rsidRPr="00033FE1">
        <w:t xml:space="preserve">, I. Ahmed, S. Huq, M. S. All Mahmud, S. Begum, U. S. </w:t>
      </w:r>
      <w:proofErr w:type="spellStart"/>
      <w:r w:rsidRPr="00033FE1">
        <w:t>Mahzabin</w:t>
      </w:r>
      <w:proofErr w:type="spellEnd"/>
      <w:r w:rsidRPr="00033FE1">
        <w:t xml:space="preserve"> Amin, M. H. Rahman, P. K. Sarker, M. U. Hossain, K. C. Das, and M. </w:t>
      </w:r>
      <w:proofErr w:type="spellStart"/>
      <w:r w:rsidRPr="00033FE1">
        <w:t>Salimullah</w:t>
      </w:r>
      <w:proofErr w:type="spellEnd"/>
      <w:r w:rsidRPr="00033FE1">
        <w:t xml:space="preserve">, Mol. Genet. Genomic Med. 8, e1073 (2020). </w:t>
      </w:r>
      <w:hyperlink r:id="rId31" w:tgtFrame="_new" w:history="1">
        <w:r w:rsidRPr="00033FE1">
          <w:rPr>
            <w:rStyle w:val="Hyperlink"/>
            <w:color w:val="auto"/>
            <w:u w:val="none"/>
          </w:rPr>
          <w:t>https://doi.org/10.1002/mgg3.1073</w:t>
        </w:r>
      </w:hyperlink>
    </w:p>
    <w:p w14:paraId="579C7F3C" w14:textId="77777777" w:rsidR="00470DD8" w:rsidRPr="00033FE1" w:rsidRDefault="00470DD8" w:rsidP="001C2A54">
      <w:pPr>
        <w:pStyle w:val="Reference"/>
        <w:numPr>
          <w:ilvl w:val="0"/>
          <w:numId w:val="47"/>
        </w:numPr>
        <w:tabs>
          <w:tab w:val="clear" w:pos="720"/>
          <w:tab w:val="num" w:pos="567"/>
        </w:tabs>
        <w:ind w:left="432" w:hanging="432"/>
      </w:pPr>
      <w:r w:rsidRPr="00033FE1">
        <w:t xml:space="preserve">F. Scalia, F. Carini, S. David, M. Giammanco, M. Mazzola, F. Rappa, N. I. Bressan, G. Maida, and G. Tomasello, Int. J. Mol. Sci. 24, 12129 (2023). </w:t>
      </w:r>
      <w:hyperlink r:id="rId32" w:tgtFrame="_new" w:history="1">
        <w:r w:rsidRPr="00033FE1">
          <w:rPr>
            <w:rStyle w:val="Hyperlink"/>
            <w:color w:val="auto"/>
            <w:u w:val="none"/>
          </w:rPr>
          <w:t>https://doi.org/10.3390/ijms241512129</w:t>
        </w:r>
      </w:hyperlink>
    </w:p>
    <w:p w14:paraId="29CA0C8C" w14:textId="77777777" w:rsidR="00470DD8" w:rsidRPr="00033FE1" w:rsidRDefault="00470DD8" w:rsidP="001C2A54">
      <w:pPr>
        <w:pStyle w:val="Reference"/>
        <w:numPr>
          <w:ilvl w:val="0"/>
          <w:numId w:val="47"/>
        </w:numPr>
        <w:tabs>
          <w:tab w:val="clear" w:pos="720"/>
          <w:tab w:val="num" w:pos="567"/>
        </w:tabs>
        <w:ind w:left="432" w:hanging="432"/>
      </w:pPr>
      <w:r w:rsidRPr="00033FE1">
        <w:t xml:space="preserve">K. Su, Y. Liu, P. Wang, K. He, F. Wang, H. Chi, M. Rao, X. Li, L. Wen, Y. Song, J. Zhang, T. Gu, K. Xu, Q. Li, J. Chen, Z. Wu, H. Li, W. Huang, L. Chen, J. Tong, … Y. Han, Hepatology Int. 16, 1208–1219 (2022). </w:t>
      </w:r>
      <w:hyperlink r:id="rId33" w:tgtFrame="_new" w:history="1">
        <w:r w:rsidRPr="00033FE1">
          <w:rPr>
            <w:rStyle w:val="Hyperlink"/>
            <w:color w:val="auto"/>
            <w:u w:val="none"/>
          </w:rPr>
          <w:t>https://doi.org/10.1007/s12072-022-10391-y</w:t>
        </w:r>
      </w:hyperlink>
    </w:p>
    <w:sectPr w:rsidR="00470DD8" w:rsidRPr="00033FE1" w:rsidSect="00447F89">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50D57"/>
    <w:multiLevelType w:val="multilevel"/>
    <w:tmpl w:val="DDDCB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E73F3D"/>
    <w:multiLevelType w:val="multilevel"/>
    <w:tmpl w:val="7F12729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5"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303968967">
    <w:abstractNumId w:val="17"/>
  </w:num>
  <w:num w:numId="2" w16cid:durableId="2080594115">
    <w:abstractNumId w:val="4"/>
  </w:num>
  <w:num w:numId="3" w16cid:durableId="395402611">
    <w:abstractNumId w:val="14"/>
  </w:num>
  <w:num w:numId="4" w16cid:durableId="1078595987">
    <w:abstractNumId w:val="8"/>
  </w:num>
  <w:num w:numId="5" w16cid:durableId="1408382584">
    <w:abstractNumId w:val="13"/>
  </w:num>
  <w:num w:numId="6" w16cid:durableId="1651129672">
    <w:abstractNumId w:val="5"/>
  </w:num>
  <w:num w:numId="7" w16cid:durableId="1939213769">
    <w:abstractNumId w:val="7"/>
  </w:num>
  <w:num w:numId="8" w16cid:durableId="188295935">
    <w:abstractNumId w:val="2"/>
  </w:num>
  <w:num w:numId="9" w16cid:durableId="1151168934">
    <w:abstractNumId w:val="16"/>
  </w:num>
  <w:num w:numId="10" w16cid:durableId="919562534">
    <w:abstractNumId w:val="10"/>
  </w:num>
  <w:num w:numId="11" w16cid:durableId="1528911789">
    <w:abstractNumId w:val="15"/>
  </w:num>
  <w:num w:numId="12" w16cid:durableId="257179014">
    <w:abstractNumId w:val="11"/>
  </w:num>
  <w:num w:numId="13" w16cid:durableId="2048215153">
    <w:abstractNumId w:val="6"/>
  </w:num>
  <w:num w:numId="14" w16cid:durableId="1718624194">
    <w:abstractNumId w:val="16"/>
  </w:num>
  <w:num w:numId="15" w16cid:durableId="1180043898">
    <w:abstractNumId w:val="9"/>
  </w:num>
  <w:num w:numId="16" w16cid:durableId="99761247">
    <w:abstractNumId w:val="6"/>
  </w:num>
  <w:num w:numId="17" w16cid:durableId="894700376">
    <w:abstractNumId w:val="6"/>
  </w:num>
  <w:num w:numId="18" w16cid:durableId="571159494">
    <w:abstractNumId w:val="6"/>
  </w:num>
  <w:num w:numId="19" w16cid:durableId="537398852">
    <w:abstractNumId w:val="6"/>
  </w:num>
  <w:num w:numId="20" w16cid:durableId="313262195">
    <w:abstractNumId w:val="6"/>
  </w:num>
  <w:num w:numId="21" w16cid:durableId="476535789">
    <w:abstractNumId w:val="6"/>
  </w:num>
  <w:num w:numId="22" w16cid:durableId="1106002808">
    <w:abstractNumId w:val="6"/>
  </w:num>
  <w:num w:numId="23" w16cid:durableId="1356661559">
    <w:abstractNumId w:val="6"/>
  </w:num>
  <w:num w:numId="24" w16cid:durableId="575624924">
    <w:abstractNumId w:val="6"/>
  </w:num>
  <w:num w:numId="25" w16cid:durableId="874586683">
    <w:abstractNumId w:val="6"/>
  </w:num>
  <w:num w:numId="26" w16cid:durableId="180046411">
    <w:abstractNumId w:val="6"/>
  </w:num>
  <w:num w:numId="27" w16cid:durableId="1563563859">
    <w:abstractNumId w:val="6"/>
  </w:num>
  <w:num w:numId="28" w16cid:durableId="2039625089">
    <w:abstractNumId w:val="6"/>
  </w:num>
  <w:num w:numId="29" w16cid:durableId="912006549">
    <w:abstractNumId w:val="13"/>
  </w:num>
  <w:num w:numId="30" w16cid:durableId="230434883">
    <w:abstractNumId w:val="13"/>
  </w:num>
  <w:num w:numId="31" w16cid:durableId="1930776331">
    <w:abstractNumId w:val="13"/>
    <w:lvlOverride w:ilvl="0">
      <w:startOverride w:val="1"/>
    </w:lvlOverride>
  </w:num>
  <w:num w:numId="32" w16cid:durableId="271520608">
    <w:abstractNumId w:val="13"/>
  </w:num>
  <w:num w:numId="33" w16cid:durableId="1825733944">
    <w:abstractNumId w:val="13"/>
    <w:lvlOverride w:ilvl="0">
      <w:startOverride w:val="1"/>
    </w:lvlOverride>
  </w:num>
  <w:num w:numId="34" w16cid:durableId="1101028299">
    <w:abstractNumId w:val="13"/>
    <w:lvlOverride w:ilvl="0">
      <w:startOverride w:val="1"/>
    </w:lvlOverride>
  </w:num>
  <w:num w:numId="35" w16cid:durableId="1928733388">
    <w:abstractNumId w:val="14"/>
    <w:lvlOverride w:ilvl="0">
      <w:startOverride w:val="1"/>
    </w:lvlOverride>
  </w:num>
  <w:num w:numId="36" w16cid:durableId="1806897362">
    <w:abstractNumId w:val="14"/>
  </w:num>
  <w:num w:numId="37" w16cid:durableId="1086264700">
    <w:abstractNumId w:val="14"/>
    <w:lvlOverride w:ilvl="0">
      <w:startOverride w:val="1"/>
    </w:lvlOverride>
  </w:num>
  <w:num w:numId="38" w16cid:durableId="419721370">
    <w:abstractNumId w:val="14"/>
  </w:num>
  <w:num w:numId="39" w16cid:durableId="1036849416">
    <w:abstractNumId w:val="14"/>
    <w:lvlOverride w:ilvl="0">
      <w:startOverride w:val="1"/>
    </w:lvlOverride>
  </w:num>
  <w:num w:numId="40" w16cid:durableId="1402292115">
    <w:abstractNumId w:val="14"/>
    <w:lvlOverride w:ilvl="0">
      <w:startOverride w:val="1"/>
    </w:lvlOverride>
  </w:num>
  <w:num w:numId="41" w16cid:durableId="855658962">
    <w:abstractNumId w:val="14"/>
    <w:lvlOverride w:ilvl="0">
      <w:startOverride w:val="1"/>
    </w:lvlOverride>
  </w:num>
  <w:num w:numId="42" w16cid:durableId="1726949807">
    <w:abstractNumId w:val="14"/>
  </w:num>
  <w:num w:numId="43" w16cid:durableId="241523426">
    <w:abstractNumId w:val="14"/>
  </w:num>
  <w:num w:numId="44" w16cid:durableId="1081028179">
    <w:abstractNumId w:val="3"/>
  </w:num>
  <w:num w:numId="45" w16cid:durableId="1044447772">
    <w:abstractNumId w:val="0"/>
  </w:num>
  <w:num w:numId="46" w16cid:durableId="1169253767">
    <w:abstractNumId w:val="1"/>
  </w:num>
  <w:num w:numId="47" w16cid:durableId="7058312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B14"/>
    <w:rsid w:val="00003D7C"/>
    <w:rsid w:val="00014140"/>
    <w:rsid w:val="00027428"/>
    <w:rsid w:val="00031EC9"/>
    <w:rsid w:val="00033FE1"/>
    <w:rsid w:val="00064B34"/>
    <w:rsid w:val="000669B6"/>
    <w:rsid w:val="00066FED"/>
    <w:rsid w:val="00075EA6"/>
    <w:rsid w:val="0007709F"/>
    <w:rsid w:val="00086F62"/>
    <w:rsid w:val="00090674"/>
    <w:rsid w:val="0009320B"/>
    <w:rsid w:val="00096AE0"/>
    <w:rsid w:val="000B1B74"/>
    <w:rsid w:val="000B3A2D"/>
    <w:rsid w:val="000B49C0"/>
    <w:rsid w:val="000C330C"/>
    <w:rsid w:val="000E382F"/>
    <w:rsid w:val="000E75CD"/>
    <w:rsid w:val="000F027C"/>
    <w:rsid w:val="001036BA"/>
    <w:rsid w:val="001117AA"/>
    <w:rsid w:val="00111A31"/>
    <w:rsid w:val="00114487"/>
    <w:rsid w:val="001146DC"/>
    <w:rsid w:val="00114AB1"/>
    <w:rsid w:val="001230FF"/>
    <w:rsid w:val="00130BD7"/>
    <w:rsid w:val="00155B67"/>
    <w:rsid w:val="001562AF"/>
    <w:rsid w:val="00161A5B"/>
    <w:rsid w:val="0016385D"/>
    <w:rsid w:val="0016782F"/>
    <w:rsid w:val="001937E9"/>
    <w:rsid w:val="001964E5"/>
    <w:rsid w:val="001B263B"/>
    <w:rsid w:val="001B3910"/>
    <w:rsid w:val="001B476A"/>
    <w:rsid w:val="001C2A54"/>
    <w:rsid w:val="001C764F"/>
    <w:rsid w:val="001C7BB3"/>
    <w:rsid w:val="001D469C"/>
    <w:rsid w:val="00215B4F"/>
    <w:rsid w:val="0021619E"/>
    <w:rsid w:val="00223199"/>
    <w:rsid w:val="0023171B"/>
    <w:rsid w:val="00236BFC"/>
    <w:rsid w:val="00237437"/>
    <w:rsid w:val="002502FD"/>
    <w:rsid w:val="00274622"/>
    <w:rsid w:val="00285D24"/>
    <w:rsid w:val="00290390"/>
    <w:rsid w:val="002915D3"/>
    <w:rsid w:val="002924DB"/>
    <w:rsid w:val="002941DA"/>
    <w:rsid w:val="002B5648"/>
    <w:rsid w:val="002E1CC3"/>
    <w:rsid w:val="002E3C35"/>
    <w:rsid w:val="002F508D"/>
    <w:rsid w:val="002F5298"/>
    <w:rsid w:val="00326AE0"/>
    <w:rsid w:val="00337E4F"/>
    <w:rsid w:val="00340C36"/>
    <w:rsid w:val="00346A9D"/>
    <w:rsid w:val="00373794"/>
    <w:rsid w:val="0039376F"/>
    <w:rsid w:val="003A287B"/>
    <w:rsid w:val="003A5C85"/>
    <w:rsid w:val="003A61B1"/>
    <w:rsid w:val="003B0050"/>
    <w:rsid w:val="003B2AB0"/>
    <w:rsid w:val="003C0A8B"/>
    <w:rsid w:val="003D6312"/>
    <w:rsid w:val="003D7C54"/>
    <w:rsid w:val="003E7C74"/>
    <w:rsid w:val="003F31C6"/>
    <w:rsid w:val="00401EC8"/>
    <w:rsid w:val="0040225B"/>
    <w:rsid w:val="00402DA2"/>
    <w:rsid w:val="00425AC2"/>
    <w:rsid w:val="004358D0"/>
    <w:rsid w:val="004414FE"/>
    <w:rsid w:val="00445ACA"/>
    <w:rsid w:val="0044771F"/>
    <w:rsid w:val="00447F89"/>
    <w:rsid w:val="00470DD8"/>
    <w:rsid w:val="004A38C7"/>
    <w:rsid w:val="004B151D"/>
    <w:rsid w:val="004C0E25"/>
    <w:rsid w:val="004C66FC"/>
    <w:rsid w:val="004C7243"/>
    <w:rsid w:val="004E21DE"/>
    <w:rsid w:val="004E3C57"/>
    <w:rsid w:val="004E3CB2"/>
    <w:rsid w:val="0052267D"/>
    <w:rsid w:val="00525813"/>
    <w:rsid w:val="005276B0"/>
    <w:rsid w:val="0053513F"/>
    <w:rsid w:val="00543F8A"/>
    <w:rsid w:val="00574405"/>
    <w:rsid w:val="00584E9C"/>
    <w:rsid w:val="005854B0"/>
    <w:rsid w:val="0058675E"/>
    <w:rsid w:val="00590227"/>
    <w:rsid w:val="005A0E21"/>
    <w:rsid w:val="005B3A34"/>
    <w:rsid w:val="005B7C73"/>
    <w:rsid w:val="005D49AF"/>
    <w:rsid w:val="005E415C"/>
    <w:rsid w:val="005E71ED"/>
    <w:rsid w:val="005E7946"/>
    <w:rsid w:val="005F7475"/>
    <w:rsid w:val="00611299"/>
    <w:rsid w:val="00613B4D"/>
    <w:rsid w:val="00616365"/>
    <w:rsid w:val="00616F3B"/>
    <w:rsid w:val="006249A7"/>
    <w:rsid w:val="0064225B"/>
    <w:rsid w:val="0066301E"/>
    <w:rsid w:val="00672E2A"/>
    <w:rsid w:val="006763F9"/>
    <w:rsid w:val="006949BC"/>
    <w:rsid w:val="006C21CC"/>
    <w:rsid w:val="006D1229"/>
    <w:rsid w:val="006D372F"/>
    <w:rsid w:val="006D7A18"/>
    <w:rsid w:val="006E4474"/>
    <w:rsid w:val="006E6659"/>
    <w:rsid w:val="006F2315"/>
    <w:rsid w:val="006F2E48"/>
    <w:rsid w:val="00701388"/>
    <w:rsid w:val="00723B7F"/>
    <w:rsid w:val="00725861"/>
    <w:rsid w:val="0073393A"/>
    <w:rsid w:val="0073539D"/>
    <w:rsid w:val="00767B8A"/>
    <w:rsid w:val="00775481"/>
    <w:rsid w:val="0079521A"/>
    <w:rsid w:val="007A01E9"/>
    <w:rsid w:val="007A233B"/>
    <w:rsid w:val="007B4863"/>
    <w:rsid w:val="007C65E6"/>
    <w:rsid w:val="007D406B"/>
    <w:rsid w:val="007D4407"/>
    <w:rsid w:val="007E1CA3"/>
    <w:rsid w:val="00812D62"/>
    <w:rsid w:val="00812F29"/>
    <w:rsid w:val="00821713"/>
    <w:rsid w:val="00827050"/>
    <w:rsid w:val="0083278B"/>
    <w:rsid w:val="00834538"/>
    <w:rsid w:val="00850E89"/>
    <w:rsid w:val="00855104"/>
    <w:rsid w:val="0086627F"/>
    <w:rsid w:val="008930E4"/>
    <w:rsid w:val="00893821"/>
    <w:rsid w:val="008A7B9C"/>
    <w:rsid w:val="008B39FA"/>
    <w:rsid w:val="008B4754"/>
    <w:rsid w:val="008E6A7A"/>
    <w:rsid w:val="008F1038"/>
    <w:rsid w:val="008F7046"/>
    <w:rsid w:val="009005FC"/>
    <w:rsid w:val="0090447F"/>
    <w:rsid w:val="00922E5A"/>
    <w:rsid w:val="00943315"/>
    <w:rsid w:val="00946C27"/>
    <w:rsid w:val="009478F5"/>
    <w:rsid w:val="009877FB"/>
    <w:rsid w:val="009A4F3D"/>
    <w:rsid w:val="009B696B"/>
    <w:rsid w:val="009B7671"/>
    <w:rsid w:val="009D6508"/>
    <w:rsid w:val="009E5BA1"/>
    <w:rsid w:val="009F056E"/>
    <w:rsid w:val="00A24F3D"/>
    <w:rsid w:val="00A26880"/>
    <w:rsid w:val="00A26DCD"/>
    <w:rsid w:val="00A314BB"/>
    <w:rsid w:val="00A32B7D"/>
    <w:rsid w:val="00A5596B"/>
    <w:rsid w:val="00A646B3"/>
    <w:rsid w:val="00A6739B"/>
    <w:rsid w:val="00A8424C"/>
    <w:rsid w:val="00A85D7E"/>
    <w:rsid w:val="00A85F09"/>
    <w:rsid w:val="00A90413"/>
    <w:rsid w:val="00AA728C"/>
    <w:rsid w:val="00AB0A9C"/>
    <w:rsid w:val="00AB7119"/>
    <w:rsid w:val="00AC672D"/>
    <w:rsid w:val="00AC6EB0"/>
    <w:rsid w:val="00AD5855"/>
    <w:rsid w:val="00AE7500"/>
    <w:rsid w:val="00AE7F87"/>
    <w:rsid w:val="00AF3542"/>
    <w:rsid w:val="00AF5ABE"/>
    <w:rsid w:val="00B00415"/>
    <w:rsid w:val="00B03C2A"/>
    <w:rsid w:val="00B1000D"/>
    <w:rsid w:val="00B10134"/>
    <w:rsid w:val="00B1112C"/>
    <w:rsid w:val="00B15B90"/>
    <w:rsid w:val="00B16BFE"/>
    <w:rsid w:val="00B500E5"/>
    <w:rsid w:val="00B71E1A"/>
    <w:rsid w:val="00B8455C"/>
    <w:rsid w:val="00B86583"/>
    <w:rsid w:val="00BA39BB"/>
    <w:rsid w:val="00BA3B3D"/>
    <w:rsid w:val="00BB7EEA"/>
    <w:rsid w:val="00BD1909"/>
    <w:rsid w:val="00BE5E16"/>
    <w:rsid w:val="00BE5FD1"/>
    <w:rsid w:val="00BF7182"/>
    <w:rsid w:val="00C06E05"/>
    <w:rsid w:val="00C14B14"/>
    <w:rsid w:val="00C17370"/>
    <w:rsid w:val="00C2054D"/>
    <w:rsid w:val="00C252EB"/>
    <w:rsid w:val="00C26EC0"/>
    <w:rsid w:val="00C56C77"/>
    <w:rsid w:val="00C61E93"/>
    <w:rsid w:val="00C733B4"/>
    <w:rsid w:val="00C84923"/>
    <w:rsid w:val="00C978F3"/>
    <w:rsid w:val="00CB7005"/>
    <w:rsid w:val="00CB7B3E"/>
    <w:rsid w:val="00CC739D"/>
    <w:rsid w:val="00D04468"/>
    <w:rsid w:val="00D30640"/>
    <w:rsid w:val="00D3238B"/>
    <w:rsid w:val="00D34213"/>
    <w:rsid w:val="00D36257"/>
    <w:rsid w:val="00D40FEB"/>
    <w:rsid w:val="00D4687E"/>
    <w:rsid w:val="00D53A12"/>
    <w:rsid w:val="00D87E2A"/>
    <w:rsid w:val="00DB0C43"/>
    <w:rsid w:val="00DE3354"/>
    <w:rsid w:val="00DF7DCD"/>
    <w:rsid w:val="00E50B7D"/>
    <w:rsid w:val="00E904A1"/>
    <w:rsid w:val="00EB7D28"/>
    <w:rsid w:val="00EC0D0C"/>
    <w:rsid w:val="00ED4A2C"/>
    <w:rsid w:val="00EF6940"/>
    <w:rsid w:val="00F04ADB"/>
    <w:rsid w:val="00F06AC6"/>
    <w:rsid w:val="00F2044A"/>
    <w:rsid w:val="00F20BFC"/>
    <w:rsid w:val="00F24D5F"/>
    <w:rsid w:val="00F45BFE"/>
    <w:rsid w:val="00F56C05"/>
    <w:rsid w:val="00F726C3"/>
    <w:rsid w:val="00F820CA"/>
    <w:rsid w:val="00F8554C"/>
    <w:rsid w:val="00F91EED"/>
    <w:rsid w:val="00F95F82"/>
    <w:rsid w:val="00F97A90"/>
    <w:rsid w:val="00FB6568"/>
    <w:rsid w:val="00FC2F35"/>
    <w:rsid w:val="00FC3FD7"/>
    <w:rsid w:val="00FC702B"/>
    <w:rsid w:val="00FD1FC6"/>
    <w:rsid w:val="00FD7EF6"/>
    <w:rsid w:val="00FE5869"/>
    <w:rsid w:val="00FF7B72"/>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A7DAFF2"/>
  <w15:docId w15:val="{8C9652F6-8B55-461D-9DDF-D0D107EC2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5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1">
    <w:name w:val="Unresolved Mention1"/>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700886">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293288266">
      <w:bodyDiv w:val="1"/>
      <w:marLeft w:val="0"/>
      <w:marRight w:val="0"/>
      <w:marTop w:val="0"/>
      <w:marBottom w:val="0"/>
      <w:divBdr>
        <w:top w:val="none" w:sz="0" w:space="0" w:color="auto"/>
        <w:left w:val="none" w:sz="0" w:space="0" w:color="auto"/>
        <w:bottom w:val="none" w:sz="0" w:space="0" w:color="auto"/>
        <w:right w:val="none" w:sz="0" w:space="0" w:color="auto"/>
      </w:divBdr>
    </w:div>
    <w:div w:id="1451971838">
      <w:bodyDiv w:val="1"/>
      <w:marLeft w:val="0"/>
      <w:marRight w:val="0"/>
      <w:marTop w:val="0"/>
      <w:marBottom w:val="0"/>
      <w:divBdr>
        <w:top w:val="none" w:sz="0" w:space="0" w:color="auto"/>
        <w:left w:val="none" w:sz="0" w:space="0" w:color="auto"/>
        <w:bottom w:val="none" w:sz="0" w:space="0" w:color="auto"/>
        <w:right w:val="none" w:sz="0" w:space="0" w:color="auto"/>
      </w:divBdr>
    </w:div>
    <w:div w:id="1534535263">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55/2021/6678457" TargetMode="External"/><Relationship Id="rId18" Type="http://schemas.openxmlformats.org/officeDocument/2006/relationships/hyperlink" Target="https://doi.org/10.1155/2014/540309" TargetMode="External"/><Relationship Id="rId26" Type="http://schemas.openxmlformats.org/officeDocument/2006/relationships/hyperlink" Target="https://doi.org/10.1016/j.ijsu.2016.06.037" TargetMode="External"/><Relationship Id="rId3" Type="http://schemas.openxmlformats.org/officeDocument/2006/relationships/customXml" Target="../customXml/item3.xml"/><Relationship Id="rId21" Type="http://schemas.openxmlformats.org/officeDocument/2006/relationships/hyperlink" Target="https://doi.org/10.1186/s13046-016-0425-9"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oi.org/10.1002/mco2.161" TargetMode="External"/><Relationship Id="rId17" Type="http://schemas.openxmlformats.org/officeDocument/2006/relationships/hyperlink" Target="https://doi.org/10.62347/CMYA9839" TargetMode="External"/><Relationship Id="rId25" Type="http://schemas.openxmlformats.org/officeDocument/2006/relationships/hyperlink" Target="https://doi.org/10.5152/ejbh.2019.4890" TargetMode="External"/><Relationship Id="rId33" Type="http://schemas.openxmlformats.org/officeDocument/2006/relationships/hyperlink" Target="https://doi.org/10.1007/s12072-022-10391-y" TargetMode="External"/><Relationship Id="rId2" Type="http://schemas.openxmlformats.org/officeDocument/2006/relationships/customXml" Target="../customXml/item2.xml"/><Relationship Id="rId16" Type="http://schemas.openxmlformats.org/officeDocument/2006/relationships/hyperlink" Target="https://doi.org/10.1016/j.jneuroim.2016.07.011" TargetMode="External"/><Relationship Id="rId20" Type="http://schemas.openxmlformats.org/officeDocument/2006/relationships/hyperlink" Target="https://doi.org/10.1515/CCLM.2010.304" TargetMode="External"/><Relationship Id="rId29" Type="http://schemas.openxmlformats.org/officeDocument/2006/relationships/hyperlink" Target="https://doi.org/10.62347/CMYA983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371/journal.pone.0193095" TargetMode="External"/><Relationship Id="rId24" Type="http://schemas.openxmlformats.org/officeDocument/2006/relationships/hyperlink" Target="https://doi.org/10.1200/GO.21.00359" TargetMode="External"/><Relationship Id="rId32" Type="http://schemas.openxmlformats.org/officeDocument/2006/relationships/hyperlink" Target="https://doi.org/10.3390/ijms241512129" TargetMode="External"/><Relationship Id="rId5" Type="http://schemas.openxmlformats.org/officeDocument/2006/relationships/numbering" Target="numbering.xml"/><Relationship Id="rId15" Type="http://schemas.openxmlformats.org/officeDocument/2006/relationships/hyperlink" Target="https://doi.org/10.3390/ijms25084209" TargetMode="External"/><Relationship Id="rId23" Type="http://schemas.openxmlformats.org/officeDocument/2006/relationships/hyperlink" Target="https://doi.org/10.1002/mgg3.1073" TargetMode="External"/><Relationship Id="rId28" Type="http://schemas.openxmlformats.org/officeDocument/2006/relationships/hyperlink" Target="https://doi.org/10.1002/(sici)1097-0142(19971015)80:8" TargetMode="External"/><Relationship Id="rId10" Type="http://schemas.openxmlformats.org/officeDocument/2006/relationships/image" Target="media/image2.png"/><Relationship Id="rId19" Type="http://schemas.openxmlformats.org/officeDocument/2006/relationships/hyperlink" Target="https://doi.org/10.1002/cncr.25218" TargetMode="External"/><Relationship Id="rId31" Type="http://schemas.openxmlformats.org/officeDocument/2006/relationships/hyperlink" Target="https://doi.org/10.1002/mgg3.1073"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doi.org/10.3390/ijms25020876" TargetMode="External"/><Relationship Id="rId22" Type="http://schemas.openxmlformats.org/officeDocument/2006/relationships/hyperlink" Target="https://doi.org/10.3390/cells9041046" TargetMode="External"/><Relationship Id="rId27" Type="http://schemas.openxmlformats.org/officeDocument/2006/relationships/hyperlink" Target="https://doi.org/10.1371/journal.pone.0193095" TargetMode="External"/><Relationship Id="rId30" Type="http://schemas.openxmlformats.org/officeDocument/2006/relationships/hyperlink" Target="https://doi.org/10.1016/j.euroneuro.2023.08.377"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881862-C8F1-4294-8F64-8070E17AE23F}">
  <ds:schemaRefs>
    <ds:schemaRef ds:uri="http://schemas.openxmlformats.org/officeDocument/2006/bibliography"/>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3343</TotalTime>
  <Pages>7</Pages>
  <Words>3713</Words>
  <Characters>20533</Characters>
  <Application>Microsoft Office Word</Application>
  <DocSecurity>0</DocSecurity>
  <Lines>402</Lines>
  <Paragraphs>214</Paragraphs>
  <ScaleCrop>false</ScaleCrop>
  <HeadingPairs>
    <vt:vector size="2" baseType="variant">
      <vt:variant>
        <vt:lpstr>العنوان</vt:lpstr>
      </vt:variant>
      <vt:variant>
        <vt:i4>1</vt:i4>
      </vt:variant>
    </vt:vector>
  </HeadingPairs>
  <TitlesOfParts>
    <vt:vector size="1" baseType="lpstr">
      <vt:lpstr>Title Goes Here</vt:lpstr>
    </vt:vector>
  </TitlesOfParts>
  <Company>PPI</Company>
  <LinksUpToDate>false</LinksUpToDate>
  <CharactersWithSpaces>24032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Chafic Salame</cp:lastModifiedBy>
  <cp:revision>44</cp:revision>
  <cp:lastPrinted>2011-03-03T08:29:00Z</cp:lastPrinted>
  <dcterms:created xsi:type="dcterms:W3CDTF">2025-10-21T10:44:00Z</dcterms:created>
  <dcterms:modified xsi:type="dcterms:W3CDTF">2025-12-06T16:21:00Z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