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1D083FED" w:rsidR="0016385D" w:rsidRPr="00C04BF0" w:rsidRDefault="00547E9D" w:rsidP="00D30640">
      <w:pPr>
        <w:pStyle w:val="PaperTitle"/>
        <w:spacing w:before="0"/>
        <w:rPr>
          <w:b w:val="0"/>
          <w:bCs/>
          <w:sz w:val="24"/>
          <w:szCs w:val="24"/>
        </w:rPr>
      </w:pPr>
      <w:r w:rsidRPr="00C04BF0">
        <w:t>The Effect of Pollutants from the Diyala Tributary on the Environmental Characteristics of the Tigris River Water</w:t>
      </w:r>
    </w:p>
    <w:p w14:paraId="548D96A3" w14:textId="3317E6E1" w:rsidR="00C14B14" w:rsidRPr="00C04BF0" w:rsidRDefault="007E382C" w:rsidP="007E382C">
      <w:pPr>
        <w:pStyle w:val="AuthorName"/>
        <w:rPr>
          <w:sz w:val="20"/>
          <w:lang w:val="en-GB" w:eastAsia="en-GB"/>
        </w:rPr>
      </w:pPr>
      <w:r w:rsidRPr="00C04BF0">
        <w:t>Rand Raad Ahmed</w:t>
      </w:r>
      <w:r w:rsidR="00EF6940" w:rsidRPr="00C04BF0">
        <w:rPr>
          <w:vertAlign w:val="superscript"/>
        </w:rPr>
        <w:t>1,</w:t>
      </w:r>
      <w:r w:rsidR="003A5C85" w:rsidRPr="00C04BF0">
        <w:rPr>
          <w:vertAlign w:val="superscript"/>
        </w:rPr>
        <w:t xml:space="preserve"> </w:t>
      </w:r>
      <w:r w:rsidR="00EF6940" w:rsidRPr="00C04BF0">
        <w:rPr>
          <w:vertAlign w:val="superscript"/>
        </w:rPr>
        <w:t>a)</w:t>
      </w:r>
      <w:r w:rsidR="0016385D" w:rsidRPr="00C04BF0">
        <w:t xml:space="preserve"> and </w:t>
      </w:r>
      <w:r w:rsidRPr="00C04BF0">
        <w:t>Intisar Faisal Abed</w:t>
      </w:r>
      <w:r w:rsidR="00F8279F">
        <w:rPr>
          <w:vertAlign w:val="superscript"/>
        </w:rPr>
        <w:t>1</w:t>
      </w:r>
      <w:r w:rsidR="007B4863" w:rsidRPr="00C04BF0">
        <w:rPr>
          <w:vertAlign w:val="superscript"/>
        </w:rPr>
        <w:t xml:space="preserve">, </w:t>
      </w:r>
      <w:r w:rsidR="00073829" w:rsidRPr="00C04BF0">
        <w:rPr>
          <w:vertAlign w:val="superscript"/>
        </w:rPr>
        <w:t>b</w:t>
      </w:r>
      <w:r w:rsidR="003A5C85" w:rsidRPr="00C04BF0">
        <w:rPr>
          <w:vertAlign w:val="superscript"/>
        </w:rPr>
        <w:t>)</w:t>
      </w:r>
    </w:p>
    <w:p w14:paraId="5E05E235" w14:textId="1FDC6C98" w:rsidR="003A5C85" w:rsidRPr="00121FB0" w:rsidRDefault="00027428" w:rsidP="008E3D6A">
      <w:pPr>
        <w:pStyle w:val="AuthorAffiliation"/>
        <w:rPr>
          <w:lang w:bidi="ar-IQ"/>
        </w:rPr>
      </w:pPr>
      <w:r w:rsidRPr="00121FB0">
        <w:rPr>
          <w:vertAlign w:val="superscript"/>
        </w:rPr>
        <w:t>1</w:t>
      </w:r>
      <w:r w:rsidR="00073829" w:rsidRPr="00121FB0">
        <w:t>Department of Bio</w:t>
      </w:r>
      <w:r w:rsidR="005F39F6" w:rsidRPr="00121FB0">
        <w:t>logy, College of Education for Pure Science Ibn Al-Haith</w:t>
      </w:r>
      <w:r w:rsidR="00073829" w:rsidRPr="00121FB0">
        <w:t>am, University of Baghdad</w:t>
      </w:r>
      <w:r w:rsidR="005F39F6" w:rsidRPr="00121FB0">
        <w:t>, Baghdad, Iraq</w:t>
      </w:r>
      <w:r w:rsidR="00121FB0" w:rsidRPr="00121FB0">
        <w:t>.</w:t>
      </w:r>
      <w:r w:rsidR="0016782F" w:rsidRPr="00121FB0">
        <w:br/>
      </w:r>
      <w:r w:rsidR="00C14B14" w:rsidRPr="00121FB0">
        <w:br/>
      </w:r>
      <w:r w:rsidR="00003D7C" w:rsidRPr="00121FB0">
        <w:rPr>
          <w:szCs w:val="28"/>
          <w:vertAlign w:val="superscript"/>
        </w:rPr>
        <w:t>a)</w:t>
      </w:r>
      <w:r w:rsidR="008E3D6A" w:rsidRPr="00121FB0">
        <w:t xml:space="preserve"> </w:t>
      </w:r>
      <w:r w:rsidR="00F8279F" w:rsidRPr="00121FB0">
        <w:t>C</w:t>
      </w:r>
      <w:r w:rsidR="008E3D6A" w:rsidRPr="00121FB0">
        <w:t>orresponding author.</w:t>
      </w:r>
      <w:r w:rsidR="00003D7C" w:rsidRPr="00121FB0">
        <w:t xml:space="preserve"> </w:t>
      </w:r>
      <w:r w:rsidR="007E382C" w:rsidRPr="00121FB0">
        <w:t xml:space="preserve">rand.raad2202m@ihcoedu.uobaghdad.edu.iq </w:t>
      </w:r>
      <w:r w:rsidR="001D469C" w:rsidRPr="00121FB0">
        <w:br/>
      </w:r>
      <w:r w:rsidR="003A5C85" w:rsidRPr="00121FB0">
        <w:rPr>
          <w:szCs w:val="28"/>
          <w:vertAlign w:val="superscript"/>
        </w:rPr>
        <w:t>b)</w:t>
      </w:r>
      <w:r w:rsidR="007E382C" w:rsidRPr="00121FB0">
        <w:t xml:space="preserve">intisar.f.a@ihcoedu.uobaghdad.edu.iq </w:t>
      </w:r>
    </w:p>
    <w:p w14:paraId="2C1F0B54" w14:textId="2157F85A" w:rsidR="002D0571" w:rsidRPr="00C04BF0" w:rsidRDefault="0016385D" w:rsidP="00391A8B">
      <w:pPr>
        <w:pStyle w:val="Abstract"/>
      </w:pPr>
      <w:r w:rsidRPr="00C04BF0">
        <w:rPr>
          <w:b/>
          <w:bCs/>
        </w:rPr>
        <w:t>Abstract.</w:t>
      </w:r>
      <w:r w:rsidRPr="00C04BF0">
        <w:t xml:space="preserve"> </w:t>
      </w:r>
      <w:r w:rsidR="00391A8B" w:rsidRPr="00391A8B">
        <w:t xml:space="preserve">The Tigris River is the main water resource in central Iraq, yet its quality is increasingly threatened by pollutants from its tributaries. This study assessed the impact of the Diyala tributary on the environmental characteristics of the Tigris River by </w:t>
      </w:r>
      <w:r w:rsidR="00136FC4" w:rsidRPr="00391A8B">
        <w:t>analyzing</w:t>
      </w:r>
      <w:r w:rsidR="00391A8B" w:rsidRPr="00391A8B">
        <w:t xml:space="preserve"> physicochemical and biological parameters across four stations from October 2024 to June 2025. Results revealed elevated turbidity, total dissolved solids, biological and chemical oxygen demand, and nutrient concentrations downstream of the confluence, particularly during low-flow seasons. Dissolved oxygen levels decreased significantly, reflecting high organic loads from untreated sewage and agricultural runoff. This study highlights significant spatial variation in the relative abundance and composition of rotifer species (</w:t>
      </w:r>
      <w:proofErr w:type="spellStart"/>
      <w:r w:rsidR="00391A8B" w:rsidRPr="00391A8B">
        <w:t>Rotifera</w:t>
      </w:r>
      <w:proofErr w:type="spellEnd"/>
      <w:r w:rsidR="00391A8B" w:rsidRPr="00391A8B">
        <w:t xml:space="preserve">) across the four sampling stations in the Diyala and Tigris rivers and their confluence. The dominance of specific taxa such as </w:t>
      </w:r>
      <w:proofErr w:type="spellStart"/>
      <w:r w:rsidR="00391A8B" w:rsidRPr="00391A8B">
        <w:rPr>
          <w:i/>
          <w:iCs/>
        </w:rPr>
        <w:t>Rotaria</w:t>
      </w:r>
      <w:proofErr w:type="spellEnd"/>
      <w:r w:rsidR="00391A8B" w:rsidRPr="00391A8B">
        <w:t xml:space="preserve"> sp., </w:t>
      </w:r>
      <w:r w:rsidR="00391A8B" w:rsidRPr="00391A8B">
        <w:rPr>
          <w:i/>
          <w:iCs/>
        </w:rPr>
        <w:t xml:space="preserve">R. </w:t>
      </w:r>
      <w:proofErr w:type="spellStart"/>
      <w:r w:rsidR="00391A8B" w:rsidRPr="00391A8B">
        <w:rPr>
          <w:i/>
          <w:iCs/>
        </w:rPr>
        <w:t>neplunia</w:t>
      </w:r>
      <w:proofErr w:type="spellEnd"/>
      <w:r w:rsidR="00391A8B" w:rsidRPr="00391A8B">
        <w:t xml:space="preserve">, </w:t>
      </w:r>
      <w:proofErr w:type="spellStart"/>
      <w:r w:rsidR="00391A8B" w:rsidRPr="00391A8B">
        <w:rPr>
          <w:i/>
          <w:iCs/>
        </w:rPr>
        <w:t>Monostyla</w:t>
      </w:r>
      <w:proofErr w:type="spellEnd"/>
      <w:r w:rsidR="00391A8B" w:rsidRPr="00391A8B">
        <w:rPr>
          <w:i/>
          <w:iCs/>
        </w:rPr>
        <w:t xml:space="preserve"> bulla</w:t>
      </w:r>
      <w:r w:rsidR="00391A8B" w:rsidRPr="00391A8B">
        <w:t xml:space="preserve">, and </w:t>
      </w:r>
      <w:proofErr w:type="spellStart"/>
      <w:r w:rsidR="00391A8B" w:rsidRPr="00391A8B">
        <w:rPr>
          <w:i/>
          <w:iCs/>
        </w:rPr>
        <w:t>Keratella</w:t>
      </w:r>
      <w:proofErr w:type="spellEnd"/>
      <w:r w:rsidR="00391A8B" w:rsidRPr="00391A8B">
        <w:rPr>
          <w:i/>
          <w:iCs/>
        </w:rPr>
        <w:t xml:space="preserve"> quadrata</w:t>
      </w:r>
      <w:r w:rsidR="00391A8B" w:rsidRPr="00391A8B">
        <w:t xml:space="preserve"> reflected differences in organic load, nutrient enrichment, and hydrological conditions. These findings confirm that rotifers are sensitive bioindicators of ecological status and water quality, providing reliable insights into the impacts of natural variability and anthropogenic activities on river ecosystems. Consequently, the study underscores the importance of using rotifer communities as effective tools for ecological monitoring and river management strategies</w:t>
      </w:r>
      <w:r w:rsidR="002D0571" w:rsidRPr="00C04BF0">
        <w:t>.</w:t>
      </w:r>
    </w:p>
    <w:p w14:paraId="270CE254" w14:textId="58073FC6" w:rsidR="00AE6111" w:rsidRPr="00C04BF0" w:rsidRDefault="00AE6111" w:rsidP="00FA5237">
      <w:pPr>
        <w:pStyle w:val="Abstract"/>
        <w:spacing w:after="120"/>
      </w:pPr>
      <w:r w:rsidRPr="00C04BF0">
        <w:rPr>
          <w:b/>
          <w:bCs/>
        </w:rPr>
        <w:t xml:space="preserve">Keywords: </w:t>
      </w:r>
      <w:r w:rsidR="009E44BF" w:rsidRPr="00C04BF0">
        <w:t xml:space="preserve">Tigris River, Diyala tributary, Water pollution, Physicochemical parameters, </w:t>
      </w:r>
      <w:proofErr w:type="spellStart"/>
      <w:r w:rsidR="002D0571" w:rsidRPr="00C04BF0">
        <w:t>Rotifera</w:t>
      </w:r>
      <w:proofErr w:type="spellEnd"/>
      <w:r w:rsidR="009E44BF" w:rsidRPr="00C04BF0">
        <w:t>, Biodiversity, Environmental characteristics, Iraq</w:t>
      </w:r>
      <w:r w:rsidRPr="00C04BF0">
        <w:t>.</w:t>
      </w:r>
    </w:p>
    <w:p w14:paraId="5240E3FB" w14:textId="452E1F5D" w:rsidR="003A287B" w:rsidRPr="00C04BF0" w:rsidRDefault="00AE6111" w:rsidP="00AE6111">
      <w:pPr>
        <w:pStyle w:val="Heading1"/>
        <w:rPr>
          <w:b w:val="0"/>
          <w:caps w:val="0"/>
          <w:sz w:val="20"/>
        </w:rPr>
      </w:pPr>
      <w:r w:rsidRPr="00C04BF0">
        <w:t>Introduction</w:t>
      </w:r>
    </w:p>
    <w:p w14:paraId="6A0F579C" w14:textId="77777777" w:rsidR="00391A8B" w:rsidRDefault="00391A8B" w:rsidP="006F6572">
      <w:pPr>
        <w:pStyle w:val="Paragraph"/>
        <w:spacing w:before="120" w:after="120"/>
      </w:pPr>
      <w:r>
        <w:t xml:space="preserve">The Tigris River is one of the most vital water resources in Iraq, supplying water for domestic, agricultural, and industrial purposes. With a basin area of approximately 190,000 km² and a total length of nearly 1,970 km, the river receives significant inflows from its tributaries, including the Greater Zab, Lesser Zab, </w:t>
      </w:r>
      <w:proofErr w:type="spellStart"/>
      <w:r>
        <w:t>Adhaim</w:t>
      </w:r>
      <w:proofErr w:type="spellEnd"/>
      <w:r>
        <w:t>, and Diyala (1). Among these, the Diyala River is the third largest tributary, extending 574 km with a drainage area of 33,240 km², of which 75% lies within Iraq and 25% within Iran (2).</w:t>
      </w:r>
    </w:p>
    <w:p w14:paraId="47531564" w14:textId="05012D70" w:rsidR="009C065C" w:rsidRPr="00C04BF0" w:rsidRDefault="00391A8B" w:rsidP="006F6572">
      <w:pPr>
        <w:pStyle w:val="Paragraph"/>
        <w:spacing w:before="120" w:after="120"/>
      </w:pPr>
      <w:r>
        <w:t xml:space="preserve">The river plays a crucial role in supporting agricultural irrigation and municipal water supply for surrounding populations. However, the Diyala catchment is currently subject to both water scarcity and elevated pollution levels, making it a major </w:t>
      </w:r>
      <w:proofErr w:type="spellStart"/>
      <w:r>
        <w:t>hydrochemical</w:t>
      </w:r>
      <w:proofErr w:type="spellEnd"/>
      <w:r>
        <w:t xml:space="preserve"> contributor to the deterioration of Tigris water quality (3, 4). Environmental stress on Iraqi rivers has intensified over recent decades due to anthropogenic pressures such as untreated wastewater discharges, agricultural runoff, and industrial effluents. These inputs significantly alter the physicochemical properties of river water, including dissolved oxygen (DO) and biological oxygen demand (BOD</w:t>
      </w:r>
      <w:r>
        <w:rPr>
          <w:rFonts w:ascii="Cambria Math" w:hAnsi="Cambria Math" w:cs="Cambria Math"/>
        </w:rPr>
        <w:t>₅</w:t>
      </w:r>
      <w:r>
        <w:t>) (5).</w:t>
      </w:r>
      <w:r w:rsidR="009C065C" w:rsidRPr="00C04BF0">
        <w:t xml:space="preserve"> </w:t>
      </w:r>
    </w:p>
    <w:p w14:paraId="1319BD40" w14:textId="77777777" w:rsidR="00391A8B" w:rsidRDefault="00391A8B" w:rsidP="006F6572">
      <w:pPr>
        <w:pStyle w:val="Paragraph"/>
        <w:spacing w:before="120" w:after="120"/>
      </w:pPr>
      <w:r>
        <w:t>In addition, nutrient enrichment from elevated nitrate and phosphate concentrations contributes to eutrophication, further threatening aquatic biodiversity (6, 7). Heavy metals such as lead, cadmium, and chromium, often originating from industrial activities, have also been reported as major contaminants in the Iraqi river system (8).</w:t>
      </w:r>
    </w:p>
    <w:p w14:paraId="7FEE5A97" w14:textId="77777777" w:rsidR="006F6572" w:rsidRDefault="00391A8B" w:rsidP="006F6572">
      <w:pPr>
        <w:pStyle w:val="Paragraph"/>
        <w:spacing w:before="120" w:after="120"/>
      </w:pPr>
      <w:r>
        <w:t>The ecological consequences of these pollutants extend beyond water quality degradation to impact freshwater biodiversity (9). Aquatic organisms, particularly zooplankton such as rotifers, copepods, and cladocerans, are highly sensitive to changes in water quality and can serve as bioindicators of pollution (10, 11).</w:t>
      </w:r>
    </w:p>
    <w:p w14:paraId="1D54AFC1" w14:textId="7616456B" w:rsidR="00F50F03" w:rsidRPr="00C04BF0" w:rsidRDefault="00391A8B" w:rsidP="006F6572">
      <w:pPr>
        <w:pStyle w:val="Paragraph"/>
        <w:spacing w:before="120" w:after="120"/>
      </w:pPr>
      <w:r>
        <w:t xml:space="preserve">Studies have shown that pollution-induced variations in temperature, dissolved oxygen, and nutrient load can cause structural shifts in plankton communities, reducing biodiversity and </w:t>
      </w:r>
      <w:r w:rsidR="0099723C">
        <w:t>destabilizing</w:t>
      </w:r>
      <w:r>
        <w:t xml:space="preserve"> aquatic ecosystems (12). Given the ecological and socio-economic importance of the Tigris River, assessing the influence of pollutants from the Diyala tributary is essential for sustainable water management</w:t>
      </w:r>
      <w:r w:rsidR="00547E9D" w:rsidRPr="00C04BF0">
        <w:t xml:space="preserve">. </w:t>
      </w:r>
    </w:p>
    <w:p w14:paraId="06CA56E1" w14:textId="0AC1A3D0" w:rsidR="00547E9D" w:rsidRPr="00C04BF0" w:rsidRDefault="00391A8B" w:rsidP="006F6572">
      <w:pPr>
        <w:pStyle w:val="Paragraph"/>
        <w:spacing w:before="120" w:after="120"/>
      </w:pPr>
      <w:r w:rsidRPr="00391A8B">
        <w:lastRenderedPageBreak/>
        <w:t>This study aims to evaluate the impact of Diyala River pollutants on the environmental characteristics of Tigris River water, with emphasis on physicochemical parameters and ecological indicators, while benchmarking against international water qual</w:t>
      </w:r>
      <w:r>
        <w:t>ity standards (WHO, FAO, USEPA)</w:t>
      </w:r>
      <w:r w:rsidR="00547E9D" w:rsidRPr="00C04BF0">
        <w:t>.</w:t>
      </w:r>
    </w:p>
    <w:p w14:paraId="6208AC76" w14:textId="4CF8AF97" w:rsidR="001226B4" w:rsidRPr="00C04BF0" w:rsidRDefault="003E6FF9" w:rsidP="003E6FF9">
      <w:pPr>
        <w:pStyle w:val="Heading1"/>
        <w:rPr>
          <w:b w:val="0"/>
          <w:caps w:val="0"/>
          <w:sz w:val="20"/>
        </w:rPr>
      </w:pPr>
      <w:r w:rsidRPr="00C04BF0">
        <w:t>Materials and Methods</w:t>
      </w:r>
    </w:p>
    <w:p w14:paraId="49D6FBD1" w14:textId="623FE6CF" w:rsidR="00725861" w:rsidRPr="00C04BF0" w:rsidRDefault="00AA1706" w:rsidP="003E6FF9">
      <w:pPr>
        <w:pStyle w:val="Heading2"/>
      </w:pPr>
      <w:r w:rsidRPr="00C04BF0">
        <w:t>Study Area</w:t>
      </w:r>
    </w:p>
    <w:p w14:paraId="1B0A43B8" w14:textId="4F0AD9FA" w:rsidR="00F50F03" w:rsidRPr="00C04BF0" w:rsidRDefault="004532B2" w:rsidP="005E5535">
      <w:pPr>
        <w:pStyle w:val="Paragraph"/>
      </w:pPr>
      <w:r w:rsidRPr="004532B2">
        <w:t>This study was conducted in Baghdad, Iraq, focusing on the confluence of the Diyala River with the Tigris River. The Tigris is the main water resource in central Iraq, supplying water for drinking, irrigation, and industrial use. The Diyala tributary, which receives agricultural drainage, sewage, and industrial effluents, is considered one of the most polluted tributaries discharging into the Tigris. The climate of Baghdad is semi-arid, with hot, dry summers and short, cold winters, and rainfall occurs mainly between November and February (13, 14).</w:t>
      </w:r>
    </w:p>
    <w:p w14:paraId="7A8AF21A" w14:textId="092AD8B0" w:rsidR="00AA1706" w:rsidRPr="00C04BF0" w:rsidRDefault="00AA1706" w:rsidP="00AA1706">
      <w:pPr>
        <w:pStyle w:val="Heading2"/>
      </w:pPr>
      <w:r w:rsidRPr="00C04BF0">
        <w:t>Sampling Stations</w:t>
      </w:r>
    </w:p>
    <w:p w14:paraId="29874E67" w14:textId="77777777" w:rsidR="004532B2" w:rsidRDefault="004532B2" w:rsidP="006F6572">
      <w:pPr>
        <w:pStyle w:val="Paragraph"/>
        <w:spacing w:before="120" w:after="120"/>
      </w:pPr>
      <w:r>
        <w:t>Four sampling stations were selected to evaluate the impact of pollutants from the Diyala tributary on the water quality of the Tigris River (Fig. 1):</w:t>
      </w:r>
    </w:p>
    <w:p w14:paraId="58F9F92A" w14:textId="77777777" w:rsidR="004532B2" w:rsidRDefault="004532B2" w:rsidP="006F6572">
      <w:pPr>
        <w:pStyle w:val="Paragraph"/>
        <w:spacing w:before="120" w:after="120"/>
        <w:ind w:firstLine="0"/>
      </w:pPr>
      <w:r>
        <w:t>Station 1 (Upstream Tigris): Located on the Tigris River before the confluence with the Diyala, representing background water quality.</w:t>
      </w:r>
    </w:p>
    <w:p w14:paraId="7B03A713" w14:textId="77777777" w:rsidR="004532B2" w:rsidRDefault="004532B2" w:rsidP="006F6572">
      <w:pPr>
        <w:pStyle w:val="Paragraph"/>
        <w:spacing w:before="120" w:after="120"/>
        <w:ind w:firstLine="0"/>
      </w:pPr>
      <w:r>
        <w:t>Station 2 (Diyala River): Located on the Diyala tributary before it merges with the Tigris, directly influenced by agricultural runoff and sewage inputs.</w:t>
      </w:r>
    </w:p>
    <w:p w14:paraId="2B31D18F" w14:textId="77777777" w:rsidR="004532B2" w:rsidRDefault="004532B2" w:rsidP="006F6572">
      <w:pPr>
        <w:pStyle w:val="Paragraph"/>
        <w:spacing w:before="120" w:after="120"/>
        <w:ind w:firstLine="0"/>
      </w:pPr>
      <w:r>
        <w:t>Station 3 (Confluence): Situated at the junction where the Diyala enters the Tigris, representing the immediate mixing zone.</w:t>
      </w:r>
    </w:p>
    <w:p w14:paraId="28CD5205" w14:textId="77777777" w:rsidR="004532B2" w:rsidRDefault="004532B2" w:rsidP="006F6572">
      <w:pPr>
        <w:pStyle w:val="Paragraph"/>
        <w:spacing w:before="120" w:after="120"/>
        <w:ind w:firstLine="0"/>
      </w:pPr>
      <w:r>
        <w:t>Station 4 (Downstream Tigris): Located on the Tigris after the confluence, representing the integrated effect of Diyala pollutants.</w:t>
      </w:r>
    </w:p>
    <w:p w14:paraId="5912DCA2" w14:textId="11D6D038" w:rsidR="00F50F03" w:rsidRDefault="004532B2" w:rsidP="006F6572">
      <w:pPr>
        <w:pStyle w:val="Paragraph"/>
        <w:spacing w:before="120" w:after="120"/>
        <w:ind w:firstLine="0"/>
      </w:pPr>
      <w:r>
        <w:t>Geographical coordinates were recorded for each station using a GPS device</w:t>
      </w:r>
      <w:r w:rsidR="00F50F03" w:rsidRPr="00C04BF0">
        <w:t>.</w:t>
      </w:r>
    </w:p>
    <w:p w14:paraId="78FEB53A" w14:textId="77777777" w:rsidR="0099723C" w:rsidRPr="00C04BF0" w:rsidRDefault="0099723C" w:rsidP="004532B2">
      <w:pPr>
        <w:pStyle w:val="Paragraph"/>
        <w:ind w:firstLine="0"/>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95"/>
      </w:tblGrid>
      <w:tr w:rsidR="008B3D3E" w:rsidRPr="00C04BF0" w14:paraId="37E4794D" w14:textId="77777777" w:rsidTr="006F6572">
        <w:trPr>
          <w:trHeight w:val="2394"/>
        </w:trPr>
        <w:tc>
          <w:tcPr>
            <w:tcW w:w="9395" w:type="dxa"/>
          </w:tcPr>
          <w:p w14:paraId="04792DF3" w14:textId="297940BF" w:rsidR="008B3D3E" w:rsidRPr="00C04BF0" w:rsidRDefault="002A23B6" w:rsidP="00C929C4">
            <w:pPr>
              <w:pStyle w:val="Paragraph"/>
              <w:ind w:firstLine="0"/>
              <w:jc w:val="center"/>
            </w:pPr>
            <w:r w:rsidRPr="00C04BF0">
              <w:rPr>
                <w:noProof/>
              </w:rPr>
              <w:drawing>
                <wp:inline distT="0" distB="0" distL="0" distR="0" wp14:anchorId="2BB5B628" wp14:editId="7EF382C8">
                  <wp:extent cx="3838574" cy="279082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38517" cy="2790783"/>
                          </a:xfrm>
                          <a:prstGeom prst="rect">
                            <a:avLst/>
                          </a:prstGeom>
                        </pic:spPr>
                      </pic:pic>
                    </a:graphicData>
                  </a:graphic>
                </wp:inline>
              </w:drawing>
            </w:r>
          </w:p>
        </w:tc>
      </w:tr>
    </w:tbl>
    <w:p w14:paraId="530E5763" w14:textId="6B11F211" w:rsidR="008B3D3E" w:rsidRPr="00C04BF0" w:rsidRDefault="008B3D3E" w:rsidP="00B44FAC">
      <w:pPr>
        <w:pStyle w:val="FigureCaption"/>
        <w:rPr>
          <w:sz w:val="20"/>
        </w:rPr>
      </w:pPr>
      <w:r w:rsidRPr="00C04BF0">
        <w:rPr>
          <w:b/>
          <w:caps/>
        </w:rPr>
        <w:t>Figure 1.</w:t>
      </w:r>
      <w:r w:rsidRPr="00C04BF0">
        <w:t xml:space="preserve"> </w:t>
      </w:r>
      <w:r w:rsidR="00E83D5B" w:rsidRPr="00C04BF0">
        <w:t>Map of the study area showing the four sampling stations (</w:t>
      </w:r>
      <w:r w:rsidR="0099723C" w:rsidRPr="00C04BF0">
        <w:t>1. Upstream</w:t>
      </w:r>
      <w:r w:rsidR="00E83D5B" w:rsidRPr="00C04BF0">
        <w:t xml:space="preserve"> Tigris, </w:t>
      </w:r>
      <w:r w:rsidR="0099723C" w:rsidRPr="00C04BF0">
        <w:t>2. Diyala</w:t>
      </w:r>
      <w:r w:rsidR="00B44FAC" w:rsidRPr="00C04BF0">
        <w:t xml:space="preserve"> tributary, </w:t>
      </w:r>
      <w:r w:rsidR="0099723C" w:rsidRPr="00C04BF0">
        <w:t>3. Confluence</w:t>
      </w:r>
      <w:r w:rsidR="002C0DB0" w:rsidRPr="00C04BF0">
        <w:t xml:space="preserve"> of the Diyala tributary with the Tigris River</w:t>
      </w:r>
      <w:r w:rsidR="00B44FAC" w:rsidRPr="00C04BF0">
        <w:t xml:space="preserve"> </w:t>
      </w:r>
      <w:r w:rsidR="00E83D5B" w:rsidRPr="00C04BF0">
        <w:t xml:space="preserve">and </w:t>
      </w:r>
      <w:r w:rsidR="008B4F48" w:rsidRPr="00C04BF0">
        <w:t>4</w:t>
      </w:r>
      <w:r w:rsidR="002C0DB0" w:rsidRPr="00C04BF0">
        <w:t xml:space="preserve">. </w:t>
      </w:r>
      <w:r w:rsidR="00E83D5B" w:rsidRPr="00C04BF0">
        <w:t>Downstream Tigris)</w:t>
      </w:r>
      <w:r w:rsidRPr="00C04BF0">
        <w:t>.</w:t>
      </w:r>
    </w:p>
    <w:p w14:paraId="1EAD3ED3" w14:textId="408B0DFF" w:rsidR="00AA1706" w:rsidRPr="00C04BF0" w:rsidRDefault="00AA1706" w:rsidP="00AA1706">
      <w:pPr>
        <w:pStyle w:val="Heading2"/>
      </w:pPr>
      <w:r w:rsidRPr="00C04BF0">
        <w:lastRenderedPageBreak/>
        <w:t>Sample Collection</w:t>
      </w:r>
    </w:p>
    <w:p w14:paraId="2744F575" w14:textId="0D0A4999" w:rsidR="00F50F03" w:rsidRPr="00C04BF0" w:rsidRDefault="00960965" w:rsidP="00F50F03">
      <w:pPr>
        <w:pStyle w:val="Paragraph"/>
      </w:pPr>
      <w:r w:rsidRPr="00960965">
        <w:t>Water samples were collected monthly from October 2024 to June 2025. Physicochemical samples were taken at a depth of 15–20 cm below the surface using 2.25 L polyethylene bottles. For biological analyses, 45 L of water were filtered through a 55 µm plankton net and concentrated to 10 ml. Samples for chemical analysis were stored at 4°C until analysis, while zooplankton sample</w:t>
      </w:r>
      <w:r>
        <w:t>s were preserved in 4% formalin</w:t>
      </w:r>
      <w:r w:rsidR="00AA1706" w:rsidRPr="00C04BF0">
        <w:t>.</w:t>
      </w:r>
    </w:p>
    <w:p w14:paraId="3E9C292F" w14:textId="07C6786C" w:rsidR="00AA1706" w:rsidRPr="00C04BF0" w:rsidRDefault="00AA1706" w:rsidP="00AA1706">
      <w:pPr>
        <w:pStyle w:val="Heading2"/>
      </w:pPr>
      <w:r w:rsidRPr="00C04BF0">
        <w:t>Physicochemical Analyses</w:t>
      </w:r>
    </w:p>
    <w:p w14:paraId="6AD58048" w14:textId="77777777" w:rsidR="00D34133" w:rsidRDefault="00D34133" w:rsidP="00FA5237">
      <w:pPr>
        <w:pStyle w:val="Paragraph"/>
      </w:pPr>
      <w:r>
        <w:t>The following environmental parameters were measured:</w:t>
      </w:r>
    </w:p>
    <w:p w14:paraId="1BA732E9" w14:textId="77777777" w:rsidR="00D34133" w:rsidRDefault="00D34133" w:rsidP="00FA5237">
      <w:pPr>
        <w:pStyle w:val="Paragraph"/>
        <w:ind w:firstLine="0"/>
      </w:pPr>
      <w:r>
        <w:t>Total Dissolved Solids (TDS): measured in situ with a portable EC/TDS meter (15).</w:t>
      </w:r>
    </w:p>
    <w:p w14:paraId="7858C592" w14:textId="77777777" w:rsidR="00D34133" w:rsidRDefault="00D34133" w:rsidP="00FA5237">
      <w:pPr>
        <w:pStyle w:val="Paragraph"/>
        <w:ind w:firstLine="0"/>
      </w:pPr>
      <w:r>
        <w:t>Turbidity: measured with a portable turbidity meter, expressed as NTU (16).</w:t>
      </w:r>
    </w:p>
    <w:p w14:paraId="00A06356" w14:textId="77777777" w:rsidR="00D34133" w:rsidRDefault="00D34133" w:rsidP="00FA5237">
      <w:pPr>
        <w:pStyle w:val="Paragraph"/>
        <w:ind w:firstLine="0"/>
      </w:pPr>
      <w:r>
        <w:t xml:space="preserve">Dissolved Oxygen (DO): determined using the Winkler </w:t>
      </w:r>
      <w:proofErr w:type="spellStart"/>
      <w:r>
        <w:t>azide</w:t>
      </w:r>
      <w:proofErr w:type="spellEnd"/>
      <w:r>
        <w:t xml:space="preserve"> titration method (17).</w:t>
      </w:r>
    </w:p>
    <w:p w14:paraId="240F7FEF" w14:textId="77777777" w:rsidR="00D34133" w:rsidRDefault="00D34133" w:rsidP="00FA5237">
      <w:pPr>
        <w:pStyle w:val="Paragraph"/>
        <w:ind w:firstLine="0"/>
      </w:pPr>
      <w:r>
        <w:t>Biological Oxygen Demand (BOD</w:t>
      </w:r>
      <w:r>
        <w:rPr>
          <w:rFonts w:ascii="Cambria Math" w:hAnsi="Cambria Math" w:cs="Cambria Math"/>
        </w:rPr>
        <w:t>₅</w:t>
      </w:r>
      <w:r>
        <w:t>): measured after 5-day incubation at 20°C in dark bottles (18).</w:t>
      </w:r>
    </w:p>
    <w:p w14:paraId="01ABB551" w14:textId="77777777" w:rsidR="00D34133" w:rsidRDefault="00D34133" w:rsidP="00FA5237">
      <w:pPr>
        <w:pStyle w:val="Paragraph"/>
        <w:ind w:firstLine="0"/>
      </w:pPr>
      <w:r>
        <w:t>Nutrients: nitrate concentrations measured spectrophotometrically at 220/275 nm; reactive phosphate measured using the ascorbic acid method at 860 nm (19).</w:t>
      </w:r>
    </w:p>
    <w:p w14:paraId="0C9BE075" w14:textId="560ED24E" w:rsidR="008B3D3E" w:rsidRPr="00C04BF0" w:rsidRDefault="00D34133" w:rsidP="00FA5237">
      <w:pPr>
        <w:pStyle w:val="Paragraph"/>
        <w:ind w:firstLine="0"/>
      </w:pPr>
      <w:r>
        <w:t>Phosphate (PO</w:t>
      </w:r>
      <w:r>
        <w:rPr>
          <w:rFonts w:ascii="Cambria Math" w:hAnsi="Cambria Math" w:cs="Cambria Math"/>
        </w:rPr>
        <w:t>₄</w:t>
      </w:r>
      <w:r>
        <w:rPr>
          <w:vertAlign w:val="superscript"/>
        </w:rPr>
        <w:t>3</w:t>
      </w:r>
      <w:r>
        <w:rPr>
          <w:rFonts w:ascii="Cambria Math" w:hAnsi="Cambria Math" w:cs="Cambria Math"/>
        </w:rPr>
        <w:t>⁻</w:t>
      </w:r>
      <w:r>
        <w:t>): concentration measured using the molybdenum blue spectrophotometric method with a UV–Visible spectrophotometer (Shimadzu UV-1800, Japan), with results expressed in mg/L (20)</w:t>
      </w:r>
      <w:r w:rsidR="008B3D3E" w:rsidRPr="00C04BF0">
        <w:t>.</w:t>
      </w:r>
    </w:p>
    <w:p w14:paraId="7C04F4C3" w14:textId="64CFD14F" w:rsidR="00AA1706" w:rsidRPr="00C04BF0" w:rsidRDefault="00AA1706" w:rsidP="00AA1706">
      <w:pPr>
        <w:pStyle w:val="Heading2"/>
      </w:pPr>
      <w:r w:rsidRPr="00C04BF0">
        <w:t>Biological Analyses</w:t>
      </w:r>
    </w:p>
    <w:p w14:paraId="15F8DEA2" w14:textId="12E87746" w:rsidR="00B20238" w:rsidRPr="00C04BF0" w:rsidRDefault="00D34133" w:rsidP="00D34133">
      <w:pPr>
        <w:pStyle w:val="Paragraph"/>
      </w:pPr>
      <w:proofErr w:type="spellStart"/>
      <w:r w:rsidRPr="00D34133">
        <w:t>Rotifera</w:t>
      </w:r>
      <w:proofErr w:type="spellEnd"/>
      <w:r w:rsidRPr="00D34133">
        <w:t xml:space="preserve"> were identified under a compound microscope (Kruss MBL 2100) to the lowest possible taxonomic level using a Sedgewick–Rafter counting chamber (21). All taxa present in each sample were counted. Identification followed standard taxonomic references (22, 23, 24). The abundance of rotifers was expressed as the number of indivi</w:t>
      </w:r>
      <w:r>
        <w:t xml:space="preserve">duals per cubic </w:t>
      </w:r>
      <w:proofErr w:type="spellStart"/>
      <w:r>
        <w:t>metre</w:t>
      </w:r>
      <w:proofErr w:type="spellEnd"/>
      <w:r>
        <w:t xml:space="preserve"> (Ind./m</w:t>
      </w:r>
      <w:r>
        <w:rPr>
          <w:vertAlign w:val="superscript"/>
        </w:rPr>
        <w:t>3</w:t>
      </w:r>
      <w:r>
        <w:t>)</w:t>
      </w:r>
      <w:r w:rsidR="00B20238" w:rsidRPr="00C04BF0">
        <w:t>.</w:t>
      </w:r>
    </w:p>
    <w:p w14:paraId="21442236" w14:textId="33B82FEE" w:rsidR="00AA1706" w:rsidRPr="00C04BF0" w:rsidRDefault="00AA1706" w:rsidP="00AA1706">
      <w:pPr>
        <w:pStyle w:val="Heading2"/>
      </w:pPr>
      <w:r w:rsidRPr="00C04BF0">
        <w:t>Statistical Analysis</w:t>
      </w:r>
    </w:p>
    <w:p w14:paraId="10C6E623" w14:textId="109C6325" w:rsidR="00F50F03" w:rsidRPr="00C04BF0" w:rsidRDefault="00D34133" w:rsidP="00650043">
      <w:pPr>
        <w:pStyle w:val="Paragraph"/>
      </w:pPr>
      <w:r w:rsidRPr="00D34133">
        <w:t xml:space="preserve">Data were </w:t>
      </w:r>
      <w:proofErr w:type="spellStart"/>
      <w:r w:rsidRPr="00D34133">
        <w:t>analysed</w:t>
      </w:r>
      <w:proofErr w:type="spellEnd"/>
      <w:r w:rsidRPr="00D34133">
        <w:t xml:space="preserve"> using SPSS v.25 (2019). Two-way ANOVA was applied to test the effects of stations and months on water quality parameters. The Least Significant Difference (LSD) test was used for mean separation. Pearson’s correlation coefficient (r) was calculated to assess relationships between physicochemical</w:t>
      </w:r>
      <w:r>
        <w:t xml:space="preserve"> factors and </w:t>
      </w:r>
      <w:proofErr w:type="spellStart"/>
      <w:r>
        <w:t>rotifera</w:t>
      </w:r>
      <w:proofErr w:type="spellEnd"/>
      <w:r>
        <w:t xml:space="preserve"> abundance</w:t>
      </w:r>
      <w:r w:rsidR="00F50F03" w:rsidRPr="00C04BF0">
        <w:t>.</w:t>
      </w:r>
    </w:p>
    <w:p w14:paraId="30C6BB5B" w14:textId="492BE321" w:rsidR="00A646B3" w:rsidRPr="00C04BF0" w:rsidRDefault="005B67E0" w:rsidP="005B67E0">
      <w:pPr>
        <w:pStyle w:val="Heading1"/>
      </w:pPr>
      <w:r w:rsidRPr="00C04BF0">
        <w:rPr>
          <w:bCs/>
        </w:rPr>
        <w:t>Results</w:t>
      </w:r>
    </w:p>
    <w:p w14:paraId="72C86C12" w14:textId="4F575267" w:rsidR="003C5866" w:rsidRPr="00C04BF0" w:rsidRDefault="003C5866" w:rsidP="006F6572">
      <w:pPr>
        <w:pStyle w:val="Paragraph"/>
        <w:spacing w:before="120" w:after="120"/>
      </w:pPr>
      <w:r w:rsidRPr="00C04BF0">
        <w:t>The physicochemical parameters varied considerably across stations (Table 1). Dissolved oxygen (DO) was highest at the upstream Tigris (6–11 mg/L; mean 7.94±0.79), indicating good aeration, but dropped sharply in the Diyala tributary (1–6.5 mg/L; mean 2.45±0.47) due to the heavy organic load. At the confluence, DO averaged 5.45±0.62 mg/L, reflecting the effect of water mixing, and slightly improved downstream (5.5–9.2 mg/L; mean 6.89±0.72). In contrast, biochemical oxygen demand (BOD</w:t>
      </w:r>
      <w:r w:rsidRPr="00C04BF0">
        <w:rPr>
          <w:rFonts w:ascii="Cambria Math" w:hAnsi="Cambria Math" w:cs="Cambria Math"/>
        </w:rPr>
        <w:t>₅</w:t>
      </w:r>
      <w:r w:rsidRPr="00C04BF0">
        <w:t>) was extremely high in the Diyala tributary (3.3–78.2 mg/L; mean 19.20±7.68), compared with much lower values in the upstream Tigris (0.80–4.6 mg/L; mean 2.36±0.37), confluence (2.9–7.6 mg/L; mean 5.03±0.48), and downstream Tigris (0.90–5.4 mg/L; mean 3.33±0.16). Similarly, total dissolved solids (TDS) reached the highest levels in the Diyala tributary (880–1920 mg/L; mean 1699±380), whereas the upstream Tigris (330–810 mg/L; mean 559±160), confluence (540–980 mg/L; mean 775±220), and downstream Tigris (450–1210 mg/L; mean 742±190) exhibited comparatively moderate values. Turbidity followed the same pattern, with the Diyala tributary showing the greatest range (2.25–34.99 NTU; mean 19.20±6.74), followed by the downstream Tigris (0–27.81 NTU; mean 8.59±0.79), while lower levels were observed at the upstream Tigris (0–20.91 NTU; mean 6.63±0.76) and confluence (1.10–18.52 NTU; mean 6.99±0.68). Overall, these findings clearly indicate that the Diyala tributary is the major contributor of organic matter, salts, and suspended solids to the Tigris River, leading to a significant deterioration in water quality at the confluence, with statistically significant differences among stations (p≤0.05).</w:t>
      </w:r>
    </w:p>
    <w:p w14:paraId="0FEB56F2" w14:textId="2426344B" w:rsidR="003C5866" w:rsidRPr="00C04BF0" w:rsidRDefault="003C5866" w:rsidP="006F6572">
      <w:pPr>
        <w:pStyle w:val="Paragraph"/>
        <w:spacing w:before="120" w:after="120"/>
      </w:pPr>
      <w:r w:rsidRPr="00C04BF0">
        <w:t>Nutrient concentrations varied significantly among the studied stations (Table 2). Nitrate levels were extremely elevated in the Diyala tributary (0.</w:t>
      </w:r>
      <w:r w:rsidR="00177156" w:rsidRPr="00C04BF0">
        <w:t>042–37.00 mg/L; mean 12.60±3.04</w:t>
      </w:r>
      <w:r w:rsidRPr="00C04BF0">
        <w:t>), reflecting strong inputs from agricultural runoff and sewage discharge. In contrast, much lower concentrations were observed at the upstream Tigris (</w:t>
      </w:r>
      <w:r w:rsidR="00177156" w:rsidRPr="00C04BF0">
        <w:t>0.019–</w:t>
      </w:r>
      <w:r w:rsidR="00177156" w:rsidRPr="00C04BF0">
        <w:lastRenderedPageBreak/>
        <w:t>5.00 mg/L; mean 2.50±0.37</w:t>
      </w:r>
      <w:r w:rsidRPr="00C04BF0">
        <w:t>), the confluence (0.028–13.00 mg/L; mean 5.51±0.49b), and downstream Tigris (</w:t>
      </w:r>
      <w:r w:rsidR="00177156" w:rsidRPr="00C04BF0">
        <w:t>0.017–7.00 mg/L; mean 3.60±0.41</w:t>
      </w:r>
      <w:r w:rsidRPr="00C04BF0">
        <w:t>). A similar trend was noted for phosphate, where the Diyala tributary recorded the highest values (0.1</w:t>
      </w:r>
      <w:r w:rsidR="00177156" w:rsidRPr="00C04BF0">
        <w:t>178–0.982 mg/L; mean 0.429±0.17</w:t>
      </w:r>
      <w:r w:rsidRPr="00C04BF0">
        <w:t>), while concentrations remained relatively low at the upstream Tigris (0.01</w:t>
      </w:r>
      <w:r w:rsidR="00177156" w:rsidRPr="00C04BF0">
        <w:t>0–0.0601 mg/L; mean 0.020±0.005</w:t>
      </w:r>
      <w:r w:rsidRPr="00C04BF0">
        <w:t>), the confluence (0.0</w:t>
      </w:r>
      <w:r w:rsidR="00177156" w:rsidRPr="00C04BF0">
        <w:t>53–0.4211 mg/L; mean 0.154±0.06</w:t>
      </w:r>
      <w:r w:rsidRPr="00C04BF0">
        <w:t>), and downstream Tigris (0.03</w:t>
      </w:r>
      <w:r w:rsidR="00177156" w:rsidRPr="00C04BF0">
        <w:t>22–0.1531 mg/L; mean 0.089±0.07</w:t>
      </w:r>
      <w:r w:rsidRPr="00C04BF0">
        <w:t>). These findings indicate that nutrient enrichment is primarily driven by the Diyala tributary, leading to significant increases in nitrate and phosphate concentrations downstream, with statistically significant differences among stations (p≤0.05).</w:t>
      </w:r>
    </w:p>
    <w:p w14:paraId="37C4C2B4" w14:textId="59B8B3C0" w:rsidR="00F61CA4" w:rsidRPr="00C04BF0" w:rsidRDefault="00F61CA4" w:rsidP="006F6572">
      <w:pPr>
        <w:pStyle w:val="Paragraph"/>
        <w:spacing w:before="120" w:after="120"/>
      </w:pPr>
      <w:r w:rsidRPr="00C04BF0">
        <w:t>The relative abundance index of rotifer species (</w:t>
      </w:r>
      <w:proofErr w:type="spellStart"/>
      <w:r w:rsidRPr="00C04BF0">
        <w:t>Rotifera</w:t>
      </w:r>
      <w:proofErr w:type="spellEnd"/>
      <w:r w:rsidRPr="00C04BF0">
        <w:t>) across the four sampling stations (S1–S4) revealed noticeable variation, with the dominance of a particular species at each station. This pattern reflects differences in environmental and physicochemical conditions between the Diyala River, the Tigris River, and their confluence area (</w:t>
      </w:r>
      <w:r w:rsidR="002D0571" w:rsidRPr="00C04BF0">
        <w:t>Fig. 2</w:t>
      </w:r>
      <w:r w:rsidRPr="00C04BF0">
        <w:t>).</w:t>
      </w:r>
    </w:p>
    <w:p w14:paraId="45CE8B78" w14:textId="4C21DA27" w:rsidR="009E44BF" w:rsidRPr="00C04BF0" w:rsidRDefault="00F61CA4" w:rsidP="006F6572">
      <w:pPr>
        <w:pStyle w:val="Paragraph"/>
        <w:spacing w:before="120" w:after="120"/>
      </w:pPr>
      <w:r w:rsidRPr="00C04BF0">
        <w:t xml:space="preserve">At station S1, </w:t>
      </w:r>
      <w:proofErr w:type="spellStart"/>
      <w:r w:rsidR="002D0571" w:rsidRPr="00C04BF0">
        <w:rPr>
          <w:i/>
          <w:iCs/>
        </w:rPr>
        <w:t>Rotaria</w:t>
      </w:r>
      <w:proofErr w:type="spellEnd"/>
      <w:r w:rsidR="002D0571" w:rsidRPr="00C04BF0">
        <w:t xml:space="preserve"> sp.</w:t>
      </w:r>
      <w:r w:rsidRPr="00C04BF0">
        <w:t xml:space="preserve"> was the dominant species (61%), suggesting a relatively stable environment with medium to low organic load. At station S2, higher diversity was observed, with species richness inclu</w:t>
      </w:r>
      <w:r w:rsidR="002D0571" w:rsidRPr="00C04BF0">
        <w:t xml:space="preserve">ding </w:t>
      </w:r>
      <w:r w:rsidR="002D0571" w:rsidRPr="00C04BF0">
        <w:rPr>
          <w:i/>
          <w:iCs/>
        </w:rPr>
        <w:t xml:space="preserve">R. </w:t>
      </w:r>
      <w:proofErr w:type="spellStart"/>
      <w:r w:rsidR="002D0571" w:rsidRPr="00C04BF0">
        <w:rPr>
          <w:i/>
          <w:iCs/>
        </w:rPr>
        <w:t>neplunia</w:t>
      </w:r>
      <w:proofErr w:type="spellEnd"/>
      <w:r w:rsidR="002D0571" w:rsidRPr="00C04BF0">
        <w:t xml:space="preserve"> (16%), </w:t>
      </w:r>
      <w:proofErr w:type="spellStart"/>
      <w:r w:rsidR="002D0571" w:rsidRPr="00C04BF0">
        <w:rPr>
          <w:i/>
          <w:iCs/>
        </w:rPr>
        <w:t>Asplanchna</w:t>
      </w:r>
      <w:proofErr w:type="spellEnd"/>
      <w:r w:rsidR="002D0571" w:rsidRPr="00C04BF0">
        <w:rPr>
          <w:i/>
          <w:iCs/>
        </w:rPr>
        <w:t xml:space="preserve"> </w:t>
      </w:r>
      <w:proofErr w:type="spellStart"/>
      <w:r w:rsidR="002D0571" w:rsidRPr="00C04BF0">
        <w:rPr>
          <w:i/>
          <w:iCs/>
        </w:rPr>
        <w:t>priodonta</w:t>
      </w:r>
      <w:proofErr w:type="spellEnd"/>
      <w:r w:rsidR="002D0571" w:rsidRPr="00C04BF0">
        <w:t xml:space="preserve"> (14%), and </w:t>
      </w:r>
      <w:proofErr w:type="spellStart"/>
      <w:r w:rsidRPr="00C04BF0">
        <w:rPr>
          <w:i/>
          <w:iCs/>
        </w:rPr>
        <w:t>Keratella</w:t>
      </w:r>
      <w:proofErr w:type="spellEnd"/>
      <w:r w:rsidRPr="00C04BF0">
        <w:rPr>
          <w:i/>
          <w:iCs/>
        </w:rPr>
        <w:t xml:space="preserve"> quadrata</w:t>
      </w:r>
      <w:r w:rsidR="002D0571" w:rsidRPr="00C04BF0">
        <w:t xml:space="preserve"> (13%). At station S3, the species </w:t>
      </w:r>
      <w:proofErr w:type="spellStart"/>
      <w:r w:rsidR="002D0571" w:rsidRPr="00C04BF0">
        <w:rPr>
          <w:i/>
          <w:iCs/>
        </w:rPr>
        <w:t>Monostyla</w:t>
      </w:r>
      <w:proofErr w:type="spellEnd"/>
      <w:r w:rsidR="002D0571" w:rsidRPr="00C04BF0">
        <w:rPr>
          <w:i/>
          <w:iCs/>
        </w:rPr>
        <w:t xml:space="preserve"> bulla</w:t>
      </w:r>
      <w:r w:rsidRPr="00C04BF0">
        <w:t xml:space="preserve"> dominated (17%), indicating site-specific conditions. Meanwhile, station S4 exhibited relatively balanced dominance</w:t>
      </w:r>
      <w:r w:rsidR="002D0571" w:rsidRPr="00C04BF0">
        <w:t xml:space="preserve">, with </w:t>
      </w:r>
      <w:r w:rsidR="002D0571" w:rsidRPr="00C04BF0">
        <w:rPr>
          <w:i/>
          <w:iCs/>
        </w:rPr>
        <w:t xml:space="preserve">R. </w:t>
      </w:r>
      <w:proofErr w:type="spellStart"/>
      <w:r w:rsidR="002D0571" w:rsidRPr="00C04BF0">
        <w:rPr>
          <w:i/>
          <w:iCs/>
        </w:rPr>
        <w:t>neplunia</w:t>
      </w:r>
      <w:proofErr w:type="spellEnd"/>
      <w:r w:rsidR="002D0571" w:rsidRPr="00C04BF0">
        <w:t xml:space="preserve"> (21%), </w:t>
      </w:r>
      <w:r w:rsidRPr="00C04BF0">
        <w:rPr>
          <w:i/>
          <w:iCs/>
        </w:rPr>
        <w:t>M. bulla</w:t>
      </w:r>
      <w:r w:rsidR="002D0571" w:rsidRPr="00C04BF0">
        <w:t xml:space="preserve"> (15%)</w:t>
      </w:r>
      <w:r w:rsidRPr="00C04BF0">
        <w:t xml:space="preserve">, and </w:t>
      </w:r>
      <w:r w:rsidRPr="00C04BF0">
        <w:rPr>
          <w:i/>
          <w:iCs/>
        </w:rPr>
        <w:t>K. quadrata</w:t>
      </w:r>
      <w:r w:rsidR="002D0571" w:rsidRPr="00C04BF0">
        <w:t xml:space="preserve"> (12%)</w:t>
      </w:r>
      <w:r w:rsidRPr="00C04BF0">
        <w:t xml:space="preserve"> occurring in comparable proportions </w:t>
      </w:r>
      <w:r w:rsidR="00B44FAC" w:rsidRPr="00C04BF0">
        <w:t>(Fig. 2)</w:t>
      </w:r>
      <w:r w:rsidR="009E44BF" w:rsidRPr="00C04BF0">
        <w:t>.</w:t>
      </w:r>
    </w:p>
    <w:p w14:paraId="0AAD4D02" w14:textId="5381796F" w:rsidR="009E44BF" w:rsidRDefault="009E44BF" w:rsidP="006F6572">
      <w:pPr>
        <w:pStyle w:val="Paragraph"/>
        <w:spacing w:before="120" w:after="120"/>
      </w:pPr>
      <w:r w:rsidRPr="00C04BF0">
        <w:t>Overall, the results confirmed that the Diyala tributary exerts a strong influence on the environmental characteristics of the Tigris River, contributing to deterioration of water quality and altering aquatic biodiversity, particularly throug</w:t>
      </w:r>
      <w:r w:rsidR="005C2D4C" w:rsidRPr="00C04BF0">
        <w:t>h increases in suspended solids</w:t>
      </w:r>
      <w:r w:rsidRPr="00C04BF0">
        <w:t xml:space="preserve"> and organic matter.</w:t>
      </w:r>
    </w:p>
    <w:p w14:paraId="153D5B5F" w14:textId="6DE71AC9" w:rsidR="00067F90" w:rsidRPr="00C04BF0" w:rsidRDefault="00067F90" w:rsidP="006F6572">
      <w:pPr>
        <w:pStyle w:val="Paragraph"/>
        <w:spacing w:before="120" w:after="120"/>
      </w:pPr>
      <w:r w:rsidRPr="00C04BF0">
        <w:rPr>
          <w:b/>
          <w:bCs/>
          <w:color w:val="000000" w:themeColor="text1"/>
          <w:sz w:val="18"/>
          <w:szCs w:val="18"/>
        </w:rPr>
        <w:t>TABLE 1</w:t>
      </w:r>
      <w:r w:rsidRPr="00C04BF0">
        <w:rPr>
          <w:color w:val="000000" w:themeColor="text1"/>
          <w:sz w:val="18"/>
          <w:szCs w:val="18"/>
        </w:rPr>
        <w:t>.</w:t>
      </w:r>
      <w:r w:rsidRPr="00C04BF0">
        <w:t xml:space="preserve"> </w:t>
      </w:r>
      <w:r w:rsidRPr="00C04BF0">
        <w:rPr>
          <w:color w:val="000000" w:themeColor="text1"/>
          <w:sz w:val="18"/>
          <w:szCs w:val="18"/>
        </w:rPr>
        <w:t>Physicochemical parameters of water samples across stations. The results show higher TDS, turbidity, and BOD</w:t>
      </w:r>
      <w:r w:rsidRPr="00C04BF0">
        <w:rPr>
          <w:rFonts w:ascii="Cambria Math" w:hAnsi="Cambria Math" w:cs="Cambria Math"/>
          <w:color w:val="000000" w:themeColor="text1"/>
          <w:sz w:val="18"/>
          <w:szCs w:val="18"/>
        </w:rPr>
        <w:t>₅</w:t>
      </w:r>
      <w:r w:rsidRPr="00C04BF0">
        <w:rPr>
          <w:color w:val="000000" w:themeColor="text1"/>
          <w:sz w:val="18"/>
          <w:szCs w:val="18"/>
        </w:rPr>
        <w:t xml:space="preserve"> downstream of the Diyala inflow compared to the upstream station.</w:t>
      </w:r>
    </w:p>
    <w:tbl>
      <w:tblPr>
        <w:tblW w:w="9155" w:type="dxa"/>
        <w:jc w:val="center"/>
        <w:tblBorders>
          <w:top w:val="single" w:sz="4" w:space="0" w:color="auto"/>
          <w:bottom w:val="single" w:sz="4" w:space="0" w:color="auto"/>
        </w:tblBorders>
        <w:tblLook w:val="04A0" w:firstRow="1" w:lastRow="0" w:firstColumn="1" w:lastColumn="0" w:noHBand="0" w:noVBand="1"/>
      </w:tblPr>
      <w:tblGrid>
        <w:gridCol w:w="2625"/>
        <w:gridCol w:w="1536"/>
        <w:gridCol w:w="1623"/>
        <w:gridCol w:w="1470"/>
        <w:gridCol w:w="1901"/>
      </w:tblGrid>
      <w:tr w:rsidR="00EE3C0E" w:rsidRPr="00C04BF0" w14:paraId="35B859B7" w14:textId="77777777" w:rsidTr="00067F90">
        <w:trPr>
          <w:trHeight w:val="235"/>
          <w:jc w:val="center"/>
        </w:trPr>
        <w:tc>
          <w:tcPr>
            <w:tcW w:w="0" w:type="auto"/>
            <w:tcBorders>
              <w:top w:val="single" w:sz="4" w:space="0" w:color="auto"/>
              <w:bottom w:val="single" w:sz="4" w:space="0" w:color="auto"/>
            </w:tcBorders>
            <w:vAlign w:val="center"/>
          </w:tcPr>
          <w:p w14:paraId="6491CFED" w14:textId="77777777" w:rsidR="00EE3C0E" w:rsidRPr="00C04BF0" w:rsidRDefault="00EE3C0E" w:rsidP="00EE3C0E">
            <w:pPr>
              <w:pStyle w:val="Paragraph"/>
              <w:ind w:firstLine="0"/>
              <w:jc w:val="center"/>
            </w:pPr>
            <w:r w:rsidRPr="00C04BF0">
              <w:t>Station</w:t>
            </w:r>
          </w:p>
        </w:tc>
        <w:tc>
          <w:tcPr>
            <w:tcW w:w="0" w:type="auto"/>
            <w:tcBorders>
              <w:top w:val="single" w:sz="4" w:space="0" w:color="auto"/>
              <w:bottom w:val="single" w:sz="4" w:space="0" w:color="auto"/>
            </w:tcBorders>
            <w:vAlign w:val="center"/>
          </w:tcPr>
          <w:p w14:paraId="48E2A624" w14:textId="77777777" w:rsidR="00EE3C0E" w:rsidRPr="00C04BF0" w:rsidRDefault="00EE3C0E" w:rsidP="00EE3C0E">
            <w:pPr>
              <w:pStyle w:val="Paragraph"/>
              <w:ind w:firstLine="0"/>
              <w:jc w:val="center"/>
            </w:pPr>
            <w:r w:rsidRPr="00C04BF0">
              <w:t>DO (mg/L)</w:t>
            </w:r>
          </w:p>
        </w:tc>
        <w:tc>
          <w:tcPr>
            <w:tcW w:w="0" w:type="auto"/>
            <w:tcBorders>
              <w:top w:val="single" w:sz="4" w:space="0" w:color="auto"/>
              <w:bottom w:val="single" w:sz="4" w:space="0" w:color="auto"/>
            </w:tcBorders>
            <w:vAlign w:val="center"/>
          </w:tcPr>
          <w:p w14:paraId="3A0C9443" w14:textId="77777777" w:rsidR="00EE3C0E" w:rsidRPr="00C04BF0" w:rsidRDefault="00EE3C0E" w:rsidP="00EE3C0E">
            <w:pPr>
              <w:pStyle w:val="Paragraph"/>
              <w:ind w:firstLine="0"/>
              <w:jc w:val="center"/>
            </w:pPr>
            <w:r w:rsidRPr="00C04BF0">
              <w:t>BOD</w:t>
            </w:r>
            <w:r w:rsidRPr="00C04BF0">
              <w:rPr>
                <w:rFonts w:ascii="Cambria Math" w:hAnsi="Cambria Math" w:cs="Cambria Math"/>
              </w:rPr>
              <w:t>₅</w:t>
            </w:r>
            <w:r w:rsidRPr="00C04BF0">
              <w:t xml:space="preserve"> (mg/L)</w:t>
            </w:r>
          </w:p>
        </w:tc>
        <w:tc>
          <w:tcPr>
            <w:tcW w:w="0" w:type="auto"/>
            <w:tcBorders>
              <w:top w:val="single" w:sz="4" w:space="0" w:color="auto"/>
              <w:bottom w:val="single" w:sz="4" w:space="0" w:color="auto"/>
            </w:tcBorders>
            <w:vAlign w:val="center"/>
          </w:tcPr>
          <w:p w14:paraId="0FA0985F" w14:textId="77777777" w:rsidR="00EE3C0E" w:rsidRPr="00C04BF0" w:rsidRDefault="00EE3C0E" w:rsidP="00EE3C0E">
            <w:pPr>
              <w:pStyle w:val="Paragraph"/>
              <w:ind w:firstLine="0"/>
              <w:jc w:val="center"/>
            </w:pPr>
            <w:r w:rsidRPr="00C04BF0">
              <w:t>TDS (mg/L)</w:t>
            </w:r>
          </w:p>
        </w:tc>
        <w:tc>
          <w:tcPr>
            <w:tcW w:w="0" w:type="auto"/>
            <w:tcBorders>
              <w:top w:val="single" w:sz="4" w:space="0" w:color="auto"/>
              <w:bottom w:val="single" w:sz="4" w:space="0" w:color="auto"/>
            </w:tcBorders>
            <w:vAlign w:val="center"/>
          </w:tcPr>
          <w:p w14:paraId="1F0239AC" w14:textId="77777777" w:rsidR="00EE3C0E" w:rsidRPr="00C04BF0" w:rsidRDefault="00EE3C0E" w:rsidP="00EE3C0E">
            <w:pPr>
              <w:pStyle w:val="Paragraph"/>
              <w:ind w:firstLine="0"/>
              <w:jc w:val="center"/>
            </w:pPr>
            <w:r w:rsidRPr="00C04BF0">
              <w:t>Turbidity (NTU)</w:t>
            </w:r>
          </w:p>
        </w:tc>
      </w:tr>
      <w:tr w:rsidR="00EE3C0E" w:rsidRPr="00C04BF0" w14:paraId="39CA6AC7" w14:textId="77777777" w:rsidTr="00067F90">
        <w:trPr>
          <w:trHeight w:val="471"/>
          <w:jc w:val="center"/>
        </w:trPr>
        <w:tc>
          <w:tcPr>
            <w:tcW w:w="0" w:type="auto"/>
            <w:tcBorders>
              <w:top w:val="single" w:sz="4" w:space="0" w:color="auto"/>
            </w:tcBorders>
            <w:vAlign w:val="center"/>
          </w:tcPr>
          <w:p w14:paraId="7C569B64" w14:textId="680A41FE" w:rsidR="00EE3C0E" w:rsidRPr="00C04BF0" w:rsidRDefault="00EE3C0E" w:rsidP="00EE3C0E">
            <w:pPr>
              <w:pStyle w:val="Paragraph"/>
              <w:ind w:firstLine="0"/>
              <w:jc w:val="center"/>
            </w:pPr>
            <w:r w:rsidRPr="00C04BF0">
              <w:t>Upstream Tigris</w:t>
            </w:r>
            <w:r w:rsidR="003C5866" w:rsidRPr="00C04BF0">
              <w:t xml:space="preserve"> (S1)</w:t>
            </w:r>
          </w:p>
        </w:tc>
        <w:tc>
          <w:tcPr>
            <w:tcW w:w="0" w:type="auto"/>
            <w:tcBorders>
              <w:top w:val="single" w:sz="4" w:space="0" w:color="auto"/>
            </w:tcBorders>
            <w:vAlign w:val="center"/>
          </w:tcPr>
          <w:p w14:paraId="312A8C84" w14:textId="77777777" w:rsidR="00EE3C0E" w:rsidRPr="00C04BF0" w:rsidRDefault="00EE3C0E" w:rsidP="00EE3C0E">
            <w:pPr>
              <w:pStyle w:val="Paragraph"/>
              <w:ind w:firstLine="0"/>
              <w:jc w:val="center"/>
            </w:pPr>
            <w:r w:rsidRPr="00C04BF0">
              <w:t>6–11</w:t>
            </w:r>
          </w:p>
          <w:p w14:paraId="21944A55" w14:textId="485D8117" w:rsidR="00EE3C0E" w:rsidRPr="00C04BF0" w:rsidRDefault="00EE3C0E" w:rsidP="00EE3C0E">
            <w:pPr>
              <w:pStyle w:val="Paragraph"/>
              <w:ind w:firstLine="0"/>
              <w:jc w:val="center"/>
            </w:pPr>
            <w:r w:rsidRPr="00C04BF0">
              <w:t>7.94±0.79 a</w:t>
            </w:r>
          </w:p>
        </w:tc>
        <w:tc>
          <w:tcPr>
            <w:tcW w:w="0" w:type="auto"/>
            <w:tcBorders>
              <w:top w:val="single" w:sz="4" w:space="0" w:color="auto"/>
            </w:tcBorders>
            <w:vAlign w:val="center"/>
          </w:tcPr>
          <w:p w14:paraId="150D3014" w14:textId="77777777" w:rsidR="00EE3C0E" w:rsidRPr="00C04BF0" w:rsidRDefault="00EE3C0E" w:rsidP="00EE3C0E">
            <w:pPr>
              <w:pStyle w:val="Paragraph"/>
              <w:ind w:firstLine="0"/>
              <w:jc w:val="center"/>
            </w:pPr>
            <w:r w:rsidRPr="00C04BF0">
              <w:t>0.80–4.6</w:t>
            </w:r>
          </w:p>
          <w:p w14:paraId="50F47439" w14:textId="35FA2451" w:rsidR="00EE3C0E" w:rsidRPr="00C04BF0" w:rsidRDefault="00EE3C0E" w:rsidP="00EE3C0E">
            <w:pPr>
              <w:pStyle w:val="Paragraph"/>
              <w:ind w:firstLine="0"/>
              <w:jc w:val="center"/>
            </w:pPr>
            <w:r w:rsidRPr="00C04BF0">
              <w:t>2.36±0.37 b</w:t>
            </w:r>
          </w:p>
        </w:tc>
        <w:tc>
          <w:tcPr>
            <w:tcW w:w="0" w:type="auto"/>
            <w:tcBorders>
              <w:top w:val="single" w:sz="4" w:space="0" w:color="auto"/>
            </w:tcBorders>
            <w:vAlign w:val="center"/>
          </w:tcPr>
          <w:p w14:paraId="5410D303" w14:textId="77777777" w:rsidR="00EE3C0E" w:rsidRPr="00C04BF0" w:rsidRDefault="00EE3C0E" w:rsidP="00EE3C0E">
            <w:pPr>
              <w:pStyle w:val="Paragraph"/>
              <w:ind w:firstLine="0"/>
              <w:jc w:val="center"/>
            </w:pPr>
            <w:r w:rsidRPr="00C04BF0">
              <w:t>330–810</w:t>
            </w:r>
          </w:p>
          <w:p w14:paraId="4D1B8446" w14:textId="247BF61B" w:rsidR="00EE3C0E" w:rsidRPr="00C04BF0" w:rsidRDefault="00EE3C0E" w:rsidP="00EE3C0E">
            <w:pPr>
              <w:pStyle w:val="Paragraph"/>
              <w:ind w:firstLine="0"/>
              <w:jc w:val="center"/>
            </w:pPr>
            <w:r w:rsidRPr="00C04BF0">
              <w:t>559±160 b</w:t>
            </w:r>
          </w:p>
        </w:tc>
        <w:tc>
          <w:tcPr>
            <w:tcW w:w="0" w:type="auto"/>
            <w:tcBorders>
              <w:top w:val="single" w:sz="4" w:space="0" w:color="auto"/>
            </w:tcBorders>
            <w:vAlign w:val="center"/>
          </w:tcPr>
          <w:p w14:paraId="6B4B2392" w14:textId="77777777" w:rsidR="00EE3C0E" w:rsidRPr="00C04BF0" w:rsidRDefault="00EE3C0E" w:rsidP="00EE3C0E">
            <w:pPr>
              <w:pStyle w:val="Paragraph"/>
              <w:ind w:firstLine="0"/>
              <w:jc w:val="center"/>
            </w:pPr>
            <w:r w:rsidRPr="00C04BF0">
              <w:t>0–20.91</w:t>
            </w:r>
          </w:p>
          <w:p w14:paraId="33AE5BE7" w14:textId="3CA07DCB" w:rsidR="00EE3C0E" w:rsidRPr="00C04BF0" w:rsidRDefault="00EE3C0E" w:rsidP="00EE3C0E">
            <w:pPr>
              <w:pStyle w:val="Paragraph"/>
              <w:ind w:firstLine="0"/>
              <w:jc w:val="center"/>
            </w:pPr>
            <w:r w:rsidRPr="00C04BF0">
              <w:t>6.63±0.76 b</w:t>
            </w:r>
          </w:p>
        </w:tc>
      </w:tr>
      <w:tr w:rsidR="002A23B6" w:rsidRPr="00C04BF0" w14:paraId="28DA216D" w14:textId="77777777" w:rsidTr="00067F90">
        <w:trPr>
          <w:trHeight w:val="484"/>
          <w:jc w:val="center"/>
        </w:trPr>
        <w:tc>
          <w:tcPr>
            <w:tcW w:w="0" w:type="auto"/>
            <w:vAlign w:val="center"/>
          </w:tcPr>
          <w:p w14:paraId="0311D881" w14:textId="6C92AC20" w:rsidR="002A23B6" w:rsidRPr="00C04BF0" w:rsidRDefault="002A23B6" w:rsidP="00EE3C0E">
            <w:pPr>
              <w:pStyle w:val="Paragraph"/>
              <w:ind w:firstLine="0"/>
              <w:jc w:val="center"/>
            </w:pPr>
            <w:r w:rsidRPr="00C04BF0">
              <w:t>Diyala tributary</w:t>
            </w:r>
            <w:r w:rsidR="003C5866" w:rsidRPr="00C04BF0">
              <w:t xml:space="preserve"> (S2)</w:t>
            </w:r>
          </w:p>
        </w:tc>
        <w:tc>
          <w:tcPr>
            <w:tcW w:w="0" w:type="auto"/>
            <w:vAlign w:val="center"/>
          </w:tcPr>
          <w:p w14:paraId="42472200" w14:textId="77777777" w:rsidR="002A23B6" w:rsidRPr="00C04BF0" w:rsidRDefault="002A23B6" w:rsidP="00EE3C0E">
            <w:pPr>
              <w:pStyle w:val="Paragraph"/>
              <w:ind w:firstLine="0"/>
              <w:jc w:val="center"/>
            </w:pPr>
            <w:r w:rsidRPr="00C04BF0">
              <w:t>1–6.5</w:t>
            </w:r>
          </w:p>
          <w:p w14:paraId="5EAB87C1" w14:textId="3DF04081" w:rsidR="002A23B6" w:rsidRPr="00C04BF0" w:rsidRDefault="002A23B6" w:rsidP="00EE3C0E">
            <w:pPr>
              <w:pStyle w:val="Paragraph"/>
              <w:ind w:firstLine="0"/>
              <w:jc w:val="center"/>
            </w:pPr>
            <w:r w:rsidRPr="00C04BF0">
              <w:t>2.45±0.47 b</w:t>
            </w:r>
          </w:p>
        </w:tc>
        <w:tc>
          <w:tcPr>
            <w:tcW w:w="0" w:type="auto"/>
            <w:vAlign w:val="center"/>
          </w:tcPr>
          <w:p w14:paraId="36B6C5C1" w14:textId="77777777" w:rsidR="002A23B6" w:rsidRPr="00C04BF0" w:rsidRDefault="002A23B6" w:rsidP="00EE3C0E">
            <w:pPr>
              <w:pStyle w:val="Paragraph"/>
              <w:ind w:firstLine="0"/>
              <w:jc w:val="center"/>
            </w:pPr>
            <w:r w:rsidRPr="00C04BF0">
              <w:t>3.3–78.2</w:t>
            </w:r>
          </w:p>
          <w:p w14:paraId="7583EE79" w14:textId="1CCD4532" w:rsidR="002A23B6" w:rsidRPr="00C04BF0" w:rsidRDefault="002A23B6" w:rsidP="00EE3C0E">
            <w:pPr>
              <w:pStyle w:val="Paragraph"/>
              <w:ind w:firstLine="0"/>
              <w:jc w:val="center"/>
            </w:pPr>
            <w:r w:rsidRPr="00C04BF0">
              <w:t>19.20±7.68 a</w:t>
            </w:r>
          </w:p>
        </w:tc>
        <w:tc>
          <w:tcPr>
            <w:tcW w:w="0" w:type="auto"/>
            <w:vAlign w:val="center"/>
          </w:tcPr>
          <w:p w14:paraId="6079A2B2" w14:textId="77777777" w:rsidR="002A23B6" w:rsidRPr="00C04BF0" w:rsidRDefault="002A23B6" w:rsidP="00EE3C0E">
            <w:pPr>
              <w:pStyle w:val="Paragraph"/>
              <w:ind w:firstLine="0"/>
              <w:jc w:val="center"/>
            </w:pPr>
            <w:r w:rsidRPr="00C04BF0">
              <w:t>880–1920</w:t>
            </w:r>
          </w:p>
          <w:p w14:paraId="6160965C" w14:textId="3563763C" w:rsidR="002A23B6" w:rsidRPr="00C04BF0" w:rsidRDefault="002A23B6" w:rsidP="00EE3C0E">
            <w:pPr>
              <w:pStyle w:val="Paragraph"/>
              <w:ind w:firstLine="0"/>
              <w:jc w:val="center"/>
            </w:pPr>
            <w:r w:rsidRPr="00C04BF0">
              <w:t>1699±380 a</w:t>
            </w:r>
          </w:p>
        </w:tc>
        <w:tc>
          <w:tcPr>
            <w:tcW w:w="0" w:type="auto"/>
            <w:vAlign w:val="center"/>
          </w:tcPr>
          <w:p w14:paraId="0EDEE94D" w14:textId="77777777" w:rsidR="002A23B6" w:rsidRPr="00C04BF0" w:rsidRDefault="002A23B6" w:rsidP="00EE3C0E">
            <w:pPr>
              <w:pStyle w:val="Paragraph"/>
              <w:ind w:firstLine="0"/>
              <w:jc w:val="center"/>
            </w:pPr>
            <w:r w:rsidRPr="00C04BF0">
              <w:t>2.25–34.99</w:t>
            </w:r>
          </w:p>
          <w:p w14:paraId="517531BF" w14:textId="18A8F1D0" w:rsidR="002A23B6" w:rsidRPr="00C04BF0" w:rsidRDefault="002A23B6" w:rsidP="00EE3C0E">
            <w:pPr>
              <w:pStyle w:val="Paragraph"/>
              <w:ind w:firstLine="0"/>
              <w:jc w:val="center"/>
            </w:pPr>
            <w:r w:rsidRPr="00C04BF0">
              <w:t>19.20±6.74 a</w:t>
            </w:r>
          </w:p>
        </w:tc>
      </w:tr>
      <w:tr w:rsidR="002A23B6" w:rsidRPr="00C04BF0" w14:paraId="04C6F7F7" w14:textId="77777777" w:rsidTr="00067F90">
        <w:trPr>
          <w:trHeight w:val="471"/>
          <w:jc w:val="center"/>
        </w:trPr>
        <w:tc>
          <w:tcPr>
            <w:tcW w:w="0" w:type="auto"/>
            <w:vAlign w:val="center"/>
          </w:tcPr>
          <w:p w14:paraId="41406181" w14:textId="51E23552" w:rsidR="002A23B6" w:rsidRPr="00C04BF0" w:rsidRDefault="002A23B6" w:rsidP="00EE3C0E">
            <w:pPr>
              <w:pStyle w:val="Paragraph"/>
              <w:ind w:firstLine="0"/>
              <w:jc w:val="center"/>
            </w:pPr>
            <w:r w:rsidRPr="00C04BF0">
              <w:t>Confluence</w:t>
            </w:r>
            <w:r w:rsidR="003C5866" w:rsidRPr="00C04BF0">
              <w:t xml:space="preserve"> (S3)</w:t>
            </w:r>
          </w:p>
        </w:tc>
        <w:tc>
          <w:tcPr>
            <w:tcW w:w="0" w:type="auto"/>
            <w:vAlign w:val="center"/>
          </w:tcPr>
          <w:p w14:paraId="4E4DB279" w14:textId="77777777" w:rsidR="002A23B6" w:rsidRPr="00C04BF0" w:rsidRDefault="002A23B6" w:rsidP="00EE3C0E">
            <w:pPr>
              <w:pStyle w:val="Paragraph"/>
              <w:ind w:firstLine="0"/>
              <w:jc w:val="center"/>
            </w:pPr>
            <w:r w:rsidRPr="00C04BF0">
              <w:t>4.2–7.9</w:t>
            </w:r>
          </w:p>
          <w:p w14:paraId="5DE961BC" w14:textId="15C4B845" w:rsidR="002A23B6" w:rsidRPr="00C04BF0" w:rsidRDefault="002A23B6" w:rsidP="00EE3C0E">
            <w:pPr>
              <w:pStyle w:val="Paragraph"/>
              <w:ind w:firstLine="0"/>
              <w:jc w:val="center"/>
            </w:pPr>
            <w:r w:rsidRPr="00C04BF0">
              <w:t>5.45±0.62 ab</w:t>
            </w:r>
          </w:p>
        </w:tc>
        <w:tc>
          <w:tcPr>
            <w:tcW w:w="0" w:type="auto"/>
            <w:vAlign w:val="center"/>
          </w:tcPr>
          <w:p w14:paraId="3B8CAB93" w14:textId="77777777" w:rsidR="002A23B6" w:rsidRPr="00C04BF0" w:rsidRDefault="002A23B6" w:rsidP="00EE3C0E">
            <w:pPr>
              <w:pStyle w:val="Paragraph"/>
              <w:ind w:firstLine="0"/>
              <w:jc w:val="center"/>
            </w:pPr>
            <w:r w:rsidRPr="00C04BF0">
              <w:t>2.9–7.6</w:t>
            </w:r>
          </w:p>
          <w:p w14:paraId="5D575B43" w14:textId="1E9EE7D1" w:rsidR="002A23B6" w:rsidRPr="00C04BF0" w:rsidRDefault="002A23B6" w:rsidP="00EE3C0E">
            <w:pPr>
              <w:pStyle w:val="Paragraph"/>
              <w:ind w:firstLine="0"/>
              <w:jc w:val="center"/>
            </w:pPr>
            <w:r w:rsidRPr="00C04BF0">
              <w:t>5.03±0.48 b</w:t>
            </w:r>
          </w:p>
        </w:tc>
        <w:tc>
          <w:tcPr>
            <w:tcW w:w="0" w:type="auto"/>
            <w:vAlign w:val="center"/>
          </w:tcPr>
          <w:p w14:paraId="309198CE" w14:textId="77777777" w:rsidR="002A23B6" w:rsidRPr="00C04BF0" w:rsidRDefault="002A23B6" w:rsidP="00EE3C0E">
            <w:pPr>
              <w:pStyle w:val="Paragraph"/>
              <w:ind w:firstLine="0"/>
              <w:jc w:val="center"/>
            </w:pPr>
            <w:r w:rsidRPr="00C04BF0">
              <w:t>540–980</w:t>
            </w:r>
          </w:p>
          <w:p w14:paraId="7B54FDBE" w14:textId="5C9FF039" w:rsidR="002A23B6" w:rsidRPr="00C04BF0" w:rsidRDefault="002A23B6" w:rsidP="00EE3C0E">
            <w:pPr>
              <w:pStyle w:val="Paragraph"/>
              <w:ind w:firstLine="0"/>
              <w:jc w:val="center"/>
            </w:pPr>
            <w:r w:rsidRPr="00C04BF0">
              <w:t>775 ±220 b</w:t>
            </w:r>
          </w:p>
        </w:tc>
        <w:tc>
          <w:tcPr>
            <w:tcW w:w="0" w:type="auto"/>
            <w:vAlign w:val="center"/>
          </w:tcPr>
          <w:p w14:paraId="5C6C23F8" w14:textId="77777777" w:rsidR="002A23B6" w:rsidRPr="00C04BF0" w:rsidRDefault="002A23B6" w:rsidP="00EE3C0E">
            <w:pPr>
              <w:pStyle w:val="Paragraph"/>
              <w:ind w:firstLine="0"/>
              <w:jc w:val="center"/>
            </w:pPr>
            <w:r w:rsidRPr="00C04BF0">
              <w:t>1.10–18.52</w:t>
            </w:r>
          </w:p>
          <w:p w14:paraId="06974B27" w14:textId="3BACBBC2" w:rsidR="002A23B6" w:rsidRPr="00C04BF0" w:rsidRDefault="002A23B6" w:rsidP="00EE3C0E">
            <w:pPr>
              <w:pStyle w:val="Paragraph"/>
              <w:ind w:firstLine="0"/>
              <w:jc w:val="center"/>
            </w:pPr>
            <w:r w:rsidRPr="00C04BF0">
              <w:t>6.99±0.68 a</w:t>
            </w:r>
          </w:p>
        </w:tc>
      </w:tr>
      <w:tr w:rsidR="002A23B6" w:rsidRPr="00C04BF0" w14:paraId="1C1412FC" w14:textId="77777777" w:rsidTr="00067F90">
        <w:trPr>
          <w:trHeight w:val="471"/>
          <w:jc w:val="center"/>
        </w:trPr>
        <w:tc>
          <w:tcPr>
            <w:tcW w:w="0" w:type="auto"/>
            <w:vAlign w:val="center"/>
          </w:tcPr>
          <w:p w14:paraId="53412684" w14:textId="6E2461A1" w:rsidR="002A23B6" w:rsidRPr="00C04BF0" w:rsidRDefault="002A23B6" w:rsidP="00EE3C0E">
            <w:pPr>
              <w:pStyle w:val="Paragraph"/>
              <w:ind w:firstLine="0"/>
              <w:jc w:val="center"/>
            </w:pPr>
            <w:r w:rsidRPr="00C04BF0">
              <w:t>Downstream Tigris</w:t>
            </w:r>
            <w:r w:rsidR="003C5866" w:rsidRPr="00C04BF0">
              <w:t xml:space="preserve"> (S4)</w:t>
            </w:r>
          </w:p>
        </w:tc>
        <w:tc>
          <w:tcPr>
            <w:tcW w:w="0" w:type="auto"/>
            <w:vAlign w:val="center"/>
          </w:tcPr>
          <w:p w14:paraId="0CA4D33E" w14:textId="77777777" w:rsidR="002A23B6" w:rsidRPr="00C04BF0" w:rsidRDefault="002A23B6" w:rsidP="00EE3C0E">
            <w:pPr>
              <w:pStyle w:val="Paragraph"/>
              <w:ind w:firstLine="0"/>
              <w:jc w:val="center"/>
            </w:pPr>
            <w:r w:rsidRPr="00C04BF0">
              <w:t>5.5–9.2</w:t>
            </w:r>
          </w:p>
          <w:p w14:paraId="056F8094" w14:textId="2A48ADFE" w:rsidR="002A23B6" w:rsidRPr="00C04BF0" w:rsidRDefault="002A23B6" w:rsidP="00EE3C0E">
            <w:pPr>
              <w:pStyle w:val="Paragraph"/>
              <w:ind w:firstLine="0"/>
              <w:jc w:val="center"/>
            </w:pPr>
            <w:r w:rsidRPr="00C04BF0">
              <w:t>6.89±0.72 a</w:t>
            </w:r>
          </w:p>
        </w:tc>
        <w:tc>
          <w:tcPr>
            <w:tcW w:w="0" w:type="auto"/>
            <w:vAlign w:val="center"/>
          </w:tcPr>
          <w:p w14:paraId="2F267DDD" w14:textId="77777777" w:rsidR="002A23B6" w:rsidRPr="00C04BF0" w:rsidRDefault="002A23B6" w:rsidP="00EE3C0E">
            <w:pPr>
              <w:pStyle w:val="Paragraph"/>
              <w:ind w:firstLine="0"/>
              <w:jc w:val="center"/>
            </w:pPr>
            <w:r w:rsidRPr="00C04BF0">
              <w:t>0.90–5.4</w:t>
            </w:r>
          </w:p>
          <w:p w14:paraId="21A47373" w14:textId="72B753EF" w:rsidR="002A23B6" w:rsidRPr="00C04BF0" w:rsidRDefault="002A23B6" w:rsidP="00EE3C0E">
            <w:pPr>
              <w:pStyle w:val="Paragraph"/>
              <w:ind w:firstLine="0"/>
              <w:jc w:val="center"/>
            </w:pPr>
            <w:r w:rsidRPr="00C04BF0">
              <w:t>3.33±0.16 b</w:t>
            </w:r>
          </w:p>
        </w:tc>
        <w:tc>
          <w:tcPr>
            <w:tcW w:w="0" w:type="auto"/>
            <w:vAlign w:val="center"/>
          </w:tcPr>
          <w:p w14:paraId="230B088D" w14:textId="77777777" w:rsidR="002A23B6" w:rsidRPr="00C04BF0" w:rsidRDefault="002A23B6" w:rsidP="00EE3C0E">
            <w:pPr>
              <w:pStyle w:val="Paragraph"/>
              <w:ind w:firstLine="0"/>
              <w:jc w:val="center"/>
            </w:pPr>
            <w:r w:rsidRPr="00C04BF0">
              <w:t>450–1210</w:t>
            </w:r>
          </w:p>
          <w:p w14:paraId="3CEDD9C5" w14:textId="7953DA71" w:rsidR="002A23B6" w:rsidRPr="00C04BF0" w:rsidRDefault="002A23B6" w:rsidP="00EE3C0E">
            <w:pPr>
              <w:pStyle w:val="Paragraph"/>
              <w:ind w:firstLine="0"/>
              <w:jc w:val="center"/>
            </w:pPr>
            <w:r w:rsidRPr="00C04BF0">
              <w:t>742±190 b</w:t>
            </w:r>
          </w:p>
        </w:tc>
        <w:tc>
          <w:tcPr>
            <w:tcW w:w="0" w:type="auto"/>
            <w:vAlign w:val="center"/>
          </w:tcPr>
          <w:p w14:paraId="63A2D366" w14:textId="77777777" w:rsidR="002A23B6" w:rsidRPr="00C04BF0" w:rsidRDefault="002A23B6" w:rsidP="00EE3C0E">
            <w:pPr>
              <w:pStyle w:val="Paragraph"/>
              <w:ind w:firstLine="0"/>
              <w:jc w:val="center"/>
            </w:pPr>
            <w:r w:rsidRPr="00C04BF0">
              <w:t>0–27.81</w:t>
            </w:r>
          </w:p>
          <w:p w14:paraId="0BC82FFD" w14:textId="7894ED55" w:rsidR="002A23B6" w:rsidRPr="00C04BF0" w:rsidRDefault="002A23B6" w:rsidP="00EE3C0E">
            <w:pPr>
              <w:pStyle w:val="Paragraph"/>
              <w:ind w:firstLine="0"/>
              <w:jc w:val="center"/>
            </w:pPr>
            <w:r w:rsidRPr="00C04BF0">
              <w:t>8.59±0.79 a</w:t>
            </w:r>
          </w:p>
        </w:tc>
      </w:tr>
      <w:tr w:rsidR="002A23B6" w:rsidRPr="00C04BF0" w14:paraId="645C476E" w14:textId="77777777" w:rsidTr="00067F90">
        <w:trPr>
          <w:trHeight w:val="235"/>
          <w:jc w:val="center"/>
        </w:trPr>
        <w:tc>
          <w:tcPr>
            <w:tcW w:w="0" w:type="auto"/>
            <w:vAlign w:val="center"/>
          </w:tcPr>
          <w:p w14:paraId="593F5277" w14:textId="785C4386" w:rsidR="002A23B6" w:rsidRPr="00C04BF0" w:rsidRDefault="002A23B6" w:rsidP="00EE3C0E">
            <w:pPr>
              <w:pStyle w:val="Paragraph"/>
              <w:ind w:firstLine="0"/>
              <w:jc w:val="center"/>
            </w:pPr>
            <w:r w:rsidRPr="00C04BF0">
              <w:t>LSD-value</w:t>
            </w:r>
          </w:p>
        </w:tc>
        <w:tc>
          <w:tcPr>
            <w:tcW w:w="0" w:type="auto"/>
            <w:vAlign w:val="center"/>
          </w:tcPr>
          <w:p w14:paraId="6D4B96E3" w14:textId="4985F37B" w:rsidR="002A23B6" w:rsidRPr="00C04BF0" w:rsidRDefault="002A23B6" w:rsidP="00EE3C0E">
            <w:pPr>
              <w:pStyle w:val="Paragraph"/>
              <w:ind w:firstLine="0"/>
              <w:jc w:val="center"/>
            </w:pPr>
            <w:r w:rsidRPr="00C04BF0">
              <w:t>3.371*</w:t>
            </w:r>
          </w:p>
        </w:tc>
        <w:tc>
          <w:tcPr>
            <w:tcW w:w="0" w:type="auto"/>
            <w:vAlign w:val="center"/>
          </w:tcPr>
          <w:p w14:paraId="07E885BE" w14:textId="21F02D3A" w:rsidR="002A23B6" w:rsidRPr="00C04BF0" w:rsidRDefault="002A23B6" w:rsidP="00EE3C0E">
            <w:pPr>
              <w:pStyle w:val="Paragraph"/>
              <w:ind w:firstLine="0"/>
              <w:jc w:val="center"/>
            </w:pPr>
            <w:r w:rsidRPr="00C04BF0">
              <w:t>4.027 *</w:t>
            </w:r>
          </w:p>
        </w:tc>
        <w:tc>
          <w:tcPr>
            <w:tcW w:w="0" w:type="auto"/>
            <w:vAlign w:val="center"/>
          </w:tcPr>
          <w:p w14:paraId="7E5F867D" w14:textId="60E956A3" w:rsidR="002A23B6" w:rsidRPr="00C04BF0" w:rsidRDefault="002A23B6" w:rsidP="00EE3C0E">
            <w:pPr>
              <w:pStyle w:val="Paragraph"/>
              <w:ind w:firstLine="0"/>
              <w:jc w:val="center"/>
            </w:pPr>
            <w:r w:rsidRPr="00C04BF0">
              <w:t>0.708*</w:t>
            </w:r>
          </w:p>
        </w:tc>
        <w:tc>
          <w:tcPr>
            <w:tcW w:w="0" w:type="auto"/>
            <w:vAlign w:val="center"/>
          </w:tcPr>
          <w:p w14:paraId="31B759A7" w14:textId="0D1411EB" w:rsidR="002A23B6" w:rsidRPr="00C04BF0" w:rsidRDefault="002A23B6" w:rsidP="00EE3C0E">
            <w:pPr>
              <w:pStyle w:val="Paragraph"/>
              <w:ind w:firstLine="0"/>
              <w:jc w:val="center"/>
            </w:pPr>
            <w:r w:rsidRPr="00C04BF0">
              <w:t>3.577*</w:t>
            </w:r>
          </w:p>
        </w:tc>
      </w:tr>
    </w:tbl>
    <w:p w14:paraId="58BAEB47" w14:textId="77777777" w:rsidR="00637E09" w:rsidRDefault="00637E09" w:rsidP="00B44FAC">
      <w:pPr>
        <w:pStyle w:val="Paragraph"/>
        <w:tabs>
          <w:tab w:val="left" w:pos="4050"/>
        </w:tabs>
        <w:ind w:firstLine="0"/>
      </w:pPr>
    </w:p>
    <w:p w14:paraId="031680BD" w14:textId="6E449953" w:rsidR="00B44FAC" w:rsidRPr="00C04BF0" w:rsidRDefault="00B44FAC" w:rsidP="00B44FAC">
      <w:pPr>
        <w:pStyle w:val="Paragraph"/>
        <w:tabs>
          <w:tab w:val="left" w:pos="4050"/>
        </w:tabs>
        <w:ind w:firstLine="0"/>
      </w:pPr>
      <w:r w:rsidRPr="00C04BF0">
        <w:t>The means with different capital letters within the same row and different small letters within the same row differ significantly from each other.</w:t>
      </w:r>
    </w:p>
    <w:p w14:paraId="1C084779" w14:textId="77777777" w:rsidR="0099723C" w:rsidRDefault="00B44FAC" w:rsidP="00B44FAC">
      <w:pPr>
        <w:pStyle w:val="Paragraph"/>
        <w:tabs>
          <w:tab w:val="left" w:pos="4050"/>
        </w:tabs>
        <w:ind w:firstLine="0"/>
      </w:pPr>
      <w:r w:rsidRPr="00C04BF0">
        <w:t>*P ≤0.05: significance different</w:t>
      </w:r>
    </w:p>
    <w:p w14:paraId="683F6EFD" w14:textId="2A806DFD" w:rsidR="002C0DB0" w:rsidRPr="00C04BF0" w:rsidRDefault="00AF6187" w:rsidP="00B44FAC">
      <w:pPr>
        <w:pStyle w:val="Paragraph"/>
        <w:tabs>
          <w:tab w:val="left" w:pos="4050"/>
        </w:tabs>
        <w:ind w:firstLine="0"/>
      </w:pPr>
      <w:r w:rsidRPr="00C04BF0">
        <w:tab/>
      </w:r>
    </w:p>
    <w:tbl>
      <w:tblPr>
        <w:tblW w:w="0" w:type="auto"/>
        <w:jc w:val="center"/>
        <w:tblBorders>
          <w:top w:val="single" w:sz="4" w:space="0" w:color="auto"/>
          <w:bottom w:val="single" w:sz="4" w:space="0" w:color="auto"/>
        </w:tblBorders>
        <w:tblLook w:val="04A0" w:firstRow="1" w:lastRow="0" w:firstColumn="1" w:lastColumn="0" w:noHBand="0" w:noVBand="1"/>
      </w:tblPr>
      <w:tblGrid>
        <w:gridCol w:w="2899"/>
        <w:gridCol w:w="2278"/>
        <w:gridCol w:w="2717"/>
      </w:tblGrid>
      <w:tr w:rsidR="002A23B6" w:rsidRPr="00C04BF0" w14:paraId="48166E41" w14:textId="77777777" w:rsidTr="00B44FAC">
        <w:trPr>
          <w:jc w:val="center"/>
        </w:trPr>
        <w:tc>
          <w:tcPr>
            <w:tcW w:w="0" w:type="auto"/>
            <w:gridSpan w:val="3"/>
            <w:tcBorders>
              <w:top w:val="nil"/>
              <w:bottom w:val="single" w:sz="4" w:space="0" w:color="auto"/>
            </w:tcBorders>
            <w:vAlign w:val="center"/>
          </w:tcPr>
          <w:p w14:paraId="2FE6E61B" w14:textId="4BF2BBFF" w:rsidR="00637E09" w:rsidRPr="00C04BF0" w:rsidRDefault="002A23B6" w:rsidP="00006B6A">
            <w:pPr>
              <w:pStyle w:val="Paragraph"/>
              <w:ind w:firstLine="0"/>
              <w:jc w:val="center"/>
            </w:pPr>
            <w:r w:rsidRPr="00C04BF0">
              <w:rPr>
                <w:b/>
                <w:bCs/>
                <w:color w:val="000000" w:themeColor="text1"/>
                <w:sz w:val="18"/>
                <w:szCs w:val="18"/>
              </w:rPr>
              <w:t>TABLE 2</w:t>
            </w:r>
            <w:r w:rsidRPr="00C04BF0">
              <w:rPr>
                <w:color w:val="000000" w:themeColor="text1"/>
                <w:sz w:val="18"/>
                <w:szCs w:val="18"/>
              </w:rPr>
              <w:t>.</w:t>
            </w:r>
            <w:r w:rsidRPr="00C04BF0">
              <w:t xml:space="preserve"> Nutrient concentrations (nitrate and phosphate) at the sampling stations. Nutrient </w:t>
            </w:r>
            <w:proofErr w:type="spellStart"/>
            <w:r w:rsidRPr="00C04BF0">
              <w:t>enri</w:t>
            </w:r>
            <w:proofErr w:type="spellEnd"/>
          </w:p>
        </w:tc>
      </w:tr>
      <w:tr w:rsidR="002A23B6" w:rsidRPr="00C04BF0" w14:paraId="5FDF6F1A" w14:textId="77777777" w:rsidTr="009E4D60">
        <w:trPr>
          <w:jc w:val="center"/>
        </w:trPr>
        <w:tc>
          <w:tcPr>
            <w:tcW w:w="0" w:type="auto"/>
            <w:tcBorders>
              <w:top w:val="single" w:sz="4" w:space="0" w:color="auto"/>
              <w:bottom w:val="single" w:sz="4" w:space="0" w:color="auto"/>
            </w:tcBorders>
            <w:vAlign w:val="center"/>
          </w:tcPr>
          <w:p w14:paraId="6D05DE69" w14:textId="77777777" w:rsidR="002A23B6" w:rsidRPr="00C04BF0" w:rsidRDefault="002A23B6" w:rsidP="00C929C4">
            <w:pPr>
              <w:pStyle w:val="Paragraph"/>
              <w:ind w:firstLine="0"/>
              <w:jc w:val="center"/>
            </w:pPr>
            <w:r w:rsidRPr="00C04BF0">
              <w:t>Station</w:t>
            </w:r>
          </w:p>
        </w:tc>
        <w:tc>
          <w:tcPr>
            <w:tcW w:w="0" w:type="auto"/>
            <w:tcBorders>
              <w:top w:val="single" w:sz="4" w:space="0" w:color="auto"/>
              <w:bottom w:val="single" w:sz="4" w:space="0" w:color="auto"/>
            </w:tcBorders>
          </w:tcPr>
          <w:p w14:paraId="153247E6" w14:textId="11BB3DE0" w:rsidR="002A23B6" w:rsidRPr="00C04BF0" w:rsidRDefault="002A23B6" w:rsidP="00C929C4">
            <w:pPr>
              <w:pStyle w:val="Paragraph"/>
              <w:ind w:firstLine="0"/>
              <w:jc w:val="center"/>
            </w:pPr>
            <w:r w:rsidRPr="00C04BF0">
              <w:t>Nitrate (mg/L)</w:t>
            </w:r>
          </w:p>
        </w:tc>
        <w:tc>
          <w:tcPr>
            <w:tcW w:w="0" w:type="auto"/>
            <w:tcBorders>
              <w:top w:val="single" w:sz="4" w:space="0" w:color="auto"/>
              <w:bottom w:val="single" w:sz="4" w:space="0" w:color="auto"/>
            </w:tcBorders>
          </w:tcPr>
          <w:p w14:paraId="44FD0FA8" w14:textId="0384DCDB" w:rsidR="002A23B6" w:rsidRPr="00C04BF0" w:rsidRDefault="002A23B6" w:rsidP="00C929C4">
            <w:pPr>
              <w:pStyle w:val="Paragraph"/>
              <w:ind w:firstLine="0"/>
              <w:jc w:val="center"/>
            </w:pPr>
            <w:r w:rsidRPr="00C04BF0">
              <w:t>Phosphate (mg/L)</w:t>
            </w:r>
          </w:p>
        </w:tc>
      </w:tr>
      <w:tr w:rsidR="002A23B6" w:rsidRPr="00C04BF0" w14:paraId="299AAC59" w14:textId="77777777" w:rsidTr="00B44FAC">
        <w:trPr>
          <w:jc w:val="center"/>
        </w:trPr>
        <w:tc>
          <w:tcPr>
            <w:tcW w:w="0" w:type="auto"/>
            <w:tcBorders>
              <w:top w:val="single" w:sz="4" w:space="0" w:color="auto"/>
            </w:tcBorders>
            <w:vAlign w:val="center"/>
          </w:tcPr>
          <w:p w14:paraId="19B61B6E" w14:textId="77777777" w:rsidR="002A23B6" w:rsidRPr="00C04BF0" w:rsidRDefault="002A23B6" w:rsidP="00C929C4">
            <w:pPr>
              <w:pStyle w:val="Paragraph"/>
              <w:ind w:firstLine="0"/>
              <w:jc w:val="center"/>
            </w:pPr>
            <w:r w:rsidRPr="00C04BF0">
              <w:t>Upstream Tigris</w:t>
            </w:r>
          </w:p>
        </w:tc>
        <w:tc>
          <w:tcPr>
            <w:tcW w:w="0" w:type="auto"/>
            <w:tcBorders>
              <w:top w:val="single" w:sz="4" w:space="0" w:color="auto"/>
            </w:tcBorders>
            <w:vAlign w:val="center"/>
          </w:tcPr>
          <w:p w14:paraId="6431EA74" w14:textId="77777777" w:rsidR="00B44FAC" w:rsidRPr="00C04BF0" w:rsidRDefault="00B44FAC" w:rsidP="00B44FAC">
            <w:pPr>
              <w:pStyle w:val="Paragraph"/>
              <w:ind w:firstLine="0"/>
              <w:jc w:val="center"/>
            </w:pPr>
            <w:r w:rsidRPr="00C04BF0">
              <w:t>0.019-5.00</w:t>
            </w:r>
          </w:p>
          <w:p w14:paraId="104E43DB" w14:textId="69FC464B" w:rsidR="002A23B6" w:rsidRPr="00C04BF0" w:rsidRDefault="00B44FAC" w:rsidP="00B44FAC">
            <w:pPr>
              <w:pStyle w:val="Paragraph"/>
              <w:ind w:firstLine="0"/>
              <w:jc w:val="center"/>
            </w:pPr>
            <w:r w:rsidRPr="00C04BF0">
              <w:t>2.50±0.37b</w:t>
            </w:r>
          </w:p>
        </w:tc>
        <w:tc>
          <w:tcPr>
            <w:tcW w:w="0" w:type="auto"/>
            <w:tcBorders>
              <w:top w:val="single" w:sz="4" w:space="0" w:color="auto"/>
            </w:tcBorders>
            <w:vAlign w:val="center"/>
          </w:tcPr>
          <w:p w14:paraId="2E91F2F8" w14:textId="77777777" w:rsidR="00B44FAC" w:rsidRPr="00C04BF0" w:rsidRDefault="00B44FAC" w:rsidP="00B44FAC">
            <w:pPr>
              <w:pStyle w:val="Paragraph"/>
              <w:ind w:firstLine="0"/>
              <w:jc w:val="center"/>
            </w:pPr>
            <w:r w:rsidRPr="00C04BF0">
              <w:t>0.010-0.0601</w:t>
            </w:r>
          </w:p>
          <w:p w14:paraId="4D9E1E2F" w14:textId="3022E3AB" w:rsidR="002A23B6" w:rsidRPr="00C04BF0" w:rsidRDefault="00B44FAC" w:rsidP="00B44FAC">
            <w:pPr>
              <w:pStyle w:val="Paragraph"/>
              <w:ind w:firstLine="0"/>
              <w:jc w:val="center"/>
            </w:pPr>
            <w:r w:rsidRPr="00C04BF0">
              <w:t>0.020±0.005b</w:t>
            </w:r>
          </w:p>
        </w:tc>
      </w:tr>
      <w:tr w:rsidR="002A23B6" w:rsidRPr="00C04BF0" w14:paraId="590CB646" w14:textId="77777777" w:rsidTr="00B44FAC">
        <w:trPr>
          <w:jc w:val="center"/>
        </w:trPr>
        <w:tc>
          <w:tcPr>
            <w:tcW w:w="0" w:type="auto"/>
            <w:vAlign w:val="center"/>
          </w:tcPr>
          <w:p w14:paraId="2DD29758" w14:textId="2AE39264" w:rsidR="002A23B6" w:rsidRPr="00C04BF0" w:rsidRDefault="002A23B6" w:rsidP="00C929C4">
            <w:pPr>
              <w:pStyle w:val="Paragraph"/>
              <w:ind w:firstLine="0"/>
              <w:jc w:val="center"/>
            </w:pPr>
            <w:r w:rsidRPr="00C04BF0">
              <w:t>Diyala tributary</w:t>
            </w:r>
          </w:p>
        </w:tc>
        <w:tc>
          <w:tcPr>
            <w:tcW w:w="0" w:type="auto"/>
            <w:vAlign w:val="center"/>
          </w:tcPr>
          <w:p w14:paraId="395CB199" w14:textId="77777777" w:rsidR="00B44FAC" w:rsidRPr="00C04BF0" w:rsidRDefault="00B44FAC" w:rsidP="00B44FAC">
            <w:pPr>
              <w:pStyle w:val="Paragraph"/>
              <w:ind w:firstLine="0"/>
              <w:jc w:val="center"/>
            </w:pPr>
            <w:r w:rsidRPr="00C04BF0">
              <w:t>0.042–37.00</w:t>
            </w:r>
          </w:p>
          <w:p w14:paraId="69B739D0" w14:textId="34161313" w:rsidR="002A23B6" w:rsidRPr="00C04BF0" w:rsidRDefault="00B44FAC" w:rsidP="00B44FAC">
            <w:pPr>
              <w:pStyle w:val="Paragraph"/>
              <w:ind w:firstLine="0"/>
              <w:jc w:val="center"/>
            </w:pPr>
            <w:r w:rsidRPr="00C04BF0">
              <w:t>12.60±3.04a</w:t>
            </w:r>
          </w:p>
        </w:tc>
        <w:tc>
          <w:tcPr>
            <w:tcW w:w="0" w:type="auto"/>
            <w:vAlign w:val="center"/>
          </w:tcPr>
          <w:p w14:paraId="0CEAFE6A" w14:textId="77777777" w:rsidR="00B44FAC" w:rsidRPr="00C04BF0" w:rsidRDefault="00B44FAC" w:rsidP="00B44FAC">
            <w:pPr>
              <w:pStyle w:val="Paragraph"/>
              <w:ind w:firstLine="0"/>
              <w:jc w:val="center"/>
            </w:pPr>
            <w:r w:rsidRPr="00C04BF0">
              <w:t>0.1178-0.982</w:t>
            </w:r>
          </w:p>
          <w:p w14:paraId="556EC90A" w14:textId="2E2EE3B4" w:rsidR="002A23B6" w:rsidRPr="00C04BF0" w:rsidRDefault="00B44FAC" w:rsidP="00B44FAC">
            <w:pPr>
              <w:pStyle w:val="Paragraph"/>
              <w:ind w:firstLine="0"/>
              <w:jc w:val="center"/>
            </w:pPr>
            <w:r w:rsidRPr="00C04BF0">
              <w:t>0.429±0.17a</w:t>
            </w:r>
          </w:p>
        </w:tc>
      </w:tr>
      <w:tr w:rsidR="002A23B6" w:rsidRPr="00C04BF0" w14:paraId="25EBE8EA" w14:textId="77777777" w:rsidTr="00B44FAC">
        <w:trPr>
          <w:jc w:val="center"/>
        </w:trPr>
        <w:tc>
          <w:tcPr>
            <w:tcW w:w="0" w:type="auto"/>
            <w:vAlign w:val="center"/>
          </w:tcPr>
          <w:p w14:paraId="57B97498" w14:textId="7773D6DF" w:rsidR="002A23B6" w:rsidRPr="00C04BF0" w:rsidRDefault="002A23B6" w:rsidP="00C929C4">
            <w:pPr>
              <w:pStyle w:val="Paragraph"/>
              <w:ind w:firstLine="0"/>
              <w:jc w:val="center"/>
            </w:pPr>
            <w:r w:rsidRPr="00C04BF0">
              <w:t>Confluence</w:t>
            </w:r>
          </w:p>
        </w:tc>
        <w:tc>
          <w:tcPr>
            <w:tcW w:w="0" w:type="auto"/>
            <w:vAlign w:val="center"/>
          </w:tcPr>
          <w:p w14:paraId="0EB31323" w14:textId="77777777" w:rsidR="00B44FAC" w:rsidRPr="00C04BF0" w:rsidRDefault="00B44FAC" w:rsidP="00B44FAC">
            <w:pPr>
              <w:pStyle w:val="Paragraph"/>
              <w:ind w:firstLine="0"/>
              <w:jc w:val="center"/>
            </w:pPr>
            <w:r w:rsidRPr="00C04BF0">
              <w:t>0.028–13.00</w:t>
            </w:r>
          </w:p>
          <w:p w14:paraId="1906D809" w14:textId="06F1D8F8" w:rsidR="002A23B6" w:rsidRPr="00C04BF0" w:rsidRDefault="00B44FAC" w:rsidP="00B44FAC">
            <w:pPr>
              <w:pStyle w:val="Paragraph"/>
              <w:ind w:firstLine="0"/>
              <w:jc w:val="center"/>
            </w:pPr>
            <w:r w:rsidRPr="00C04BF0">
              <w:t>5.51±0.49b</w:t>
            </w:r>
          </w:p>
        </w:tc>
        <w:tc>
          <w:tcPr>
            <w:tcW w:w="0" w:type="auto"/>
            <w:vAlign w:val="center"/>
          </w:tcPr>
          <w:p w14:paraId="7FD232AD" w14:textId="77777777" w:rsidR="00B44FAC" w:rsidRPr="00C04BF0" w:rsidRDefault="00B44FAC" w:rsidP="00B44FAC">
            <w:pPr>
              <w:pStyle w:val="Paragraph"/>
              <w:ind w:firstLine="0"/>
              <w:jc w:val="center"/>
            </w:pPr>
            <w:r w:rsidRPr="00C04BF0">
              <w:t>0.053-0.4211</w:t>
            </w:r>
          </w:p>
          <w:p w14:paraId="64644835" w14:textId="3DEF0644" w:rsidR="002A23B6" w:rsidRPr="00C04BF0" w:rsidRDefault="00B44FAC" w:rsidP="00B44FAC">
            <w:pPr>
              <w:pStyle w:val="Paragraph"/>
              <w:ind w:firstLine="0"/>
              <w:jc w:val="center"/>
            </w:pPr>
            <w:r w:rsidRPr="00C04BF0">
              <w:t>0.154±0.06b</w:t>
            </w:r>
          </w:p>
        </w:tc>
      </w:tr>
      <w:tr w:rsidR="002A23B6" w:rsidRPr="00C04BF0" w14:paraId="0E8D66E2" w14:textId="77777777" w:rsidTr="00B44FAC">
        <w:trPr>
          <w:jc w:val="center"/>
        </w:trPr>
        <w:tc>
          <w:tcPr>
            <w:tcW w:w="0" w:type="auto"/>
            <w:vAlign w:val="center"/>
          </w:tcPr>
          <w:p w14:paraId="66531B3E" w14:textId="77777777" w:rsidR="002A23B6" w:rsidRPr="00C04BF0" w:rsidRDefault="002A23B6" w:rsidP="00C929C4">
            <w:pPr>
              <w:pStyle w:val="Paragraph"/>
              <w:ind w:firstLine="0"/>
              <w:jc w:val="center"/>
            </w:pPr>
            <w:r w:rsidRPr="00C04BF0">
              <w:t>Downstream Tigris</w:t>
            </w:r>
          </w:p>
        </w:tc>
        <w:tc>
          <w:tcPr>
            <w:tcW w:w="0" w:type="auto"/>
            <w:vAlign w:val="center"/>
          </w:tcPr>
          <w:p w14:paraId="65352CFA" w14:textId="77777777" w:rsidR="00B44FAC" w:rsidRPr="00C04BF0" w:rsidRDefault="00B44FAC" w:rsidP="00B44FAC">
            <w:pPr>
              <w:pStyle w:val="Paragraph"/>
              <w:ind w:firstLine="0"/>
              <w:jc w:val="center"/>
            </w:pPr>
            <w:r w:rsidRPr="00C04BF0">
              <w:t>0.017–7.00</w:t>
            </w:r>
          </w:p>
          <w:p w14:paraId="15F462B2" w14:textId="440B6DDA" w:rsidR="002A23B6" w:rsidRPr="00C04BF0" w:rsidRDefault="00B44FAC" w:rsidP="00B44FAC">
            <w:pPr>
              <w:pStyle w:val="Paragraph"/>
              <w:ind w:firstLine="0"/>
              <w:jc w:val="center"/>
            </w:pPr>
            <w:r w:rsidRPr="00C04BF0">
              <w:t>3.60±0.41b</w:t>
            </w:r>
          </w:p>
        </w:tc>
        <w:tc>
          <w:tcPr>
            <w:tcW w:w="0" w:type="auto"/>
            <w:vAlign w:val="center"/>
          </w:tcPr>
          <w:p w14:paraId="0A50B7AA" w14:textId="77777777" w:rsidR="00B44FAC" w:rsidRPr="00C04BF0" w:rsidRDefault="00B44FAC" w:rsidP="00B44FAC">
            <w:pPr>
              <w:pStyle w:val="Paragraph"/>
              <w:ind w:firstLine="0"/>
              <w:jc w:val="center"/>
            </w:pPr>
            <w:r w:rsidRPr="00C04BF0">
              <w:t>0.0322– 0.1531</w:t>
            </w:r>
          </w:p>
          <w:p w14:paraId="1B6D1FA0" w14:textId="55A2A0E4" w:rsidR="002A23B6" w:rsidRPr="00C04BF0" w:rsidRDefault="00B44FAC" w:rsidP="00B44FAC">
            <w:pPr>
              <w:pStyle w:val="Paragraph"/>
              <w:ind w:firstLine="0"/>
              <w:jc w:val="center"/>
            </w:pPr>
            <w:r w:rsidRPr="00C04BF0">
              <w:t>0.089±0.07b</w:t>
            </w:r>
          </w:p>
        </w:tc>
      </w:tr>
      <w:tr w:rsidR="002A23B6" w:rsidRPr="00C04BF0" w14:paraId="7A7BD582" w14:textId="77777777" w:rsidTr="00B44FAC">
        <w:trPr>
          <w:jc w:val="center"/>
        </w:trPr>
        <w:tc>
          <w:tcPr>
            <w:tcW w:w="0" w:type="auto"/>
            <w:vAlign w:val="center"/>
          </w:tcPr>
          <w:p w14:paraId="61B09BFB" w14:textId="77777777" w:rsidR="002A23B6" w:rsidRPr="00C04BF0" w:rsidRDefault="002A23B6" w:rsidP="00C929C4">
            <w:pPr>
              <w:pStyle w:val="Paragraph"/>
              <w:ind w:firstLine="0"/>
              <w:jc w:val="center"/>
            </w:pPr>
            <w:r w:rsidRPr="00C04BF0">
              <w:t>LSD-value</w:t>
            </w:r>
          </w:p>
        </w:tc>
        <w:tc>
          <w:tcPr>
            <w:tcW w:w="0" w:type="auto"/>
            <w:vAlign w:val="center"/>
          </w:tcPr>
          <w:p w14:paraId="4F5CC8A5" w14:textId="269E3D3C" w:rsidR="002A23B6" w:rsidRPr="00C04BF0" w:rsidRDefault="00B44FAC" w:rsidP="00B44FAC">
            <w:pPr>
              <w:pStyle w:val="Paragraph"/>
              <w:ind w:firstLine="0"/>
              <w:jc w:val="center"/>
            </w:pPr>
            <w:r w:rsidRPr="00C04BF0">
              <w:t>3.955*</w:t>
            </w:r>
          </w:p>
        </w:tc>
        <w:tc>
          <w:tcPr>
            <w:tcW w:w="0" w:type="auto"/>
            <w:vAlign w:val="center"/>
          </w:tcPr>
          <w:p w14:paraId="358A4153" w14:textId="7DE0D4A3" w:rsidR="002A23B6" w:rsidRPr="00C04BF0" w:rsidRDefault="00B44FAC" w:rsidP="00B44FAC">
            <w:pPr>
              <w:pStyle w:val="Paragraph"/>
              <w:ind w:firstLine="0"/>
              <w:jc w:val="center"/>
            </w:pPr>
            <w:r w:rsidRPr="00C04BF0">
              <w:t>0.146*</w:t>
            </w:r>
          </w:p>
        </w:tc>
      </w:tr>
    </w:tbl>
    <w:p w14:paraId="6A471E82" w14:textId="77777777" w:rsidR="00B44FAC" w:rsidRPr="00C04BF0" w:rsidRDefault="00B44FAC" w:rsidP="00B44FAC">
      <w:pPr>
        <w:pStyle w:val="Paragraph"/>
        <w:tabs>
          <w:tab w:val="left" w:pos="4050"/>
        </w:tabs>
        <w:ind w:firstLine="0"/>
      </w:pPr>
      <w:r w:rsidRPr="00C04BF0">
        <w:t>The means with different capital letters within the same row and different small letters within the same row differ significantly from each other.</w:t>
      </w:r>
    </w:p>
    <w:p w14:paraId="016FBF73" w14:textId="77777777" w:rsidR="00067F90" w:rsidRDefault="00B44FAC" w:rsidP="00B44FAC">
      <w:pPr>
        <w:pStyle w:val="Paragraph"/>
        <w:ind w:firstLine="0"/>
      </w:pPr>
      <w:r w:rsidRPr="00C04BF0">
        <w:t>*P ≤0.05: significance different</w:t>
      </w:r>
    </w:p>
    <w:p w14:paraId="237A0709" w14:textId="55073873" w:rsidR="00067F90" w:rsidRDefault="00067F90" w:rsidP="00FA5237">
      <w:pPr>
        <w:pStyle w:val="Paragraph"/>
        <w:ind w:firstLine="0"/>
        <w:jc w:val="center"/>
      </w:pPr>
      <w:r w:rsidRPr="00C04BF0">
        <w:rPr>
          <w:rFonts w:cs="Arial"/>
          <w:b/>
          <w:bCs/>
          <w:noProof/>
          <w:sz w:val="24"/>
          <w:szCs w:val="24"/>
        </w:rPr>
        <w:lastRenderedPageBreak/>
        <w:drawing>
          <wp:inline distT="0" distB="0" distL="0" distR="0" wp14:anchorId="62DB4B15" wp14:editId="387A1A1E">
            <wp:extent cx="2704872" cy="1981200"/>
            <wp:effectExtent l="0" t="0" r="635" b="0"/>
            <wp:docPr id="28" name="صورة 28"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A pie chart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2082" cy="1986481"/>
                    </a:xfrm>
                    <a:prstGeom prst="rect">
                      <a:avLst/>
                    </a:prstGeom>
                    <a:noFill/>
                  </pic:spPr>
                </pic:pic>
              </a:graphicData>
            </a:graphic>
          </wp:inline>
        </w:drawing>
      </w:r>
      <w:r w:rsidRPr="00C04BF0">
        <w:rPr>
          <w:rFonts w:cs="Arial"/>
          <w:b/>
          <w:bCs/>
          <w:noProof/>
          <w:sz w:val="24"/>
          <w:szCs w:val="24"/>
        </w:rPr>
        <w:drawing>
          <wp:inline distT="0" distB="0" distL="0" distR="0" wp14:anchorId="1240C817" wp14:editId="0FF84FBC">
            <wp:extent cx="2684218" cy="1981200"/>
            <wp:effectExtent l="0" t="0" r="1905" b="0"/>
            <wp:docPr id="29" name="صورة 29"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A pie chart with text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1644" cy="1986681"/>
                    </a:xfrm>
                    <a:prstGeom prst="rect">
                      <a:avLst/>
                    </a:prstGeom>
                    <a:noFill/>
                  </pic:spPr>
                </pic:pic>
              </a:graphicData>
            </a:graphic>
          </wp:inline>
        </w:drawing>
      </w:r>
    </w:p>
    <w:p w14:paraId="1873F759" w14:textId="13999BDD" w:rsidR="00067F90" w:rsidRDefault="00067F90" w:rsidP="00067F90">
      <w:pPr>
        <w:pStyle w:val="Paragraph"/>
        <w:ind w:firstLine="0"/>
        <w:jc w:val="center"/>
      </w:pPr>
      <w:r>
        <w:t>a</w:t>
      </w:r>
      <w:r>
        <w:tab/>
      </w:r>
      <w:r>
        <w:tab/>
      </w:r>
      <w:r>
        <w:tab/>
      </w:r>
      <w:r>
        <w:tab/>
      </w:r>
      <w:r>
        <w:tab/>
      </w:r>
      <w:r>
        <w:tab/>
        <w:t>b</w:t>
      </w:r>
    </w:p>
    <w:p w14:paraId="5AA5FD2A" w14:textId="025A15E9" w:rsidR="00FE5C64" w:rsidRDefault="00067F90" w:rsidP="00FA5237">
      <w:pPr>
        <w:pStyle w:val="Paragraph"/>
        <w:ind w:firstLine="0"/>
        <w:jc w:val="center"/>
      </w:pPr>
      <w:r w:rsidRPr="00C04BF0">
        <w:rPr>
          <w:rFonts w:cs="Arial"/>
          <w:b/>
          <w:bCs/>
          <w:noProof/>
          <w:sz w:val="24"/>
          <w:szCs w:val="24"/>
        </w:rPr>
        <w:drawing>
          <wp:inline distT="0" distB="0" distL="0" distR="0" wp14:anchorId="256EEF74" wp14:editId="1EB6E231">
            <wp:extent cx="2690721" cy="2008578"/>
            <wp:effectExtent l="0" t="0" r="0" b="0"/>
            <wp:docPr id="30" name="صورة 30"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A pie chart with text on i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7878" cy="2021385"/>
                    </a:xfrm>
                    <a:prstGeom prst="rect">
                      <a:avLst/>
                    </a:prstGeom>
                    <a:noFill/>
                  </pic:spPr>
                </pic:pic>
              </a:graphicData>
            </a:graphic>
          </wp:inline>
        </w:drawing>
      </w:r>
      <w:r w:rsidRPr="00C04BF0">
        <w:rPr>
          <w:rFonts w:cs="Arial"/>
          <w:b/>
          <w:bCs/>
          <w:noProof/>
          <w:sz w:val="24"/>
          <w:szCs w:val="24"/>
        </w:rPr>
        <w:drawing>
          <wp:inline distT="0" distB="0" distL="0" distR="0" wp14:anchorId="3521F7FE" wp14:editId="21EFC467">
            <wp:extent cx="2701913" cy="2009775"/>
            <wp:effectExtent l="0" t="0" r="3810" b="0"/>
            <wp:docPr id="31" name="صورة 31"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A pie chart with text on i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0547" cy="2016198"/>
                    </a:xfrm>
                    <a:prstGeom prst="rect">
                      <a:avLst/>
                    </a:prstGeom>
                    <a:noFill/>
                  </pic:spPr>
                </pic:pic>
              </a:graphicData>
            </a:graphic>
          </wp:inline>
        </w:drawing>
      </w:r>
    </w:p>
    <w:p w14:paraId="37D60AE7" w14:textId="62F9CBFF" w:rsidR="00067F90" w:rsidRPr="00C04BF0" w:rsidRDefault="00067F90" w:rsidP="00067F90">
      <w:pPr>
        <w:pStyle w:val="Paragraph"/>
        <w:ind w:firstLine="0"/>
        <w:jc w:val="center"/>
      </w:pPr>
      <w:r>
        <w:t>c</w:t>
      </w:r>
      <w:r>
        <w:tab/>
      </w:r>
      <w:r>
        <w:tab/>
      </w:r>
      <w:r>
        <w:tab/>
      </w:r>
      <w:r>
        <w:tab/>
        <w:t>d</w:t>
      </w:r>
    </w:p>
    <w:p w14:paraId="03C88454" w14:textId="5269D648" w:rsidR="00530A3E" w:rsidRPr="00006B6A" w:rsidRDefault="00053A7A" w:rsidP="005C2D4C">
      <w:pPr>
        <w:pStyle w:val="Paragraph"/>
        <w:ind w:firstLine="0"/>
        <w:jc w:val="center"/>
        <w:rPr>
          <w:sz w:val="18"/>
          <w:szCs w:val="18"/>
        </w:rPr>
      </w:pPr>
      <w:r w:rsidRPr="00006B6A">
        <w:rPr>
          <w:b/>
          <w:caps/>
          <w:sz w:val="18"/>
          <w:szCs w:val="18"/>
        </w:rPr>
        <w:t>Figure 2</w:t>
      </w:r>
      <w:r w:rsidR="00FA5237" w:rsidRPr="00FA5237">
        <w:rPr>
          <w:b/>
          <w:sz w:val="18"/>
          <w:szCs w:val="18"/>
        </w:rPr>
        <w:t>a,b,c,d</w:t>
      </w:r>
      <w:r w:rsidR="00530A3E" w:rsidRPr="00006B6A">
        <w:rPr>
          <w:b/>
          <w:caps/>
          <w:sz w:val="18"/>
          <w:szCs w:val="18"/>
        </w:rPr>
        <w:t>.</w:t>
      </w:r>
      <w:r w:rsidR="00530A3E" w:rsidRPr="00006B6A">
        <w:rPr>
          <w:sz w:val="18"/>
          <w:szCs w:val="18"/>
        </w:rPr>
        <w:t xml:space="preserve"> </w:t>
      </w:r>
      <w:proofErr w:type="spellStart"/>
      <w:r w:rsidR="005C2D4C" w:rsidRPr="00006B6A">
        <w:rPr>
          <w:sz w:val="18"/>
          <w:szCs w:val="18"/>
        </w:rPr>
        <w:t>Rotifera</w:t>
      </w:r>
      <w:proofErr w:type="spellEnd"/>
      <w:r w:rsidRPr="00006B6A">
        <w:rPr>
          <w:sz w:val="18"/>
          <w:szCs w:val="18"/>
        </w:rPr>
        <w:t xml:space="preserve"> abundance and diversity indices at different stations</w:t>
      </w:r>
      <w:r w:rsidR="00AC08AF" w:rsidRPr="00006B6A">
        <w:rPr>
          <w:sz w:val="18"/>
          <w:szCs w:val="18"/>
        </w:rPr>
        <w:t>.</w:t>
      </w:r>
    </w:p>
    <w:p w14:paraId="382788AA" w14:textId="2BD58110" w:rsidR="004C5E65" w:rsidRPr="00C04BF0" w:rsidRDefault="004C5E65" w:rsidP="004C5E65">
      <w:pPr>
        <w:pStyle w:val="Heading1"/>
        <w:rPr>
          <w:bCs/>
        </w:rPr>
      </w:pPr>
      <w:r w:rsidRPr="00C04BF0">
        <w:rPr>
          <w:bCs/>
        </w:rPr>
        <w:t>Dis</w:t>
      </w:r>
      <w:r w:rsidR="00FA5237">
        <w:rPr>
          <w:bCs/>
        </w:rPr>
        <w:t>cussion</w:t>
      </w:r>
    </w:p>
    <w:p w14:paraId="4B5ED9DD" w14:textId="57273D4D" w:rsidR="009E44BF" w:rsidRPr="00C04BF0" w:rsidRDefault="009E44BF" w:rsidP="006F6572">
      <w:pPr>
        <w:pStyle w:val="Paragraph"/>
        <w:spacing w:before="120" w:after="120"/>
      </w:pPr>
      <w:r w:rsidRPr="00C04BF0">
        <w:t>The results of this study clearly demonstrate that the Diyala tributary has a substantial impact on the environmental characteristics of the Tigris River, particularly at and downstream of the confluence. The observed increases in TDS, turbidity, and suspended solids are consistent with findings from</w:t>
      </w:r>
      <w:r w:rsidR="004A1E35" w:rsidRPr="00C04BF0">
        <w:t xml:space="preserve"> (3)</w:t>
      </w:r>
      <w:r w:rsidR="00D45737" w:rsidRPr="00C04BF0">
        <w:t xml:space="preserve"> and </w:t>
      </w:r>
      <w:r w:rsidR="003734AB" w:rsidRPr="00C04BF0">
        <w:t>(4)</w:t>
      </w:r>
      <w:r w:rsidRPr="00C04BF0">
        <w:t>, who highlighted the role of the Diyala River as a major carrier of agricultural and municipal pollutants into the Tigris. These pollutants reduce water transparency and alter sedimentation dynamics, thereby degrading aquatic habitats</w:t>
      </w:r>
      <w:r w:rsidR="00F8522A" w:rsidRPr="00C04BF0">
        <w:t xml:space="preserve"> </w:t>
      </w:r>
      <w:r w:rsidR="00D45737" w:rsidRPr="00C04BF0">
        <w:t>(25)</w:t>
      </w:r>
      <w:r w:rsidRPr="00C04BF0">
        <w:t>.</w:t>
      </w:r>
    </w:p>
    <w:p w14:paraId="6811387E" w14:textId="1767A4A4" w:rsidR="009E44BF" w:rsidRPr="00C04BF0" w:rsidRDefault="009E44BF" w:rsidP="006F6572">
      <w:pPr>
        <w:pStyle w:val="Paragraph"/>
        <w:spacing w:before="120" w:after="120"/>
      </w:pPr>
      <w:r w:rsidRPr="00C04BF0">
        <w:t>The decrease in dissolved oxygen (DO), coupled with elevated BOD</w:t>
      </w:r>
      <w:r w:rsidRPr="00C04BF0">
        <w:rPr>
          <w:rFonts w:ascii="Cambria Math" w:hAnsi="Cambria Math" w:cs="Cambria Math"/>
        </w:rPr>
        <w:t>₅</w:t>
      </w:r>
      <w:r w:rsidRPr="00C04BF0">
        <w:t xml:space="preserve"> </w:t>
      </w:r>
      <w:r w:rsidR="00EE3C0E" w:rsidRPr="00C04BF0">
        <w:t>value</w:t>
      </w:r>
      <w:r w:rsidRPr="00C04BF0">
        <w:t>, indicates a high organic load, likely originating from untreated sewage and industrial effluents, in line with similar reports from other Iraqi rivers</w:t>
      </w:r>
      <w:r w:rsidR="003734AB" w:rsidRPr="00C04BF0">
        <w:t xml:space="preserve"> (5, 6</w:t>
      </w:r>
      <w:r w:rsidR="009909E1" w:rsidRPr="00C04BF0">
        <w:t>, 26</w:t>
      </w:r>
      <w:r w:rsidR="003734AB" w:rsidRPr="00C04BF0">
        <w:t xml:space="preserve">). </w:t>
      </w:r>
      <w:r w:rsidRPr="00C04BF0">
        <w:t xml:space="preserve"> Such conditions can create localized hypoxic zones, impairing aquatic life and limiting the self-purification capacity of the river.</w:t>
      </w:r>
    </w:p>
    <w:p w14:paraId="63F8E9C7" w14:textId="7E23F01B" w:rsidR="009E44BF" w:rsidRPr="00C04BF0" w:rsidRDefault="009E44BF" w:rsidP="006F6572">
      <w:pPr>
        <w:pStyle w:val="Paragraph"/>
        <w:spacing w:before="120" w:after="120"/>
      </w:pPr>
      <w:r w:rsidRPr="00C04BF0">
        <w:t xml:space="preserve">Nutrient enrichment, as evidenced by elevated nitrate and phosphate concentrations, suggests strong inputs from agricultural runoff and domestic wastewater. These results agree with </w:t>
      </w:r>
      <w:r w:rsidR="00650043" w:rsidRPr="00C04BF0">
        <w:t>(7)</w:t>
      </w:r>
      <w:r w:rsidRPr="00C04BF0">
        <w:t>, who emphasized the risk of eutrophication under high nutrient conditions. The Diyala’s contribution to nutrient loading is particularly critical in summer when reduced flow enhances pollutant concentration and biological uptake.</w:t>
      </w:r>
    </w:p>
    <w:p w14:paraId="78BEEFD6" w14:textId="43BF356B" w:rsidR="00F61CA4" w:rsidRPr="00C04BF0" w:rsidRDefault="00F61CA4" w:rsidP="006F6572">
      <w:pPr>
        <w:pStyle w:val="Paragraph"/>
        <w:spacing w:before="120" w:after="120"/>
      </w:pPr>
      <w:r w:rsidRPr="00C04BF0">
        <w:t xml:space="preserve">The dominance of </w:t>
      </w:r>
      <w:proofErr w:type="spellStart"/>
      <w:r w:rsidRPr="00C04BF0">
        <w:rPr>
          <w:i/>
          <w:iCs/>
        </w:rPr>
        <w:t>Rotaria</w:t>
      </w:r>
      <w:proofErr w:type="spellEnd"/>
      <w:r w:rsidRPr="00C04BF0">
        <w:t xml:space="preserve"> sp. at station S1 (61%) indicates a relatively stable environment with medium to low organic load. Th</w:t>
      </w:r>
      <w:r w:rsidR="001E746F" w:rsidRPr="00C04BF0">
        <w:t>is finding is cons</w:t>
      </w:r>
      <w:r w:rsidR="00650043" w:rsidRPr="00C04BF0">
        <w:t>istent with (</w:t>
      </w:r>
      <w:r w:rsidR="009909E1" w:rsidRPr="00C04BF0">
        <w:t>27</w:t>
      </w:r>
      <w:r w:rsidR="001E746F" w:rsidRPr="00C04BF0">
        <w:t>)</w:t>
      </w:r>
      <w:r w:rsidRPr="00C04BF0">
        <w:t xml:space="preserve">, who reported the dominance of </w:t>
      </w:r>
      <w:proofErr w:type="spellStart"/>
      <w:r w:rsidRPr="00C04BF0">
        <w:t>Rotaria</w:t>
      </w:r>
      <w:proofErr w:type="spellEnd"/>
      <w:r w:rsidRPr="00C04BF0">
        <w:t xml:space="preserve"> species in the Tigris River under conditions of relatively stable temperature and moderate nutrient availability.</w:t>
      </w:r>
    </w:p>
    <w:p w14:paraId="3EB83D94" w14:textId="23545BB9" w:rsidR="00F61CA4" w:rsidRPr="00C04BF0" w:rsidRDefault="00F61CA4" w:rsidP="006F6572">
      <w:pPr>
        <w:pStyle w:val="Paragraph"/>
        <w:spacing w:before="120" w:after="120"/>
      </w:pPr>
      <w:r w:rsidRPr="00C04BF0">
        <w:t xml:space="preserve">At station S2, the greater diversity and higher richness of rotifer species (e.g., </w:t>
      </w:r>
      <w:r w:rsidRPr="00C04BF0">
        <w:rPr>
          <w:i/>
          <w:iCs/>
        </w:rPr>
        <w:t xml:space="preserve">R. </w:t>
      </w:r>
      <w:proofErr w:type="spellStart"/>
      <w:r w:rsidRPr="00C04BF0">
        <w:rPr>
          <w:i/>
          <w:iCs/>
        </w:rPr>
        <w:t>neplunia</w:t>
      </w:r>
      <w:proofErr w:type="spellEnd"/>
      <w:r w:rsidRPr="00C04BF0">
        <w:t xml:space="preserve"> 16%, </w:t>
      </w:r>
      <w:r w:rsidRPr="00C04BF0">
        <w:rPr>
          <w:i/>
          <w:iCs/>
        </w:rPr>
        <w:t xml:space="preserve">A. </w:t>
      </w:r>
      <w:proofErr w:type="spellStart"/>
      <w:r w:rsidRPr="00C04BF0">
        <w:rPr>
          <w:i/>
          <w:iCs/>
        </w:rPr>
        <w:t>priodonta</w:t>
      </w:r>
      <w:proofErr w:type="spellEnd"/>
      <w:r w:rsidRPr="00C04BF0">
        <w:t xml:space="preserve"> 14%, </w:t>
      </w:r>
      <w:r w:rsidRPr="00C04BF0">
        <w:rPr>
          <w:i/>
          <w:iCs/>
        </w:rPr>
        <w:t>K. quadrata</w:t>
      </w:r>
      <w:r w:rsidRPr="00C04BF0">
        <w:t xml:space="preserve"> 13%) suggest a more disturbed environment or seasonal fluctuations in temperature and nutrient availability. These observations align with the results o</w:t>
      </w:r>
      <w:r w:rsidR="00CE040C" w:rsidRPr="00C04BF0">
        <w:t>f</w:t>
      </w:r>
      <w:r w:rsidR="00E4455A" w:rsidRPr="00C04BF0">
        <w:t xml:space="preserve"> (</w:t>
      </w:r>
      <w:r w:rsidR="009909E1" w:rsidRPr="00C04BF0">
        <w:t>28</w:t>
      </w:r>
      <w:r w:rsidR="00650043" w:rsidRPr="00C04BF0">
        <w:t>)</w:t>
      </w:r>
      <w:r w:rsidR="009970CF" w:rsidRPr="00C04BF0">
        <w:t xml:space="preserve"> and</w:t>
      </w:r>
      <w:r w:rsidR="00C3589E" w:rsidRPr="00C04BF0">
        <w:t xml:space="preserve"> </w:t>
      </w:r>
      <w:r w:rsidR="009970CF" w:rsidRPr="00C04BF0">
        <w:t>(</w:t>
      </w:r>
      <w:r w:rsidR="009909E1" w:rsidRPr="00C04BF0">
        <w:t>29</w:t>
      </w:r>
      <w:r w:rsidR="009970CF" w:rsidRPr="00C04BF0">
        <w:t>)</w:t>
      </w:r>
      <w:r w:rsidR="00CE040C" w:rsidRPr="00C04BF0">
        <w:t xml:space="preserve"> </w:t>
      </w:r>
      <w:r w:rsidRPr="00C04BF0">
        <w:t>on the Diyala</w:t>
      </w:r>
      <w:r w:rsidR="009970CF" w:rsidRPr="00C04BF0">
        <w:t xml:space="preserve"> and Tigris</w:t>
      </w:r>
      <w:r w:rsidRPr="00C04BF0">
        <w:t xml:space="preserve"> River</w:t>
      </w:r>
      <w:r w:rsidR="009970CF" w:rsidRPr="00C04BF0">
        <w:t>s</w:t>
      </w:r>
      <w:r w:rsidRPr="00C04BF0">
        <w:t>.</w:t>
      </w:r>
    </w:p>
    <w:p w14:paraId="6EF1EEFD" w14:textId="764F97B4" w:rsidR="00F61CA4" w:rsidRPr="00C04BF0" w:rsidRDefault="00F61CA4" w:rsidP="006F6572">
      <w:pPr>
        <w:pStyle w:val="Paragraph"/>
        <w:spacing w:before="120" w:after="120"/>
      </w:pPr>
      <w:r w:rsidRPr="00C04BF0">
        <w:lastRenderedPageBreak/>
        <w:t>In</w:t>
      </w:r>
      <w:r w:rsidR="00CE040C" w:rsidRPr="00C04BF0">
        <w:t xml:space="preserve"> station S3, the dominance of </w:t>
      </w:r>
      <w:proofErr w:type="spellStart"/>
      <w:r w:rsidR="00CE040C" w:rsidRPr="00C04BF0">
        <w:rPr>
          <w:i/>
          <w:iCs/>
        </w:rPr>
        <w:t>Monostyla</w:t>
      </w:r>
      <w:proofErr w:type="spellEnd"/>
      <w:r w:rsidR="00CE040C" w:rsidRPr="00C04BF0">
        <w:rPr>
          <w:i/>
          <w:iCs/>
        </w:rPr>
        <w:t xml:space="preserve"> bulla</w:t>
      </w:r>
      <w:r w:rsidR="00CE040C" w:rsidRPr="00C04BF0">
        <w:t xml:space="preserve"> (17%)</w:t>
      </w:r>
      <w:r w:rsidRPr="00C04BF0">
        <w:t xml:space="preserve"> likely reflects nutrient-enriched conditions, particularly in areas influenced by agricultural runoff. This interpretation is supported by </w:t>
      </w:r>
      <w:r w:rsidR="001E3D24" w:rsidRPr="00C04BF0">
        <w:t>other</w:t>
      </w:r>
      <w:r w:rsidRPr="00C04BF0">
        <w:t xml:space="preserve"> </w:t>
      </w:r>
      <w:r w:rsidR="001E3D24" w:rsidRPr="00C04BF0">
        <w:t>study</w:t>
      </w:r>
      <w:r w:rsidR="00CE040C" w:rsidRPr="00C04BF0">
        <w:t xml:space="preserve">, such as </w:t>
      </w:r>
      <w:r w:rsidR="009909E1" w:rsidRPr="00C04BF0">
        <w:t>(30</w:t>
      </w:r>
      <w:r w:rsidR="001E3D24" w:rsidRPr="00C04BF0">
        <w:t xml:space="preserve">) </w:t>
      </w:r>
      <w:r w:rsidRPr="00C04BF0">
        <w:t>on the Yang</w:t>
      </w:r>
      <w:r w:rsidR="00CE040C" w:rsidRPr="00C04BF0">
        <w:t xml:space="preserve">tze River basin, which linked </w:t>
      </w:r>
      <w:r w:rsidRPr="00C04BF0">
        <w:rPr>
          <w:i/>
          <w:iCs/>
        </w:rPr>
        <w:t>M. bulla</w:t>
      </w:r>
      <w:r w:rsidR="00CE040C" w:rsidRPr="00C04BF0">
        <w:t xml:space="preserve"> </w:t>
      </w:r>
      <w:r w:rsidRPr="00C04BF0">
        <w:t>with elevated concentrations of phosphate and nitrate in water.</w:t>
      </w:r>
    </w:p>
    <w:p w14:paraId="54B138D2" w14:textId="667BC9E0" w:rsidR="00F61CA4" w:rsidRPr="00C04BF0" w:rsidRDefault="00F61CA4" w:rsidP="006F6572">
      <w:pPr>
        <w:pStyle w:val="Paragraph"/>
        <w:spacing w:before="120" w:after="120"/>
      </w:pPr>
      <w:r w:rsidRPr="00C04BF0">
        <w:t>Station S4 showed relatively close percentages o</w:t>
      </w:r>
      <w:r w:rsidR="00CE040C" w:rsidRPr="00C04BF0">
        <w:t xml:space="preserve">f dominant species, including </w:t>
      </w:r>
      <w:r w:rsidRPr="00C04BF0">
        <w:rPr>
          <w:i/>
          <w:iCs/>
        </w:rPr>
        <w:t xml:space="preserve">R. </w:t>
      </w:r>
      <w:proofErr w:type="spellStart"/>
      <w:r w:rsidRPr="00C04BF0">
        <w:rPr>
          <w:i/>
          <w:iCs/>
        </w:rPr>
        <w:t>neplunia</w:t>
      </w:r>
      <w:proofErr w:type="spellEnd"/>
      <w:r w:rsidR="00CE040C" w:rsidRPr="00C04BF0">
        <w:t xml:space="preserve"> (21%), </w:t>
      </w:r>
      <w:r w:rsidR="00CE040C" w:rsidRPr="00C04BF0">
        <w:rPr>
          <w:i/>
          <w:iCs/>
        </w:rPr>
        <w:t>M. bulla</w:t>
      </w:r>
      <w:r w:rsidR="00CE040C" w:rsidRPr="00C04BF0">
        <w:t xml:space="preserve"> (15%), and </w:t>
      </w:r>
      <w:r w:rsidR="00CE040C" w:rsidRPr="00C04BF0">
        <w:rPr>
          <w:i/>
          <w:iCs/>
        </w:rPr>
        <w:t>K. quadrata</w:t>
      </w:r>
      <w:r w:rsidR="00CE040C" w:rsidRPr="00C04BF0">
        <w:t xml:space="preserve"> (12%)</w:t>
      </w:r>
      <w:r w:rsidRPr="00C04BF0">
        <w:t>. This pattern may be attributed to the combined environmental influences of the two rivers’ confluence and anthropogenic organic loading. A similar interpretation was rep</w:t>
      </w:r>
      <w:r w:rsidR="00CE040C" w:rsidRPr="00C04BF0">
        <w:t>orted by</w:t>
      </w:r>
      <w:r w:rsidR="009909E1" w:rsidRPr="00C04BF0">
        <w:t xml:space="preserve"> (21</w:t>
      </w:r>
      <w:r w:rsidR="001E746F" w:rsidRPr="00C04BF0">
        <w:t>)</w:t>
      </w:r>
      <w:r w:rsidR="00CE040C" w:rsidRPr="00C04BF0">
        <w:t xml:space="preserve"> </w:t>
      </w:r>
      <w:r w:rsidRPr="00C04BF0">
        <w:t>in their study of river confluences within Iraqi river systems.</w:t>
      </w:r>
    </w:p>
    <w:p w14:paraId="3BFC220E" w14:textId="351589DB" w:rsidR="00F61CA4" w:rsidRPr="00C04BF0" w:rsidRDefault="00F61CA4" w:rsidP="006F6572">
      <w:pPr>
        <w:pStyle w:val="Paragraph"/>
        <w:spacing w:before="120" w:after="120"/>
      </w:pPr>
      <w:r w:rsidRPr="00C04BF0">
        <w:t>When compared with r</w:t>
      </w:r>
      <w:r w:rsidR="002D0571" w:rsidRPr="00C04BF0">
        <w:t>ecent studies, such as</w:t>
      </w:r>
      <w:r w:rsidR="009909E1" w:rsidRPr="00C04BF0">
        <w:t xml:space="preserve"> (31</w:t>
      </w:r>
      <w:r w:rsidR="005E0CA8" w:rsidRPr="00C04BF0">
        <w:t xml:space="preserve">) in </w:t>
      </w:r>
      <w:proofErr w:type="spellStart"/>
      <w:r w:rsidR="005E0CA8" w:rsidRPr="00C04BF0">
        <w:t>Kangsabati</w:t>
      </w:r>
      <w:proofErr w:type="spellEnd"/>
      <w:r w:rsidR="005E0CA8" w:rsidRPr="00C04BF0">
        <w:t xml:space="preserve"> River, West Bengal, India,</w:t>
      </w:r>
      <w:r w:rsidRPr="00C04BF0">
        <w:t xml:space="preserve"> </w:t>
      </w:r>
      <w:r w:rsidR="007D2E92" w:rsidRPr="00C04BF0">
        <w:t xml:space="preserve">and </w:t>
      </w:r>
      <w:r w:rsidR="009909E1" w:rsidRPr="00C04BF0">
        <w:t>(32</w:t>
      </w:r>
      <w:r w:rsidR="007D2E92" w:rsidRPr="00C04BF0">
        <w:t xml:space="preserve">) in Tigris river in Iraq, </w:t>
      </w:r>
      <w:r w:rsidRPr="00C04BF0">
        <w:t>it becomes evident that rotifer species serve as sensitive bioindicators of water quality changes, particularly in relation to temperature, dissolved oxygen, and nutrient availability. This agrees with the findings of the present study, where variations in species diversity and distribution provided reliable indicators of the distinct environmental conditions across the four sampling stations</w:t>
      </w:r>
      <w:r w:rsidR="005261CF" w:rsidRPr="00C04BF0">
        <w:t xml:space="preserve"> (</w:t>
      </w:r>
      <w:r w:rsidR="00D90504" w:rsidRPr="00C04BF0">
        <w:t>33</w:t>
      </w:r>
      <w:r w:rsidR="005261CF" w:rsidRPr="00C04BF0">
        <w:t>)</w:t>
      </w:r>
      <w:r w:rsidRPr="00C04BF0">
        <w:t>.</w:t>
      </w:r>
    </w:p>
    <w:p w14:paraId="301C6E5B" w14:textId="5450061A" w:rsidR="00DE7313" w:rsidRPr="00C04BF0" w:rsidRDefault="00DE7313" w:rsidP="006F6572">
      <w:pPr>
        <w:pStyle w:val="Paragraph"/>
        <w:spacing w:before="120" w:after="120"/>
      </w:pPr>
      <w:r w:rsidRPr="00C04BF0">
        <w:t xml:space="preserve">The variation in physicochemical parameters was directly reflected in the composition of rotifer communities. Elevated nitrate and phosphate levels were associated with the dominance of nutrient-tolerant species such as </w:t>
      </w:r>
      <w:r w:rsidRPr="00C04BF0">
        <w:rPr>
          <w:i/>
          <w:iCs/>
        </w:rPr>
        <w:t xml:space="preserve">M. bulla </w:t>
      </w:r>
      <w:r w:rsidRPr="00C04BF0">
        <w:t xml:space="preserve">and </w:t>
      </w:r>
      <w:r w:rsidRPr="00C04BF0">
        <w:rPr>
          <w:i/>
          <w:iCs/>
        </w:rPr>
        <w:t xml:space="preserve">R. </w:t>
      </w:r>
      <w:proofErr w:type="spellStart"/>
      <w:r w:rsidRPr="00C04BF0">
        <w:rPr>
          <w:i/>
          <w:iCs/>
        </w:rPr>
        <w:t>neplunia</w:t>
      </w:r>
      <w:proofErr w:type="spellEnd"/>
      <w:r w:rsidRPr="00C04BF0">
        <w:t>, while reduced DO and higher BOD</w:t>
      </w:r>
      <w:r w:rsidRPr="00C04BF0">
        <w:rPr>
          <w:rFonts w:ascii="Cambria Math" w:hAnsi="Cambria Math" w:cs="Cambria Math"/>
        </w:rPr>
        <w:t>₅</w:t>
      </w:r>
      <w:r w:rsidRPr="00C04BF0">
        <w:t xml:space="preserve"> coincided with a shift toward more pollution-tolerant taxa</w:t>
      </w:r>
      <w:r w:rsidR="00D90504" w:rsidRPr="00C04BF0">
        <w:t xml:space="preserve"> (34</w:t>
      </w:r>
      <w:r w:rsidR="005E0CA8" w:rsidRPr="00C04BF0">
        <w:t>)</w:t>
      </w:r>
      <w:r w:rsidRPr="00C04BF0">
        <w:t>. This confirms that integrating biological indicators with water chemistry provides a clearer and more comprehensive assessment of river health</w:t>
      </w:r>
      <w:r w:rsidR="00262CCB" w:rsidRPr="00C04BF0">
        <w:t xml:space="preserve"> </w:t>
      </w:r>
      <w:r w:rsidR="00D90504" w:rsidRPr="00C04BF0">
        <w:t>(35</w:t>
      </w:r>
      <w:r w:rsidR="00084E7C" w:rsidRPr="00C04BF0">
        <w:t>)</w:t>
      </w:r>
      <w:r w:rsidRPr="00C04BF0">
        <w:t>.</w:t>
      </w:r>
    </w:p>
    <w:p w14:paraId="5A47B58A" w14:textId="77777777" w:rsidR="009E44BF" w:rsidRPr="00C04BF0" w:rsidRDefault="009E44BF" w:rsidP="006F6572">
      <w:pPr>
        <w:pStyle w:val="Paragraph"/>
        <w:spacing w:before="120" w:after="120"/>
      </w:pPr>
      <w:r w:rsidRPr="00C04BF0">
        <w:t>Overall, these findings confirm that pollutants from the Diyala tributary compromise the ecological integrity of the Tigris River by degrading water quality and reducing biodiversity. This underscores the urgent need for improved wastewater treatment, stricter regulation of industrial discharges, and the adoption of sustainable agricultural practices to mitigate nutrient and organic inputs.</w:t>
      </w:r>
    </w:p>
    <w:p w14:paraId="238F91B4" w14:textId="59100379" w:rsidR="00D87E2A" w:rsidRPr="00C04BF0" w:rsidRDefault="004C5E65" w:rsidP="004C5E65">
      <w:pPr>
        <w:pStyle w:val="Heading1"/>
        <w:rPr>
          <w:b w:val="0"/>
          <w:caps w:val="0"/>
          <w:sz w:val="20"/>
        </w:rPr>
      </w:pPr>
      <w:r w:rsidRPr="00C04BF0">
        <w:rPr>
          <w:rFonts w:asciiTheme="majorBidi" w:hAnsiTheme="majorBidi" w:cstheme="majorBidi"/>
        </w:rPr>
        <w:t>CONCLUSION</w:t>
      </w:r>
    </w:p>
    <w:p w14:paraId="67BA24F5" w14:textId="71981893" w:rsidR="009E44BF" w:rsidRPr="00C04BF0" w:rsidRDefault="009E44BF" w:rsidP="002D0571">
      <w:pPr>
        <w:pStyle w:val="Paragraph"/>
        <w:rPr>
          <w:rFonts w:asciiTheme="majorBidi" w:hAnsiTheme="majorBidi" w:cstheme="majorBidi"/>
        </w:rPr>
      </w:pPr>
      <w:r w:rsidRPr="00C04BF0">
        <w:rPr>
          <w:rFonts w:asciiTheme="majorBidi" w:hAnsiTheme="majorBidi" w:cstheme="majorBidi"/>
        </w:rPr>
        <w:t xml:space="preserve">The study demonstrates that pollutants from the Diyala tributary have a pronounced negative impact on the environmental characteristics of the Tigris River, leading to increased turbidity, organic and nutrient enrichment, reduced dissolved oxygen, and a decline in </w:t>
      </w:r>
      <w:proofErr w:type="spellStart"/>
      <w:r w:rsidR="002D0571" w:rsidRPr="00C04BF0">
        <w:rPr>
          <w:rFonts w:asciiTheme="majorBidi" w:hAnsiTheme="majorBidi" w:cstheme="majorBidi"/>
        </w:rPr>
        <w:t>rotifera</w:t>
      </w:r>
      <w:proofErr w:type="spellEnd"/>
      <w:r w:rsidRPr="00C04BF0">
        <w:rPr>
          <w:rFonts w:asciiTheme="majorBidi" w:hAnsiTheme="majorBidi" w:cstheme="majorBidi"/>
        </w:rPr>
        <w:t xml:space="preserve"> diversity. These findings highlight the urgent need for improved wastewater management and stricter control of agricultural and industrial discharges to protect the ecological integrity of the river.</w:t>
      </w:r>
    </w:p>
    <w:p w14:paraId="7691B80C" w14:textId="72B9686E" w:rsidR="00613B4D" w:rsidRPr="00C04BF0" w:rsidRDefault="0016385D" w:rsidP="002A19C8">
      <w:pPr>
        <w:pStyle w:val="Heading1"/>
      </w:pPr>
      <w:r w:rsidRPr="00C04BF0">
        <w:rPr>
          <w:rFonts w:asciiTheme="majorBidi" w:hAnsiTheme="majorBidi" w:cstheme="majorBidi"/>
        </w:rPr>
        <w:t>Acknowledgments</w:t>
      </w:r>
    </w:p>
    <w:p w14:paraId="4F4EA3E3" w14:textId="5B0CEAC0" w:rsidR="000B3A2D" w:rsidRPr="00C04BF0" w:rsidRDefault="002A19C8" w:rsidP="009E44BF">
      <w:pPr>
        <w:pStyle w:val="Paragraph"/>
        <w:rPr>
          <w:rFonts w:asciiTheme="majorBidi" w:hAnsiTheme="majorBidi" w:cstheme="majorBidi"/>
        </w:rPr>
      </w:pPr>
      <w:r w:rsidRPr="00C04BF0">
        <w:rPr>
          <w:rFonts w:asciiTheme="majorBidi" w:hAnsiTheme="majorBidi" w:cstheme="majorBidi"/>
          <w:rtl/>
        </w:rPr>
        <w:t xml:space="preserve">   </w:t>
      </w:r>
      <w:r w:rsidRPr="00C04BF0">
        <w:rPr>
          <w:rFonts w:asciiTheme="majorBidi" w:hAnsiTheme="majorBidi" w:cstheme="majorBidi"/>
        </w:rPr>
        <w:t xml:space="preserve">We extend our thanks and appreciation to the staff of </w:t>
      </w:r>
      <w:r w:rsidR="009E44BF" w:rsidRPr="00C04BF0">
        <w:rPr>
          <w:rFonts w:asciiTheme="majorBidi" w:hAnsiTheme="majorBidi" w:cstheme="majorBidi"/>
        </w:rPr>
        <w:t>Department of Biology, college of Education for pure Science (Ibn Al-Haitham), University of Baghdad</w:t>
      </w:r>
      <w:r w:rsidRPr="00C04BF0">
        <w:rPr>
          <w:rFonts w:asciiTheme="majorBidi" w:hAnsiTheme="majorBidi" w:cstheme="majorBidi"/>
        </w:rPr>
        <w:t xml:space="preserve"> for their assistance in conducting the experiment</w:t>
      </w:r>
      <w:r w:rsidR="009E44BF" w:rsidRPr="00C04BF0">
        <w:rPr>
          <w:rFonts w:asciiTheme="majorBidi" w:hAnsiTheme="majorBidi" w:cstheme="majorBidi"/>
        </w:rPr>
        <w:t>s and interpreting the results.</w:t>
      </w:r>
    </w:p>
    <w:p w14:paraId="7D026FC8" w14:textId="53063ADF" w:rsidR="006E44DE" w:rsidRPr="00C04BF0" w:rsidRDefault="0016385D" w:rsidP="006A4577">
      <w:pPr>
        <w:pStyle w:val="Heading1"/>
      </w:pPr>
      <w:r w:rsidRPr="00C04BF0">
        <w:rPr>
          <w:rFonts w:asciiTheme="majorBidi" w:hAnsiTheme="majorBidi" w:cstheme="majorBidi"/>
        </w:rPr>
        <w:t>References</w:t>
      </w:r>
    </w:p>
    <w:p w14:paraId="57C8B35B" w14:textId="7AFCABB6" w:rsidR="00CA44C9" w:rsidRPr="00067F90" w:rsidRDefault="00CA44C9" w:rsidP="003114C0">
      <w:pPr>
        <w:pStyle w:val="Reference"/>
        <w:numPr>
          <w:ilvl w:val="0"/>
          <w:numId w:val="4"/>
        </w:numPr>
        <w:tabs>
          <w:tab w:val="clear" w:pos="720"/>
          <w:tab w:val="num" w:pos="284"/>
        </w:tabs>
        <w:ind w:left="284" w:hanging="284"/>
        <w:jc w:val="left"/>
      </w:pPr>
      <w:r w:rsidRPr="00067F90">
        <w:t xml:space="preserve">E. K. Abbas, M. R. Nashaat, F. S. </w:t>
      </w:r>
      <w:proofErr w:type="spellStart"/>
      <w:r w:rsidRPr="00067F90">
        <w:t>Moftin</w:t>
      </w:r>
      <w:proofErr w:type="spellEnd"/>
      <w:r w:rsidRPr="00067F90">
        <w:t xml:space="preserve"> and E. H. Ali, Eur. Acad. Res. </w:t>
      </w:r>
      <w:r w:rsidRPr="00067F90">
        <w:rPr>
          <w:b/>
          <w:bCs/>
        </w:rPr>
        <w:t>4</w:t>
      </w:r>
      <w:r w:rsidRPr="00067F90">
        <w:t>, 8561–8580 (2017).</w:t>
      </w:r>
    </w:p>
    <w:p w14:paraId="09678F6B" w14:textId="5EDFBDAE" w:rsidR="00CA44C9" w:rsidRPr="00067F90" w:rsidRDefault="00CA44C9" w:rsidP="003114C0">
      <w:pPr>
        <w:pStyle w:val="Reference"/>
        <w:numPr>
          <w:ilvl w:val="0"/>
          <w:numId w:val="4"/>
        </w:numPr>
        <w:tabs>
          <w:tab w:val="clear" w:pos="720"/>
          <w:tab w:val="num" w:pos="284"/>
        </w:tabs>
        <w:ind w:left="284" w:hanging="284"/>
        <w:jc w:val="left"/>
      </w:pPr>
      <w:r w:rsidRPr="00067F90">
        <w:t xml:space="preserve">B. Lehner, K. Verdin and A. Jarvis, Eos Trans. Am. Geophys. Union </w:t>
      </w:r>
      <w:r w:rsidRPr="00067F90">
        <w:rPr>
          <w:b/>
          <w:bCs/>
        </w:rPr>
        <w:t>89</w:t>
      </w:r>
      <w:r w:rsidRPr="00067F90">
        <w:t xml:space="preserve">, 93–94 (2008). </w:t>
      </w:r>
      <w:hyperlink r:id="rId14" w:history="1">
        <w:r w:rsidRPr="00067F90">
          <w:rPr>
            <w:rStyle w:val="Hyperlink"/>
            <w:color w:val="auto"/>
            <w:u w:val="none"/>
          </w:rPr>
          <w:t>https://doi.org/10.1029/2008EO100001</w:t>
        </w:r>
      </w:hyperlink>
      <w:r w:rsidRPr="00067F90">
        <w:t xml:space="preserve">. </w:t>
      </w:r>
    </w:p>
    <w:p w14:paraId="40773974" w14:textId="430DF42A" w:rsidR="00CA44C9" w:rsidRPr="00067F90" w:rsidRDefault="00CA44C9" w:rsidP="003114C0">
      <w:pPr>
        <w:pStyle w:val="Reference"/>
        <w:numPr>
          <w:ilvl w:val="0"/>
          <w:numId w:val="4"/>
        </w:numPr>
        <w:tabs>
          <w:tab w:val="clear" w:pos="720"/>
          <w:tab w:val="num" w:pos="284"/>
        </w:tabs>
        <w:ind w:left="284" w:hanging="284"/>
        <w:jc w:val="left"/>
      </w:pPr>
      <w:r w:rsidRPr="00067F90">
        <w:t xml:space="preserve">N. Abbas, S. A. </w:t>
      </w:r>
      <w:proofErr w:type="spellStart"/>
      <w:r w:rsidRPr="00067F90">
        <w:t>Wasimi</w:t>
      </w:r>
      <w:proofErr w:type="spellEnd"/>
      <w:r w:rsidRPr="00067F90">
        <w:t xml:space="preserve"> and N. Al-Ansari, J. Civ. Eng. Archit. </w:t>
      </w:r>
      <w:r w:rsidRPr="00067F90">
        <w:rPr>
          <w:b/>
          <w:bCs/>
        </w:rPr>
        <w:t>10</w:t>
      </w:r>
      <w:r w:rsidRPr="00067F90">
        <w:t>, 1059–1074 (2016).</w:t>
      </w:r>
    </w:p>
    <w:p w14:paraId="19E5F2C6" w14:textId="7A05676C" w:rsidR="00CA44C9" w:rsidRPr="00067F90" w:rsidRDefault="00CA44C9" w:rsidP="003114C0">
      <w:pPr>
        <w:pStyle w:val="Reference"/>
        <w:numPr>
          <w:ilvl w:val="0"/>
          <w:numId w:val="4"/>
        </w:numPr>
        <w:tabs>
          <w:tab w:val="clear" w:pos="720"/>
          <w:tab w:val="num" w:pos="284"/>
        </w:tabs>
        <w:ind w:left="284" w:hanging="284"/>
        <w:jc w:val="left"/>
      </w:pPr>
      <w:r w:rsidRPr="00067F90">
        <w:t xml:space="preserve">V. </w:t>
      </w:r>
      <w:proofErr w:type="spellStart"/>
      <w:r w:rsidRPr="00067F90">
        <w:t>Sissakian</w:t>
      </w:r>
      <w:proofErr w:type="spellEnd"/>
      <w:r w:rsidRPr="00067F90">
        <w:t xml:space="preserve"> and N. Al-Ansari, J. Earth Sci. Geotech. Eng. </w:t>
      </w:r>
      <w:r w:rsidRPr="00067F90">
        <w:rPr>
          <w:b/>
          <w:bCs/>
        </w:rPr>
        <w:t>9</w:t>
      </w:r>
      <w:r w:rsidRPr="00067F90">
        <w:t>, 291–314 (2019).</w:t>
      </w:r>
    </w:p>
    <w:p w14:paraId="6DDDC946" w14:textId="647AF1C5" w:rsidR="00CA44C9" w:rsidRPr="00067F90" w:rsidRDefault="00CA44C9" w:rsidP="003114C0">
      <w:pPr>
        <w:pStyle w:val="Reference"/>
        <w:numPr>
          <w:ilvl w:val="0"/>
          <w:numId w:val="4"/>
        </w:numPr>
        <w:tabs>
          <w:tab w:val="clear" w:pos="720"/>
          <w:tab w:val="num" w:pos="284"/>
        </w:tabs>
        <w:ind w:left="284" w:hanging="284"/>
        <w:jc w:val="left"/>
      </w:pPr>
      <w:r w:rsidRPr="00067F90">
        <w:t xml:space="preserve">O. S. Majeed, M. R. Nashaat and A. J. Al-Azawi, IOP Conf. Ser. Earth Environ. Sci. </w:t>
      </w:r>
      <w:r w:rsidRPr="00067F90">
        <w:rPr>
          <w:b/>
          <w:bCs/>
        </w:rPr>
        <w:t>1120</w:t>
      </w:r>
      <w:r w:rsidRPr="00067F90">
        <w:t xml:space="preserve">, 012040 (2022). </w:t>
      </w:r>
      <w:hyperlink r:id="rId15" w:history="1">
        <w:r w:rsidRPr="00067F90">
          <w:rPr>
            <w:rStyle w:val="Hyperlink"/>
            <w:color w:val="auto"/>
            <w:u w:val="none"/>
          </w:rPr>
          <w:t>https://doi.org/10.1088/1755-1315/1120/1/012040</w:t>
        </w:r>
      </w:hyperlink>
      <w:r w:rsidRPr="00067F90">
        <w:t xml:space="preserve">. </w:t>
      </w:r>
    </w:p>
    <w:p w14:paraId="657021DB" w14:textId="3A5A58F4" w:rsidR="00CA44C9" w:rsidRPr="00067F90" w:rsidRDefault="00CA44C9" w:rsidP="003114C0">
      <w:pPr>
        <w:pStyle w:val="Reference"/>
        <w:numPr>
          <w:ilvl w:val="0"/>
          <w:numId w:val="4"/>
        </w:numPr>
        <w:tabs>
          <w:tab w:val="clear" w:pos="720"/>
          <w:tab w:val="num" w:pos="284"/>
        </w:tabs>
        <w:ind w:left="284" w:hanging="284"/>
        <w:jc w:val="left"/>
      </w:pPr>
      <w:r w:rsidRPr="00067F90">
        <w:t xml:space="preserve">A. </w:t>
      </w:r>
      <w:proofErr w:type="spellStart"/>
      <w:r w:rsidRPr="00067F90">
        <w:t>Gh</w:t>
      </w:r>
      <w:proofErr w:type="spellEnd"/>
      <w:r w:rsidRPr="00067F90">
        <w:t xml:space="preserve">. Hashim and A. M. Rabee, J. Int. Environ. Appl. Sci. </w:t>
      </w:r>
      <w:r w:rsidRPr="00067F90">
        <w:rPr>
          <w:b/>
          <w:bCs/>
        </w:rPr>
        <w:t>9</w:t>
      </w:r>
      <w:r w:rsidRPr="00067F90">
        <w:t>, 493–504 (2014).</w:t>
      </w:r>
    </w:p>
    <w:p w14:paraId="535BAA99" w14:textId="2DB7981A" w:rsidR="00CA44C9" w:rsidRPr="00067F90" w:rsidRDefault="00CA44C9" w:rsidP="003114C0">
      <w:pPr>
        <w:pStyle w:val="Reference"/>
        <w:numPr>
          <w:ilvl w:val="0"/>
          <w:numId w:val="4"/>
        </w:numPr>
        <w:tabs>
          <w:tab w:val="clear" w:pos="720"/>
          <w:tab w:val="num" w:pos="284"/>
        </w:tabs>
        <w:ind w:left="284" w:hanging="284"/>
        <w:jc w:val="left"/>
        <w:rPr>
          <w:lang w:val="fr-FR"/>
        </w:rPr>
      </w:pPr>
      <w:r w:rsidRPr="00067F90">
        <w:t xml:space="preserve">J. Wang, X. Liu, A. H. W. </w:t>
      </w:r>
      <w:proofErr w:type="spellStart"/>
      <w:r w:rsidRPr="00067F90">
        <w:t>Beusen</w:t>
      </w:r>
      <w:proofErr w:type="spellEnd"/>
      <w:r w:rsidRPr="00067F90">
        <w:t xml:space="preserve"> and J. J. Middelburg, Environ. </w:t>
      </w:r>
      <w:proofErr w:type="spellStart"/>
      <w:r w:rsidRPr="00067F90">
        <w:rPr>
          <w:lang w:val="fr-FR"/>
        </w:rPr>
        <w:t>Sci</w:t>
      </w:r>
      <w:proofErr w:type="spellEnd"/>
      <w:r w:rsidRPr="00067F90">
        <w:rPr>
          <w:lang w:val="fr-FR"/>
        </w:rPr>
        <w:t xml:space="preserve">. </w:t>
      </w:r>
      <w:proofErr w:type="spellStart"/>
      <w:r w:rsidRPr="00067F90">
        <w:rPr>
          <w:lang w:val="fr-FR"/>
        </w:rPr>
        <w:t>Technol</w:t>
      </w:r>
      <w:proofErr w:type="spellEnd"/>
      <w:r w:rsidRPr="00067F90">
        <w:rPr>
          <w:lang w:val="fr-FR"/>
        </w:rPr>
        <w:t xml:space="preserve">. </w:t>
      </w:r>
      <w:r w:rsidRPr="00067F90">
        <w:rPr>
          <w:b/>
          <w:bCs/>
          <w:lang w:val="fr-FR"/>
        </w:rPr>
        <w:t>57</w:t>
      </w:r>
      <w:r w:rsidRPr="00067F90">
        <w:rPr>
          <w:lang w:val="fr-FR"/>
        </w:rPr>
        <w:t xml:space="preserve">, 19395–19406 (2023). </w:t>
      </w:r>
      <w:r>
        <w:fldChar w:fldCharType="begin"/>
      </w:r>
      <w:r w:rsidRPr="00D82BA3">
        <w:rPr>
          <w:lang w:val="fr-FR"/>
        </w:rPr>
        <w:instrText>HYPERLINK "https://doi.org/10.1021/acs.est.3c06150"</w:instrText>
      </w:r>
      <w:r>
        <w:fldChar w:fldCharType="separate"/>
      </w:r>
      <w:r w:rsidRPr="00067F90">
        <w:rPr>
          <w:rStyle w:val="Hyperlink"/>
          <w:color w:val="auto"/>
          <w:u w:val="none"/>
          <w:lang w:val="fr-FR"/>
        </w:rPr>
        <w:t>https://doi.org/10.1021/acs.est.3c06150</w:t>
      </w:r>
      <w:r>
        <w:fldChar w:fldCharType="end"/>
      </w:r>
      <w:r w:rsidRPr="00067F90">
        <w:rPr>
          <w:lang w:val="fr-FR"/>
        </w:rPr>
        <w:t xml:space="preserve">. </w:t>
      </w:r>
    </w:p>
    <w:p w14:paraId="3E3D2D98" w14:textId="09834927" w:rsidR="00CA44C9" w:rsidRPr="00067F90" w:rsidRDefault="00CA44C9" w:rsidP="003114C0">
      <w:pPr>
        <w:pStyle w:val="Reference"/>
        <w:numPr>
          <w:ilvl w:val="0"/>
          <w:numId w:val="4"/>
        </w:numPr>
        <w:tabs>
          <w:tab w:val="clear" w:pos="720"/>
          <w:tab w:val="num" w:pos="284"/>
        </w:tabs>
        <w:ind w:left="284" w:hanging="284"/>
        <w:jc w:val="left"/>
      </w:pPr>
      <w:r w:rsidRPr="00067F90">
        <w:t xml:space="preserve">K. Olson and D. Speidel, Open J. Soil Sci. </w:t>
      </w:r>
      <w:r w:rsidRPr="00067F90">
        <w:rPr>
          <w:b/>
          <w:bCs/>
        </w:rPr>
        <w:t>14</w:t>
      </w:r>
      <w:r w:rsidRPr="00067F90">
        <w:t xml:space="preserve">, 28–63 (2024). </w:t>
      </w:r>
      <w:hyperlink r:id="rId16" w:history="1">
        <w:r w:rsidR="00C04BF0" w:rsidRPr="00067F90">
          <w:rPr>
            <w:rStyle w:val="Hyperlink"/>
            <w:color w:val="auto"/>
            <w:u w:val="none"/>
          </w:rPr>
          <w:t>https://doi.org/10.4236/ojss.2024.141003</w:t>
        </w:r>
      </w:hyperlink>
      <w:r w:rsidR="00C04BF0" w:rsidRPr="00067F90">
        <w:t xml:space="preserve">. </w:t>
      </w:r>
    </w:p>
    <w:p w14:paraId="5AF730D4" w14:textId="791E8638" w:rsidR="00CA44C9" w:rsidRPr="00067F90" w:rsidRDefault="00CA44C9" w:rsidP="003114C0">
      <w:pPr>
        <w:pStyle w:val="Reference"/>
        <w:numPr>
          <w:ilvl w:val="0"/>
          <w:numId w:val="4"/>
        </w:numPr>
        <w:tabs>
          <w:tab w:val="clear" w:pos="720"/>
          <w:tab w:val="num" w:pos="284"/>
        </w:tabs>
        <w:ind w:left="284" w:hanging="284"/>
        <w:jc w:val="left"/>
      </w:pPr>
      <w:r w:rsidRPr="00067F90">
        <w:t>T. H. Al-</w:t>
      </w:r>
      <w:proofErr w:type="spellStart"/>
      <w:r w:rsidRPr="00067F90">
        <w:t>Dharob</w:t>
      </w:r>
      <w:proofErr w:type="spellEnd"/>
      <w:r w:rsidRPr="00067F90">
        <w:t xml:space="preserve">, H. J. </w:t>
      </w:r>
      <w:proofErr w:type="spellStart"/>
      <w:r w:rsidRPr="00067F90">
        <w:t>Jaweir</w:t>
      </w:r>
      <w:proofErr w:type="spellEnd"/>
      <w:r w:rsidRPr="00067F90">
        <w:t xml:space="preserve"> and I. M. Al-Salman, </w:t>
      </w:r>
      <w:proofErr w:type="spellStart"/>
      <w:r w:rsidRPr="00067F90">
        <w:t>Biochem</w:t>
      </w:r>
      <w:proofErr w:type="spellEnd"/>
      <w:r w:rsidRPr="00067F90">
        <w:t xml:space="preserve">. Cell. Arch. </w:t>
      </w:r>
      <w:r w:rsidRPr="00067F90">
        <w:rPr>
          <w:b/>
          <w:bCs/>
        </w:rPr>
        <w:t>20</w:t>
      </w:r>
      <w:r w:rsidRPr="00067F90">
        <w:t xml:space="preserve">, 6375–6378 (2020). </w:t>
      </w:r>
      <w:hyperlink r:id="rId17" w:history="1">
        <w:r w:rsidRPr="00067F90">
          <w:rPr>
            <w:rStyle w:val="Hyperlink"/>
            <w:color w:val="auto"/>
            <w:u w:val="none"/>
          </w:rPr>
          <w:t>https://connectjournals.com/03896.2020.20.6375</w:t>
        </w:r>
      </w:hyperlink>
      <w:r w:rsidRPr="00067F90">
        <w:t xml:space="preserve">. </w:t>
      </w:r>
    </w:p>
    <w:p w14:paraId="5683A066" w14:textId="18786783" w:rsidR="00CA44C9" w:rsidRPr="00067F90" w:rsidRDefault="00CA44C9" w:rsidP="003114C0">
      <w:pPr>
        <w:pStyle w:val="Reference"/>
        <w:numPr>
          <w:ilvl w:val="0"/>
          <w:numId w:val="4"/>
        </w:numPr>
        <w:tabs>
          <w:tab w:val="clear" w:pos="720"/>
          <w:tab w:val="num" w:pos="284"/>
        </w:tabs>
        <w:ind w:left="284" w:hanging="284"/>
        <w:jc w:val="left"/>
      </w:pPr>
      <w:r w:rsidRPr="00067F90">
        <w:t xml:space="preserve">S. S. Mohammed and M. B. Mahmood, </w:t>
      </w:r>
      <w:proofErr w:type="spellStart"/>
      <w:r w:rsidRPr="00067F90">
        <w:t>Bionatura</w:t>
      </w:r>
      <w:proofErr w:type="spellEnd"/>
      <w:r w:rsidRPr="00067F90">
        <w:t xml:space="preserve"> </w:t>
      </w:r>
      <w:r w:rsidRPr="00067F90">
        <w:rPr>
          <w:b/>
          <w:bCs/>
        </w:rPr>
        <w:t>8</w:t>
      </w:r>
      <w:r w:rsidRPr="00067F90">
        <w:t>, 1–34 (2023).</w:t>
      </w:r>
    </w:p>
    <w:p w14:paraId="1E02C4D0" w14:textId="5E27B8F2" w:rsidR="00CA44C9" w:rsidRPr="00067F90" w:rsidRDefault="00CA44C9" w:rsidP="003114C0">
      <w:pPr>
        <w:pStyle w:val="Reference"/>
        <w:numPr>
          <w:ilvl w:val="0"/>
          <w:numId w:val="4"/>
        </w:numPr>
        <w:tabs>
          <w:tab w:val="clear" w:pos="720"/>
          <w:tab w:val="num" w:pos="284"/>
        </w:tabs>
        <w:ind w:left="284" w:hanging="284"/>
        <w:jc w:val="left"/>
      </w:pPr>
      <w:r w:rsidRPr="00067F90">
        <w:t xml:space="preserve">A. Jebir, S. Ajeel and T. Khalaf, J. Fauna </w:t>
      </w:r>
      <w:proofErr w:type="spellStart"/>
      <w:r w:rsidRPr="00067F90">
        <w:t>Biodivers</w:t>
      </w:r>
      <w:proofErr w:type="spellEnd"/>
      <w:r w:rsidRPr="00067F90">
        <w:t xml:space="preserve">. </w:t>
      </w:r>
      <w:r w:rsidRPr="00067F90">
        <w:rPr>
          <w:b/>
          <w:bCs/>
        </w:rPr>
        <w:t>1</w:t>
      </w:r>
      <w:r w:rsidRPr="00067F90">
        <w:t>, 99–112 (2024).</w:t>
      </w:r>
    </w:p>
    <w:p w14:paraId="5403B7C9" w14:textId="3E27021B" w:rsidR="00CA44C9" w:rsidRPr="00067F90" w:rsidRDefault="00CA44C9" w:rsidP="003114C0">
      <w:pPr>
        <w:pStyle w:val="Reference"/>
        <w:numPr>
          <w:ilvl w:val="0"/>
          <w:numId w:val="4"/>
        </w:numPr>
        <w:tabs>
          <w:tab w:val="clear" w:pos="720"/>
          <w:tab w:val="num" w:pos="284"/>
        </w:tabs>
        <w:ind w:left="284" w:hanging="284"/>
        <w:jc w:val="left"/>
      </w:pPr>
      <w:r w:rsidRPr="00067F90">
        <w:lastRenderedPageBreak/>
        <w:t>H. A. H. Al-</w:t>
      </w:r>
      <w:proofErr w:type="spellStart"/>
      <w:r w:rsidRPr="00067F90">
        <w:t>Keriawy</w:t>
      </w:r>
      <w:proofErr w:type="spellEnd"/>
      <w:r w:rsidRPr="00067F90">
        <w:t xml:space="preserve"> and S. K. A. A. Al-</w:t>
      </w:r>
      <w:proofErr w:type="spellStart"/>
      <w:r w:rsidRPr="00067F90">
        <w:t>Kalidy</w:t>
      </w:r>
      <w:proofErr w:type="spellEnd"/>
      <w:r w:rsidRPr="00067F90">
        <w:t xml:space="preserve">, Ecol. Eng. Environ. Technol. </w:t>
      </w:r>
      <w:r w:rsidRPr="00067F90">
        <w:rPr>
          <w:b/>
          <w:bCs/>
        </w:rPr>
        <w:t>24</w:t>
      </w:r>
      <w:r w:rsidRPr="00067F90">
        <w:t>, 1–9 (2023).</w:t>
      </w:r>
    </w:p>
    <w:p w14:paraId="1BD5AB9C" w14:textId="6F3B28D7" w:rsidR="00CA44C9" w:rsidRPr="00067F90" w:rsidRDefault="00CA44C9" w:rsidP="003114C0">
      <w:pPr>
        <w:pStyle w:val="Reference"/>
        <w:numPr>
          <w:ilvl w:val="0"/>
          <w:numId w:val="4"/>
        </w:numPr>
        <w:tabs>
          <w:tab w:val="clear" w:pos="720"/>
          <w:tab w:val="num" w:pos="284"/>
        </w:tabs>
        <w:ind w:left="284" w:hanging="284"/>
        <w:jc w:val="left"/>
      </w:pPr>
      <w:r w:rsidRPr="00067F90">
        <w:t xml:space="preserve">F. H. Saeed, M. S. Al-Khafaji and F. A. Al-Faraj, Arab. J. </w:t>
      </w:r>
      <w:proofErr w:type="spellStart"/>
      <w:r w:rsidRPr="00067F90">
        <w:t>Geosci</w:t>
      </w:r>
      <w:proofErr w:type="spellEnd"/>
      <w:r w:rsidRPr="00067F90">
        <w:t xml:space="preserve">. </w:t>
      </w:r>
      <w:r w:rsidRPr="00067F90">
        <w:rPr>
          <w:b/>
          <w:bCs/>
        </w:rPr>
        <w:t>15</w:t>
      </w:r>
      <w:r w:rsidRPr="00067F90">
        <w:t xml:space="preserve">, 1260 (2022). </w:t>
      </w:r>
      <w:hyperlink r:id="rId18" w:history="1">
        <w:r w:rsidRPr="00067F90">
          <w:rPr>
            <w:rStyle w:val="Hyperlink"/>
            <w:color w:val="auto"/>
            <w:u w:val="none"/>
          </w:rPr>
          <w:t>https://doi.org/10.1007/s12517-022-10308-4</w:t>
        </w:r>
      </w:hyperlink>
      <w:r w:rsidRPr="00067F90">
        <w:t xml:space="preserve">. </w:t>
      </w:r>
    </w:p>
    <w:p w14:paraId="02AEF8E4" w14:textId="44147C7F" w:rsidR="00CA44C9" w:rsidRPr="00067F90" w:rsidRDefault="00CA44C9" w:rsidP="003114C0">
      <w:pPr>
        <w:pStyle w:val="Reference"/>
        <w:numPr>
          <w:ilvl w:val="0"/>
          <w:numId w:val="4"/>
        </w:numPr>
        <w:tabs>
          <w:tab w:val="clear" w:pos="720"/>
          <w:tab w:val="num" w:pos="284"/>
        </w:tabs>
        <w:ind w:left="284" w:hanging="284"/>
        <w:jc w:val="left"/>
      </w:pPr>
      <w:r w:rsidRPr="00067F90">
        <w:t xml:space="preserve">14. K. D. Muslih and A. M. Abbas, in The Geography of Iraq (Springer Nature, Cham, 2024), pp. 19–47. </w:t>
      </w:r>
      <w:hyperlink r:id="rId19" w:history="1">
        <w:r w:rsidRPr="00067F90">
          <w:rPr>
            <w:rStyle w:val="Hyperlink"/>
            <w:color w:val="auto"/>
            <w:u w:val="none"/>
          </w:rPr>
          <w:t>https://doi.org/10.1007/978-3-031-24156-9_2</w:t>
        </w:r>
      </w:hyperlink>
      <w:r w:rsidRPr="00067F90">
        <w:t xml:space="preserve">. </w:t>
      </w:r>
    </w:p>
    <w:p w14:paraId="42B986EC" w14:textId="73E37564" w:rsidR="00CA44C9" w:rsidRPr="00067F90" w:rsidRDefault="00CA44C9" w:rsidP="003114C0">
      <w:pPr>
        <w:pStyle w:val="Reference"/>
        <w:numPr>
          <w:ilvl w:val="0"/>
          <w:numId w:val="4"/>
        </w:numPr>
        <w:tabs>
          <w:tab w:val="clear" w:pos="720"/>
          <w:tab w:val="num" w:pos="284"/>
        </w:tabs>
        <w:ind w:left="284" w:hanging="284"/>
        <w:jc w:val="left"/>
      </w:pPr>
      <w:r w:rsidRPr="00067F90">
        <w:t xml:space="preserve">G. E. </w:t>
      </w:r>
      <w:proofErr w:type="spellStart"/>
      <w:r w:rsidRPr="00067F90">
        <w:t>Adjovu</w:t>
      </w:r>
      <w:proofErr w:type="spellEnd"/>
      <w:r w:rsidRPr="00067F90">
        <w:t xml:space="preserve">, H. Stephen, D. James and S. Ahmad, Remote Sens. </w:t>
      </w:r>
      <w:r w:rsidRPr="00067F90">
        <w:rPr>
          <w:b/>
          <w:bCs/>
        </w:rPr>
        <w:t>15</w:t>
      </w:r>
      <w:r w:rsidRPr="00067F90">
        <w:t xml:space="preserve">, 3534 (2023). </w:t>
      </w:r>
      <w:hyperlink r:id="rId20" w:history="1">
        <w:r w:rsidRPr="00067F90">
          <w:rPr>
            <w:rStyle w:val="Hyperlink"/>
            <w:color w:val="auto"/>
            <w:u w:val="none"/>
          </w:rPr>
          <w:t>https://doi.org/10.3390/rs15143534</w:t>
        </w:r>
      </w:hyperlink>
      <w:r w:rsidRPr="00067F90">
        <w:t xml:space="preserve">. </w:t>
      </w:r>
    </w:p>
    <w:p w14:paraId="353C96C4" w14:textId="77777777" w:rsidR="00C04BF0" w:rsidRPr="00067F90" w:rsidRDefault="00CA44C9" w:rsidP="003114C0">
      <w:pPr>
        <w:pStyle w:val="Reference"/>
        <w:numPr>
          <w:ilvl w:val="0"/>
          <w:numId w:val="4"/>
        </w:numPr>
        <w:tabs>
          <w:tab w:val="clear" w:pos="720"/>
          <w:tab w:val="num" w:pos="284"/>
        </w:tabs>
        <w:ind w:left="284" w:hanging="284"/>
        <w:jc w:val="left"/>
      </w:pPr>
      <w:r w:rsidRPr="00067F90">
        <w:t xml:space="preserve">B. T. W. Putra, L. A. </w:t>
      </w:r>
      <w:proofErr w:type="spellStart"/>
      <w:r w:rsidRPr="00067F90">
        <w:t>Rocelline</w:t>
      </w:r>
      <w:proofErr w:type="spellEnd"/>
      <w:r w:rsidRPr="00067F90">
        <w:t xml:space="preserve"> and W. N. H. Syahputra, Microprocess. </w:t>
      </w:r>
      <w:proofErr w:type="spellStart"/>
      <w:r w:rsidRPr="00067F90">
        <w:t>Microsyst</w:t>
      </w:r>
      <w:proofErr w:type="spellEnd"/>
      <w:r w:rsidRPr="00067F90">
        <w:t xml:space="preserve">. </w:t>
      </w:r>
      <w:r w:rsidRPr="00067F90">
        <w:rPr>
          <w:b/>
          <w:bCs/>
        </w:rPr>
        <w:t>93</w:t>
      </w:r>
      <w:r w:rsidRPr="00067F90">
        <w:t xml:space="preserve">, 104603 (2022). </w:t>
      </w:r>
      <w:hyperlink r:id="rId21" w:history="1">
        <w:r w:rsidRPr="00067F90">
          <w:rPr>
            <w:rStyle w:val="Hyperlink"/>
            <w:color w:val="auto"/>
            <w:u w:val="none"/>
          </w:rPr>
          <w:t>https://doi.org/10.1016/j.micpro.2022.104603</w:t>
        </w:r>
      </w:hyperlink>
      <w:r w:rsidRPr="00067F90">
        <w:t xml:space="preserve">. </w:t>
      </w:r>
    </w:p>
    <w:p w14:paraId="1B245138"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A. Carvalho, R. Costa, S. Neves, C. M. Oliveira and R. J. B. da Silva, </w:t>
      </w:r>
      <w:proofErr w:type="spellStart"/>
      <w:r w:rsidRPr="00067F90">
        <w:t>Microchem</w:t>
      </w:r>
      <w:proofErr w:type="spellEnd"/>
      <w:r w:rsidRPr="00067F90">
        <w:t xml:space="preserve">. J. </w:t>
      </w:r>
      <w:r w:rsidRPr="00067F90">
        <w:rPr>
          <w:rStyle w:val="Strong"/>
        </w:rPr>
        <w:t>165</w:t>
      </w:r>
      <w:r w:rsidRPr="00067F90">
        <w:t>, 106129 (2021).</w:t>
      </w:r>
    </w:p>
    <w:p w14:paraId="6D40BF2B"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N. </w:t>
      </w:r>
      <w:proofErr w:type="spellStart"/>
      <w:r w:rsidRPr="00067F90">
        <w:t>Benguennouna</w:t>
      </w:r>
      <w:proofErr w:type="spellEnd"/>
      <w:r w:rsidRPr="00067F90">
        <w:t xml:space="preserve">, D. </w:t>
      </w:r>
      <w:proofErr w:type="spellStart"/>
      <w:r w:rsidRPr="00067F90">
        <w:t>Benabdelmoumene</w:t>
      </w:r>
      <w:proofErr w:type="spellEnd"/>
      <w:r w:rsidRPr="00067F90">
        <w:t xml:space="preserve">, S. </w:t>
      </w:r>
      <w:proofErr w:type="spellStart"/>
      <w:r w:rsidRPr="00067F90">
        <w:t>Dahmouni</w:t>
      </w:r>
      <w:proofErr w:type="spellEnd"/>
      <w:r w:rsidRPr="00067F90">
        <w:t xml:space="preserve">, Z. </w:t>
      </w:r>
      <w:proofErr w:type="spellStart"/>
      <w:r w:rsidRPr="00067F90">
        <w:t>Bengharbi</w:t>
      </w:r>
      <w:proofErr w:type="spellEnd"/>
      <w:r w:rsidRPr="00067F90">
        <w:t xml:space="preserve">, W. S. Qadi, H. S. </w:t>
      </w:r>
      <w:proofErr w:type="spellStart"/>
      <w:r w:rsidRPr="00067F90">
        <w:t>Hamezah</w:t>
      </w:r>
      <w:proofErr w:type="spellEnd"/>
      <w:r w:rsidRPr="00067F90">
        <w:t xml:space="preserve"> and A. </w:t>
      </w:r>
      <w:proofErr w:type="spellStart"/>
      <w:r w:rsidRPr="00067F90">
        <w:t>Mediani</w:t>
      </w:r>
      <w:proofErr w:type="spellEnd"/>
      <w:r w:rsidRPr="00067F90">
        <w:t xml:space="preserve">, Desalination Water Treat. </w:t>
      </w:r>
      <w:r w:rsidRPr="00067F90">
        <w:rPr>
          <w:rStyle w:val="Strong"/>
        </w:rPr>
        <w:t>101437</w:t>
      </w:r>
      <w:r w:rsidRPr="00067F90">
        <w:t>, (2025).</w:t>
      </w:r>
    </w:p>
    <w:p w14:paraId="6FD9218D"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O. T. Emmanuel, AJENSR </w:t>
      </w:r>
      <w:r w:rsidRPr="00067F90">
        <w:rPr>
          <w:rStyle w:val="Strong"/>
        </w:rPr>
        <w:t>4</w:t>
      </w:r>
      <w:r w:rsidRPr="00067F90">
        <w:t>(1), 14–44 (2021).</w:t>
      </w:r>
    </w:p>
    <w:p w14:paraId="399CF904"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S. </w:t>
      </w:r>
      <w:proofErr w:type="spellStart"/>
      <w:r w:rsidRPr="00067F90">
        <w:t>Ngamprasertsuk</w:t>
      </w:r>
      <w:proofErr w:type="spellEnd"/>
      <w:r w:rsidRPr="00067F90">
        <w:t xml:space="preserve">, P. </w:t>
      </w:r>
      <w:proofErr w:type="spellStart"/>
      <w:r w:rsidRPr="00067F90">
        <w:t>Duenchay</w:t>
      </w:r>
      <w:proofErr w:type="spellEnd"/>
      <w:r w:rsidRPr="00067F90">
        <w:t xml:space="preserve"> and W. </w:t>
      </w:r>
      <w:proofErr w:type="spellStart"/>
      <w:r w:rsidRPr="00067F90">
        <w:t>Dungchai</w:t>
      </w:r>
      <w:proofErr w:type="spellEnd"/>
      <w:r w:rsidRPr="00067F90">
        <w:t xml:space="preserve">, Anal. Sci. </w:t>
      </w:r>
      <w:r w:rsidRPr="00067F90">
        <w:rPr>
          <w:rStyle w:val="Strong"/>
        </w:rPr>
        <w:t>1–8</w:t>
      </w:r>
      <w:r w:rsidRPr="00067F90">
        <w:t>, (2025).</w:t>
      </w:r>
    </w:p>
    <w:p w14:paraId="63DA9BA3"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O. S. Majeed, A. J. Al-Azawi and M. R. Nashaat, Bull. Iraq Nat. Hist. Mus. </w:t>
      </w:r>
      <w:r w:rsidRPr="00067F90">
        <w:rPr>
          <w:rStyle w:val="Strong"/>
        </w:rPr>
        <w:t>16</w:t>
      </w:r>
      <w:r w:rsidRPr="00067F90">
        <w:t xml:space="preserve">(4), 469–493 (2021). </w:t>
      </w:r>
      <w:hyperlink r:id="rId22" w:tgtFrame="_new" w:history="1">
        <w:r w:rsidRPr="00067F90">
          <w:rPr>
            <w:rStyle w:val="Hyperlink"/>
            <w:color w:val="auto"/>
            <w:u w:val="none"/>
          </w:rPr>
          <w:t>https://doi.org/10.26842/binhm.7.2021.16.4.0469</w:t>
        </w:r>
      </w:hyperlink>
      <w:r w:rsidRPr="00067F90">
        <w:t>.</w:t>
      </w:r>
    </w:p>
    <w:p w14:paraId="5B4E0D4F"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D. G. Smith, </w:t>
      </w:r>
      <w:proofErr w:type="spellStart"/>
      <w:r w:rsidRPr="00067F90">
        <w:rPr>
          <w:rStyle w:val="Emphasis"/>
        </w:rPr>
        <w:t>Pennak's</w:t>
      </w:r>
      <w:proofErr w:type="spellEnd"/>
      <w:r w:rsidRPr="00067F90">
        <w:rPr>
          <w:rStyle w:val="Emphasis"/>
        </w:rPr>
        <w:t xml:space="preserve"> Freshwater Invertebrates of the United States: Porifera to Crustacea</w:t>
      </w:r>
      <w:r w:rsidRPr="00067F90">
        <w:t xml:space="preserve"> (John Wiley &amp; Sons, 2001), 648 pp.</w:t>
      </w:r>
    </w:p>
    <w:p w14:paraId="376529E1"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H. Segers, </w:t>
      </w:r>
      <w:proofErr w:type="spellStart"/>
      <w:r w:rsidRPr="00067F90">
        <w:t>Zootaxa</w:t>
      </w:r>
      <w:proofErr w:type="spellEnd"/>
      <w:r w:rsidRPr="00067F90">
        <w:t xml:space="preserve"> </w:t>
      </w:r>
      <w:r w:rsidRPr="00067F90">
        <w:rPr>
          <w:rStyle w:val="Strong"/>
        </w:rPr>
        <w:t>1564</w:t>
      </w:r>
      <w:r w:rsidRPr="00067F90">
        <w:t>(1), 1–104 (2007).</w:t>
      </w:r>
    </w:p>
    <w:p w14:paraId="0062C879"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S. V. Bhandarkar and G. T. Paliwal, Limnology </w:t>
      </w:r>
      <w:r w:rsidRPr="00067F90">
        <w:rPr>
          <w:rStyle w:val="Strong"/>
        </w:rPr>
        <w:t>71–87</w:t>
      </w:r>
      <w:r w:rsidRPr="00067F90">
        <w:t>, (2020).</w:t>
      </w:r>
    </w:p>
    <w:p w14:paraId="752BE410"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R. M. N. Al-Khafaji and A. J. Hammady, Indian J. Public Health Res. Dev. </w:t>
      </w:r>
      <w:r w:rsidRPr="00067F90">
        <w:rPr>
          <w:rStyle w:val="Strong"/>
        </w:rPr>
        <w:t>9</w:t>
      </w:r>
      <w:r w:rsidRPr="00067F90">
        <w:t>(12), 1168 (2018).</w:t>
      </w:r>
    </w:p>
    <w:p w14:paraId="3D36B15A"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I. F. Abed and M. R. Nashaat, </w:t>
      </w:r>
      <w:proofErr w:type="spellStart"/>
      <w:r w:rsidRPr="00067F90">
        <w:t>Biochem</w:t>
      </w:r>
      <w:proofErr w:type="spellEnd"/>
      <w:r w:rsidRPr="00067F90">
        <w:t xml:space="preserve">. Cell Arch. </w:t>
      </w:r>
      <w:r w:rsidRPr="00067F90">
        <w:rPr>
          <w:rStyle w:val="Strong"/>
        </w:rPr>
        <w:t>18</w:t>
      </w:r>
      <w:r w:rsidRPr="00067F90">
        <w:t xml:space="preserve">(2), 1877–1886 (2018). </w:t>
      </w:r>
      <w:hyperlink r:id="rId23" w:tgtFrame="_new" w:history="1">
        <w:r w:rsidRPr="00067F90">
          <w:rPr>
            <w:rStyle w:val="Hyperlink"/>
            <w:color w:val="auto"/>
            <w:u w:val="none"/>
          </w:rPr>
          <w:t>http://www.connectjournals.com/toc/CJ-033216/18/2018/02/October</w:t>
        </w:r>
      </w:hyperlink>
      <w:r w:rsidRPr="00067F90">
        <w:t>.</w:t>
      </w:r>
    </w:p>
    <w:p w14:paraId="471295DA" w14:textId="77777777" w:rsidR="00C04BF0" w:rsidRPr="00067F90" w:rsidRDefault="00C04BF0" w:rsidP="003114C0">
      <w:pPr>
        <w:pStyle w:val="Reference"/>
        <w:numPr>
          <w:ilvl w:val="0"/>
          <w:numId w:val="4"/>
        </w:numPr>
        <w:tabs>
          <w:tab w:val="clear" w:pos="720"/>
          <w:tab w:val="num" w:pos="284"/>
        </w:tabs>
        <w:ind w:left="284" w:hanging="284"/>
        <w:jc w:val="left"/>
      </w:pPr>
      <w:r w:rsidRPr="00067F90">
        <w:t>R. M. Hadi, A. A. Al-</w:t>
      </w:r>
      <w:proofErr w:type="spellStart"/>
      <w:r w:rsidRPr="00067F90">
        <w:t>Saboonchi</w:t>
      </w:r>
      <w:proofErr w:type="spellEnd"/>
      <w:r w:rsidRPr="00067F90">
        <w:t xml:space="preserve"> and A. K. Y. Haroon, Nova </w:t>
      </w:r>
      <w:proofErr w:type="spellStart"/>
      <w:r w:rsidRPr="00067F90">
        <w:t>Hedwigia</w:t>
      </w:r>
      <w:proofErr w:type="spellEnd"/>
      <w:r w:rsidRPr="00067F90">
        <w:t xml:space="preserve"> </w:t>
      </w:r>
      <w:r w:rsidRPr="00067F90">
        <w:rPr>
          <w:rStyle w:val="Strong"/>
        </w:rPr>
        <w:t>39</w:t>
      </w:r>
      <w:r w:rsidRPr="00067F90">
        <w:t>(3–4), 513–557 (1984).</w:t>
      </w:r>
    </w:p>
    <w:p w14:paraId="4B11747C"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F. M. Al-Rubaie and N. O. Al-Musawi, J. Eng. </w:t>
      </w:r>
      <w:r w:rsidRPr="00067F90">
        <w:rPr>
          <w:rStyle w:val="Strong"/>
        </w:rPr>
        <w:t>25</w:t>
      </w:r>
      <w:r w:rsidRPr="00067F90">
        <w:t xml:space="preserve">(10), 71–87 (2019). </w:t>
      </w:r>
      <w:hyperlink r:id="rId24" w:tgtFrame="_new" w:history="1">
        <w:r w:rsidRPr="00067F90">
          <w:rPr>
            <w:rStyle w:val="Hyperlink"/>
            <w:color w:val="auto"/>
            <w:u w:val="none"/>
          </w:rPr>
          <w:t>https://doi.org/10.31026/j.eng.2019.10.6</w:t>
        </w:r>
      </w:hyperlink>
      <w:r w:rsidRPr="00067F90">
        <w:t>.</w:t>
      </w:r>
    </w:p>
    <w:p w14:paraId="152A9EAC"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N. A. </w:t>
      </w:r>
      <w:proofErr w:type="spellStart"/>
      <w:r w:rsidRPr="00067F90">
        <w:t>Alharbawee</w:t>
      </w:r>
      <w:proofErr w:type="spellEnd"/>
      <w:r w:rsidRPr="00067F90">
        <w:t xml:space="preserve"> and A. J. Mohammed, Iraqi J. Sci. </w:t>
      </w:r>
      <w:r w:rsidRPr="00067F90">
        <w:rPr>
          <w:rStyle w:val="Strong"/>
        </w:rPr>
        <w:t>65</w:t>
      </w:r>
      <w:r w:rsidRPr="00067F90">
        <w:t xml:space="preserve">(3), 1266–1275 (2024). </w:t>
      </w:r>
      <w:hyperlink r:id="rId25" w:tgtFrame="_new" w:history="1">
        <w:r w:rsidRPr="00067F90">
          <w:rPr>
            <w:rStyle w:val="Hyperlink"/>
            <w:color w:val="auto"/>
            <w:u w:val="none"/>
          </w:rPr>
          <w:t>https://doi.org/10.24996/ijs.2024.65.3.8</w:t>
        </w:r>
      </w:hyperlink>
      <w:r w:rsidRPr="00067F90">
        <w:t>.</w:t>
      </w:r>
    </w:p>
    <w:p w14:paraId="32756A5B"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X. Wu, L. Wang, Z. Niu, W. Jiang and Q. Cao, Atmos. Res. </w:t>
      </w:r>
      <w:r w:rsidRPr="00067F90">
        <w:rPr>
          <w:rStyle w:val="Strong"/>
        </w:rPr>
        <w:t>292</w:t>
      </w:r>
      <w:r w:rsidRPr="00067F90">
        <w:t>, 106883 (2023).</w:t>
      </w:r>
    </w:p>
    <w:p w14:paraId="2BFC6BD7"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S. S. Islam, S. N. Dhara and S. Midya, Cleaner Water </w:t>
      </w:r>
      <w:r w:rsidRPr="00067F90">
        <w:rPr>
          <w:rStyle w:val="Strong"/>
        </w:rPr>
        <w:t>100103</w:t>
      </w:r>
      <w:r w:rsidRPr="00067F90">
        <w:t>, (2025).</w:t>
      </w:r>
    </w:p>
    <w:p w14:paraId="49E45B8E" w14:textId="77777777" w:rsidR="00C04BF0" w:rsidRPr="00067F90" w:rsidRDefault="00C04BF0" w:rsidP="003114C0">
      <w:pPr>
        <w:pStyle w:val="Reference"/>
        <w:numPr>
          <w:ilvl w:val="0"/>
          <w:numId w:val="4"/>
        </w:numPr>
        <w:tabs>
          <w:tab w:val="clear" w:pos="720"/>
          <w:tab w:val="num" w:pos="284"/>
        </w:tabs>
        <w:ind w:left="284" w:hanging="284"/>
        <w:jc w:val="left"/>
      </w:pPr>
      <w:r w:rsidRPr="00067F90">
        <w:t xml:space="preserve">O. S. Majeed, M. R. Nashaat and A. J. Al-Azawi, Iraqi J. Sci. </w:t>
      </w:r>
      <w:r w:rsidRPr="00067F90">
        <w:rPr>
          <w:rStyle w:val="Strong"/>
        </w:rPr>
        <w:t>63</w:t>
      </w:r>
      <w:r w:rsidRPr="00067F90">
        <w:t xml:space="preserve">(4), 1464–1479 (2022). </w:t>
      </w:r>
      <w:hyperlink r:id="rId26" w:tgtFrame="_new" w:history="1">
        <w:r w:rsidRPr="00067F90">
          <w:rPr>
            <w:rStyle w:val="Hyperlink"/>
            <w:color w:val="auto"/>
            <w:u w:val="none"/>
          </w:rPr>
          <w:t>https://doi.org/10.24996/ijs.2022.63.4.7</w:t>
        </w:r>
      </w:hyperlink>
      <w:r w:rsidRPr="00067F90">
        <w:t>.</w:t>
      </w:r>
    </w:p>
    <w:p w14:paraId="2114433D" w14:textId="77777777" w:rsidR="00C04BF0" w:rsidRPr="00067F90" w:rsidRDefault="00C04BF0" w:rsidP="003114C0">
      <w:pPr>
        <w:pStyle w:val="Reference"/>
        <w:numPr>
          <w:ilvl w:val="0"/>
          <w:numId w:val="4"/>
        </w:numPr>
        <w:tabs>
          <w:tab w:val="clear" w:pos="720"/>
          <w:tab w:val="num" w:pos="284"/>
        </w:tabs>
        <w:ind w:left="284" w:hanging="284"/>
        <w:jc w:val="left"/>
      </w:pPr>
      <w:r w:rsidRPr="00067F90">
        <w:t>T. Aboud and M. L. Al-</w:t>
      </w:r>
      <w:proofErr w:type="spellStart"/>
      <w:r w:rsidRPr="00067F90">
        <w:t>Doori</w:t>
      </w:r>
      <w:proofErr w:type="spellEnd"/>
      <w:r w:rsidRPr="00067F90">
        <w:t xml:space="preserve">, </w:t>
      </w:r>
      <w:proofErr w:type="spellStart"/>
      <w:r w:rsidRPr="00067F90">
        <w:t>Biochem</w:t>
      </w:r>
      <w:proofErr w:type="spellEnd"/>
      <w:r w:rsidRPr="00067F90">
        <w:t xml:space="preserve">. Cell Arch. </w:t>
      </w:r>
      <w:r w:rsidRPr="00067F90">
        <w:rPr>
          <w:rStyle w:val="Strong"/>
        </w:rPr>
        <w:t>19</w:t>
      </w:r>
      <w:r w:rsidRPr="00067F90">
        <w:t xml:space="preserve">(Suppl. 1), 2051–2053 (2019). </w:t>
      </w:r>
      <w:hyperlink r:id="rId27" w:tgtFrame="_new" w:history="1">
        <w:r w:rsidRPr="00067F90">
          <w:rPr>
            <w:rStyle w:val="Hyperlink"/>
            <w:color w:val="auto"/>
            <w:u w:val="none"/>
          </w:rPr>
          <w:t>https://www.connectjournals.com/file_html_pdf/3006400H_2051A.pdf</w:t>
        </w:r>
      </w:hyperlink>
      <w:r w:rsidRPr="00067F90">
        <w:t>.</w:t>
      </w:r>
    </w:p>
    <w:p w14:paraId="3D117F02" w14:textId="77777777" w:rsidR="00C04BF0" w:rsidRPr="00067F90" w:rsidRDefault="00C04BF0" w:rsidP="003114C0">
      <w:pPr>
        <w:pStyle w:val="Reference"/>
        <w:numPr>
          <w:ilvl w:val="0"/>
          <w:numId w:val="4"/>
        </w:numPr>
        <w:tabs>
          <w:tab w:val="clear" w:pos="720"/>
          <w:tab w:val="num" w:pos="284"/>
        </w:tabs>
        <w:ind w:left="284" w:hanging="284"/>
        <w:jc w:val="left"/>
      </w:pPr>
      <w:r w:rsidRPr="00067F90">
        <w:rPr>
          <w:lang w:val="fr-FR"/>
        </w:rPr>
        <w:t xml:space="preserve">S. B. </w:t>
      </w:r>
      <w:proofErr w:type="spellStart"/>
      <w:r w:rsidRPr="00067F90">
        <w:rPr>
          <w:lang w:val="fr-FR"/>
        </w:rPr>
        <w:t>Patra</w:t>
      </w:r>
      <w:proofErr w:type="spellEnd"/>
      <w:r w:rsidRPr="00067F90">
        <w:rPr>
          <w:lang w:val="fr-FR"/>
        </w:rPr>
        <w:t xml:space="preserve">, </w:t>
      </w:r>
      <w:proofErr w:type="spellStart"/>
      <w:r w:rsidRPr="00067F90">
        <w:rPr>
          <w:lang w:val="fr-FR"/>
        </w:rPr>
        <w:t>Sustain</w:t>
      </w:r>
      <w:proofErr w:type="spellEnd"/>
      <w:r w:rsidRPr="00067F90">
        <w:rPr>
          <w:lang w:val="fr-FR"/>
        </w:rPr>
        <w:t xml:space="preserve">. Agri. Food Environ. </w:t>
      </w:r>
      <w:r w:rsidRPr="00067F90">
        <w:t xml:space="preserve">Res. </w:t>
      </w:r>
      <w:r w:rsidRPr="00067F90">
        <w:rPr>
          <w:rStyle w:val="Strong"/>
        </w:rPr>
        <w:t>11</w:t>
      </w:r>
      <w:r w:rsidRPr="00067F90">
        <w:t>, (2023).</w:t>
      </w:r>
    </w:p>
    <w:p w14:paraId="516779C4" w14:textId="42EF654E" w:rsidR="00C04BF0" w:rsidRPr="00067F90" w:rsidRDefault="00C04BF0" w:rsidP="00D82BA3">
      <w:pPr>
        <w:pStyle w:val="Reference"/>
        <w:numPr>
          <w:ilvl w:val="0"/>
          <w:numId w:val="4"/>
        </w:numPr>
        <w:tabs>
          <w:tab w:val="clear" w:pos="720"/>
          <w:tab w:val="num" w:pos="284"/>
        </w:tabs>
        <w:ind w:left="284" w:hanging="284"/>
        <w:jc w:val="left"/>
      </w:pPr>
      <w:r w:rsidRPr="00067F90">
        <w:t xml:space="preserve">I. F. Abed, M. R. Nashaat and N. N. Mirza, Iraqi J. Sci. </w:t>
      </w:r>
      <w:r w:rsidRPr="00067F90">
        <w:rPr>
          <w:rStyle w:val="Strong"/>
        </w:rPr>
        <w:t>63</w:t>
      </w:r>
      <w:r w:rsidRPr="00067F90">
        <w:t xml:space="preserve">(2), 480–490 (2022). </w:t>
      </w:r>
    </w:p>
    <w:p w14:paraId="507A87C4" w14:textId="09B74606" w:rsidR="00C04BF0" w:rsidRPr="00067F90" w:rsidRDefault="00C04BF0" w:rsidP="003114C0">
      <w:pPr>
        <w:pStyle w:val="Reference"/>
        <w:numPr>
          <w:ilvl w:val="0"/>
          <w:numId w:val="4"/>
        </w:numPr>
        <w:tabs>
          <w:tab w:val="clear" w:pos="720"/>
          <w:tab w:val="num" w:pos="284"/>
        </w:tabs>
        <w:ind w:left="284" w:hanging="284"/>
        <w:jc w:val="left"/>
      </w:pPr>
      <w:r w:rsidRPr="00067F90">
        <w:rPr>
          <w:lang w:val="fr-FR"/>
        </w:rPr>
        <w:t xml:space="preserve">L. Bélanger, A. </w:t>
      </w:r>
      <w:proofErr w:type="spellStart"/>
      <w:r w:rsidRPr="00067F90">
        <w:rPr>
          <w:lang w:val="fr-FR"/>
        </w:rPr>
        <w:t>Garenaux</w:t>
      </w:r>
      <w:proofErr w:type="spellEnd"/>
      <w:r w:rsidRPr="00067F90">
        <w:rPr>
          <w:lang w:val="fr-FR"/>
        </w:rPr>
        <w:t xml:space="preserve">, J. Harel, M. Boulianne, E. Nadeau and C. M. </w:t>
      </w:r>
      <w:proofErr w:type="spellStart"/>
      <w:r w:rsidRPr="00067F90">
        <w:rPr>
          <w:lang w:val="fr-FR"/>
        </w:rPr>
        <w:t>Dozois</w:t>
      </w:r>
      <w:proofErr w:type="spellEnd"/>
      <w:r w:rsidRPr="00067F90">
        <w:rPr>
          <w:lang w:val="fr-FR"/>
        </w:rPr>
        <w:t xml:space="preserve">, FEMS </w:t>
      </w:r>
      <w:proofErr w:type="spellStart"/>
      <w:r w:rsidRPr="00067F90">
        <w:rPr>
          <w:lang w:val="fr-FR"/>
        </w:rPr>
        <w:t>Immunol</w:t>
      </w:r>
      <w:proofErr w:type="spellEnd"/>
      <w:r w:rsidRPr="00067F90">
        <w:rPr>
          <w:lang w:val="fr-FR"/>
        </w:rPr>
        <w:t xml:space="preserve">. </w:t>
      </w:r>
      <w:r w:rsidRPr="00067F90">
        <w:t xml:space="preserve">Med. </w:t>
      </w:r>
      <w:proofErr w:type="spellStart"/>
      <w:r w:rsidRPr="00067F90">
        <w:t>Microbiol</w:t>
      </w:r>
      <w:proofErr w:type="spellEnd"/>
      <w:r w:rsidRPr="00067F90">
        <w:t xml:space="preserve">. </w:t>
      </w:r>
      <w:r w:rsidRPr="00067F90">
        <w:rPr>
          <w:rStyle w:val="Strong"/>
        </w:rPr>
        <w:t>62</w:t>
      </w:r>
      <w:r w:rsidRPr="00067F90">
        <w:t xml:space="preserve">, 1–10 (2011). </w:t>
      </w:r>
      <w:hyperlink r:id="rId28" w:tgtFrame="_new" w:history="1">
        <w:r w:rsidRPr="00067F90">
          <w:rPr>
            <w:rStyle w:val="Hyperlink"/>
            <w:color w:val="auto"/>
            <w:u w:val="none"/>
          </w:rPr>
          <w:t>https://doi.org/10.1111/j.1574-695X.2011.00797.x</w:t>
        </w:r>
      </w:hyperlink>
    </w:p>
    <w:sectPr w:rsidR="00C04BF0" w:rsidRPr="00067F90" w:rsidSect="00343E0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9D5CE6"/>
    <w:multiLevelType w:val="multilevel"/>
    <w:tmpl w:val="377879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6" w15:restartNumberingAfterBreak="0">
    <w:nsid w:val="7D1E4491"/>
    <w:multiLevelType w:val="multilevel"/>
    <w:tmpl w:val="51B2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532624">
    <w:abstractNumId w:val="2"/>
  </w:num>
  <w:num w:numId="2" w16cid:durableId="1074159026">
    <w:abstractNumId w:val="1"/>
  </w:num>
  <w:num w:numId="3" w16cid:durableId="1859615632">
    <w:abstractNumId w:val="4"/>
  </w:num>
  <w:num w:numId="4" w16cid:durableId="1517578181">
    <w:abstractNumId w:val="6"/>
  </w:num>
  <w:num w:numId="5" w16cid:durableId="1682930938">
    <w:abstractNumId w:val="2"/>
  </w:num>
  <w:num w:numId="6" w16cid:durableId="1473250843">
    <w:abstractNumId w:val="2"/>
  </w:num>
  <w:num w:numId="7" w16cid:durableId="1945768151">
    <w:abstractNumId w:val="2"/>
  </w:num>
  <w:num w:numId="8" w16cid:durableId="1328707003">
    <w:abstractNumId w:val="2"/>
  </w:num>
  <w:num w:numId="9" w16cid:durableId="1501777736">
    <w:abstractNumId w:val="2"/>
  </w:num>
  <w:num w:numId="10" w16cid:durableId="1131744993">
    <w:abstractNumId w:val="2"/>
  </w:num>
  <w:num w:numId="11" w16cid:durableId="2141604323">
    <w:abstractNumId w:val="2"/>
  </w:num>
  <w:num w:numId="12" w16cid:durableId="713893601">
    <w:abstractNumId w:val="2"/>
  </w:num>
  <w:num w:numId="13" w16cid:durableId="1844589009">
    <w:abstractNumId w:val="2"/>
  </w:num>
  <w:num w:numId="14" w16cid:durableId="24520613">
    <w:abstractNumId w:val="2"/>
  </w:num>
  <w:num w:numId="15" w16cid:durableId="397484212">
    <w:abstractNumId w:val="2"/>
  </w:num>
  <w:num w:numId="16" w16cid:durableId="981810265">
    <w:abstractNumId w:val="2"/>
  </w:num>
  <w:num w:numId="17" w16cid:durableId="985208772">
    <w:abstractNumId w:val="2"/>
  </w:num>
  <w:num w:numId="18" w16cid:durableId="1299726782">
    <w:abstractNumId w:val="2"/>
  </w:num>
  <w:num w:numId="19" w16cid:durableId="1143499533">
    <w:abstractNumId w:val="2"/>
  </w:num>
  <w:num w:numId="20" w16cid:durableId="1929538505">
    <w:abstractNumId w:val="2"/>
  </w:num>
  <w:num w:numId="21" w16cid:durableId="1990594833">
    <w:abstractNumId w:val="2"/>
  </w:num>
  <w:num w:numId="22" w16cid:durableId="318967677">
    <w:abstractNumId w:val="2"/>
  </w:num>
  <w:num w:numId="23" w16cid:durableId="1910339667">
    <w:abstractNumId w:val="2"/>
  </w:num>
  <w:num w:numId="24" w16cid:durableId="47730294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B14"/>
    <w:rsid w:val="00003D7C"/>
    <w:rsid w:val="00006B6A"/>
    <w:rsid w:val="00014140"/>
    <w:rsid w:val="00027428"/>
    <w:rsid w:val="00031EC9"/>
    <w:rsid w:val="00037263"/>
    <w:rsid w:val="00053A7A"/>
    <w:rsid w:val="00066FED"/>
    <w:rsid w:val="00067F90"/>
    <w:rsid w:val="00073829"/>
    <w:rsid w:val="00075EA6"/>
    <w:rsid w:val="0007709F"/>
    <w:rsid w:val="00084E7C"/>
    <w:rsid w:val="00086F62"/>
    <w:rsid w:val="00090674"/>
    <w:rsid w:val="0009320B"/>
    <w:rsid w:val="00096AE0"/>
    <w:rsid w:val="000B1B74"/>
    <w:rsid w:val="000B3A2D"/>
    <w:rsid w:val="000B49C0"/>
    <w:rsid w:val="000E382F"/>
    <w:rsid w:val="000E56A1"/>
    <w:rsid w:val="000E75CD"/>
    <w:rsid w:val="001036BA"/>
    <w:rsid w:val="001146DC"/>
    <w:rsid w:val="00114AB1"/>
    <w:rsid w:val="00121FB0"/>
    <w:rsid w:val="001226B4"/>
    <w:rsid w:val="001230FF"/>
    <w:rsid w:val="00130BD7"/>
    <w:rsid w:val="00134DDD"/>
    <w:rsid w:val="00136FC4"/>
    <w:rsid w:val="00153DD7"/>
    <w:rsid w:val="00155B67"/>
    <w:rsid w:val="001562AF"/>
    <w:rsid w:val="00161A5B"/>
    <w:rsid w:val="0016385D"/>
    <w:rsid w:val="0016782F"/>
    <w:rsid w:val="00177156"/>
    <w:rsid w:val="001937E9"/>
    <w:rsid w:val="001964E5"/>
    <w:rsid w:val="001A25B0"/>
    <w:rsid w:val="001B263B"/>
    <w:rsid w:val="001B476A"/>
    <w:rsid w:val="001B48E3"/>
    <w:rsid w:val="001C450B"/>
    <w:rsid w:val="001C764F"/>
    <w:rsid w:val="001C7BB3"/>
    <w:rsid w:val="001D469C"/>
    <w:rsid w:val="001E3D24"/>
    <w:rsid w:val="001E746F"/>
    <w:rsid w:val="0021619E"/>
    <w:rsid w:val="00225D8E"/>
    <w:rsid w:val="0023171B"/>
    <w:rsid w:val="00233054"/>
    <w:rsid w:val="00236BFC"/>
    <w:rsid w:val="00237437"/>
    <w:rsid w:val="002436E9"/>
    <w:rsid w:val="002502FD"/>
    <w:rsid w:val="00262CCB"/>
    <w:rsid w:val="00264461"/>
    <w:rsid w:val="00274622"/>
    <w:rsid w:val="00285D24"/>
    <w:rsid w:val="00290390"/>
    <w:rsid w:val="002915D3"/>
    <w:rsid w:val="002924DB"/>
    <w:rsid w:val="002941DA"/>
    <w:rsid w:val="002A19C8"/>
    <w:rsid w:val="002A23B6"/>
    <w:rsid w:val="002B5648"/>
    <w:rsid w:val="002C0DB0"/>
    <w:rsid w:val="002D0571"/>
    <w:rsid w:val="002E3C35"/>
    <w:rsid w:val="002F5298"/>
    <w:rsid w:val="003114C0"/>
    <w:rsid w:val="0031495F"/>
    <w:rsid w:val="00322A9D"/>
    <w:rsid w:val="00326AE0"/>
    <w:rsid w:val="00337E4F"/>
    <w:rsid w:val="00340C36"/>
    <w:rsid w:val="00343E06"/>
    <w:rsid w:val="00346A9D"/>
    <w:rsid w:val="003734AB"/>
    <w:rsid w:val="003853A3"/>
    <w:rsid w:val="00391A8B"/>
    <w:rsid w:val="0039376F"/>
    <w:rsid w:val="003A287B"/>
    <w:rsid w:val="003A5C85"/>
    <w:rsid w:val="003A61B1"/>
    <w:rsid w:val="003A7746"/>
    <w:rsid w:val="003B0050"/>
    <w:rsid w:val="003C5866"/>
    <w:rsid w:val="003D6312"/>
    <w:rsid w:val="003E4D92"/>
    <w:rsid w:val="003E6FF9"/>
    <w:rsid w:val="003E7C74"/>
    <w:rsid w:val="003F31C6"/>
    <w:rsid w:val="003F41E4"/>
    <w:rsid w:val="0040225B"/>
    <w:rsid w:val="00402DA2"/>
    <w:rsid w:val="00425AC2"/>
    <w:rsid w:val="0044771F"/>
    <w:rsid w:val="004532B2"/>
    <w:rsid w:val="004837CC"/>
    <w:rsid w:val="004A1E35"/>
    <w:rsid w:val="004B151D"/>
    <w:rsid w:val="004C5E65"/>
    <w:rsid w:val="004C7243"/>
    <w:rsid w:val="004E21DE"/>
    <w:rsid w:val="004E3C57"/>
    <w:rsid w:val="004E3CB2"/>
    <w:rsid w:val="00501E77"/>
    <w:rsid w:val="00525813"/>
    <w:rsid w:val="005258B6"/>
    <w:rsid w:val="005261CF"/>
    <w:rsid w:val="00530A3E"/>
    <w:rsid w:val="0053513F"/>
    <w:rsid w:val="00547E9D"/>
    <w:rsid w:val="00574405"/>
    <w:rsid w:val="005745A1"/>
    <w:rsid w:val="005854B0"/>
    <w:rsid w:val="0058675E"/>
    <w:rsid w:val="005A0E21"/>
    <w:rsid w:val="005A234C"/>
    <w:rsid w:val="005B3A34"/>
    <w:rsid w:val="005B6262"/>
    <w:rsid w:val="005B67E0"/>
    <w:rsid w:val="005B72FE"/>
    <w:rsid w:val="005C2D4C"/>
    <w:rsid w:val="005D35D6"/>
    <w:rsid w:val="005D49AF"/>
    <w:rsid w:val="005E0CA8"/>
    <w:rsid w:val="005E35CE"/>
    <w:rsid w:val="005E415C"/>
    <w:rsid w:val="005E5535"/>
    <w:rsid w:val="005E71ED"/>
    <w:rsid w:val="005E7946"/>
    <w:rsid w:val="005F39F6"/>
    <w:rsid w:val="005F4F0C"/>
    <w:rsid w:val="005F7475"/>
    <w:rsid w:val="00611299"/>
    <w:rsid w:val="00613B4D"/>
    <w:rsid w:val="00616365"/>
    <w:rsid w:val="00616F3B"/>
    <w:rsid w:val="006249A7"/>
    <w:rsid w:val="00637E09"/>
    <w:rsid w:val="0064225B"/>
    <w:rsid w:val="00650043"/>
    <w:rsid w:val="00661AD6"/>
    <w:rsid w:val="006763F9"/>
    <w:rsid w:val="006949BC"/>
    <w:rsid w:val="006A4577"/>
    <w:rsid w:val="006D1229"/>
    <w:rsid w:val="006D372F"/>
    <w:rsid w:val="006D7A18"/>
    <w:rsid w:val="006E4474"/>
    <w:rsid w:val="006E44DE"/>
    <w:rsid w:val="006F6572"/>
    <w:rsid w:val="00701388"/>
    <w:rsid w:val="00723B7F"/>
    <w:rsid w:val="00725861"/>
    <w:rsid w:val="0073393A"/>
    <w:rsid w:val="0073539D"/>
    <w:rsid w:val="00767B8A"/>
    <w:rsid w:val="00775481"/>
    <w:rsid w:val="007819D5"/>
    <w:rsid w:val="007A233B"/>
    <w:rsid w:val="007A6FF5"/>
    <w:rsid w:val="007B4863"/>
    <w:rsid w:val="007C65E6"/>
    <w:rsid w:val="007D2E92"/>
    <w:rsid w:val="007D406B"/>
    <w:rsid w:val="007D4407"/>
    <w:rsid w:val="007E1CA3"/>
    <w:rsid w:val="007E382C"/>
    <w:rsid w:val="0080021D"/>
    <w:rsid w:val="00812D62"/>
    <w:rsid w:val="00812F29"/>
    <w:rsid w:val="00821713"/>
    <w:rsid w:val="00827050"/>
    <w:rsid w:val="0083278B"/>
    <w:rsid w:val="00834538"/>
    <w:rsid w:val="00850CDD"/>
    <w:rsid w:val="00850E89"/>
    <w:rsid w:val="008930E4"/>
    <w:rsid w:val="00893821"/>
    <w:rsid w:val="008A7B9C"/>
    <w:rsid w:val="008B39FA"/>
    <w:rsid w:val="008B3D3E"/>
    <w:rsid w:val="008B4754"/>
    <w:rsid w:val="008B4F48"/>
    <w:rsid w:val="008E3D6A"/>
    <w:rsid w:val="008E6A7A"/>
    <w:rsid w:val="008F1038"/>
    <w:rsid w:val="008F7046"/>
    <w:rsid w:val="009005FC"/>
    <w:rsid w:val="00922E5A"/>
    <w:rsid w:val="00937EA0"/>
    <w:rsid w:val="00943315"/>
    <w:rsid w:val="00946C27"/>
    <w:rsid w:val="00955425"/>
    <w:rsid w:val="00960965"/>
    <w:rsid w:val="009614AD"/>
    <w:rsid w:val="009749B5"/>
    <w:rsid w:val="009909E1"/>
    <w:rsid w:val="0099393C"/>
    <w:rsid w:val="009970CF"/>
    <w:rsid w:val="0099723C"/>
    <w:rsid w:val="009A4F3D"/>
    <w:rsid w:val="009B696B"/>
    <w:rsid w:val="009B7671"/>
    <w:rsid w:val="009C065C"/>
    <w:rsid w:val="009E44BF"/>
    <w:rsid w:val="009E5BA1"/>
    <w:rsid w:val="009F056E"/>
    <w:rsid w:val="009F0B9F"/>
    <w:rsid w:val="00A24F3D"/>
    <w:rsid w:val="00A26DCD"/>
    <w:rsid w:val="00A314BB"/>
    <w:rsid w:val="00A32B7D"/>
    <w:rsid w:val="00A5596B"/>
    <w:rsid w:val="00A646B3"/>
    <w:rsid w:val="00A6739B"/>
    <w:rsid w:val="00A90413"/>
    <w:rsid w:val="00AA1706"/>
    <w:rsid w:val="00AA728C"/>
    <w:rsid w:val="00AA7C44"/>
    <w:rsid w:val="00AB0A9C"/>
    <w:rsid w:val="00AB668B"/>
    <w:rsid w:val="00AB7119"/>
    <w:rsid w:val="00AC08AF"/>
    <w:rsid w:val="00AD5855"/>
    <w:rsid w:val="00AE4301"/>
    <w:rsid w:val="00AE6111"/>
    <w:rsid w:val="00AE7500"/>
    <w:rsid w:val="00AE7F87"/>
    <w:rsid w:val="00AF3542"/>
    <w:rsid w:val="00AF5ABE"/>
    <w:rsid w:val="00AF6187"/>
    <w:rsid w:val="00B00415"/>
    <w:rsid w:val="00B03C2A"/>
    <w:rsid w:val="00B1000D"/>
    <w:rsid w:val="00B10134"/>
    <w:rsid w:val="00B16BFE"/>
    <w:rsid w:val="00B20238"/>
    <w:rsid w:val="00B44FAC"/>
    <w:rsid w:val="00B500E5"/>
    <w:rsid w:val="00B57FDC"/>
    <w:rsid w:val="00BA39BB"/>
    <w:rsid w:val="00BA3B3D"/>
    <w:rsid w:val="00BA4024"/>
    <w:rsid w:val="00BB28D0"/>
    <w:rsid w:val="00BB2958"/>
    <w:rsid w:val="00BB7EEA"/>
    <w:rsid w:val="00BD1909"/>
    <w:rsid w:val="00BE5E16"/>
    <w:rsid w:val="00BE5FD1"/>
    <w:rsid w:val="00C04BF0"/>
    <w:rsid w:val="00C06E05"/>
    <w:rsid w:val="00C14B14"/>
    <w:rsid w:val="00C17370"/>
    <w:rsid w:val="00C2054D"/>
    <w:rsid w:val="00C252EB"/>
    <w:rsid w:val="00C26EC0"/>
    <w:rsid w:val="00C31463"/>
    <w:rsid w:val="00C3589E"/>
    <w:rsid w:val="00C36821"/>
    <w:rsid w:val="00C3771E"/>
    <w:rsid w:val="00C56C77"/>
    <w:rsid w:val="00C75360"/>
    <w:rsid w:val="00C76C66"/>
    <w:rsid w:val="00C84923"/>
    <w:rsid w:val="00CA44C9"/>
    <w:rsid w:val="00CA667A"/>
    <w:rsid w:val="00CB7B3E"/>
    <w:rsid w:val="00CC479E"/>
    <w:rsid w:val="00CC48DC"/>
    <w:rsid w:val="00CC739D"/>
    <w:rsid w:val="00CE040C"/>
    <w:rsid w:val="00D04468"/>
    <w:rsid w:val="00D30640"/>
    <w:rsid w:val="00D34133"/>
    <w:rsid w:val="00D36257"/>
    <w:rsid w:val="00D45737"/>
    <w:rsid w:val="00D4687E"/>
    <w:rsid w:val="00D53A12"/>
    <w:rsid w:val="00D63980"/>
    <w:rsid w:val="00D82BA3"/>
    <w:rsid w:val="00D87E2A"/>
    <w:rsid w:val="00D90504"/>
    <w:rsid w:val="00DA099B"/>
    <w:rsid w:val="00DB0C43"/>
    <w:rsid w:val="00DD30A1"/>
    <w:rsid w:val="00DE3354"/>
    <w:rsid w:val="00DE7313"/>
    <w:rsid w:val="00DF7DCD"/>
    <w:rsid w:val="00E4455A"/>
    <w:rsid w:val="00E50B7D"/>
    <w:rsid w:val="00E57834"/>
    <w:rsid w:val="00E807A0"/>
    <w:rsid w:val="00E83D5B"/>
    <w:rsid w:val="00E904A1"/>
    <w:rsid w:val="00EB7D28"/>
    <w:rsid w:val="00EC0D0C"/>
    <w:rsid w:val="00ED4A2C"/>
    <w:rsid w:val="00EE3C0E"/>
    <w:rsid w:val="00EF402A"/>
    <w:rsid w:val="00EF6940"/>
    <w:rsid w:val="00F2044A"/>
    <w:rsid w:val="00F20BFC"/>
    <w:rsid w:val="00F24D5F"/>
    <w:rsid w:val="00F43DA9"/>
    <w:rsid w:val="00F50F03"/>
    <w:rsid w:val="00F61CA4"/>
    <w:rsid w:val="00F726C3"/>
    <w:rsid w:val="00F72CEB"/>
    <w:rsid w:val="00F77473"/>
    <w:rsid w:val="00F820CA"/>
    <w:rsid w:val="00F8279F"/>
    <w:rsid w:val="00F8522A"/>
    <w:rsid w:val="00F8554C"/>
    <w:rsid w:val="00F95F82"/>
    <w:rsid w:val="00F97A90"/>
    <w:rsid w:val="00FA5237"/>
    <w:rsid w:val="00FC2F35"/>
    <w:rsid w:val="00FC3FD7"/>
    <w:rsid w:val="00FC69EC"/>
    <w:rsid w:val="00FD1FC6"/>
    <w:rsid w:val="00FE5869"/>
    <w:rsid w:val="00FE5C64"/>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6ED77D12-C4E5-4C1D-ACDD-5EDB6B5F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
    <w:name w:val="إشارة لم يتم حلها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5D35D6"/>
    <w:rPr>
      <w:color w:val="808080"/>
    </w:rPr>
  </w:style>
  <w:style w:type="paragraph" w:customStyle="1" w:styleId="Default">
    <w:name w:val="Default"/>
    <w:qFormat/>
    <w:rsid w:val="005745A1"/>
    <w:pPr>
      <w:autoSpaceDE w:val="0"/>
      <w:autoSpaceDN w:val="0"/>
      <w:adjustRightInd w:val="0"/>
    </w:pPr>
    <w:rPr>
      <w:rFonts w:eastAsiaTheme="minorHAnsi"/>
      <w:color w:val="000000"/>
      <w:sz w:val="24"/>
      <w:szCs w:val="24"/>
      <w:lang w:val="en-US" w:eastAsia="en-US"/>
    </w:rPr>
  </w:style>
  <w:style w:type="table" w:styleId="LightShading-Accent3">
    <w:name w:val="Light Shading Accent 3"/>
    <w:basedOn w:val="TableNormal"/>
    <w:uiPriority w:val="60"/>
    <w:rsid w:val="005745A1"/>
    <w:rPr>
      <w:rFonts w:asciiTheme="minorHAnsi" w:eastAsiaTheme="minorHAnsi"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61">
      <w:bodyDiv w:val="1"/>
      <w:marLeft w:val="0"/>
      <w:marRight w:val="0"/>
      <w:marTop w:val="0"/>
      <w:marBottom w:val="0"/>
      <w:divBdr>
        <w:top w:val="none" w:sz="0" w:space="0" w:color="auto"/>
        <w:left w:val="none" w:sz="0" w:space="0" w:color="auto"/>
        <w:bottom w:val="none" w:sz="0" w:space="0" w:color="auto"/>
        <w:right w:val="none" w:sz="0" w:space="0" w:color="auto"/>
      </w:divBdr>
    </w:div>
    <w:div w:id="68157709">
      <w:bodyDiv w:val="1"/>
      <w:marLeft w:val="0"/>
      <w:marRight w:val="0"/>
      <w:marTop w:val="0"/>
      <w:marBottom w:val="0"/>
      <w:divBdr>
        <w:top w:val="none" w:sz="0" w:space="0" w:color="auto"/>
        <w:left w:val="none" w:sz="0" w:space="0" w:color="auto"/>
        <w:bottom w:val="none" w:sz="0" w:space="0" w:color="auto"/>
        <w:right w:val="none" w:sz="0" w:space="0" w:color="auto"/>
      </w:divBdr>
    </w:div>
    <w:div w:id="274168643">
      <w:bodyDiv w:val="1"/>
      <w:marLeft w:val="0"/>
      <w:marRight w:val="0"/>
      <w:marTop w:val="0"/>
      <w:marBottom w:val="0"/>
      <w:divBdr>
        <w:top w:val="none" w:sz="0" w:space="0" w:color="auto"/>
        <w:left w:val="none" w:sz="0" w:space="0" w:color="auto"/>
        <w:bottom w:val="none" w:sz="0" w:space="0" w:color="auto"/>
        <w:right w:val="none" w:sz="0" w:space="0" w:color="auto"/>
      </w:divBdr>
    </w:div>
    <w:div w:id="558326321">
      <w:bodyDiv w:val="1"/>
      <w:marLeft w:val="0"/>
      <w:marRight w:val="0"/>
      <w:marTop w:val="0"/>
      <w:marBottom w:val="0"/>
      <w:divBdr>
        <w:top w:val="none" w:sz="0" w:space="0" w:color="auto"/>
        <w:left w:val="none" w:sz="0" w:space="0" w:color="auto"/>
        <w:bottom w:val="none" w:sz="0" w:space="0" w:color="auto"/>
        <w:right w:val="none" w:sz="0" w:space="0" w:color="auto"/>
      </w:divBdr>
    </w:div>
    <w:div w:id="664555579">
      <w:bodyDiv w:val="1"/>
      <w:marLeft w:val="0"/>
      <w:marRight w:val="0"/>
      <w:marTop w:val="0"/>
      <w:marBottom w:val="0"/>
      <w:divBdr>
        <w:top w:val="none" w:sz="0" w:space="0" w:color="auto"/>
        <w:left w:val="none" w:sz="0" w:space="0" w:color="auto"/>
        <w:bottom w:val="none" w:sz="0" w:space="0" w:color="auto"/>
        <w:right w:val="none" w:sz="0" w:space="0" w:color="auto"/>
      </w:divBdr>
    </w:div>
    <w:div w:id="753206568">
      <w:bodyDiv w:val="1"/>
      <w:marLeft w:val="0"/>
      <w:marRight w:val="0"/>
      <w:marTop w:val="0"/>
      <w:marBottom w:val="0"/>
      <w:divBdr>
        <w:top w:val="none" w:sz="0" w:space="0" w:color="auto"/>
        <w:left w:val="none" w:sz="0" w:space="0" w:color="auto"/>
        <w:bottom w:val="none" w:sz="0" w:space="0" w:color="auto"/>
        <w:right w:val="none" w:sz="0" w:space="0" w:color="auto"/>
      </w:divBdr>
    </w:div>
    <w:div w:id="801852996">
      <w:bodyDiv w:val="1"/>
      <w:marLeft w:val="0"/>
      <w:marRight w:val="0"/>
      <w:marTop w:val="0"/>
      <w:marBottom w:val="0"/>
      <w:divBdr>
        <w:top w:val="none" w:sz="0" w:space="0" w:color="auto"/>
        <w:left w:val="none" w:sz="0" w:space="0" w:color="auto"/>
        <w:bottom w:val="none" w:sz="0" w:space="0" w:color="auto"/>
        <w:right w:val="none" w:sz="0" w:space="0" w:color="auto"/>
      </w:divBdr>
    </w:div>
    <w:div w:id="851652587">
      <w:bodyDiv w:val="1"/>
      <w:marLeft w:val="0"/>
      <w:marRight w:val="0"/>
      <w:marTop w:val="0"/>
      <w:marBottom w:val="0"/>
      <w:divBdr>
        <w:top w:val="none" w:sz="0" w:space="0" w:color="auto"/>
        <w:left w:val="none" w:sz="0" w:space="0" w:color="auto"/>
        <w:bottom w:val="none" w:sz="0" w:space="0" w:color="auto"/>
        <w:right w:val="none" w:sz="0" w:space="0" w:color="auto"/>
      </w:divBdr>
    </w:div>
    <w:div w:id="886718407">
      <w:bodyDiv w:val="1"/>
      <w:marLeft w:val="0"/>
      <w:marRight w:val="0"/>
      <w:marTop w:val="0"/>
      <w:marBottom w:val="0"/>
      <w:divBdr>
        <w:top w:val="none" w:sz="0" w:space="0" w:color="auto"/>
        <w:left w:val="none" w:sz="0" w:space="0" w:color="auto"/>
        <w:bottom w:val="none" w:sz="0" w:space="0" w:color="auto"/>
        <w:right w:val="none" w:sz="0" w:space="0" w:color="auto"/>
      </w:divBdr>
    </w:div>
    <w:div w:id="927273273">
      <w:bodyDiv w:val="1"/>
      <w:marLeft w:val="0"/>
      <w:marRight w:val="0"/>
      <w:marTop w:val="0"/>
      <w:marBottom w:val="0"/>
      <w:divBdr>
        <w:top w:val="none" w:sz="0" w:space="0" w:color="auto"/>
        <w:left w:val="none" w:sz="0" w:space="0" w:color="auto"/>
        <w:bottom w:val="none" w:sz="0" w:space="0" w:color="auto"/>
        <w:right w:val="none" w:sz="0" w:space="0" w:color="auto"/>
      </w:divBdr>
    </w:div>
    <w:div w:id="929848136">
      <w:bodyDiv w:val="1"/>
      <w:marLeft w:val="0"/>
      <w:marRight w:val="0"/>
      <w:marTop w:val="0"/>
      <w:marBottom w:val="0"/>
      <w:divBdr>
        <w:top w:val="none" w:sz="0" w:space="0" w:color="auto"/>
        <w:left w:val="none" w:sz="0" w:space="0" w:color="auto"/>
        <w:bottom w:val="none" w:sz="0" w:space="0" w:color="auto"/>
        <w:right w:val="none" w:sz="0" w:space="0" w:color="auto"/>
      </w:divBdr>
    </w:div>
    <w:div w:id="1033773179">
      <w:bodyDiv w:val="1"/>
      <w:marLeft w:val="0"/>
      <w:marRight w:val="0"/>
      <w:marTop w:val="0"/>
      <w:marBottom w:val="0"/>
      <w:divBdr>
        <w:top w:val="none" w:sz="0" w:space="0" w:color="auto"/>
        <w:left w:val="none" w:sz="0" w:space="0" w:color="auto"/>
        <w:bottom w:val="none" w:sz="0" w:space="0" w:color="auto"/>
        <w:right w:val="none" w:sz="0" w:space="0" w:color="auto"/>
      </w:divBdr>
    </w:div>
    <w:div w:id="1215046348">
      <w:bodyDiv w:val="1"/>
      <w:marLeft w:val="0"/>
      <w:marRight w:val="0"/>
      <w:marTop w:val="0"/>
      <w:marBottom w:val="0"/>
      <w:divBdr>
        <w:top w:val="none" w:sz="0" w:space="0" w:color="auto"/>
        <w:left w:val="none" w:sz="0" w:space="0" w:color="auto"/>
        <w:bottom w:val="none" w:sz="0" w:space="0" w:color="auto"/>
        <w:right w:val="none" w:sz="0" w:space="0" w:color="auto"/>
      </w:divBdr>
    </w:div>
    <w:div w:id="125076815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01155066">
      <w:bodyDiv w:val="1"/>
      <w:marLeft w:val="0"/>
      <w:marRight w:val="0"/>
      <w:marTop w:val="0"/>
      <w:marBottom w:val="0"/>
      <w:divBdr>
        <w:top w:val="none" w:sz="0" w:space="0" w:color="auto"/>
        <w:left w:val="none" w:sz="0" w:space="0" w:color="auto"/>
        <w:bottom w:val="none" w:sz="0" w:space="0" w:color="auto"/>
        <w:right w:val="none" w:sz="0" w:space="0" w:color="auto"/>
      </w:divBdr>
    </w:div>
    <w:div w:id="1318416329">
      <w:bodyDiv w:val="1"/>
      <w:marLeft w:val="0"/>
      <w:marRight w:val="0"/>
      <w:marTop w:val="0"/>
      <w:marBottom w:val="0"/>
      <w:divBdr>
        <w:top w:val="none" w:sz="0" w:space="0" w:color="auto"/>
        <w:left w:val="none" w:sz="0" w:space="0" w:color="auto"/>
        <w:bottom w:val="none" w:sz="0" w:space="0" w:color="auto"/>
        <w:right w:val="none" w:sz="0" w:space="0" w:color="auto"/>
      </w:divBdr>
    </w:div>
    <w:div w:id="1347712239">
      <w:bodyDiv w:val="1"/>
      <w:marLeft w:val="0"/>
      <w:marRight w:val="0"/>
      <w:marTop w:val="0"/>
      <w:marBottom w:val="0"/>
      <w:divBdr>
        <w:top w:val="none" w:sz="0" w:space="0" w:color="auto"/>
        <w:left w:val="none" w:sz="0" w:space="0" w:color="auto"/>
        <w:bottom w:val="none" w:sz="0" w:space="0" w:color="auto"/>
        <w:right w:val="none" w:sz="0" w:space="0" w:color="auto"/>
      </w:divBdr>
    </w:div>
    <w:div w:id="1513958261">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6874262">
      <w:bodyDiv w:val="1"/>
      <w:marLeft w:val="0"/>
      <w:marRight w:val="0"/>
      <w:marTop w:val="0"/>
      <w:marBottom w:val="0"/>
      <w:divBdr>
        <w:top w:val="none" w:sz="0" w:space="0" w:color="auto"/>
        <w:left w:val="none" w:sz="0" w:space="0" w:color="auto"/>
        <w:bottom w:val="none" w:sz="0" w:space="0" w:color="auto"/>
        <w:right w:val="none" w:sz="0" w:space="0" w:color="auto"/>
      </w:divBdr>
    </w:div>
    <w:div w:id="1819616280">
      <w:bodyDiv w:val="1"/>
      <w:marLeft w:val="0"/>
      <w:marRight w:val="0"/>
      <w:marTop w:val="0"/>
      <w:marBottom w:val="0"/>
      <w:divBdr>
        <w:top w:val="none" w:sz="0" w:space="0" w:color="auto"/>
        <w:left w:val="none" w:sz="0" w:space="0" w:color="auto"/>
        <w:bottom w:val="none" w:sz="0" w:space="0" w:color="auto"/>
        <w:right w:val="none" w:sz="0" w:space="0" w:color="auto"/>
      </w:divBdr>
    </w:div>
    <w:div w:id="1931161991">
      <w:bodyDiv w:val="1"/>
      <w:marLeft w:val="0"/>
      <w:marRight w:val="0"/>
      <w:marTop w:val="0"/>
      <w:marBottom w:val="0"/>
      <w:divBdr>
        <w:top w:val="none" w:sz="0" w:space="0" w:color="auto"/>
        <w:left w:val="none" w:sz="0" w:space="0" w:color="auto"/>
        <w:bottom w:val="none" w:sz="0" w:space="0" w:color="auto"/>
        <w:right w:val="none" w:sz="0" w:space="0" w:color="auto"/>
      </w:divBdr>
    </w:div>
    <w:div w:id="1952584562">
      <w:bodyDiv w:val="1"/>
      <w:marLeft w:val="0"/>
      <w:marRight w:val="0"/>
      <w:marTop w:val="0"/>
      <w:marBottom w:val="0"/>
      <w:divBdr>
        <w:top w:val="none" w:sz="0" w:space="0" w:color="auto"/>
        <w:left w:val="none" w:sz="0" w:space="0" w:color="auto"/>
        <w:bottom w:val="none" w:sz="0" w:space="0" w:color="auto"/>
        <w:right w:val="none" w:sz="0" w:space="0" w:color="auto"/>
      </w:divBdr>
    </w:div>
    <w:div w:id="200685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doi.org/10.1007/s12517-022-10308-4" TargetMode="External"/><Relationship Id="rId26" Type="http://schemas.openxmlformats.org/officeDocument/2006/relationships/hyperlink" Target="https://doi.org/10.24996/ijs.2022.63.4.7" TargetMode="External"/><Relationship Id="rId3" Type="http://schemas.openxmlformats.org/officeDocument/2006/relationships/customXml" Target="../customXml/item3.xml"/><Relationship Id="rId21" Type="http://schemas.openxmlformats.org/officeDocument/2006/relationships/hyperlink" Target="https://doi.org/10.1016/j.micpro.2022.104603"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connectjournals.com/03896.2020.20.6375" TargetMode="External"/><Relationship Id="rId25" Type="http://schemas.openxmlformats.org/officeDocument/2006/relationships/hyperlink" Target="https://doi.org/10.24996/ijs.2024.65.3.8" TargetMode="External"/><Relationship Id="rId2" Type="http://schemas.openxmlformats.org/officeDocument/2006/relationships/customXml" Target="../customXml/item2.xml"/><Relationship Id="rId16" Type="http://schemas.openxmlformats.org/officeDocument/2006/relationships/hyperlink" Target="https://doi.org/10.4236/ojss.2024.141003" TargetMode="External"/><Relationship Id="rId20" Type="http://schemas.openxmlformats.org/officeDocument/2006/relationships/hyperlink" Target="https://doi.org/10.3390/rs151435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doi.org/10.31026/j.eng.2019.10.6" TargetMode="External"/><Relationship Id="rId5" Type="http://schemas.openxmlformats.org/officeDocument/2006/relationships/numbering" Target="numbering.xml"/><Relationship Id="rId15" Type="http://schemas.openxmlformats.org/officeDocument/2006/relationships/hyperlink" Target="https://doi.org/10.1088/1755-1315/1120/1/012040" TargetMode="External"/><Relationship Id="rId23" Type="http://schemas.openxmlformats.org/officeDocument/2006/relationships/hyperlink" Target="http://www.connectjournals.com/toc/CJ-033216/18/2018/02/October" TargetMode="External"/><Relationship Id="rId28" Type="http://schemas.openxmlformats.org/officeDocument/2006/relationships/hyperlink" Target="https://doi.org/10.1111/j.1574-695X.2011.00797.x" TargetMode="External"/><Relationship Id="rId10" Type="http://schemas.openxmlformats.org/officeDocument/2006/relationships/image" Target="media/image2.png"/><Relationship Id="rId19" Type="http://schemas.openxmlformats.org/officeDocument/2006/relationships/hyperlink" Target="https://doi.org/10.1007/978-3-031-24156-9_2"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doi.org/10.1029/2008EO100001" TargetMode="External"/><Relationship Id="rId22" Type="http://schemas.openxmlformats.org/officeDocument/2006/relationships/hyperlink" Target="https://doi.org/10.26842/binhm.7.2021.16.4.0469" TargetMode="External"/><Relationship Id="rId27" Type="http://schemas.openxmlformats.org/officeDocument/2006/relationships/hyperlink" Target="https://www.connectjournals.com/file_html_pdf/3006400H_2051A.pdf"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C263EE5-EAF6-4A11-9E23-34E98037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15</TotalTime>
  <Pages>7</Pages>
  <Words>3487</Words>
  <Characters>19880</Characters>
  <Application>Microsoft Office Word</Application>
  <DocSecurity>0</DocSecurity>
  <Lines>165</Lines>
  <Paragraphs>46</Paragraphs>
  <ScaleCrop>false</ScaleCrop>
  <HeadingPairs>
    <vt:vector size="2" baseType="variant">
      <vt:variant>
        <vt:lpstr>العنوان</vt:lpstr>
      </vt:variant>
      <vt:variant>
        <vt:i4>1</vt:i4>
      </vt:variant>
    </vt:vector>
  </HeadingPairs>
  <TitlesOfParts>
    <vt:vector size="1" baseType="lpstr">
      <vt:lpstr>Title Goes Here</vt:lpstr>
    </vt:vector>
  </TitlesOfParts>
  <Company>PPI</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13</cp:revision>
  <cp:lastPrinted>2011-03-03T08:29:00Z</cp:lastPrinted>
  <dcterms:created xsi:type="dcterms:W3CDTF">2025-11-16T13:58:00Z</dcterms:created>
  <dcterms:modified xsi:type="dcterms:W3CDTF">2025-12-06T17:57:00Z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84ba3b21-e9e4-43f1-80fb-2c74c993be45</vt:lpwstr>
  </property>
</Properties>
</file>