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78489" w14:textId="77777777" w:rsidR="00035680" w:rsidRDefault="00035680" w:rsidP="00D30640">
      <w:pPr>
        <w:pStyle w:val="PaperTitle"/>
        <w:spacing w:before="0"/>
      </w:pPr>
    </w:p>
    <w:p w14:paraId="196FDEE5" w14:textId="4CFB8B9B" w:rsidR="00AF4681" w:rsidRPr="003059BA" w:rsidRDefault="00D9784E" w:rsidP="00D30640">
      <w:pPr>
        <w:pStyle w:val="PaperTitle"/>
        <w:spacing w:before="0"/>
      </w:pPr>
      <w:r w:rsidRPr="003059BA">
        <w:t>Towards Heat</w:t>
      </w:r>
      <w:r w:rsidR="0001290B" w:rsidRPr="003059BA">
        <w:t>-</w:t>
      </w:r>
      <w:r w:rsidRPr="003059BA">
        <w:t>Resilient Photovoltaics: Experimental Evidence of Performance Losses in the Far North Region of Cameroon</w:t>
      </w:r>
    </w:p>
    <w:p w14:paraId="548D96A3" w14:textId="2DFF188C" w:rsidR="00C14B14" w:rsidRPr="003059BA" w:rsidRDefault="006579D0" w:rsidP="2F830975">
      <w:pPr>
        <w:pStyle w:val="AuthorName"/>
        <w:rPr>
          <w:sz w:val="20"/>
          <w:lang w:val="fr-FR" w:eastAsia="en-GB"/>
        </w:rPr>
      </w:pPr>
      <w:proofErr w:type="spellStart"/>
      <w:r w:rsidRPr="003059BA">
        <w:rPr>
          <w:lang w:val="fr-FR"/>
        </w:rPr>
        <w:t>Bidias</w:t>
      </w:r>
      <w:proofErr w:type="spellEnd"/>
      <w:r w:rsidRPr="003059BA">
        <w:rPr>
          <w:lang w:val="fr-FR"/>
        </w:rPr>
        <w:t xml:space="preserve"> Jean Benjamin</w:t>
      </w:r>
      <w:r w:rsidRPr="003059BA">
        <w:rPr>
          <w:vertAlign w:val="superscript"/>
          <w:lang w:val="fr-FR"/>
        </w:rPr>
        <w:t>1</w:t>
      </w:r>
      <w:r w:rsidRPr="003059BA">
        <w:rPr>
          <w:lang w:val="fr-FR"/>
        </w:rPr>
        <w:t xml:space="preserve">, </w:t>
      </w:r>
      <w:r w:rsidR="00AF4681" w:rsidRPr="003059BA">
        <w:rPr>
          <w:lang w:val="fr-FR"/>
        </w:rPr>
        <w:t>Boukar Bakang</w:t>
      </w:r>
      <w:r w:rsidR="00EF6940" w:rsidRPr="003059BA">
        <w:rPr>
          <w:vertAlign w:val="superscript"/>
          <w:lang w:val="fr-FR"/>
        </w:rPr>
        <w:t>1</w:t>
      </w:r>
      <w:r w:rsidR="00AF4681" w:rsidRPr="003059BA">
        <w:rPr>
          <w:lang w:val="fr-FR"/>
        </w:rPr>
        <w:t xml:space="preserve">, </w:t>
      </w:r>
      <w:proofErr w:type="spellStart"/>
      <w:r w:rsidRPr="006579D0">
        <w:rPr>
          <w:lang w:val="fr-FR"/>
        </w:rPr>
        <w:t>Memtine</w:t>
      </w:r>
      <w:proofErr w:type="spellEnd"/>
      <w:r w:rsidRPr="006579D0">
        <w:rPr>
          <w:lang w:val="fr-FR"/>
        </w:rPr>
        <w:t xml:space="preserve"> </w:t>
      </w:r>
      <w:proofErr w:type="spellStart"/>
      <w:r w:rsidRPr="006579D0">
        <w:rPr>
          <w:lang w:val="fr-FR"/>
        </w:rPr>
        <w:t>Ndong</w:t>
      </w:r>
      <w:proofErr w:type="spellEnd"/>
      <w:r w:rsidRPr="006579D0">
        <w:rPr>
          <w:lang w:val="fr-FR"/>
        </w:rPr>
        <w:t xml:space="preserve"> Augustin</w:t>
      </w:r>
      <w:r w:rsidRPr="003059BA">
        <w:rPr>
          <w:vertAlign w:val="superscript"/>
          <w:lang w:val="fr-FR"/>
        </w:rPr>
        <w:t>1</w:t>
      </w:r>
      <w:r w:rsidR="00EC0988" w:rsidRPr="003059BA">
        <w:rPr>
          <w:lang w:val="fr-FR"/>
        </w:rPr>
        <w:t xml:space="preserve">, </w:t>
      </w:r>
      <w:proofErr w:type="spellStart"/>
      <w:r w:rsidR="00AF4681" w:rsidRPr="003059BA">
        <w:rPr>
          <w:lang w:val="fr-FR"/>
        </w:rPr>
        <w:t>Kidmo</w:t>
      </w:r>
      <w:proofErr w:type="spellEnd"/>
      <w:r w:rsidR="00AF4681" w:rsidRPr="003059BA">
        <w:rPr>
          <w:lang w:val="fr-FR"/>
        </w:rPr>
        <w:t xml:space="preserve"> </w:t>
      </w:r>
      <w:proofErr w:type="spellStart"/>
      <w:r w:rsidR="00AF4681" w:rsidRPr="003059BA">
        <w:rPr>
          <w:lang w:val="fr-FR"/>
        </w:rPr>
        <w:t>Kaoga</w:t>
      </w:r>
      <w:proofErr w:type="spellEnd"/>
      <w:r w:rsidR="00AF4681" w:rsidRPr="003059BA">
        <w:rPr>
          <w:lang w:val="fr-FR"/>
        </w:rPr>
        <w:t xml:space="preserve"> Dieudonné</w:t>
      </w:r>
      <w:r w:rsidR="00AF4681" w:rsidRPr="003059BA">
        <w:rPr>
          <w:vertAlign w:val="superscript"/>
          <w:lang w:val="fr-FR"/>
        </w:rPr>
        <w:t>1, a)</w:t>
      </w:r>
      <w:r w:rsidR="00AF4681" w:rsidRPr="003059BA">
        <w:rPr>
          <w:lang w:val="fr-FR"/>
        </w:rPr>
        <w:t xml:space="preserve"> </w:t>
      </w:r>
      <w:r w:rsidR="0016385D" w:rsidRPr="003059BA">
        <w:rPr>
          <w:lang w:val="fr-FR"/>
        </w:rPr>
        <w:t xml:space="preserve">and </w:t>
      </w:r>
      <w:proofErr w:type="spellStart"/>
      <w:r w:rsidR="00AF4681" w:rsidRPr="003059BA">
        <w:rPr>
          <w:lang w:val="fr-FR"/>
        </w:rPr>
        <w:t>Nsouandele</w:t>
      </w:r>
      <w:proofErr w:type="spellEnd"/>
      <w:r w:rsidR="00AF4681" w:rsidRPr="003059BA">
        <w:rPr>
          <w:lang w:val="fr-FR"/>
        </w:rPr>
        <w:t xml:space="preserve"> Jean</w:t>
      </w:r>
      <w:r w:rsidR="0001290B" w:rsidRPr="003059BA">
        <w:rPr>
          <w:lang w:val="fr-FR"/>
        </w:rPr>
        <w:t>-</w:t>
      </w:r>
      <w:r w:rsidR="00AF4681" w:rsidRPr="003059BA">
        <w:rPr>
          <w:lang w:val="fr-FR"/>
        </w:rPr>
        <w:t>Luc Dit Bouerdjila</w:t>
      </w:r>
      <w:r w:rsidR="00EC0988" w:rsidRPr="003059BA">
        <w:rPr>
          <w:vertAlign w:val="superscript"/>
          <w:lang w:val="fr-FR"/>
        </w:rPr>
        <w:t>1</w:t>
      </w:r>
    </w:p>
    <w:p w14:paraId="5E05E235" w14:textId="751B5EC8" w:rsidR="003A5C85" w:rsidRPr="003059BA" w:rsidRDefault="00027428" w:rsidP="0072325A">
      <w:pPr>
        <w:pStyle w:val="AuthorAffiliation"/>
      </w:pPr>
      <w:r w:rsidRPr="003059BA">
        <w:rPr>
          <w:i w:val="0"/>
          <w:iCs/>
          <w:vertAlign w:val="superscript"/>
        </w:rPr>
        <w:t>1</w:t>
      </w:r>
      <w:r w:rsidR="00AF4681" w:rsidRPr="003059BA">
        <w:t>National Advanced School of Engineering of Maroua, University of Maroua, P.O. Box 46 Maroua</w:t>
      </w:r>
      <w:r w:rsidR="00345FDE" w:rsidRPr="003059BA">
        <w:t>, Cameroon</w:t>
      </w:r>
      <w:r w:rsidR="00336887">
        <w:t>.</w:t>
      </w:r>
      <w:r w:rsidR="0016385D" w:rsidRPr="003059BA">
        <w:t xml:space="preserve"> </w:t>
      </w:r>
      <w:r w:rsidR="00345FDE" w:rsidRPr="003059BA">
        <w:br/>
      </w:r>
      <w:r w:rsidR="0016782F" w:rsidRPr="003059BA">
        <w:br/>
      </w:r>
      <w:r w:rsidR="00003D7C" w:rsidRPr="003059BA">
        <w:rPr>
          <w:szCs w:val="28"/>
          <w:vertAlign w:val="superscript"/>
        </w:rPr>
        <w:t>a)</w:t>
      </w:r>
      <w:r w:rsidR="00003D7C" w:rsidRPr="003059BA">
        <w:t xml:space="preserve"> Corresponding</w:t>
      </w:r>
      <w:r w:rsidR="004E3CB2" w:rsidRPr="003059BA">
        <w:t xml:space="preserve"> author: </w:t>
      </w:r>
      <w:r w:rsidR="00345FDE" w:rsidRPr="0072325A">
        <w:t>kidmokaoga@gmail.com</w:t>
      </w:r>
    </w:p>
    <w:p w14:paraId="22C3F2A8" w14:textId="3DD6853D" w:rsidR="0016385D" w:rsidRPr="003059BA" w:rsidRDefault="0016385D" w:rsidP="00C14B14">
      <w:pPr>
        <w:pStyle w:val="Abstract"/>
      </w:pPr>
      <w:r w:rsidRPr="003059BA">
        <w:rPr>
          <w:b/>
          <w:bCs/>
        </w:rPr>
        <w:t>Abstract.</w:t>
      </w:r>
      <w:r w:rsidRPr="003059BA">
        <w:t xml:space="preserve"> </w:t>
      </w:r>
      <w:r w:rsidR="009B378E" w:rsidRPr="003059BA">
        <w:t>The Far North region of Cameroon, presents extreme thermal challenges for photovoltaics (PV), with ambient temperatures frequently exceeding 45°C. This study experimentally quantifies PV performance losses under real</w:t>
      </w:r>
      <w:r w:rsidR="0001290B" w:rsidRPr="003059BA">
        <w:t>-</w:t>
      </w:r>
      <w:r w:rsidR="009B378E" w:rsidRPr="003059BA">
        <w:t>world Sudano</w:t>
      </w:r>
      <w:r w:rsidR="0001290B" w:rsidRPr="003059BA">
        <w:t>-</w:t>
      </w:r>
      <w:r w:rsidR="009B378E" w:rsidRPr="003059BA">
        <w:t>Sahelian conditions in Maroua. Hourly monitoring over 12 months revealed critical thermal stress: PV modules operated 91% of the time above 25°C, peaking at 67°C. Despite high solar irradiance, close to 1000 W/m², this caused significant power degradation. Results show a power loss of approximately 9.5 W per module, 19% of rated power, corresponding to a thermal degradation rate of 0.46% per °C. These findings underscore the severe impact of heat on PV yield in Sudano</w:t>
      </w:r>
      <w:r w:rsidR="0001290B" w:rsidRPr="003059BA">
        <w:t>-</w:t>
      </w:r>
      <w:r w:rsidR="009B378E" w:rsidRPr="003059BA">
        <w:t>Sahelian climates and provide critical experimental evidence supporting the urgent need for advanced heat</w:t>
      </w:r>
      <w:r w:rsidR="0001290B" w:rsidRPr="003059BA">
        <w:t>-</w:t>
      </w:r>
      <w:r w:rsidR="009B378E" w:rsidRPr="003059BA">
        <w:t>resilient PV designs and cooling strategies to enhance energy production in such demanding environments</w:t>
      </w:r>
      <w:r w:rsidR="00C93205">
        <w:t>.</w:t>
      </w:r>
    </w:p>
    <w:p w14:paraId="5240E3FB" w14:textId="35031764" w:rsidR="003A287B" w:rsidRPr="003059BA" w:rsidRDefault="00345FDE" w:rsidP="00003D7C">
      <w:pPr>
        <w:pStyle w:val="Heading1"/>
        <w:rPr>
          <w:b w:val="0"/>
          <w:caps w:val="0"/>
          <w:sz w:val="20"/>
        </w:rPr>
      </w:pPr>
      <w:r w:rsidRPr="003059BA">
        <w:t>Introduction</w:t>
      </w:r>
    </w:p>
    <w:p w14:paraId="463808FF" w14:textId="7FC4B5E8" w:rsidR="0072325A" w:rsidRDefault="00603D08" w:rsidP="0072325A">
      <w:pPr>
        <w:ind w:firstLine="284"/>
        <w:jc w:val="both"/>
        <w:rPr>
          <w:sz w:val="20"/>
        </w:rPr>
      </w:pPr>
      <w:bookmarkStart w:id="0" w:name="_Hlk209109682"/>
      <w:r w:rsidRPr="003059BA">
        <w:rPr>
          <w:sz w:val="20"/>
        </w:rPr>
        <w:t>Amid a global energy transition, solar photovoltaics (PV) have emerged as a cornerstone technology, with capacity expanding consistently at over 25% annually</w:t>
      </w:r>
      <w:r w:rsidRPr="003059BA">
        <w:rPr>
          <w:sz w:val="20"/>
        </w:rPr>
        <w:fldChar w:fldCharType="begin" w:fldLock="1"/>
      </w:r>
      <w:r w:rsidR="0094752B">
        <w:rPr>
          <w:sz w:val="20"/>
        </w:rPr>
        <w:instrText>ADDIN CSL_CITATION {"citationItems":[{"id":"ITEM-1","itemData":{"URL":"https://www.energyinst.org/statistical-review/energy-transition-tracker","accessed":{"date-parts":[["2025","9","27"]]},"author":[{"dropping-particle":"","family":"Energy Institute","given":"","non-dropping-particle":"","parse-names":false,"suffix":""}],"container-title":"Energy Institute, London","id":"ITEM-1","issued":{"date-parts":[["2024"]]},"publisher-place":"London","title":"Country Transition Tracker - 2024","type":"webpage"},"uris":["http://www.mendeley.com/documents/?uuid=83098f15-ca83-36bf-9926-56f3676c8da9"]}],"mendeley":{"formattedCitation":"&lt;sup&gt;1&lt;/sup&gt;","plainTextFormattedCitation":"1","previouslyFormattedCitation":"&lt;sup&gt;1&lt;/sup&gt;"},"properties":{"noteIndex":0},"schema":"https://github.com/citation-style-language/schema/raw/master/csl-citation.json"}</w:instrText>
      </w:r>
      <w:r w:rsidRPr="003059BA">
        <w:rPr>
          <w:sz w:val="20"/>
        </w:rPr>
        <w:fldChar w:fldCharType="separate"/>
      </w:r>
      <w:r w:rsidR="0094752B" w:rsidRPr="0094752B">
        <w:rPr>
          <w:noProof/>
          <w:sz w:val="20"/>
          <w:vertAlign w:val="superscript"/>
        </w:rPr>
        <w:t>1</w:t>
      </w:r>
      <w:r w:rsidRPr="003059BA">
        <w:rPr>
          <w:sz w:val="20"/>
        </w:rPr>
        <w:fldChar w:fldCharType="end"/>
      </w:r>
      <w:r w:rsidRPr="003059BA">
        <w:rPr>
          <w:sz w:val="20"/>
        </w:rPr>
        <w:t>. While this growth is a testament to solar scalability, it masks a critical performance gap, particularly in extreme climates. Africa, despite its vast solar potential, has seen volatile growth rates, highlighting the challenges of deploying durable, high</w:t>
      </w:r>
      <w:r w:rsidR="0001290B" w:rsidRPr="003059BA">
        <w:rPr>
          <w:sz w:val="20"/>
        </w:rPr>
        <w:t>-</w:t>
      </w:r>
      <w:r w:rsidRPr="003059BA">
        <w:rPr>
          <w:sz w:val="20"/>
        </w:rPr>
        <w:t>yield systems. Cameroon exemplifies this paradox; with installed PV capacity projected to leap from 30.83 MW to 250 MW by 2030</w:t>
      </w:r>
      <w:r w:rsidRPr="003059BA">
        <w:rPr>
          <w:sz w:val="20"/>
        </w:rPr>
        <w:fldChar w:fldCharType="begin" w:fldLock="1"/>
      </w:r>
      <w:r w:rsidR="0094752B">
        <w:rPr>
          <w:sz w:val="20"/>
        </w:rPr>
        <w:instrText>ADDIN CSL_CITATION {"citationItems":[{"id":"ITEM-1","itemData":{"DOI":"10.1016/j.joule.2021.03.005","ISSN":"25424351","abstract":"Thanks to fast learning and sustained growth, solar photovoltaics (PV) is today a highly cost-competitive technology, ready to contribute substantially to CO2 emissions mitigation. However, many scenarios assessing global decarbonization pathways, either based on integrated assessment models or partial-equilibrium models, fail to identify the key role that this technology could play, including far lower future PV capacity than that projected by the PV community. In this perspective, we review the factors that lie behind the historical cost reductions of solar PV and identify innovations in the pipeline that could contribute to maintaining a high learning rate. We also aim at opening a constructive discussion among PV experts, modelers, and policymakers regarding how to improve the representation of this technology in the models and how to ensure that manufacturing and installation of solar PV- can ramp up on time, which will be crucial to remain in a decarbonization path compatible with the Paris Agreement.","author":[{"dropping-particle":"","family":"Victoria","given":"Marta","non-dropping-particle":"","parse-names":false,"suffix":""},{"dropping-particle":"","family":"Haegel","given":"Nancy","non-dropping-particle":"","parse-names":false,"suffix":""},{"dropping-particle":"","family":"Peters","given":"Ian Marius","non-dropping-particle":"","parse-names":false,"suffix":""},{"dropping-particle":"","family":"Sinton","given":"Ron","non-dropping-particle":"","parse-names":false,"suffix":""},{"dropping-particle":"","family":"Jäger-Waldau","given":"Arnulf","non-dropping-particle":"","parse-names":false,"suffix":""},{"dropping-particle":"","family":"Cañizo","given":"Carlos","non-dropping-particle":"del","parse-names":false,"suffix":""},{"dropping-particle":"","family":"Breyer","given":"Christian","non-dropping-particle":"","parse-names":false,"suffix":""},{"dropping-particle":"","family":"Stocks","given":"Matthew","non-dropping-particle":"","parse-names":false,"suffix":""},{"dropping-particle":"","family":"Blakers","given":"Andrew","non-dropping-particle":"","parse-names":false,"suffix":""},{"dropping-particle":"","family":"Kaizuka","given":"Izumi","non-dropping-particle":"","parse-names":false,"suffix":""},{"dropping-particle":"","family":"Komoto","given":"Keiichi","non-dropping-particle":"","parse-names":false,"suffix":""},{"dropping-particle":"","family":"Smets","given":"Arno","non-dropping-particle":"","parse-names":false,"suffix":""}],"container-title":"Joule","id":"ITEM-1","issue":"5","issued":{"date-parts":[["2021"]]},"page":"1041-1056","title":"Solar photovoltaics is ready to power a sustainable future","type":"article","volume":"5"},"uris":["http://www.mendeley.com/documents/?uuid=6fa1496a-fd43-368f-ae7d-3395b2c64e6c"]}],"mendeley":{"formattedCitation":"&lt;sup&gt;2&lt;/sup&gt;","plainTextFormattedCitation":"2","previouslyFormattedCitation":"&lt;sup&gt;2&lt;/sup&gt;"},"properties":{"noteIndex":0},"schema":"https://github.com/citation-style-language/schema/raw/master/csl-citation.json"}</w:instrText>
      </w:r>
      <w:r w:rsidRPr="003059BA">
        <w:rPr>
          <w:sz w:val="20"/>
        </w:rPr>
        <w:fldChar w:fldCharType="separate"/>
      </w:r>
      <w:r w:rsidR="0094752B" w:rsidRPr="0094752B">
        <w:rPr>
          <w:noProof/>
          <w:sz w:val="20"/>
          <w:vertAlign w:val="superscript"/>
        </w:rPr>
        <w:t>2</w:t>
      </w:r>
      <w:r w:rsidRPr="003059BA">
        <w:rPr>
          <w:sz w:val="20"/>
        </w:rPr>
        <w:fldChar w:fldCharType="end"/>
      </w:r>
      <w:r w:rsidRPr="003059BA">
        <w:rPr>
          <w:sz w:val="20"/>
        </w:rPr>
        <w:t>, there is an urgent need to understand how local environmental stressors impact system performance and longevity. This proliferation of PV installations signals not only a commitment to sustainable energy but also a pressing demand for empirical data to guide resilient system design in demanding environments.</w:t>
      </w:r>
    </w:p>
    <w:p w14:paraId="011F9721" w14:textId="2644D005" w:rsidR="0072325A" w:rsidRDefault="00603D08" w:rsidP="0072325A">
      <w:pPr>
        <w:ind w:firstLine="284"/>
        <w:jc w:val="both"/>
        <w:rPr>
          <w:sz w:val="20"/>
        </w:rPr>
      </w:pPr>
      <w:r w:rsidRPr="003059BA">
        <w:rPr>
          <w:sz w:val="20"/>
        </w:rPr>
        <w:t>The promise of solar energy is frequently challenged by the stark divergence between laboratory</w:t>
      </w:r>
      <w:r w:rsidR="0001290B" w:rsidRPr="003059BA">
        <w:rPr>
          <w:sz w:val="20"/>
        </w:rPr>
        <w:t>-</w:t>
      </w:r>
      <w:r w:rsidRPr="003059BA">
        <w:rPr>
          <w:sz w:val="20"/>
        </w:rPr>
        <w:t>rated specifications and field realities. PV module performance is benchmarked under Standard Test Conditions (STC): 25°C cell temperature and 1000 W/m² irradiance, yet these idealized settings are rarely met in practice. This discrepancy is most acute in the Sudano</w:t>
      </w:r>
      <w:r w:rsidR="0001290B" w:rsidRPr="003059BA">
        <w:rPr>
          <w:sz w:val="20"/>
        </w:rPr>
        <w:t>-</w:t>
      </w:r>
      <w:r w:rsidRPr="003059BA">
        <w:rPr>
          <w:sz w:val="20"/>
        </w:rPr>
        <w:t>Sahelian belt, a region characterized by extreme heat, high irradiance, and pervasive dust. In Maroua, Cameroon, a representative city in this zone, ambient temperatures regularly exceed 45°C, creating severe thermal stress that suppresses energy yield and accelerates material degradation</w:t>
      </w:r>
      <w:r w:rsidRPr="003059BA">
        <w:rPr>
          <w:sz w:val="20"/>
        </w:rPr>
        <w:fldChar w:fldCharType="begin" w:fldLock="1"/>
      </w:r>
      <w:r w:rsidR="0094752B">
        <w:rPr>
          <w:sz w:val="20"/>
        </w:rPr>
        <w:instrText>ADDIN CSL_CITATION {"citationItems":[{"id":"ITEM-1","itemData":{"DOI":"10.1051/rees/2021001","abstract":"Globally, the continuous increase of energy consumption coupled with the depletion of the limited fossil fuel sources and their negative impacts on the environment, has shifted focus towards renewables for a sustainable development. For the last fifteen years, the world has enjoyed renewables generation capacity increases in a double-digit Terawatt-hours range. Although renewables consumption is fast developing in Asia Pacific, Europe and North America, significant coordination efforts are required among stakeholders in sub-Saharan Africans countries such as Cameroon. In 2018, the total final energy consumption in Cameroon was 7.41 Mtoe, 74.22% of which was from biomass, 18.48% from fossil fuels and 7.30% from electricity. Furthermore, 6977 GWh of electricity was produced, 78.29% of which from the major electricity operator (ENEO S.A. Cameroon) and 21.71% from independent producers (GLOBELEQ, ALTAAQA Sinohydro China and AGGREKO). More than three quarter of electricity produced were consumed by industry (57.04%) and residential (20.74%) sectors. The country's installed electricity generation capacity rose to 1402 MW, 56.15% of which was from hydropower, 43.84% from fossil fuels (17.55% from natural gas and 26.29% from oil) and 0.01% from solar photovoltaic. The promotion of renewable energy is an important part of Cameroon's plan to increase energy security and provide job opportunities to the country. Yet, the lack of proactive and long-term renewable energy policy and laws, in addition to less attention paid to renewable energy training and research, financing mechanisms, and unaffordable costs of renewable energy technologies to the poor population are amongst present issues hindering the development of renewable energy in the country. Hence, this paper aims to highlight the present status of renewable energy exploitation and development in Cameroon.","author":[{"dropping-particle":"","family":"Kidmo","given":"Dieudonné Kaoga","non-dropping-particle":"","parse-names":false,"suffix":""},{"dropping-particle":"","family":"Deli","given":"Kodji","non-dropping-particle":"","parse-names":false,"suffix":""},{"dropping-particle":"","family":"Bogno","given":"Bachirou","non-dropping-particle":"","parse-names":false,"suffix":""}],"container-title":"Renewable Energy and Environmental Sustainability","id":"ITEM-1","issue":"2","issued":{"date-parts":[["2021"]]},"page":"2","title":"Status of renewable energy in Cameroon","type":"article-journal","volume":"6"},"uris":["http://www.mendeley.com/documents/?uuid=3319d6d7-b5c5-47ad-bb24-7d6b4ee32848"]}],"mendeley":{"formattedCitation":"&lt;sup&gt;3&lt;/sup&gt;","plainTextFormattedCitation":"3","previouslyFormattedCitation":"&lt;sup&gt;3&lt;/sup&gt;"},"properties":{"noteIndex":0},"schema":"https://github.com/citation-style-language/schema/raw/master/csl-citation.json"}</w:instrText>
      </w:r>
      <w:r w:rsidRPr="003059BA">
        <w:rPr>
          <w:sz w:val="20"/>
        </w:rPr>
        <w:fldChar w:fldCharType="separate"/>
      </w:r>
      <w:r w:rsidR="0094752B" w:rsidRPr="0094752B">
        <w:rPr>
          <w:noProof/>
          <w:sz w:val="20"/>
          <w:vertAlign w:val="superscript"/>
        </w:rPr>
        <w:t>3</w:t>
      </w:r>
      <w:r w:rsidRPr="003059BA">
        <w:rPr>
          <w:sz w:val="20"/>
        </w:rPr>
        <w:fldChar w:fldCharType="end"/>
      </w:r>
      <w:r w:rsidRPr="003059BA">
        <w:rPr>
          <w:sz w:val="20"/>
        </w:rPr>
        <w:t>. Under such conditions, STC</w:t>
      </w:r>
      <w:r w:rsidR="0001290B" w:rsidRPr="003059BA">
        <w:rPr>
          <w:sz w:val="20"/>
        </w:rPr>
        <w:t>-</w:t>
      </w:r>
      <w:r w:rsidRPr="003059BA">
        <w:rPr>
          <w:sz w:val="20"/>
        </w:rPr>
        <w:t>based performance projections become unreliable, necessitating rigorous, site</w:t>
      </w:r>
      <w:r w:rsidR="0001290B" w:rsidRPr="003059BA">
        <w:rPr>
          <w:sz w:val="20"/>
        </w:rPr>
        <w:t>-</w:t>
      </w:r>
      <w:r w:rsidRPr="003059BA">
        <w:rPr>
          <w:sz w:val="20"/>
        </w:rPr>
        <w:t>specific experimental evaluations to inform engineering solutions.</w:t>
      </w:r>
    </w:p>
    <w:p w14:paraId="4C505506" w14:textId="564202F7" w:rsidR="0072325A" w:rsidRDefault="00603D08" w:rsidP="0072325A">
      <w:pPr>
        <w:ind w:firstLine="284"/>
        <w:jc w:val="both"/>
        <w:rPr>
          <w:sz w:val="20"/>
        </w:rPr>
      </w:pPr>
      <w:r w:rsidRPr="003059BA">
        <w:rPr>
          <w:sz w:val="20"/>
        </w:rPr>
        <w:t>Elevated temperature is the principal adversary to PV performance in these climates. As module temperatures rise, semiconductor efficiency declines due to increased carrier recombination, directly reducing the open</w:t>
      </w:r>
      <w:r w:rsidR="0001290B" w:rsidRPr="003059BA">
        <w:rPr>
          <w:sz w:val="20"/>
        </w:rPr>
        <w:t>-</w:t>
      </w:r>
      <w:r w:rsidRPr="003059BA">
        <w:rPr>
          <w:sz w:val="20"/>
        </w:rPr>
        <w:t>circuit voltage (V</w:t>
      </w:r>
      <w:r w:rsidRPr="003059BA">
        <w:rPr>
          <w:sz w:val="20"/>
          <w:vertAlign w:val="subscript"/>
        </w:rPr>
        <w:t>oc</w:t>
      </w:r>
      <w:r w:rsidRPr="003059BA">
        <w:rPr>
          <w:sz w:val="20"/>
        </w:rPr>
        <w:t>) and maximum power output (</w:t>
      </w:r>
      <w:r w:rsidR="00420F99" w:rsidRPr="003059BA">
        <w:rPr>
          <w:sz w:val="20"/>
        </w:rPr>
        <w:t>P</w:t>
      </w:r>
      <w:r w:rsidR="00420F99" w:rsidRPr="003059BA">
        <w:rPr>
          <w:sz w:val="20"/>
          <w:vertAlign w:val="subscript"/>
        </w:rPr>
        <w:t>max</w:t>
      </w:r>
      <w:r w:rsidRPr="003059BA">
        <w:rPr>
          <w:sz w:val="20"/>
        </w:rPr>
        <w:t>)</w:t>
      </w:r>
      <w:r w:rsidRPr="003059BA">
        <w:rPr>
          <w:sz w:val="20"/>
        </w:rPr>
        <w:fldChar w:fldCharType="begin" w:fldLock="1"/>
      </w:r>
      <w:r w:rsidR="0094752B">
        <w:rPr>
          <w:sz w:val="20"/>
        </w:rPr>
        <w:instrText>ADDIN CSL_CITATION {"citationItems":[{"id":"ITEM-1","itemData":{"DOI":"10.1007/s42114-022-00533-z","ISSN":"25220136","abstract":"The environmental problems caused by the traditional energy sources consumption and excessive carbon dioxide emissions are compressing the living space of mankind and restricting the development of economic society. Renewable energy represented by solar energy has gradually been moved to the forefront of energy development along with the strong support of national policies. Photovoltaic (PV) power generation is the main method in the utilization of solar energy, which uses solar cells (SCs) to directly convert solar energy into power through the PV effect. However, the application and development of SCs are still facing several difficulties, such as high cost, relatively low efficiency, and greater influence from external conditions. Among them, the temperature effect of SCs is related to their power generation efficiency, which is an important factor that needs to be considered in the development of SCs. The temperature effect of SCs will affect the intrinsic properties of SC materials and the parameters that characterize SC performance. This will ultimately affect its power generation efficiency. This work reviews previous studies on temperature effects in SCs. The influence of temperature effect on various parameters characterizing the performance of SCs is discussed, and its mechanism and the latest research progress are shown. It also introduces in detail various methods to deal with the temperature effect of SCs, and analyzes other factors that affect the performance of SCs. This review will help researchers in the design and development of SCs. Graphical abstract: The temperature effect of PV cells is related to their power generation efficiency, which is an important factor that needs to be considered in the development of PV cells. [Figure not available: see fulltext.].","author":[{"dropping-particle":"","family":"Sun","given":"Chunlei","non-dropping-particle":"","parse-names":false,"suffix":""},{"dropping-particle":"","family":"Zou","given":"Yuan","non-dropping-particle":"","parse-names":false,"suffix":""},{"dropping-particle":"","family":"Qin","given":"Caiyan","non-dropping-particle":"","parse-names":false,"suffix":""},{"dropping-particle":"","family":"Zhang","given":"Bin","non-dropping-particle":"","parse-names":false,"suffix":""},{"dropping-particle":"","family":"Wu","given":"Xiaohu","non-dropping-particle":"","parse-names":false,"suffix":""}],"container-title":"Advanced Composites and Hybrid Materials","id":"ITEM-1","issue":"4","issued":{"date-parts":[["2022"]]},"page":"2675-2699","title":"Temperature effect of photovoltaic cells: a review","type":"article","volume":"5"},"uris":["http://www.mendeley.com/documents/?uuid=daf496cc-9793-3800-82e4-e93fe5d8b743"]}],"mendeley":{"formattedCitation":"&lt;sup&gt;4&lt;/sup&gt;","plainTextFormattedCitation":"4","previouslyFormattedCitation":"&lt;sup&gt;4&lt;/sup&gt;"},"properties":{"noteIndex":0},"schema":"https://github.com/citation-style-language/schema/raw/master/csl-citation.json"}</w:instrText>
      </w:r>
      <w:r w:rsidRPr="003059BA">
        <w:rPr>
          <w:sz w:val="20"/>
        </w:rPr>
        <w:fldChar w:fldCharType="separate"/>
      </w:r>
      <w:r w:rsidR="0094752B" w:rsidRPr="0094752B">
        <w:rPr>
          <w:noProof/>
          <w:sz w:val="20"/>
          <w:vertAlign w:val="superscript"/>
        </w:rPr>
        <w:t>4</w:t>
      </w:r>
      <w:r w:rsidRPr="003059BA">
        <w:rPr>
          <w:sz w:val="20"/>
        </w:rPr>
        <w:fldChar w:fldCharType="end"/>
      </w:r>
      <w:r w:rsidRPr="003059BA">
        <w:rPr>
          <w:sz w:val="20"/>
        </w:rPr>
        <w:t>. Field studies across arid regions have consistently documented significant power losses attributable to thermal stress, with efficiency declines ranging from 2.9% to over 9.0%</w:t>
      </w:r>
      <w:r w:rsidRPr="003059BA">
        <w:rPr>
          <w:sz w:val="20"/>
        </w:rPr>
        <w:fldChar w:fldCharType="begin" w:fldLock="1"/>
      </w:r>
      <w:r w:rsidR="0094752B">
        <w:rPr>
          <w:sz w:val="20"/>
        </w:rPr>
        <w:instrText>ADDIN CSL_CITATION {"citationItems":[{"id":"ITEM-1","itemData":{"DOI":"10.1016/j.enconman.2015.10.065","ISSN":"01968904","abstract":"Photovoltaic (PV) panel temperature was evaluated by developing theoretical models that are feasible to be used in realistic scenarios. Effects of solar irradiance, wind speed and ambient temperature on the PV panel temperature were studied. The parametric study shows significant influence of solar irradiance and wind speed on the PV panel temperature. With an increase of ambient temperature, the temperature rise of solar cells is reduced. The characteristics of panel temperature in realistic scenarios were analyzed. In steady weather conditions, the thermal response time of a solar cell with a Si thickness of 100-500 μm is around 50-250 s. While in realistic scenarios, the panel temperature variation in a day is different from that in steady weather conditions due to the effect of thermal hysteresis. The heating effect on the photovoltaic efficiency was assessed based on real-time temperature measurement of solar cells in realistic weather conditions. For solar cells with a temperature coefficient in the range of -0.21%</w:instrText>
      </w:r>
      <w:r w:rsidR="0094752B">
        <w:rPr>
          <w:rFonts w:ascii="Cambria Math" w:hAnsi="Cambria Math" w:cs="Cambria Math"/>
          <w:sz w:val="20"/>
        </w:rPr>
        <w:instrText>∼</w:instrText>
      </w:r>
      <w:r w:rsidR="0094752B">
        <w:rPr>
          <w:sz w:val="20"/>
        </w:rPr>
        <w:instrText>-0.50%, the current field tests indicated an approximate efficiency loss between 2.9% and 9.0%.","author":[{"dropping-particle":"","family":"Du","given":"Yanping","non-dropping-particle":"","parse-names":false,"suffix":""},{"dropping-particle":"","family":"Fell","given":"Christopher J.","non-dropping-particle":"","parse-names":false,"suffix":""},{"dropping-particle":"","family":"Duck","given":"Benjamin","non-dropping-particle":"","parse-names":false,"suffix":""},{"dropping-particle":"","family":"Chen","given":"Dong","non-dropping-particle":"","parse-names":false,"suffix":""},{"dropping-particle":"","family":"Liffman","given":"Kurt","non-dropping-particle":"","parse-names":false,"suffix":""},{"dropping-particle":"","family":"Zhang","given":"Yinan","non-dropping-particle":"","parse-names":false,"suffix":""},{"dropping-particle":"","family":"Gu","given":"Min","non-dropping-particle":"","parse-names":false,"suffix":""},{"dropping-particle":"","family":"Zhu","given":"Yonggang","non-dropping-particle":"","parse-names":false,"suffix":""}],"container-title":"Energy Conversion and Management","id":"ITEM-1","issued":{"date-parts":[["2016"]]},"page":"60-67","title":"Evaluation of photovoltaic panel temperature in realistic scenarios","type":"article-journal","volume":"108"},"uris":["http://www.mendeley.com/documents/?uuid=a5e76ddb-b382-4976-8aa3-2de7b46215c7"]}],"mendeley":{"formattedCitation":"&lt;sup&gt;5&lt;/sup&gt;","plainTextFormattedCitation":"5","previouslyFormattedCitation":"&lt;sup&gt;5&lt;/sup&gt;"},"properties":{"noteIndex":0},"schema":"https://github.com/citation-style-language/schema/raw/master/csl-citation.json"}</w:instrText>
      </w:r>
      <w:r w:rsidRPr="003059BA">
        <w:rPr>
          <w:sz w:val="20"/>
        </w:rPr>
        <w:fldChar w:fldCharType="separate"/>
      </w:r>
      <w:r w:rsidR="0094752B" w:rsidRPr="0094752B">
        <w:rPr>
          <w:noProof/>
          <w:sz w:val="20"/>
          <w:vertAlign w:val="superscript"/>
        </w:rPr>
        <w:t>5</w:t>
      </w:r>
      <w:r w:rsidRPr="003059BA">
        <w:rPr>
          <w:sz w:val="20"/>
        </w:rPr>
        <w:fldChar w:fldCharType="end"/>
      </w:r>
      <w:r w:rsidRPr="003059BA">
        <w:rPr>
          <w:sz w:val="20"/>
        </w:rPr>
        <w:t>. This thermal challenge is often compounded by other environmental factors like dust soiling and humidity, which can further slash energy production. While various mitigation strategies, from active cooling to advanced materials, are being developed, their implementation is often hampered by a lack of localized performance data. The choice of PV technology is also critical; while monocrystalline silicon dominates the market for its efficiency and cost, its performance under sustained heat remains a key vulnerability.</w:t>
      </w:r>
    </w:p>
    <w:p w14:paraId="1F2C355E" w14:textId="77777777" w:rsidR="0072325A" w:rsidRDefault="00603D08" w:rsidP="0072325A">
      <w:pPr>
        <w:ind w:firstLine="284"/>
        <w:jc w:val="both"/>
        <w:rPr>
          <w:sz w:val="20"/>
        </w:rPr>
      </w:pPr>
      <w:r w:rsidRPr="003059BA">
        <w:rPr>
          <w:sz w:val="20"/>
        </w:rPr>
        <w:t>To bridge the gap between theoretical solutions and field application, this study provides critical experimental evidence of performance losses under real</w:t>
      </w:r>
      <w:r w:rsidR="0001290B" w:rsidRPr="003059BA">
        <w:rPr>
          <w:sz w:val="20"/>
        </w:rPr>
        <w:t>-</w:t>
      </w:r>
      <w:r w:rsidRPr="003059BA">
        <w:rPr>
          <w:sz w:val="20"/>
        </w:rPr>
        <w:t>world Sudano</w:t>
      </w:r>
      <w:r w:rsidR="0001290B" w:rsidRPr="003059BA">
        <w:rPr>
          <w:sz w:val="20"/>
        </w:rPr>
        <w:t>-</w:t>
      </w:r>
      <w:r w:rsidRPr="003059BA">
        <w:rPr>
          <w:sz w:val="20"/>
        </w:rPr>
        <w:t xml:space="preserve">Sahelian conditions. Our research focuses on </w:t>
      </w:r>
      <w:r w:rsidRPr="003059BA">
        <w:rPr>
          <w:sz w:val="20"/>
        </w:rPr>
        <w:lastRenderedPageBreak/>
        <w:t>monocrystalline silicon modules, the most prevalent technology in the region, to ensure the findings are directly relevant to ongoing and planned deployments. By conducting a year</w:t>
      </w:r>
      <w:r w:rsidR="0001290B" w:rsidRPr="003059BA">
        <w:rPr>
          <w:sz w:val="20"/>
        </w:rPr>
        <w:t>-</w:t>
      </w:r>
      <w:r w:rsidRPr="003059BA">
        <w:rPr>
          <w:sz w:val="20"/>
        </w:rPr>
        <w:t>long, high</w:t>
      </w:r>
      <w:r w:rsidR="0001290B" w:rsidRPr="003059BA">
        <w:rPr>
          <w:sz w:val="20"/>
        </w:rPr>
        <w:t>-</w:t>
      </w:r>
      <w:r w:rsidRPr="003059BA">
        <w:rPr>
          <w:sz w:val="20"/>
        </w:rPr>
        <w:t>resolution monitoring campaign in Maroua, one of Cameroon</w:t>
      </w:r>
      <w:r w:rsidR="00782A57" w:rsidRPr="003059BA">
        <w:rPr>
          <w:sz w:val="20"/>
        </w:rPr>
        <w:t>’</w:t>
      </w:r>
      <w:r w:rsidRPr="003059BA">
        <w:rPr>
          <w:sz w:val="20"/>
        </w:rPr>
        <w:t>s hottest localities, we aim to generate the precise data needed to advance heat</w:t>
      </w:r>
      <w:r w:rsidR="0001290B" w:rsidRPr="003059BA">
        <w:rPr>
          <w:sz w:val="20"/>
        </w:rPr>
        <w:t>-</w:t>
      </w:r>
      <w:r w:rsidRPr="003059BA">
        <w:rPr>
          <w:sz w:val="20"/>
        </w:rPr>
        <w:t>resilient photovoltaics.</w:t>
      </w:r>
    </w:p>
    <w:p w14:paraId="5EF4B5EC" w14:textId="60D32480" w:rsidR="00603D08" w:rsidRPr="003059BA" w:rsidRDefault="00603D08" w:rsidP="0072325A">
      <w:pPr>
        <w:ind w:firstLine="284"/>
        <w:jc w:val="both"/>
        <w:rPr>
          <w:sz w:val="20"/>
        </w:rPr>
      </w:pPr>
      <w:r w:rsidRPr="003059BA">
        <w:rPr>
          <w:sz w:val="20"/>
        </w:rPr>
        <w:t>The objectives of this study are threefold: (1) to experimentally quantify the deviation in key electrical parameters (</w:t>
      </w:r>
      <w:proofErr w:type="spellStart"/>
      <w:r w:rsidRPr="003059BA">
        <w:rPr>
          <w:sz w:val="20"/>
        </w:rPr>
        <w:t>I</w:t>
      </w:r>
      <w:r w:rsidRPr="003059BA">
        <w:rPr>
          <w:sz w:val="20"/>
          <w:vertAlign w:val="subscript"/>
        </w:rPr>
        <w:t>sc</w:t>
      </w:r>
      <w:proofErr w:type="spellEnd"/>
      <w:r w:rsidRPr="003059BA">
        <w:rPr>
          <w:sz w:val="20"/>
        </w:rPr>
        <w:t xml:space="preserve">, </w:t>
      </w:r>
      <w:r w:rsidR="00420F99" w:rsidRPr="003059BA">
        <w:rPr>
          <w:sz w:val="20"/>
        </w:rPr>
        <w:t>V</w:t>
      </w:r>
      <w:r w:rsidR="00420F99" w:rsidRPr="003059BA">
        <w:rPr>
          <w:sz w:val="20"/>
          <w:vertAlign w:val="subscript"/>
        </w:rPr>
        <w:t>oc</w:t>
      </w:r>
      <w:r w:rsidRPr="003059BA">
        <w:rPr>
          <w:sz w:val="20"/>
        </w:rPr>
        <w:t>, P</w:t>
      </w:r>
      <w:r w:rsidRPr="003059BA">
        <w:rPr>
          <w:sz w:val="20"/>
          <w:vertAlign w:val="subscript"/>
        </w:rPr>
        <w:t>max</w:t>
      </w:r>
      <w:r w:rsidRPr="003059BA">
        <w:rPr>
          <w:sz w:val="20"/>
        </w:rPr>
        <w:t>) from STC ratings; (2) to correlate these performance losses with measured ambient and module temperatures; and (3) to derive a clear, quantitative degradation rate specific to this extreme climate. This work provides the foundational evidence required to validate and inform the development of more effective cooling strategies, robust system designs, and ultimately, more resilient solar energy infrastructure for the hottest regions on Earth.</w:t>
      </w:r>
    </w:p>
    <w:bookmarkEnd w:id="0"/>
    <w:p w14:paraId="3EE44341" w14:textId="2351432A" w:rsidR="000A0AA6" w:rsidRPr="003059BA" w:rsidRDefault="000A0AA6" w:rsidP="000A0AA6">
      <w:pPr>
        <w:pStyle w:val="Heading1"/>
      </w:pPr>
      <w:r w:rsidRPr="003059BA">
        <w:t>Materials and Methods</w:t>
      </w:r>
    </w:p>
    <w:p w14:paraId="49D6FBD1" w14:textId="2B358FEE" w:rsidR="00725861" w:rsidRPr="003059BA" w:rsidRDefault="00C94D11" w:rsidP="00725861">
      <w:pPr>
        <w:pStyle w:val="Heading2"/>
      </w:pPr>
      <w:r w:rsidRPr="003059BA">
        <w:t xml:space="preserve">Site Overview for Solar Energy Experiments </w:t>
      </w:r>
      <w:r w:rsidR="00787682" w:rsidRPr="003059BA">
        <w:t xml:space="preserve"> </w:t>
      </w:r>
      <w:r w:rsidR="000A0AA6" w:rsidRPr="003059BA">
        <w:t xml:space="preserve"> </w:t>
      </w:r>
    </w:p>
    <w:p w14:paraId="33D6F566" w14:textId="071A8CD1" w:rsidR="00787682" w:rsidRPr="003059BA" w:rsidRDefault="008C1E76" w:rsidP="00787682">
      <w:pPr>
        <w:pStyle w:val="Paragraph"/>
      </w:pPr>
      <w:r w:rsidRPr="003059BA">
        <w:t>In Cameroon</w:t>
      </w:r>
      <w:r w:rsidR="00782A57" w:rsidRPr="003059BA">
        <w:t>’</w:t>
      </w:r>
      <w:r w:rsidRPr="003059BA">
        <w:t xml:space="preserve">s Far North Region, where temperatures can soar up to </w:t>
      </w:r>
      <w:r w:rsidR="00BA17BA">
        <w:t>60</w:t>
      </w:r>
      <w:r w:rsidRPr="003059BA">
        <w:t xml:space="preserve">°C ambient and </w:t>
      </w:r>
      <w:r w:rsidR="00BA17BA">
        <w:t>70</w:t>
      </w:r>
      <w:r w:rsidRPr="003059BA">
        <w:t>°C module temperature</w:t>
      </w:r>
      <w:r w:rsidR="00C94D11" w:rsidRPr="003059BA">
        <w:t xml:space="preserve"> in April</w:t>
      </w:r>
      <w:r w:rsidRPr="003059BA">
        <w:t>, the efficiency of photovoltaic (PV) systems faces significant challenges.</w:t>
      </w:r>
      <w:r w:rsidR="00C94D11" w:rsidRPr="003059BA">
        <w:t xml:space="preserve"> Maroua</w:t>
      </w:r>
      <w:r w:rsidRPr="003059BA">
        <w:t>, characterized by its tropical Sudano</w:t>
      </w:r>
      <w:r w:rsidR="0001290B" w:rsidRPr="003059BA">
        <w:t>-</w:t>
      </w:r>
      <w:r w:rsidRPr="003059BA">
        <w:t xml:space="preserve">Sahelian climate, endures an intense </w:t>
      </w:r>
      <w:r w:rsidR="00C94D11" w:rsidRPr="003059BA">
        <w:t>four</w:t>
      </w:r>
      <w:r w:rsidR="0001290B" w:rsidRPr="003059BA">
        <w:t>-</w:t>
      </w:r>
      <w:r w:rsidR="00C94D11" w:rsidRPr="003059BA">
        <w:t>month, March through June, of exceptionally high ambient temperatures</w:t>
      </w:r>
      <w:r w:rsidRPr="003059BA">
        <w:t>, putting thermal stress on solar technologies. Experimental evidence highlights considerable performance losses in PV systems under these extreme temperatures, crucial for regions with high solar potential like Maroua. Despite abundant sunlight, the excessive heat diminishes energy conversion efficiency, undermining solar investment returns. The geographical diversity, from the flat Chad Plain to the elevated Mandara Mountains, further complicates installations, requiring heat</w:t>
      </w:r>
      <w:r w:rsidR="0001290B" w:rsidRPr="003059BA">
        <w:t>-</w:t>
      </w:r>
      <w:r w:rsidRPr="003059BA">
        <w:t>resilient solutions. Addressing these climatic impacts is essential to optimize solar energy output, emphasizing the need for adaptive technologies tailored to withstand the Far North</w:t>
      </w:r>
      <w:r w:rsidR="00782A57" w:rsidRPr="003059BA">
        <w:t>’</w:t>
      </w:r>
      <w:r w:rsidRPr="003059BA">
        <w:t>s rigorous environmental conditions.</w:t>
      </w:r>
    </w:p>
    <w:p w14:paraId="3BC1DFCB" w14:textId="77777777" w:rsidR="000F7145" w:rsidRPr="003059BA" w:rsidRDefault="000F7145" w:rsidP="000F7145">
      <w:pPr>
        <w:pStyle w:val="Heading2"/>
      </w:pPr>
      <w:r w:rsidRPr="003059BA">
        <w:t xml:space="preserve">Experimental Setup   </w:t>
      </w:r>
    </w:p>
    <w:p w14:paraId="673BFD6D" w14:textId="6F4529E2" w:rsidR="00787682" w:rsidRPr="003059BA" w:rsidRDefault="000D4BCD" w:rsidP="0072325A">
      <w:pPr>
        <w:pStyle w:val="Paragraph"/>
      </w:pPr>
      <w:r w:rsidRPr="003059BA">
        <w:t xml:space="preserve">Figure </w:t>
      </w:r>
      <w:r w:rsidR="00ED3C20">
        <w:t>1</w:t>
      </w:r>
      <w:r w:rsidRPr="003059BA">
        <w:t xml:space="preserve"> illustrates the experimental setup which evaluates photovoltaic (PV) panel performance under real climatic conditions. Panels are fixed at a 10° tilt facing true south, optimal for the Sudano</w:t>
      </w:r>
      <w:r w:rsidR="0001290B" w:rsidRPr="003059BA">
        <w:t>-</w:t>
      </w:r>
      <w:r w:rsidRPr="003059BA">
        <w:t xml:space="preserve">Sahelian climate in Maroua. Equipped with temperature sensors for both ambient and module surface readings, the setup captures critical data on heat impact. Multimeters track voltage, current, and power, while </w:t>
      </w:r>
      <w:proofErr w:type="gramStart"/>
      <w:r w:rsidRPr="003059BA">
        <w:t>a battery</w:t>
      </w:r>
      <w:proofErr w:type="gramEnd"/>
      <w:r w:rsidRPr="003059BA">
        <w:t xml:space="preserve"> stores </w:t>
      </w:r>
      <w:proofErr w:type="gramStart"/>
      <w:r w:rsidRPr="003059BA">
        <w:t>generated</w:t>
      </w:r>
      <w:proofErr w:type="gramEnd"/>
      <w:r w:rsidRPr="003059BA">
        <w:t xml:space="preserve"> energy, ensuring continuous operation. This configuration examines significant efficiency losses due to heat, crucial in regions with high temperatures and solar irradiance. By understanding these losses, we aim to develop strategies for enhancing PV reliability and output, offering solutions tailored to challenging climates like Maroua</w:t>
      </w:r>
      <w:r w:rsidR="00782A57" w:rsidRPr="003059BA">
        <w:t>’</w:t>
      </w:r>
      <w:r w:rsidRPr="003059BA">
        <w:t>s.</w:t>
      </w:r>
    </w:p>
    <w:p w14:paraId="5D1E8894" w14:textId="77777777" w:rsidR="000509AA" w:rsidRPr="003059BA" w:rsidRDefault="000509AA" w:rsidP="00787682">
      <w:pPr>
        <w:pStyle w:val="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0"/>
      </w:tblGrid>
      <w:tr w:rsidR="00F2466A" w:rsidRPr="003059BA" w14:paraId="05334843" w14:textId="77777777" w:rsidTr="001C4A95">
        <w:trPr>
          <w:trHeight w:val="2974"/>
          <w:jc w:val="center"/>
        </w:trPr>
        <w:tc>
          <w:tcPr>
            <w:tcW w:w="4788" w:type="dxa"/>
          </w:tcPr>
          <w:p w14:paraId="5F561A14" w14:textId="3D0458D4" w:rsidR="00F2466A" w:rsidRPr="003059BA" w:rsidRDefault="00F2466A" w:rsidP="001C4A95">
            <w:pPr>
              <w:pStyle w:val="Paragraph"/>
              <w:ind w:firstLine="0"/>
              <w:jc w:val="center"/>
            </w:pPr>
            <w:r w:rsidRPr="003059BA">
              <w:rPr>
                <w:rFonts w:cstheme="minorHAnsi"/>
                <w:noProof/>
                <w:lang w:val="fr-FR" w:eastAsia="fr-FR"/>
              </w:rPr>
              <w:drawing>
                <wp:inline distT="0" distB="0" distL="0" distR="0" wp14:anchorId="6AD08DA3" wp14:editId="5213644C">
                  <wp:extent cx="5546193" cy="22326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1104" cy="2234637"/>
                          </a:xfrm>
                          <a:prstGeom prst="rect">
                            <a:avLst/>
                          </a:prstGeom>
                          <a:noFill/>
                          <a:ln>
                            <a:noFill/>
                          </a:ln>
                        </pic:spPr>
                      </pic:pic>
                    </a:graphicData>
                  </a:graphic>
                </wp:inline>
              </w:drawing>
            </w:r>
          </w:p>
        </w:tc>
      </w:tr>
    </w:tbl>
    <w:p w14:paraId="1B67E166" w14:textId="211C752E" w:rsidR="00F2466A" w:rsidRPr="003059BA" w:rsidRDefault="000D4BCD" w:rsidP="00F2466A">
      <w:pPr>
        <w:pStyle w:val="FigureCaption"/>
      </w:pPr>
      <w:r w:rsidRPr="003059BA">
        <w:rPr>
          <w:b/>
          <w:caps/>
        </w:rPr>
        <w:t xml:space="preserve">Figure </w:t>
      </w:r>
      <w:r w:rsidR="00ED3C20">
        <w:rPr>
          <w:b/>
          <w:caps/>
        </w:rPr>
        <w:t>1</w:t>
      </w:r>
      <w:r w:rsidR="00F2466A" w:rsidRPr="003059BA">
        <w:rPr>
          <w:b/>
          <w:caps/>
        </w:rPr>
        <w:t>.</w:t>
      </w:r>
      <w:r w:rsidR="00F2466A" w:rsidRPr="003059BA">
        <w:t xml:space="preserve"> Experimental </w:t>
      </w:r>
      <w:r w:rsidRPr="003059BA">
        <w:t>setup for the evaluation of the photovoltaic (PV) panel performance</w:t>
      </w:r>
      <w:r w:rsidR="0072325A">
        <w:t>.</w:t>
      </w:r>
    </w:p>
    <w:p w14:paraId="5D28C79C" w14:textId="77777777" w:rsidR="00ED3C20" w:rsidRDefault="00ED3C20" w:rsidP="00ED3C20">
      <w:pPr>
        <w:pStyle w:val="Paragraph"/>
      </w:pPr>
    </w:p>
    <w:p w14:paraId="7AA9F105" w14:textId="43C57928" w:rsidR="00F34BC9" w:rsidRPr="003059BA" w:rsidRDefault="00F34BC9" w:rsidP="00ED3C20">
      <w:pPr>
        <w:pStyle w:val="Paragraph"/>
      </w:pPr>
      <w:r w:rsidRPr="003059BA">
        <w:lastRenderedPageBreak/>
        <w:t xml:space="preserve">Figure </w:t>
      </w:r>
      <w:r w:rsidR="00ED3C20">
        <w:t>1</w:t>
      </w:r>
      <w:r w:rsidRPr="003059BA">
        <w:t xml:space="preserve"> illustrates our experimental setup, meticulously crafted to assess the impact of heat on photovoltaic (PV) performance under the severe Sudano</w:t>
      </w:r>
      <w:r w:rsidR="0001290B" w:rsidRPr="003059BA">
        <w:t>-</w:t>
      </w:r>
      <w:r w:rsidRPr="003059BA">
        <w:t>Sahelian climate of Maroua. Central to this setup, a PV module converts sunlight into DC electrical power, functioning as the primary energy source amidst these harsh conditions. Environmental monitoring is facilitated by a Thermo</w:t>
      </w:r>
      <w:r w:rsidR="0001290B" w:rsidRPr="003059BA">
        <w:t>-</w:t>
      </w:r>
      <w:r w:rsidRPr="003059BA">
        <w:t>hygrometer (HTC</w:t>
      </w:r>
      <w:r w:rsidR="0001290B" w:rsidRPr="003059BA">
        <w:t>-</w:t>
      </w:r>
      <w:r w:rsidRPr="003059BA">
        <w:t>2), which continuously records ambient temperature and humidity. Precise temperature variations on the module</w:t>
      </w:r>
      <w:r w:rsidR="00782A57" w:rsidRPr="003059BA">
        <w:t>’</w:t>
      </w:r>
      <w:r w:rsidRPr="003059BA">
        <w:t xml:space="preserve">s </w:t>
      </w:r>
      <w:proofErr w:type="spellStart"/>
      <w:r w:rsidRPr="003059BA">
        <w:t>backsheet</w:t>
      </w:r>
      <w:proofErr w:type="spellEnd"/>
      <w:r w:rsidRPr="003059BA">
        <w:t xml:space="preserve"> are captured by a </w:t>
      </w:r>
      <w:r w:rsidR="0072325A">
        <w:t>t</w:t>
      </w:r>
      <w:r w:rsidRPr="003059BA">
        <w:t>hermocouple/module temperature probe (XH</w:t>
      </w:r>
      <w:r w:rsidR="0001290B" w:rsidRPr="003059BA">
        <w:t>-</w:t>
      </w:r>
      <w:r w:rsidRPr="003059BA">
        <w:t>W2060), enabling accurate adjustments to performance data against Standard Test Conditions (STC). Two digital multimeters are integral: the VC890D measures DC voltages, including open</w:t>
      </w:r>
      <w:r w:rsidR="0001290B" w:rsidRPr="003059BA">
        <w:t>-</w:t>
      </w:r>
      <w:r w:rsidRPr="003059BA">
        <w:t>circuit and operating voltages, while the DT</w:t>
      </w:r>
      <w:r w:rsidR="0001290B" w:rsidRPr="003059BA">
        <w:t>-</w:t>
      </w:r>
      <w:r w:rsidRPr="003059BA">
        <w:t>9205A measures DC currents, such as short</w:t>
      </w:r>
      <w:r w:rsidR="0001290B" w:rsidRPr="003059BA">
        <w:t>-</w:t>
      </w:r>
      <w:r w:rsidRPr="003059BA">
        <w:t>circuit and operating currents. Readings are organized through a testing plate with a shunt/resistor configuration, used for current sensing or as operational loads, with switches ensuring safe circuit management. This sophisticated configuration facilitates direct, real</w:t>
      </w:r>
      <w:r w:rsidR="0001290B" w:rsidRPr="003059BA">
        <w:t>-</w:t>
      </w:r>
      <w:r w:rsidRPr="003059BA">
        <w:t>time observation of temperature</w:t>
      </w:r>
      <w:r w:rsidR="0001290B" w:rsidRPr="003059BA">
        <w:t>-</w:t>
      </w:r>
      <w:r w:rsidRPr="003059BA">
        <w:t xml:space="preserve">related impacts on PV efficiency. The </w:t>
      </w:r>
      <w:r w:rsidR="00ED3C20" w:rsidRPr="00ED3C20">
        <w:t xml:space="preserve">experimental setup </w:t>
      </w:r>
      <w:r w:rsidRPr="003059BA">
        <w:t>was engineered to facilitate the concurrent collection of environmental and electrical data. It captures a range of parameters crucial for understanding PV performance under real conditions, with specific data types comprehensively outlined.</w:t>
      </w:r>
    </w:p>
    <w:p w14:paraId="3A265930" w14:textId="77777777" w:rsidR="000509AA" w:rsidRPr="003059BA" w:rsidRDefault="000509AA" w:rsidP="000509AA">
      <w:pPr>
        <w:pStyle w:val="Heading1"/>
      </w:pPr>
      <w:r w:rsidRPr="003059BA">
        <w:t xml:space="preserve">Methodology </w:t>
      </w:r>
    </w:p>
    <w:p w14:paraId="037A2A70" w14:textId="77777777" w:rsidR="000509AA" w:rsidRPr="003059BA" w:rsidRDefault="000509AA" w:rsidP="000509AA">
      <w:pPr>
        <w:pStyle w:val="Heading2"/>
      </w:pPr>
      <w:r w:rsidRPr="003059BA">
        <w:t xml:space="preserve">Experimental Procedures </w:t>
      </w:r>
    </w:p>
    <w:p w14:paraId="0F2418B4" w14:textId="2098F064" w:rsidR="000D26FA" w:rsidRPr="00BA17BA" w:rsidRDefault="00BA17BA" w:rsidP="00BA17BA">
      <w:pPr>
        <w:ind w:firstLine="284"/>
        <w:jc w:val="both"/>
        <w:rPr>
          <w:sz w:val="20"/>
        </w:rPr>
      </w:pPr>
      <w:r w:rsidRPr="00BA17BA">
        <w:rPr>
          <w:sz w:val="20"/>
        </w:rPr>
        <w:t>Between April 2024 and March 2025, a comprehensive set of environmental and photovoltaic (PV) performance parameters was collected at hourly intervals from 6:00 a.m. to 6:00 p.m., capturing daytime trends and seasonal variations. The measured parameters included global irradiance (E) in W/m², ambient temperature (</w:t>
      </w:r>
      <w:proofErr w:type="spellStart"/>
      <w:r w:rsidRPr="00BA17BA">
        <w:rPr>
          <w:sz w:val="20"/>
        </w:rPr>
        <w:t>T</w:t>
      </w:r>
      <w:r w:rsidRPr="00BA17BA">
        <w:rPr>
          <w:sz w:val="20"/>
          <w:vertAlign w:val="subscript"/>
        </w:rPr>
        <w:t>amb</w:t>
      </w:r>
      <w:proofErr w:type="spellEnd"/>
      <w:r w:rsidRPr="00BA17BA">
        <w:rPr>
          <w:sz w:val="20"/>
        </w:rPr>
        <w:t>) in °C, module temperature (</w:t>
      </w:r>
      <w:proofErr w:type="spellStart"/>
      <w:r w:rsidRPr="00BA17BA">
        <w:rPr>
          <w:sz w:val="20"/>
        </w:rPr>
        <w:t>T</w:t>
      </w:r>
      <w:r w:rsidRPr="00BA17BA">
        <w:rPr>
          <w:sz w:val="20"/>
          <w:vertAlign w:val="subscript"/>
        </w:rPr>
        <w:t>mod</w:t>
      </w:r>
      <w:proofErr w:type="spellEnd"/>
      <w:r w:rsidRPr="00BA17BA">
        <w:rPr>
          <w:sz w:val="20"/>
        </w:rPr>
        <w:t>) in °C, relative humidity (HR) in %, short-circuit current (</w:t>
      </w:r>
      <w:proofErr w:type="spellStart"/>
      <w:r w:rsidRPr="00BA17BA">
        <w:rPr>
          <w:sz w:val="20"/>
        </w:rPr>
        <w:t>I</w:t>
      </w:r>
      <w:r w:rsidRPr="00BA17BA">
        <w:rPr>
          <w:sz w:val="20"/>
          <w:vertAlign w:val="subscript"/>
        </w:rPr>
        <w:t>sc</w:t>
      </w:r>
      <w:proofErr w:type="spellEnd"/>
      <w:r w:rsidRPr="00BA17BA">
        <w:rPr>
          <w:sz w:val="20"/>
        </w:rPr>
        <w:t>) in A, open-circuit voltage (V</w:t>
      </w:r>
      <w:r w:rsidRPr="00BA17BA">
        <w:rPr>
          <w:sz w:val="20"/>
          <w:vertAlign w:val="subscript"/>
        </w:rPr>
        <w:t>oc</w:t>
      </w:r>
      <w:r w:rsidRPr="00BA17BA">
        <w:rPr>
          <w:sz w:val="20"/>
        </w:rPr>
        <w:t>) in V, and maximum power (P</w:t>
      </w:r>
      <w:r w:rsidRPr="00BA17BA">
        <w:rPr>
          <w:sz w:val="20"/>
          <w:vertAlign w:val="subscript"/>
        </w:rPr>
        <w:t>max</w:t>
      </w:r>
      <w:r w:rsidRPr="00BA17BA">
        <w:rPr>
          <w:sz w:val="20"/>
        </w:rPr>
        <w:t xml:space="preserve">) in W. Global irradiance represents the total solar radiation on a horizontal surface and offers insights into solar resource availability. </w:t>
      </w:r>
      <w:proofErr w:type="spellStart"/>
      <w:r w:rsidRPr="00BA17BA">
        <w:rPr>
          <w:sz w:val="20"/>
        </w:rPr>
        <w:t>T</w:t>
      </w:r>
      <w:r w:rsidRPr="00BA17BA">
        <w:rPr>
          <w:sz w:val="20"/>
          <w:vertAlign w:val="subscript"/>
        </w:rPr>
        <w:t>amb</w:t>
      </w:r>
      <w:proofErr w:type="spellEnd"/>
      <w:r w:rsidRPr="00BA17BA">
        <w:rPr>
          <w:sz w:val="20"/>
        </w:rPr>
        <w:t xml:space="preserve"> and </w:t>
      </w:r>
      <w:proofErr w:type="spellStart"/>
      <w:r w:rsidRPr="00BA17BA">
        <w:rPr>
          <w:sz w:val="20"/>
        </w:rPr>
        <w:t>T</w:t>
      </w:r>
      <w:r w:rsidRPr="00BA17BA">
        <w:rPr>
          <w:sz w:val="20"/>
          <w:vertAlign w:val="subscript"/>
        </w:rPr>
        <w:t>mod</w:t>
      </w:r>
      <w:proofErr w:type="spellEnd"/>
      <w:r w:rsidRPr="00BA17BA">
        <w:rPr>
          <w:sz w:val="20"/>
        </w:rPr>
        <w:t xml:space="preserve"> influence PV efficiency, where rising module temperatures typically reduce performance. HR affects atmospheric transmittance and component durability. </w:t>
      </w:r>
      <w:proofErr w:type="spellStart"/>
      <w:r w:rsidRPr="00BA17BA">
        <w:rPr>
          <w:sz w:val="20"/>
        </w:rPr>
        <w:t>Isc</w:t>
      </w:r>
      <w:proofErr w:type="spellEnd"/>
      <w:r w:rsidRPr="00BA17BA">
        <w:rPr>
          <w:sz w:val="20"/>
        </w:rPr>
        <w:t xml:space="preserve"> indicates the maximum current output under standard sunlight conditions, while V</w:t>
      </w:r>
      <w:r w:rsidRPr="00BA17BA">
        <w:rPr>
          <w:sz w:val="20"/>
          <w:vertAlign w:val="subscript"/>
        </w:rPr>
        <w:t>oc</w:t>
      </w:r>
      <w:r w:rsidRPr="00BA17BA">
        <w:rPr>
          <w:sz w:val="20"/>
        </w:rPr>
        <w:t xml:space="preserve"> provides the maximum voltage when the system is open-circuited, both essential for assessing module behavior. P</w:t>
      </w:r>
      <w:r w:rsidRPr="00BA17BA">
        <w:rPr>
          <w:sz w:val="20"/>
          <w:vertAlign w:val="subscript"/>
        </w:rPr>
        <w:t>max</w:t>
      </w:r>
      <w:r w:rsidRPr="00BA17BA">
        <w:rPr>
          <w:sz w:val="20"/>
        </w:rPr>
        <w:t xml:space="preserve"> reflects the real-time energy yield under operational conditions. All parameters were logged during daylight hours over the 12-month period, enabling comprehensive analysis of daily and seasonal PV system performance. This </w:t>
      </w:r>
      <w:proofErr w:type="gramStart"/>
      <w:r w:rsidRPr="00BA17BA">
        <w:rPr>
          <w:sz w:val="20"/>
        </w:rPr>
        <w:t>dataset</w:t>
      </w:r>
      <w:proofErr w:type="gramEnd"/>
      <w:r w:rsidRPr="00BA17BA">
        <w:rPr>
          <w:sz w:val="20"/>
        </w:rPr>
        <w:t xml:space="preserve"> serves as a reliable basis for evaluating system efficiency, environmental impact, and performance optimization under varying climatic and solar conditions. </w:t>
      </w:r>
      <w:r w:rsidR="000D26FA" w:rsidRPr="00BA17BA">
        <w:rPr>
          <w:sz w:val="20"/>
        </w:rPr>
        <w:t xml:space="preserve">The process starts with assembling </w:t>
      </w:r>
      <w:proofErr w:type="gramStart"/>
      <w:r w:rsidR="000D26FA" w:rsidRPr="00BA17BA">
        <w:rPr>
          <w:sz w:val="20"/>
        </w:rPr>
        <w:t>the</w:t>
      </w:r>
      <w:proofErr w:type="gramEnd"/>
      <w:r w:rsidR="000D26FA" w:rsidRPr="00BA17BA">
        <w:rPr>
          <w:sz w:val="20"/>
        </w:rPr>
        <w:t xml:space="preserve"> experimental platform and installing sensors in a controlled workshop. Maroua is selected as the test site for its harsh conditions, followed by thorough PV module cleaning to eliminate contaminants. Baseline lab characterization measures key parameters like short</w:t>
      </w:r>
      <w:r w:rsidR="0001290B" w:rsidRPr="00BA17BA">
        <w:rPr>
          <w:sz w:val="20"/>
        </w:rPr>
        <w:t>-</w:t>
      </w:r>
      <w:r w:rsidR="000D26FA" w:rsidRPr="00BA17BA">
        <w:rPr>
          <w:sz w:val="20"/>
        </w:rPr>
        <w:t>circuit current (</w:t>
      </w:r>
      <w:proofErr w:type="spellStart"/>
      <w:r w:rsidR="00782A57" w:rsidRPr="00BA17BA">
        <w:rPr>
          <w:sz w:val="20"/>
        </w:rPr>
        <w:t>I</w:t>
      </w:r>
      <w:r w:rsidR="00782A57" w:rsidRPr="00BA17BA">
        <w:rPr>
          <w:sz w:val="20"/>
          <w:vertAlign w:val="subscript"/>
        </w:rPr>
        <w:t>sc</w:t>
      </w:r>
      <w:proofErr w:type="spellEnd"/>
      <w:r w:rsidR="000D26FA" w:rsidRPr="00BA17BA">
        <w:rPr>
          <w:sz w:val="20"/>
        </w:rPr>
        <w:t xml:space="preserve">, </w:t>
      </w:r>
      <w:r w:rsidR="00420F99" w:rsidRPr="00BA17BA">
        <w:rPr>
          <w:sz w:val="20"/>
        </w:rPr>
        <w:t>V</w:t>
      </w:r>
      <w:r w:rsidR="00420F99" w:rsidRPr="00BA17BA">
        <w:rPr>
          <w:sz w:val="20"/>
          <w:vertAlign w:val="subscript"/>
        </w:rPr>
        <w:t>oc</w:t>
      </w:r>
      <w:r w:rsidR="000D26FA" w:rsidRPr="00BA17BA">
        <w:rPr>
          <w:sz w:val="20"/>
        </w:rPr>
        <w:t xml:space="preserve">, </w:t>
      </w:r>
      <w:r w:rsidR="00420F99" w:rsidRPr="00BA17BA">
        <w:rPr>
          <w:sz w:val="20"/>
        </w:rPr>
        <w:t>P</w:t>
      </w:r>
      <w:r w:rsidR="00420F99" w:rsidRPr="00BA17BA">
        <w:rPr>
          <w:sz w:val="20"/>
          <w:vertAlign w:val="subscript"/>
        </w:rPr>
        <w:t>max</w:t>
      </w:r>
      <w:r w:rsidR="000D26FA" w:rsidRPr="00BA17BA">
        <w:rPr>
          <w:sz w:val="20"/>
        </w:rPr>
        <w:t>, and fill factor (FF). Modules are then deployed on</w:t>
      </w:r>
      <w:r w:rsidR="0001290B" w:rsidRPr="00BA17BA">
        <w:rPr>
          <w:sz w:val="20"/>
        </w:rPr>
        <w:t>-</w:t>
      </w:r>
      <w:r w:rsidR="000D26FA" w:rsidRPr="00BA17BA">
        <w:rPr>
          <w:sz w:val="20"/>
        </w:rPr>
        <w:t>site for hourly field monitoring of environmental factors, solar irradiance (</w:t>
      </w:r>
      <w:r w:rsidR="00782A57" w:rsidRPr="00BA17BA">
        <w:rPr>
          <w:sz w:val="20"/>
        </w:rPr>
        <w:t>E</w:t>
      </w:r>
      <w:r w:rsidR="000D26FA" w:rsidRPr="00BA17BA">
        <w:rPr>
          <w:sz w:val="20"/>
        </w:rPr>
        <w:t>), ambient temperature (</w:t>
      </w:r>
      <w:proofErr w:type="spellStart"/>
      <w:r w:rsidR="000D26FA" w:rsidRPr="00BA17BA">
        <w:rPr>
          <w:sz w:val="20"/>
        </w:rPr>
        <w:t>T</w:t>
      </w:r>
      <w:r w:rsidR="000D26FA" w:rsidRPr="00BA17BA">
        <w:rPr>
          <w:sz w:val="20"/>
          <w:vertAlign w:val="subscript"/>
        </w:rPr>
        <w:t>amb</w:t>
      </w:r>
      <w:proofErr w:type="spellEnd"/>
      <w:r w:rsidR="000D26FA" w:rsidRPr="00BA17BA">
        <w:rPr>
          <w:sz w:val="20"/>
        </w:rPr>
        <w:t>), module temperature (</w:t>
      </w:r>
      <w:proofErr w:type="spellStart"/>
      <w:r w:rsidR="000D26FA" w:rsidRPr="00BA17BA">
        <w:rPr>
          <w:sz w:val="20"/>
        </w:rPr>
        <w:t>T</w:t>
      </w:r>
      <w:r w:rsidR="000D26FA" w:rsidRPr="00BA17BA">
        <w:rPr>
          <w:sz w:val="20"/>
          <w:vertAlign w:val="subscript"/>
        </w:rPr>
        <w:t>mod</w:t>
      </w:r>
      <w:proofErr w:type="spellEnd"/>
      <w:r w:rsidR="000D26FA" w:rsidRPr="00BA17BA">
        <w:rPr>
          <w:sz w:val="20"/>
        </w:rPr>
        <w:t>), and relative humidity (HR), alongside real</w:t>
      </w:r>
      <w:r w:rsidR="0001290B" w:rsidRPr="00BA17BA">
        <w:rPr>
          <w:sz w:val="20"/>
        </w:rPr>
        <w:t>-</w:t>
      </w:r>
      <w:r w:rsidR="000D26FA" w:rsidRPr="00BA17BA">
        <w:rPr>
          <w:sz w:val="20"/>
        </w:rPr>
        <w:t>time PV outputs (</w:t>
      </w:r>
      <w:proofErr w:type="spellStart"/>
      <w:r w:rsidR="00782A57" w:rsidRPr="00BA17BA">
        <w:rPr>
          <w:sz w:val="20"/>
        </w:rPr>
        <w:t>I</w:t>
      </w:r>
      <w:r w:rsidR="00782A57" w:rsidRPr="00BA17BA">
        <w:rPr>
          <w:sz w:val="20"/>
          <w:vertAlign w:val="subscript"/>
        </w:rPr>
        <w:t>sc</w:t>
      </w:r>
      <w:proofErr w:type="spellEnd"/>
      <w:r w:rsidR="000D26FA" w:rsidRPr="00BA17BA">
        <w:rPr>
          <w:sz w:val="20"/>
        </w:rPr>
        <w:t xml:space="preserve">, </w:t>
      </w:r>
      <w:r w:rsidR="00420F99" w:rsidRPr="00BA17BA">
        <w:rPr>
          <w:sz w:val="20"/>
        </w:rPr>
        <w:t>V</w:t>
      </w:r>
      <w:r w:rsidR="00420F99" w:rsidRPr="00BA17BA">
        <w:rPr>
          <w:sz w:val="20"/>
          <w:vertAlign w:val="subscript"/>
        </w:rPr>
        <w:t>oc</w:t>
      </w:r>
      <w:r w:rsidR="000D26FA" w:rsidRPr="00BA17BA">
        <w:rPr>
          <w:sz w:val="20"/>
        </w:rPr>
        <w:t xml:space="preserve">, </w:t>
      </w:r>
      <w:r w:rsidR="00420F99" w:rsidRPr="00BA17BA">
        <w:rPr>
          <w:sz w:val="20"/>
        </w:rPr>
        <w:t>P</w:t>
      </w:r>
      <w:r w:rsidR="00420F99" w:rsidRPr="00BA17BA">
        <w:rPr>
          <w:sz w:val="20"/>
          <w:vertAlign w:val="subscript"/>
        </w:rPr>
        <w:t>max</w:t>
      </w:r>
      <w:r w:rsidR="000D26FA" w:rsidRPr="00BA17BA">
        <w:rPr>
          <w:sz w:val="20"/>
        </w:rPr>
        <w:t>). Post</w:t>
      </w:r>
      <w:r w:rsidR="0001290B" w:rsidRPr="00BA17BA">
        <w:rPr>
          <w:sz w:val="20"/>
        </w:rPr>
        <w:t>-</w:t>
      </w:r>
      <w:r w:rsidR="000D26FA" w:rsidRPr="00BA17BA">
        <w:rPr>
          <w:sz w:val="20"/>
        </w:rPr>
        <w:t>collection, data normalization and analysis in the workshop reveal heat</w:t>
      </w:r>
      <w:r w:rsidR="0001290B" w:rsidRPr="00BA17BA">
        <w:rPr>
          <w:sz w:val="20"/>
        </w:rPr>
        <w:t>-</w:t>
      </w:r>
      <w:r w:rsidR="000D26FA" w:rsidRPr="00BA17BA">
        <w:rPr>
          <w:sz w:val="20"/>
        </w:rPr>
        <w:t>induced degradation trends, informing strategies for resilient PV designs in arid regions like Cameroon</w:t>
      </w:r>
      <w:r w:rsidR="00782A57" w:rsidRPr="00BA17BA">
        <w:rPr>
          <w:sz w:val="20"/>
        </w:rPr>
        <w:t>’</w:t>
      </w:r>
      <w:r w:rsidR="000D26FA" w:rsidRPr="00BA17BA">
        <w:rPr>
          <w:sz w:val="20"/>
        </w:rPr>
        <w:t>s Far North. This evidence underscores the urgent need for thermal adaptations to sustain solar efficiency.</w:t>
      </w:r>
    </w:p>
    <w:p w14:paraId="6F9756E7" w14:textId="33FEE589" w:rsidR="00B936B6" w:rsidRPr="003059BA" w:rsidRDefault="00B936B6" w:rsidP="000D26FA">
      <w:pPr>
        <w:pStyle w:val="Heading2"/>
      </w:pPr>
      <w:bookmarkStart w:id="1" w:name="_Hlk209946364"/>
      <w:r w:rsidRPr="003059BA">
        <w:t xml:space="preserve">Critical Performance Parameters for Photovoltaic Modules </w:t>
      </w:r>
    </w:p>
    <w:p w14:paraId="52230DEE" w14:textId="0054A948" w:rsidR="000D26FA" w:rsidRPr="003059BA" w:rsidRDefault="000D26FA" w:rsidP="0072325A">
      <w:pPr>
        <w:ind w:firstLine="284"/>
        <w:jc w:val="both"/>
        <w:rPr>
          <w:sz w:val="20"/>
          <w:vertAlign w:val="subscript"/>
        </w:rPr>
      </w:pPr>
      <w:r w:rsidRPr="003059BA">
        <w:rPr>
          <w:sz w:val="20"/>
        </w:rPr>
        <w:t xml:space="preserve">The critical performance parameters for photovoltaic (PV) modules include </w:t>
      </w:r>
      <m:oMath>
        <m:sSub>
          <m:sSubPr>
            <m:ctrlPr>
              <w:rPr>
                <w:rFonts w:ascii="Cambria Math" w:hAnsi="Cambria Math"/>
                <w:i/>
                <w:sz w:val="20"/>
              </w:rPr>
            </m:ctrlPr>
          </m:sSubPr>
          <m:e>
            <m:r>
              <w:rPr>
                <w:rFonts w:ascii="Cambria Math" w:hAnsi="Cambria Math"/>
                <w:sz w:val="20"/>
              </w:rPr>
              <m:t>I</m:t>
            </m:r>
          </m:e>
          <m:sub>
            <m:r>
              <w:rPr>
                <w:rFonts w:ascii="Cambria Math" w:hAnsi="Cambria Math"/>
                <w:sz w:val="20"/>
              </w:rPr>
              <m:t>sc</m:t>
            </m:r>
          </m:sub>
        </m:sSub>
      </m:oMath>
      <w:r w:rsidRPr="003059BA">
        <w:rPr>
          <w:sz w:val="20"/>
        </w:rPr>
        <w:t xml:space="preserve">, </w:t>
      </w:r>
      <m:oMath>
        <m:sSub>
          <m:sSubPr>
            <m:ctrlPr>
              <w:rPr>
                <w:rFonts w:ascii="Cambria Math" w:eastAsiaTheme="minorEastAsia" w:hAnsi="Cambria Math"/>
                <w:i/>
                <w:sz w:val="20"/>
              </w:rPr>
            </m:ctrlPr>
          </m:sSubPr>
          <m:e>
            <m:r>
              <w:rPr>
                <w:rFonts w:ascii="Cambria Math" w:eastAsiaTheme="minorEastAsia" w:hAnsi="Cambria Math"/>
                <w:sz w:val="20"/>
              </w:rPr>
              <m:t>V</m:t>
            </m:r>
          </m:e>
          <m:sub>
            <m:r>
              <w:rPr>
                <w:rFonts w:ascii="Cambria Math" w:eastAsiaTheme="minorEastAsia" w:hAnsi="Cambria Math"/>
                <w:sz w:val="20"/>
              </w:rPr>
              <m:t>oc</m:t>
            </m:r>
          </m:sub>
        </m:sSub>
      </m:oMath>
      <w:r w:rsidRPr="003059BA">
        <w:rPr>
          <w:sz w:val="20"/>
        </w:rPr>
        <w:t>, FF and P</w:t>
      </w:r>
      <w:r w:rsidRPr="003059BA">
        <w:rPr>
          <w:sz w:val="20"/>
          <w:vertAlign w:val="subscript"/>
        </w:rPr>
        <w:t>max</w:t>
      </w:r>
      <w:r w:rsidRPr="003059BA">
        <w:rPr>
          <w:sz w:val="20"/>
        </w:rPr>
        <w:t xml:space="preserve">. To effectively compare module performance across varying operating conditions, field measurements taken under specific irradiance (G) and </w:t>
      </w:r>
      <w:proofErr w:type="spellStart"/>
      <w:r w:rsidRPr="003059BA">
        <w:rPr>
          <w:sz w:val="20"/>
        </w:rPr>
        <w:t>T</w:t>
      </w:r>
      <w:r w:rsidRPr="003059BA">
        <w:rPr>
          <w:sz w:val="20"/>
          <w:vertAlign w:val="subscript"/>
        </w:rPr>
        <w:t>mod</w:t>
      </w:r>
      <w:proofErr w:type="spellEnd"/>
      <w:r w:rsidRPr="003059BA">
        <w:rPr>
          <w:sz w:val="20"/>
        </w:rPr>
        <w:t xml:space="preserve"> must be normalized to Standard Test Conditions (STC: G</w:t>
      </w:r>
      <w:r w:rsidRPr="003059BA">
        <w:rPr>
          <w:sz w:val="20"/>
          <w:vertAlign w:val="subscript"/>
        </w:rPr>
        <w:t>STC</w:t>
      </w:r>
      <w:r w:rsidRPr="003059BA">
        <w:rPr>
          <w:sz w:val="20"/>
        </w:rPr>
        <w:t xml:space="preserve"> = 1000 W/m², T</w:t>
      </w:r>
      <w:r w:rsidRPr="003059BA">
        <w:rPr>
          <w:sz w:val="20"/>
          <w:vertAlign w:val="subscript"/>
        </w:rPr>
        <w:t xml:space="preserve">STC </w:t>
      </w:r>
      <w:r w:rsidRPr="003059BA">
        <w:rPr>
          <w:sz w:val="20"/>
        </w:rPr>
        <w:t>= 25°C</w:t>
      </w:r>
      <w:r w:rsidR="00366A49" w:rsidRPr="003059BA">
        <w:rPr>
          <w:sz w:val="20"/>
        </w:rPr>
        <w:t>)</w:t>
      </w:r>
      <w:r w:rsidRPr="003059BA">
        <w:rPr>
          <w:sz w:val="20"/>
          <w:vertAlign w:val="subscript"/>
        </w:rPr>
        <w:t>.</w:t>
      </w:r>
    </w:p>
    <w:p w14:paraId="25DA404D" w14:textId="490EB747" w:rsidR="000D26FA" w:rsidRDefault="000D26FA" w:rsidP="0072325A">
      <w:pPr>
        <w:ind w:firstLine="284"/>
        <w:jc w:val="both"/>
        <w:rPr>
          <w:sz w:val="20"/>
        </w:rPr>
      </w:pPr>
      <w:r w:rsidRPr="003059BA">
        <w:rPr>
          <w:sz w:val="20"/>
        </w:rPr>
        <w:t>The short</w:t>
      </w:r>
      <w:r w:rsidR="0001290B" w:rsidRPr="003059BA">
        <w:rPr>
          <w:sz w:val="20"/>
        </w:rPr>
        <w:t>-</w:t>
      </w:r>
      <w:r w:rsidRPr="003059BA">
        <w:rPr>
          <w:sz w:val="20"/>
        </w:rPr>
        <w:t>circuit current is the current delivered when the module terminals are shorted. It scales nearly linearly with irradiance and exhibits a weak positive temperature dependence. The normalized short</w:t>
      </w:r>
      <w:r w:rsidR="0001290B" w:rsidRPr="003059BA">
        <w:rPr>
          <w:sz w:val="20"/>
        </w:rPr>
        <w:t>-</w:t>
      </w:r>
      <w:r w:rsidRPr="003059BA">
        <w:rPr>
          <w:sz w:val="20"/>
        </w:rPr>
        <w:t>circuit current at STC is given by Equation (1)</w:t>
      </w:r>
      <w:r w:rsidRPr="003059BA">
        <w:rPr>
          <w:sz w:val="20"/>
        </w:rPr>
        <w:fldChar w:fldCharType="begin" w:fldLock="1"/>
      </w:r>
      <w:r w:rsidR="0094752B">
        <w:rPr>
          <w:sz w:val="20"/>
        </w:rPr>
        <w:instrText>ADDIN CSL_CITATION {"citationItems":[{"id":"ITEM-1","itemData":{"DOI":"10.1016/j.egypro.2017.09.617","ISSN":"18766102","abstract":"This paper presents a comparison of common and well-documented methods for varying the single-diode model parameters extracted at standard test conditions (STC) of a PV module to suit varying operating conditions of irradiance and temperature. To perform such a comparison, accurate values of the single-diode parameters at STC are required. These were obtained using well-established numerical and iterative methods. The Newton-Raphson method was found to be most accurate for obtaining these parameters at STC. Consequently, these parameters were used to compare the methods of varying the single-diode model parameters with temperature and irradiance. MATLAB software has been developed to evaluate the performance of each method using the Shell SQ150 PV module. Results are compared with measured data and discussion of the accuracy of various methods is presented. .","author":[{"dropping-particle":"","family":"Ibrahim","given":"Haider","non-dropping-particle":"","parse-names":false,"suffix":""},{"dropping-particle":"","family":"Anani","given":"Nader","non-dropping-particle":"","parse-names":false,"suffix":""}],"container-title":"Energy Procedia","id":"ITEM-1","issued":{"date-parts":[["2017"]]},"title":"Variations of PV module parameters with irradiance and temperature","type":"paper-conference","volume":"134"},"uris":["http://www.mendeley.com/documents/?uuid=33169c10-288c-3e52-91af-c5bfbef382c3"]},{"id":"ITEM-2","itemData":{"DOI":"10.3390/en13123226","ISSN":"19961073","abstract":"This paper presents a concise discussion and an investigation of the most literature- reported methods for modifying the lumped-circuit parameters of the single-diode model (SDM) of a photovoltaic (PV) module, to suit the prevailing climatic conditions of irradiance and temperature. These parameters provide the designer of a PV system with an essential design and simulation tool to maximize the efficiency of the system. The parameter modification methods were tested using three commercially available PV modules of different PV technologies, namely monocrystalline, multicrystalline, and thin film types. The SDM parameters of the three test modules were extracted under standard test conditions (STC) using a well-established numerical technique. Using these STC parameters as reference values, the parameter adjustment methods were subsequently deployed to calculate the modified parameters of the SDM under various operating conditions of temperature and irradiance using MATLAB-based software. The accuracy and effectiveness of these methods were evaluated by a comparison between the calculated and measured values of the modified parameters.","author":[{"dropping-particle":"","family":"Anani","given":"Nader","non-dropping-particle":"","parse-names":false,"suffix":""},{"dropping-particle":"","family":"Ibrahim","given":"Haider","non-dropping-particle":"","parse-names":false,"suffix":""}],"container-title":"Energies","id":"ITEM-2","issue":"12","issued":{"date-parts":[["2020"]]},"title":"Adjusting the single-diode model parameters of a photovoltaic module with irradiance and temperature","type":"article-journal","volume":"13"},"uris":["http://www.mendeley.com/documents/?uuid=b49f1f3a-9001-3758-ba49-2d5a8c8e3ee2"]}],"mendeley":{"formattedCitation":"&lt;sup&gt;6,7&lt;/sup&gt;","plainTextFormattedCitation":"6,7","previouslyFormattedCitation":"&lt;sup&gt;6,7&lt;/sup&gt;"},"properties":{"noteIndex":0},"schema":"https://github.com/citation-style-language/schema/raw/master/csl-citation.json"}</w:instrText>
      </w:r>
      <w:r w:rsidRPr="003059BA">
        <w:rPr>
          <w:sz w:val="20"/>
        </w:rPr>
        <w:fldChar w:fldCharType="separate"/>
      </w:r>
      <w:r w:rsidR="0094752B" w:rsidRPr="0094752B">
        <w:rPr>
          <w:noProof/>
          <w:sz w:val="20"/>
          <w:vertAlign w:val="superscript"/>
        </w:rPr>
        <w:t>6,7</w:t>
      </w:r>
      <w:r w:rsidRPr="003059BA">
        <w:rPr>
          <w:sz w:val="20"/>
        </w:rPr>
        <w:fldChar w:fldCharType="end"/>
      </w:r>
      <w:r w:rsidRPr="003059BA">
        <w:rPr>
          <w:sz w:val="20"/>
        </w:rPr>
        <w:t>:</w:t>
      </w:r>
    </w:p>
    <w:p w14:paraId="1255BE61" w14:textId="6DB34F77" w:rsidR="00E47A86" w:rsidRPr="00B047A8" w:rsidRDefault="00E47A86" w:rsidP="00E47A86">
      <w:pPr>
        <w:pStyle w:val="Equation"/>
        <w:ind w:left="56"/>
      </w:pPr>
      <w:r>
        <w:tab/>
      </w:r>
      <m:oMath>
        <m:sSub>
          <m:sSubPr>
            <m:ctrlPr>
              <w:rPr>
                <w:rFonts w:ascii="Cambria Math" w:hAnsi="Cambria Math"/>
                <w:i/>
              </w:rPr>
            </m:ctrlPr>
          </m:sSubPr>
          <m:e>
            <m:r>
              <w:rPr>
                <w:rFonts w:ascii="Cambria Math" w:hAnsi="Cambria Math"/>
              </w:rPr>
              <m:t>I</m:t>
            </m:r>
          </m:e>
          <m:sub>
            <m:r>
              <w:rPr>
                <w:rFonts w:ascii="Cambria Math" w:hAnsi="Cambria Math"/>
              </w:rPr>
              <m:t>sc,  STC</m:t>
            </m:r>
          </m:sub>
        </m:sSub>
        <m:r>
          <m:rPr>
            <m:sty m:val="p"/>
          </m:rP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sc,meas</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G</m:t>
                    </m:r>
                  </m:e>
                  <m:sub>
                    <m:r>
                      <w:rPr>
                        <w:rFonts w:ascii="Cambria Math" w:hAnsi="Cambria Math"/>
                      </w:rPr>
                      <m:t>STC</m:t>
                    </m:r>
                  </m:sub>
                </m:sSub>
              </m:num>
              <m:den>
                <m:r>
                  <m:rPr>
                    <m:sty m:val="p"/>
                  </m:rPr>
                  <w:rPr>
                    <w:rFonts w:ascii="Cambria Math" w:hAnsi="Cambria Math"/>
                  </w:rPr>
                  <m:t>G</m:t>
                </m:r>
              </m:den>
            </m:f>
            <m:ctrlPr>
              <w:rPr>
                <w:rFonts w:ascii="Cambria Math" w:hAnsi="Cambria Math"/>
                <w:i/>
              </w:rPr>
            </m:ctrlPr>
          </m:e>
        </m:d>
        <m:r>
          <w:rPr>
            <w:rFonts w:ascii="Cambria Math" w:hAnsi="Cambria Math"/>
          </w:rPr>
          <m:t>×</m:t>
        </m:r>
        <m:d>
          <m:dPr>
            <m:begChr m:val="["/>
            <m:endChr m:val="]"/>
            <m:ctrlPr>
              <w:rPr>
                <w:rFonts w:ascii="Cambria Math" w:hAnsi="Cambria Math"/>
                <w:i/>
              </w:rPr>
            </m:ctrlPr>
          </m:dPr>
          <m:e>
            <m:r>
              <w:rPr>
                <w:rFonts w:ascii="Cambria Math" w:hAnsi="Cambria Math"/>
              </w:rPr>
              <m:t>1+α×</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module</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STC</m:t>
                    </m:r>
                  </m:sub>
                </m:sSub>
              </m:e>
            </m:d>
          </m:e>
        </m:d>
      </m:oMath>
      <w:r>
        <w:tab/>
        <w:t>(1)</w:t>
      </w:r>
    </w:p>
    <w:p w14:paraId="39B81E37" w14:textId="77777777" w:rsidR="000D26FA" w:rsidRPr="003059BA" w:rsidRDefault="000D26FA" w:rsidP="0072325A">
      <w:pPr>
        <w:ind w:firstLine="284"/>
        <w:jc w:val="both"/>
        <w:rPr>
          <w:sz w:val="20"/>
        </w:rPr>
      </w:pPr>
      <w:r w:rsidRPr="003059BA">
        <w:rPr>
          <w:sz w:val="20"/>
        </w:rPr>
        <w:t>Where:</w:t>
      </w:r>
    </w:p>
    <w:p w14:paraId="676BFC52" w14:textId="6C2B42E4" w:rsidR="000D26FA" w:rsidRPr="003059BA" w:rsidRDefault="0001290B" w:rsidP="0072325A">
      <w:pPr>
        <w:ind w:firstLine="284"/>
        <w:jc w:val="both"/>
        <w:rPr>
          <w:sz w:val="20"/>
        </w:rPr>
      </w:pPr>
      <w:r w:rsidRPr="003059BA">
        <w:rPr>
          <w:sz w:val="20"/>
        </w:rPr>
        <w:t>-</w:t>
      </w:r>
      <w:r w:rsidR="000D26FA" w:rsidRPr="003059BA">
        <w:rPr>
          <w:sz w:val="20"/>
        </w:rPr>
        <w:t xml:space="preserve"> α is the temperature coefficient for </w:t>
      </w:r>
      <m:oMath>
        <m:sSub>
          <m:sSubPr>
            <m:ctrlPr>
              <w:rPr>
                <w:rFonts w:ascii="Cambria Math" w:hAnsi="Cambria Math"/>
                <w:i/>
                <w:sz w:val="20"/>
              </w:rPr>
            </m:ctrlPr>
          </m:sSubPr>
          <m:e>
            <m:r>
              <w:rPr>
                <w:rFonts w:ascii="Cambria Math" w:hAnsi="Cambria Math"/>
                <w:sz w:val="20"/>
              </w:rPr>
              <m:t>I</m:t>
            </m:r>
          </m:e>
          <m:sub>
            <m:r>
              <w:rPr>
                <w:rFonts w:ascii="Cambria Math" w:hAnsi="Cambria Math"/>
                <w:sz w:val="20"/>
              </w:rPr>
              <m:t>sc</m:t>
            </m:r>
          </m:sub>
        </m:sSub>
      </m:oMath>
      <w:r w:rsidR="000D26FA" w:rsidRPr="003059BA">
        <w:rPr>
          <w:sz w:val="20"/>
        </w:rPr>
        <w:t xml:space="preserve"> (typically +0.05% to +0.1% per °C for crystalline silicon)</w:t>
      </w:r>
    </w:p>
    <w:p w14:paraId="34BBB58C" w14:textId="15778A59" w:rsidR="000D26FA" w:rsidRPr="003059BA" w:rsidRDefault="0001290B" w:rsidP="0072325A">
      <w:pPr>
        <w:ind w:firstLine="284"/>
        <w:jc w:val="both"/>
        <w:rPr>
          <w:sz w:val="20"/>
        </w:rPr>
      </w:pPr>
      <w:r w:rsidRPr="003059BA">
        <w:rPr>
          <w:sz w:val="20"/>
        </w:rPr>
        <w:t>-</w:t>
      </w:r>
      <w:r w:rsidR="000D26FA" w:rsidRPr="003059BA">
        <w:rPr>
          <w:sz w:val="20"/>
        </w:rPr>
        <w:t xml:space="preserve"> The term </w:t>
      </w:r>
      <m:oMath>
        <m:d>
          <m:dPr>
            <m:ctrlPr>
              <w:rPr>
                <w:rFonts w:ascii="Cambria Math" w:hAnsi="Cambria Math"/>
                <w:sz w:val="20"/>
              </w:rPr>
            </m:ctrlPr>
          </m:dPr>
          <m:e>
            <m:f>
              <m:fPr>
                <m:ctrlPr>
                  <w:rPr>
                    <w:rFonts w:ascii="Cambria Math" w:hAnsi="Cambria Math"/>
                    <w:sz w:val="20"/>
                  </w:rPr>
                </m:ctrlPr>
              </m:fPr>
              <m:num>
                <m:sSub>
                  <m:sSubPr>
                    <m:ctrlPr>
                      <w:rPr>
                        <w:rFonts w:ascii="Cambria Math" w:hAnsi="Cambria Math"/>
                        <w:sz w:val="20"/>
                      </w:rPr>
                    </m:ctrlPr>
                  </m:sSubPr>
                  <m:e>
                    <m:r>
                      <m:rPr>
                        <m:sty m:val="p"/>
                      </m:rPr>
                      <w:rPr>
                        <w:rFonts w:ascii="Cambria Math" w:hAnsi="Cambria Math"/>
                        <w:sz w:val="20"/>
                      </w:rPr>
                      <m:t>G</m:t>
                    </m:r>
                  </m:e>
                  <m:sub>
                    <m:r>
                      <w:rPr>
                        <w:rFonts w:ascii="Cambria Math" w:hAnsi="Cambria Math"/>
                        <w:sz w:val="20"/>
                      </w:rPr>
                      <m:t>STC</m:t>
                    </m:r>
                  </m:sub>
                </m:sSub>
              </m:num>
              <m:den>
                <m:r>
                  <m:rPr>
                    <m:sty m:val="p"/>
                  </m:rPr>
                  <w:rPr>
                    <w:rFonts w:ascii="Cambria Math" w:hAnsi="Cambria Math"/>
                    <w:sz w:val="20"/>
                  </w:rPr>
                  <m:t>G</m:t>
                </m:r>
              </m:den>
            </m:f>
            <m:ctrlPr>
              <w:rPr>
                <w:rFonts w:ascii="Cambria Math" w:hAnsi="Cambria Math"/>
                <w:i/>
                <w:sz w:val="20"/>
              </w:rPr>
            </m:ctrlPr>
          </m:e>
        </m:d>
      </m:oMath>
      <w:r w:rsidR="000D26FA" w:rsidRPr="003059BA">
        <w:rPr>
          <w:sz w:val="20"/>
        </w:rPr>
        <w:t xml:space="preserve"> accounts for the linear dependence of current on irradiance</w:t>
      </w:r>
    </w:p>
    <w:p w14:paraId="20309AF2" w14:textId="64C27E34" w:rsidR="000D26FA" w:rsidRPr="003059BA" w:rsidRDefault="0001290B" w:rsidP="0072325A">
      <w:pPr>
        <w:ind w:firstLine="284"/>
        <w:jc w:val="both"/>
        <w:rPr>
          <w:sz w:val="20"/>
        </w:rPr>
      </w:pPr>
      <w:r w:rsidRPr="003059BA">
        <w:rPr>
          <w:sz w:val="20"/>
        </w:rPr>
        <w:t>-</w:t>
      </w:r>
      <w:r w:rsidR="000D26FA" w:rsidRPr="003059BA">
        <w:rPr>
          <w:sz w:val="20"/>
        </w:rPr>
        <w:t xml:space="preserve"> The temperature correction term adjusts for the temperature difference from STC</w:t>
      </w:r>
    </w:p>
    <w:p w14:paraId="514D31C3" w14:textId="2DF4D561" w:rsidR="000D26FA" w:rsidRDefault="000D26FA" w:rsidP="0072325A">
      <w:pPr>
        <w:ind w:firstLine="284"/>
        <w:jc w:val="both"/>
        <w:rPr>
          <w:sz w:val="20"/>
        </w:rPr>
      </w:pPr>
      <w:r w:rsidRPr="003059BA">
        <w:rPr>
          <w:sz w:val="20"/>
        </w:rPr>
        <w:t>The open</w:t>
      </w:r>
      <w:r w:rsidR="0001290B" w:rsidRPr="003059BA">
        <w:rPr>
          <w:sz w:val="20"/>
        </w:rPr>
        <w:t>-</w:t>
      </w:r>
      <w:r w:rsidRPr="003059BA">
        <w:rPr>
          <w:sz w:val="20"/>
        </w:rPr>
        <w:t xml:space="preserve">circuit voltage is the potential difference across the module terminals with no load connected. </w:t>
      </w:r>
      <m:oMath>
        <m:sSub>
          <m:sSubPr>
            <m:ctrlPr>
              <w:rPr>
                <w:rFonts w:ascii="Cambria Math" w:eastAsiaTheme="minorEastAsia" w:hAnsi="Cambria Math"/>
                <w:i/>
                <w:sz w:val="20"/>
              </w:rPr>
            </m:ctrlPr>
          </m:sSubPr>
          <m:e>
            <m:r>
              <w:rPr>
                <w:rFonts w:ascii="Cambria Math" w:eastAsiaTheme="minorEastAsia" w:hAnsi="Cambria Math"/>
                <w:sz w:val="20"/>
              </w:rPr>
              <m:t>V</m:t>
            </m:r>
          </m:e>
          <m:sub>
            <m:r>
              <w:rPr>
                <w:rFonts w:ascii="Cambria Math" w:eastAsiaTheme="minorEastAsia" w:hAnsi="Cambria Math"/>
                <w:sz w:val="20"/>
              </w:rPr>
              <m:t>oc,  STC</m:t>
            </m:r>
          </m:sub>
        </m:sSub>
      </m:oMath>
      <w:r w:rsidRPr="003059BA">
        <w:rPr>
          <w:sz w:val="20"/>
        </w:rPr>
        <w:t xml:space="preserve"> is strongly affected by temperature and to a lesser extent by irradiance and is provided by Equation (2)</w:t>
      </w:r>
      <w:r w:rsidRPr="003059BA">
        <w:rPr>
          <w:sz w:val="20"/>
        </w:rPr>
        <w:fldChar w:fldCharType="begin" w:fldLock="1"/>
      </w:r>
      <w:r w:rsidR="0094752B">
        <w:rPr>
          <w:sz w:val="20"/>
        </w:rPr>
        <w:instrText>ADDIN CSL_CITATION {"citationItems":[{"id":"ITEM-1","itemData":{"DOI":"10.1016/j.egypro.2017.09.617","ISSN":"18766102","abstract":"This paper presents a comparison of common and well-documented methods for varying the single-diode model parameters extracted at standard test conditions (STC) of a PV module to suit varying operating conditions of irradiance and temperature. To perform such a comparison, accurate values of the single-diode parameters at STC are required. These were obtained using well-established numerical and iterative methods. The Newton-Raphson method was found to be most accurate for obtaining these parameters at STC. Consequently, these parameters were used to compare the methods of varying the single-diode model parameters with temperature and irradiance. MATLAB software has been developed to evaluate the performance of each method using the Shell SQ150 PV module. Results are compared with measured data and discussion of the accuracy of various methods is presented. .","author":[{"dropping-particle":"","family":"Ibrahim","given":"Haider","non-dropping-particle":"","parse-names":false,"suffix":""},{"dropping-particle":"","family":"Anani","given":"Nader","non-dropping-particle":"","parse-names":false,"suffix":""}],"container-title":"Energy Procedia","id":"ITEM-1","issued":{"date-parts":[["2017"]]},"title":"Variations of PV module parameters with irradiance and temperature","type":"paper-conference","volume":"134"},"uris":["http://www.mendeley.com/documents/?uuid=33169c10-288c-3e52-91af-c5bfbef382c3"]},{"id":"ITEM-2","itemData":{"DOI":"10.1016/j.seta.2021.101711","ISSN":"22131388","abstract":"The presented study conducted a substantial literature review regarding the electrical, thermal, and optical modeling of photovoltaic systems. All the main models suggested in the literature to predict a photovoltaic system's behavior were reviewed. The study performed a step-by-step investigation, comparison, and classification, followed by an in-depth and critical analysis of the state of the art. The diode-based equivalent electrical circuit models were selected for further investigations for electrical modeling. The models' unknown parameters, the corresponding extraction methods, and parameter modification methods were introduced and compared based on accuracy, computing costs, and applicability. It was found that neglecting the variation in environmental conditions could easily lead to considerable errors up to 17%. However, proper modifications such as considering dust impacts in a model may improve the prediction results up to 35%. The present analysis pointed out that for electrical modeling, parameters extraction continues to be a long-lasting topic. However, for optical and thermal modeling, the favorable research topic is the precise identification of heat transfer coefficient and heat transfer mechanisms. The reviewed documents were assessed critically to identify the research gaps and some directions for future research are proposed to cope with the remaining shortages.","author":[{"dropping-particle":"","family":"Gholami","given":"Aslan","non-dropping-particle":"","parse-names":false,"suffix":""},{"dropping-particle":"","family":"Ameri","given":"Mohammad","non-dropping-particle":"","parse-names":false,"suffix":""},{"dropping-particle":"","family":"Zandi","given":"Majid","non-dropping-particle":"","parse-names":false,"suffix":""},{"dropping-particle":"","family":"Gavagsaz Ghoachani","given":"Roghayeh","non-dropping-particle":"","parse-names":false,"suffix":""}],"container-title":"Sustainable Energy Technologies and Assessments","id":"ITEM-2","issued":{"date-parts":[["2022"]]},"title":"Electrical, thermal and optical modeling of photovoltaic systems: Step-by-step guide and comparative review study","type":"article","volume":"49"},"uris":["http://www.mendeley.com/documents/?uuid=6cb34e1d-069c-3ac1-9d6a-e409a7077fd1"]}],"mendeley":{"formattedCitation":"&lt;sup&gt;6,8&lt;/sup&gt;","plainTextFormattedCitation":"6,8","previouslyFormattedCitation":"&lt;sup&gt;6,8&lt;/sup&gt;"},"properties":{"noteIndex":0},"schema":"https://github.com/citation-style-language/schema/raw/master/csl-citation.json"}</w:instrText>
      </w:r>
      <w:r w:rsidRPr="003059BA">
        <w:rPr>
          <w:sz w:val="20"/>
        </w:rPr>
        <w:fldChar w:fldCharType="separate"/>
      </w:r>
      <w:r w:rsidR="0094752B" w:rsidRPr="0094752B">
        <w:rPr>
          <w:noProof/>
          <w:sz w:val="20"/>
          <w:vertAlign w:val="superscript"/>
        </w:rPr>
        <w:t>6,8</w:t>
      </w:r>
      <w:r w:rsidRPr="003059BA">
        <w:rPr>
          <w:sz w:val="20"/>
        </w:rPr>
        <w:fldChar w:fldCharType="end"/>
      </w:r>
      <w:r w:rsidRPr="003059BA">
        <w:rPr>
          <w:sz w:val="20"/>
        </w:rPr>
        <w:t>:</w:t>
      </w:r>
    </w:p>
    <w:p w14:paraId="0D16AA17" w14:textId="44F77075" w:rsidR="00E47A86" w:rsidRPr="00B047A8" w:rsidRDefault="00E47A86" w:rsidP="00E47A86">
      <w:pPr>
        <w:pStyle w:val="Equation"/>
        <w:ind w:left="56"/>
      </w:pPr>
      <w:r>
        <w:lastRenderedPageBreak/>
        <w:tab/>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oc,  STC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oc,  meas</m:t>
            </m:r>
          </m:sub>
        </m:sSub>
        <m:r>
          <w:rPr>
            <w:rFonts w:ascii="Cambria Math" w:eastAsiaTheme="minorEastAsia" w:hAnsi="Cambria Math"/>
          </w:rPr>
          <m:t>+β×</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module</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STC</m:t>
                </m:r>
              </m:sub>
            </m:sSub>
          </m:e>
        </m:d>
        <m:r>
          <w:rPr>
            <w:rFonts w:ascii="Cambria Math" w:hAnsi="Cambria Math"/>
          </w:rPr>
          <m:t>+γ×ln</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G</m:t>
                    </m:r>
                  </m:e>
                  <m:sub>
                    <m:r>
                      <w:rPr>
                        <w:rFonts w:ascii="Cambria Math" w:hAnsi="Cambria Math"/>
                      </w:rPr>
                      <m:t>STC</m:t>
                    </m:r>
                  </m:sub>
                </m:sSub>
              </m:num>
              <m:den>
                <m:r>
                  <m:rPr>
                    <m:sty m:val="p"/>
                  </m:rPr>
                  <w:rPr>
                    <w:rFonts w:ascii="Cambria Math" w:hAnsi="Cambria Math"/>
                  </w:rPr>
                  <m:t>G</m:t>
                </m:r>
              </m:den>
            </m:f>
            <m:ctrlPr>
              <w:rPr>
                <w:rFonts w:ascii="Cambria Math" w:hAnsi="Cambria Math"/>
                <w:i/>
              </w:rPr>
            </m:ctrlPr>
          </m:e>
        </m:d>
      </m:oMath>
      <w:r>
        <w:tab/>
        <w:t>(2)</w:t>
      </w:r>
    </w:p>
    <w:p w14:paraId="5BDEA189" w14:textId="1B5B06BC" w:rsidR="000D26FA" w:rsidRDefault="000D26FA" w:rsidP="0072325A">
      <w:pPr>
        <w:ind w:firstLine="284"/>
        <w:jc w:val="both"/>
        <w:rPr>
          <w:sz w:val="20"/>
        </w:rPr>
      </w:pPr>
      <w:r w:rsidRPr="003059BA">
        <w:rPr>
          <w:sz w:val="20"/>
        </w:rPr>
        <w:t>However, in many practical applications, especially when using absolute temperature coefficients, the irradiance dependence is approximated linearly or neglected due to its relatively small contribution. A simplified form (Equation (3)) often employed is:</w:t>
      </w:r>
    </w:p>
    <w:p w14:paraId="35A0CCF6" w14:textId="1477C61A" w:rsidR="00E47A86" w:rsidRPr="00B047A8" w:rsidRDefault="00E47A86" w:rsidP="00E47A86">
      <w:pPr>
        <w:pStyle w:val="Equation"/>
        <w:ind w:left="56"/>
      </w:pPr>
      <w:r>
        <w:tab/>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oc,  STC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oc,  meas</m:t>
            </m:r>
          </m:sub>
        </m:sSub>
        <m:r>
          <w:rPr>
            <w:rFonts w:ascii="Cambria Math" w:eastAsiaTheme="minorEastAsia" w:hAnsi="Cambria Math"/>
          </w:rPr>
          <m:t>+β×</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module</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STC</m:t>
                </m:r>
              </m:sub>
            </m:sSub>
          </m:e>
        </m:d>
        <m:r>
          <w:rPr>
            <w:rFonts w:ascii="Cambria Math" w:hAnsi="Cambria Math"/>
          </w:rPr>
          <m:t>+γ×</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G</m:t>
                    </m:r>
                  </m:e>
                  <m:sub>
                    <m:r>
                      <w:rPr>
                        <w:rFonts w:ascii="Cambria Math" w:hAnsi="Cambria Math"/>
                      </w:rPr>
                      <m:t>STC</m:t>
                    </m:r>
                  </m:sub>
                </m:sSub>
              </m:num>
              <m:den>
                <m:r>
                  <m:rPr>
                    <m:sty m:val="p"/>
                  </m:rPr>
                  <w:rPr>
                    <w:rFonts w:ascii="Cambria Math" w:hAnsi="Cambria Math"/>
                  </w:rPr>
                  <m:t>G</m:t>
                </m:r>
              </m:den>
            </m:f>
            <m:r>
              <w:rPr>
                <w:rFonts w:ascii="Cambria Math" w:hAnsi="Cambria Math"/>
              </w:rPr>
              <m:t>-1</m:t>
            </m:r>
            <m:ctrlPr>
              <w:rPr>
                <w:rFonts w:ascii="Cambria Math" w:hAnsi="Cambria Math"/>
                <w:i/>
              </w:rPr>
            </m:ctrlPr>
          </m:e>
        </m:d>
      </m:oMath>
      <w:r>
        <w:tab/>
        <w:t>(3)</w:t>
      </w:r>
    </w:p>
    <w:p w14:paraId="3DFBF0AF" w14:textId="77777777" w:rsidR="000D26FA" w:rsidRPr="003059BA" w:rsidRDefault="000D26FA" w:rsidP="000D26FA">
      <w:pPr>
        <w:ind w:firstLine="284"/>
        <w:jc w:val="both"/>
        <w:rPr>
          <w:sz w:val="20"/>
        </w:rPr>
      </w:pPr>
      <w:r w:rsidRPr="003059BA">
        <w:rPr>
          <w:sz w:val="20"/>
        </w:rPr>
        <w:t>Where:</w:t>
      </w:r>
    </w:p>
    <w:p w14:paraId="054D4B6F" w14:textId="1169E415" w:rsidR="000D26FA" w:rsidRPr="003059BA" w:rsidRDefault="0001290B" w:rsidP="000D26FA">
      <w:pPr>
        <w:ind w:firstLine="284"/>
        <w:jc w:val="both"/>
        <w:rPr>
          <w:sz w:val="20"/>
        </w:rPr>
      </w:pPr>
      <w:r w:rsidRPr="003059BA">
        <w:rPr>
          <w:sz w:val="20"/>
        </w:rPr>
        <w:t>-</w:t>
      </w:r>
      <w:r w:rsidR="000D26FA" w:rsidRPr="003059BA">
        <w:rPr>
          <w:sz w:val="20"/>
        </w:rPr>
        <w:t xml:space="preserve"> β is the temperature coefficient for </w:t>
      </w:r>
      <m:oMath>
        <m:sSub>
          <m:sSubPr>
            <m:ctrlPr>
              <w:rPr>
                <w:rFonts w:ascii="Cambria Math" w:eastAsiaTheme="minorEastAsia" w:hAnsi="Cambria Math"/>
                <w:i/>
                <w:sz w:val="20"/>
              </w:rPr>
            </m:ctrlPr>
          </m:sSubPr>
          <m:e>
            <m:r>
              <w:rPr>
                <w:rFonts w:ascii="Cambria Math" w:eastAsiaTheme="minorEastAsia" w:hAnsi="Cambria Math"/>
                <w:sz w:val="20"/>
              </w:rPr>
              <m:t>V</m:t>
            </m:r>
          </m:e>
          <m:sub>
            <m:r>
              <w:rPr>
                <w:rFonts w:ascii="Cambria Math" w:eastAsiaTheme="minorEastAsia" w:hAnsi="Cambria Math"/>
                <w:sz w:val="20"/>
              </w:rPr>
              <m:t>oc</m:t>
            </m:r>
          </m:sub>
        </m:sSub>
      </m:oMath>
      <w:r w:rsidR="000D26FA" w:rsidRPr="003059BA">
        <w:rPr>
          <w:sz w:val="20"/>
        </w:rPr>
        <w:t xml:space="preserve"> (typically </w:t>
      </w:r>
      <w:r w:rsidRPr="003059BA">
        <w:rPr>
          <w:sz w:val="20"/>
        </w:rPr>
        <w:t>-</w:t>
      </w:r>
      <w:r w:rsidR="000D26FA" w:rsidRPr="003059BA">
        <w:rPr>
          <w:sz w:val="20"/>
        </w:rPr>
        <w:t xml:space="preserve">0.3% to </w:t>
      </w:r>
      <w:r w:rsidRPr="003059BA">
        <w:rPr>
          <w:sz w:val="20"/>
        </w:rPr>
        <w:t>-</w:t>
      </w:r>
      <w:r w:rsidR="000D26FA" w:rsidRPr="003059BA">
        <w:rPr>
          <w:sz w:val="20"/>
        </w:rPr>
        <w:t xml:space="preserve">0.4% per °C for crystalline silicon modules, or approximately </w:t>
      </w:r>
      <w:r w:rsidRPr="003059BA">
        <w:rPr>
          <w:sz w:val="20"/>
        </w:rPr>
        <w:t>-</w:t>
      </w:r>
      <w:r w:rsidR="000D26FA" w:rsidRPr="003059BA">
        <w:rPr>
          <w:sz w:val="20"/>
        </w:rPr>
        <w:t>2.2 mV/°C for a 60</w:t>
      </w:r>
      <w:r w:rsidRPr="003059BA">
        <w:rPr>
          <w:sz w:val="20"/>
        </w:rPr>
        <w:t>-</w:t>
      </w:r>
      <w:r w:rsidR="000D26FA" w:rsidRPr="003059BA">
        <w:rPr>
          <w:sz w:val="20"/>
        </w:rPr>
        <w:t>cell module)</w:t>
      </w:r>
    </w:p>
    <w:p w14:paraId="01539D59" w14:textId="3D703517" w:rsidR="000D26FA" w:rsidRPr="003059BA" w:rsidRDefault="0001290B" w:rsidP="000D26FA">
      <w:pPr>
        <w:ind w:firstLine="284"/>
        <w:jc w:val="both"/>
        <w:rPr>
          <w:sz w:val="20"/>
        </w:rPr>
      </w:pPr>
      <w:r w:rsidRPr="003059BA">
        <w:rPr>
          <w:sz w:val="20"/>
        </w:rPr>
        <w:t>-</w:t>
      </w:r>
      <w:r w:rsidR="000D26FA" w:rsidRPr="003059BA">
        <w:rPr>
          <w:sz w:val="20"/>
        </w:rPr>
        <w:t xml:space="preserve"> γ is the irradiance coefficient for </w:t>
      </w:r>
      <m:oMath>
        <m:sSub>
          <m:sSubPr>
            <m:ctrlPr>
              <w:rPr>
                <w:rFonts w:ascii="Cambria Math" w:eastAsiaTheme="minorEastAsia" w:hAnsi="Cambria Math"/>
                <w:i/>
                <w:sz w:val="20"/>
              </w:rPr>
            </m:ctrlPr>
          </m:sSubPr>
          <m:e>
            <m:r>
              <w:rPr>
                <w:rFonts w:ascii="Cambria Math" w:eastAsiaTheme="minorEastAsia" w:hAnsi="Cambria Math"/>
                <w:sz w:val="20"/>
              </w:rPr>
              <m:t>V</m:t>
            </m:r>
          </m:e>
          <m:sub>
            <m:r>
              <w:rPr>
                <w:rFonts w:ascii="Cambria Math" w:eastAsiaTheme="minorEastAsia" w:hAnsi="Cambria Math"/>
                <w:sz w:val="20"/>
              </w:rPr>
              <m:t>oc</m:t>
            </m:r>
          </m:sub>
        </m:sSub>
      </m:oMath>
      <w:r w:rsidR="000D26FA" w:rsidRPr="003059BA">
        <w:rPr>
          <w:sz w:val="20"/>
        </w:rPr>
        <w:t xml:space="preserve"> (typically 0.02</w:t>
      </w:r>
      <w:r w:rsidRPr="003059BA">
        <w:rPr>
          <w:sz w:val="20"/>
        </w:rPr>
        <w:t>-</w:t>
      </w:r>
      <w:r w:rsidR="000D26FA" w:rsidRPr="003059BA">
        <w:rPr>
          <w:sz w:val="20"/>
        </w:rPr>
        <w:t>0.05 V, and often omitted in simplified models)</w:t>
      </w:r>
    </w:p>
    <w:p w14:paraId="369DE25E" w14:textId="0891C175" w:rsidR="000D26FA" w:rsidRDefault="000D26FA" w:rsidP="000D26FA">
      <w:pPr>
        <w:ind w:firstLine="284"/>
        <w:jc w:val="both"/>
        <w:rPr>
          <w:sz w:val="20"/>
        </w:rPr>
      </w:pPr>
      <w:r w:rsidRPr="003059BA">
        <w:rPr>
          <w:sz w:val="20"/>
        </w:rPr>
        <w:t>The fill factor is a measure of PV module quality, representing how closely the I</w:t>
      </w:r>
      <w:r w:rsidR="0001290B" w:rsidRPr="003059BA">
        <w:rPr>
          <w:sz w:val="20"/>
        </w:rPr>
        <w:t>-</w:t>
      </w:r>
      <w:r w:rsidRPr="003059BA">
        <w:rPr>
          <w:sz w:val="20"/>
        </w:rPr>
        <w:t>V characteristic approaches the ideal rectangular shape. FF is calculated from measured parameters using Equation (4)</w:t>
      </w:r>
      <w:r w:rsidR="0094752B">
        <w:rPr>
          <w:sz w:val="20"/>
        </w:rPr>
        <w:fldChar w:fldCharType="begin" w:fldLock="1"/>
      </w:r>
      <w:r w:rsidR="0094752B">
        <w:rPr>
          <w:sz w:val="20"/>
        </w:rPr>
        <w:instrText>ADDIN CSL_CITATION {"citationItems":[{"id":"ITEM-1","itemData":{"DOI":"10.1016/j.solener.2021.09.084","ISSN":"0038092X","abstract":"In this paper, a temperature prediction-based approach for realistic performance analysis of the solar photovoltaic system has been investigated. Dissimilar to general methods, the change in module temperature, due to changing solar irradiance, has been considered for realistic and accurate performance evaluation results under mismatch conditions. The module temperature is predicted by a linear equation representing the effects of ambient temperature, wind speed, and irradiance. An optimized technique has been implemented for photovoltaic panel modeling. It provides an accurate estimation of the series and shunt resistances of the photovoltaic panel. The proposed modeling method provides an accuracy of less than 0.02% at the maximum power point. The temperature prediction-based approach has been applied to a solar photovoltaic system of 16 panels, modeled using the proposed technique. Further, five photovoltaic configurations were investigated: Series, Series-Parallel, Honey-Comb, Bridge-Linked, and Total-Cross-Tied. The performance evaluation of each configuration is based on the generated maximum power, fill factor, and mismatch loss. Under mismatch conditions, the Total-Cross-Tied configuration shows a good immunity against mismatch by minimizing losses in all the considered mismatch patterns. The proposed approach provides more accurate results than the available ones because it considers the temperature effect (due to variation in ambient temperature, solar radiation, and wind speed), accounting for up to 12% reduction in output power of photovoltaic modules.","author":[{"dropping-particle":"","family":"Mallal","given":"Youssef","non-dropping-particle":"","parse-names":false,"suffix":""},{"dropping-particle":"","family":"Sharma","given":"Dinesh K.","non-dropping-particle":"","parse-names":false,"suffix":""},{"dropping-particle":"","family":"Bahir","given":"Lhoussain","non-dropping-particle":"El","parse-names":false,"suffix":""},{"dropping-particle":"","family":"Hassboun","given":"Touria","non-dropping-particle":"","parse-names":false,"suffix":""}],"container-title":"Solar Energy","id":"ITEM-1","issued":{"date-parts":[["2021"]]},"page":"612-624","title":"Temperature prediction-based realistic performance analysis of various electrical configurations of solar PV panels","type":"article-journal","volume":"228"},"uris":["http://www.mendeley.com/documents/?uuid=3a7b2074-94b9-3d09-9e2f-3600bd912e0d"]},{"id":"ITEM-2","itemData":{"DOI":"10.14710/ijred.2022.43713","ISSN":"22524940","abstract":"The photovoltaic (PV) panels are expected to be the most important systems to meet global energy demand by converting solar energy into electricity. The main obstacle to the widespread deployment of the PV systems its the limited efficiency, which are greatly affected by the solar radiation and the operating temperature. The full knowledge of the performance, efficiency and output power of photovoltaic modules and the extent of their change with the fluctuations of solar radiation and temperature is necessary to determine the optimal size of the system and avoid the financial risks of the project. This paper investigated numaricaly and experimentaly the influence of operating temperature and solar radiation on the output power and efficiency of polycrystalline PV panels in Baghdad-Iraq. The PVsyst software was used to simulate a model implementing simulation results presented the impact of variations temperature and solar radiation in the curves of I-V, P-V and efficiency. In order to verify the reliability of the simulated results with experimental ones, several measuring devices have been used to conduct field experiments in the outdoor conditions. It were used to determine the characteristics and performance of a 120W polycrystalline PV panel for different ranges of solar radiation and operating temperature. The simulation results showed that the current, voltage, output power and efficiency increased with increasing solar radiation, while they decreased with increasing temperature except the current that was increased. The experimental and simulated results were identical in terms of the effect of temperature and solar radiation on the current, voltage, output power and efficiency of the PV panel. The experimental tests showed that when the temperature is increased by 1°C, the current was increased by about 0.068%, the voltage decreased by 0.34%, the output power decreased by 0.489% and the efficiency decreased about 0.586%. The experimental results displayed that the parameters of the PV panel under real operating conditions behave differently than in the standard test conditions (STC), as they are strongly affected by weather fluctuations in terms of temperature and solar radiation.","author":[{"dropping-particle":"","family":"Al-Ghezi","given":"Moafaq K.S.","non-dropping-particle":"","parse-names":false,"suffix":""},{"dropping-particle":"","family":"Ahmed","given":"Roshen T.","non-dropping-particle":"","parse-names":false,"suffix":""},{"dropping-particle":"","family":"Chaichan","given":"Miqdam Tariq","non-dropping-particle":"","parse-names":false,"suffix":""}],"container-title":"International Journal of Renewable Energy Development","id":"ITEM-2","issue":"2","issued":{"date-parts":[["2022"]]},"page":"501-513","title":"The Influence of Temperature and Irradiance on Performance of the Photovoltaic Panel in the Middle of Iraq","type":"article-journal","volume":"11"},"uris":["http://www.mendeley.com/documents/?uuid=b008220f-95e2-49fc-8c8a-353eadacec7b"]}],"mendeley":{"formattedCitation":"&lt;sup&gt;9,10&lt;/sup&gt;","plainTextFormattedCitation":"9,10"},"properties":{"noteIndex":0},"schema":"https://github.com/citation-style-language/schema/raw/master/csl-citation.json"}</w:instrText>
      </w:r>
      <w:r w:rsidR="0094752B">
        <w:rPr>
          <w:sz w:val="20"/>
        </w:rPr>
        <w:fldChar w:fldCharType="separate"/>
      </w:r>
      <w:r w:rsidR="0094752B" w:rsidRPr="0094752B">
        <w:rPr>
          <w:noProof/>
          <w:sz w:val="20"/>
          <w:vertAlign w:val="superscript"/>
        </w:rPr>
        <w:t>9,10</w:t>
      </w:r>
      <w:r w:rsidR="0094752B">
        <w:rPr>
          <w:sz w:val="20"/>
        </w:rPr>
        <w:fldChar w:fldCharType="end"/>
      </w:r>
      <w:r w:rsidRPr="003059BA">
        <w:rPr>
          <w:sz w:val="20"/>
        </w:rPr>
        <w:t>:</w:t>
      </w:r>
    </w:p>
    <w:p w14:paraId="407844FA" w14:textId="69E0A2BD" w:rsidR="00E47A86" w:rsidRPr="00B047A8" w:rsidRDefault="00E47A86" w:rsidP="00E47A86">
      <w:pPr>
        <w:pStyle w:val="Equation"/>
        <w:ind w:left="56"/>
      </w:pPr>
      <w:r>
        <w:tab/>
      </w:r>
      <m:oMath>
        <m:r>
          <w:rPr>
            <w:rFonts w:ascii="Cambria Math" w:hAnsi="Cambria Math"/>
          </w:rPr>
          <m:t>FF</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w:rPr>
                    <w:rFonts w:ascii="Cambria Math" w:hAnsi="Cambria Math"/>
                  </w:rPr>
                  <m:t>max,meas</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co,meas</m:t>
                </m:r>
              </m:sub>
            </m:sSub>
            <m:r>
              <w:rPr>
                <w:rFonts w:ascii="Cambria Math" w:eastAsiaTheme="minorEastAsia" w:hAnsi="Cambria Math"/>
              </w:rPr>
              <m:t>×</m:t>
            </m:r>
            <m:sSub>
              <m:sSubPr>
                <m:ctrlPr>
                  <w:rPr>
                    <w:rFonts w:ascii="Cambria Math" w:hAnsi="Cambria Math"/>
                    <w:i/>
                  </w:rPr>
                </m:ctrlPr>
              </m:sSubPr>
              <m:e>
                <m:r>
                  <w:rPr>
                    <w:rFonts w:ascii="Cambria Math" w:hAnsi="Cambria Math"/>
                  </w:rPr>
                  <m:t>I</m:t>
                </m:r>
              </m:e>
              <m:sub>
                <m:r>
                  <w:rPr>
                    <w:rFonts w:ascii="Cambria Math" w:hAnsi="Cambria Math"/>
                  </w:rPr>
                  <m:t>sc,meas</m:t>
                </m:r>
              </m:sub>
            </m:sSub>
          </m:den>
        </m:f>
      </m:oMath>
      <w:r>
        <w:tab/>
        <w:t>(4)</w:t>
      </w:r>
    </w:p>
    <w:p w14:paraId="2ED6414E" w14:textId="77777777" w:rsidR="000D26FA" w:rsidRPr="003059BA" w:rsidRDefault="000D26FA" w:rsidP="000D26FA">
      <w:pPr>
        <w:ind w:firstLine="284"/>
        <w:jc w:val="both"/>
        <w:rPr>
          <w:sz w:val="20"/>
        </w:rPr>
      </w:pPr>
      <w:r w:rsidRPr="003059BA">
        <w:rPr>
          <w:sz w:val="20"/>
        </w:rPr>
        <w:t xml:space="preserve">Where </w:t>
      </w:r>
      <m:oMath>
        <m:sSub>
          <m:sSubPr>
            <m:ctrlPr>
              <w:rPr>
                <w:rFonts w:ascii="Cambria Math" w:hAnsi="Cambria Math"/>
                <w:sz w:val="20"/>
              </w:rPr>
            </m:ctrlPr>
          </m:sSubPr>
          <m:e>
            <m:r>
              <m:rPr>
                <m:sty m:val="p"/>
              </m:rPr>
              <w:rPr>
                <w:rFonts w:ascii="Cambria Math" w:hAnsi="Cambria Math"/>
                <w:sz w:val="20"/>
              </w:rPr>
              <m:t>P</m:t>
            </m:r>
          </m:e>
          <m:sub>
            <m:r>
              <w:rPr>
                <w:rFonts w:ascii="Cambria Math" w:hAnsi="Cambria Math"/>
                <w:sz w:val="20"/>
              </w:rPr>
              <m:t>max,meas</m:t>
            </m:r>
          </m:sub>
        </m:sSub>
        <m:r>
          <w:rPr>
            <w:rFonts w:ascii="Cambria Math" w:eastAsiaTheme="minorEastAsia" w:hAnsi="Cambria Math"/>
            <w:sz w:val="20"/>
          </w:rPr>
          <m:t>=</m:t>
        </m:r>
        <m:sSub>
          <m:sSubPr>
            <m:ctrlPr>
              <w:rPr>
                <w:rFonts w:ascii="Cambria Math" w:hAnsi="Cambria Math"/>
                <w:sz w:val="20"/>
              </w:rPr>
            </m:ctrlPr>
          </m:sSubPr>
          <m:e>
            <m:r>
              <m:rPr>
                <m:sty m:val="p"/>
              </m:rPr>
              <w:rPr>
                <w:rFonts w:ascii="Cambria Math" w:hAnsi="Cambria Math"/>
                <w:sz w:val="20"/>
              </w:rPr>
              <m:t>V</m:t>
            </m:r>
          </m:e>
          <m:sub>
            <m:r>
              <w:rPr>
                <w:rFonts w:ascii="Cambria Math" w:hAnsi="Cambria Math"/>
                <w:sz w:val="20"/>
              </w:rPr>
              <m:t>mp,meas</m:t>
            </m:r>
          </m:sub>
        </m:sSub>
        <m:r>
          <w:rPr>
            <w:rFonts w:ascii="Cambria Math" w:hAnsi="Cambria Math"/>
            <w:sz w:val="20"/>
          </w:rPr>
          <m:t>×</m:t>
        </m:r>
        <m:sSub>
          <m:sSubPr>
            <m:ctrlPr>
              <w:rPr>
                <w:rFonts w:ascii="Cambria Math" w:hAnsi="Cambria Math"/>
                <w:sz w:val="20"/>
              </w:rPr>
            </m:ctrlPr>
          </m:sSubPr>
          <m:e>
            <m:r>
              <m:rPr>
                <m:sty m:val="p"/>
              </m:rPr>
              <w:rPr>
                <w:rFonts w:ascii="Cambria Math" w:hAnsi="Cambria Math"/>
                <w:sz w:val="20"/>
              </w:rPr>
              <m:t>I</m:t>
            </m:r>
          </m:e>
          <m:sub>
            <m:r>
              <w:rPr>
                <w:rFonts w:ascii="Cambria Math" w:hAnsi="Cambria Math"/>
                <w:sz w:val="20"/>
              </w:rPr>
              <m:t>mp,meas</m:t>
            </m:r>
          </m:sub>
        </m:sSub>
      </m:oMath>
      <w:r w:rsidRPr="003059BA">
        <w:rPr>
          <w:sz w:val="20"/>
        </w:rPr>
        <w:t xml:space="preserve"> is the </w:t>
      </w:r>
      <w:proofErr w:type="gramStart"/>
      <w:r w:rsidRPr="003059BA">
        <w:rPr>
          <w:sz w:val="20"/>
        </w:rPr>
        <w:t>measured maximum power</w:t>
      </w:r>
      <w:proofErr w:type="gramEnd"/>
      <w:r w:rsidRPr="003059BA">
        <w:rPr>
          <w:sz w:val="20"/>
        </w:rPr>
        <w:t xml:space="preserve"> at the operating point.</w:t>
      </w:r>
    </w:p>
    <w:p w14:paraId="06B628CE" w14:textId="77777777" w:rsidR="000D26FA" w:rsidRPr="003059BA" w:rsidRDefault="000D26FA" w:rsidP="000D26FA">
      <w:pPr>
        <w:ind w:firstLine="284"/>
        <w:jc w:val="both"/>
        <w:rPr>
          <w:sz w:val="20"/>
        </w:rPr>
      </w:pPr>
      <w:r w:rsidRPr="003059BA">
        <w:rPr>
          <w:sz w:val="20"/>
        </w:rPr>
        <w:t xml:space="preserve">Unlike </w:t>
      </w:r>
      <m:oMath>
        <m:sSub>
          <m:sSubPr>
            <m:ctrlPr>
              <w:rPr>
                <w:rFonts w:ascii="Cambria Math" w:hAnsi="Cambria Math"/>
                <w:i/>
                <w:sz w:val="20"/>
              </w:rPr>
            </m:ctrlPr>
          </m:sSubPr>
          <m:e>
            <m:r>
              <w:rPr>
                <w:rFonts w:ascii="Cambria Math" w:hAnsi="Cambria Math"/>
                <w:sz w:val="20"/>
              </w:rPr>
              <m:t>I</m:t>
            </m:r>
          </m:e>
          <m:sub>
            <m:r>
              <w:rPr>
                <w:rFonts w:ascii="Cambria Math" w:hAnsi="Cambria Math"/>
                <w:sz w:val="20"/>
              </w:rPr>
              <m:t>sc</m:t>
            </m:r>
          </m:sub>
        </m:sSub>
      </m:oMath>
      <w:r w:rsidRPr="003059BA">
        <w:rPr>
          <w:sz w:val="20"/>
        </w:rPr>
        <w:t xml:space="preserve"> and </w:t>
      </w:r>
      <m:oMath>
        <m:sSub>
          <m:sSubPr>
            <m:ctrlPr>
              <w:rPr>
                <w:rFonts w:ascii="Cambria Math" w:hAnsi="Cambria Math"/>
                <w:i/>
                <w:sz w:val="20"/>
              </w:rPr>
            </m:ctrlPr>
          </m:sSubPr>
          <m:e>
            <m:r>
              <w:rPr>
                <w:rFonts w:ascii="Cambria Math" w:hAnsi="Cambria Math"/>
                <w:sz w:val="20"/>
              </w:rPr>
              <m:t>V</m:t>
            </m:r>
          </m:e>
          <m:sub>
            <m:r>
              <w:rPr>
                <w:rFonts w:ascii="Cambria Math" w:hAnsi="Cambria Math"/>
                <w:sz w:val="20"/>
              </w:rPr>
              <m:t>oc</m:t>
            </m:r>
          </m:sub>
        </m:sSub>
      </m:oMath>
      <w:r w:rsidRPr="003059BA">
        <w:rPr>
          <w:sz w:val="20"/>
        </w:rPr>
        <w:t>, FF cannot be reliably normalized to STC using simple linear corrections due to its nonlinear dependence on irradiance, temperature, series resistance (R</w:t>
      </w:r>
      <w:r w:rsidRPr="003059BA">
        <w:rPr>
          <w:sz w:val="20"/>
          <w:vertAlign w:val="subscript"/>
        </w:rPr>
        <w:t>s</w:t>
      </w:r>
      <w:r w:rsidRPr="003059BA">
        <w:rPr>
          <w:sz w:val="20"/>
        </w:rPr>
        <w:t>), and shunt resistance (</w:t>
      </w:r>
      <w:proofErr w:type="spellStart"/>
      <w:proofErr w:type="gramStart"/>
      <w:r w:rsidRPr="003059BA">
        <w:rPr>
          <w:sz w:val="20"/>
        </w:rPr>
        <w:t>R</w:t>
      </w:r>
      <w:r w:rsidRPr="003059BA">
        <w:rPr>
          <w:sz w:val="20"/>
          <w:vertAlign w:val="subscript"/>
        </w:rPr>
        <w:t>sh</w:t>
      </w:r>
      <w:proofErr w:type="spellEnd"/>
      <w:r w:rsidRPr="003059BA">
        <w:rPr>
          <w:sz w:val="20"/>
        </w:rPr>
        <w:t xml:space="preserve"> )</w:t>
      </w:r>
      <w:proofErr w:type="gramEnd"/>
      <w:r w:rsidRPr="003059BA">
        <w:rPr>
          <w:sz w:val="20"/>
        </w:rPr>
        <w:t>. Therefore, FF is typically reported under actual field conditions or estimated via detailed device modeling rather than direct normalization.</w:t>
      </w:r>
    </w:p>
    <w:p w14:paraId="0A3D3FB4" w14:textId="0B5EAE52" w:rsidR="000D26FA" w:rsidRDefault="000D26FA" w:rsidP="000D26FA">
      <w:pPr>
        <w:ind w:firstLine="284"/>
        <w:jc w:val="both"/>
        <w:rPr>
          <w:sz w:val="20"/>
        </w:rPr>
      </w:pPr>
      <w:r w:rsidRPr="003059BA">
        <w:rPr>
          <w:sz w:val="20"/>
        </w:rPr>
        <w:t>The maximum output power is the most critical performance indicator for energy yield assessment. To normalize field</w:t>
      </w:r>
      <w:r w:rsidR="0001290B" w:rsidRPr="003059BA">
        <w:rPr>
          <w:sz w:val="20"/>
        </w:rPr>
        <w:t>-</w:t>
      </w:r>
      <w:r w:rsidRPr="003059BA">
        <w:rPr>
          <w:sz w:val="20"/>
        </w:rPr>
        <w:t>measured power to STC, an empirical model accounts for both irradiance and temperature effects:</w:t>
      </w:r>
    </w:p>
    <w:p w14:paraId="4FCD3AA2" w14:textId="5915BB5D" w:rsidR="00E47A86" w:rsidRPr="00B047A8" w:rsidRDefault="00E47A86" w:rsidP="00E47A86">
      <w:pPr>
        <w:pStyle w:val="Equation"/>
        <w:ind w:left="56"/>
      </w:pPr>
      <w:r>
        <w:tab/>
      </w:r>
      <m:oMath>
        <m:sSub>
          <m:sSubPr>
            <m:ctrlPr>
              <w:rPr>
                <w:rFonts w:ascii="Cambria Math" w:hAnsi="Cambria Math"/>
              </w:rPr>
            </m:ctrlPr>
          </m:sSubPr>
          <m:e>
            <m:r>
              <m:rPr>
                <m:sty m:val="p"/>
              </m:rPr>
              <w:rPr>
                <w:rFonts w:ascii="Cambria Math" w:hAnsi="Cambria Math"/>
              </w:rPr>
              <m:t>P</m:t>
            </m:r>
          </m:e>
          <m:sub>
            <m:r>
              <w:rPr>
                <w:rFonts w:ascii="Cambria Math" w:hAnsi="Cambria Math"/>
              </w:rPr>
              <m:t>max,STC</m:t>
            </m:r>
          </m:sub>
        </m:sSub>
        <m:r>
          <w:rPr>
            <w:rFonts w:ascii="Cambria Math" w:hAnsi="Cambria Math"/>
          </w:rPr>
          <m:t>=</m:t>
        </m:r>
        <m:sSub>
          <m:sSubPr>
            <m:ctrlPr>
              <w:rPr>
                <w:rFonts w:ascii="Cambria Math" w:hAnsi="Cambria Math"/>
              </w:rPr>
            </m:ctrlPr>
          </m:sSubPr>
          <m:e>
            <m:r>
              <m:rPr>
                <m:sty m:val="p"/>
              </m:rPr>
              <w:rPr>
                <w:rFonts w:ascii="Cambria Math" w:hAnsi="Cambria Math"/>
              </w:rPr>
              <m:t>P</m:t>
            </m:r>
          </m:e>
          <m:sub>
            <m:r>
              <w:rPr>
                <w:rFonts w:ascii="Cambria Math" w:hAnsi="Cambria Math"/>
              </w:rPr>
              <m:t>max,meas</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G</m:t>
                    </m:r>
                  </m:e>
                  <m:sub>
                    <m:r>
                      <w:rPr>
                        <w:rFonts w:ascii="Cambria Math" w:hAnsi="Cambria Math"/>
                      </w:rPr>
                      <m:t>STC</m:t>
                    </m:r>
                  </m:sub>
                </m:sSub>
              </m:num>
              <m:den>
                <m:r>
                  <m:rPr>
                    <m:sty m:val="p"/>
                  </m:rPr>
                  <w:rPr>
                    <w:rFonts w:ascii="Cambria Math" w:hAnsi="Cambria Math"/>
                  </w:rPr>
                  <m:t>G</m:t>
                </m:r>
              </m:den>
            </m:f>
            <m:ctrlPr>
              <w:rPr>
                <w:rFonts w:ascii="Cambria Math" w:hAnsi="Cambria Math"/>
                <w:i/>
              </w:rPr>
            </m:ctrlPr>
          </m:e>
        </m:d>
        <m:r>
          <w:rPr>
            <w:rFonts w:ascii="Cambria Math" w:hAnsi="Cambria Math"/>
          </w:rPr>
          <m:t>×</m:t>
        </m:r>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γ</m:t>
                </m:r>
              </m:e>
              <m:sub>
                <m:r>
                  <w:rPr>
                    <w:rFonts w:ascii="Cambria Math" w:hAnsi="Cambria Math"/>
                  </w:rPr>
                  <m:t>P</m:t>
                </m:r>
              </m:sub>
            </m:sSub>
            <m:r>
              <w:rPr>
                <w:rFonts w:ascii="Cambria Math" w:hAnsi="Cambria Math"/>
              </w:rPr>
              <m:t>×</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module</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STC</m:t>
                    </m:r>
                  </m:sub>
                </m:sSub>
              </m:e>
            </m:d>
          </m:e>
        </m:d>
      </m:oMath>
      <w:r>
        <w:tab/>
        <w:t>(5)</w:t>
      </w:r>
    </w:p>
    <w:p w14:paraId="7A012851" w14:textId="77777777" w:rsidR="000D26FA" w:rsidRPr="003059BA" w:rsidRDefault="000D26FA" w:rsidP="000D26FA">
      <w:pPr>
        <w:ind w:firstLine="284"/>
        <w:jc w:val="both"/>
        <w:rPr>
          <w:sz w:val="20"/>
        </w:rPr>
      </w:pPr>
      <w:r w:rsidRPr="003059BA">
        <w:rPr>
          <w:sz w:val="20"/>
        </w:rPr>
        <w:t>Where:</w:t>
      </w:r>
    </w:p>
    <w:p w14:paraId="19749B4C" w14:textId="040F475F" w:rsidR="000D26FA" w:rsidRPr="003059BA" w:rsidRDefault="0001290B" w:rsidP="000D26FA">
      <w:pPr>
        <w:ind w:firstLine="284"/>
        <w:jc w:val="both"/>
        <w:rPr>
          <w:sz w:val="20"/>
        </w:rPr>
      </w:pPr>
      <w:r w:rsidRPr="003059BA">
        <w:rPr>
          <w:sz w:val="20"/>
        </w:rPr>
        <w:t>-</w:t>
      </w:r>
      <w:r w:rsidR="000D26FA" w:rsidRPr="003059BA">
        <w:rPr>
          <w:sz w:val="20"/>
        </w:rPr>
        <w:t xml:space="preserve"> </w:t>
      </w:r>
      <m:oMath>
        <m:sSub>
          <m:sSubPr>
            <m:ctrlPr>
              <w:rPr>
                <w:rFonts w:ascii="Cambria Math" w:hAnsi="Cambria Math"/>
                <w:i/>
                <w:sz w:val="20"/>
              </w:rPr>
            </m:ctrlPr>
          </m:sSubPr>
          <m:e>
            <m:r>
              <w:rPr>
                <w:rFonts w:ascii="Cambria Math" w:hAnsi="Cambria Math"/>
                <w:sz w:val="20"/>
              </w:rPr>
              <m:t>γ</m:t>
            </m:r>
          </m:e>
          <m:sub>
            <m:r>
              <w:rPr>
                <w:rFonts w:ascii="Cambria Math" w:hAnsi="Cambria Math"/>
                <w:sz w:val="20"/>
              </w:rPr>
              <m:t>P</m:t>
            </m:r>
          </m:sub>
        </m:sSub>
      </m:oMath>
      <w:r w:rsidR="000D26FA" w:rsidRPr="003059BA">
        <w:rPr>
          <w:sz w:val="20"/>
        </w:rPr>
        <w:t xml:space="preserve"> is the temperature coefficient for maximum power (typically </w:t>
      </w:r>
      <w:r w:rsidRPr="003059BA">
        <w:rPr>
          <w:sz w:val="20"/>
        </w:rPr>
        <w:t>-</w:t>
      </w:r>
      <w:r w:rsidR="000D26FA" w:rsidRPr="003059BA">
        <w:rPr>
          <w:sz w:val="20"/>
        </w:rPr>
        <w:t xml:space="preserve">0.35% to </w:t>
      </w:r>
      <w:r w:rsidRPr="003059BA">
        <w:rPr>
          <w:sz w:val="20"/>
        </w:rPr>
        <w:t>-</w:t>
      </w:r>
      <w:r w:rsidR="000D26FA" w:rsidRPr="003059BA">
        <w:rPr>
          <w:sz w:val="20"/>
        </w:rPr>
        <w:t>0.5% per °C for crystalline silicon)</w:t>
      </w:r>
    </w:p>
    <w:p w14:paraId="29766D6E" w14:textId="60EE2F77" w:rsidR="000D26FA" w:rsidRPr="003059BA" w:rsidRDefault="0001290B" w:rsidP="000D26FA">
      <w:pPr>
        <w:ind w:firstLine="284"/>
        <w:jc w:val="both"/>
        <w:rPr>
          <w:sz w:val="20"/>
        </w:rPr>
      </w:pPr>
      <w:r w:rsidRPr="003059BA">
        <w:rPr>
          <w:sz w:val="20"/>
        </w:rPr>
        <w:t>-</w:t>
      </w:r>
      <w:r w:rsidR="000D26FA" w:rsidRPr="003059BA">
        <w:rPr>
          <w:sz w:val="20"/>
        </w:rPr>
        <w:t xml:space="preserve"> The irradiance correction assumes linear scaling with irradiance</w:t>
      </w:r>
    </w:p>
    <w:p w14:paraId="1C877B6F" w14:textId="2201820E" w:rsidR="000D26FA" w:rsidRDefault="000D26FA" w:rsidP="000D26FA">
      <w:pPr>
        <w:ind w:firstLine="284"/>
        <w:jc w:val="both"/>
        <w:rPr>
          <w:sz w:val="20"/>
        </w:rPr>
      </w:pPr>
      <w:r w:rsidRPr="003059BA">
        <w:rPr>
          <w:sz w:val="20"/>
        </w:rPr>
        <w:t>If the temperature coefficient is given in absolute terms (W/°C) rather than relative terms (%/°C), the equation becomes:</w:t>
      </w:r>
    </w:p>
    <w:p w14:paraId="74885F37" w14:textId="4AE63B87" w:rsidR="001F28A7" w:rsidRPr="00B047A8" w:rsidRDefault="001F28A7" w:rsidP="001F28A7">
      <w:pPr>
        <w:pStyle w:val="Equation"/>
        <w:ind w:left="56"/>
      </w:pPr>
      <w:r>
        <w:tab/>
      </w:r>
      <m:oMath>
        <m:sSub>
          <m:sSubPr>
            <m:ctrlPr>
              <w:rPr>
                <w:rFonts w:ascii="Cambria Math" w:hAnsi="Cambria Math"/>
              </w:rPr>
            </m:ctrlPr>
          </m:sSubPr>
          <m:e>
            <m:r>
              <m:rPr>
                <m:sty m:val="p"/>
              </m:rPr>
              <w:rPr>
                <w:rFonts w:ascii="Cambria Math" w:hAnsi="Cambria Math"/>
              </w:rPr>
              <m:t>P</m:t>
            </m:r>
          </m:e>
          <m:sub>
            <m:r>
              <w:rPr>
                <w:rFonts w:ascii="Cambria Math" w:hAnsi="Cambria Math"/>
              </w:rPr>
              <m:t>max,STC</m:t>
            </m:r>
          </m:sub>
        </m:sSub>
        <m:r>
          <w:rPr>
            <w:rFonts w:ascii="Cambria Math" w:hAnsi="Cambria Math"/>
          </w:rPr>
          <m:t>=</m:t>
        </m:r>
        <m:sSub>
          <m:sSubPr>
            <m:ctrlPr>
              <w:rPr>
                <w:rFonts w:ascii="Cambria Math" w:hAnsi="Cambria Math"/>
              </w:rPr>
            </m:ctrlPr>
          </m:sSubPr>
          <m:e>
            <m:r>
              <m:rPr>
                <m:sty m:val="p"/>
              </m:rPr>
              <w:rPr>
                <w:rFonts w:ascii="Cambria Math" w:hAnsi="Cambria Math"/>
              </w:rPr>
              <m:t>P</m:t>
            </m:r>
          </m:e>
          <m:sub>
            <m:r>
              <w:rPr>
                <w:rFonts w:ascii="Cambria Math" w:hAnsi="Cambria Math"/>
              </w:rPr>
              <m:t>max,meas</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G</m:t>
                    </m:r>
                  </m:e>
                  <m:sub>
                    <m:r>
                      <w:rPr>
                        <w:rFonts w:ascii="Cambria Math" w:hAnsi="Cambria Math"/>
                      </w:rPr>
                      <m:t>STC</m:t>
                    </m:r>
                  </m:sub>
                </m:sSub>
              </m:num>
              <m:den>
                <m:r>
                  <m:rPr>
                    <m:sty m:val="p"/>
                  </m:rPr>
                  <w:rPr>
                    <w:rFonts w:ascii="Cambria Math" w:hAnsi="Cambria Math"/>
                  </w:rPr>
                  <m:t>G</m:t>
                </m:r>
              </m:den>
            </m:f>
            <m:ctrlPr>
              <w:rPr>
                <w:rFonts w:ascii="Cambria Math" w:hAnsi="Cambria Math"/>
                <w:i/>
              </w:rPr>
            </m:ctrlPr>
          </m:e>
        </m:d>
        <m:r>
          <w:rPr>
            <w:rFonts w:ascii="Cambria Math" w:hAnsi="Cambria Math"/>
          </w:rPr>
          <m:t>×</m:t>
        </m:r>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γ</m:t>
                </m:r>
              </m:e>
              <m:sub>
                <m:r>
                  <w:rPr>
                    <w:rFonts w:ascii="Cambria Math" w:hAnsi="Cambria Math"/>
                  </w:rPr>
                  <m:t>ABS</m:t>
                </m:r>
              </m:sub>
            </m:sSub>
            <m:r>
              <w:rPr>
                <w:rFonts w:ascii="Cambria Math" w:hAnsi="Cambria Math"/>
              </w:rPr>
              <m:t>×</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module</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STC</m:t>
                    </m:r>
                  </m:sub>
                </m:sSub>
              </m:e>
            </m:d>
          </m:e>
        </m:d>
      </m:oMath>
      <w:r>
        <w:tab/>
        <w:t>(6)</w:t>
      </w:r>
    </w:p>
    <w:p w14:paraId="630A3C34" w14:textId="2664AB1D" w:rsidR="000D26FA" w:rsidRDefault="000D26FA" w:rsidP="000D26FA">
      <w:pPr>
        <w:ind w:firstLine="284"/>
        <w:jc w:val="both"/>
        <w:rPr>
          <w:sz w:val="20"/>
        </w:rPr>
      </w:pPr>
      <w:r w:rsidRPr="003059BA">
        <w:rPr>
          <w:sz w:val="20"/>
        </w:rPr>
        <w:t>Under real operating conditions, PV panel output is significantly affected by environmental factors. The real</w:t>
      </w:r>
      <w:r w:rsidR="0001290B" w:rsidRPr="003059BA">
        <w:rPr>
          <w:sz w:val="20"/>
        </w:rPr>
        <w:t>-</w:t>
      </w:r>
      <w:r w:rsidRPr="003059BA">
        <w:rPr>
          <w:sz w:val="20"/>
        </w:rPr>
        <w:t>time electrical output power can be estimated using Equation (7):</w:t>
      </w:r>
    </w:p>
    <w:p w14:paraId="058EF569" w14:textId="6CBEE279" w:rsidR="001F28A7" w:rsidRPr="00B047A8" w:rsidRDefault="001F28A7" w:rsidP="001F28A7">
      <w:pPr>
        <w:pStyle w:val="Equation"/>
        <w:ind w:left="56"/>
      </w:pPr>
      <w: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PV</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P</m:t>
            </m:r>
          </m:e>
          <m:sub>
            <m:r>
              <m:rPr>
                <m:sty m:val="p"/>
              </m:rPr>
              <w:rPr>
                <w:rFonts w:ascii="Cambria Math" w:hAnsi="Cambria Math"/>
              </w:rPr>
              <m:t>stc</m:t>
            </m:r>
          </m:sub>
        </m:sSub>
        <m:d>
          <m:dPr>
            <m:ctrlPr>
              <w:rPr>
                <w:rFonts w:ascii="Cambria Math" w:eastAsiaTheme="minorEastAsia" w:hAnsi="Cambria Math"/>
                <w:i/>
              </w:rPr>
            </m:ctrlPr>
          </m:dPr>
          <m:e>
            <m:f>
              <m:fPr>
                <m:ctrlPr>
                  <w:rPr>
                    <w:rFonts w:ascii="Cambria Math" w:hAnsi="Cambria Math"/>
                  </w:rPr>
                </m:ctrlPr>
              </m:fPr>
              <m:num>
                <m:r>
                  <m:rPr>
                    <m:sty m:val="p"/>
                  </m:rPr>
                  <w:rPr>
                    <w:rFonts w:ascii="Cambria Math" w:hAnsi="Cambria Math"/>
                  </w:rPr>
                  <m:t>G</m:t>
                </m:r>
              </m:num>
              <m:den>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STC</m:t>
                    </m:r>
                  </m:sub>
                </m:sSub>
              </m:den>
            </m:f>
            <m:ctrlPr>
              <w:rPr>
                <w:rFonts w:ascii="Cambria Math" w:hAnsi="Cambria Math"/>
                <w:i/>
              </w:rPr>
            </m:ctrlPr>
          </m:e>
        </m:d>
        <m:r>
          <w:rPr>
            <w:rFonts w:ascii="Cambria Math" w:hAnsi="Cambria Math"/>
          </w:rPr>
          <m:t>×</m:t>
        </m:r>
        <m:d>
          <m:dPr>
            <m:begChr m:val="["/>
            <m:endChr m:val="]"/>
            <m:ctrlPr>
              <w:rPr>
                <w:rFonts w:ascii="Cambria Math" w:hAnsi="Cambria Math"/>
              </w:rPr>
            </m:ctrlPr>
          </m:dPr>
          <m:e>
            <m:r>
              <w:rPr>
                <w:rFonts w:ascii="Cambria Math" w:hAnsi="Cambria Math"/>
              </w:rPr>
              <m:t>1+β</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module</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STC</m:t>
                    </m:r>
                  </m:sub>
                </m:sSub>
              </m:e>
            </m:d>
          </m:e>
        </m:d>
      </m:oMath>
      <w:r>
        <w:tab/>
        <w:t>(7)</w:t>
      </w:r>
    </w:p>
    <w:p w14:paraId="4D218402" w14:textId="77777777" w:rsidR="000D26FA" w:rsidRPr="003059BA" w:rsidRDefault="000D26FA" w:rsidP="000D26FA">
      <w:pPr>
        <w:ind w:firstLine="284"/>
        <w:jc w:val="both"/>
        <w:rPr>
          <w:sz w:val="20"/>
        </w:rPr>
      </w:pPr>
      <w:r w:rsidRPr="003059BA">
        <w:rPr>
          <w:sz w:val="20"/>
        </w:rPr>
        <w:t>Where:</w:t>
      </w:r>
    </w:p>
    <w:p w14:paraId="19D21E77" w14:textId="320563BE" w:rsidR="000D26FA" w:rsidRPr="003059BA" w:rsidRDefault="0001290B" w:rsidP="000D26FA">
      <w:pPr>
        <w:ind w:firstLine="284"/>
        <w:jc w:val="both"/>
        <w:rPr>
          <w:sz w:val="20"/>
        </w:rPr>
      </w:pPr>
      <w:r w:rsidRPr="003059BA">
        <w:rPr>
          <w:sz w:val="20"/>
        </w:rPr>
        <w:t>-</w:t>
      </w:r>
      <w:r w:rsidR="000D26FA" w:rsidRPr="003059BA">
        <w:rPr>
          <w:sz w:val="20"/>
        </w:rPr>
        <w:t xml:space="preserve"> </w:t>
      </w:r>
      <m:oMath>
        <m:sSub>
          <m:sSubPr>
            <m:ctrlPr>
              <w:rPr>
                <w:rFonts w:ascii="Cambria Math" w:eastAsiaTheme="minorEastAsia" w:hAnsi="Cambria Math"/>
                <w:i/>
                <w:sz w:val="20"/>
              </w:rPr>
            </m:ctrlPr>
          </m:sSubPr>
          <m:e>
            <m:r>
              <w:rPr>
                <w:rFonts w:ascii="Cambria Math" w:eastAsiaTheme="minorEastAsia" w:hAnsi="Cambria Math"/>
                <w:sz w:val="20"/>
              </w:rPr>
              <m:t>P</m:t>
            </m:r>
          </m:e>
          <m:sub>
            <m:r>
              <w:rPr>
                <w:rFonts w:ascii="Cambria Math" w:eastAsiaTheme="minorEastAsia" w:hAnsi="Cambria Math"/>
                <w:sz w:val="20"/>
              </w:rPr>
              <m:t>PV</m:t>
            </m:r>
          </m:sub>
        </m:sSub>
      </m:oMath>
      <w:r w:rsidR="000D26FA" w:rsidRPr="003059BA">
        <w:rPr>
          <w:sz w:val="20"/>
        </w:rPr>
        <w:t xml:space="preserve"> is the actual output power under operating conditions</w:t>
      </w:r>
    </w:p>
    <w:p w14:paraId="2CE777A0" w14:textId="352D9D4F" w:rsidR="000D26FA" w:rsidRPr="003059BA" w:rsidRDefault="0001290B" w:rsidP="000D26FA">
      <w:pPr>
        <w:ind w:firstLine="284"/>
        <w:jc w:val="both"/>
        <w:rPr>
          <w:sz w:val="20"/>
        </w:rPr>
      </w:pPr>
      <w:r w:rsidRPr="003059BA">
        <w:rPr>
          <w:sz w:val="20"/>
        </w:rPr>
        <w:t>-</w:t>
      </w:r>
      <w:r w:rsidR="000D26FA" w:rsidRPr="003059BA">
        <w:rPr>
          <w:sz w:val="20"/>
        </w:rPr>
        <w:t xml:space="preserve"> </w:t>
      </w:r>
      <m:oMath>
        <m:sSub>
          <m:sSubPr>
            <m:ctrlPr>
              <w:rPr>
                <w:rFonts w:ascii="Cambria Math" w:eastAsiaTheme="minorEastAsia" w:hAnsi="Cambria Math"/>
                <w:i/>
                <w:sz w:val="20"/>
              </w:rPr>
            </m:ctrlPr>
          </m:sSubPr>
          <m:e>
            <m:r>
              <w:rPr>
                <w:rFonts w:ascii="Cambria Math" w:eastAsiaTheme="minorEastAsia" w:hAnsi="Cambria Math"/>
                <w:sz w:val="20"/>
              </w:rPr>
              <m:t>P</m:t>
            </m:r>
          </m:e>
          <m:sub>
            <m:r>
              <m:rPr>
                <m:sty m:val="p"/>
              </m:rPr>
              <w:rPr>
                <w:rFonts w:ascii="Cambria Math" w:hAnsi="Cambria Math"/>
                <w:sz w:val="20"/>
              </w:rPr>
              <m:t>stc</m:t>
            </m:r>
          </m:sub>
        </m:sSub>
      </m:oMath>
      <w:r w:rsidR="000D26FA" w:rsidRPr="003059BA">
        <w:rPr>
          <w:sz w:val="20"/>
        </w:rPr>
        <w:t xml:space="preserve"> is the rated power at STC</w:t>
      </w:r>
    </w:p>
    <w:p w14:paraId="46E4F809" w14:textId="393E2AB2" w:rsidR="000D26FA" w:rsidRPr="003059BA" w:rsidRDefault="0001290B" w:rsidP="000D26FA">
      <w:pPr>
        <w:ind w:firstLine="284"/>
        <w:jc w:val="both"/>
        <w:rPr>
          <w:sz w:val="20"/>
        </w:rPr>
      </w:pPr>
      <w:r w:rsidRPr="003059BA">
        <w:rPr>
          <w:sz w:val="20"/>
        </w:rPr>
        <w:t>-</w:t>
      </w:r>
      <w:r w:rsidR="000D26FA" w:rsidRPr="003059BA">
        <w:rPr>
          <w:sz w:val="20"/>
        </w:rPr>
        <w:t xml:space="preserve"> β is the temperature coefficient for power (%/°C) (typically </w:t>
      </w:r>
      <w:r w:rsidR="00C809C2" w:rsidRPr="003059BA">
        <w:rPr>
          <w:sz w:val="20"/>
        </w:rPr>
        <w:t>-</w:t>
      </w:r>
      <w:r w:rsidR="000D26FA" w:rsidRPr="003059BA">
        <w:rPr>
          <w:sz w:val="20"/>
        </w:rPr>
        <w:t xml:space="preserve">0.3% to </w:t>
      </w:r>
      <w:r w:rsidR="00C809C2" w:rsidRPr="003059BA">
        <w:rPr>
          <w:sz w:val="20"/>
        </w:rPr>
        <w:t>-</w:t>
      </w:r>
      <w:r w:rsidR="000D26FA" w:rsidRPr="003059BA">
        <w:rPr>
          <w:sz w:val="20"/>
        </w:rPr>
        <w:t>0.5%/°C for crystalline silicon).</w:t>
      </w:r>
    </w:p>
    <w:p w14:paraId="590C52FA" w14:textId="400317CB" w:rsidR="000D26FA" w:rsidRPr="003059BA" w:rsidRDefault="0001290B" w:rsidP="000D26FA">
      <w:pPr>
        <w:ind w:firstLine="284"/>
        <w:jc w:val="both"/>
        <w:rPr>
          <w:sz w:val="20"/>
        </w:rPr>
      </w:pPr>
      <w:r w:rsidRPr="003059BA">
        <w:rPr>
          <w:sz w:val="20"/>
        </w:rPr>
        <w:t>-</w:t>
      </w:r>
      <w:r w:rsidR="000D26FA" w:rsidRPr="003059BA">
        <w:rPr>
          <w:sz w:val="20"/>
        </w:rPr>
        <w:t xml:space="preserve"> </w:t>
      </w:r>
      <m:oMath>
        <m:r>
          <m:rPr>
            <m:sty m:val="p"/>
          </m:rPr>
          <w:rPr>
            <w:rFonts w:ascii="Cambria Math" w:hAnsi="Cambria Math"/>
            <w:sz w:val="20"/>
          </w:rPr>
          <m:t>G</m:t>
        </m:r>
      </m:oMath>
      <w:r w:rsidR="000D26FA" w:rsidRPr="003059BA">
        <w:rPr>
          <w:sz w:val="20"/>
        </w:rPr>
        <w:t xml:space="preserve"> and </w:t>
      </w:r>
      <m:oMath>
        <m:sSub>
          <m:sSubPr>
            <m:ctrlPr>
              <w:rPr>
                <w:rFonts w:ascii="Cambria Math" w:eastAsiaTheme="minorEastAsia" w:hAnsi="Cambria Math"/>
                <w:i/>
                <w:sz w:val="20"/>
              </w:rPr>
            </m:ctrlPr>
          </m:sSubPr>
          <m:e>
            <m:r>
              <w:rPr>
                <w:rFonts w:ascii="Cambria Math" w:eastAsiaTheme="minorEastAsia" w:hAnsi="Cambria Math"/>
                <w:sz w:val="20"/>
              </w:rPr>
              <m:t>G</m:t>
            </m:r>
          </m:e>
          <m:sub>
            <m:r>
              <w:rPr>
                <w:rFonts w:ascii="Cambria Math" w:eastAsiaTheme="minorEastAsia" w:hAnsi="Cambria Math"/>
                <w:sz w:val="20"/>
              </w:rPr>
              <m:t>STC</m:t>
            </m:r>
          </m:sub>
        </m:sSub>
      </m:oMath>
      <w:r w:rsidR="000D26FA" w:rsidRPr="003059BA">
        <w:rPr>
          <w:sz w:val="20"/>
        </w:rPr>
        <w:t xml:space="preserve"> are the actual and standard irradiance values</w:t>
      </w:r>
    </w:p>
    <w:p w14:paraId="48D81544" w14:textId="1936AF87" w:rsidR="000D26FA" w:rsidRPr="003059BA" w:rsidRDefault="0001290B" w:rsidP="000D26FA">
      <w:pPr>
        <w:ind w:firstLine="284"/>
        <w:jc w:val="both"/>
        <w:rPr>
          <w:sz w:val="20"/>
        </w:rPr>
      </w:pPr>
      <w:r w:rsidRPr="003059BA">
        <w:rPr>
          <w:sz w:val="20"/>
        </w:rPr>
        <w:t>-</w:t>
      </w:r>
      <w:r w:rsidR="000D26FA" w:rsidRPr="003059BA">
        <w:rPr>
          <w:sz w:val="20"/>
        </w:rPr>
        <w:t xml:space="preserve"> </w:t>
      </w:r>
      <m:oMath>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module</m:t>
            </m:r>
          </m:sub>
        </m:sSub>
      </m:oMath>
      <w:r w:rsidR="000D26FA" w:rsidRPr="003059BA">
        <w:rPr>
          <w:sz w:val="20"/>
        </w:rPr>
        <w:t xml:space="preserve"> and </w:t>
      </w:r>
      <m:oMath>
        <m:sSub>
          <m:sSubPr>
            <m:ctrlPr>
              <w:rPr>
                <w:rFonts w:ascii="Cambria Math" w:eastAsiaTheme="minorEastAsia" w:hAnsi="Cambria Math"/>
                <w:i/>
                <w:sz w:val="20"/>
              </w:rPr>
            </m:ctrlPr>
          </m:sSubPr>
          <m:e>
            <m:r>
              <w:rPr>
                <w:rFonts w:ascii="Cambria Math" w:eastAsiaTheme="minorEastAsia" w:hAnsi="Cambria Math"/>
                <w:sz w:val="20"/>
              </w:rPr>
              <m:t>T</m:t>
            </m:r>
          </m:e>
          <m:sub>
            <m:r>
              <m:rPr>
                <m:sty m:val="p"/>
              </m:rPr>
              <w:rPr>
                <w:rFonts w:ascii="Cambria Math" w:hAnsi="Cambria Math"/>
                <w:sz w:val="20"/>
              </w:rPr>
              <m:t>stc</m:t>
            </m:r>
          </m:sub>
        </m:sSub>
      </m:oMath>
      <w:r w:rsidR="000D26FA" w:rsidRPr="003059BA">
        <w:rPr>
          <w:sz w:val="20"/>
        </w:rPr>
        <w:t xml:space="preserve"> are the actual and standard module temperatures</w:t>
      </w:r>
    </w:p>
    <w:p w14:paraId="40797870" w14:textId="4215F753" w:rsidR="000D26FA" w:rsidRDefault="000D26FA" w:rsidP="000D26FA">
      <w:pPr>
        <w:ind w:firstLine="284"/>
        <w:jc w:val="both"/>
        <w:rPr>
          <w:sz w:val="20"/>
        </w:rPr>
      </w:pPr>
      <w:r w:rsidRPr="003059BA">
        <w:rPr>
          <w:sz w:val="20"/>
        </w:rPr>
        <w:t xml:space="preserve">The temperature coefficient </w:t>
      </w:r>
      <m:oMath>
        <m:r>
          <w:rPr>
            <w:rFonts w:ascii="Cambria Math" w:hAnsi="Cambria Math"/>
            <w:sz w:val="20"/>
          </w:rPr>
          <m:t>β</m:t>
        </m:r>
      </m:oMath>
      <w:r w:rsidRPr="003059BA">
        <w:rPr>
          <w:sz w:val="20"/>
        </w:rPr>
        <w:t xml:space="preserve"> can be determined experimentally using Equation (8):</w:t>
      </w:r>
    </w:p>
    <w:p w14:paraId="15D5984E" w14:textId="152B0666" w:rsidR="001F28A7" w:rsidRPr="00B047A8" w:rsidRDefault="001F28A7" w:rsidP="001F28A7">
      <w:pPr>
        <w:pStyle w:val="Equation"/>
        <w:ind w:left="56"/>
      </w:pPr>
      <w:r>
        <w:tab/>
      </w:r>
      <m:oMath>
        <m:r>
          <w:rPr>
            <w:rFonts w:ascii="Cambria Math" w:hAnsi="Cambria Math"/>
          </w:rPr>
          <m:t>β=</m:t>
        </m:r>
        <m:f>
          <m:fPr>
            <m:ctrlPr>
              <w:rPr>
                <w:rFonts w:ascii="Cambria Math" w:hAnsi="Cambria Math"/>
              </w:rPr>
            </m:ctrlPr>
          </m:fPr>
          <m:num>
            <m:sSub>
              <m:sSubPr>
                <m:ctrlPr>
                  <w:rPr>
                    <w:rFonts w:ascii="Cambria Math" w:eastAsiaTheme="minorEastAsia" w:hAnsi="Cambria Math"/>
                    <w:i/>
                  </w:rPr>
                </m:ctrlPr>
              </m:sSubPr>
              <m:e>
                <m:r>
                  <w:rPr>
                    <w:rFonts w:ascii="Cambria Math" w:eastAsiaTheme="minorEastAsia" w:hAnsi="Cambria Math"/>
                  </w:rPr>
                  <m:t>P</m:t>
                </m:r>
              </m:e>
              <m:sub>
                <m:r>
                  <m:rPr>
                    <m:sty m:val="p"/>
                  </m:rPr>
                  <w:rPr>
                    <w:rFonts w:ascii="Cambria Math" w:hAnsi="Cambria Math"/>
                  </w:rPr>
                  <m:t>STC</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P</m:t>
                </m:r>
              </m:e>
              <m:sub>
                <m:r>
                  <m:rPr>
                    <m:sty m:val="p"/>
                  </m:rPr>
                  <w:rPr>
                    <w:rFonts w:ascii="Cambria Math" w:hAnsi="Cambria Math"/>
                  </w:rPr>
                  <m:t>meas</m:t>
                </m:r>
              </m:sub>
            </m:sSub>
          </m:num>
          <m:den>
            <m:sSub>
              <m:sSubPr>
                <m:ctrlPr>
                  <w:rPr>
                    <w:rFonts w:ascii="Cambria Math" w:eastAsiaTheme="minorEastAsia" w:hAnsi="Cambria Math"/>
                    <w:i/>
                  </w:rPr>
                </m:ctrlPr>
              </m:sSubPr>
              <m:e>
                <m:r>
                  <w:rPr>
                    <w:rFonts w:ascii="Cambria Math" w:eastAsiaTheme="minorEastAsia" w:hAnsi="Cambria Math"/>
                  </w:rPr>
                  <m:t>P</m:t>
                </m:r>
              </m:e>
              <m:sub>
                <m:r>
                  <m:rPr>
                    <m:sty m:val="p"/>
                  </m:rPr>
                  <w:rPr>
                    <w:rFonts w:ascii="Cambria Math" w:hAnsi="Cambria Math"/>
                  </w:rPr>
                  <m:t>STC</m:t>
                </m:r>
              </m:sub>
            </m:sSub>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module</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STC</m:t>
                    </m:r>
                  </m:sub>
                </m:sSub>
              </m:e>
            </m:d>
          </m:den>
        </m:f>
      </m:oMath>
      <w:r>
        <w:tab/>
        <w:t>(8)</w:t>
      </w:r>
    </w:p>
    <w:p w14:paraId="547077C3" w14:textId="1496EB76" w:rsidR="000D26FA" w:rsidRPr="003059BA" w:rsidRDefault="000D26FA" w:rsidP="00BA17BA">
      <w:pPr>
        <w:ind w:firstLine="284"/>
        <w:jc w:val="both"/>
        <w:rPr>
          <w:sz w:val="20"/>
        </w:rPr>
      </w:pPr>
      <w:r w:rsidRPr="003059BA">
        <w:rPr>
          <w:sz w:val="20"/>
        </w:rPr>
        <w:t>This coefficient quantifies the percentage power loss per degree Celsius rise in temperature above STC, providing essential information for accurate performance prediction under varying thermal conditions.</w:t>
      </w:r>
      <w:r w:rsidR="00B936B6" w:rsidRPr="003059BA">
        <w:rPr>
          <w:sz w:val="20"/>
        </w:rPr>
        <w:t xml:space="preserve"> </w:t>
      </w:r>
      <w:r w:rsidRPr="003059BA">
        <w:rPr>
          <w:sz w:val="20"/>
        </w:rPr>
        <w:t xml:space="preserve">The most critical performance parameters for a photovoltaic (PV) module include </w:t>
      </w:r>
      <w:proofErr w:type="spellStart"/>
      <w:r w:rsidR="00782A57" w:rsidRPr="003059BA">
        <w:rPr>
          <w:sz w:val="20"/>
        </w:rPr>
        <w:t>I</w:t>
      </w:r>
      <w:r w:rsidR="00782A57" w:rsidRPr="003059BA">
        <w:rPr>
          <w:sz w:val="20"/>
          <w:vertAlign w:val="subscript"/>
        </w:rPr>
        <w:t>sc</w:t>
      </w:r>
      <w:proofErr w:type="spellEnd"/>
      <w:r w:rsidRPr="003059BA">
        <w:rPr>
          <w:sz w:val="20"/>
        </w:rPr>
        <w:t>, V</w:t>
      </w:r>
      <w:r w:rsidRPr="003059BA">
        <w:rPr>
          <w:sz w:val="20"/>
          <w:vertAlign w:val="subscript"/>
        </w:rPr>
        <w:t>oc</w:t>
      </w:r>
      <w:r w:rsidRPr="003059BA">
        <w:rPr>
          <w:sz w:val="20"/>
        </w:rPr>
        <w:t>, FF and P</w:t>
      </w:r>
      <w:r w:rsidRPr="003059BA">
        <w:rPr>
          <w:sz w:val="20"/>
          <w:vertAlign w:val="subscript"/>
        </w:rPr>
        <w:t>max</w:t>
      </w:r>
      <w:r w:rsidRPr="003059BA">
        <w:rPr>
          <w:sz w:val="20"/>
        </w:rPr>
        <w:t xml:space="preserve">. These parameters to convert your field measurements (taken under varying irradiance </w:t>
      </w:r>
      <m:oMath>
        <m:r>
          <w:rPr>
            <w:rFonts w:ascii="Cambria Math" w:eastAsiaTheme="minorEastAsia" w:hAnsi="Cambria Math"/>
            <w:sz w:val="20"/>
          </w:rPr>
          <m:t>G</m:t>
        </m:r>
      </m:oMath>
      <w:r w:rsidRPr="003059BA">
        <w:rPr>
          <w:sz w:val="20"/>
        </w:rPr>
        <w:t xml:space="preserve"> and temperature </w:t>
      </w:r>
      <m:oMath>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mod</m:t>
            </m:r>
          </m:sub>
        </m:sSub>
      </m:oMath>
      <w:r w:rsidRPr="003059BA">
        <w:rPr>
          <w:sz w:val="20"/>
        </w:rPr>
        <w:t xml:space="preserve"> into equivalent values at STC </w:t>
      </w:r>
      <m:oMath>
        <m:sSub>
          <m:sSubPr>
            <m:ctrlPr>
              <w:rPr>
                <w:rFonts w:ascii="Cambria Math" w:eastAsiaTheme="minorEastAsia" w:hAnsi="Cambria Math"/>
                <w:i/>
                <w:sz w:val="20"/>
              </w:rPr>
            </m:ctrlPr>
          </m:sSubPr>
          <m:e>
            <m:r>
              <w:rPr>
                <w:rFonts w:ascii="Cambria Math" w:eastAsiaTheme="minorEastAsia" w:hAnsi="Cambria Math"/>
                <w:sz w:val="20"/>
              </w:rPr>
              <m:t>G</m:t>
            </m:r>
          </m:e>
          <m:sub>
            <m:r>
              <w:rPr>
                <w:rFonts w:ascii="Cambria Math" w:eastAsiaTheme="minorEastAsia" w:hAnsi="Cambria Math"/>
                <w:sz w:val="20"/>
              </w:rPr>
              <m:t>STC</m:t>
            </m:r>
          </m:sub>
        </m:sSub>
        <m:r>
          <w:rPr>
            <w:rFonts w:ascii="Cambria Math" w:eastAsiaTheme="minorEastAsia" w:hAnsi="Cambria Math"/>
            <w:sz w:val="20"/>
          </w:rPr>
          <m:t>=1000 W/m²</m:t>
        </m:r>
      </m:oMath>
      <w:r w:rsidRPr="003059BA">
        <w:rPr>
          <w:sz w:val="20"/>
        </w:rPr>
        <w:t xml:space="preserve">, </w:t>
      </w:r>
      <m:oMath>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mod,  STC</m:t>
            </m:r>
          </m:sub>
        </m:sSub>
        <m:r>
          <w:rPr>
            <w:rFonts w:ascii="Cambria Math" w:eastAsiaTheme="minorEastAsia" w:hAnsi="Cambria Math"/>
            <w:sz w:val="20"/>
          </w:rPr>
          <m:t>=25°C</m:t>
        </m:r>
      </m:oMath>
      <w:r w:rsidRPr="003059BA">
        <w:rPr>
          <w:sz w:val="20"/>
        </w:rPr>
        <w:t>.</w:t>
      </w:r>
      <w:r w:rsidR="00B936B6" w:rsidRPr="003059BA">
        <w:rPr>
          <w:sz w:val="20"/>
        </w:rPr>
        <w:t xml:space="preserve"> </w:t>
      </w:r>
      <w:r w:rsidRPr="003059BA">
        <w:rPr>
          <w:sz w:val="20"/>
        </w:rPr>
        <w:t xml:space="preserve">The electrical parameters </w:t>
      </w:r>
      <m:oMath>
        <m:sSub>
          <m:sSubPr>
            <m:ctrlPr>
              <w:rPr>
                <w:rFonts w:ascii="Cambria Math" w:eastAsiaTheme="minorEastAsia" w:hAnsi="Cambria Math"/>
                <w:i/>
                <w:sz w:val="20"/>
              </w:rPr>
            </m:ctrlPr>
          </m:sSubPr>
          <m:e>
            <m:r>
              <w:rPr>
                <w:rFonts w:ascii="Cambria Math" w:eastAsiaTheme="minorEastAsia" w:hAnsi="Cambria Math"/>
                <w:sz w:val="20"/>
              </w:rPr>
              <m:t>V</m:t>
            </m:r>
          </m:e>
          <m:sub>
            <m:r>
              <w:rPr>
                <w:rFonts w:ascii="Cambria Math" w:eastAsiaTheme="minorEastAsia" w:hAnsi="Cambria Math"/>
                <w:sz w:val="20"/>
              </w:rPr>
              <m:t>oc</m:t>
            </m:r>
          </m:sub>
        </m:sSub>
        <m:d>
          <m:dPr>
            <m:ctrlPr>
              <w:rPr>
                <w:rFonts w:ascii="Cambria Math" w:eastAsiaTheme="minorEastAsia" w:hAnsi="Cambria Math"/>
                <w:i/>
                <w:sz w:val="20"/>
              </w:rPr>
            </m:ctrlPr>
          </m:dPr>
          <m:e>
            <m:r>
              <w:rPr>
                <w:rFonts w:ascii="Cambria Math" w:eastAsiaTheme="minorEastAsia" w:hAnsi="Cambria Math"/>
                <w:sz w:val="20"/>
              </w:rPr>
              <m:t>t</m:t>
            </m:r>
          </m:e>
        </m:d>
      </m:oMath>
      <w:r w:rsidRPr="003059BA">
        <w:rPr>
          <w:sz w:val="20"/>
        </w:rPr>
        <w:t xml:space="preserve"> and </w:t>
      </w:r>
      <m:oMath>
        <m:sSub>
          <m:sSubPr>
            <m:ctrlPr>
              <w:rPr>
                <w:rFonts w:ascii="Cambria Math" w:hAnsi="Cambria Math"/>
                <w:i/>
                <w:sz w:val="20"/>
              </w:rPr>
            </m:ctrlPr>
          </m:sSubPr>
          <m:e>
            <m:r>
              <w:rPr>
                <w:rFonts w:ascii="Cambria Math" w:hAnsi="Cambria Math"/>
                <w:sz w:val="20"/>
              </w:rPr>
              <m:t>I</m:t>
            </m:r>
          </m:e>
          <m:sub>
            <m:r>
              <w:rPr>
                <w:rFonts w:ascii="Cambria Math" w:hAnsi="Cambria Math"/>
                <w:sz w:val="20"/>
              </w:rPr>
              <m:t>sc</m:t>
            </m:r>
          </m:sub>
        </m:sSub>
        <m:d>
          <m:dPr>
            <m:ctrlPr>
              <w:rPr>
                <w:rFonts w:ascii="Cambria Math" w:eastAsiaTheme="minorEastAsia" w:hAnsi="Cambria Math"/>
                <w:i/>
                <w:sz w:val="20"/>
              </w:rPr>
            </m:ctrlPr>
          </m:dPr>
          <m:e>
            <m:r>
              <w:rPr>
                <w:rFonts w:ascii="Cambria Math" w:eastAsiaTheme="minorEastAsia" w:hAnsi="Cambria Math"/>
                <w:sz w:val="20"/>
              </w:rPr>
              <m:t>t</m:t>
            </m:r>
          </m:e>
        </m:d>
      </m:oMath>
      <w:r w:rsidRPr="003059BA">
        <w:rPr>
          <w:sz w:val="20"/>
        </w:rPr>
        <w:t xml:space="preserve"> are measured using the experimental setup.</w:t>
      </w:r>
      <w:r w:rsidR="00BA17BA">
        <w:rPr>
          <w:sz w:val="20"/>
        </w:rPr>
        <w:t xml:space="preserve"> </w:t>
      </w:r>
      <w:bookmarkEnd w:id="1"/>
      <w:r w:rsidRPr="003059BA">
        <w:rPr>
          <w:sz w:val="20"/>
        </w:rPr>
        <w:t>These measurements provide the empirical data necessary for evaluating the real</w:t>
      </w:r>
      <w:r w:rsidR="0001290B" w:rsidRPr="003059BA">
        <w:rPr>
          <w:sz w:val="20"/>
        </w:rPr>
        <w:t>-</w:t>
      </w:r>
      <w:r w:rsidRPr="003059BA">
        <w:rPr>
          <w:sz w:val="20"/>
        </w:rPr>
        <w:t>world performance of PV panels and for validating theoretical models under varying environmental conditions.</w:t>
      </w:r>
    </w:p>
    <w:p w14:paraId="233237FB" w14:textId="3B64AC8C" w:rsidR="000509AA" w:rsidRPr="003059BA" w:rsidRDefault="000509AA" w:rsidP="000509AA">
      <w:pPr>
        <w:pStyle w:val="Heading1"/>
      </w:pPr>
      <w:r w:rsidRPr="003059BA">
        <w:t xml:space="preserve">results and discussion </w:t>
      </w:r>
    </w:p>
    <w:p w14:paraId="589A6F06" w14:textId="30899CBD" w:rsidR="000509AA" w:rsidRPr="003059BA" w:rsidRDefault="00B936B6" w:rsidP="000509AA">
      <w:pPr>
        <w:pStyle w:val="Heading2"/>
      </w:pPr>
      <w:r w:rsidRPr="003059BA">
        <w:t xml:space="preserve">Variation of Solar Irradiance (E) and Ultraviolet Radiation (UV) </w:t>
      </w:r>
      <w:r w:rsidR="000509AA" w:rsidRPr="003059BA">
        <w:t xml:space="preserve"> </w:t>
      </w:r>
    </w:p>
    <w:p w14:paraId="0A69C5BB" w14:textId="247AE079" w:rsidR="00B936B6" w:rsidRPr="003059BA" w:rsidRDefault="00B936B6" w:rsidP="00B936B6">
      <w:pPr>
        <w:pStyle w:val="Paragraph"/>
      </w:pPr>
      <w:r w:rsidRPr="003059BA">
        <w:t xml:space="preserve">Figures </w:t>
      </w:r>
      <w:r w:rsidR="004E666A">
        <w:t>2</w:t>
      </w:r>
      <w:r w:rsidRPr="003059BA">
        <w:t>(a</w:t>
      </w:r>
      <w:r w:rsidR="00C809C2" w:rsidRPr="003059BA">
        <w:t>-</w:t>
      </w:r>
      <w:r w:rsidR="004E666A">
        <w:t>b</w:t>
      </w:r>
      <w:r w:rsidRPr="003059BA">
        <w:t>) depict hourly solar irradiance (E) and ultraviolet (UV) radiation variations from 6 AM to 6 PM on representative days in March through June, Cameroon</w:t>
      </w:r>
      <w:r w:rsidR="00782A57" w:rsidRPr="003059BA">
        <w:t>’</w:t>
      </w:r>
      <w:r w:rsidRPr="003059BA">
        <w:t xml:space="preserve">s hottest months. These data quantify solar energy availability for photovoltaic (PV) systems while revealing stressors like intense heat and UV that accelerate performance </w:t>
      </w:r>
      <w:r w:rsidRPr="003059BA">
        <w:lastRenderedPageBreak/>
        <w:t>degradation in Maroua</w:t>
      </w:r>
      <w:r w:rsidR="00782A57" w:rsidRPr="003059BA">
        <w:t>’</w:t>
      </w:r>
      <w:r w:rsidRPr="003059BA">
        <w:t>s Sudano</w:t>
      </w:r>
      <w:r w:rsidR="0001290B" w:rsidRPr="003059BA">
        <w:t>-</w:t>
      </w:r>
      <w:r w:rsidRPr="003059BA">
        <w:t>Sahelian climate.</w:t>
      </w:r>
      <w:r w:rsidR="00366A49" w:rsidRPr="003059BA">
        <w:t xml:space="preserve"> </w:t>
      </w:r>
      <w:r w:rsidR="001A235E">
        <w:t>In March</w:t>
      </w:r>
      <w:r w:rsidRPr="003059BA">
        <w:t>, irradiance starts low (83 W/m² at 7 AM), peaks midday (692</w:t>
      </w:r>
      <w:r w:rsidR="00C809C2" w:rsidRPr="003059BA">
        <w:t>-</w:t>
      </w:r>
      <w:r w:rsidRPr="003059BA">
        <w:t>732 W/m² from 11 AM</w:t>
      </w:r>
      <w:r w:rsidR="00C809C2" w:rsidRPr="003059BA">
        <w:t>-</w:t>
      </w:r>
      <w:r w:rsidRPr="003059BA">
        <w:t>2 PM), and declines, with UV mirroring this trend (peaking at 24.82 W/m² around noon). Though moderate compared to later months, this exposure still induces thermal stress, promoting encapsulant breakdown and coating discoloration</w:t>
      </w:r>
      <w:r w:rsidR="001A235E">
        <w:t xml:space="preserve">, </w:t>
      </w:r>
      <w:r w:rsidRPr="003059BA">
        <w:t>early signs of efficiency losses. Such patterns underscore the need for heat</w:t>
      </w:r>
      <w:r w:rsidR="0001290B" w:rsidRPr="003059BA">
        <w:t>-</w:t>
      </w:r>
      <w:r w:rsidRPr="003059BA">
        <w:t>resilient PV designs to mitigate long</w:t>
      </w:r>
      <w:r w:rsidR="0001290B" w:rsidRPr="003059BA">
        <w:t>-</w:t>
      </w:r>
      <w:r w:rsidRPr="003059BA">
        <w:t xml:space="preserve">term durability issues in arid regions. </w:t>
      </w:r>
    </w:p>
    <w:p w14:paraId="161F0FCC" w14:textId="77777777" w:rsidR="00B936B6" w:rsidRPr="003059BA" w:rsidRDefault="00B936B6" w:rsidP="00B936B6">
      <w:pPr>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476"/>
      </w:tblGrid>
      <w:tr w:rsidR="00B936B6" w:rsidRPr="003059BA" w14:paraId="34098309" w14:textId="77777777" w:rsidTr="0036545E">
        <w:tc>
          <w:tcPr>
            <w:tcW w:w="4476" w:type="dxa"/>
          </w:tcPr>
          <w:p w14:paraId="40ADD25C" w14:textId="351B7A28" w:rsidR="00B936B6" w:rsidRPr="003059BA" w:rsidRDefault="001A235E" w:rsidP="001C4A95">
            <w:pPr>
              <w:pStyle w:val="Paragraph"/>
              <w:ind w:firstLine="0"/>
              <w:jc w:val="center"/>
            </w:pPr>
            <w:r w:rsidRPr="001A235E">
              <w:rPr>
                <w:noProof/>
                <w:lang w:val="fr-FR" w:eastAsia="fr-FR"/>
              </w:rPr>
              <w:drawing>
                <wp:inline distT="0" distB="0" distL="0" distR="0" wp14:anchorId="3BE1824F" wp14:editId="5C6E55DB">
                  <wp:extent cx="2700000" cy="1714732"/>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r="9155"/>
                          <a:stretch/>
                        </pic:blipFill>
                        <pic:spPr bwMode="auto">
                          <a:xfrm>
                            <a:off x="0" y="0"/>
                            <a:ext cx="2700000" cy="17147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76" w:type="dxa"/>
          </w:tcPr>
          <w:p w14:paraId="676BF7AD" w14:textId="6F432143" w:rsidR="00B936B6" w:rsidRPr="003059BA" w:rsidRDefault="001A235E" w:rsidP="001C4A95">
            <w:pPr>
              <w:pStyle w:val="Paragraph"/>
              <w:ind w:firstLine="0"/>
              <w:jc w:val="center"/>
            </w:pPr>
            <w:r w:rsidRPr="001A235E">
              <w:rPr>
                <w:noProof/>
                <w:lang w:val="fr-FR" w:eastAsia="fr-FR"/>
              </w:rPr>
              <w:drawing>
                <wp:inline distT="0" distB="0" distL="0" distR="0" wp14:anchorId="7BD384A6" wp14:editId="6C88A12E">
                  <wp:extent cx="2700000" cy="1723075"/>
                  <wp:effectExtent l="0" t="0" r="571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r="9595"/>
                          <a:stretch/>
                        </pic:blipFill>
                        <pic:spPr bwMode="auto">
                          <a:xfrm>
                            <a:off x="0" y="0"/>
                            <a:ext cx="2700000" cy="17230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36B6" w:rsidRPr="003059BA" w14:paraId="271BE7C4" w14:textId="77777777" w:rsidTr="0036545E">
        <w:tc>
          <w:tcPr>
            <w:tcW w:w="4476" w:type="dxa"/>
          </w:tcPr>
          <w:p w14:paraId="6BF4CC47" w14:textId="77777777" w:rsidR="00B936B6" w:rsidRPr="003059BA" w:rsidRDefault="00B936B6" w:rsidP="001C4A95">
            <w:pPr>
              <w:pStyle w:val="Paragraph"/>
              <w:ind w:firstLine="0"/>
              <w:jc w:val="center"/>
            </w:pPr>
            <w:r w:rsidRPr="003059BA">
              <w:t>(a)</w:t>
            </w:r>
          </w:p>
        </w:tc>
        <w:tc>
          <w:tcPr>
            <w:tcW w:w="4476" w:type="dxa"/>
          </w:tcPr>
          <w:p w14:paraId="294DC218" w14:textId="77777777" w:rsidR="00B936B6" w:rsidRPr="003059BA" w:rsidRDefault="00B936B6" w:rsidP="001C4A95">
            <w:pPr>
              <w:pStyle w:val="Paragraph"/>
              <w:ind w:firstLine="0"/>
              <w:jc w:val="center"/>
            </w:pPr>
            <w:r w:rsidRPr="003059BA">
              <w:t>(b)</w:t>
            </w:r>
          </w:p>
        </w:tc>
      </w:tr>
    </w:tbl>
    <w:p w14:paraId="1451CE95" w14:textId="6E23782D" w:rsidR="00E16280" w:rsidRPr="003059BA" w:rsidRDefault="00E16280" w:rsidP="00E16280">
      <w:pPr>
        <w:pStyle w:val="FigureCaption"/>
      </w:pPr>
      <w:r w:rsidRPr="003059BA">
        <w:rPr>
          <w:b/>
          <w:caps/>
        </w:rPr>
        <w:t xml:space="preserve">Figure </w:t>
      </w:r>
      <w:r w:rsidR="004E666A">
        <w:rPr>
          <w:b/>
          <w:caps/>
        </w:rPr>
        <w:t>2</w:t>
      </w:r>
      <w:r w:rsidR="00AF7D58" w:rsidRPr="00AF7D58">
        <w:rPr>
          <w:b/>
        </w:rPr>
        <w:t>a, b.</w:t>
      </w:r>
      <w:r w:rsidRPr="003059BA">
        <w:t xml:space="preserve"> Monthly variation of solar irradiance and ultraviolet </w:t>
      </w:r>
      <w:r w:rsidR="0072325A">
        <w:t>radiation as a function of time.</w:t>
      </w:r>
    </w:p>
    <w:p w14:paraId="56170DAB" w14:textId="77777777" w:rsidR="00B936B6" w:rsidRPr="003059BA" w:rsidRDefault="00B936B6" w:rsidP="00B936B6">
      <w:pPr>
        <w:ind w:firstLine="720"/>
        <w:jc w:val="both"/>
      </w:pPr>
    </w:p>
    <w:p w14:paraId="41AC9D65" w14:textId="10766945" w:rsidR="00B936B6" w:rsidRPr="003059BA" w:rsidRDefault="00E16280" w:rsidP="00E16280">
      <w:pPr>
        <w:pStyle w:val="Paragraph"/>
      </w:pPr>
      <w:r w:rsidRPr="003059BA">
        <w:t>Cameroon</w:t>
      </w:r>
      <w:r w:rsidR="00782A57" w:rsidRPr="003059BA">
        <w:t>’</w:t>
      </w:r>
      <w:r w:rsidRPr="003059BA">
        <w:t xml:space="preserve">s peak hot months, </w:t>
      </w:r>
      <w:r w:rsidR="001A235E" w:rsidRPr="003059BA">
        <w:t xml:space="preserve">April through June, </w:t>
      </w:r>
      <w:r w:rsidRPr="003059BA">
        <w:t>intensify challenges for photovoltaic (PV) systems in Maroua</w:t>
      </w:r>
      <w:r w:rsidR="00782A57" w:rsidRPr="003059BA">
        <w:t>’</w:t>
      </w:r>
      <w:r w:rsidRPr="003059BA">
        <w:t>s Sudano</w:t>
      </w:r>
      <w:r w:rsidR="0001290B" w:rsidRPr="003059BA">
        <w:t>-</w:t>
      </w:r>
      <w:r w:rsidRPr="003059BA">
        <w:t>Sahelian climate. These patterns highlight abundant energy potential alongside severe thermal and degradative stressors, drivi</w:t>
      </w:r>
      <w:r w:rsidR="001A235E">
        <w:t>ng performance losses. In April</w:t>
      </w:r>
      <w:r w:rsidRPr="003059BA">
        <w:t>, irradiance surges from 200 W/m² at 7 AM to an annual high of 923</w:t>
      </w:r>
      <w:r w:rsidR="0001290B" w:rsidRPr="003059BA">
        <w:t>-</w:t>
      </w:r>
      <w:r w:rsidRPr="003059BA">
        <w:t>971 W/m² (11 AM</w:t>
      </w:r>
      <w:r w:rsidR="0001290B" w:rsidRPr="003059BA">
        <w:t>-</w:t>
      </w:r>
      <w:r w:rsidRPr="003059BA">
        <w:t>2 PM), with UV peaking at 31.6</w:t>
      </w:r>
      <w:r w:rsidR="0001290B" w:rsidRPr="003059BA">
        <w:t>-</w:t>
      </w:r>
      <w:r w:rsidRPr="003059BA">
        <w:t>32.44 W/m² around noon. This amplifies PV output but heightens thermal stress, slashing efficiency and accelerating delamination and corrosion, far beyond March</w:t>
      </w:r>
      <w:r w:rsidR="00782A57" w:rsidRPr="003059BA">
        <w:t>’</w:t>
      </w:r>
      <w:r w:rsidRPr="003059BA">
        <w:t>s milder effects. May mirrors April closely, starting at 183 W/m² and peaking at 932</w:t>
      </w:r>
      <w:r w:rsidR="00C809C2" w:rsidRPr="003059BA">
        <w:t>-</w:t>
      </w:r>
      <w:r w:rsidRPr="003059BA">
        <w:t>967 W/m², with UV at 27.87</w:t>
      </w:r>
      <w:r w:rsidR="00C809C2" w:rsidRPr="003059BA">
        <w:t>-</w:t>
      </w:r>
      <w:r w:rsidRPr="003059BA">
        <w:t>32.74 W/m². Identical diurnal trends sustain comparable output gains and degradation risks, as high temperatures exacerbate UV</w:t>
      </w:r>
      <w:r w:rsidR="0001290B" w:rsidRPr="003059BA">
        <w:t>-</w:t>
      </w:r>
      <w:r w:rsidRPr="003059BA">
        <w:t xml:space="preserve">induced material breakdown in encapsulants and </w:t>
      </w:r>
      <w:proofErr w:type="spellStart"/>
      <w:r w:rsidRPr="003059BA">
        <w:t>backsheets</w:t>
      </w:r>
      <w:proofErr w:type="spellEnd"/>
      <w:r w:rsidRPr="003059BA">
        <w:t>. June maintains high levels, from 177 W/m² to 878</w:t>
      </w:r>
      <w:r w:rsidR="0001290B" w:rsidRPr="003059BA">
        <w:t>-</w:t>
      </w:r>
      <w:r w:rsidRPr="003059BA">
        <w:t>939 W/m² peaks, and UV up to 29.77</w:t>
      </w:r>
      <w:r w:rsidR="0001290B" w:rsidRPr="003059BA">
        <w:t>-</w:t>
      </w:r>
      <w:r w:rsidRPr="003059BA">
        <w:t xml:space="preserve">31.84 W/m². Though slightly cooler ambient temperatures offer marginal relief, the relentless exposure still promotes efficiency derating. </w:t>
      </w:r>
      <w:proofErr w:type="gramStart"/>
      <w:r w:rsidRPr="003059BA">
        <w:t>Across</w:t>
      </w:r>
      <w:proofErr w:type="gramEnd"/>
      <w:r w:rsidRPr="003059BA">
        <w:t xml:space="preserve"> these months, elevated irradiance boosts instantaneous PV power, yet it</w:t>
      </w:r>
      <w:r w:rsidR="00782A57" w:rsidRPr="003059BA">
        <w:t>’</w:t>
      </w:r>
      <w:r w:rsidRPr="003059BA">
        <w:t>s undermined by thermal losses, efficiency drops precisely when output should peak. Synergistic heat and UV accelerate long</w:t>
      </w:r>
      <w:r w:rsidR="0001290B" w:rsidRPr="003059BA">
        <w:t>-</w:t>
      </w:r>
      <w:r w:rsidRPr="003059BA">
        <w:t>term degradation, underscoring the urgent need for resilient PV technologies to balance yield and durability in arid, high</w:t>
      </w:r>
      <w:r w:rsidR="0001290B" w:rsidRPr="003059BA">
        <w:t>-</w:t>
      </w:r>
      <w:r w:rsidRPr="003059BA">
        <w:t>heat regions like Cameroon</w:t>
      </w:r>
      <w:r w:rsidR="00782A57" w:rsidRPr="003059BA">
        <w:t>’</w:t>
      </w:r>
      <w:r w:rsidRPr="003059BA">
        <w:t>s Far North.</w:t>
      </w:r>
    </w:p>
    <w:p w14:paraId="7F3843C3" w14:textId="6C8E3DA0" w:rsidR="00E16280" w:rsidRPr="003059BA" w:rsidRDefault="00E16280" w:rsidP="00E16280">
      <w:pPr>
        <w:pStyle w:val="Heading2"/>
      </w:pPr>
      <w:r w:rsidRPr="003059BA">
        <w:t xml:space="preserve">Variation of </w:t>
      </w:r>
      <w:proofErr w:type="spellStart"/>
      <w:r w:rsidRPr="003059BA">
        <w:t>T</w:t>
      </w:r>
      <w:r w:rsidRPr="003059BA">
        <w:rPr>
          <w:vertAlign w:val="subscript"/>
        </w:rPr>
        <w:t>amb</w:t>
      </w:r>
      <w:proofErr w:type="spellEnd"/>
      <w:r w:rsidRPr="003059BA">
        <w:t xml:space="preserve"> and RH   </w:t>
      </w:r>
    </w:p>
    <w:p w14:paraId="276A98A5" w14:textId="4384057E" w:rsidR="0001290B" w:rsidRPr="003059BA" w:rsidRDefault="004E666A" w:rsidP="00817ABC">
      <w:pPr>
        <w:pStyle w:val="Paragraph"/>
      </w:pPr>
      <w:r>
        <w:t>Figures 3</w:t>
      </w:r>
      <w:r w:rsidR="0001290B" w:rsidRPr="003059BA">
        <w:t>(a</w:t>
      </w:r>
      <w:r w:rsidR="00C809C2" w:rsidRPr="003059BA">
        <w:t>-</w:t>
      </w:r>
      <w:r w:rsidR="00EE6F57">
        <w:t>b</w:t>
      </w:r>
      <w:r w:rsidR="0001290B" w:rsidRPr="003059BA">
        <w:t>) illustrate diurnal variations in ambient temperature (</w:t>
      </w:r>
      <w:proofErr w:type="spellStart"/>
      <w:r w:rsidR="0001290B" w:rsidRPr="003059BA">
        <w:t>T</w:t>
      </w:r>
      <w:r w:rsidR="0001290B" w:rsidRPr="003059BA">
        <w:rPr>
          <w:vertAlign w:val="subscript"/>
        </w:rPr>
        <w:t>amb</w:t>
      </w:r>
      <w:proofErr w:type="spellEnd"/>
      <w:r w:rsidR="0001290B" w:rsidRPr="003059BA">
        <w:t>) and relative humidity (RH) from 6 AM to 6 PM across March-June, Cameroon</w:t>
      </w:r>
      <w:r w:rsidR="00782A57" w:rsidRPr="003059BA">
        <w:t>’</w:t>
      </w:r>
      <w:r w:rsidR="0001290B" w:rsidRPr="003059BA">
        <w:t>s hottest months, exposing photovoltaic (PV) systems in Maroua</w:t>
      </w:r>
      <w:r w:rsidR="00782A57" w:rsidRPr="003059BA">
        <w:t>’</w:t>
      </w:r>
      <w:r w:rsidR="0001290B" w:rsidRPr="003059BA">
        <w:t xml:space="preserve">s Sudano-Sahelian climate to severe thermal stress. </w:t>
      </w:r>
      <w:proofErr w:type="spellStart"/>
      <w:r w:rsidR="0001290B" w:rsidRPr="003059BA">
        <w:t>T</w:t>
      </w:r>
      <w:r w:rsidR="0001290B" w:rsidRPr="003059BA">
        <w:rPr>
          <w:vertAlign w:val="subscript"/>
        </w:rPr>
        <w:t>amb</w:t>
      </w:r>
      <w:proofErr w:type="spellEnd"/>
      <w:r w:rsidR="0001290B" w:rsidRPr="003059BA">
        <w:t xml:space="preserve"> follows a classic solar-driven pattern: rising from early-morning lows, peaking midday (12</w:t>
      </w:r>
      <w:r w:rsidR="00C809C2" w:rsidRPr="003059BA">
        <w:t>-</w:t>
      </w:r>
      <w:r w:rsidR="0001290B" w:rsidRPr="003059BA">
        <w:t>2 PM), and declining by evening. RH inversely trends</w:t>
      </w:r>
      <w:r w:rsidR="00EE6F57">
        <w:t xml:space="preserve"> </w:t>
      </w:r>
      <w:proofErr w:type="gramStart"/>
      <w:r w:rsidR="0001290B" w:rsidRPr="003059BA">
        <w:t>high</w:t>
      </w:r>
      <w:proofErr w:type="gramEnd"/>
      <w:r w:rsidR="0001290B" w:rsidRPr="003059BA">
        <w:t xml:space="preserve"> mornings, plummeting at peak heat, then rebounding</w:t>
      </w:r>
      <w:r w:rsidR="00EE6F57">
        <w:t xml:space="preserve">, </w:t>
      </w:r>
      <w:r w:rsidR="0001290B" w:rsidRPr="003059BA">
        <w:t>correlating with the dry season</w:t>
      </w:r>
      <w:r w:rsidR="00782A57" w:rsidRPr="003059BA">
        <w:t>’</w:t>
      </w:r>
      <w:r w:rsidR="00EE6F57">
        <w:t>s aridity. In March</w:t>
      </w:r>
      <w:r w:rsidR="0001290B" w:rsidRPr="003059BA">
        <w:t xml:space="preserve">, </w:t>
      </w:r>
      <w:proofErr w:type="spellStart"/>
      <w:r w:rsidR="0001290B" w:rsidRPr="003059BA">
        <w:t>T</w:t>
      </w:r>
      <w:r w:rsidR="0001290B" w:rsidRPr="003059BA">
        <w:rPr>
          <w:vertAlign w:val="subscript"/>
        </w:rPr>
        <w:t>amb</w:t>
      </w:r>
      <w:proofErr w:type="spellEnd"/>
      <w:r w:rsidR="0001290B" w:rsidRPr="003059BA">
        <w:t xml:space="preserve"> climbs from 28.9°C (6 AM) to 45.3°C (1 PM), with RH falling from 32% to 25%. April intensifies this, surging from 24.4°C to a blistering 55.1°C (11 AM</w:t>
      </w:r>
      <w:r w:rsidR="00C809C2" w:rsidRPr="003059BA">
        <w:t>-</w:t>
      </w:r>
      <w:r w:rsidR="0001290B" w:rsidRPr="003059BA">
        <w:t>2 PM), RH dipping to 21%. May peaks at 51.1°C, starting with 66% RH that crashes to 24%. June reaches 49.5°C, but morning RH spikes to 89%, signaling rainy season onset, before dropping to 30% midday.</w:t>
      </w:r>
      <w:r w:rsidR="00EE6F57">
        <w:t xml:space="preserve"> </w:t>
      </w:r>
      <w:r w:rsidR="0001290B" w:rsidRPr="003059BA">
        <w:t xml:space="preserve">These extreme </w:t>
      </w:r>
      <w:proofErr w:type="spellStart"/>
      <w:r w:rsidR="0001290B" w:rsidRPr="003059BA">
        <w:t>T</w:t>
      </w:r>
      <w:r w:rsidR="0001290B" w:rsidRPr="003059BA">
        <w:rPr>
          <w:vertAlign w:val="subscript"/>
        </w:rPr>
        <w:t>amb</w:t>
      </w:r>
      <w:proofErr w:type="spellEnd"/>
      <w:r w:rsidR="0001290B" w:rsidRPr="003059BA">
        <w:t xml:space="preserve"> levels devastate PV efficiency, rated at 25°C under Standard Test Conditions (STC). Each °C above causes 0.3</w:t>
      </w:r>
      <w:r w:rsidR="00C809C2" w:rsidRPr="003059BA">
        <w:t>-</w:t>
      </w:r>
      <w:r w:rsidR="0001290B" w:rsidRPr="003059BA">
        <w:t>0.5% loss in crystalline silicon modules, with operating temperatures often 20</w:t>
      </w:r>
      <w:r w:rsidR="00C809C2" w:rsidRPr="003059BA">
        <w:t>-</w:t>
      </w:r>
      <w:r w:rsidR="0001290B" w:rsidRPr="003059BA">
        <w:t>35°C hotter than ambient</w:t>
      </w:r>
      <w:r w:rsidR="00EE6F57">
        <w:t xml:space="preserve">, </w:t>
      </w:r>
      <w:r w:rsidR="0001290B" w:rsidRPr="003059BA">
        <w:t>potentially exceeding 70°C during 1</w:t>
      </w:r>
      <w:r w:rsidR="00EE6F57">
        <w:t>1</w:t>
      </w:r>
      <w:r w:rsidR="0001290B" w:rsidRPr="003059BA">
        <w:t xml:space="preserve"> AM</w:t>
      </w:r>
      <w:r w:rsidR="00C809C2" w:rsidRPr="003059BA">
        <w:t>-</w:t>
      </w:r>
      <w:r w:rsidR="00EE6F57">
        <w:t>2</w:t>
      </w:r>
      <w:r w:rsidR="0001290B" w:rsidRPr="003059BA">
        <w:t xml:space="preserve"> PM peaks in April. This thermal derating slashes output precisely when irradiance is highest, amplifying performance losses in the Far North.</w:t>
      </w:r>
      <w:r w:rsidR="00EE6F57">
        <w:t xml:space="preserve"> </w:t>
      </w:r>
      <w:r w:rsidR="0001290B" w:rsidRPr="003059BA">
        <w:t>RH plays a minor direct role, as PV cells convert light, not moisture. Though high morning humidity in May</w:t>
      </w:r>
      <w:r w:rsidR="00C809C2" w:rsidRPr="003059BA">
        <w:t>-</w:t>
      </w:r>
      <w:r w:rsidR="0001290B" w:rsidRPr="003059BA">
        <w:t>June may indirectly foster soiling or long-term degradation (e.g., corrosion, delamination, PID), it pales against immediate heat-induced inefficiencies. These findings demand heat-resilient PV innovations to safeguard solar viability in arid, high-heat regions like Cameroon</w:t>
      </w:r>
      <w:r w:rsidR="00782A57" w:rsidRPr="003059BA">
        <w:t>’</w:t>
      </w:r>
      <w:r w:rsidR="0001290B" w:rsidRPr="003059BA">
        <w:t>s Far North.</w:t>
      </w:r>
    </w:p>
    <w:p w14:paraId="142E5BA4" w14:textId="77777777" w:rsidR="0001290B" w:rsidRPr="003059BA" w:rsidRDefault="0001290B" w:rsidP="00817ABC">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476"/>
      </w:tblGrid>
      <w:tr w:rsidR="0001290B" w:rsidRPr="003059BA" w14:paraId="3D582AE6" w14:textId="77777777" w:rsidTr="00EE6F57">
        <w:tc>
          <w:tcPr>
            <w:tcW w:w="4476" w:type="dxa"/>
          </w:tcPr>
          <w:p w14:paraId="25E22210" w14:textId="187F006E" w:rsidR="0001290B" w:rsidRPr="003059BA" w:rsidRDefault="00E74C31" w:rsidP="001C4A95">
            <w:pPr>
              <w:pStyle w:val="Paragraph"/>
              <w:ind w:firstLine="0"/>
              <w:jc w:val="center"/>
            </w:pPr>
            <w:r>
              <w:rPr>
                <w:noProof/>
                <w:lang w:val="fr-FR" w:eastAsia="fr-FR"/>
              </w:rPr>
              <w:lastRenderedPageBreak/>
              <w:drawing>
                <wp:inline distT="0" distB="0" distL="0" distR="0" wp14:anchorId="131551E8" wp14:editId="3910F686">
                  <wp:extent cx="2700000" cy="1714269"/>
                  <wp:effectExtent l="0" t="0" r="571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9155"/>
                          <a:stretch/>
                        </pic:blipFill>
                        <pic:spPr bwMode="auto">
                          <a:xfrm>
                            <a:off x="0" y="0"/>
                            <a:ext cx="2700000" cy="17142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76" w:type="dxa"/>
          </w:tcPr>
          <w:p w14:paraId="6F4175FC" w14:textId="058BA303" w:rsidR="0001290B" w:rsidRPr="003059BA" w:rsidRDefault="00E74C31" w:rsidP="001C4A95">
            <w:pPr>
              <w:pStyle w:val="Paragraph"/>
              <w:ind w:firstLine="0"/>
              <w:jc w:val="center"/>
            </w:pPr>
            <w:r w:rsidRPr="00E74C31">
              <w:rPr>
                <w:noProof/>
                <w:lang w:val="fr-FR" w:eastAsia="fr-FR"/>
              </w:rPr>
              <w:drawing>
                <wp:inline distT="0" distB="0" distL="0" distR="0" wp14:anchorId="7A97C8BE" wp14:editId="3D82A6D8">
                  <wp:extent cx="2700000" cy="1714732"/>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r="9155"/>
                          <a:stretch/>
                        </pic:blipFill>
                        <pic:spPr bwMode="auto">
                          <a:xfrm>
                            <a:off x="0" y="0"/>
                            <a:ext cx="2700000" cy="171473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1290B" w:rsidRPr="003059BA" w14:paraId="13915154" w14:textId="77777777" w:rsidTr="00EE6F57">
        <w:tc>
          <w:tcPr>
            <w:tcW w:w="4476" w:type="dxa"/>
          </w:tcPr>
          <w:p w14:paraId="7A729830" w14:textId="77777777" w:rsidR="0001290B" w:rsidRPr="003059BA" w:rsidRDefault="0001290B" w:rsidP="001C4A95">
            <w:pPr>
              <w:pStyle w:val="Paragraph"/>
              <w:ind w:firstLine="0"/>
              <w:jc w:val="center"/>
            </w:pPr>
            <w:r w:rsidRPr="003059BA">
              <w:t>(a)</w:t>
            </w:r>
          </w:p>
        </w:tc>
        <w:tc>
          <w:tcPr>
            <w:tcW w:w="4476" w:type="dxa"/>
          </w:tcPr>
          <w:p w14:paraId="19455317" w14:textId="77777777" w:rsidR="0001290B" w:rsidRPr="003059BA" w:rsidRDefault="0001290B" w:rsidP="001C4A95">
            <w:pPr>
              <w:pStyle w:val="Paragraph"/>
              <w:ind w:firstLine="0"/>
              <w:jc w:val="center"/>
            </w:pPr>
            <w:r w:rsidRPr="003059BA">
              <w:t>(b)</w:t>
            </w:r>
          </w:p>
        </w:tc>
      </w:tr>
    </w:tbl>
    <w:p w14:paraId="77A7040B" w14:textId="4FE5371E" w:rsidR="0001290B" w:rsidRPr="003059BA" w:rsidRDefault="0001290B" w:rsidP="0001290B">
      <w:pPr>
        <w:pStyle w:val="FigureCaption"/>
      </w:pPr>
      <w:r w:rsidRPr="003059BA">
        <w:rPr>
          <w:b/>
          <w:caps/>
        </w:rPr>
        <w:t xml:space="preserve">Figure </w:t>
      </w:r>
      <w:r w:rsidR="004E666A">
        <w:rPr>
          <w:b/>
          <w:caps/>
        </w:rPr>
        <w:t>3</w:t>
      </w:r>
      <w:r w:rsidR="00AF7D58" w:rsidRPr="00AF7D58">
        <w:rPr>
          <w:b/>
        </w:rPr>
        <w:t xml:space="preserve"> a, b</w:t>
      </w:r>
      <w:r w:rsidRPr="003059BA">
        <w:rPr>
          <w:b/>
          <w:caps/>
        </w:rPr>
        <w:t>.</w:t>
      </w:r>
      <w:r w:rsidRPr="003059BA">
        <w:t xml:space="preserve"> Diurnal variations in ambient temperature and relative humidity from 6 AM to 6 PM across March</w:t>
      </w:r>
      <w:r w:rsidR="00C809C2" w:rsidRPr="003059BA">
        <w:t>-</w:t>
      </w:r>
      <w:r w:rsidR="0072325A">
        <w:t>June.</w:t>
      </w:r>
    </w:p>
    <w:p w14:paraId="1831AF49" w14:textId="451E515F" w:rsidR="0001290B" w:rsidRPr="003059BA" w:rsidRDefault="0001290B" w:rsidP="001A44F1">
      <w:pPr>
        <w:pStyle w:val="Paragraph"/>
        <w:ind w:firstLine="0"/>
      </w:pPr>
    </w:p>
    <w:p w14:paraId="1BD6CDF5" w14:textId="34F555FC" w:rsidR="0001290B" w:rsidRPr="003059BA" w:rsidRDefault="001055E5" w:rsidP="0072325A">
      <w:pPr>
        <w:pStyle w:val="Paragraph"/>
      </w:pPr>
      <w:r w:rsidRPr="003059BA">
        <w:t>The biggest challenge for solar panels in Maroua</w:t>
      </w:r>
      <w:r w:rsidR="00782A57" w:rsidRPr="003059BA">
        <w:t>’</w:t>
      </w:r>
      <w:r w:rsidRPr="003059BA">
        <w:t xml:space="preserve">s hot months is extreme heat, not humidity. PV modules are rated at a cell temperature of 25°C, </w:t>
      </w:r>
      <w:proofErr w:type="gramStart"/>
      <w:r w:rsidRPr="003059BA">
        <w:t>but in reality,</w:t>
      </w:r>
      <w:proofErr w:type="gramEnd"/>
      <w:r w:rsidRPr="003059BA">
        <w:t xml:space="preserve"> they run 20-35°C hotter than the surrounding air. With ambient temperatures hitting 45-55°C from April to June, panel temperatures can soar to 80°C, slashing efficiency by 0.3-0.5% for every degree over 25°C. This thermal derating causes immediate, significant power losses during peak sunlight hours. While humidity may contribute to long-term wear, like corrosion or delamination, it has little effect on real-time performance, as PV cells generate electricity from light, not moisture. Ultimately, heat, not humidity, is the main culprit behind reduced solar output in this harsh climate.</w:t>
      </w:r>
    </w:p>
    <w:p w14:paraId="3A18BF37" w14:textId="2CDA3E5A" w:rsidR="00C16A6C" w:rsidRPr="003059BA" w:rsidRDefault="00C16A6C" w:rsidP="00C16A6C">
      <w:pPr>
        <w:pStyle w:val="Heading2"/>
      </w:pPr>
      <w:r w:rsidRPr="003059BA">
        <w:t xml:space="preserve">Variation </w:t>
      </w:r>
      <w:r w:rsidR="00E47A86" w:rsidRPr="003059BA">
        <w:t>of Open-Circuit Voltage and Short-Circuit Current</w:t>
      </w:r>
      <w:r w:rsidRPr="003059BA">
        <w:t xml:space="preserve"> </w:t>
      </w:r>
    </w:p>
    <w:p w14:paraId="1083105B" w14:textId="6B925030" w:rsidR="00200214" w:rsidRDefault="00200214" w:rsidP="0072325A">
      <w:pPr>
        <w:pStyle w:val="Paragraph"/>
      </w:pPr>
      <w:r>
        <w:t xml:space="preserve">Figures </w:t>
      </w:r>
      <w:r w:rsidR="004E666A">
        <w:t>4</w:t>
      </w:r>
      <w:r>
        <w:t xml:space="preserve"> </w:t>
      </w:r>
      <w:r w:rsidR="001C4A95" w:rsidRPr="003059BA">
        <w:t>(a–</w:t>
      </w:r>
      <w:r w:rsidR="00EE69E9">
        <w:t>b</w:t>
      </w:r>
      <w:r w:rsidR="001C4A95" w:rsidRPr="003059BA">
        <w:t xml:space="preserve">) illustrate the diurnal profiles of </w:t>
      </w:r>
      <w:proofErr w:type="spellStart"/>
      <w:r w:rsidR="00EE69E9" w:rsidRPr="003059BA">
        <w:t>I</w:t>
      </w:r>
      <w:r w:rsidR="00EE69E9" w:rsidRPr="003059BA">
        <w:rPr>
          <w:vertAlign w:val="subscript"/>
        </w:rPr>
        <w:t>sc</w:t>
      </w:r>
      <w:proofErr w:type="spellEnd"/>
      <w:r w:rsidR="00EE69E9" w:rsidRPr="003059BA">
        <w:t xml:space="preserve"> and </w:t>
      </w:r>
      <w:r w:rsidR="00420F99" w:rsidRPr="003059BA">
        <w:t>V</w:t>
      </w:r>
      <w:r w:rsidR="00420F99" w:rsidRPr="003059BA">
        <w:rPr>
          <w:vertAlign w:val="subscript"/>
        </w:rPr>
        <w:t>oc</w:t>
      </w:r>
      <w:r w:rsidR="00420F99" w:rsidRPr="003059BA">
        <w:t xml:space="preserve"> </w:t>
      </w:r>
      <w:r w:rsidR="001C4A95" w:rsidRPr="003059BA">
        <w:t xml:space="preserve">for the photovoltaic (PV) system, measured hourly from 6 AM to 6 PM during March–June, the peak hot season in Maroua, Cameroon. Both parameters exhibit a solar-driven pattern: rising post-sunrise, peaking midday, and declining toward sunset, in direct alignment with irradiance variations. </w:t>
      </w:r>
      <w:r w:rsidR="00420F99" w:rsidRPr="003059BA">
        <w:t>V</w:t>
      </w:r>
      <w:r w:rsidR="00420F99" w:rsidRPr="003059BA">
        <w:rPr>
          <w:vertAlign w:val="subscript"/>
        </w:rPr>
        <w:t>oc</w:t>
      </w:r>
      <w:r w:rsidR="00420F99" w:rsidRPr="003059BA">
        <w:t xml:space="preserve"> </w:t>
      </w:r>
      <w:r w:rsidR="001C4A95" w:rsidRPr="003059BA">
        <w:t xml:space="preserve">initiates low near dawn (6 AM), rises sharply in the early morning, and attains maxima of 19-20 V between 8 and 10 AM. It remains relatively stable through midday, albeit with a subtle decline attributable to rising module temperatures, before gradually decreasing to early-morning levels by 6 PM. This consistent peak range across </w:t>
      </w:r>
      <w:proofErr w:type="gramStart"/>
      <w:r w:rsidR="001C4A95" w:rsidRPr="003059BA">
        <w:t>months,</w:t>
      </w:r>
      <w:proofErr w:type="gramEnd"/>
      <w:r w:rsidR="001C4A95" w:rsidRPr="003059BA">
        <w:t xml:space="preserve"> underscores voltage stability, tempered by thermal effects.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476"/>
      </w:tblGrid>
      <w:tr w:rsidR="00200214" w:rsidRPr="003059BA" w14:paraId="3AFA1E12" w14:textId="77777777" w:rsidTr="009D248F">
        <w:tc>
          <w:tcPr>
            <w:tcW w:w="4476" w:type="dxa"/>
          </w:tcPr>
          <w:p w14:paraId="68AFE1B0" w14:textId="77777777" w:rsidR="00200214" w:rsidRPr="003059BA" w:rsidRDefault="00200214" w:rsidP="009D248F">
            <w:pPr>
              <w:pStyle w:val="Paragraph"/>
              <w:ind w:firstLine="0"/>
              <w:jc w:val="center"/>
            </w:pPr>
            <w:r w:rsidRPr="00EE69E9">
              <w:rPr>
                <w:noProof/>
                <w:lang w:val="fr-FR" w:eastAsia="fr-FR"/>
              </w:rPr>
              <w:drawing>
                <wp:inline distT="0" distB="0" distL="0" distR="0" wp14:anchorId="1066E2D9" wp14:editId="5619553B">
                  <wp:extent cx="2700000" cy="1557748"/>
                  <wp:effectExtent l="0" t="0" r="571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0000" cy="1557748"/>
                          </a:xfrm>
                          <a:prstGeom prst="rect">
                            <a:avLst/>
                          </a:prstGeom>
                          <a:noFill/>
                          <a:ln>
                            <a:noFill/>
                          </a:ln>
                        </pic:spPr>
                      </pic:pic>
                    </a:graphicData>
                  </a:graphic>
                </wp:inline>
              </w:drawing>
            </w:r>
          </w:p>
        </w:tc>
        <w:tc>
          <w:tcPr>
            <w:tcW w:w="4476" w:type="dxa"/>
          </w:tcPr>
          <w:p w14:paraId="3E721E1D" w14:textId="77777777" w:rsidR="00200214" w:rsidRPr="003059BA" w:rsidRDefault="00200214" w:rsidP="009D248F">
            <w:pPr>
              <w:pStyle w:val="Paragraph"/>
              <w:ind w:firstLine="0"/>
              <w:jc w:val="center"/>
            </w:pPr>
            <w:r w:rsidRPr="00EE69E9">
              <w:rPr>
                <w:noProof/>
                <w:lang w:val="fr-FR" w:eastAsia="fr-FR"/>
              </w:rPr>
              <w:drawing>
                <wp:inline distT="0" distB="0" distL="0" distR="0" wp14:anchorId="24E78D54" wp14:editId="6225A1A3">
                  <wp:extent cx="2700000" cy="1557748"/>
                  <wp:effectExtent l="0" t="0" r="571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0000" cy="1557748"/>
                          </a:xfrm>
                          <a:prstGeom prst="rect">
                            <a:avLst/>
                          </a:prstGeom>
                          <a:noFill/>
                          <a:ln>
                            <a:noFill/>
                          </a:ln>
                        </pic:spPr>
                      </pic:pic>
                    </a:graphicData>
                  </a:graphic>
                </wp:inline>
              </w:drawing>
            </w:r>
          </w:p>
        </w:tc>
      </w:tr>
      <w:tr w:rsidR="00200214" w:rsidRPr="003059BA" w14:paraId="71E284E2" w14:textId="77777777" w:rsidTr="009D248F">
        <w:tc>
          <w:tcPr>
            <w:tcW w:w="4476" w:type="dxa"/>
          </w:tcPr>
          <w:p w14:paraId="286062B8" w14:textId="77777777" w:rsidR="00200214" w:rsidRPr="003059BA" w:rsidRDefault="00200214" w:rsidP="009D248F">
            <w:pPr>
              <w:pStyle w:val="Paragraph"/>
              <w:ind w:firstLine="0"/>
              <w:jc w:val="center"/>
            </w:pPr>
            <w:r w:rsidRPr="003059BA">
              <w:t>(a)</w:t>
            </w:r>
          </w:p>
        </w:tc>
        <w:tc>
          <w:tcPr>
            <w:tcW w:w="4476" w:type="dxa"/>
          </w:tcPr>
          <w:p w14:paraId="14B7FFF1" w14:textId="77777777" w:rsidR="00200214" w:rsidRPr="003059BA" w:rsidRDefault="00200214" w:rsidP="009D248F">
            <w:pPr>
              <w:pStyle w:val="Paragraph"/>
              <w:ind w:firstLine="0"/>
              <w:jc w:val="center"/>
            </w:pPr>
            <w:r w:rsidRPr="003059BA">
              <w:t>(b)</w:t>
            </w:r>
          </w:p>
        </w:tc>
      </w:tr>
    </w:tbl>
    <w:p w14:paraId="1A10C51E" w14:textId="6DE09A1A" w:rsidR="00200214" w:rsidRPr="003059BA" w:rsidRDefault="00200214" w:rsidP="00200214">
      <w:pPr>
        <w:pStyle w:val="FigureCaption"/>
      </w:pPr>
      <w:r w:rsidRPr="003059BA">
        <w:rPr>
          <w:b/>
          <w:caps/>
        </w:rPr>
        <w:t xml:space="preserve">Figure </w:t>
      </w:r>
      <w:r w:rsidR="004E666A">
        <w:rPr>
          <w:b/>
          <w:caps/>
        </w:rPr>
        <w:t>4</w:t>
      </w:r>
      <w:r w:rsidRPr="003059BA">
        <w:rPr>
          <w:b/>
          <w:caps/>
        </w:rPr>
        <w:t>.</w:t>
      </w:r>
      <w:r w:rsidRPr="003059BA">
        <w:t xml:space="preserve"> Diurnal variations of (</w:t>
      </w:r>
      <w:r>
        <w:t>a</w:t>
      </w:r>
      <w:r w:rsidRPr="003059BA">
        <w:t>)</w:t>
      </w:r>
      <w:r>
        <w:t xml:space="preserve"> </w:t>
      </w:r>
      <w:proofErr w:type="spellStart"/>
      <w:r w:rsidRPr="003059BA">
        <w:rPr>
          <w:rFonts w:eastAsia="SimSun"/>
          <w:bCs/>
        </w:rPr>
        <w:t>I</w:t>
      </w:r>
      <w:r w:rsidRPr="003059BA">
        <w:rPr>
          <w:rFonts w:eastAsia="SimSun"/>
          <w:bCs/>
          <w:vertAlign w:val="subscript"/>
        </w:rPr>
        <w:t>sc</w:t>
      </w:r>
      <w:proofErr w:type="spellEnd"/>
      <w:r w:rsidRPr="003059BA">
        <w:t xml:space="preserve"> </w:t>
      </w:r>
      <w:r>
        <w:t xml:space="preserve">and </w:t>
      </w:r>
      <w:r w:rsidRPr="003059BA">
        <w:t>(</w:t>
      </w:r>
      <w:r>
        <w:t>b</w:t>
      </w:r>
      <w:r w:rsidRPr="003059BA">
        <w:t>)</w:t>
      </w:r>
      <w:r>
        <w:t xml:space="preserve"> </w:t>
      </w:r>
      <w:r w:rsidRPr="003059BA">
        <w:rPr>
          <w:rFonts w:eastAsia="SimSun"/>
          <w:bCs/>
        </w:rPr>
        <w:t>V</w:t>
      </w:r>
      <w:r w:rsidRPr="003059BA">
        <w:rPr>
          <w:rFonts w:eastAsia="SimSun"/>
          <w:bCs/>
          <w:vertAlign w:val="subscript"/>
        </w:rPr>
        <w:t>oc</w:t>
      </w:r>
      <w:r w:rsidRPr="003059BA">
        <w:rPr>
          <w:rFonts w:eastAsia="SimSun"/>
          <w:bCs/>
        </w:rPr>
        <w:t xml:space="preserve"> </w:t>
      </w:r>
      <w:r w:rsidRPr="003059BA">
        <w:t>from 6 AM to 6 PM across March-June</w:t>
      </w:r>
      <w:r w:rsidR="0072325A">
        <w:t>.</w:t>
      </w:r>
      <w:r w:rsidRPr="003059BA">
        <w:t xml:space="preserve"> </w:t>
      </w:r>
    </w:p>
    <w:p w14:paraId="444E9C1D" w14:textId="77777777" w:rsidR="00200214" w:rsidRDefault="00200214" w:rsidP="001C4A95">
      <w:pPr>
        <w:pStyle w:val="Paragraph"/>
        <w:ind w:firstLine="0"/>
      </w:pPr>
    </w:p>
    <w:p w14:paraId="5F131911" w14:textId="785086C1" w:rsidR="001C4A95" w:rsidRPr="003059BA" w:rsidRDefault="001C4A95" w:rsidP="0072325A">
      <w:pPr>
        <w:pStyle w:val="Paragraph"/>
        <w:rPr>
          <w:b/>
          <w:bCs/>
        </w:rPr>
      </w:pPr>
      <w:r w:rsidRPr="003059BA">
        <w:t xml:space="preserve">In contrast, </w:t>
      </w:r>
      <w:proofErr w:type="spellStart"/>
      <w:r w:rsidR="00782A57" w:rsidRPr="003059BA">
        <w:t>I</w:t>
      </w:r>
      <w:r w:rsidR="00782A57" w:rsidRPr="003059BA">
        <w:rPr>
          <w:vertAlign w:val="subscript"/>
        </w:rPr>
        <w:t>sc</w:t>
      </w:r>
      <w:proofErr w:type="spellEnd"/>
      <w:r w:rsidR="00782A57" w:rsidRPr="003059BA">
        <w:t xml:space="preserve"> </w:t>
      </w:r>
      <w:r w:rsidRPr="003059BA">
        <w:t xml:space="preserve">commences near zero at sunrise, escalates progressively with irradiance, and reaches maxima around 11 AM–noon (2.2 A in March, increasing to 2.8-3.0 A by June), reflecting enhanced solar intensity and daylight duration. Afternoon values taper symmetrically. Month-specific </w:t>
      </w:r>
      <w:r w:rsidR="00EE69E9">
        <w:t>trends reveal nuances: In March</w:t>
      </w:r>
      <w:r w:rsidRPr="003059BA">
        <w:t xml:space="preserve">, </w:t>
      </w:r>
      <w:r w:rsidR="00420F99" w:rsidRPr="003059BA">
        <w:t>V</w:t>
      </w:r>
      <w:r w:rsidR="00420F99" w:rsidRPr="003059BA">
        <w:rPr>
          <w:vertAlign w:val="subscript"/>
        </w:rPr>
        <w:t>oc</w:t>
      </w:r>
      <w:r w:rsidR="00420F99" w:rsidRPr="003059BA">
        <w:t xml:space="preserve"> </w:t>
      </w:r>
      <w:r w:rsidRPr="003059BA">
        <w:t xml:space="preserve">stabilizes at 20 V until 2 PM, with </w:t>
      </w:r>
      <w:proofErr w:type="spellStart"/>
      <w:r w:rsidR="00782A57" w:rsidRPr="003059BA">
        <w:t>I</w:t>
      </w:r>
      <w:r w:rsidR="00782A57" w:rsidRPr="003059BA">
        <w:rPr>
          <w:vertAlign w:val="subscript"/>
        </w:rPr>
        <w:t>sc</w:t>
      </w:r>
      <w:proofErr w:type="spellEnd"/>
      <w:r w:rsidR="00782A57" w:rsidRPr="003059BA">
        <w:t xml:space="preserve"> </w:t>
      </w:r>
      <w:r w:rsidRPr="003059BA">
        <w:t xml:space="preserve">forming a symmetric bell curve peaking at 2.2 A. April maintains </w:t>
      </w:r>
      <w:r w:rsidR="00420F99" w:rsidRPr="003059BA">
        <w:t>V</w:t>
      </w:r>
      <w:r w:rsidR="00420F99" w:rsidRPr="003059BA">
        <w:rPr>
          <w:vertAlign w:val="subscript"/>
        </w:rPr>
        <w:t>oc</w:t>
      </w:r>
      <w:r w:rsidR="00420F99" w:rsidRPr="003059BA">
        <w:t xml:space="preserve"> </w:t>
      </w:r>
      <w:r w:rsidRPr="003059BA">
        <w:t xml:space="preserve">at 20 V while elevating </w:t>
      </w:r>
      <w:proofErr w:type="spellStart"/>
      <w:r w:rsidR="00782A57" w:rsidRPr="003059BA">
        <w:t>I</w:t>
      </w:r>
      <w:r w:rsidR="00782A57" w:rsidRPr="003059BA">
        <w:rPr>
          <w:vertAlign w:val="subscript"/>
        </w:rPr>
        <w:t>sc</w:t>
      </w:r>
      <w:proofErr w:type="spellEnd"/>
      <w:r w:rsidR="00782A57" w:rsidRPr="003059BA">
        <w:t xml:space="preserve"> </w:t>
      </w:r>
      <w:r w:rsidRPr="003059BA">
        <w:t xml:space="preserve">to 2.8 A under intensified irradiance. May shows </w:t>
      </w:r>
      <w:r w:rsidR="00420F99" w:rsidRPr="003059BA">
        <w:t>V</w:t>
      </w:r>
      <w:r w:rsidR="00420F99" w:rsidRPr="003059BA">
        <w:rPr>
          <w:vertAlign w:val="subscript"/>
        </w:rPr>
        <w:t>oc</w:t>
      </w:r>
      <w:r w:rsidR="00420F99" w:rsidRPr="003059BA">
        <w:t xml:space="preserve"> </w:t>
      </w:r>
      <w:r w:rsidRPr="003059BA">
        <w:t xml:space="preserve">slightly below 20 V with a broadened </w:t>
      </w:r>
      <w:proofErr w:type="spellStart"/>
      <w:r w:rsidR="00782A57" w:rsidRPr="003059BA">
        <w:t>I</w:t>
      </w:r>
      <w:r w:rsidR="00782A57" w:rsidRPr="003059BA">
        <w:rPr>
          <w:vertAlign w:val="subscript"/>
        </w:rPr>
        <w:t>sc</w:t>
      </w:r>
      <w:proofErr w:type="spellEnd"/>
      <w:r w:rsidR="00782A57" w:rsidRPr="003059BA">
        <w:t xml:space="preserve"> </w:t>
      </w:r>
      <w:r w:rsidRPr="003059BA">
        <w:t xml:space="preserve">profile, indicating prolonged high-output periods. June features an early </w:t>
      </w:r>
      <w:r w:rsidR="00420F99" w:rsidRPr="003059BA">
        <w:t>V</w:t>
      </w:r>
      <w:r w:rsidR="00420F99" w:rsidRPr="003059BA">
        <w:rPr>
          <w:vertAlign w:val="subscript"/>
        </w:rPr>
        <w:t>oc</w:t>
      </w:r>
      <w:r w:rsidR="00420F99" w:rsidRPr="003059BA">
        <w:t xml:space="preserve"> </w:t>
      </w:r>
      <w:r w:rsidRPr="003059BA">
        <w:t xml:space="preserve">peak of 22 V followed by a minor midday dip (temperature-induced), alongside the highest </w:t>
      </w:r>
      <w:proofErr w:type="spellStart"/>
      <w:r w:rsidR="00782A57" w:rsidRPr="003059BA">
        <w:t>I</w:t>
      </w:r>
      <w:r w:rsidR="00782A57" w:rsidRPr="003059BA">
        <w:rPr>
          <w:vertAlign w:val="subscript"/>
        </w:rPr>
        <w:t>sc</w:t>
      </w:r>
      <w:proofErr w:type="spellEnd"/>
      <w:r w:rsidR="00782A57" w:rsidRPr="003059BA">
        <w:t xml:space="preserve"> </w:t>
      </w:r>
      <w:r w:rsidRPr="003059BA">
        <w:t xml:space="preserve">of 3.0 A. These observations conform to established PV behavior: </w:t>
      </w:r>
      <w:r w:rsidR="00420F99" w:rsidRPr="003059BA">
        <w:t>V</w:t>
      </w:r>
      <w:r w:rsidR="00420F99" w:rsidRPr="003059BA">
        <w:rPr>
          <w:vertAlign w:val="subscript"/>
        </w:rPr>
        <w:t>oc</w:t>
      </w:r>
      <w:r w:rsidR="00420F99" w:rsidRPr="003059BA">
        <w:t xml:space="preserve"> </w:t>
      </w:r>
      <w:r w:rsidRPr="003059BA">
        <w:t xml:space="preserve">exhibits a modest midday reduction due to the negative temperature coefficient of silicon cells, while </w:t>
      </w:r>
      <w:proofErr w:type="spellStart"/>
      <w:r w:rsidR="00782A57" w:rsidRPr="003059BA">
        <w:t>I</w:t>
      </w:r>
      <w:r w:rsidR="00782A57" w:rsidRPr="003059BA">
        <w:rPr>
          <w:vertAlign w:val="subscript"/>
        </w:rPr>
        <w:t>sc</w:t>
      </w:r>
      <w:proofErr w:type="spellEnd"/>
      <w:r w:rsidR="00782A57" w:rsidRPr="003059BA">
        <w:t xml:space="preserve"> </w:t>
      </w:r>
      <w:r w:rsidRPr="003059BA">
        <w:t xml:space="preserve">faithfully tracks irradiance. The progressive monthly escalation in </w:t>
      </w:r>
      <w:proofErr w:type="spellStart"/>
      <w:r w:rsidR="00782A57" w:rsidRPr="003059BA">
        <w:t>I</w:t>
      </w:r>
      <w:r w:rsidR="00782A57" w:rsidRPr="003059BA">
        <w:rPr>
          <w:vertAlign w:val="subscript"/>
        </w:rPr>
        <w:t>sc</w:t>
      </w:r>
      <w:proofErr w:type="spellEnd"/>
      <w:r w:rsidR="00782A57" w:rsidRPr="003059BA">
        <w:t xml:space="preserve"> </w:t>
      </w:r>
      <w:r w:rsidRPr="003059BA">
        <w:t xml:space="preserve">highlights seasonal solar gains; however, thermal stress attenuates </w:t>
      </w:r>
      <w:r w:rsidR="00420F99" w:rsidRPr="003059BA">
        <w:lastRenderedPageBreak/>
        <w:t>V</w:t>
      </w:r>
      <w:r w:rsidR="00420F99" w:rsidRPr="003059BA">
        <w:rPr>
          <w:vertAlign w:val="subscript"/>
        </w:rPr>
        <w:t>oc</w:t>
      </w:r>
      <w:r w:rsidRPr="003059BA">
        <w:t>, thereby constraining maximum power output during peak irradiance. In Maroua</w:t>
      </w:r>
      <w:r w:rsidR="00782A57" w:rsidRPr="003059BA">
        <w:t>’</w:t>
      </w:r>
      <w:r w:rsidRPr="003059BA">
        <w:t>s extreme climate, this interplay exemplifies heat-induced performance losses, emphasizing the imperative for temperature-resilient PV technologies to optimize yield in the Far North Region of Cameroon.</w:t>
      </w:r>
    </w:p>
    <w:p w14:paraId="3E3F05E5" w14:textId="3619849F" w:rsidR="001C4A95" w:rsidRPr="003059BA" w:rsidRDefault="001C4A95" w:rsidP="001C4A95">
      <w:pPr>
        <w:pStyle w:val="Heading2"/>
      </w:pPr>
      <w:r w:rsidRPr="003059BA">
        <w:t xml:space="preserve">Variation of </w:t>
      </w:r>
      <w:proofErr w:type="spellStart"/>
      <w:r w:rsidRPr="003059BA">
        <w:t>of</w:t>
      </w:r>
      <w:proofErr w:type="spellEnd"/>
      <w:r w:rsidRPr="003059BA">
        <w:t xml:space="preserve"> P</w:t>
      </w:r>
      <w:r w:rsidRPr="003059BA">
        <w:rPr>
          <w:vertAlign w:val="subscript"/>
        </w:rPr>
        <w:t>max</w:t>
      </w:r>
      <w:r w:rsidRPr="003059BA">
        <w:t xml:space="preserve"> and </w:t>
      </w:r>
      <w:proofErr w:type="spellStart"/>
      <w:r w:rsidRPr="003059BA">
        <w:t>T</w:t>
      </w:r>
      <w:r w:rsidRPr="003059BA">
        <w:rPr>
          <w:vertAlign w:val="subscript"/>
        </w:rPr>
        <w:t>mod</w:t>
      </w:r>
      <w:proofErr w:type="spellEnd"/>
      <w:r w:rsidRPr="003059BA">
        <w:t xml:space="preserve">  </w:t>
      </w:r>
    </w:p>
    <w:p w14:paraId="6A28C53C" w14:textId="4DA42A8B" w:rsidR="001C4A95" w:rsidRDefault="001C4A95" w:rsidP="0072325A">
      <w:pPr>
        <w:pStyle w:val="Paragraph"/>
      </w:pPr>
      <w:r w:rsidRPr="003059BA">
        <w:t xml:space="preserve">Figures </w:t>
      </w:r>
      <w:r w:rsidR="004E666A">
        <w:t>5</w:t>
      </w:r>
      <w:r w:rsidRPr="003059BA">
        <w:t xml:space="preserve"> (a–</w:t>
      </w:r>
      <w:r w:rsidR="004E666A">
        <w:t>b</w:t>
      </w:r>
      <w:r w:rsidRPr="003059BA">
        <w:t>) delineate the diurnal profiles of P</w:t>
      </w:r>
      <w:r w:rsidRPr="003059BA">
        <w:rPr>
          <w:vertAlign w:val="subscript"/>
        </w:rPr>
        <w:t>max</w:t>
      </w:r>
      <w:r w:rsidRPr="003059BA">
        <w:t xml:space="preserve"> and </w:t>
      </w:r>
      <w:proofErr w:type="spellStart"/>
      <w:r w:rsidRPr="003059BA">
        <w:t>T</w:t>
      </w:r>
      <w:r w:rsidRPr="003059BA">
        <w:rPr>
          <w:vertAlign w:val="subscript"/>
        </w:rPr>
        <w:t>mod</w:t>
      </w:r>
      <w:proofErr w:type="spellEnd"/>
      <w:r w:rsidRPr="003059BA">
        <w:t xml:space="preserve"> for the photovoltaic (PV) system, recorded hourly from 6 AM to 6 PM during March–June, the zenith of thermal extremes in Maroua, Cameroon. </w:t>
      </w:r>
      <w:proofErr w:type="spellStart"/>
      <w:r w:rsidRPr="003059BA">
        <w:t>T</w:t>
      </w:r>
      <w:r w:rsidRPr="003059BA">
        <w:rPr>
          <w:vertAlign w:val="subscript"/>
        </w:rPr>
        <w:t>mod</w:t>
      </w:r>
      <w:proofErr w:type="spellEnd"/>
      <w:r w:rsidRPr="003059BA">
        <w:t xml:space="preserve"> exhibits a pronounced solar-correlated ascent, initiating at 30-40°C near dawn, escalating to peaks of 55-67°C between 12 and 2 PM, and subsiding toward evening. April records the apex at 67°C, contrasting March</w:t>
      </w:r>
      <w:r w:rsidR="00782A57" w:rsidRPr="003059BA">
        <w:t>’</w:t>
      </w:r>
      <w:r w:rsidRPr="003059BA">
        <w:t>s nadir of 57°C, underscoring escalating seasonal heat.</w:t>
      </w:r>
      <w:r w:rsidR="00366A49" w:rsidRPr="003059BA">
        <w:t xml:space="preserve"> </w:t>
      </w:r>
      <w:r w:rsidRPr="003059BA">
        <w:t>P</w:t>
      </w:r>
      <w:r w:rsidRPr="003059BA">
        <w:rPr>
          <w:vertAlign w:val="subscript"/>
        </w:rPr>
        <w:t>max</w:t>
      </w:r>
      <w:r w:rsidRPr="003059BA">
        <w:t xml:space="preserve"> traces a canonical bell-shaped trajectory: near-zero at 6 AM, culminating midday, and reverting to baseline by 6 PM. Peak values ascend from 32 W in March to 40-41 W in April-June, though June displays volatility, including a transient dip around 9-10 AM before recovering.</w:t>
      </w:r>
      <w:r w:rsidR="00366A49" w:rsidRPr="003059BA">
        <w:t xml:space="preserve"> </w:t>
      </w:r>
      <w:r w:rsidRPr="003059BA">
        <w:t xml:space="preserve">A pivotal inverse correlation </w:t>
      </w:r>
      <w:proofErr w:type="gramStart"/>
      <w:r w:rsidRPr="003059BA">
        <w:t>emerges:</w:t>
      </w:r>
      <w:proofErr w:type="gramEnd"/>
      <w:r w:rsidRPr="003059BA">
        <w:t xml:space="preserve"> while </w:t>
      </w:r>
      <w:proofErr w:type="spellStart"/>
      <w:r w:rsidRPr="003059BA">
        <w:t>T</w:t>
      </w:r>
      <w:r w:rsidRPr="003059BA">
        <w:rPr>
          <w:vertAlign w:val="subscript"/>
        </w:rPr>
        <w:t>mod</w:t>
      </w:r>
      <w:proofErr w:type="spellEnd"/>
      <w:r w:rsidRPr="003059BA">
        <w:t xml:space="preserve"> surges or sustains elevations into early afternoon, P</w:t>
      </w:r>
      <w:r w:rsidRPr="003059BA">
        <w:rPr>
          <w:vertAlign w:val="subscript"/>
        </w:rPr>
        <w:t>max</w:t>
      </w:r>
      <w:r w:rsidRPr="003059BA">
        <w:t xml:space="preserve"> plateaus or attenuates post-noon, exemplifying thermal derating. This attenuation, evident in April and June</w:t>
      </w:r>
      <w:r w:rsidR="00782A57" w:rsidRPr="003059BA">
        <w:t>’</w:t>
      </w:r>
      <w:r w:rsidRPr="003059BA">
        <w:t xml:space="preserve">s fluctuating outputs amid extreme </w:t>
      </w:r>
      <w:proofErr w:type="spellStart"/>
      <w:r w:rsidRPr="003059BA">
        <w:t>T</w:t>
      </w:r>
      <w:r w:rsidRPr="003059BA">
        <w:rPr>
          <w:vertAlign w:val="subscript"/>
        </w:rPr>
        <w:t>mod</w:t>
      </w:r>
      <w:proofErr w:type="spellEnd"/>
      <w:r w:rsidRPr="003059BA">
        <w:t>, aligns with the negative temperature coefficient of silicon PV cells, where efficiency erodes around 0.3-0.5% per °C above 25°C STC. Consequently, peak irradiance coincides with maximal thermal penalties, curtailing energy yield in Maroua</w:t>
      </w:r>
      <w:r w:rsidR="00782A57" w:rsidRPr="003059BA">
        <w:t>’</w:t>
      </w:r>
      <w:r w:rsidRPr="003059BA">
        <w:t>s Sudano-Sahelian furnace. These findings compel advancements in heat-mitigating PV architectures to bolster resilience and efficacy in the Far North Region.</w:t>
      </w:r>
    </w:p>
    <w:p w14:paraId="1E3AE5DA" w14:textId="77777777" w:rsidR="00581065" w:rsidRPr="003059BA" w:rsidRDefault="00581065" w:rsidP="001C4A95">
      <w:pPr>
        <w:pStyle w:val="Paragraph"/>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476"/>
      </w:tblGrid>
      <w:tr w:rsidR="005D6CDD" w:rsidRPr="003059BA" w14:paraId="3C56E9DA" w14:textId="77777777" w:rsidTr="000E3E9B">
        <w:tc>
          <w:tcPr>
            <w:tcW w:w="4476" w:type="dxa"/>
          </w:tcPr>
          <w:p w14:paraId="77553458" w14:textId="7A83E1A7" w:rsidR="001C4A95" w:rsidRPr="003059BA" w:rsidRDefault="000E3E9B" w:rsidP="001C4A95">
            <w:pPr>
              <w:pStyle w:val="Paragraph"/>
              <w:ind w:firstLine="0"/>
              <w:jc w:val="center"/>
            </w:pPr>
            <w:r w:rsidRPr="000E3E9B">
              <w:rPr>
                <w:noProof/>
                <w:lang w:val="fr-FR" w:eastAsia="fr-FR"/>
              </w:rPr>
              <w:drawing>
                <wp:inline distT="0" distB="0" distL="0" distR="0" wp14:anchorId="3109F9E2" wp14:editId="5DF5C519">
                  <wp:extent cx="2700000" cy="1557745"/>
                  <wp:effectExtent l="0" t="0" r="5715" b="444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0000" cy="1557745"/>
                          </a:xfrm>
                          <a:prstGeom prst="rect">
                            <a:avLst/>
                          </a:prstGeom>
                          <a:noFill/>
                          <a:ln>
                            <a:noFill/>
                          </a:ln>
                        </pic:spPr>
                      </pic:pic>
                    </a:graphicData>
                  </a:graphic>
                </wp:inline>
              </w:drawing>
            </w:r>
          </w:p>
        </w:tc>
        <w:tc>
          <w:tcPr>
            <w:tcW w:w="4476" w:type="dxa"/>
          </w:tcPr>
          <w:p w14:paraId="1AC6166C" w14:textId="3451D797" w:rsidR="001C4A95" w:rsidRPr="003059BA" w:rsidRDefault="000E3E9B" w:rsidP="001C4A95">
            <w:pPr>
              <w:pStyle w:val="Paragraph"/>
              <w:ind w:firstLine="0"/>
              <w:jc w:val="center"/>
            </w:pPr>
            <w:r w:rsidRPr="000E3E9B">
              <w:rPr>
                <w:noProof/>
                <w:lang w:val="fr-FR" w:eastAsia="fr-FR"/>
              </w:rPr>
              <w:drawing>
                <wp:inline distT="0" distB="0" distL="0" distR="0" wp14:anchorId="11C48D2F" wp14:editId="57F9FE5B">
                  <wp:extent cx="2700000" cy="1557745"/>
                  <wp:effectExtent l="0" t="0" r="5715" b="444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0000" cy="1557745"/>
                          </a:xfrm>
                          <a:prstGeom prst="rect">
                            <a:avLst/>
                          </a:prstGeom>
                          <a:noFill/>
                          <a:ln>
                            <a:noFill/>
                          </a:ln>
                        </pic:spPr>
                      </pic:pic>
                    </a:graphicData>
                  </a:graphic>
                </wp:inline>
              </w:drawing>
            </w:r>
          </w:p>
        </w:tc>
      </w:tr>
      <w:tr w:rsidR="005D6CDD" w:rsidRPr="003059BA" w14:paraId="33CE07F8" w14:textId="77777777" w:rsidTr="000E3E9B">
        <w:tc>
          <w:tcPr>
            <w:tcW w:w="4476" w:type="dxa"/>
          </w:tcPr>
          <w:p w14:paraId="6D562802" w14:textId="77777777" w:rsidR="001C4A95" w:rsidRPr="003059BA" w:rsidRDefault="001C4A95" w:rsidP="001C4A95">
            <w:pPr>
              <w:pStyle w:val="Paragraph"/>
              <w:ind w:firstLine="0"/>
              <w:jc w:val="center"/>
            </w:pPr>
            <w:r w:rsidRPr="003059BA">
              <w:t>(a)</w:t>
            </w:r>
          </w:p>
        </w:tc>
        <w:tc>
          <w:tcPr>
            <w:tcW w:w="4476" w:type="dxa"/>
          </w:tcPr>
          <w:p w14:paraId="1D49D070" w14:textId="77777777" w:rsidR="001C4A95" w:rsidRPr="003059BA" w:rsidRDefault="001C4A95" w:rsidP="001C4A95">
            <w:pPr>
              <w:pStyle w:val="Paragraph"/>
              <w:ind w:firstLine="0"/>
              <w:jc w:val="center"/>
            </w:pPr>
            <w:r w:rsidRPr="003059BA">
              <w:t>(b)</w:t>
            </w:r>
          </w:p>
        </w:tc>
      </w:tr>
    </w:tbl>
    <w:p w14:paraId="2074A6BE" w14:textId="03413281" w:rsidR="001C4A95" w:rsidRPr="003059BA" w:rsidRDefault="001C4A95" w:rsidP="001C4A95">
      <w:pPr>
        <w:pStyle w:val="FigureCaption"/>
      </w:pPr>
      <w:r w:rsidRPr="003059BA">
        <w:rPr>
          <w:b/>
          <w:caps/>
        </w:rPr>
        <w:t xml:space="preserve">Figure </w:t>
      </w:r>
      <w:r w:rsidR="004E666A">
        <w:rPr>
          <w:b/>
          <w:caps/>
        </w:rPr>
        <w:t>5</w:t>
      </w:r>
      <w:r w:rsidR="00AF7D58" w:rsidRPr="00AF7D58">
        <w:rPr>
          <w:b/>
        </w:rPr>
        <w:t xml:space="preserve"> a, b</w:t>
      </w:r>
      <w:r w:rsidRPr="003059BA">
        <w:rPr>
          <w:b/>
          <w:caps/>
        </w:rPr>
        <w:t>.</w:t>
      </w:r>
      <w:r w:rsidRPr="003059BA">
        <w:t xml:space="preserve"> Diurnal variations of </w:t>
      </w:r>
      <w:r w:rsidRPr="003059BA">
        <w:rPr>
          <w:rFonts w:eastAsia="SimSun"/>
          <w:bCs/>
        </w:rPr>
        <w:t>P</w:t>
      </w:r>
      <w:r w:rsidRPr="003059BA">
        <w:rPr>
          <w:rFonts w:eastAsia="SimSun"/>
          <w:bCs/>
          <w:vertAlign w:val="subscript"/>
        </w:rPr>
        <w:t>max</w:t>
      </w:r>
      <w:r w:rsidRPr="003059BA">
        <w:rPr>
          <w:rFonts w:eastAsia="SimSun"/>
          <w:bCs/>
        </w:rPr>
        <w:t xml:space="preserve"> and </w:t>
      </w:r>
      <w:proofErr w:type="spellStart"/>
      <w:r w:rsidRPr="003059BA">
        <w:rPr>
          <w:rFonts w:eastAsia="SimSun"/>
          <w:bCs/>
        </w:rPr>
        <w:t>T</w:t>
      </w:r>
      <w:r w:rsidRPr="003059BA">
        <w:rPr>
          <w:rFonts w:eastAsia="SimSun"/>
          <w:bCs/>
          <w:vertAlign w:val="subscript"/>
        </w:rPr>
        <w:t>mod</w:t>
      </w:r>
      <w:proofErr w:type="spellEnd"/>
      <w:r w:rsidRPr="003059BA">
        <w:rPr>
          <w:rFonts w:eastAsia="SimSun"/>
          <w:bCs/>
        </w:rPr>
        <w:t xml:space="preserve"> </w:t>
      </w:r>
      <w:r w:rsidRPr="003059BA">
        <w:t>from 6 AM to 6 PM across March-June</w:t>
      </w:r>
      <w:r w:rsidR="0072325A">
        <w:t>.</w:t>
      </w:r>
      <w:r w:rsidRPr="003059BA">
        <w:t xml:space="preserve"> </w:t>
      </w:r>
    </w:p>
    <w:p w14:paraId="21202E1C" w14:textId="6A95B39F" w:rsidR="0072325A" w:rsidRDefault="0072325A" w:rsidP="0072325A">
      <w:pPr>
        <w:pStyle w:val="Heading2"/>
      </w:pPr>
      <w:r w:rsidRPr="0072325A">
        <w:t xml:space="preserve">Comparison of Results on PV Module Efficiency Loss </w:t>
      </w:r>
    </w:p>
    <w:p w14:paraId="37E0F7B1" w14:textId="5E095E4B" w:rsidR="00366A49" w:rsidRPr="0010733C" w:rsidRDefault="0010733C" w:rsidP="0010733C">
      <w:pPr>
        <w:ind w:firstLine="284"/>
        <w:jc w:val="both"/>
        <w:rPr>
          <w:sz w:val="20"/>
        </w:rPr>
      </w:pPr>
      <w:r w:rsidRPr="0010733C">
        <w:rPr>
          <w:sz w:val="20"/>
        </w:rPr>
        <w:t>This comparative analysis of temperature-induced PV efficiency losses across global climates reveals stark regional disparities, emphasizing the critical role of environmental conditions in energy yield. Prior studies report power loss rates ranging from 0.22%/°C in Malaysia’s tropical climate</w:t>
      </w:r>
      <w:r w:rsidRPr="0010733C">
        <w:rPr>
          <w:sz w:val="20"/>
        </w:rPr>
        <w:fldChar w:fldCharType="begin" w:fldLock="1"/>
      </w:r>
      <w:r w:rsidR="0094752B">
        <w:rPr>
          <w:sz w:val="20"/>
        </w:rPr>
        <w:instrText>ADDIN CSL_CITATION {"citationItems":[{"id":"ITEM-1","itemData":{"DOI":"10.1016/J.JCLEPRO.2016.12.029","ISSN":"0959-6526","abstract":"Photovoltaic (PV) modules convert a small portion of solar radiation into electrical energy and convert the rest into heat. As a result, the temperature of these modules is increased and their electrical efficiency is degraded. In this study, the effects of various operating parameters, such as solar cell temperature, irradiation intensity, mass flow rate of cooling water, humidity, and dust, on the output performance of a PV module are investigated under outdoor operating conditions. A finned tube is placed at the bottom of the PV module for cooling. Results show that the electrical efficiency of the module decreases by 5.82% as solar cell temperature increases by 26.10 °C. The electrical efficiency also decreases by approximately 0.22% as the temperature of the PV module increases by 1 °C. As irradiation intensity increases by 100 W/m2, the solar cell temperature increases by 3.82 °C and the output power increases by 3.14 W, but the efficiency decreases by 0.85%. In summary, solar cell temperature, solar irradiation intensity, mass flow rate of cooling fluids, humidity, and dust significantly affect the performance of PV modules.","author":[{"dropping-particle":"","family":"Rahman","given":"Mohammad Mafizur","non-dropping-particle":"","parse-names":false,"suffix":""},{"dropping-particle":"","family":"Hasanuzzaman","given":"Md","non-dropping-particle":"","parse-names":false,"suffix":""},{"dropping-particle":"","family":"Rahim","given":"Nasrudin Abd","non-dropping-particle":"","parse-names":false,"suffix":""}],"container-title":"Journal of Cleaner Production","id":"ITEM-1","issued":{"date-parts":[["2017","2","1"]]},"page":"912-924","publisher":"Elsevier","title":"Effects of operational conditions on the energy efficiency of photovoltaic modules operating in Malaysia","type":"article-journal","volume":"143"},"uris":["http://www.mendeley.com/documents/?uuid=d40d6eb3-535e-3a35-86d5-3525a53a26d7"]}],"mendeley":{"formattedCitation":"&lt;sup&gt;11&lt;/sup&gt;","plainTextFormattedCitation":"11","previouslyFormattedCitation":"&lt;sup&gt;11&lt;/sup&gt;"},"properties":{"noteIndex":0},"schema":"https://github.com/citation-style-language/schema/raw/master/csl-citation.json"}</w:instrText>
      </w:r>
      <w:r w:rsidRPr="0010733C">
        <w:rPr>
          <w:sz w:val="20"/>
        </w:rPr>
        <w:fldChar w:fldCharType="separate"/>
      </w:r>
      <w:r w:rsidR="0094752B" w:rsidRPr="0094752B">
        <w:rPr>
          <w:noProof/>
          <w:sz w:val="20"/>
          <w:vertAlign w:val="superscript"/>
        </w:rPr>
        <w:t>11</w:t>
      </w:r>
      <w:r w:rsidRPr="0010733C">
        <w:rPr>
          <w:sz w:val="20"/>
        </w:rPr>
        <w:fldChar w:fldCharType="end"/>
      </w:r>
      <w:r w:rsidRPr="0010733C">
        <w:rPr>
          <w:sz w:val="20"/>
        </w:rPr>
        <w:t xml:space="preserve"> to 0.9%/°C in </w:t>
      </w:r>
      <w:proofErr w:type="spellStart"/>
      <w:r w:rsidRPr="0010733C">
        <w:rPr>
          <w:sz w:val="20"/>
        </w:rPr>
        <w:t>Biskra</w:t>
      </w:r>
      <w:proofErr w:type="spellEnd"/>
      <w:r w:rsidRPr="0010733C">
        <w:rPr>
          <w:sz w:val="20"/>
        </w:rPr>
        <w:t>, Algeria’s arid Saharan environment</w:t>
      </w:r>
      <w:r w:rsidRPr="0010733C">
        <w:rPr>
          <w:sz w:val="20"/>
        </w:rPr>
        <w:fldChar w:fldCharType="begin" w:fldLock="1"/>
      </w:r>
      <w:r w:rsidR="0094752B">
        <w:rPr>
          <w:sz w:val="20"/>
        </w:rPr>
        <w:instrText>ADDIN CSL_CITATION {"citationItems":[{"id":"ITEM-1","itemData":{"DOI":"10.1007/978-3-642-36645-1_78","ISBN":"9783642366444","ISSN":"21903018","abstract":"Silicon solar cells are widely used in the Photovoltaic (PV) industry. The silicon PV electrical performance is described by its current-voltage (I-V) characteristic, which is a function of the device used and material properties.The PV cell efficiency is strongly temperature dependent. This work studies the electric performance of a polycrystalline Si solar panel under different atmospheric conditions by using thermographic images. The PV performance study is carried out as function of the junction temperature and solar insolation. An infrared analysis as close to the junction temperature has allowed measurements of the cells surface temperature in order to increase the measurement accuracy and to make a reliable assessment of the PV module performance. © Springer-Verlag Berlin Heidelberg 2013.","author":[{"dropping-particle":"","family":"Fares","given":"Zaoui","non-dropping-particle":"","parse-names":false,"suffix":""},{"dropping-particle":"","family":"Becherif","given":"Mohamed","non-dropping-particle":"","parse-names":false,"suffix":""},{"dropping-particle":"","family":"Emziane","given":"Mahieddine","non-dropping-particle":"","parse-names":false,"suffix":""},{"dropping-particle":"","family":"Aboubou","given":"Abdennacer","non-dropping-particle":"","parse-names":false,"suffix":""},{"dropping-particle":"","family":"Azzem","given":"Soufiane Mebarek","non-dropping-particle":"","parse-names":false,"suffix":""}],"container-title":"Smart Innovation, Systems and Technologies","id":"ITEM-1","issued":{"date-parts":[["2013"]]},"page":"875-886","title":"Infrared Thermography study of the temperature effect on the performance of photovoltaic cells and panels","type":"article-journal","volume":"22"},"uris":["http://www.mendeley.com/documents/?uuid=7ea35a5d-d8b1-37dd-bcb6-7d84c08982aa"]}],"mendeley":{"formattedCitation":"&lt;sup&gt;12&lt;/sup&gt;","plainTextFormattedCitation":"12","previouslyFormattedCitation":"&lt;sup&gt;12&lt;/sup&gt;"},"properties":{"noteIndex":0},"schema":"https://github.com/citation-style-language/schema/raw/master/csl-citation.json"}</w:instrText>
      </w:r>
      <w:r w:rsidRPr="0010733C">
        <w:rPr>
          <w:sz w:val="20"/>
        </w:rPr>
        <w:fldChar w:fldCharType="separate"/>
      </w:r>
      <w:r w:rsidR="0094752B" w:rsidRPr="0094752B">
        <w:rPr>
          <w:noProof/>
          <w:sz w:val="20"/>
          <w:vertAlign w:val="superscript"/>
        </w:rPr>
        <w:t>12</w:t>
      </w:r>
      <w:r w:rsidRPr="0010733C">
        <w:rPr>
          <w:sz w:val="20"/>
        </w:rPr>
        <w:fldChar w:fldCharType="end"/>
      </w:r>
      <w:r w:rsidRPr="0010733C">
        <w:rPr>
          <w:sz w:val="20"/>
        </w:rPr>
        <w:t>, with intermediate values in Djibouti (0.7%/°C;</w:t>
      </w:r>
      <w:r w:rsidRPr="0010733C">
        <w:rPr>
          <w:sz w:val="20"/>
        </w:rPr>
        <w:fldChar w:fldCharType="begin" w:fldLock="1"/>
      </w:r>
      <w:r w:rsidR="0094752B">
        <w:rPr>
          <w:sz w:val="20"/>
        </w:rPr>
        <w:instrText>ADDIN CSL_CITATION {"citationItems":[{"id":"ITEM-1","itemData":{"DOI":"10.1016/J.RENENE.2018.03.013","ISSN":"0960-1481","abstract":"This paper provides experimental results on the performance of a grid-connected PV power plant operating under dusty, desert maritime climate conditions using data from the first installation of its kind in Djibouti. The first 4 years of operation were evaluated in terms of IEC 61724 measures, and the impact of climate factors was estimated using a novel combination of analysis techniques. The monthly average daily array yield and final yield were 5.1 kWh/kWp and 4.7 kWh/kWp, respectively. The average performance ratio for respective PV arrays and the global grid-connected system were 90% and 84%, corresponding to monthly average daily PV module and system efficiencies of 12.68% and 11.75%. The seasonal variation in PV module efficiency was found to follow a funnel-shape with a sharp minimum centred on July. The impact of ambient temperature and soiling-induced losses were evaluated, revealing a reduction in the performance ratio by 0.7% for each 1 °C rise in daily ambient temperature. Losses due to soiling varied from 0.03% following rainfall events, to 14.23% during dry dusty periods. Finally, to maintain the modules performances losses less than 5%, a cleaning schedule is recommended every two weeks.","author":[{"dropping-particle":"","family":"Daher","given":"Daha Hassan","non-dropping-particle":"","parse-names":false,"suffix":""},{"dropping-particle":"","family":"Gaillard","given":"Léon","non-dropping-particle":"","parse-names":false,"suffix":""},{"dropping-particle":"","family":"Amara","given":"Mohamed","non-dropping-particle":"","parse-names":false,"suffix":""},{"dropping-particle":"","family":"Ménézo","given":"Christophe","non-dropping-particle":"","parse-names":false,"suffix":""}],"container-title":"Renewable Energy","id":"ITEM-1","issued":{"date-parts":[["2018","9","1"]]},"page":"729-737","publisher":"Pergamon","title":"Impact of tropical desert maritime climate on the performance of a PV grid-connected power plant","type":"article-journal","volume":"125"},"uris":["http://www.mendeley.com/documents/?uuid=163c5172-79e9-3fa0-ad87-ebef196b5661"]}],"mendeley":{"formattedCitation":"&lt;sup&gt;13&lt;/sup&gt;","plainTextFormattedCitation":"13","previouslyFormattedCitation":"&lt;sup&gt;13&lt;/sup&gt;"},"properties":{"noteIndex":0},"schema":"https://github.com/citation-style-language/schema/raw/master/csl-citation.json"}</w:instrText>
      </w:r>
      <w:r w:rsidRPr="0010733C">
        <w:rPr>
          <w:sz w:val="20"/>
        </w:rPr>
        <w:fldChar w:fldCharType="separate"/>
      </w:r>
      <w:r w:rsidR="0094752B" w:rsidRPr="0094752B">
        <w:rPr>
          <w:noProof/>
          <w:sz w:val="20"/>
          <w:vertAlign w:val="superscript"/>
        </w:rPr>
        <w:t>13</w:t>
      </w:r>
      <w:r w:rsidRPr="0010733C">
        <w:rPr>
          <w:sz w:val="20"/>
        </w:rPr>
        <w:fldChar w:fldCharType="end"/>
      </w:r>
      <w:r w:rsidRPr="0010733C">
        <w:rPr>
          <w:sz w:val="20"/>
        </w:rPr>
        <w:t>), Europe (0.45%/°C;</w:t>
      </w:r>
      <w:r w:rsidRPr="0010733C">
        <w:rPr>
          <w:sz w:val="20"/>
        </w:rPr>
        <w:fldChar w:fldCharType="begin" w:fldLock="1"/>
      </w:r>
      <w:r w:rsidR="0094752B">
        <w:rPr>
          <w:sz w:val="20"/>
          <w:lang w:val="fr-FR"/>
        </w:rPr>
        <w:instrText xml:space="preserve">ADDIN CSL_CITATION {"citationItems":[{"id":"ITEM-1","itemData":{"DOI":"10.1016/j.joule.2019.03.026","ISSN":"25424351","abstract":"Indoor photovoltaic cells have the potential to power the Internet of Things ecosystem, including distributed and remote sensors, actuators, and communications devices. As the power required to operate these devices continues to decrease, the type and number of nodes that can now be persistently powered by indoor photovoltaic cells are rapidly growing. This will drive significant growth in the demand for indoor photovoltaics, creating a large alternative market for existing and novel photovoltaic technologies. With the re-emergence of interest in indoor photovoltaic cells, we provide an overview of this burgeoning field focusing on the technical challenges that remain to create energy autonomous sensors at viable price points and to overcome the commercial challenges for individual photovoltaic technologies to accelerate their market adoption. The Internet of Things (IoT) ecosystem promises large networks of connected devices collecting the big data upon which our medical, manufacturing, infrastructure, and energy industries will be monitored and optimized. Billions of wireless sensors are expected to be installed over the coming decade, with almost half to be located inside buildings. Currently, the use of batteries to power these devices places significant constraints on their power consumption, where the range and frequency of data transmission are curtailed to achieve sufficient battery life, and the range of applications is also limited to the ones that allow battery replacement. Additional operation and maintenance costs are also incurred by providing replacement batteries. Indoor photovoltaics has the potential to solve these hardware issues, providing greater reliability and operational lifetimes in wireless sensor networks. Persistently powering individual nodes by harvesting ambient light using small </w:instrText>
      </w:r>
      <w:r w:rsidR="0094752B">
        <w:rPr>
          <w:rFonts w:ascii="Cambria Math" w:hAnsi="Cambria Math" w:cs="Cambria Math"/>
          <w:sz w:val="20"/>
          <w:lang w:val="fr-FR"/>
        </w:rPr>
        <w:instrText>∼</w:instrText>
      </w:r>
      <w:r w:rsidR="0094752B">
        <w:rPr>
          <w:sz w:val="20"/>
          <w:lang w:val="fr-FR"/>
        </w:rPr>
        <w:instrText>cm2 photovoltaic cells is becoming possible for more and more wireless technologies and devices. Characterizing IPV cells is a growing research field with the performance of a considerable number of different PV technologies having now been measured under ambient light sources. Given the interest in commercializing different photovoltaic cells in this growing market, we discuss here the outstanding research questions that must be answered by the indoor photovoltaic community to enable self-powered, indoor-located IoT nodes.","author":[{"dropping-particle":"","family":"Mathews","given":"Ian","non-dropping-particle":"","parse-names":false,"suffix":""},{"dropping-particle":"","family":"Kantareddy","given":"Sai Nithin","non-dropping-particle":"","parse-names":false,"suffix":""},{"dropping-particle":"","family":"Buonassisi","given":"Tonio","non-dropping-particle":"","parse-names":false,"suffix":""},{"dropping-particle":"","family":"Peters","given":"Ian Marius","non-dropping-particle":"","parse-names":false,"suffix":""}],"container-title":"Joule","id":"ITEM-1","issue":"6","issued":{"date-parts":[["2019"]]},"page":"1415-1426","title":"Technology and Market Perspective for Indoor Photovoltaic Cells","type":"article","volume":"3"},"uris":["http://www.mendeley.com/documents/?uuid=a08cc298-5224-3fb7-93bd-752603ac6d12"]}],"mendeley":{"formattedCitation":"&lt;sup&gt;14&lt;/sup&gt;","plainTextFormattedCitation":"14","previouslyFormattedCitation":"&lt;sup&gt;14&lt;/sup&gt;"},"properties":{"noteIndex":0},"schema":"https://github.com/citation-style-language/schema/raw/master/csl-citation.json"}</w:instrText>
      </w:r>
      <w:r w:rsidRPr="0010733C">
        <w:rPr>
          <w:sz w:val="20"/>
        </w:rPr>
        <w:fldChar w:fldCharType="separate"/>
      </w:r>
      <w:r w:rsidR="0094752B" w:rsidRPr="0094752B">
        <w:rPr>
          <w:noProof/>
          <w:sz w:val="20"/>
          <w:vertAlign w:val="superscript"/>
          <w:lang w:val="fr-FR"/>
        </w:rPr>
        <w:t>14</w:t>
      </w:r>
      <w:r w:rsidRPr="0010733C">
        <w:rPr>
          <w:sz w:val="20"/>
        </w:rPr>
        <w:fldChar w:fldCharType="end"/>
      </w:r>
      <w:r w:rsidRPr="0010733C">
        <w:rPr>
          <w:sz w:val="20"/>
        </w:rPr>
        <w:t>), and Baghdad (0.45%/°C;</w:t>
      </w:r>
      <w:r w:rsidRPr="0010733C">
        <w:rPr>
          <w:sz w:val="20"/>
        </w:rPr>
        <w:fldChar w:fldCharType="begin" w:fldLock="1"/>
      </w:r>
      <w:r w:rsidR="0094752B">
        <w:rPr>
          <w:sz w:val="20"/>
          <w:lang w:val="fr-FR"/>
        </w:rPr>
        <w:instrText>ADDIN CSL_CITATION {"citationItems":[{"id":"ITEM-1","itemData":{"DOI":"10.14710/ijred.2022.43713","ISSN":"22524940","abstract":"The photovoltaic (PV) panels are expected to be the most important systems to meet global energy demand by converting solar energy into electricity. The main obstacle to the widespread deployment of the PV systems its the limited efficiency, which are greatly affected by the solar radiation and the operating temperature. The full knowledge of the performance, efficiency and output power of photovoltaic modules and the extent of their change with the fluctuations of solar radiation and temperature is necessary to determine the optimal size of the system and avoid the financial risks of the project. This paper investigated numaricaly and experimentaly the influence of operating temperature and solar radiation on the output power and efficiency of polycrystalline PV panels in Baghdad-Iraq. The PVsyst software was used to simulate a model implementing simulation results presented the impact of variations temperature and solar radiation in the curves of I-V, P-V and efficiency. In order to verify the reliability of the simulated results with experimental ones, several measuring devices have been used to conduct field experiments in the outdoor conditions. It were used to determine the characteristics and performance of a 120W polycrystalline PV panel for different ranges of solar radiation and operating temperature. The simulation results showed that the current, voltage, output power and efficiency increased with increasing solar radiation, while they decreased with increasing temperature except the current that was increased. The experimental and simulated results were identical in terms of the effect of temperature and solar radiation on the current, voltage, output power and efficiency of the PV panel. The experimental tests showed t</w:instrText>
      </w:r>
      <w:r w:rsidR="0094752B" w:rsidRPr="0094752B">
        <w:rPr>
          <w:sz w:val="20"/>
        </w:rPr>
        <w:instrText>hat when the temperature is increased by 1°C, the current was increased by about 0.068%, the voltage decreased by 0.34%, the output power decreased by 0.489% and the efficiency decreased about 0.586%. The experimental results displayed that the parameters of the PV panel under real operating conditions behave differently than in the standard test conditions (STC), as they are strongly affected by weather fluctuations in terms of temperature and solar radiation.","author":[{"dropping-particle":"","family":"Al-Ghezi","given":"Moafaq K.S.","non-dropping-particle":"","parse-names":false,"suffix":""},{"dropping-particle":"","family":"Ahmed","given":"Roshen T.","non-dropping-particle":"","parse-names":false,"suffix":""},{"dropping-particle":"","family":"Chaichan","given":"Miqdam Tariq","non-dropping-particle":"","parse-names":false,"suffix":""}],"container-title":"International Journal of Renewable Energy Development","id":"ITEM-1","issue":"2","issued":{"date-parts":[["2022"]]},"page":"501-513","title":"The Influence of Temperature and Irradiance on Performance of the Photovoltaic Panel in the Middle of Iraq","type":"article-journal","volume":"11"},"uris":["http://www.mendeley.com/documents/?uuid=b008220f-95e2-49fc-8c8a-353eadacec7b"]}],"mendeley":{"formattedCitation":"&lt;sup&gt;10&lt;/sup&gt;","plainTextFormattedCitation":"10","previouslyFormattedCitation":"&lt;sup&gt;10&lt;/sup&gt;"},"properties":{"noteIndex":0},"schema":"https://github.com/citation-style-language/schema/raw/master/csl-citation.json"}</w:instrText>
      </w:r>
      <w:r w:rsidRPr="0010733C">
        <w:rPr>
          <w:sz w:val="20"/>
        </w:rPr>
        <w:fldChar w:fldCharType="separate"/>
      </w:r>
      <w:r w:rsidR="0094752B" w:rsidRPr="0094752B">
        <w:rPr>
          <w:noProof/>
          <w:sz w:val="20"/>
          <w:vertAlign w:val="superscript"/>
        </w:rPr>
        <w:t>10</w:t>
      </w:r>
      <w:r w:rsidRPr="0010733C">
        <w:rPr>
          <w:sz w:val="20"/>
        </w:rPr>
        <w:fldChar w:fldCharType="end"/>
      </w:r>
      <w:r w:rsidRPr="0010733C">
        <w:rPr>
          <w:sz w:val="20"/>
        </w:rPr>
        <w:t>). These findings underscore a consistent trend: hotter climates amplify thermal derating, primarily due to elevated module temperatures (</w:t>
      </w:r>
      <w:proofErr w:type="spellStart"/>
      <w:r w:rsidRPr="0010733C">
        <w:rPr>
          <w:sz w:val="20"/>
        </w:rPr>
        <w:t>T</w:t>
      </w:r>
      <w:r w:rsidRPr="0010733C">
        <w:rPr>
          <w:sz w:val="20"/>
          <w:vertAlign w:val="subscript"/>
        </w:rPr>
        <w:t>mod</w:t>
      </w:r>
      <w:proofErr w:type="spellEnd"/>
      <w:r w:rsidRPr="0010733C">
        <w:rPr>
          <w:sz w:val="20"/>
        </w:rPr>
        <w:t xml:space="preserve">) reducing silicon PV efficiency via its negative temperature coefficient of around 0.3 to 0.5%/°C. The present study in Maroua, Cameroon (0.46%/°C), aligns with temperate and Sahelian zones, reflecting its Sudano-Sahelian climate marked by high </w:t>
      </w:r>
      <w:proofErr w:type="gramStart"/>
      <w:r w:rsidRPr="0010733C">
        <w:rPr>
          <w:sz w:val="20"/>
        </w:rPr>
        <w:t>irradiance</w:t>
      </w:r>
      <w:proofErr w:type="gramEnd"/>
      <w:r w:rsidRPr="0010733C">
        <w:rPr>
          <w:sz w:val="20"/>
        </w:rPr>
        <w:t xml:space="preserve"> but moderated temperatures compared to extreme arid regions. Diurnal analysis during March–June reveals synchronized </w:t>
      </w:r>
      <w:proofErr w:type="spellStart"/>
      <w:r w:rsidRPr="0010733C">
        <w:rPr>
          <w:sz w:val="20"/>
        </w:rPr>
        <w:t>T</w:t>
      </w:r>
      <w:r w:rsidRPr="0010733C">
        <w:rPr>
          <w:sz w:val="20"/>
          <w:vertAlign w:val="subscript"/>
        </w:rPr>
        <w:t>mod</w:t>
      </w:r>
      <w:proofErr w:type="spellEnd"/>
      <w:r w:rsidRPr="0010733C">
        <w:rPr>
          <w:sz w:val="20"/>
        </w:rPr>
        <w:t xml:space="preserve"> and power output (P</w:t>
      </w:r>
      <w:r w:rsidRPr="0010733C">
        <w:rPr>
          <w:sz w:val="20"/>
          <w:vertAlign w:val="subscript"/>
        </w:rPr>
        <w:t>max</w:t>
      </w:r>
      <w:r w:rsidRPr="0010733C">
        <w:rPr>
          <w:sz w:val="20"/>
        </w:rPr>
        <w:t>) peaks (55-67°C; 11:00 a.m.-1:00 p.m.), followed by midday efficiency attenuation as heat stress outweighs solar gains. Notably, Maroua’s performance contrasts with Algeria’s Saharan extremes but mirrors Senegal’s Sahelian trends, highlighting climatic gradients’ influence. These results reinforce the urgency of adaptive thermal management strategies such as advanced cooling systems or temperature-resilient materials to mitigate losses in hot climates. Site-specific data on irradiance, temperature, and humidity emerge as indispensable tools for pre-deployment optimization, ensuring PV systems balance high irradiance absorption with thermal stability. Ultimately, Maroua’s intermediate loss rate underscores its potential for sustainable solar energy in Cameroon’s Far North Region, advocating for context-driven designs to harness solar resources while countering environmental stressors. This synthesis bridges global research gaps, offering actionable insights for resilient, climate-adapted PV deployment.</w:t>
      </w:r>
    </w:p>
    <w:p w14:paraId="694C21C5" w14:textId="787BF11C" w:rsidR="00203A23" w:rsidRPr="003059BA" w:rsidRDefault="00203A23" w:rsidP="00203A23">
      <w:pPr>
        <w:pStyle w:val="Heading1"/>
      </w:pPr>
      <w:r w:rsidRPr="003059BA">
        <w:lastRenderedPageBreak/>
        <w:t xml:space="preserve">CONCLUSION </w:t>
      </w:r>
    </w:p>
    <w:p w14:paraId="54DC037E" w14:textId="17C88A65" w:rsidR="00203A23" w:rsidRPr="003059BA" w:rsidRDefault="00203A23" w:rsidP="00203A23">
      <w:pPr>
        <w:widowControl w:val="0"/>
        <w:autoSpaceDE w:val="0"/>
        <w:autoSpaceDN w:val="0"/>
        <w:adjustRightInd w:val="0"/>
        <w:ind w:firstLine="284"/>
        <w:jc w:val="both"/>
        <w:rPr>
          <w:rFonts w:asciiTheme="majorBidi" w:hAnsiTheme="majorBidi" w:cstheme="majorBidi"/>
          <w:b/>
          <w:bCs/>
        </w:rPr>
      </w:pPr>
      <w:r w:rsidRPr="003059BA">
        <w:rPr>
          <w:sz w:val="20"/>
          <w:szCs w:val="18"/>
        </w:rPr>
        <w:t>This study experimentally quantifies temperature-induced performance losses in photovoltaic generators within the hot Sudano-Sahelian climate of Maroua, Far North Cameroon. Hourly measurements of ambient temperature (</w:t>
      </w:r>
      <w:proofErr w:type="spellStart"/>
      <w:r w:rsidRPr="003059BA">
        <w:rPr>
          <w:sz w:val="20"/>
          <w:szCs w:val="18"/>
        </w:rPr>
        <w:t>T</w:t>
      </w:r>
      <w:r w:rsidRPr="003059BA">
        <w:rPr>
          <w:sz w:val="20"/>
          <w:szCs w:val="18"/>
          <w:vertAlign w:val="subscript"/>
        </w:rPr>
        <w:t>amb</w:t>
      </w:r>
      <w:proofErr w:type="spellEnd"/>
      <w:r w:rsidRPr="003059BA">
        <w:rPr>
          <w:sz w:val="20"/>
          <w:szCs w:val="18"/>
        </w:rPr>
        <w:t>), module temperature (</w:t>
      </w:r>
      <w:proofErr w:type="spellStart"/>
      <w:r w:rsidRPr="003059BA">
        <w:rPr>
          <w:sz w:val="20"/>
          <w:szCs w:val="18"/>
        </w:rPr>
        <w:t>T</w:t>
      </w:r>
      <w:r w:rsidRPr="003059BA">
        <w:rPr>
          <w:sz w:val="20"/>
          <w:szCs w:val="18"/>
          <w:vertAlign w:val="subscript"/>
        </w:rPr>
        <w:t>mod</w:t>
      </w:r>
      <w:proofErr w:type="spellEnd"/>
      <w:r w:rsidRPr="003059BA">
        <w:rPr>
          <w:sz w:val="20"/>
          <w:szCs w:val="18"/>
        </w:rPr>
        <w:t>), solar irradiance (E), open-circuit voltage (V</w:t>
      </w:r>
      <w:r w:rsidRPr="003059BA">
        <w:rPr>
          <w:sz w:val="20"/>
          <w:szCs w:val="18"/>
          <w:vertAlign w:val="subscript"/>
        </w:rPr>
        <w:t>oc</w:t>
      </w:r>
      <w:r w:rsidRPr="003059BA">
        <w:rPr>
          <w:sz w:val="20"/>
          <w:szCs w:val="18"/>
        </w:rPr>
        <w:t>), short-circuit current (</w:t>
      </w:r>
      <w:proofErr w:type="spellStart"/>
      <w:r w:rsidRPr="003059BA">
        <w:rPr>
          <w:sz w:val="20"/>
          <w:szCs w:val="18"/>
        </w:rPr>
        <w:t>I</w:t>
      </w:r>
      <w:r w:rsidRPr="003059BA">
        <w:rPr>
          <w:sz w:val="20"/>
          <w:szCs w:val="18"/>
          <w:vertAlign w:val="subscript"/>
        </w:rPr>
        <w:t>sc</w:t>
      </w:r>
      <w:proofErr w:type="spellEnd"/>
      <w:r w:rsidRPr="003059BA">
        <w:rPr>
          <w:sz w:val="20"/>
          <w:szCs w:val="18"/>
        </w:rPr>
        <w:t>), and maximum power (P</w:t>
      </w:r>
      <w:r w:rsidRPr="003059BA">
        <w:rPr>
          <w:sz w:val="20"/>
          <w:szCs w:val="18"/>
          <w:vertAlign w:val="subscript"/>
        </w:rPr>
        <w:t>max</w:t>
      </w:r>
      <w:r w:rsidRPr="003059BA">
        <w:rPr>
          <w:sz w:val="20"/>
          <w:szCs w:val="18"/>
        </w:rPr>
        <w:t>) spanned 12 months, with diurnal analyses</w:t>
      </w:r>
      <w:r w:rsidR="003545FD">
        <w:rPr>
          <w:sz w:val="20"/>
          <w:szCs w:val="18"/>
        </w:rPr>
        <w:t xml:space="preserve"> </w:t>
      </w:r>
      <w:r w:rsidRPr="003059BA">
        <w:rPr>
          <w:sz w:val="20"/>
          <w:szCs w:val="18"/>
        </w:rPr>
        <w:t>emphasizing March-June, the region</w:t>
      </w:r>
      <w:r w:rsidR="00782A57" w:rsidRPr="003059BA">
        <w:rPr>
          <w:sz w:val="20"/>
          <w:szCs w:val="18"/>
        </w:rPr>
        <w:t>’</w:t>
      </w:r>
      <w:r w:rsidRPr="003059BA">
        <w:rPr>
          <w:sz w:val="20"/>
          <w:szCs w:val="18"/>
        </w:rPr>
        <w:t>s thermal zenith. Diurnal trends elucidate a solar-driven synergy: post-sunrise escalations in E, V</w:t>
      </w:r>
      <w:r w:rsidRPr="003059BA">
        <w:rPr>
          <w:sz w:val="20"/>
          <w:szCs w:val="18"/>
          <w:vertAlign w:val="subscript"/>
        </w:rPr>
        <w:t>oc</w:t>
      </w:r>
      <w:r w:rsidRPr="003059BA">
        <w:rPr>
          <w:sz w:val="20"/>
          <w:szCs w:val="18"/>
        </w:rPr>
        <w:t xml:space="preserve">, </w:t>
      </w:r>
      <w:proofErr w:type="spellStart"/>
      <w:r w:rsidRPr="003059BA">
        <w:rPr>
          <w:sz w:val="20"/>
          <w:szCs w:val="18"/>
        </w:rPr>
        <w:t>I</w:t>
      </w:r>
      <w:r w:rsidRPr="003059BA">
        <w:rPr>
          <w:sz w:val="20"/>
          <w:szCs w:val="18"/>
          <w:vertAlign w:val="subscript"/>
        </w:rPr>
        <w:t>sc</w:t>
      </w:r>
      <w:proofErr w:type="spellEnd"/>
      <w:r w:rsidRPr="003059BA">
        <w:rPr>
          <w:sz w:val="20"/>
          <w:szCs w:val="18"/>
        </w:rPr>
        <w:t>, and P</w:t>
      </w:r>
      <w:r w:rsidRPr="003059BA">
        <w:rPr>
          <w:sz w:val="20"/>
          <w:szCs w:val="18"/>
          <w:vertAlign w:val="subscript"/>
        </w:rPr>
        <w:t>max</w:t>
      </w:r>
      <w:r w:rsidRPr="003059BA">
        <w:rPr>
          <w:sz w:val="20"/>
          <w:szCs w:val="18"/>
        </w:rPr>
        <w:t xml:space="preserve"> culminate midday (11 AM–1 PM), where </w:t>
      </w:r>
      <w:proofErr w:type="spellStart"/>
      <w:r w:rsidRPr="003059BA">
        <w:rPr>
          <w:sz w:val="20"/>
          <w:szCs w:val="18"/>
        </w:rPr>
        <w:t>T</w:t>
      </w:r>
      <w:r w:rsidRPr="003059BA">
        <w:rPr>
          <w:sz w:val="20"/>
          <w:szCs w:val="18"/>
          <w:vertAlign w:val="subscript"/>
        </w:rPr>
        <w:t>mod</w:t>
      </w:r>
      <w:proofErr w:type="spellEnd"/>
      <w:r w:rsidRPr="003059BA">
        <w:rPr>
          <w:sz w:val="20"/>
          <w:szCs w:val="18"/>
        </w:rPr>
        <w:t xml:space="preserve"> peaks at 67°C (April) and P</w:t>
      </w:r>
      <w:r w:rsidRPr="003059BA">
        <w:rPr>
          <w:sz w:val="20"/>
          <w:szCs w:val="18"/>
          <w:vertAlign w:val="subscript"/>
        </w:rPr>
        <w:t>max</w:t>
      </w:r>
      <w:r w:rsidRPr="003059BA">
        <w:rPr>
          <w:sz w:val="20"/>
          <w:szCs w:val="18"/>
        </w:rPr>
        <w:t xml:space="preserve"> at 41 W. However, sustained irradiance belies subtle V</w:t>
      </w:r>
      <w:r w:rsidRPr="003059BA">
        <w:rPr>
          <w:sz w:val="20"/>
          <w:szCs w:val="18"/>
          <w:vertAlign w:val="subscript"/>
        </w:rPr>
        <w:t>oc</w:t>
      </w:r>
      <w:r w:rsidRPr="003059BA">
        <w:rPr>
          <w:sz w:val="20"/>
          <w:szCs w:val="18"/>
        </w:rPr>
        <w:t xml:space="preserve"> and P</w:t>
      </w:r>
      <w:r w:rsidRPr="003059BA">
        <w:rPr>
          <w:sz w:val="20"/>
          <w:szCs w:val="18"/>
          <w:vertAlign w:val="subscript"/>
        </w:rPr>
        <w:t>max</w:t>
      </w:r>
      <w:r w:rsidRPr="003059BA">
        <w:rPr>
          <w:sz w:val="20"/>
          <w:szCs w:val="18"/>
        </w:rPr>
        <w:t xml:space="preserve"> declines, attributable to the silicon PV negative temperature coefficient, manifesting an inverse thermal-performance relationship. Annually, </w:t>
      </w:r>
      <w:proofErr w:type="spellStart"/>
      <w:r w:rsidRPr="003059BA">
        <w:rPr>
          <w:sz w:val="20"/>
          <w:szCs w:val="18"/>
        </w:rPr>
        <w:t>T</w:t>
      </w:r>
      <w:r w:rsidRPr="003059BA">
        <w:rPr>
          <w:sz w:val="20"/>
          <w:szCs w:val="18"/>
          <w:vertAlign w:val="subscript"/>
        </w:rPr>
        <w:t>amb</w:t>
      </w:r>
      <w:proofErr w:type="spellEnd"/>
      <w:r w:rsidRPr="003059BA">
        <w:rPr>
          <w:sz w:val="20"/>
          <w:szCs w:val="18"/>
        </w:rPr>
        <w:t xml:space="preserve"> exceeded 25°C for 67% of daylight hours and </w:t>
      </w:r>
      <w:proofErr w:type="spellStart"/>
      <w:r w:rsidRPr="003059BA">
        <w:rPr>
          <w:sz w:val="20"/>
          <w:szCs w:val="18"/>
        </w:rPr>
        <w:t>T</w:t>
      </w:r>
      <w:r w:rsidRPr="003059BA">
        <w:rPr>
          <w:sz w:val="20"/>
          <w:szCs w:val="18"/>
          <w:vertAlign w:val="subscript"/>
        </w:rPr>
        <w:t>mod</w:t>
      </w:r>
      <w:proofErr w:type="spellEnd"/>
      <w:r w:rsidRPr="003059BA">
        <w:rPr>
          <w:sz w:val="20"/>
          <w:szCs w:val="18"/>
        </w:rPr>
        <w:t xml:space="preserve"> for 91%; April</w:t>
      </w:r>
      <w:r w:rsidR="00782A57" w:rsidRPr="003059BA">
        <w:rPr>
          <w:sz w:val="20"/>
          <w:szCs w:val="18"/>
        </w:rPr>
        <w:t>’</w:t>
      </w:r>
      <w:r w:rsidRPr="003059BA">
        <w:rPr>
          <w:sz w:val="20"/>
          <w:szCs w:val="18"/>
        </w:rPr>
        <w:t>s extremes (</w:t>
      </w:r>
      <w:proofErr w:type="spellStart"/>
      <w:r w:rsidRPr="003059BA">
        <w:rPr>
          <w:sz w:val="20"/>
          <w:szCs w:val="18"/>
        </w:rPr>
        <w:t>T</w:t>
      </w:r>
      <w:r w:rsidRPr="003059BA">
        <w:rPr>
          <w:sz w:val="20"/>
          <w:szCs w:val="18"/>
          <w:vertAlign w:val="subscript"/>
        </w:rPr>
        <w:t>amb</w:t>
      </w:r>
      <w:proofErr w:type="spellEnd"/>
      <w:r w:rsidRPr="003059BA">
        <w:rPr>
          <w:sz w:val="20"/>
          <w:szCs w:val="18"/>
        </w:rPr>
        <w:t xml:space="preserve"> 55.9°C, </w:t>
      </w:r>
      <w:proofErr w:type="spellStart"/>
      <w:r w:rsidRPr="003059BA">
        <w:rPr>
          <w:sz w:val="20"/>
          <w:szCs w:val="18"/>
        </w:rPr>
        <w:t>T</w:t>
      </w:r>
      <w:r w:rsidRPr="003059BA">
        <w:rPr>
          <w:sz w:val="20"/>
          <w:szCs w:val="18"/>
          <w:vertAlign w:val="subscript"/>
        </w:rPr>
        <w:t>mod</w:t>
      </w:r>
      <w:proofErr w:type="spellEnd"/>
      <w:r w:rsidRPr="003059BA">
        <w:rPr>
          <w:sz w:val="20"/>
          <w:szCs w:val="18"/>
        </w:rPr>
        <w:t xml:space="preserve"> 67°C) induced 19% power reduction (9.5 W loss), yielding a site-specific derating of 0.46%/°C, consistent with analogous Sahelian contexts. Maroua</w:t>
      </w:r>
      <w:r w:rsidR="00782A57" w:rsidRPr="003059BA">
        <w:rPr>
          <w:sz w:val="20"/>
          <w:szCs w:val="18"/>
        </w:rPr>
        <w:t>’</w:t>
      </w:r>
      <w:r w:rsidRPr="003059BA">
        <w:rPr>
          <w:sz w:val="20"/>
          <w:szCs w:val="18"/>
        </w:rPr>
        <w:t>s irradiance bounty positions it as a solar hotspot, yet thermal stressors erode efficiency, underscoring the imperative for site-specific environmental profiling and pre-deployment trials. Mitigation strategies, enhanced ventilation, optimized tilts, and heat-resilient modules, can preserve yields and reliability. These insights inform manufacturers on hot-climate material innovations and designers on adaptive architectures. Future investigations should integrate aerosols, dust, and humidity effects to holistically address degradation in arid-semi-arid PV deployments, advancing resilient solar infrastructure in the Far North</w:t>
      </w:r>
      <w:r w:rsidR="00D86D0D">
        <w:rPr>
          <w:sz w:val="20"/>
          <w:szCs w:val="18"/>
        </w:rPr>
        <w:t>.</w:t>
      </w:r>
    </w:p>
    <w:p w14:paraId="5426EAFE" w14:textId="3D8285A4" w:rsidR="00D051DA" w:rsidRDefault="000739CB" w:rsidP="000739CB">
      <w:pPr>
        <w:widowControl w:val="0"/>
        <w:autoSpaceDE w:val="0"/>
        <w:autoSpaceDN w:val="0"/>
        <w:adjustRightInd w:val="0"/>
        <w:spacing w:before="240" w:after="240"/>
        <w:ind w:left="640" w:hanging="640"/>
        <w:jc w:val="center"/>
        <w:rPr>
          <w:rFonts w:asciiTheme="majorBidi" w:hAnsiTheme="majorBidi" w:cstheme="majorBidi"/>
          <w:b/>
          <w:bCs/>
        </w:rPr>
      </w:pPr>
      <w:r w:rsidRPr="003059BA">
        <w:rPr>
          <w:rFonts w:asciiTheme="majorBidi" w:hAnsiTheme="majorBidi" w:cstheme="majorBidi"/>
          <w:b/>
          <w:bCs/>
        </w:rPr>
        <w:t>REFERENCES</w:t>
      </w:r>
    </w:p>
    <w:p w14:paraId="70AB7556" w14:textId="110B5A71"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Energy Institute, Energy Institute, London (2024).</w:t>
      </w:r>
    </w:p>
    <w:p w14:paraId="7CC166C4" w14:textId="480B3596"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 xml:space="preserve">M. Victoria, N. </w:t>
      </w:r>
      <w:proofErr w:type="spellStart"/>
      <w:r w:rsidRPr="00242DCD">
        <w:rPr>
          <w:rFonts w:asciiTheme="majorBidi" w:hAnsiTheme="majorBidi" w:cstheme="majorBidi"/>
          <w:bCs/>
          <w:sz w:val="20"/>
        </w:rPr>
        <w:t>Haegel</w:t>
      </w:r>
      <w:proofErr w:type="spellEnd"/>
      <w:r w:rsidRPr="00242DCD">
        <w:rPr>
          <w:rFonts w:asciiTheme="majorBidi" w:hAnsiTheme="majorBidi" w:cstheme="majorBidi"/>
          <w:bCs/>
          <w:sz w:val="20"/>
        </w:rPr>
        <w:t xml:space="preserve">, I.M. Peters, R. Sinton, A. Jäger-Waldau, C. del </w:t>
      </w:r>
      <w:proofErr w:type="spellStart"/>
      <w:r w:rsidRPr="00242DCD">
        <w:rPr>
          <w:rFonts w:asciiTheme="majorBidi" w:hAnsiTheme="majorBidi" w:cstheme="majorBidi"/>
          <w:bCs/>
          <w:sz w:val="20"/>
        </w:rPr>
        <w:t>Cañizo</w:t>
      </w:r>
      <w:proofErr w:type="spellEnd"/>
      <w:r w:rsidRPr="00242DCD">
        <w:rPr>
          <w:rFonts w:asciiTheme="majorBidi" w:hAnsiTheme="majorBidi" w:cstheme="majorBidi"/>
          <w:bCs/>
          <w:sz w:val="20"/>
        </w:rPr>
        <w:t xml:space="preserve">, C. Breyer, M. Stocks, A. Blakers, I. </w:t>
      </w:r>
      <w:proofErr w:type="spellStart"/>
      <w:r w:rsidRPr="00242DCD">
        <w:rPr>
          <w:rFonts w:asciiTheme="majorBidi" w:hAnsiTheme="majorBidi" w:cstheme="majorBidi"/>
          <w:bCs/>
          <w:sz w:val="20"/>
        </w:rPr>
        <w:t>Kaizuka</w:t>
      </w:r>
      <w:proofErr w:type="spellEnd"/>
      <w:r w:rsidRPr="00242DCD">
        <w:rPr>
          <w:rFonts w:asciiTheme="majorBidi" w:hAnsiTheme="majorBidi" w:cstheme="majorBidi"/>
          <w:bCs/>
          <w:sz w:val="20"/>
        </w:rPr>
        <w:t>, K. Komoto, and A. Smets, Joule 5, 1041 (2021).</w:t>
      </w:r>
    </w:p>
    <w:p w14:paraId="2290573B" w14:textId="156645CC"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 xml:space="preserve">D.K. </w:t>
      </w:r>
      <w:proofErr w:type="spellStart"/>
      <w:r w:rsidRPr="00242DCD">
        <w:rPr>
          <w:rFonts w:asciiTheme="majorBidi" w:hAnsiTheme="majorBidi" w:cstheme="majorBidi"/>
          <w:bCs/>
          <w:sz w:val="20"/>
        </w:rPr>
        <w:t>Kidmo</w:t>
      </w:r>
      <w:proofErr w:type="spellEnd"/>
      <w:r w:rsidRPr="00242DCD">
        <w:rPr>
          <w:rFonts w:asciiTheme="majorBidi" w:hAnsiTheme="majorBidi" w:cstheme="majorBidi"/>
          <w:bCs/>
          <w:sz w:val="20"/>
        </w:rPr>
        <w:t xml:space="preserve">, K. Deli, and B. </w:t>
      </w:r>
      <w:proofErr w:type="spellStart"/>
      <w:r w:rsidRPr="00242DCD">
        <w:rPr>
          <w:rFonts w:asciiTheme="majorBidi" w:hAnsiTheme="majorBidi" w:cstheme="majorBidi"/>
          <w:bCs/>
          <w:sz w:val="20"/>
        </w:rPr>
        <w:t>Bogno</w:t>
      </w:r>
      <w:proofErr w:type="spellEnd"/>
      <w:r w:rsidRPr="00242DCD">
        <w:rPr>
          <w:rFonts w:asciiTheme="majorBidi" w:hAnsiTheme="majorBidi" w:cstheme="majorBidi"/>
          <w:bCs/>
          <w:sz w:val="20"/>
        </w:rPr>
        <w:t>, Renew. Energy Environ. Sustain. 6, 2 (2021).</w:t>
      </w:r>
    </w:p>
    <w:p w14:paraId="166F26D0" w14:textId="32086B21"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C. Sun, Y. Zou, C. Qin, B. Zhang, and X. Wu, Adv. Compos. Hybrid Mater. 5, 2675 (2022).</w:t>
      </w:r>
    </w:p>
    <w:p w14:paraId="4130ABC4" w14:textId="64D14D31"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 xml:space="preserve">Y. Du, C.J. Fell, B. Duck, D. Chen, K. </w:t>
      </w:r>
      <w:proofErr w:type="spellStart"/>
      <w:r w:rsidRPr="00242DCD">
        <w:rPr>
          <w:rFonts w:asciiTheme="majorBidi" w:hAnsiTheme="majorBidi" w:cstheme="majorBidi"/>
          <w:bCs/>
          <w:sz w:val="20"/>
        </w:rPr>
        <w:t>Liffman</w:t>
      </w:r>
      <w:proofErr w:type="spellEnd"/>
      <w:r w:rsidRPr="00242DCD">
        <w:rPr>
          <w:rFonts w:asciiTheme="majorBidi" w:hAnsiTheme="majorBidi" w:cstheme="majorBidi"/>
          <w:bCs/>
          <w:sz w:val="20"/>
        </w:rPr>
        <w:t>, Y. Zhang, M. Gu, and Y. Zhu, Energy Convers. Manag. 108, 60 (2016).</w:t>
      </w:r>
    </w:p>
    <w:p w14:paraId="033A4C82" w14:textId="1564FF6C"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H. Ibrahim and N. Anani, in Energy Procedia (2017).</w:t>
      </w:r>
    </w:p>
    <w:p w14:paraId="6E95C395" w14:textId="5B31AF41"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N. Anani and H. Ibrahim, Energies 13, (2020).</w:t>
      </w:r>
    </w:p>
    <w:p w14:paraId="027D195B" w14:textId="28035E05"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 xml:space="preserve">A. Gholami, M. Ameri, M. Zandi, and R. </w:t>
      </w:r>
      <w:proofErr w:type="spellStart"/>
      <w:r w:rsidRPr="00242DCD">
        <w:rPr>
          <w:rFonts w:asciiTheme="majorBidi" w:hAnsiTheme="majorBidi" w:cstheme="majorBidi"/>
          <w:bCs/>
          <w:sz w:val="20"/>
        </w:rPr>
        <w:t>Gavagsaz</w:t>
      </w:r>
      <w:proofErr w:type="spellEnd"/>
      <w:r w:rsidRPr="00242DCD">
        <w:rPr>
          <w:rFonts w:asciiTheme="majorBidi" w:hAnsiTheme="majorBidi" w:cstheme="majorBidi"/>
          <w:bCs/>
          <w:sz w:val="20"/>
        </w:rPr>
        <w:t xml:space="preserve"> Ghoachani, Sustain. Energy Technol. Assessments 49, (2022).</w:t>
      </w:r>
    </w:p>
    <w:p w14:paraId="14426398" w14:textId="785F552C"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 xml:space="preserve">Y. Mallal, D.K. Sharma, L. El Bahir, and T. </w:t>
      </w:r>
      <w:proofErr w:type="spellStart"/>
      <w:r w:rsidRPr="00242DCD">
        <w:rPr>
          <w:rFonts w:asciiTheme="majorBidi" w:hAnsiTheme="majorBidi" w:cstheme="majorBidi"/>
          <w:bCs/>
          <w:sz w:val="20"/>
        </w:rPr>
        <w:t>Hassboun</w:t>
      </w:r>
      <w:proofErr w:type="spellEnd"/>
      <w:r w:rsidRPr="00242DCD">
        <w:rPr>
          <w:rFonts w:asciiTheme="majorBidi" w:hAnsiTheme="majorBidi" w:cstheme="majorBidi"/>
          <w:bCs/>
          <w:sz w:val="20"/>
        </w:rPr>
        <w:t>, Sol. Energy 228, 612 (2021).</w:t>
      </w:r>
    </w:p>
    <w:p w14:paraId="51F38627" w14:textId="125B69F1"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M.K.S. Al-</w:t>
      </w:r>
      <w:proofErr w:type="spellStart"/>
      <w:r w:rsidRPr="00242DCD">
        <w:rPr>
          <w:rFonts w:asciiTheme="majorBidi" w:hAnsiTheme="majorBidi" w:cstheme="majorBidi"/>
          <w:bCs/>
          <w:sz w:val="20"/>
        </w:rPr>
        <w:t>Ghezi</w:t>
      </w:r>
      <w:proofErr w:type="spellEnd"/>
      <w:r w:rsidRPr="00242DCD">
        <w:rPr>
          <w:rFonts w:asciiTheme="majorBidi" w:hAnsiTheme="majorBidi" w:cstheme="majorBidi"/>
          <w:bCs/>
          <w:sz w:val="20"/>
        </w:rPr>
        <w:t>, R.T. Ahmed, and M.T. Chaichan, Int. J. Renew. Energy Dev. 11, 501 (2022).</w:t>
      </w:r>
    </w:p>
    <w:p w14:paraId="066E5F09" w14:textId="07750E5E"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 xml:space="preserve">M.M. Rahman, M. </w:t>
      </w:r>
      <w:proofErr w:type="spellStart"/>
      <w:r w:rsidRPr="00242DCD">
        <w:rPr>
          <w:rFonts w:asciiTheme="majorBidi" w:hAnsiTheme="majorBidi" w:cstheme="majorBidi"/>
          <w:bCs/>
          <w:sz w:val="20"/>
        </w:rPr>
        <w:t>Hasanuzzaman</w:t>
      </w:r>
      <w:proofErr w:type="spellEnd"/>
      <w:r w:rsidRPr="00242DCD">
        <w:rPr>
          <w:rFonts w:asciiTheme="majorBidi" w:hAnsiTheme="majorBidi" w:cstheme="majorBidi"/>
          <w:bCs/>
          <w:sz w:val="20"/>
        </w:rPr>
        <w:t>, and N.A. Rahim, J. Clean. Prod. 143, 912 (2017).</w:t>
      </w:r>
    </w:p>
    <w:p w14:paraId="5340A014" w14:textId="34B86B61"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 xml:space="preserve">Z. Fares, M. </w:t>
      </w:r>
      <w:proofErr w:type="spellStart"/>
      <w:r w:rsidRPr="00242DCD">
        <w:rPr>
          <w:rFonts w:asciiTheme="majorBidi" w:hAnsiTheme="majorBidi" w:cstheme="majorBidi"/>
          <w:bCs/>
          <w:sz w:val="20"/>
        </w:rPr>
        <w:t>Becherif</w:t>
      </w:r>
      <w:proofErr w:type="spellEnd"/>
      <w:r w:rsidRPr="00242DCD">
        <w:rPr>
          <w:rFonts w:asciiTheme="majorBidi" w:hAnsiTheme="majorBidi" w:cstheme="majorBidi"/>
          <w:bCs/>
          <w:sz w:val="20"/>
        </w:rPr>
        <w:t xml:space="preserve">, M. </w:t>
      </w:r>
      <w:proofErr w:type="spellStart"/>
      <w:r w:rsidRPr="00242DCD">
        <w:rPr>
          <w:rFonts w:asciiTheme="majorBidi" w:hAnsiTheme="majorBidi" w:cstheme="majorBidi"/>
          <w:bCs/>
          <w:sz w:val="20"/>
        </w:rPr>
        <w:t>Emziane</w:t>
      </w:r>
      <w:proofErr w:type="spellEnd"/>
      <w:r w:rsidRPr="00242DCD">
        <w:rPr>
          <w:rFonts w:asciiTheme="majorBidi" w:hAnsiTheme="majorBidi" w:cstheme="majorBidi"/>
          <w:bCs/>
          <w:sz w:val="20"/>
        </w:rPr>
        <w:t xml:space="preserve">, A. </w:t>
      </w:r>
      <w:proofErr w:type="spellStart"/>
      <w:r w:rsidRPr="00242DCD">
        <w:rPr>
          <w:rFonts w:asciiTheme="majorBidi" w:hAnsiTheme="majorBidi" w:cstheme="majorBidi"/>
          <w:bCs/>
          <w:sz w:val="20"/>
        </w:rPr>
        <w:t>Aboubou</w:t>
      </w:r>
      <w:proofErr w:type="spellEnd"/>
      <w:r w:rsidRPr="00242DCD">
        <w:rPr>
          <w:rFonts w:asciiTheme="majorBidi" w:hAnsiTheme="majorBidi" w:cstheme="majorBidi"/>
          <w:bCs/>
          <w:sz w:val="20"/>
        </w:rPr>
        <w:t xml:space="preserve">, and S.M. </w:t>
      </w:r>
      <w:proofErr w:type="spellStart"/>
      <w:r w:rsidRPr="00242DCD">
        <w:rPr>
          <w:rFonts w:asciiTheme="majorBidi" w:hAnsiTheme="majorBidi" w:cstheme="majorBidi"/>
          <w:bCs/>
          <w:sz w:val="20"/>
        </w:rPr>
        <w:t>Azzem</w:t>
      </w:r>
      <w:proofErr w:type="spellEnd"/>
      <w:r w:rsidRPr="00242DCD">
        <w:rPr>
          <w:rFonts w:asciiTheme="majorBidi" w:hAnsiTheme="majorBidi" w:cstheme="majorBidi"/>
          <w:bCs/>
          <w:sz w:val="20"/>
        </w:rPr>
        <w:t xml:space="preserve">, Smart </w:t>
      </w:r>
      <w:proofErr w:type="spellStart"/>
      <w:r w:rsidRPr="00242DCD">
        <w:rPr>
          <w:rFonts w:asciiTheme="majorBidi" w:hAnsiTheme="majorBidi" w:cstheme="majorBidi"/>
          <w:bCs/>
          <w:sz w:val="20"/>
        </w:rPr>
        <w:t>Innov</w:t>
      </w:r>
      <w:proofErr w:type="spellEnd"/>
      <w:r w:rsidRPr="00242DCD">
        <w:rPr>
          <w:rFonts w:asciiTheme="majorBidi" w:hAnsiTheme="majorBidi" w:cstheme="majorBidi"/>
          <w:bCs/>
          <w:sz w:val="20"/>
        </w:rPr>
        <w:t>. Syst. Technol. 22, 875 (2013).</w:t>
      </w:r>
    </w:p>
    <w:p w14:paraId="714A07DD" w14:textId="3E271EE4"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 xml:space="preserve">D.H. Daher, L. Gaillard, M. Amara, and C. </w:t>
      </w:r>
      <w:proofErr w:type="spellStart"/>
      <w:r w:rsidRPr="00242DCD">
        <w:rPr>
          <w:rFonts w:asciiTheme="majorBidi" w:hAnsiTheme="majorBidi" w:cstheme="majorBidi"/>
          <w:bCs/>
          <w:sz w:val="20"/>
        </w:rPr>
        <w:t>Ménézo</w:t>
      </w:r>
      <w:proofErr w:type="spellEnd"/>
      <w:r w:rsidRPr="00242DCD">
        <w:rPr>
          <w:rFonts w:asciiTheme="majorBidi" w:hAnsiTheme="majorBidi" w:cstheme="majorBidi"/>
          <w:bCs/>
          <w:sz w:val="20"/>
        </w:rPr>
        <w:t>, Renew. Energy 125, 729 (2018).</w:t>
      </w:r>
    </w:p>
    <w:p w14:paraId="401C9901" w14:textId="76963829" w:rsidR="00242DCD" w:rsidRPr="00242DCD" w:rsidRDefault="00242DCD" w:rsidP="00B9598E">
      <w:pPr>
        <w:pStyle w:val="ListParagraph"/>
        <w:widowControl w:val="0"/>
        <w:numPr>
          <w:ilvl w:val="0"/>
          <w:numId w:val="48"/>
        </w:numPr>
        <w:autoSpaceDE w:val="0"/>
        <w:autoSpaceDN w:val="0"/>
        <w:adjustRightInd w:val="0"/>
        <w:ind w:left="426" w:hanging="426"/>
        <w:jc w:val="both"/>
        <w:rPr>
          <w:rFonts w:asciiTheme="majorBidi" w:hAnsiTheme="majorBidi" w:cstheme="majorBidi"/>
          <w:bCs/>
          <w:sz w:val="20"/>
        </w:rPr>
      </w:pPr>
      <w:r w:rsidRPr="00242DCD">
        <w:rPr>
          <w:rFonts w:asciiTheme="majorBidi" w:hAnsiTheme="majorBidi" w:cstheme="majorBidi"/>
          <w:bCs/>
          <w:sz w:val="20"/>
        </w:rPr>
        <w:t xml:space="preserve">I. Mathews, S.N. </w:t>
      </w:r>
      <w:proofErr w:type="spellStart"/>
      <w:r w:rsidRPr="00242DCD">
        <w:rPr>
          <w:rFonts w:asciiTheme="majorBidi" w:hAnsiTheme="majorBidi" w:cstheme="majorBidi"/>
          <w:bCs/>
          <w:sz w:val="20"/>
        </w:rPr>
        <w:t>Kantareddy</w:t>
      </w:r>
      <w:proofErr w:type="spellEnd"/>
      <w:r w:rsidRPr="00242DCD">
        <w:rPr>
          <w:rFonts w:asciiTheme="majorBidi" w:hAnsiTheme="majorBidi" w:cstheme="majorBidi"/>
          <w:bCs/>
          <w:sz w:val="20"/>
        </w:rPr>
        <w:t>, T. Buonassisi, and I.M. Peters, Joule 3, 1415 (2019).</w:t>
      </w:r>
    </w:p>
    <w:sectPr w:rsidR="00242DCD" w:rsidRPr="00242DCD" w:rsidSect="00861AA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Me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FF6062"/>
    <w:multiLevelType w:val="hybridMultilevel"/>
    <w:tmpl w:val="9E5E0F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6B0A3B17"/>
    <w:multiLevelType w:val="multilevel"/>
    <w:tmpl w:val="3A0670E0"/>
    <w:lvl w:ilvl="0">
      <w:start w:val="1"/>
      <w:numFmt w:val="decimal"/>
      <w:lvlText w:val="%1."/>
      <w:lvlJc w:val="left"/>
      <w:pPr>
        <w:ind w:left="720" w:hanging="360"/>
      </w:pPr>
      <w:rPr>
        <w:rFonts w:ascii="Times New Roman" w:hAnsi="Times New Roman" w:hint="default"/>
        <w:b/>
        <w:i w:val="0"/>
        <w:sz w:val="20"/>
      </w:rPr>
    </w:lvl>
    <w:lvl w:ilvl="1">
      <w:start w:val="3"/>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677F6D"/>
    <w:multiLevelType w:val="hybridMultilevel"/>
    <w:tmpl w:val="99C0F4A2"/>
    <w:lvl w:ilvl="0" w:tplc="7082CD92">
      <w:start w:val="1"/>
      <w:numFmt w:val="bullet"/>
      <w:lvlText w:val="-"/>
      <w:lvlJc w:val="left"/>
      <w:pPr>
        <w:tabs>
          <w:tab w:val="num" w:pos="720"/>
        </w:tabs>
        <w:ind w:left="720" w:hanging="360"/>
      </w:pPr>
      <w:rPr>
        <w:rFonts w:ascii="Calibri" w:hAnsi="Calibri" w:hint="default"/>
      </w:rPr>
    </w:lvl>
    <w:lvl w:ilvl="1" w:tplc="DC52F0E8" w:tentative="1">
      <w:start w:val="1"/>
      <w:numFmt w:val="bullet"/>
      <w:lvlText w:val="-"/>
      <w:lvlJc w:val="left"/>
      <w:pPr>
        <w:tabs>
          <w:tab w:val="num" w:pos="1440"/>
        </w:tabs>
        <w:ind w:left="1440" w:hanging="360"/>
      </w:pPr>
      <w:rPr>
        <w:rFonts w:ascii="Calibri" w:hAnsi="Calibri" w:hint="default"/>
      </w:rPr>
    </w:lvl>
    <w:lvl w:ilvl="2" w:tplc="A274DB04" w:tentative="1">
      <w:start w:val="1"/>
      <w:numFmt w:val="bullet"/>
      <w:lvlText w:val="-"/>
      <w:lvlJc w:val="left"/>
      <w:pPr>
        <w:tabs>
          <w:tab w:val="num" w:pos="2160"/>
        </w:tabs>
        <w:ind w:left="2160" w:hanging="360"/>
      </w:pPr>
      <w:rPr>
        <w:rFonts w:ascii="Calibri" w:hAnsi="Calibri" w:hint="default"/>
      </w:rPr>
    </w:lvl>
    <w:lvl w:ilvl="3" w:tplc="B964DA34" w:tentative="1">
      <w:start w:val="1"/>
      <w:numFmt w:val="bullet"/>
      <w:lvlText w:val="-"/>
      <w:lvlJc w:val="left"/>
      <w:pPr>
        <w:tabs>
          <w:tab w:val="num" w:pos="2880"/>
        </w:tabs>
        <w:ind w:left="2880" w:hanging="360"/>
      </w:pPr>
      <w:rPr>
        <w:rFonts w:ascii="Calibri" w:hAnsi="Calibri" w:hint="default"/>
      </w:rPr>
    </w:lvl>
    <w:lvl w:ilvl="4" w:tplc="B9E29478" w:tentative="1">
      <w:start w:val="1"/>
      <w:numFmt w:val="bullet"/>
      <w:lvlText w:val="-"/>
      <w:lvlJc w:val="left"/>
      <w:pPr>
        <w:tabs>
          <w:tab w:val="num" w:pos="3600"/>
        </w:tabs>
        <w:ind w:left="3600" w:hanging="360"/>
      </w:pPr>
      <w:rPr>
        <w:rFonts w:ascii="Calibri" w:hAnsi="Calibri" w:hint="default"/>
      </w:rPr>
    </w:lvl>
    <w:lvl w:ilvl="5" w:tplc="698A6A82" w:tentative="1">
      <w:start w:val="1"/>
      <w:numFmt w:val="bullet"/>
      <w:lvlText w:val="-"/>
      <w:lvlJc w:val="left"/>
      <w:pPr>
        <w:tabs>
          <w:tab w:val="num" w:pos="4320"/>
        </w:tabs>
        <w:ind w:left="4320" w:hanging="360"/>
      </w:pPr>
      <w:rPr>
        <w:rFonts w:ascii="Calibri" w:hAnsi="Calibri" w:hint="default"/>
      </w:rPr>
    </w:lvl>
    <w:lvl w:ilvl="6" w:tplc="5900BCC8" w:tentative="1">
      <w:start w:val="1"/>
      <w:numFmt w:val="bullet"/>
      <w:lvlText w:val="-"/>
      <w:lvlJc w:val="left"/>
      <w:pPr>
        <w:tabs>
          <w:tab w:val="num" w:pos="5040"/>
        </w:tabs>
        <w:ind w:left="5040" w:hanging="360"/>
      </w:pPr>
      <w:rPr>
        <w:rFonts w:ascii="Calibri" w:hAnsi="Calibri" w:hint="default"/>
      </w:rPr>
    </w:lvl>
    <w:lvl w:ilvl="7" w:tplc="F718E6C4" w:tentative="1">
      <w:start w:val="1"/>
      <w:numFmt w:val="bullet"/>
      <w:lvlText w:val="-"/>
      <w:lvlJc w:val="left"/>
      <w:pPr>
        <w:tabs>
          <w:tab w:val="num" w:pos="5760"/>
        </w:tabs>
        <w:ind w:left="5760" w:hanging="360"/>
      </w:pPr>
      <w:rPr>
        <w:rFonts w:ascii="Calibri" w:hAnsi="Calibri" w:hint="default"/>
      </w:rPr>
    </w:lvl>
    <w:lvl w:ilvl="8" w:tplc="6AC44482"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5197148">
    <w:abstractNumId w:val="18"/>
  </w:num>
  <w:num w:numId="2" w16cid:durableId="920405857">
    <w:abstractNumId w:val="3"/>
  </w:num>
  <w:num w:numId="3" w16cid:durableId="906720549">
    <w:abstractNumId w:val="15"/>
  </w:num>
  <w:num w:numId="4" w16cid:durableId="519588676">
    <w:abstractNumId w:val="8"/>
  </w:num>
  <w:num w:numId="5" w16cid:durableId="108596928">
    <w:abstractNumId w:val="12"/>
  </w:num>
  <w:num w:numId="6" w16cid:durableId="1818523221">
    <w:abstractNumId w:val="4"/>
  </w:num>
  <w:num w:numId="7" w16cid:durableId="71589255">
    <w:abstractNumId w:val="7"/>
  </w:num>
  <w:num w:numId="8" w16cid:durableId="1952666934">
    <w:abstractNumId w:val="1"/>
  </w:num>
  <w:num w:numId="9" w16cid:durableId="272592369">
    <w:abstractNumId w:val="17"/>
  </w:num>
  <w:num w:numId="10" w16cid:durableId="1183471196">
    <w:abstractNumId w:val="10"/>
  </w:num>
  <w:num w:numId="11" w16cid:durableId="635991602">
    <w:abstractNumId w:val="16"/>
  </w:num>
  <w:num w:numId="12" w16cid:durableId="65154242">
    <w:abstractNumId w:val="11"/>
  </w:num>
  <w:num w:numId="13" w16cid:durableId="19284184">
    <w:abstractNumId w:val="5"/>
  </w:num>
  <w:num w:numId="14" w16cid:durableId="975064321">
    <w:abstractNumId w:val="17"/>
  </w:num>
  <w:num w:numId="15" w16cid:durableId="508494384">
    <w:abstractNumId w:val="9"/>
  </w:num>
  <w:num w:numId="16" w16cid:durableId="1442454680">
    <w:abstractNumId w:val="5"/>
  </w:num>
  <w:num w:numId="17" w16cid:durableId="1830756136">
    <w:abstractNumId w:val="5"/>
  </w:num>
  <w:num w:numId="18" w16cid:durableId="1399509">
    <w:abstractNumId w:val="5"/>
  </w:num>
  <w:num w:numId="19" w16cid:durableId="1521700280">
    <w:abstractNumId w:val="5"/>
  </w:num>
  <w:num w:numId="20" w16cid:durableId="1561134815">
    <w:abstractNumId w:val="5"/>
  </w:num>
  <w:num w:numId="21" w16cid:durableId="751703347">
    <w:abstractNumId w:val="5"/>
  </w:num>
  <w:num w:numId="22" w16cid:durableId="1308244212">
    <w:abstractNumId w:val="5"/>
  </w:num>
  <w:num w:numId="23" w16cid:durableId="824513514">
    <w:abstractNumId w:val="5"/>
  </w:num>
  <w:num w:numId="24" w16cid:durableId="300884586">
    <w:abstractNumId w:val="5"/>
  </w:num>
  <w:num w:numId="25" w16cid:durableId="1496147226">
    <w:abstractNumId w:val="5"/>
  </w:num>
  <w:num w:numId="26" w16cid:durableId="1057702907">
    <w:abstractNumId w:val="5"/>
  </w:num>
  <w:num w:numId="27" w16cid:durableId="1857306456">
    <w:abstractNumId w:val="5"/>
  </w:num>
  <w:num w:numId="28" w16cid:durableId="2130591034">
    <w:abstractNumId w:val="5"/>
  </w:num>
  <w:num w:numId="29" w16cid:durableId="623928147">
    <w:abstractNumId w:val="12"/>
  </w:num>
  <w:num w:numId="30" w16cid:durableId="2106146358">
    <w:abstractNumId w:val="12"/>
  </w:num>
  <w:num w:numId="31" w16cid:durableId="835267233">
    <w:abstractNumId w:val="12"/>
    <w:lvlOverride w:ilvl="0">
      <w:startOverride w:val="1"/>
    </w:lvlOverride>
  </w:num>
  <w:num w:numId="32" w16cid:durableId="1624800796">
    <w:abstractNumId w:val="12"/>
  </w:num>
  <w:num w:numId="33" w16cid:durableId="1667971934">
    <w:abstractNumId w:val="12"/>
    <w:lvlOverride w:ilvl="0">
      <w:startOverride w:val="1"/>
    </w:lvlOverride>
  </w:num>
  <w:num w:numId="34" w16cid:durableId="673269560">
    <w:abstractNumId w:val="12"/>
    <w:lvlOverride w:ilvl="0">
      <w:startOverride w:val="1"/>
    </w:lvlOverride>
  </w:num>
  <w:num w:numId="35" w16cid:durableId="2046785617">
    <w:abstractNumId w:val="15"/>
    <w:lvlOverride w:ilvl="0">
      <w:startOverride w:val="1"/>
    </w:lvlOverride>
  </w:num>
  <w:num w:numId="36" w16cid:durableId="1290622581">
    <w:abstractNumId w:val="15"/>
  </w:num>
  <w:num w:numId="37" w16cid:durableId="1059286885">
    <w:abstractNumId w:val="15"/>
    <w:lvlOverride w:ilvl="0">
      <w:startOverride w:val="1"/>
    </w:lvlOverride>
  </w:num>
  <w:num w:numId="38" w16cid:durableId="10760666">
    <w:abstractNumId w:val="15"/>
  </w:num>
  <w:num w:numId="39" w16cid:durableId="38020825">
    <w:abstractNumId w:val="15"/>
    <w:lvlOverride w:ilvl="0">
      <w:startOverride w:val="1"/>
    </w:lvlOverride>
  </w:num>
  <w:num w:numId="40" w16cid:durableId="1426613662">
    <w:abstractNumId w:val="15"/>
    <w:lvlOverride w:ilvl="0">
      <w:startOverride w:val="1"/>
    </w:lvlOverride>
  </w:num>
  <w:num w:numId="41" w16cid:durableId="1536037465">
    <w:abstractNumId w:val="15"/>
    <w:lvlOverride w:ilvl="0">
      <w:startOverride w:val="1"/>
    </w:lvlOverride>
  </w:num>
  <w:num w:numId="42" w16cid:durableId="1227496736">
    <w:abstractNumId w:val="15"/>
  </w:num>
  <w:num w:numId="43" w16cid:durableId="1313943544">
    <w:abstractNumId w:val="15"/>
  </w:num>
  <w:num w:numId="44" w16cid:durableId="140586562">
    <w:abstractNumId w:val="2"/>
  </w:num>
  <w:num w:numId="45" w16cid:durableId="999889209">
    <w:abstractNumId w:val="0"/>
  </w:num>
  <w:num w:numId="46" w16cid:durableId="2042701047">
    <w:abstractNumId w:val="14"/>
  </w:num>
  <w:num w:numId="47" w16cid:durableId="1248147862">
    <w:abstractNumId w:val="13"/>
  </w:num>
  <w:num w:numId="48" w16cid:durableId="995111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07C5"/>
    <w:rsid w:val="00003D7C"/>
    <w:rsid w:val="000071D2"/>
    <w:rsid w:val="0001290B"/>
    <w:rsid w:val="00014140"/>
    <w:rsid w:val="00027428"/>
    <w:rsid w:val="0003171A"/>
    <w:rsid w:val="00031EC9"/>
    <w:rsid w:val="00035680"/>
    <w:rsid w:val="000509AA"/>
    <w:rsid w:val="00066FED"/>
    <w:rsid w:val="000739CB"/>
    <w:rsid w:val="00075EA6"/>
    <w:rsid w:val="0007709F"/>
    <w:rsid w:val="00086F62"/>
    <w:rsid w:val="00090674"/>
    <w:rsid w:val="0009103D"/>
    <w:rsid w:val="0009320B"/>
    <w:rsid w:val="00096AE0"/>
    <w:rsid w:val="000A0AA6"/>
    <w:rsid w:val="000B1B74"/>
    <w:rsid w:val="000B3A2D"/>
    <w:rsid w:val="000B49C0"/>
    <w:rsid w:val="000D26FA"/>
    <w:rsid w:val="000D4BCD"/>
    <w:rsid w:val="000E382F"/>
    <w:rsid w:val="000E3E9B"/>
    <w:rsid w:val="000E75CD"/>
    <w:rsid w:val="000F1E72"/>
    <w:rsid w:val="000F7145"/>
    <w:rsid w:val="001036BA"/>
    <w:rsid w:val="001055E5"/>
    <w:rsid w:val="0010733C"/>
    <w:rsid w:val="001146DC"/>
    <w:rsid w:val="00114AB1"/>
    <w:rsid w:val="001230FF"/>
    <w:rsid w:val="00130BD7"/>
    <w:rsid w:val="00155B67"/>
    <w:rsid w:val="001562AF"/>
    <w:rsid w:val="00160365"/>
    <w:rsid w:val="00161A5B"/>
    <w:rsid w:val="0016385D"/>
    <w:rsid w:val="0016782F"/>
    <w:rsid w:val="001937E9"/>
    <w:rsid w:val="001964E5"/>
    <w:rsid w:val="001A235E"/>
    <w:rsid w:val="001A44F1"/>
    <w:rsid w:val="001B263B"/>
    <w:rsid w:val="001B476A"/>
    <w:rsid w:val="001C4A95"/>
    <w:rsid w:val="001C764F"/>
    <w:rsid w:val="001C7BB3"/>
    <w:rsid w:val="001D469C"/>
    <w:rsid w:val="001F28A7"/>
    <w:rsid w:val="00200214"/>
    <w:rsid w:val="00200DD3"/>
    <w:rsid w:val="00203A23"/>
    <w:rsid w:val="0021619E"/>
    <w:rsid w:val="0023171B"/>
    <w:rsid w:val="00236BFC"/>
    <w:rsid w:val="00237437"/>
    <w:rsid w:val="00242DCD"/>
    <w:rsid w:val="002502FD"/>
    <w:rsid w:val="00274622"/>
    <w:rsid w:val="00277025"/>
    <w:rsid w:val="00285D24"/>
    <w:rsid w:val="00286A4B"/>
    <w:rsid w:val="00290390"/>
    <w:rsid w:val="002915D3"/>
    <w:rsid w:val="002924DB"/>
    <w:rsid w:val="002941DA"/>
    <w:rsid w:val="002B5648"/>
    <w:rsid w:val="002E3C35"/>
    <w:rsid w:val="002F5298"/>
    <w:rsid w:val="003059BA"/>
    <w:rsid w:val="00326AE0"/>
    <w:rsid w:val="00336887"/>
    <w:rsid w:val="00337E4F"/>
    <w:rsid w:val="00340C36"/>
    <w:rsid w:val="00345FDE"/>
    <w:rsid w:val="00346A9D"/>
    <w:rsid w:val="003545FD"/>
    <w:rsid w:val="00355471"/>
    <w:rsid w:val="0036545E"/>
    <w:rsid w:val="00366A49"/>
    <w:rsid w:val="0039376F"/>
    <w:rsid w:val="003A287B"/>
    <w:rsid w:val="003A5C85"/>
    <w:rsid w:val="003A61B1"/>
    <w:rsid w:val="003B0050"/>
    <w:rsid w:val="003D6312"/>
    <w:rsid w:val="003E7C74"/>
    <w:rsid w:val="003F31C6"/>
    <w:rsid w:val="003F6F2C"/>
    <w:rsid w:val="0040225B"/>
    <w:rsid w:val="00402DA2"/>
    <w:rsid w:val="00420F99"/>
    <w:rsid w:val="00425AC2"/>
    <w:rsid w:val="0044771F"/>
    <w:rsid w:val="00466C65"/>
    <w:rsid w:val="004B151D"/>
    <w:rsid w:val="004C7243"/>
    <w:rsid w:val="004D47A7"/>
    <w:rsid w:val="004E21DE"/>
    <w:rsid w:val="004E3C57"/>
    <w:rsid w:val="004E3CB2"/>
    <w:rsid w:val="004E424F"/>
    <w:rsid w:val="004E666A"/>
    <w:rsid w:val="00525813"/>
    <w:rsid w:val="0053513F"/>
    <w:rsid w:val="00574405"/>
    <w:rsid w:val="00581065"/>
    <w:rsid w:val="005854B0"/>
    <w:rsid w:val="0058675E"/>
    <w:rsid w:val="005A0E21"/>
    <w:rsid w:val="005B3A34"/>
    <w:rsid w:val="005D33A4"/>
    <w:rsid w:val="005D49AF"/>
    <w:rsid w:val="005D6CDD"/>
    <w:rsid w:val="005E415C"/>
    <w:rsid w:val="005E71ED"/>
    <w:rsid w:val="005E7946"/>
    <w:rsid w:val="005F7475"/>
    <w:rsid w:val="00603D08"/>
    <w:rsid w:val="00611299"/>
    <w:rsid w:val="00613B4D"/>
    <w:rsid w:val="00616365"/>
    <w:rsid w:val="00616F3B"/>
    <w:rsid w:val="0062276C"/>
    <w:rsid w:val="006249A7"/>
    <w:rsid w:val="006313D3"/>
    <w:rsid w:val="0064225B"/>
    <w:rsid w:val="006579D0"/>
    <w:rsid w:val="00657A78"/>
    <w:rsid w:val="006763F9"/>
    <w:rsid w:val="00680AA5"/>
    <w:rsid w:val="006949BC"/>
    <w:rsid w:val="006B7877"/>
    <w:rsid w:val="006D1229"/>
    <w:rsid w:val="006D372F"/>
    <w:rsid w:val="006D7A18"/>
    <w:rsid w:val="006E4474"/>
    <w:rsid w:val="00701388"/>
    <w:rsid w:val="007055D0"/>
    <w:rsid w:val="00706189"/>
    <w:rsid w:val="0072325A"/>
    <w:rsid w:val="00723B7F"/>
    <w:rsid w:val="00725861"/>
    <w:rsid w:val="0073393A"/>
    <w:rsid w:val="00734897"/>
    <w:rsid w:val="0073539D"/>
    <w:rsid w:val="00767B8A"/>
    <w:rsid w:val="00771CB0"/>
    <w:rsid w:val="00775481"/>
    <w:rsid w:val="00782A57"/>
    <w:rsid w:val="00787682"/>
    <w:rsid w:val="007A21C2"/>
    <w:rsid w:val="007A233B"/>
    <w:rsid w:val="007A405F"/>
    <w:rsid w:val="007B4863"/>
    <w:rsid w:val="007C65E6"/>
    <w:rsid w:val="007D406B"/>
    <w:rsid w:val="007D4407"/>
    <w:rsid w:val="007E1CA3"/>
    <w:rsid w:val="00812D62"/>
    <w:rsid w:val="00812F29"/>
    <w:rsid w:val="00817ABC"/>
    <w:rsid w:val="00821713"/>
    <w:rsid w:val="00827050"/>
    <w:rsid w:val="0083278B"/>
    <w:rsid w:val="00834538"/>
    <w:rsid w:val="00850E89"/>
    <w:rsid w:val="00861AA6"/>
    <w:rsid w:val="008930E4"/>
    <w:rsid w:val="00893821"/>
    <w:rsid w:val="008A7B9C"/>
    <w:rsid w:val="008B39FA"/>
    <w:rsid w:val="008B4754"/>
    <w:rsid w:val="008C1E76"/>
    <w:rsid w:val="008E6A7A"/>
    <w:rsid w:val="008F1038"/>
    <w:rsid w:val="008F7046"/>
    <w:rsid w:val="009005FC"/>
    <w:rsid w:val="00922E5A"/>
    <w:rsid w:val="00943315"/>
    <w:rsid w:val="00946C27"/>
    <w:rsid w:val="0094752B"/>
    <w:rsid w:val="009565D6"/>
    <w:rsid w:val="009616E3"/>
    <w:rsid w:val="009A4F3D"/>
    <w:rsid w:val="009B378E"/>
    <w:rsid w:val="009B696B"/>
    <w:rsid w:val="009B7671"/>
    <w:rsid w:val="009B77FC"/>
    <w:rsid w:val="009E5BA1"/>
    <w:rsid w:val="009F056E"/>
    <w:rsid w:val="00A24F3D"/>
    <w:rsid w:val="00A26DCD"/>
    <w:rsid w:val="00A314BB"/>
    <w:rsid w:val="00A32B7D"/>
    <w:rsid w:val="00A5596B"/>
    <w:rsid w:val="00A646B3"/>
    <w:rsid w:val="00A6739B"/>
    <w:rsid w:val="00A90413"/>
    <w:rsid w:val="00AA728C"/>
    <w:rsid w:val="00AB0A9C"/>
    <w:rsid w:val="00AB7119"/>
    <w:rsid w:val="00AC72B3"/>
    <w:rsid w:val="00AD5855"/>
    <w:rsid w:val="00AE7500"/>
    <w:rsid w:val="00AE76F6"/>
    <w:rsid w:val="00AE7F87"/>
    <w:rsid w:val="00AF3542"/>
    <w:rsid w:val="00AF4681"/>
    <w:rsid w:val="00AF5ABE"/>
    <w:rsid w:val="00AF7D58"/>
    <w:rsid w:val="00B00415"/>
    <w:rsid w:val="00B03C2A"/>
    <w:rsid w:val="00B1000D"/>
    <w:rsid w:val="00B10134"/>
    <w:rsid w:val="00B15B90"/>
    <w:rsid w:val="00B16BFE"/>
    <w:rsid w:val="00B500E5"/>
    <w:rsid w:val="00B81275"/>
    <w:rsid w:val="00B936B6"/>
    <w:rsid w:val="00B9598E"/>
    <w:rsid w:val="00BA17BA"/>
    <w:rsid w:val="00BA39BB"/>
    <w:rsid w:val="00BA3B3D"/>
    <w:rsid w:val="00BB7EEA"/>
    <w:rsid w:val="00BC79E0"/>
    <w:rsid w:val="00BD033C"/>
    <w:rsid w:val="00BD1909"/>
    <w:rsid w:val="00BE5E16"/>
    <w:rsid w:val="00BE5FD1"/>
    <w:rsid w:val="00BE70BA"/>
    <w:rsid w:val="00C06E05"/>
    <w:rsid w:val="00C14B14"/>
    <w:rsid w:val="00C16A6C"/>
    <w:rsid w:val="00C17370"/>
    <w:rsid w:val="00C2054D"/>
    <w:rsid w:val="00C21CFF"/>
    <w:rsid w:val="00C252EB"/>
    <w:rsid w:val="00C26EC0"/>
    <w:rsid w:val="00C34CBB"/>
    <w:rsid w:val="00C56C77"/>
    <w:rsid w:val="00C809C2"/>
    <w:rsid w:val="00C84923"/>
    <w:rsid w:val="00C93205"/>
    <w:rsid w:val="00C94503"/>
    <w:rsid w:val="00C94D11"/>
    <w:rsid w:val="00CB7B3E"/>
    <w:rsid w:val="00CC739D"/>
    <w:rsid w:val="00CF3683"/>
    <w:rsid w:val="00D02F77"/>
    <w:rsid w:val="00D04468"/>
    <w:rsid w:val="00D051DA"/>
    <w:rsid w:val="00D30640"/>
    <w:rsid w:val="00D36257"/>
    <w:rsid w:val="00D4687E"/>
    <w:rsid w:val="00D53A12"/>
    <w:rsid w:val="00D55D8C"/>
    <w:rsid w:val="00D86D0D"/>
    <w:rsid w:val="00D87E2A"/>
    <w:rsid w:val="00D9784E"/>
    <w:rsid w:val="00DB079C"/>
    <w:rsid w:val="00DB0C43"/>
    <w:rsid w:val="00DD3A9B"/>
    <w:rsid w:val="00DE3354"/>
    <w:rsid w:val="00DF7DCD"/>
    <w:rsid w:val="00E16280"/>
    <w:rsid w:val="00E47A86"/>
    <w:rsid w:val="00E50B7D"/>
    <w:rsid w:val="00E74C31"/>
    <w:rsid w:val="00E904A1"/>
    <w:rsid w:val="00EB7D28"/>
    <w:rsid w:val="00EC0988"/>
    <w:rsid w:val="00EC0D0C"/>
    <w:rsid w:val="00ED3C20"/>
    <w:rsid w:val="00ED4A2C"/>
    <w:rsid w:val="00ED5518"/>
    <w:rsid w:val="00EE69E9"/>
    <w:rsid w:val="00EE6F57"/>
    <w:rsid w:val="00EF6940"/>
    <w:rsid w:val="00F2044A"/>
    <w:rsid w:val="00F20BFC"/>
    <w:rsid w:val="00F2466A"/>
    <w:rsid w:val="00F24D5F"/>
    <w:rsid w:val="00F26820"/>
    <w:rsid w:val="00F30697"/>
    <w:rsid w:val="00F34BC9"/>
    <w:rsid w:val="00F51507"/>
    <w:rsid w:val="00F62147"/>
    <w:rsid w:val="00F629E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fontstyle01">
    <w:name w:val="fontstyle01"/>
    <w:basedOn w:val="DefaultParagraphFont"/>
    <w:rsid w:val="000D26FA"/>
    <w:rPr>
      <w:rFonts w:ascii="NimbusRomNo9L-Medi" w:hAnsi="NimbusRomNo9L-Medi"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20040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F5722D18-DB8C-4B44-ABC6-E1208035C163}">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TotalTime>
  <Pages>1</Pages>
  <Words>9898</Words>
  <Characters>60477</Characters>
  <Application>Microsoft Office Word</Application>
  <DocSecurity>0</DocSecurity>
  <Lines>795</Lines>
  <Paragraphs>278</Paragraphs>
  <ScaleCrop>false</ScaleCrop>
  <HeadingPairs>
    <vt:vector size="6" baseType="variant">
      <vt:variant>
        <vt:lpstr>Titre</vt:lpstr>
      </vt:variant>
      <vt:variant>
        <vt:i4>1</vt:i4>
      </vt:variant>
      <vt:variant>
        <vt:lpstr>Titres</vt:lpstr>
      </vt:variant>
      <vt:variant>
        <vt:i4>14</vt:i4>
      </vt:variant>
      <vt:variant>
        <vt:lpstr>Title</vt:lpstr>
      </vt:variant>
      <vt:variant>
        <vt:i4>1</vt:i4>
      </vt:variant>
    </vt:vector>
  </HeadingPairs>
  <TitlesOfParts>
    <vt:vector size="16" baseType="lpstr">
      <vt:lpstr>Title Goes Here</vt:lpstr>
      <vt:lpstr>Introduction</vt:lpstr>
      <vt:lpstr>Materials and Methods</vt:lpstr>
      <vt:lpstr>    Site Overview for Solar Energy Experiments   </vt:lpstr>
      <vt:lpstr>    Experimental Setup   </vt:lpstr>
      <vt:lpstr>Methodology </vt:lpstr>
      <vt:lpstr>    Experimental Procedures </vt:lpstr>
      <vt:lpstr>    Critical Performance Parameters for Photovoltaic Modules </vt:lpstr>
      <vt:lpstr>results and discussion </vt:lpstr>
      <vt:lpstr>    Variation of Solar Irradiance (E) and Ultraviolet Radiation (UV)  </vt:lpstr>
      <vt:lpstr>    Variation of Tamb and RH   </vt:lpstr>
      <vt:lpstr>    Variation of Open-Circuit Voltage and Short-Circuit Current </vt:lpstr>
      <vt:lpstr>    Variation of of Pmax and Tmod  </vt:lpstr>
      <vt:lpstr>    Comparison of Results on PV Module Efficiency Loss </vt:lpstr>
      <vt:lpstr>CONCLUSION </vt:lpstr>
      <vt:lpstr>Title Goes Here</vt:lpstr>
    </vt:vector>
  </TitlesOfParts>
  <Company>PPI</Company>
  <LinksUpToDate>false</LinksUpToDate>
  <CharactersWithSpaces>70097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14</cp:revision>
  <cp:lastPrinted>2011-03-03T08:29:00Z</cp:lastPrinted>
  <dcterms:created xsi:type="dcterms:W3CDTF">2025-11-15T16:50:00Z</dcterms:created>
  <dcterms:modified xsi:type="dcterms:W3CDTF">2025-12-06T16:35:00Z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http://www.zotero.org/styles/current-sustainable-renewable-energy-reports</vt:lpwstr>
  </property>
  <property fmtid="{D5CDD505-2E9C-101B-9397-08002B2CF9AE}" pid="12" name="Mendeley Recent Style Name 4_1">
    <vt:lpwstr>Current Sustainable/Renewable Energy Reports</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http://www.zotero.org/styles/journal-of-renewable-and-sustainable-energy</vt:lpwstr>
  </property>
  <property fmtid="{D5CDD505-2E9C-101B-9397-08002B2CF9AE}" pid="16" name="Mendeley Recent Style Name 6_1">
    <vt:lpwstr>Journal of Renewable and Sustainable Energy</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http://www.zotero.org/styles/renewable-and-sustainable-energy-reviews</vt:lpwstr>
  </property>
  <property fmtid="{D5CDD505-2E9C-101B-9397-08002B2CF9AE}" pid="20" name="Mendeley Recent Style Name 8_1">
    <vt:lpwstr>Renewable and Sustainable Energy Reviews</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http://www.zotero.org/styles/nature</vt:lpwstr>
  </property>
  <property fmtid="{D5CDD505-2E9C-101B-9397-08002B2CF9AE}" pid="24" name="Mendeley Document_1">
    <vt:lpwstr>True</vt:lpwstr>
  </property>
  <property fmtid="{D5CDD505-2E9C-101B-9397-08002B2CF9AE}" pid="25" name="Mendeley Unique User Id_1">
    <vt:lpwstr>4de4e9db-5cfe-3d75-b5e8-eb082a7a3d42</vt:lpwstr>
  </property>
</Properties>
</file>