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7768" w14:textId="520A5FD6" w:rsidR="00DA3CD6" w:rsidRDefault="00DA3CD6" w:rsidP="00DA3CD6">
      <w:pPr>
        <w:pStyle w:val="AuthorName"/>
        <w:rPr>
          <w:b/>
          <w:sz w:val="36"/>
        </w:rPr>
      </w:pPr>
      <w:r w:rsidRPr="00DA3CD6">
        <w:rPr>
          <w:b/>
          <w:sz w:val="36"/>
        </w:rPr>
        <w:t xml:space="preserve">Performance Analysis </w:t>
      </w:r>
      <w:r w:rsidR="00B135A7">
        <w:rPr>
          <w:b/>
          <w:sz w:val="36"/>
        </w:rPr>
        <w:t>o</w:t>
      </w:r>
      <w:r w:rsidRPr="00DA3CD6">
        <w:rPr>
          <w:b/>
          <w:sz w:val="36"/>
        </w:rPr>
        <w:t xml:space="preserve">f Green Hydrogen Production </w:t>
      </w:r>
      <w:r w:rsidR="00B135A7">
        <w:rPr>
          <w:b/>
          <w:sz w:val="36"/>
        </w:rPr>
        <w:t>v</w:t>
      </w:r>
      <w:r w:rsidRPr="00DA3CD6">
        <w:rPr>
          <w:b/>
          <w:sz w:val="36"/>
        </w:rPr>
        <w:t>ia Surplus Solar</w:t>
      </w:r>
      <w:r w:rsidR="00836A3B">
        <w:rPr>
          <w:b/>
          <w:sz w:val="36"/>
        </w:rPr>
        <w:t xml:space="preserve"> </w:t>
      </w:r>
      <w:r w:rsidRPr="00DA3CD6">
        <w:rPr>
          <w:b/>
          <w:sz w:val="36"/>
        </w:rPr>
        <w:t>Power</w:t>
      </w:r>
      <w:r w:rsidR="005E6252">
        <w:rPr>
          <w:b/>
          <w:sz w:val="36"/>
        </w:rPr>
        <w:t xml:space="preserve"> </w:t>
      </w:r>
      <w:r w:rsidR="00AD6C5C">
        <w:rPr>
          <w:b/>
          <w:sz w:val="36"/>
        </w:rPr>
        <w:t>S</w:t>
      </w:r>
      <w:r w:rsidR="005E6252">
        <w:rPr>
          <w:b/>
          <w:sz w:val="36"/>
        </w:rPr>
        <w:t>upplying</w:t>
      </w:r>
      <w:r w:rsidRPr="00DA3CD6">
        <w:rPr>
          <w:b/>
          <w:sz w:val="36"/>
        </w:rPr>
        <w:t xml:space="preserve"> Alkaline Electrolysis</w:t>
      </w:r>
    </w:p>
    <w:p w14:paraId="22119A66" w14:textId="36350327" w:rsidR="005B07BA" w:rsidRDefault="007E5E8C" w:rsidP="00DA3CD6">
      <w:pPr>
        <w:pStyle w:val="AuthorName"/>
        <w:rPr>
          <w:sz w:val="20"/>
          <w:lang w:val="en-GB" w:eastAsia="en-GB"/>
        </w:rPr>
      </w:pPr>
      <w:r>
        <w:t>Ioannis</w:t>
      </w:r>
      <w:r w:rsidR="00730C21">
        <w:t xml:space="preserve"> E.</w:t>
      </w:r>
      <w:r>
        <w:t xml:space="preserve"> Kosmadakis</w:t>
      </w:r>
      <w:r w:rsidR="00EF6940" w:rsidRPr="2F830975">
        <w:rPr>
          <w:vertAlign w:val="superscript"/>
        </w:rPr>
        <w:t>1,</w:t>
      </w:r>
      <w:r w:rsidR="003A5C85" w:rsidRPr="2F830975">
        <w:rPr>
          <w:vertAlign w:val="superscript"/>
        </w:rPr>
        <w:t xml:space="preserve"> </w:t>
      </w:r>
      <w:r w:rsidR="00EF6940" w:rsidRPr="2F830975">
        <w:rPr>
          <w:vertAlign w:val="superscript"/>
        </w:rPr>
        <w:t>a)</w:t>
      </w:r>
      <w:r w:rsidR="006D2729">
        <w:t>, Tatiani Stimoniari</w:t>
      </w:r>
      <w:r w:rsidR="005E6252">
        <w:rPr>
          <w:vertAlign w:val="superscript"/>
        </w:rPr>
        <w:t>1</w:t>
      </w:r>
      <w:r w:rsidR="005E6252" w:rsidRPr="2F830975">
        <w:rPr>
          <w:vertAlign w:val="superscript"/>
        </w:rPr>
        <w:t>, b)</w:t>
      </w:r>
      <w:r w:rsidR="00BA55A6">
        <w:t xml:space="preserve">, </w:t>
      </w:r>
      <w:r>
        <w:t>Costas Elmasides</w:t>
      </w:r>
      <w:r w:rsidR="00830347">
        <w:rPr>
          <w:vertAlign w:val="superscript"/>
        </w:rPr>
        <w:t>1</w:t>
      </w:r>
      <w:r w:rsidR="003A5C85" w:rsidRPr="2F830975">
        <w:rPr>
          <w:vertAlign w:val="superscript"/>
        </w:rPr>
        <w:t xml:space="preserve">, </w:t>
      </w:r>
      <w:r w:rsidR="005E6252">
        <w:rPr>
          <w:vertAlign w:val="superscript"/>
        </w:rPr>
        <w:t>c</w:t>
      </w:r>
      <w:r w:rsidR="003A5C85" w:rsidRPr="2F830975">
        <w:rPr>
          <w:vertAlign w:val="superscript"/>
        </w:rPr>
        <w:t>)</w:t>
      </w:r>
      <w:r w:rsidR="003065C1">
        <w:t xml:space="preserve">, and </w:t>
      </w:r>
      <w:r w:rsidR="00F617E3" w:rsidRPr="00F617E3">
        <w:t>Katerina Stamatelatou</w:t>
      </w:r>
      <w:r w:rsidR="00F617E3">
        <w:rPr>
          <w:vertAlign w:val="superscript"/>
        </w:rPr>
        <w:t>1</w:t>
      </w:r>
      <w:r w:rsidR="00F617E3" w:rsidRPr="2F830975">
        <w:rPr>
          <w:vertAlign w:val="superscript"/>
        </w:rPr>
        <w:t xml:space="preserve">, </w:t>
      </w:r>
      <w:r w:rsidR="00F617E3">
        <w:rPr>
          <w:vertAlign w:val="superscript"/>
        </w:rPr>
        <w:t>d</w:t>
      </w:r>
      <w:r w:rsidR="00F617E3" w:rsidRPr="2F830975">
        <w:rPr>
          <w:vertAlign w:val="superscript"/>
        </w:rPr>
        <w:t>)</w:t>
      </w:r>
      <w:r w:rsidR="009102C0">
        <w:rPr>
          <w:vertAlign w:val="superscript"/>
        </w:rPr>
        <w:t xml:space="preserve"> </w:t>
      </w:r>
    </w:p>
    <w:p w14:paraId="771D6B6C" w14:textId="398C0DB9" w:rsidR="00C14B14" w:rsidRPr="00AA4590" w:rsidRDefault="00027428" w:rsidP="00D3391B">
      <w:pPr>
        <w:pStyle w:val="AuthorName"/>
        <w:spacing w:before="0" w:after="0" w:line="276" w:lineRule="auto"/>
        <w:rPr>
          <w:i/>
          <w:iCs/>
          <w:sz w:val="20"/>
          <w:lang w:val="en-GB" w:eastAsia="en-GB"/>
        </w:rPr>
      </w:pPr>
      <w:r w:rsidRPr="00AA4590">
        <w:rPr>
          <w:i/>
          <w:iCs/>
          <w:sz w:val="20"/>
          <w:lang w:val="en-GB" w:eastAsia="en-GB"/>
        </w:rPr>
        <w:t xml:space="preserve"> </w:t>
      </w:r>
      <w:r w:rsidRPr="00FB7749">
        <w:rPr>
          <w:i/>
          <w:iCs/>
          <w:sz w:val="20"/>
          <w:vertAlign w:val="superscript"/>
          <w:lang w:val="en-GB" w:eastAsia="en-GB"/>
        </w:rPr>
        <w:t>1</w:t>
      </w:r>
      <w:r w:rsidR="00634F0A" w:rsidRPr="00AA4590">
        <w:rPr>
          <w:i/>
          <w:iCs/>
          <w:sz w:val="20"/>
          <w:lang w:val="en-GB" w:eastAsia="en-GB"/>
        </w:rPr>
        <w:t xml:space="preserve"> Department of Environmental Engineering, Democritus University of Thrace, 67132 Xanthi, Greece </w:t>
      </w:r>
    </w:p>
    <w:p w14:paraId="64D7754C" w14:textId="77777777" w:rsidR="008422EE" w:rsidRDefault="00C14B14" w:rsidP="002835A4">
      <w:pPr>
        <w:pStyle w:val="AuthorAffiliation"/>
      </w:pPr>
      <w:r w:rsidRPr="00075EA6">
        <w:br/>
      </w:r>
      <w:r w:rsidR="00003D7C" w:rsidRPr="00075EA6">
        <w:rPr>
          <w:szCs w:val="28"/>
          <w:vertAlign w:val="superscript"/>
        </w:rPr>
        <w:t>a)</w:t>
      </w:r>
      <w:r w:rsidR="00003D7C" w:rsidRPr="00075EA6">
        <w:t xml:space="preserve"> Corresponding</w:t>
      </w:r>
      <w:r w:rsidR="004E3CB2" w:rsidRPr="00075EA6">
        <w:t xml:space="preserve"> author: </w:t>
      </w:r>
      <w:r w:rsidR="007E5E8C">
        <w:t>ikosmada</w:t>
      </w:r>
      <w:r w:rsidR="00D53EBF">
        <w:t>@env.duth.gr</w:t>
      </w:r>
      <w:r w:rsidR="001D469C" w:rsidRPr="00075EA6">
        <w:br/>
      </w:r>
      <w:r w:rsidR="003D0947" w:rsidRPr="00075EA6">
        <w:rPr>
          <w:szCs w:val="28"/>
          <w:vertAlign w:val="superscript"/>
        </w:rPr>
        <w:t>b)</w:t>
      </w:r>
      <w:r w:rsidR="003D0947" w:rsidRPr="005E6252">
        <w:t xml:space="preserve"> tstimoni@env.duth.gr</w:t>
      </w:r>
      <w:r w:rsidR="005E6252">
        <w:t>,</w:t>
      </w:r>
    </w:p>
    <w:p w14:paraId="3A6DC6DC" w14:textId="77777777" w:rsidR="00B86003" w:rsidRDefault="003D0947" w:rsidP="002835A4">
      <w:pPr>
        <w:pStyle w:val="AuthorAffiliation"/>
        <w:rPr>
          <w:vertAlign w:val="superscript"/>
        </w:rPr>
      </w:pPr>
      <w:r>
        <w:rPr>
          <w:szCs w:val="28"/>
          <w:vertAlign w:val="superscript"/>
        </w:rPr>
        <w:t>c</w:t>
      </w:r>
      <w:r w:rsidRPr="00075EA6">
        <w:rPr>
          <w:szCs w:val="28"/>
          <w:vertAlign w:val="superscript"/>
        </w:rPr>
        <w:t>)</w:t>
      </w:r>
      <w:r>
        <w:t xml:space="preserve"> kelmasid@env.duth.gr</w:t>
      </w:r>
      <w:r w:rsidR="002469F0">
        <w:t xml:space="preserve">, </w:t>
      </w:r>
    </w:p>
    <w:p w14:paraId="52170AF2" w14:textId="5628C1D1" w:rsidR="00D53EBF" w:rsidRDefault="002469F0" w:rsidP="002835A4">
      <w:pPr>
        <w:pStyle w:val="AuthorAffiliation"/>
        <w:rPr>
          <w:b/>
          <w:bCs/>
        </w:rPr>
      </w:pPr>
      <w:r w:rsidRPr="2F830975">
        <w:rPr>
          <w:vertAlign w:val="superscript"/>
        </w:rPr>
        <w:t xml:space="preserve"> </w:t>
      </w:r>
      <w:r>
        <w:rPr>
          <w:vertAlign w:val="superscript"/>
        </w:rPr>
        <w:t>d</w:t>
      </w:r>
      <w:r w:rsidRPr="2F830975">
        <w:rPr>
          <w:vertAlign w:val="superscript"/>
        </w:rPr>
        <w:t>)</w:t>
      </w:r>
      <w:r>
        <w:rPr>
          <w:vertAlign w:val="superscript"/>
        </w:rPr>
        <w:t xml:space="preserve"> </w:t>
      </w:r>
      <w:r>
        <w:t>astamat@env.duth.gr</w:t>
      </w:r>
    </w:p>
    <w:p w14:paraId="22C3F2A8" w14:textId="1D02DFD7" w:rsidR="0016385D" w:rsidRPr="00625BAF" w:rsidRDefault="0016385D" w:rsidP="00E422C9">
      <w:pPr>
        <w:pStyle w:val="Abstract"/>
      </w:pPr>
      <w:r w:rsidRPr="00181A79">
        <w:rPr>
          <w:b/>
          <w:bCs/>
        </w:rPr>
        <w:t>Abstract.</w:t>
      </w:r>
      <w:r w:rsidRPr="00075EA6">
        <w:t xml:space="preserve"> </w:t>
      </w:r>
      <w:r w:rsidR="007D7300" w:rsidRPr="007D7300">
        <w:t xml:space="preserve">This study </w:t>
      </w:r>
      <w:r w:rsidR="00E422C9" w:rsidRPr="00E422C9">
        <w:t xml:space="preserve">presents the </w:t>
      </w:r>
      <w:r w:rsidR="00941E7F">
        <w:t>experimental setup</w:t>
      </w:r>
      <w:r w:rsidR="00E422C9" w:rsidRPr="00E422C9">
        <w:t xml:space="preserve"> and performance analysis</w:t>
      </w:r>
      <w:r w:rsidR="00E422C9">
        <w:t xml:space="preserve"> of </w:t>
      </w:r>
      <w:r w:rsidR="007D7300" w:rsidRPr="007D7300">
        <w:t xml:space="preserve">a hybrid photovoltaic–battery–electrolyzer system designed for </w:t>
      </w:r>
      <w:r w:rsidR="00652750">
        <w:t>“</w:t>
      </w:r>
      <w:r w:rsidR="007D7300" w:rsidRPr="007D7300">
        <w:t>green</w:t>
      </w:r>
      <w:r w:rsidR="00652750">
        <w:t>”</w:t>
      </w:r>
      <w:r w:rsidR="007D7300" w:rsidRPr="007D7300">
        <w:t xml:space="preserve"> hydrogen production using surplus solar power. The setup integrates PV arrays, lithium storage, power electronics, and an alkaline electrolyzer operating dynamically under real solar conditions. Results show stable hydrogen output up to 511 L h⁻¹ at 2.5 kW and a linear correlation between electrolyzer power and hydrogen flow. The system achieved </w:t>
      </w:r>
      <w:r w:rsidR="008D6CBE">
        <w:t>high</w:t>
      </w:r>
      <w:r w:rsidR="007D7300" w:rsidRPr="007D7300">
        <w:t xml:space="preserve"> efficiency and reliable operation under variable irradiance, confirming the technical feasibility of renewable-powered electrolysis and its potential for future Power-to-Gas (P2G) applications.</w:t>
      </w:r>
    </w:p>
    <w:p w14:paraId="41B40857" w14:textId="1F10FDD5" w:rsidR="000A4D00" w:rsidRPr="00625BAF" w:rsidRDefault="00C95D72" w:rsidP="00950937">
      <w:pPr>
        <w:pStyle w:val="Heading1"/>
      </w:pPr>
      <w:r w:rsidRPr="00625BAF">
        <w:t>Intro</w:t>
      </w:r>
      <w:r w:rsidR="00A35FCD" w:rsidRPr="00625BAF">
        <w:t>duction</w:t>
      </w:r>
    </w:p>
    <w:p w14:paraId="63AE536B" w14:textId="4B1473A2" w:rsidR="00BE52F5" w:rsidRPr="00C73923" w:rsidRDefault="00BE52F5" w:rsidP="00EB76A2">
      <w:pPr>
        <w:pStyle w:val="Paragraph"/>
      </w:pPr>
      <w:r w:rsidRPr="00C73923">
        <w:t xml:space="preserve">Within the </w:t>
      </w:r>
      <w:r w:rsidR="00E71C52" w:rsidRPr="00C73923">
        <w:t xml:space="preserve">European Union’s </w:t>
      </w:r>
      <w:r w:rsidRPr="00C73923">
        <w:t>regulatory framework that mandates the achievement of climate neutrality by 2050, and considering the environmental challenges associated with conventional combustion processes, a global transition toward cleaner and more sustainable forms of energy has already begun. In recent years, hydrogen has emerged as a key enabling technology with diverse applications across multiple sectors. Among its most significant roles are its use as a carbon-free fuel and as an alternative medium for energy storage and conversion [1]. Hydrogen possesses a high energy density, is non-toxic, and can be produced through various methods. Of particular importance is the production of green hydrogen via water electrolysis powered by renewable</w:t>
      </w:r>
      <w:r w:rsidR="003F0D3D" w:rsidRPr="00C73923">
        <w:t>s</w:t>
      </w:r>
      <w:r w:rsidRPr="00C73923">
        <w:t xml:space="preserve"> [2].</w:t>
      </w:r>
      <w:r w:rsidR="00EB76A2" w:rsidRPr="00C73923">
        <w:t xml:space="preserve"> </w:t>
      </w:r>
    </w:p>
    <w:p w14:paraId="240D4922" w14:textId="33ECFF90" w:rsidR="00BE52F5" w:rsidRPr="00C73923" w:rsidRDefault="00BE52F5" w:rsidP="00EB76A2">
      <w:pPr>
        <w:pStyle w:val="Paragraph"/>
      </w:pPr>
      <w:r w:rsidRPr="00C73923">
        <w:t xml:space="preserve">Among available electrolysis technologies, alkaline water electrolysis </w:t>
      </w:r>
      <w:r w:rsidR="00A27931" w:rsidRPr="00C73923">
        <w:t xml:space="preserve">is </w:t>
      </w:r>
      <w:r w:rsidRPr="00C73923">
        <w:t xml:space="preserve">widely used, </w:t>
      </w:r>
      <w:r w:rsidR="00681E38" w:rsidRPr="00C73923">
        <w:t xml:space="preserve">as it represents a reliable method with high efficiency and well-established technological maturity </w:t>
      </w:r>
      <w:r w:rsidRPr="00C73923">
        <w:t>[3]. In most renewable systems, electrolyzers are deployed to produce hydrogen by utilizing surplus electrical energy. For instance, in [4], the excess power generated by a PV</w:t>
      </w:r>
      <w:r w:rsidR="00BC2D6A" w:rsidRPr="00C73923">
        <w:t>-B</w:t>
      </w:r>
      <w:r w:rsidRPr="00C73923">
        <w:t xml:space="preserve">attery </w:t>
      </w:r>
      <w:r w:rsidR="00B20B7F" w:rsidRPr="00C73923">
        <w:t>s</w:t>
      </w:r>
      <w:r w:rsidRPr="00C73923">
        <w:t xml:space="preserve">ystem </w:t>
      </w:r>
      <w:r w:rsidR="00B20B7F" w:rsidRPr="00C73923">
        <w:t xml:space="preserve">(PVBAT) </w:t>
      </w:r>
      <w:r w:rsidRPr="00C73923">
        <w:t xml:space="preserve">is converted into hydrogen, which is later used in fuel cells to meet electrical demand. Similarly, </w:t>
      </w:r>
      <w:r w:rsidR="004409B3" w:rsidRPr="00C73923">
        <w:t>in [5] the storage function was shifted to zero-emission vehicles equipped with onboard batteries and hydrogen systems, providing flexibility during periods of low renewable output.</w:t>
      </w:r>
    </w:p>
    <w:p w14:paraId="19E0737F" w14:textId="774080A5" w:rsidR="00F200E1" w:rsidRPr="00C73923" w:rsidRDefault="00DD42DE" w:rsidP="008D1FF2">
      <w:pPr>
        <w:pStyle w:val="Paragraph"/>
      </w:pPr>
      <w:r w:rsidRPr="00C73923">
        <w:t xml:space="preserve">Hydrogen also contributes directly to the decarbonization of power and fuel sectors [6]. </w:t>
      </w:r>
      <w:r w:rsidR="00BE52F5" w:rsidRPr="00C73923">
        <w:t xml:space="preserve">A particularly promising application is the upgrading of biogas into </w:t>
      </w:r>
      <w:r w:rsidR="00D46AF5" w:rsidRPr="00C73923">
        <w:t xml:space="preserve">biomethane </w:t>
      </w:r>
      <w:r w:rsidR="00C36CAD" w:rsidRPr="00C73923">
        <w:t>through hydrogen-assisted methanation, producing a renewable substitute for natural gas.</w:t>
      </w:r>
      <w:r w:rsidR="00BE52F5" w:rsidRPr="00C73923">
        <w:t xml:space="preserve"> </w:t>
      </w:r>
      <w:r w:rsidR="00932F7B" w:rsidRPr="00C73923">
        <w:t>Biomethane offers compatibility with existing gas infrastructure, generates near-zero CO₂ emissions, and supports the transport and mobility sectors [7].</w:t>
      </w:r>
    </w:p>
    <w:p w14:paraId="313DCFB9" w14:textId="5C338FF5" w:rsidR="00BE52F5" w:rsidRPr="00C73923" w:rsidRDefault="00BE52F5" w:rsidP="009D51CF">
      <w:pPr>
        <w:pStyle w:val="Paragraph"/>
      </w:pPr>
      <w:r w:rsidRPr="00C73923">
        <w:t xml:space="preserve">The main objective of this study is the development and operation of a Hybrid Renewable Energy System (HRES) supplying renewable electricity to an </w:t>
      </w:r>
      <w:r w:rsidR="00091C34" w:rsidRPr="00C73923">
        <w:t>E</w:t>
      </w:r>
      <w:r w:rsidRPr="00C73923">
        <w:t>lectrolyzer</w:t>
      </w:r>
      <w:r w:rsidR="00091C34" w:rsidRPr="00C73923">
        <w:t xml:space="preserve"> for green</w:t>
      </w:r>
      <w:r w:rsidR="00BC11B6" w:rsidRPr="00C73923">
        <w:t xml:space="preserve"> H</w:t>
      </w:r>
      <w:r w:rsidR="00BC11B6" w:rsidRPr="00C73923">
        <w:rPr>
          <w:vertAlign w:val="subscript"/>
        </w:rPr>
        <w:t>2</w:t>
      </w:r>
      <w:r w:rsidRPr="00C73923">
        <w:t xml:space="preserve"> production</w:t>
      </w:r>
      <w:r w:rsidR="00020AEE" w:rsidRPr="00C73923">
        <w:t>,</w:t>
      </w:r>
      <w:r w:rsidRPr="00C73923">
        <w:t xml:space="preserve"> </w:t>
      </w:r>
      <w:r w:rsidR="0008136E" w:rsidRPr="00C73923">
        <w:t>used in turn for</w:t>
      </w:r>
      <w:r w:rsidR="002E274D" w:rsidRPr="00C73923">
        <w:t xml:space="preserve"> the needs</w:t>
      </w:r>
      <w:r w:rsidR="0008136E" w:rsidRPr="00C73923">
        <w:t xml:space="preserve"> </w:t>
      </w:r>
      <w:r w:rsidR="00BB04B0" w:rsidRPr="00C73923">
        <w:t xml:space="preserve">of </w:t>
      </w:r>
      <w:r w:rsidR="0008136E" w:rsidRPr="00C73923">
        <w:t>biogas upgrading into biomethane</w:t>
      </w:r>
      <w:r w:rsidR="00020AEE" w:rsidRPr="00C73923">
        <w:t xml:space="preserve"> within our laboratory</w:t>
      </w:r>
      <w:r w:rsidR="0008136E" w:rsidRPr="00C73923">
        <w:t xml:space="preserve">. </w:t>
      </w:r>
      <w:r w:rsidRPr="00C73923">
        <w:t xml:space="preserve">To achieve this goal, continuous monitoring and analysis of key operational parameters was essential, forming an additional focus of the research. In this context, Power-to-Gas (P2G) technologies provide a promising pathway by converting excess renewable electricity into </w:t>
      </w:r>
      <w:bookmarkStart w:id="0" w:name="_Hlk211334677"/>
      <w:r w:rsidR="002237B1" w:rsidRPr="00C73923">
        <w:t>H</w:t>
      </w:r>
      <w:r w:rsidR="002237B1" w:rsidRPr="00C73923">
        <w:rPr>
          <w:vertAlign w:val="subscript"/>
        </w:rPr>
        <w:t>2</w:t>
      </w:r>
      <w:bookmarkEnd w:id="0"/>
      <w:r w:rsidRPr="00C73923">
        <w:t>, which can subsequently be transformed into fuels such as biomethane for long-term energy storage and sector coupling.</w:t>
      </w:r>
    </w:p>
    <w:p w14:paraId="3174FFC0" w14:textId="0EB0B636" w:rsidR="00CC3918" w:rsidRPr="00C73923" w:rsidRDefault="00BE52F5" w:rsidP="00BE52F5">
      <w:pPr>
        <w:pStyle w:val="Paragraph"/>
      </w:pPr>
      <w:r w:rsidRPr="00C73923">
        <w:t>The structure of this paper is as follows: following this Introduction, Chapter 2 presents the design and experimental setup of the HRES</w:t>
      </w:r>
      <w:r w:rsidR="0008037F" w:rsidRPr="00C73923">
        <w:t xml:space="preserve"> and</w:t>
      </w:r>
      <w:r w:rsidR="00D0070F" w:rsidRPr="00C73923">
        <w:t xml:space="preserve"> Elect</w:t>
      </w:r>
      <w:r w:rsidR="00B71FF5" w:rsidRPr="00C73923">
        <w:t>rolyzer</w:t>
      </w:r>
      <w:r w:rsidR="00BE0CCF" w:rsidRPr="00C73923">
        <w:t xml:space="preserve"> test</w:t>
      </w:r>
      <w:r w:rsidR="00C75F0A" w:rsidRPr="00C73923">
        <w:t xml:space="preserve"> rig</w:t>
      </w:r>
      <w:r w:rsidRPr="00C73923">
        <w:t>. Section 3 discusses the dynamic hydrogen production driven by surplus photovoltaic energy and provides a performance and efficiency evaluation of the system’s main components. Finally, Chapter 4 summarizes the concluding remarks and offers suggestions for future work.</w:t>
      </w:r>
    </w:p>
    <w:p w14:paraId="696990CC" w14:textId="6689DE8D" w:rsidR="007F6E7C" w:rsidRDefault="00C95D72" w:rsidP="009D76EF">
      <w:pPr>
        <w:pStyle w:val="Heading1"/>
      </w:pPr>
      <w:r w:rsidRPr="007E2E74">
        <w:lastRenderedPageBreak/>
        <w:t>Experimental s</w:t>
      </w:r>
      <w:r w:rsidR="00F560C7">
        <w:t>ETUP</w:t>
      </w:r>
    </w:p>
    <w:p w14:paraId="5EA3FAF9" w14:textId="442A7901" w:rsidR="00C27B6D" w:rsidRPr="00C73923" w:rsidRDefault="00880822" w:rsidP="00C27B6D">
      <w:pPr>
        <w:pStyle w:val="Paragraph"/>
      </w:pPr>
      <w:r w:rsidRPr="00C73923">
        <w:t xml:space="preserve">A comprehensive </w:t>
      </w:r>
      <w:r w:rsidR="008D1A90" w:rsidRPr="00C73923">
        <w:t>HRES</w:t>
      </w:r>
      <w:r w:rsidRPr="00C73923">
        <w:t xml:space="preserve"> </w:t>
      </w:r>
      <w:r w:rsidR="0080404F" w:rsidRPr="00C73923">
        <w:t>was</w:t>
      </w:r>
      <w:r w:rsidRPr="00C73923">
        <w:t xml:space="preserve"> developed to demonstrate the conversion of solar energy into green hydrogen </w:t>
      </w:r>
      <w:r w:rsidR="00AE1229" w:rsidRPr="00C73923">
        <w:t>via</w:t>
      </w:r>
      <w:r w:rsidRPr="00C73923">
        <w:t xml:space="preserve"> controlled water electrolysis. The setup integrates </w:t>
      </w:r>
      <w:r w:rsidR="000E0926" w:rsidRPr="00C73923">
        <w:t>PV</w:t>
      </w:r>
      <w:r w:rsidRPr="00C73923">
        <w:t xml:space="preserve"> panels, lithium battery storage, advanced power electronics, and a supervisory control system, forming a fully instrumented microgrid capable of autonomous operation. The </w:t>
      </w:r>
      <w:r w:rsidR="00496ABC" w:rsidRPr="00C73923">
        <w:t>PV</w:t>
      </w:r>
      <w:r w:rsidRPr="00C73923">
        <w:t xml:space="preserve"> arrays supply electrical energy that is either stored in batteries or routed through power converters and an inverter</w:t>
      </w:r>
      <w:r w:rsidR="00240AE6" w:rsidRPr="00C73923">
        <w:t>,</w:t>
      </w:r>
      <w:r w:rsidRPr="00C73923">
        <w:t xml:space="preserve"> to drive the alkaline electrolyzer for hydrogen production. The produced hydrogen, generated exclusively from surplus renewable power, is stored for later use within our laboratory, in Xanthi Greece. </w:t>
      </w:r>
      <w:r w:rsidR="0058495A" w:rsidRPr="00C73923">
        <w:t>This configuration enables comprehensive evaluation of component efficiencies, battery dynamics, electrolyzer performance under variable irradiance, and the overall solar-to-hydrogen conversion efficiency, supporting the development of optimized control and operation strategies for renewable-powered hydrogen systems.</w:t>
      </w:r>
    </w:p>
    <w:p w14:paraId="28D6C0E1" w14:textId="1535C282" w:rsidR="00474387" w:rsidRPr="007E2E74" w:rsidRDefault="00EC0D32" w:rsidP="0009382B">
      <w:pPr>
        <w:pStyle w:val="Heading2"/>
      </w:pPr>
      <w:r>
        <w:t>DC-Coupled PV-Battery Power Supply</w:t>
      </w:r>
    </w:p>
    <w:p w14:paraId="5420DA8C" w14:textId="7C1204DC" w:rsidR="006629EE" w:rsidRPr="00C73923" w:rsidRDefault="006629EE" w:rsidP="00DA7760">
      <w:pPr>
        <w:pStyle w:val="Paragraph"/>
      </w:pPr>
      <w:r w:rsidRPr="00C73923">
        <w:t>Renewable system components such as PV modules, power electronics, and battery storage, can be integrated into a unified and autonomous electrification system in several ways. A key consideration when designing PV</w:t>
      </w:r>
      <w:r w:rsidR="003468E9" w:rsidRPr="00C73923">
        <w:t>BAT</w:t>
      </w:r>
      <w:r w:rsidRPr="00C73923">
        <w:t xml:space="preserve"> systems is the nature of the load to be supplied, as well as the selection of the system architecture</w:t>
      </w:r>
      <w:r w:rsidR="003468E9" w:rsidRPr="00C73923">
        <w:t>.</w:t>
      </w:r>
      <w:r w:rsidRPr="00C73923">
        <w:t xml:space="preserve"> These considerations determine the arrangement of power converters and the number of conversion stages required. In addition to energy generation and storage, an auxiliary power source in the form of grid backup is often incorporated to ensure full operational stability.</w:t>
      </w:r>
    </w:p>
    <w:p w14:paraId="5EA8068A" w14:textId="0FF908FC" w:rsidR="00E31BD7" w:rsidRPr="00C73923" w:rsidRDefault="006629EE" w:rsidP="00D625B6">
      <w:pPr>
        <w:pStyle w:val="Paragraph"/>
      </w:pPr>
      <w:r w:rsidRPr="00C73923">
        <w:t xml:space="preserve">In this section, the system components for </w:t>
      </w:r>
      <w:r w:rsidR="00C0034A" w:rsidRPr="00C73923">
        <w:t xml:space="preserve">PVBAT </w:t>
      </w:r>
      <w:r w:rsidRPr="00C73923">
        <w:t xml:space="preserve">powered green </w:t>
      </w:r>
      <w:r w:rsidR="001C2831" w:rsidRPr="00C73923">
        <w:t>H</w:t>
      </w:r>
      <w:r w:rsidR="001C2831" w:rsidRPr="00C73923">
        <w:rPr>
          <w:vertAlign w:val="subscript"/>
        </w:rPr>
        <w:t xml:space="preserve">2 </w:t>
      </w:r>
      <w:r w:rsidRPr="00C73923">
        <w:t xml:space="preserve">production are presented in detail. The main features of the setup are illustrated in Figure 1, which shows the experimental configuration used to investigate </w:t>
      </w:r>
      <w:r w:rsidR="00F072F5" w:rsidRPr="00C73923">
        <w:t>H</w:t>
      </w:r>
      <w:r w:rsidR="00F072F5" w:rsidRPr="00C73923">
        <w:rPr>
          <w:vertAlign w:val="subscript"/>
        </w:rPr>
        <w:t xml:space="preserve">2 </w:t>
      </w:r>
      <w:r w:rsidRPr="00C73923">
        <w:t xml:space="preserve">generation from </w:t>
      </w:r>
      <w:r w:rsidR="00F072F5" w:rsidRPr="00C73923">
        <w:t>solar</w:t>
      </w:r>
      <w:r w:rsidRPr="00C73923">
        <w:t xml:space="preserve"> energy sources. The system integrates PV generation, energy storage, power electronics, control subsystems</w:t>
      </w:r>
      <w:r w:rsidR="00E06089" w:rsidRPr="00C73923">
        <w:t xml:space="preserve">, and </w:t>
      </w:r>
      <w:r w:rsidR="00F072F5" w:rsidRPr="00C73923">
        <w:t>H</w:t>
      </w:r>
      <w:r w:rsidR="00F072F5" w:rsidRPr="00C73923">
        <w:rPr>
          <w:vertAlign w:val="subscript"/>
        </w:rPr>
        <w:t xml:space="preserve">2 </w:t>
      </w:r>
      <w:r w:rsidR="00E06089" w:rsidRPr="00C73923">
        <w:t xml:space="preserve">production into </w:t>
      </w:r>
      <w:r w:rsidRPr="00C73923">
        <w:t xml:space="preserve">a </w:t>
      </w:r>
      <w:r w:rsidR="00FD1CDB" w:rsidRPr="00C73923">
        <w:t>small, unified</w:t>
      </w:r>
      <w:r w:rsidRPr="00C73923">
        <w:t xml:space="preserve"> </w:t>
      </w:r>
      <w:r w:rsidR="00E06089" w:rsidRPr="00C73923">
        <w:t xml:space="preserve">sector coupling </w:t>
      </w:r>
      <w:r w:rsidRPr="00C73923">
        <w:t xml:space="preserve">microgrid. </w:t>
      </w:r>
    </w:p>
    <w:p w14:paraId="7074630D" w14:textId="529A629D" w:rsidR="00AB4169" w:rsidRDefault="00AB4169" w:rsidP="00BF6FE7">
      <w:pPr>
        <w:tabs>
          <w:tab w:val="left" w:pos="3665"/>
        </w:tabs>
        <w:jc w:val="both"/>
        <w:rPr>
          <w:b/>
          <w:bCs/>
        </w:rPr>
      </w:pPr>
    </w:p>
    <w:p w14:paraId="3AE69329" w14:textId="5FD0C079" w:rsidR="00AB4169" w:rsidRDefault="00204D38" w:rsidP="00BF6FE7">
      <w:pPr>
        <w:tabs>
          <w:tab w:val="left" w:pos="3665"/>
        </w:tabs>
        <w:jc w:val="both"/>
        <w:rPr>
          <w:b/>
          <w:bCs/>
        </w:rPr>
      </w:pPr>
      <w:r>
        <w:rPr>
          <w:b/>
          <w:bCs/>
          <w:noProof/>
        </w:rPr>
        <w:drawing>
          <wp:anchor distT="0" distB="0" distL="114300" distR="114300" simplePos="0" relativeHeight="251646464" behindDoc="0" locked="0" layoutInCell="1" allowOverlap="1" wp14:anchorId="0264E9BC" wp14:editId="5C3B0454">
            <wp:simplePos x="0" y="0"/>
            <wp:positionH relativeFrom="column">
              <wp:posOffset>3126105</wp:posOffset>
            </wp:positionH>
            <wp:positionV relativeFrom="paragraph">
              <wp:posOffset>2914650</wp:posOffset>
            </wp:positionV>
            <wp:extent cx="397258" cy="60960"/>
            <wp:effectExtent l="0" t="0" r="3175" b="0"/>
            <wp:wrapNone/>
            <wp:docPr id="539898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258" cy="6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0AA" w:rsidRPr="003600AA">
        <w:rPr>
          <w:b/>
          <w:bCs/>
          <w:noProof/>
        </w:rPr>
        <w:drawing>
          <wp:inline distT="0" distB="0" distL="0" distR="0" wp14:anchorId="37B7FA18" wp14:editId="02409CF9">
            <wp:extent cx="5943600" cy="3413125"/>
            <wp:effectExtent l="0" t="0" r="0" b="0"/>
            <wp:docPr id="836477041" name="Picture 1" descr="A diagram of a solar pa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77041" name="Picture 1" descr="A diagram of a solar panel&#10;&#10;AI-generated content may be incorrect."/>
                    <pic:cNvPicPr/>
                  </pic:nvPicPr>
                  <pic:blipFill>
                    <a:blip r:embed="rId10"/>
                    <a:stretch>
                      <a:fillRect/>
                    </a:stretch>
                  </pic:blipFill>
                  <pic:spPr>
                    <a:xfrm>
                      <a:off x="0" y="0"/>
                      <a:ext cx="5943600" cy="3413125"/>
                    </a:xfrm>
                    <a:prstGeom prst="rect">
                      <a:avLst/>
                    </a:prstGeom>
                  </pic:spPr>
                </pic:pic>
              </a:graphicData>
            </a:graphic>
          </wp:inline>
        </w:drawing>
      </w:r>
    </w:p>
    <w:p w14:paraId="65AD78FF" w14:textId="1DEE737A" w:rsidR="00AB4169" w:rsidRDefault="00AB4169" w:rsidP="00BF6FE7">
      <w:pPr>
        <w:tabs>
          <w:tab w:val="left" w:pos="3665"/>
        </w:tabs>
        <w:jc w:val="both"/>
        <w:rPr>
          <w:b/>
          <w:bCs/>
        </w:rPr>
      </w:pPr>
    </w:p>
    <w:p w14:paraId="09EF6DD8" w14:textId="14C59DF5" w:rsidR="00496A53" w:rsidRPr="00BF2CD3" w:rsidRDefault="00BF2CD3" w:rsidP="00BF2CD3">
      <w:pPr>
        <w:tabs>
          <w:tab w:val="left" w:pos="3665"/>
        </w:tabs>
        <w:jc w:val="center"/>
        <w:rPr>
          <w:sz w:val="18"/>
          <w:szCs w:val="18"/>
        </w:rPr>
      </w:pPr>
      <w:r w:rsidRPr="00BF2CD3">
        <w:rPr>
          <w:b/>
          <w:bCs/>
          <w:sz w:val="18"/>
          <w:szCs w:val="18"/>
        </w:rPr>
        <w:t xml:space="preserve">FIGURE </w:t>
      </w:r>
      <w:r w:rsidR="0093752E" w:rsidRPr="00BF2CD3">
        <w:rPr>
          <w:b/>
          <w:bCs/>
          <w:sz w:val="18"/>
          <w:szCs w:val="18"/>
        </w:rPr>
        <w:t>1</w:t>
      </w:r>
      <w:r w:rsidR="00534E64" w:rsidRPr="00BF2CD3">
        <w:rPr>
          <w:b/>
          <w:bCs/>
          <w:sz w:val="18"/>
          <w:szCs w:val="18"/>
        </w:rPr>
        <w:t>.</w:t>
      </w:r>
      <w:r w:rsidR="0093752E" w:rsidRPr="00BF2CD3">
        <w:rPr>
          <w:sz w:val="18"/>
          <w:szCs w:val="18"/>
        </w:rPr>
        <w:t xml:space="preserve"> </w:t>
      </w:r>
      <w:r w:rsidR="00BF6FE7" w:rsidRPr="00BF2CD3">
        <w:rPr>
          <w:sz w:val="18"/>
          <w:szCs w:val="18"/>
        </w:rPr>
        <w:t xml:space="preserve">Schematic and photographic views of the </w:t>
      </w:r>
      <w:r w:rsidR="00395150" w:rsidRPr="00BF2CD3">
        <w:rPr>
          <w:sz w:val="18"/>
          <w:szCs w:val="18"/>
        </w:rPr>
        <w:t>lab</w:t>
      </w:r>
      <w:r w:rsidR="00BF6FE7" w:rsidRPr="00BF2CD3">
        <w:rPr>
          <w:sz w:val="18"/>
          <w:szCs w:val="18"/>
        </w:rPr>
        <w:t>-scale green hydrogen system integrating photovoltaic panels, an electrolyzer, and hydrogen storage units.</w:t>
      </w:r>
    </w:p>
    <w:p w14:paraId="324AF9B8" w14:textId="77777777" w:rsidR="00E32725" w:rsidRPr="0093752E" w:rsidRDefault="00E32725" w:rsidP="00EE205B">
      <w:pPr>
        <w:tabs>
          <w:tab w:val="left" w:pos="3665"/>
        </w:tabs>
        <w:jc w:val="both"/>
      </w:pPr>
    </w:p>
    <w:p w14:paraId="54F165D1" w14:textId="233B0CBC" w:rsidR="00DA7760" w:rsidRPr="00C73923" w:rsidRDefault="00D625B6" w:rsidP="00CB5628">
      <w:pPr>
        <w:pStyle w:val="Paragraph"/>
      </w:pPr>
      <w:r w:rsidRPr="00C73923">
        <w:t>Three independent PV arrays feed a common DC bus through individual MPPT solar charge controllers</w:t>
      </w:r>
      <w:r w:rsidR="00C767E0" w:rsidRPr="00C73923">
        <w:t xml:space="preserve"> (Victron Energy SmartSolar MPPT 150V/35A)</w:t>
      </w:r>
      <w:r w:rsidRPr="00C73923">
        <w:t xml:space="preserve">, ensuring optimal energy harvesting under variable irradiance conditions. The generated DC power is either stored in a lithium battery bank </w:t>
      </w:r>
      <w:r w:rsidR="00C767E0" w:rsidRPr="00C73923">
        <w:t>(Victron Energy LiFePO4 Smart Battery</w:t>
      </w:r>
      <w:r w:rsidR="00CB5628" w:rsidRPr="00C73923">
        <w:t xml:space="preserve"> 200Ah</w:t>
      </w:r>
      <w:r w:rsidR="00C767E0" w:rsidRPr="00C73923">
        <w:t xml:space="preserve">) </w:t>
      </w:r>
      <w:r w:rsidRPr="00C73923">
        <w:t xml:space="preserve">or </w:t>
      </w:r>
      <w:r w:rsidRPr="00C73923">
        <w:lastRenderedPageBreak/>
        <w:t>converted to AC through an inverter-charger unit</w:t>
      </w:r>
      <w:r w:rsidR="00C767E0" w:rsidRPr="00C73923">
        <w:t xml:space="preserve"> (Victron Energy Multiplus II 48/5000/70)</w:t>
      </w:r>
      <w:r w:rsidRPr="00C73923">
        <w:t>, which supplies primarily a critical load and the monitoring and control equipment. The electrolyzer (</w:t>
      </w:r>
      <w:r w:rsidR="00B74790" w:rsidRPr="00C73923">
        <w:t xml:space="preserve">ELY, </w:t>
      </w:r>
      <w:r w:rsidRPr="00C73923">
        <w:t>Enapter EL 4.0</w:t>
      </w:r>
      <w:r w:rsidR="00CB5628" w:rsidRPr="00C73923">
        <w:t>) operates</w:t>
      </w:r>
      <w:r w:rsidRPr="00C73923">
        <w:t xml:space="preserve"> dynamically, following the availability of surplus PV power, while the produced hydrogen is collected in dedicated storage cylinders</w:t>
      </w:r>
      <w:r w:rsidR="009C3720" w:rsidRPr="00C73923">
        <w:t xml:space="preserve"> of up to 35 bar pr</w:t>
      </w:r>
      <w:r w:rsidR="00D81150" w:rsidRPr="00C73923">
        <w:t>essure</w:t>
      </w:r>
      <w:r w:rsidRPr="00C73923">
        <w:t>.</w:t>
      </w:r>
      <w:r w:rsidR="00CB5628" w:rsidRPr="00C73923">
        <w:t xml:space="preserve"> </w:t>
      </w:r>
    </w:p>
    <w:p w14:paraId="26496AB1" w14:textId="725D2854" w:rsidR="00DA7760" w:rsidRPr="00C73923" w:rsidRDefault="00F9027F" w:rsidP="00DA7760">
      <w:pPr>
        <w:pStyle w:val="Paragraph"/>
      </w:pPr>
      <w:r w:rsidRPr="00C73923">
        <w:t xml:space="preserve">The total PV installation consists of three arrays </w:t>
      </w:r>
      <w:r w:rsidR="00F367D9" w:rsidRPr="00C73923">
        <w:t>(</w:t>
      </w:r>
      <w:r w:rsidR="003365AA" w:rsidRPr="00C73923">
        <w:t>Figure 1</w:t>
      </w:r>
      <w:r w:rsidR="005F5645" w:rsidRPr="00C73923">
        <w:t xml:space="preserve">, </w:t>
      </w:r>
      <w:r w:rsidR="00F367D9" w:rsidRPr="00C73923">
        <w:t xml:space="preserve">A:2x3, B:1x3, C:1x3), </w:t>
      </w:r>
      <w:r w:rsidR="00662704" w:rsidRPr="00C73923">
        <w:t xml:space="preserve">9 SolarWatt Blue60P 265 PV modules and 3 JASolar JAM72S10 410W PV modules, with an installed capacity of 2385Wp and 1230Wp respectively. </w:t>
      </w:r>
      <w:r w:rsidR="00E83466" w:rsidRPr="00C73923">
        <w:t xml:space="preserve">The last array consists of Passive Emitter and Back Contact (PERC) PVs, while the PVs of all arrays are made of monocrystalline silicon cells. </w:t>
      </w:r>
      <w:r w:rsidR="00746730" w:rsidRPr="00C73923">
        <w:t xml:space="preserve">The energy flows coming from the PV modules are managed, per array, by three distinct DC/DC charging regulators with a relatively stable efficiency over the entire power range up to 96%. </w:t>
      </w:r>
      <w:r w:rsidR="00DA7760" w:rsidRPr="00C73923">
        <w:t>The DC/AC inverter delivers an apparent power of up to 5000 VA and incorporates a programmable battery charger, allowing the charging current to be configured through a computer interface.</w:t>
      </w:r>
    </w:p>
    <w:p w14:paraId="24AC4120" w14:textId="354D6204" w:rsidR="00C70919" w:rsidRPr="00C73923" w:rsidRDefault="0026530D" w:rsidP="0000557F">
      <w:pPr>
        <w:pStyle w:val="Paragraph"/>
      </w:pPr>
      <w:r w:rsidRPr="00C73923">
        <w:t xml:space="preserve">The lithium-ion battery selected </w:t>
      </w:r>
      <w:r w:rsidR="00DA7760" w:rsidRPr="00C73923">
        <w:t>has</w:t>
      </w:r>
      <w:r w:rsidRPr="00C73923">
        <w:t xml:space="preserve"> a nominal energy capacity of 10.32 kWh at 100% DOD and</w:t>
      </w:r>
      <w:r w:rsidR="00DA7760" w:rsidRPr="00C73923">
        <w:t xml:space="preserve"> is</w:t>
      </w:r>
      <w:r w:rsidRPr="00C73923">
        <w:t xml:space="preserve"> controlled by </w:t>
      </w:r>
      <w:r w:rsidR="00730C21" w:rsidRPr="00C73923">
        <w:t>a</w:t>
      </w:r>
      <w:r w:rsidRPr="00C73923">
        <w:t xml:space="preserve"> "Victron Energy Bus BMS" battery management system. </w:t>
      </w:r>
      <w:r w:rsidR="005B626B" w:rsidRPr="00C73923">
        <w:t xml:space="preserve">The rated voltage of the battery is 51.6V with </w:t>
      </w:r>
      <w:r w:rsidR="00110B54" w:rsidRPr="00C73923">
        <w:t xml:space="preserve">a </w:t>
      </w:r>
      <w:r w:rsidR="005B626B" w:rsidRPr="00C73923">
        <w:t xml:space="preserve">nominal capacity of 200Ah. </w:t>
      </w:r>
      <w:r w:rsidR="004E7720" w:rsidRPr="00C73923">
        <w:t xml:space="preserve">The battery life, at 50% DOD, is 5000 cycles, and the calendar life is 10 years. </w:t>
      </w:r>
      <w:r w:rsidR="0091611D" w:rsidRPr="00C73923">
        <w:t>The battery is connected in parallel to the DC busbars and determines the voltage of the system.</w:t>
      </w:r>
      <w:r w:rsidR="00730C21" w:rsidRPr="00C73923">
        <w:t xml:space="preserve"> The operation of the system is governed by an energy management algorithm, </w:t>
      </w:r>
      <w:r w:rsidR="006E121F" w:rsidRPr="00C73923">
        <w:t>implemented</w:t>
      </w:r>
      <w:r w:rsidR="00730C21" w:rsidRPr="00C73923">
        <w:t xml:space="preserve"> </w:t>
      </w:r>
      <w:r w:rsidR="00357D30" w:rsidRPr="00C73923">
        <w:t>by the inverter, which is coordinated by the Victron Energy Cerbo GX controller. The latter functions as the central supervisory control unit that collects system data (voltages, currents, SOC, temperatures, and power flows) and communicates with the PC system for real-time monitoring and predictive control.</w:t>
      </w:r>
    </w:p>
    <w:p w14:paraId="347D8DFF" w14:textId="4F7659F9" w:rsidR="001722DD" w:rsidRDefault="001722DD" w:rsidP="00FE15BF">
      <w:pPr>
        <w:pStyle w:val="Heading2"/>
      </w:pPr>
      <w:r w:rsidRPr="00514758">
        <w:t>Inelastic Electr</w:t>
      </w:r>
      <w:r w:rsidR="002205B6">
        <w:t>onic</w:t>
      </w:r>
      <w:r w:rsidRPr="00514758">
        <w:t xml:space="preserve"> Load</w:t>
      </w:r>
    </w:p>
    <w:p w14:paraId="7C0B955A" w14:textId="35BC05B6" w:rsidR="0091611D" w:rsidRPr="00C73923" w:rsidRDefault="001722DD" w:rsidP="001722DD">
      <w:pPr>
        <w:pStyle w:val="Paragraph"/>
      </w:pPr>
      <w:r w:rsidRPr="00C73923">
        <w:t>The electronic load (</w:t>
      </w:r>
      <w:r w:rsidR="002205B6" w:rsidRPr="00C73923">
        <w:t>EL</w:t>
      </w:r>
      <w:r w:rsidR="00C13F0E" w:rsidRPr="00C73923">
        <w:t>D</w:t>
      </w:r>
      <w:r w:rsidR="002205B6" w:rsidRPr="00C73923">
        <w:t xml:space="preserve">, </w:t>
      </w:r>
      <w:r w:rsidRPr="00C73923">
        <w:t xml:space="preserve">Kikusui PLZ 1000) enables the emulation of a wide range of power demand scenarios, including constant current, constant resistance, or dynamic load profiles that replicate real consumer operating conditions. Power is supplied primarily </w:t>
      </w:r>
      <w:proofErr w:type="gramStart"/>
      <w:r w:rsidRPr="00C73923">
        <w:t>to</w:t>
      </w:r>
      <w:proofErr w:type="gramEnd"/>
      <w:r w:rsidRPr="00C73923">
        <w:t xml:space="preserve"> this device acting as constant inelastic consumption used to emulate a critical load. Moreover, controlled discharge or load-following tests are performed on the system. The device allow</w:t>
      </w:r>
      <w:r w:rsidR="00793A31" w:rsidRPr="00C73923">
        <w:t>s</w:t>
      </w:r>
      <w:r w:rsidRPr="00C73923">
        <w:t xml:space="preserve"> precise adjustment of current, voltage, and power consumption levels, enabling the evaluation of the inverter’s performance, system stability, and response under different dynamic load conditions.</w:t>
      </w:r>
    </w:p>
    <w:p w14:paraId="68C8F498" w14:textId="3FECA4E2" w:rsidR="00C70919" w:rsidRPr="00EC0D32" w:rsidRDefault="00F22AB7" w:rsidP="00FE15BF">
      <w:pPr>
        <w:pStyle w:val="Heading2"/>
      </w:pPr>
      <w:r w:rsidRPr="00EC0D32">
        <w:t xml:space="preserve">Hydrogen </w:t>
      </w:r>
      <w:r w:rsidR="00EC0D32">
        <w:t>P</w:t>
      </w:r>
      <w:r w:rsidRPr="00EC0D32">
        <w:t xml:space="preserve">roduction and </w:t>
      </w:r>
      <w:r w:rsidR="00EC0D32">
        <w:t>S</w:t>
      </w:r>
      <w:r w:rsidRPr="00EC0D32">
        <w:t>torage</w:t>
      </w:r>
    </w:p>
    <w:p w14:paraId="045EC21E" w14:textId="5A2C93EE" w:rsidR="00165E7E" w:rsidRPr="00C73923" w:rsidRDefault="001722DD" w:rsidP="005D57C6">
      <w:pPr>
        <w:pStyle w:val="Paragraph"/>
      </w:pPr>
      <w:r w:rsidRPr="00C73923">
        <w:t xml:space="preserve">The </w:t>
      </w:r>
      <w:r w:rsidR="00C73575" w:rsidRPr="00C73923">
        <w:t xml:space="preserve">ELY </w:t>
      </w:r>
      <w:r w:rsidRPr="00C73923">
        <w:t xml:space="preserve">operates dynamically in response to the availability of surplus PV power, generating </w:t>
      </w:r>
      <w:r w:rsidR="00793A31" w:rsidRPr="00C73923">
        <w:t>H</w:t>
      </w:r>
      <w:r w:rsidR="00793A31" w:rsidRPr="00C73923">
        <w:rPr>
          <w:vertAlign w:val="subscript"/>
        </w:rPr>
        <w:t xml:space="preserve">2 </w:t>
      </w:r>
      <w:r w:rsidRPr="00C73923">
        <w:t xml:space="preserve">that is collected in dedicated high-pressure storage cylinders. Based on anion exchange membrane (AEM) electrolysis, this modular system can produce up to 500 normal liters (NL) of green </w:t>
      </w:r>
      <w:r w:rsidR="00793A31" w:rsidRPr="00C73923">
        <w:t>H</w:t>
      </w:r>
      <w:r w:rsidR="00793A31" w:rsidRPr="00C73923">
        <w:rPr>
          <w:vertAlign w:val="subscript"/>
        </w:rPr>
        <w:t xml:space="preserve">2 </w:t>
      </w:r>
      <w:r w:rsidRPr="00C73923">
        <w:t>per hour with a purity of 99.9% (up to 99.999% after drying) at an operating pressure of 35 bar, consuming approximately 0.4 L of water and 2.4 kWh of electricity per hour. The integrated electrolysis unit includes an electrolytic cell, an ultrapure water tank with circulation pump, and control electronics, all housed within a compact modular design.</w:t>
      </w:r>
      <w:r w:rsidR="005D57C6" w:rsidRPr="00C73923">
        <w:t xml:space="preserve"> </w:t>
      </w:r>
      <w:r w:rsidRPr="00C73923">
        <w:t>During operation, an anode and a cathode</w:t>
      </w:r>
      <w:r w:rsidR="00AA307D" w:rsidRPr="00C73923">
        <w:t xml:space="preserve"> </w:t>
      </w:r>
      <w:r w:rsidRPr="00C73923">
        <w:t xml:space="preserve">are immersed in an alkaline electrolyte, typically a potassium hydroxide (KOH) solution. When electric current is applied, water molecules at the anode are oxidized to produce oxygen, while </w:t>
      </w:r>
      <w:r w:rsidR="00C27817" w:rsidRPr="00C73923">
        <w:t>H</w:t>
      </w:r>
      <w:r w:rsidR="00C27817" w:rsidRPr="00C73923">
        <w:rPr>
          <w:vertAlign w:val="subscript"/>
        </w:rPr>
        <w:t xml:space="preserve">2 </w:t>
      </w:r>
      <w:r w:rsidRPr="00C73923">
        <w:t>is released at the cathode. The process is enabled by the movement of hydroxide ions (OH⁻) through the electrolyte, which carry charge and sustain the electrochemical reactions. In the alkaline environment of the AEM, these hydroxide ions migrate through the membrane from the cathode to the anode, completing the ionic circuit. This transport of OH⁻ ions</w:t>
      </w:r>
      <w:r w:rsidR="00AA307D" w:rsidRPr="00C73923">
        <w:t xml:space="preserve">, </w:t>
      </w:r>
      <w:r w:rsidRPr="00C73923">
        <w:t>the defining feature of AEM electrolysis</w:t>
      </w:r>
      <w:r w:rsidR="00AA307D" w:rsidRPr="00C73923">
        <w:t xml:space="preserve">, </w:t>
      </w:r>
      <w:r w:rsidRPr="00C73923">
        <w:t>gives the technology its name and enables efficient hydrogen production</w:t>
      </w:r>
      <w:r w:rsidR="00B31338" w:rsidRPr="00C73923">
        <w:t xml:space="preserve">. </w:t>
      </w:r>
      <w:r w:rsidRPr="00C73923">
        <w:t xml:space="preserve">The overall hydrogen generation subsystem comprises the electrolytic stack, the integrated water purification and feed system, and a </w:t>
      </w:r>
      <w:r w:rsidR="005D57C6" w:rsidRPr="00C73923">
        <w:t>H</w:t>
      </w:r>
      <w:r w:rsidR="005D57C6" w:rsidRPr="00C73923">
        <w:rPr>
          <w:vertAlign w:val="subscript"/>
        </w:rPr>
        <w:t xml:space="preserve">2 </w:t>
      </w:r>
      <w:r w:rsidRPr="00C73923">
        <w:t>gas buffer module, which can also interface with downstream processes such as biomethane synthesis.</w:t>
      </w:r>
    </w:p>
    <w:p w14:paraId="20020CB3" w14:textId="0E6436F4" w:rsidR="003657A5" w:rsidRPr="00746730" w:rsidRDefault="0073505C" w:rsidP="00FE15BF">
      <w:pPr>
        <w:pStyle w:val="Heading1"/>
      </w:pPr>
      <w:r w:rsidRPr="00746730">
        <w:t>Results and discussion</w:t>
      </w:r>
    </w:p>
    <w:p w14:paraId="7A767C0D" w14:textId="583D6B5C" w:rsidR="008D00E5" w:rsidRPr="00C73923" w:rsidRDefault="008D00E5" w:rsidP="008D00E5">
      <w:pPr>
        <w:pStyle w:val="Paragraph"/>
      </w:pPr>
      <w:r w:rsidRPr="00C73923">
        <w:t xml:space="preserve">Following the successful </w:t>
      </w:r>
      <w:r w:rsidR="00AC71F7" w:rsidRPr="00C73923">
        <w:t xml:space="preserve">experimental setup </w:t>
      </w:r>
      <w:r w:rsidRPr="00C73923">
        <w:t xml:space="preserve">of the </w:t>
      </w:r>
      <w:r w:rsidR="00540CCB" w:rsidRPr="00C73923">
        <w:t>HRES</w:t>
      </w:r>
      <w:r w:rsidR="00A62932" w:rsidRPr="00C73923">
        <w:t>-ELY</w:t>
      </w:r>
      <w:r w:rsidRPr="00C73923">
        <w:t xml:space="preserve"> system, </w:t>
      </w:r>
      <w:r w:rsidR="00E146DD" w:rsidRPr="00C73923">
        <w:t xml:space="preserve">typical </w:t>
      </w:r>
      <w:r w:rsidRPr="00C73923">
        <w:t xml:space="preserve">operation was conducted under real solar conditions to evaluate its dynamic performance and </w:t>
      </w:r>
      <w:r w:rsidR="00540CCB" w:rsidRPr="00C73923">
        <w:t>H</w:t>
      </w:r>
      <w:r w:rsidR="00540CCB" w:rsidRPr="00C73923">
        <w:rPr>
          <w:vertAlign w:val="subscript"/>
        </w:rPr>
        <w:t xml:space="preserve">2 </w:t>
      </w:r>
      <w:r w:rsidRPr="00C73923">
        <w:t xml:space="preserve">production behavior. </w:t>
      </w:r>
      <w:r w:rsidR="00540CCB" w:rsidRPr="00C73923">
        <w:t>E</w:t>
      </w:r>
      <w:r w:rsidRPr="00C73923">
        <w:t xml:space="preserve">mphasis was placed on monitoring the energy flows between the </w:t>
      </w:r>
      <w:r w:rsidR="00540CCB" w:rsidRPr="00C73923">
        <w:t>PV</w:t>
      </w:r>
      <w:r w:rsidRPr="00C73923">
        <w:t xml:space="preserve"> arrays, the battery bank, the inverter, </w:t>
      </w:r>
      <w:r w:rsidR="00F41938" w:rsidRPr="00C73923">
        <w:t>the EL</w:t>
      </w:r>
      <w:r w:rsidR="007B46E1" w:rsidRPr="00C73923">
        <w:t>D</w:t>
      </w:r>
      <w:r w:rsidR="00F41938" w:rsidRPr="00C73923">
        <w:t xml:space="preserve">, </w:t>
      </w:r>
      <w:r w:rsidRPr="00C73923">
        <w:t xml:space="preserve">and the electrolyzer, as well as quantifying the corresponding </w:t>
      </w:r>
      <w:r w:rsidR="00540CCB" w:rsidRPr="00C73923">
        <w:t>H</w:t>
      </w:r>
      <w:r w:rsidR="00540CCB" w:rsidRPr="00C73923">
        <w:rPr>
          <w:vertAlign w:val="subscript"/>
        </w:rPr>
        <w:t xml:space="preserve">2 </w:t>
      </w:r>
      <w:r w:rsidRPr="00C73923">
        <w:t xml:space="preserve">generation rates. The system was operated autonomously, allowing the electrolyzer to activate only when surplus </w:t>
      </w:r>
      <w:r w:rsidR="00540CCB" w:rsidRPr="00C73923">
        <w:t>PV</w:t>
      </w:r>
      <w:r w:rsidRPr="00C73923">
        <w:t xml:space="preserve"> energy became available, thereby replicating the real-time response of a </w:t>
      </w:r>
      <w:r w:rsidR="00540CCB" w:rsidRPr="00C73923">
        <w:t>solar</w:t>
      </w:r>
      <w:r w:rsidRPr="00C73923">
        <w:t xml:space="preserve">-powered hydrogen production unit. Continuous data acquisition from the proprietary monitoring platforms </w:t>
      </w:r>
      <w:r w:rsidRPr="00C73923">
        <w:lastRenderedPageBreak/>
        <w:t xml:space="preserve">provided synchronized measurements of electrical and </w:t>
      </w:r>
      <w:r w:rsidR="00B01345" w:rsidRPr="00C73923">
        <w:t>H</w:t>
      </w:r>
      <w:r w:rsidR="00B01345" w:rsidRPr="00C73923">
        <w:rPr>
          <w:vertAlign w:val="subscript"/>
        </w:rPr>
        <w:t xml:space="preserve">2 </w:t>
      </w:r>
      <w:r w:rsidRPr="00C73923">
        <w:t xml:space="preserve">flow parameters, enabling a detailed assessment of the interaction between power generation, storage, and conversion stages. </w:t>
      </w:r>
    </w:p>
    <w:p w14:paraId="381B6F26" w14:textId="374C055C" w:rsidR="00152581" w:rsidRPr="00B00DDB" w:rsidRDefault="005C1B85" w:rsidP="00FE15BF">
      <w:pPr>
        <w:pStyle w:val="Heading2"/>
      </w:pPr>
      <w:r w:rsidRPr="005C1B85">
        <w:t>Dynamic Hydrogen Production Driven by Surplus Photovoltaic Energy</w:t>
      </w:r>
    </w:p>
    <w:p w14:paraId="06DE9F5A" w14:textId="5862D212" w:rsidR="006D1617" w:rsidRPr="00C73923" w:rsidRDefault="008D00E5" w:rsidP="008D00E5">
      <w:pPr>
        <w:pStyle w:val="Paragraph"/>
      </w:pPr>
      <w:r w:rsidRPr="00C73923">
        <w:t xml:space="preserve">The analysis of representative operation days, presented in Figure 5, illustrates the temporal evolution of the above-mentioned parameters and highlights the energy management dynamics during periods of excess PV production. </w:t>
      </w:r>
      <w:r w:rsidR="006D1617" w:rsidRPr="00C73923">
        <w:t>In the two individual diagrams, the time variation of these measurements for two typical days of surplus photovoltaic energy is depicted.</w:t>
      </w:r>
    </w:p>
    <w:p w14:paraId="0BFC6549" w14:textId="77777777" w:rsidR="006D1617" w:rsidRDefault="006D1617" w:rsidP="006D1617">
      <w:pPr>
        <w:keepNext/>
        <w:jc w:val="center"/>
      </w:pPr>
      <w:r>
        <w:rPr>
          <w:noProof/>
          <w14:ligatures w14:val="standardContextual"/>
        </w:rPr>
        <w:drawing>
          <wp:inline distT="0" distB="0" distL="0" distR="0" wp14:anchorId="10CB7FE6" wp14:editId="446B7170">
            <wp:extent cx="5647055" cy="3545457"/>
            <wp:effectExtent l="0" t="0" r="0" b="0"/>
            <wp:docPr id="1882840675" name="Picture 2" descr="A graph of energy a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0675" name="Picture 2" descr="A graph of energy and energy"/>
                    <pic:cNvPicPr/>
                  </pic:nvPicPr>
                  <pic:blipFill rotWithShape="1">
                    <a:blip r:embed="rId11">
                      <a:extLst>
                        <a:ext uri="{28A0092B-C50C-407E-A947-70E740481C1C}">
                          <a14:useLocalDpi xmlns:a14="http://schemas.microsoft.com/office/drawing/2010/main" val="0"/>
                        </a:ext>
                      </a:extLst>
                    </a:blip>
                    <a:srcRect t="9260" r="1470" b="2365"/>
                    <a:stretch>
                      <a:fillRect/>
                    </a:stretch>
                  </pic:blipFill>
                  <pic:spPr bwMode="auto">
                    <a:xfrm>
                      <a:off x="0" y="0"/>
                      <a:ext cx="5647267" cy="3545590"/>
                    </a:xfrm>
                    <a:prstGeom prst="rect">
                      <a:avLst/>
                    </a:prstGeom>
                    <a:ln>
                      <a:noFill/>
                    </a:ln>
                    <a:extLst>
                      <a:ext uri="{53640926-AAD7-44D8-BBD7-CCE9431645EC}">
                        <a14:shadowObscured xmlns:a14="http://schemas.microsoft.com/office/drawing/2010/main"/>
                      </a:ext>
                    </a:extLst>
                  </pic:spPr>
                </pic:pic>
              </a:graphicData>
            </a:graphic>
          </wp:inline>
        </w:drawing>
      </w:r>
    </w:p>
    <w:p w14:paraId="6CC65C30" w14:textId="463862C8" w:rsidR="006D1617" w:rsidRPr="00BF2CD3" w:rsidRDefault="00074F70" w:rsidP="00BF2CD3">
      <w:pPr>
        <w:tabs>
          <w:tab w:val="left" w:pos="3665"/>
        </w:tabs>
        <w:jc w:val="center"/>
        <w:rPr>
          <w:sz w:val="18"/>
          <w:szCs w:val="18"/>
        </w:rPr>
      </w:pPr>
      <w:r w:rsidRPr="00BF2CD3">
        <w:rPr>
          <w:b/>
          <w:bCs/>
          <w:sz w:val="18"/>
          <w:szCs w:val="18"/>
        </w:rPr>
        <w:t xml:space="preserve">FIGURE </w:t>
      </w:r>
      <w:r w:rsidR="00F6063D" w:rsidRPr="00BF2CD3">
        <w:rPr>
          <w:b/>
          <w:bCs/>
          <w:sz w:val="18"/>
          <w:szCs w:val="18"/>
        </w:rPr>
        <w:t>2</w:t>
      </w:r>
      <w:r w:rsidR="00534E64" w:rsidRPr="00BF2CD3">
        <w:rPr>
          <w:b/>
          <w:bCs/>
          <w:sz w:val="18"/>
          <w:szCs w:val="18"/>
        </w:rPr>
        <w:t>.</w:t>
      </w:r>
      <w:r w:rsidR="006D1617" w:rsidRPr="00BF2CD3">
        <w:rPr>
          <w:b/>
          <w:bCs/>
          <w:sz w:val="18"/>
          <w:szCs w:val="18"/>
        </w:rPr>
        <w:t xml:space="preserve"> </w:t>
      </w:r>
      <w:r w:rsidR="006D1617" w:rsidRPr="00BF2CD3">
        <w:rPr>
          <w:sz w:val="18"/>
          <w:szCs w:val="18"/>
        </w:rPr>
        <w:t xml:space="preserve">Illustration of HRES and </w:t>
      </w:r>
      <w:r w:rsidR="00C20AF0" w:rsidRPr="00BF2CD3">
        <w:rPr>
          <w:sz w:val="18"/>
          <w:szCs w:val="18"/>
        </w:rPr>
        <w:t>Electrolyzer operation</w:t>
      </w:r>
      <w:r w:rsidR="006D1617" w:rsidRPr="00BF2CD3">
        <w:rPr>
          <w:sz w:val="18"/>
          <w:szCs w:val="18"/>
        </w:rPr>
        <w:t xml:space="preserve"> during periods of excess PV energy.</w:t>
      </w:r>
    </w:p>
    <w:p w14:paraId="2DC00550" w14:textId="77777777" w:rsidR="004C0BCF" w:rsidRPr="00F6063D" w:rsidRDefault="004C0BCF" w:rsidP="00F6063D">
      <w:pPr>
        <w:tabs>
          <w:tab w:val="left" w:pos="3665"/>
        </w:tabs>
        <w:jc w:val="both"/>
        <w:rPr>
          <w:b/>
          <w:bCs/>
        </w:rPr>
      </w:pPr>
    </w:p>
    <w:p w14:paraId="511CD376" w14:textId="3CB17904" w:rsidR="006D1617" w:rsidRPr="00C73923" w:rsidRDefault="006D1617" w:rsidP="008D00E5">
      <w:pPr>
        <w:pStyle w:val="Paragraph"/>
      </w:pPr>
      <w:r w:rsidRPr="00C73923">
        <w:t xml:space="preserve">The first diagram (above) depicts the energy “harvesting” of the </w:t>
      </w:r>
      <w:r w:rsidR="00D07255" w:rsidRPr="00C73923">
        <w:t>PV</w:t>
      </w:r>
      <w:r w:rsidRPr="00C73923">
        <w:t xml:space="preserve"> arrays (orange), the charging and discharging of the </w:t>
      </w:r>
      <w:r w:rsidR="00B55299" w:rsidRPr="00C73923">
        <w:t>b</w:t>
      </w:r>
      <w:r w:rsidRPr="00C73923">
        <w:t>attery (purple), the contribution of the electrical grid as an energy reserve (AC Grid, red), as well as the energy offset on the direct current (DC) side, which results from the interaction of the PV and the battery before entering the inverter (DC System, dark blue). The inverter provides the necessary power to the total load on the alternating current side (AC Load, dark green), ensuring the balanced supply of consumption.</w:t>
      </w:r>
    </w:p>
    <w:p w14:paraId="6065351B" w14:textId="2A2876E8" w:rsidR="006D1617" w:rsidRPr="00C73923" w:rsidRDefault="006D1617" w:rsidP="008D00E5">
      <w:pPr>
        <w:pStyle w:val="Paragraph"/>
      </w:pPr>
      <w:r w:rsidRPr="00C73923">
        <w:t xml:space="preserve">The second diagram (below) focuses on the time periods where there is a surplus of </w:t>
      </w:r>
      <w:r w:rsidR="00E76F9C" w:rsidRPr="00C73923">
        <w:t>PV</w:t>
      </w:r>
      <w:r w:rsidRPr="00C73923">
        <w:t xml:space="preserve"> production (PV Surplus Zone, yellow shading). This surplus is channeled to the ELY (Stack Power, light green), resulting in the start of H₂ production (H₂ flow, blue line on the right axis). The </w:t>
      </w:r>
      <w:r w:rsidR="00E76F9C" w:rsidRPr="00C73923">
        <w:t xml:space="preserve">H₂ </w:t>
      </w:r>
      <w:r w:rsidRPr="00C73923">
        <w:t>production shows characteristic levels (plateau), which indicate a stable and controlled operation of the ELY under an energy surplus regime.</w:t>
      </w:r>
    </w:p>
    <w:p w14:paraId="4347C189" w14:textId="2CE55CD4" w:rsidR="006D1617" w:rsidRPr="00C73923" w:rsidRDefault="006D1617" w:rsidP="004C5D89">
      <w:pPr>
        <w:pStyle w:val="Paragraph"/>
      </w:pPr>
      <w:r w:rsidRPr="00C73923">
        <w:t xml:space="preserve">It becomes clear that in cases of insufficient storage space in the battery and/or absence of a corresponding electrical load, especially between 13:30 and 14:30 each afternoon, the excess photovoltaic energy is rejected. On the contrary, with the activation of the ELY at approximately 14:30, when the battery is already charged to a high level, the excess photovoltaic energy is absorbed. H2 production remains constant throughout the </w:t>
      </w:r>
      <w:r w:rsidR="002A53A7" w:rsidRPr="00C73923">
        <w:t>day and</w:t>
      </w:r>
      <w:r w:rsidRPr="00C73923">
        <w:t xml:space="preserve"> only stops when the excess solar energy decreases in the afternoon. This relatively expected operating pattern indicates a programmable steady-state </w:t>
      </w:r>
      <w:r w:rsidR="00ED0C08" w:rsidRPr="00C73923">
        <w:t xml:space="preserve">H₂ </w:t>
      </w:r>
      <w:r w:rsidRPr="00C73923">
        <w:t>production cycle under conditions of potential energy surplus.</w:t>
      </w:r>
    </w:p>
    <w:p w14:paraId="053B66BA" w14:textId="0C892D62" w:rsidR="005C1B85" w:rsidRPr="000D0ECA" w:rsidRDefault="005C1B85" w:rsidP="004B632D">
      <w:pPr>
        <w:pStyle w:val="Heading2"/>
      </w:pPr>
      <w:r w:rsidRPr="000D0ECA">
        <w:t>Performance and Efficiency Evaluation of System Components</w:t>
      </w:r>
    </w:p>
    <w:p w14:paraId="56841E69" w14:textId="15623500" w:rsidR="008F4572" w:rsidRPr="00C73923" w:rsidRDefault="001D5024" w:rsidP="002D4DBE">
      <w:pPr>
        <w:pStyle w:val="Paragraph"/>
      </w:pPr>
      <w:r w:rsidRPr="00C73923">
        <w:t xml:space="preserve">The </w:t>
      </w:r>
      <w:r w:rsidR="00A10835" w:rsidRPr="00C73923">
        <w:t xml:space="preserve">measured </w:t>
      </w:r>
      <w:r w:rsidRPr="00C73923">
        <w:t>pro</w:t>
      </w:r>
      <w:r w:rsidR="00A10835" w:rsidRPr="00C73923">
        <w:t xml:space="preserve">duction rate </w:t>
      </w:r>
      <w:r w:rsidR="00D9472A" w:rsidRPr="00C73923">
        <w:t>of</w:t>
      </w:r>
      <w:r w:rsidR="00A10835" w:rsidRPr="00C73923">
        <w:t xml:space="preserve"> the ELY as a function of time</w:t>
      </w:r>
      <w:r w:rsidR="00D9573E" w:rsidRPr="00C73923">
        <w:t>,</w:t>
      </w:r>
      <w:r w:rsidR="00A10835" w:rsidRPr="00C73923">
        <w:t xml:space="preserve"> </w:t>
      </w:r>
      <w:r w:rsidR="00D9472A" w:rsidRPr="00C73923">
        <w:t xml:space="preserve">is illustrated in </w:t>
      </w:r>
      <w:r w:rsidR="00D9573E" w:rsidRPr="00C73923">
        <w:t>Figure 3.</w:t>
      </w:r>
      <w:r w:rsidR="00D73FC3" w:rsidRPr="00C73923">
        <w:t>a</w:t>
      </w:r>
      <w:r w:rsidR="00D9573E" w:rsidRPr="00C73923">
        <w:t xml:space="preserve"> </w:t>
      </w:r>
      <w:r w:rsidR="00A10835" w:rsidRPr="00C73923">
        <w:t xml:space="preserve">(black curve). </w:t>
      </w:r>
      <w:r w:rsidR="00B8611C" w:rsidRPr="00C73923">
        <w:t>A</w:t>
      </w:r>
      <w:r w:rsidR="00D15850" w:rsidRPr="00C73923">
        <w:t>ddition</w:t>
      </w:r>
      <w:r w:rsidR="00B8611C" w:rsidRPr="00C73923">
        <w:t>ally</w:t>
      </w:r>
      <w:r w:rsidR="00D15850" w:rsidRPr="00C73923">
        <w:t xml:space="preserve">, the variation of the </w:t>
      </w:r>
      <w:r w:rsidR="000A2CA3" w:rsidRPr="00C73923">
        <w:t>ELY’s</w:t>
      </w:r>
      <w:r w:rsidR="00D15850" w:rsidRPr="00C73923">
        <w:t xml:space="preserve"> temperature (Fig </w:t>
      </w:r>
      <w:r w:rsidR="000A2CA3" w:rsidRPr="00C73923">
        <w:t>3</w:t>
      </w:r>
      <w:r w:rsidR="00D15850" w:rsidRPr="00C73923">
        <w:t xml:space="preserve">a, green line) and pressure (Fig </w:t>
      </w:r>
      <w:r w:rsidR="000A2CA3" w:rsidRPr="00C73923">
        <w:t>3</w:t>
      </w:r>
      <w:r w:rsidR="00D15850" w:rsidRPr="00C73923">
        <w:t xml:space="preserve">a, red line) over the </w:t>
      </w:r>
      <w:r w:rsidR="00D15850" w:rsidRPr="00C73923">
        <w:lastRenderedPageBreak/>
        <w:t xml:space="preserve">corresponding </w:t>
      </w:r>
      <w:r w:rsidR="00536DF9" w:rsidRPr="00C73923">
        <w:t>period</w:t>
      </w:r>
      <w:r w:rsidR="00D15850" w:rsidRPr="00C73923">
        <w:t xml:space="preserve"> is also presented.</w:t>
      </w:r>
      <w:r w:rsidR="002F540F" w:rsidRPr="00C73923">
        <w:t xml:space="preserve"> </w:t>
      </w:r>
      <w:r w:rsidR="00D15850" w:rsidRPr="00C73923">
        <w:t>The system, in the idle state, maintains a temperature of 20</w:t>
      </w:r>
      <w:r w:rsidR="00D15850" w:rsidRPr="00C73923">
        <w:rPr>
          <w:vertAlign w:val="superscript"/>
        </w:rPr>
        <w:t>o</w:t>
      </w:r>
      <w:r w:rsidR="00D15850" w:rsidRPr="00C73923">
        <w:t>C. Upon activation, the temperature gradually increases, reaching 24</w:t>
      </w:r>
      <w:r w:rsidR="00D15850" w:rsidRPr="00C73923">
        <w:rPr>
          <w:vertAlign w:val="superscript"/>
        </w:rPr>
        <w:t>o</w:t>
      </w:r>
      <w:r w:rsidR="00D15850" w:rsidRPr="00C73923">
        <w:t xml:space="preserve">C after 0.2h at which point both the pressure rise and </w:t>
      </w:r>
      <w:r w:rsidR="000755C6" w:rsidRPr="00C73923">
        <w:t>H</w:t>
      </w:r>
      <w:r w:rsidR="000755C6" w:rsidRPr="00C73923">
        <w:rPr>
          <w:vertAlign w:val="subscript"/>
        </w:rPr>
        <w:t>2</w:t>
      </w:r>
      <w:r w:rsidR="000755C6" w:rsidRPr="00C73923">
        <w:t xml:space="preserve"> </w:t>
      </w:r>
      <w:r w:rsidR="00D15850" w:rsidRPr="00C73923">
        <w:t>production commence. The electrolyzer produces H</w:t>
      </w:r>
      <w:r w:rsidR="00D15850" w:rsidRPr="00C73923">
        <w:rPr>
          <w:vertAlign w:val="subscript"/>
        </w:rPr>
        <w:t>2</w:t>
      </w:r>
      <w:r w:rsidR="00D15850" w:rsidRPr="00C73923">
        <w:t xml:space="preserve"> within the time interval o 0.5-1h, exhibit</w:t>
      </w:r>
      <w:r w:rsidR="000C75E3" w:rsidRPr="00C73923">
        <w:t>s</w:t>
      </w:r>
      <w:r w:rsidR="00D15850" w:rsidRPr="00C73923">
        <w:t xml:space="preserve"> a steady increasing low rate</w:t>
      </w:r>
      <w:r w:rsidR="000C75E3" w:rsidRPr="00C73923">
        <w:t xml:space="preserve">, </w:t>
      </w:r>
      <w:r w:rsidR="00D15850" w:rsidRPr="00C73923">
        <w:t xml:space="preserve">except </w:t>
      </w:r>
      <w:r w:rsidR="000810EA" w:rsidRPr="00C73923">
        <w:t>for</w:t>
      </w:r>
      <w:r w:rsidR="00D15850" w:rsidRPr="00C73923">
        <w:t xml:space="preserve"> a brief period during which a minor drop is observed, attributed to the operational characteristics of the device</w:t>
      </w:r>
      <w:r w:rsidR="00FB30DD" w:rsidRPr="00C73923">
        <w:t>,</w:t>
      </w:r>
      <w:r w:rsidR="00D15850" w:rsidRPr="00C73923">
        <w:t xml:space="preserve"> until it reaches a maximum flow rate of 511 L/h [</w:t>
      </w:r>
      <w:r w:rsidR="00764A3F" w:rsidRPr="00C73923">
        <w:t>8</w:t>
      </w:r>
      <w:r w:rsidR="00D15850" w:rsidRPr="00C7392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780"/>
      </w:tblGrid>
      <w:tr w:rsidR="008F4572" w14:paraId="7DFCC13D" w14:textId="77777777" w:rsidTr="00BF05B5">
        <w:tc>
          <w:tcPr>
            <w:tcW w:w="4570" w:type="dxa"/>
          </w:tcPr>
          <w:p w14:paraId="1C0B5727" w14:textId="29A360F8" w:rsidR="008F4572" w:rsidRDefault="00697769" w:rsidP="006770F3">
            <w:pPr>
              <w:pStyle w:val="Paragraph"/>
              <w:ind w:firstLine="0"/>
              <w:rPr>
                <w:sz w:val="24"/>
              </w:rPr>
            </w:pPr>
            <w:r w:rsidRPr="000D0ECA">
              <w:object w:dxaOrig="4408" w:dyaOrig="6009" w14:anchorId="29F02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237pt" o:ole="">
                  <v:imagedata r:id="rId12" o:title="" cropbottom="5090f"/>
                </v:shape>
                <o:OLEObject Type="Embed" ProgID="Origin95.Graph" ShapeID="_x0000_i1025" DrawAspect="Content" ObjectID="_1826547755" r:id="rId13"/>
              </w:object>
            </w:r>
          </w:p>
        </w:tc>
        <w:tc>
          <w:tcPr>
            <w:tcW w:w="4780" w:type="dxa"/>
            <w:vAlign w:val="center"/>
          </w:tcPr>
          <w:p w14:paraId="7A1B2238" w14:textId="11AB2813" w:rsidR="008F4572" w:rsidRDefault="008F4572" w:rsidP="006770F3">
            <w:pPr>
              <w:pStyle w:val="Paragraph"/>
              <w:ind w:firstLine="0"/>
              <w:rPr>
                <w:sz w:val="24"/>
              </w:rPr>
            </w:pPr>
            <w:r>
              <w:rPr>
                <w:noProof/>
              </w:rPr>
              <w:drawing>
                <wp:inline distT="0" distB="0" distL="0" distR="0" wp14:anchorId="1AD7371C" wp14:editId="51206E2B">
                  <wp:extent cx="2898648" cy="1911096"/>
                  <wp:effectExtent l="0" t="0" r="0" b="0"/>
                  <wp:docPr id="52991574" name="Picture 8" descr="A graph showing the power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1574" name="Picture 8" descr="A graph showing the power of a power li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98648" cy="1911096"/>
                          </a:xfrm>
                          <a:prstGeom prst="rect">
                            <a:avLst/>
                          </a:prstGeom>
                        </pic:spPr>
                      </pic:pic>
                    </a:graphicData>
                  </a:graphic>
                </wp:inline>
              </w:drawing>
            </w:r>
          </w:p>
        </w:tc>
      </w:tr>
      <w:tr w:rsidR="008F4572" w14:paraId="4362E565" w14:textId="77777777" w:rsidTr="00BC6F7F">
        <w:tblPrEx>
          <w:jc w:val="center"/>
        </w:tblPrEx>
        <w:trPr>
          <w:jc w:val="center"/>
        </w:trPr>
        <w:tc>
          <w:tcPr>
            <w:tcW w:w="4570" w:type="dxa"/>
          </w:tcPr>
          <w:p w14:paraId="648E4DF3" w14:textId="112A1D4D" w:rsidR="008F4572" w:rsidRPr="008757B7" w:rsidRDefault="0005026A" w:rsidP="008757B7">
            <w:pPr>
              <w:jc w:val="center"/>
              <w:rPr>
                <w:sz w:val="18"/>
                <w:szCs w:val="18"/>
              </w:rPr>
            </w:pPr>
            <w:r w:rsidRPr="00A92BB5">
              <w:rPr>
                <w:b/>
                <w:sz w:val="18"/>
                <w:szCs w:val="18"/>
              </w:rPr>
              <w:t xml:space="preserve">FIGURE </w:t>
            </w:r>
            <w:r w:rsidR="00697769" w:rsidRPr="00A92BB5">
              <w:rPr>
                <w:b/>
                <w:sz w:val="18"/>
                <w:szCs w:val="18"/>
              </w:rPr>
              <w:t xml:space="preserve">3. </w:t>
            </w:r>
            <w:r w:rsidR="000F3470" w:rsidRPr="00A92BB5">
              <w:rPr>
                <w:bCs/>
                <w:sz w:val="18"/>
                <w:szCs w:val="18"/>
              </w:rPr>
              <w:t>T</w:t>
            </w:r>
            <w:r w:rsidR="00A60EDC" w:rsidRPr="00A92BB5">
              <w:rPr>
                <w:bCs/>
                <w:sz w:val="18"/>
                <w:szCs w:val="18"/>
              </w:rPr>
              <w:t>he</w:t>
            </w:r>
            <w:r w:rsidR="00A60EDC" w:rsidRPr="00A92BB5">
              <w:rPr>
                <w:bCs/>
                <w:i/>
                <w:iCs/>
                <w:sz w:val="18"/>
                <w:szCs w:val="18"/>
              </w:rPr>
              <w:t xml:space="preserve"> </w:t>
            </w:r>
            <w:r w:rsidR="00F6581C" w:rsidRPr="00A92BB5">
              <w:rPr>
                <w:bCs/>
                <w:sz w:val="18"/>
                <w:szCs w:val="18"/>
              </w:rPr>
              <w:t>t</w:t>
            </w:r>
            <w:r w:rsidR="00697769" w:rsidRPr="00A92BB5">
              <w:rPr>
                <w:sz w:val="18"/>
                <w:szCs w:val="18"/>
              </w:rPr>
              <w:t>ime-dependent H</w:t>
            </w:r>
            <w:r w:rsidR="00697769" w:rsidRPr="00A92BB5">
              <w:rPr>
                <w:sz w:val="18"/>
                <w:szCs w:val="18"/>
                <w:vertAlign w:val="subscript"/>
              </w:rPr>
              <w:t>2</w:t>
            </w:r>
            <w:r w:rsidR="00697769" w:rsidRPr="00A92BB5">
              <w:rPr>
                <w:sz w:val="18"/>
                <w:szCs w:val="18"/>
              </w:rPr>
              <w:t xml:space="preserve"> production profile</w:t>
            </w:r>
            <w:r w:rsidR="000F3470" w:rsidRPr="00A92BB5">
              <w:rPr>
                <w:sz w:val="18"/>
                <w:szCs w:val="18"/>
              </w:rPr>
              <w:t xml:space="preserve"> (up)</w:t>
            </w:r>
            <w:r w:rsidR="00A60EDC" w:rsidRPr="00A92BB5">
              <w:rPr>
                <w:sz w:val="18"/>
                <w:szCs w:val="18"/>
              </w:rPr>
              <w:t>.</w:t>
            </w:r>
            <w:r w:rsidR="00697769" w:rsidRPr="00A92BB5">
              <w:rPr>
                <w:b/>
                <w:sz w:val="18"/>
                <w:szCs w:val="18"/>
              </w:rPr>
              <w:t xml:space="preserve"> </w:t>
            </w:r>
            <w:r w:rsidR="000F3470" w:rsidRPr="00A92BB5">
              <w:rPr>
                <w:bCs/>
                <w:sz w:val="18"/>
                <w:szCs w:val="18"/>
              </w:rPr>
              <w:t>T</w:t>
            </w:r>
            <w:r w:rsidR="00A60EDC" w:rsidRPr="00A92BB5">
              <w:rPr>
                <w:bCs/>
                <w:sz w:val="18"/>
                <w:szCs w:val="18"/>
              </w:rPr>
              <w:t>he</w:t>
            </w:r>
            <w:r w:rsidR="00A60EDC" w:rsidRPr="00A92BB5">
              <w:rPr>
                <w:bCs/>
                <w:i/>
                <w:iCs/>
                <w:sz w:val="18"/>
                <w:szCs w:val="18"/>
              </w:rPr>
              <w:t xml:space="preserve"> </w:t>
            </w:r>
            <w:r w:rsidR="00F6581C" w:rsidRPr="00A92BB5">
              <w:rPr>
                <w:sz w:val="18"/>
                <w:szCs w:val="18"/>
              </w:rPr>
              <w:t>p</w:t>
            </w:r>
            <w:r w:rsidR="00697769" w:rsidRPr="00A92BB5">
              <w:rPr>
                <w:sz w:val="18"/>
                <w:szCs w:val="18"/>
              </w:rPr>
              <w:t>ower demand of the electrolyzer</w:t>
            </w:r>
            <w:r w:rsidR="000F3470" w:rsidRPr="00A92BB5">
              <w:rPr>
                <w:sz w:val="18"/>
                <w:szCs w:val="18"/>
              </w:rPr>
              <w:t xml:space="preserve"> (down)</w:t>
            </w:r>
            <w:r w:rsidR="00697769" w:rsidRPr="00A92BB5">
              <w:rPr>
                <w:sz w:val="18"/>
                <w:szCs w:val="18"/>
              </w:rPr>
              <w:t>.</w:t>
            </w:r>
          </w:p>
        </w:tc>
        <w:tc>
          <w:tcPr>
            <w:tcW w:w="4780" w:type="dxa"/>
          </w:tcPr>
          <w:p w14:paraId="425148CE" w14:textId="268B4D1F" w:rsidR="008F4572" w:rsidRPr="00A92BB5" w:rsidRDefault="0005026A" w:rsidP="00A92BB5">
            <w:pPr>
              <w:jc w:val="center"/>
              <w:rPr>
                <w:sz w:val="18"/>
                <w:szCs w:val="18"/>
              </w:rPr>
            </w:pPr>
            <w:r w:rsidRPr="00A92BB5">
              <w:rPr>
                <w:b/>
                <w:sz w:val="18"/>
                <w:szCs w:val="18"/>
              </w:rPr>
              <w:t xml:space="preserve">FIGURE </w:t>
            </w:r>
            <w:r w:rsidR="008F4572" w:rsidRPr="00A92BB5">
              <w:rPr>
                <w:b/>
                <w:sz w:val="18"/>
                <w:szCs w:val="18"/>
              </w:rPr>
              <w:t xml:space="preserve">4. </w:t>
            </w:r>
            <w:r w:rsidR="008F4572" w:rsidRPr="00A92BB5">
              <w:rPr>
                <w:sz w:val="18"/>
                <w:szCs w:val="18"/>
              </w:rPr>
              <w:t>Power-dependent H</w:t>
            </w:r>
            <w:r w:rsidR="008F4572" w:rsidRPr="00A92BB5">
              <w:rPr>
                <w:sz w:val="18"/>
                <w:szCs w:val="18"/>
                <w:vertAlign w:val="subscript"/>
              </w:rPr>
              <w:t>2</w:t>
            </w:r>
            <w:r w:rsidR="008F4572" w:rsidRPr="00A92BB5">
              <w:rPr>
                <w:sz w:val="18"/>
                <w:szCs w:val="18"/>
              </w:rPr>
              <w:t xml:space="preserve"> production profile.</w:t>
            </w:r>
          </w:p>
        </w:tc>
      </w:tr>
      <w:tr w:rsidR="008F4572" w14:paraId="7267688C" w14:textId="77777777" w:rsidTr="00BC6F7F">
        <w:tc>
          <w:tcPr>
            <w:tcW w:w="4570" w:type="dxa"/>
          </w:tcPr>
          <w:p w14:paraId="0AFEEA20" w14:textId="3A04B0E2" w:rsidR="008F4572" w:rsidRDefault="009A0F9B" w:rsidP="006770F3">
            <w:pPr>
              <w:pStyle w:val="Paragraph"/>
              <w:ind w:firstLine="0"/>
              <w:rPr>
                <w:sz w:val="24"/>
              </w:rPr>
            </w:pPr>
            <w:r>
              <w:rPr>
                <w:noProof/>
              </w:rPr>
              <w:drawing>
                <wp:anchor distT="0" distB="0" distL="114300" distR="114300" simplePos="0" relativeHeight="251691520" behindDoc="0" locked="0" layoutInCell="1" allowOverlap="1" wp14:anchorId="6102AFBB" wp14:editId="3F1C8CC6">
                  <wp:simplePos x="0" y="0"/>
                  <wp:positionH relativeFrom="column">
                    <wp:posOffset>-3175</wp:posOffset>
                  </wp:positionH>
                  <wp:positionV relativeFrom="paragraph">
                    <wp:posOffset>182880</wp:posOffset>
                  </wp:positionV>
                  <wp:extent cx="2596515" cy="1983740"/>
                  <wp:effectExtent l="0" t="0" r="0" b="0"/>
                  <wp:wrapSquare wrapText="bothSides"/>
                  <wp:docPr id="1183295603" name="Picture 7" descr="A graph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95603" name="Picture 7" descr="A graph of a power lin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6515" cy="1983740"/>
                          </a:xfrm>
                          <a:prstGeom prst="rect">
                            <a:avLst/>
                          </a:prstGeom>
                        </pic:spPr>
                      </pic:pic>
                    </a:graphicData>
                  </a:graphic>
                  <wp14:sizeRelH relativeFrom="margin">
                    <wp14:pctWidth>0</wp14:pctWidth>
                  </wp14:sizeRelH>
                  <wp14:sizeRelV relativeFrom="margin">
                    <wp14:pctHeight>0</wp14:pctHeight>
                  </wp14:sizeRelV>
                </wp:anchor>
              </w:drawing>
            </w:r>
          </w:p>
        </w:tc>
        <w:tc>
          <w:tcPr>
            <w:tcW w:w="4780" w:type="dxa"/>
          </w:tcPr>
          <w:p w14:paraId="70687542" w14:textId="459DDD05" w:rsidR="008F4572" w:rsidRDefault="009A0F9B" w:rsidP="006770F3">
            <w:pPr>
              <w:pStyle w:val="Paragraph"/>
              <w:ind w:firstLine="0"/>
              <w:rPr>
                <w:sz w:val="24"/>
              </w:rPr>
            </w:pPr>
            <w:r>
              <w:rPr>
                <w:noProof/>
              </w:rPr>
              <w:drawing>
                <wp:anchor distT="0" distB="0" distL="114300" distR="114300" simplePos="0" relativeHeight="251689472" behindDoc="1" locked="0" layoutInCell="1" allowOverlap="1" wp14:anchorId="5434EEA5" wp14:editId="0DB40404">
                  <wp:simplePos x="0" y="0"/>
                  <wp:positionH relativeFrom="column">
                    <wp:posOffset>-5080</wp:posOffset>
                  </wp:positionH>
                  <wp:positionV relativeFrom="paragraph">
                    <wp:posOffset>179705</wp:posOffset>
                  </wp:positionV>
                  <wp:extent cx="2715260" cy="2120900"/>
                  <wp:effectExtent l="0" t="0" r="8890" b="0"/>
                  <wp:wrapTight wrapText="bothSides">
                    <wp:wrapPolygon edited="0">
                      <wp:start x="0" y="0"/>
                      <wp:lineTo x="0" y="21341"/>
                      <wp:lineTo x="21519" y="21341"/>
                      <wp:lineTo x="21519" y="0"/>
                      <wp:lineTo x="0" y="0"/>
                    </wp:wrapPolygon>
                  </wp:wrapTight>
                  <wp:docPr id="1527493239" name="Picture 9" descr="A graph showing the density and the temper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93239" name="Picture 9" descr="A graph showing the density and the temperatur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715260" cy="2120900"/>
                          </a:xfrm>
                          <a:prstGeom prst="rect">
                            <a:avLst/>
                          </a:prstGeom>
                        </pic:spPr>
                      </pic:pic>
                    </a:graphicData>
                  </a:graphic>
                  <wp14:sizeRelH relativeFrom="margin">
                    <wp14:pctWidth>0</wp14:pctWidth>
                  </wp14:sizeRelH>
                  <wp14:sizeRelV relativeFrom="margin">
                    <wp14:pctHeight>0</wp14:pctHeight>
                  </wp14:sizeRelV>
                </wp:anchor>
              </w:drawing>
            </w:r>
          </w:p>
        </w:tc>
      </w:tr>
      <w:tr w:rsidR="008F4572" w14:paraId="343C5E98" w14:textId="77777777" w:rsidTr="00BC6F7F">
        <w:tc>
          <w:tcPr>
            <w:tcW w:w="4570" w:type="dxa"/>
          </w:tcPr>
          <w:p w14:paraId="750E40C3" w14:textId="7F5C7A90" w:rsidR="009A0F9B" w:rsidRPr="00F644FE" w:rsidRDefault="003F0FBA" w:rsidP="00F644FE">
            <w:pPr>
              <w:jc w:val="center"/>
              <w:rPr>
                <w:sz w:val="18"/>
                <w:szCs w:val="18"/>
              </w:rPr>
            </w:pPr>
            <w:r w:rsidRPr="00F644FE">
              <w:rPr>
                <w:b/>
                <w:bCs/>
                <w:sz w:val="18"/>
                <w:szCs w:val="18"/>
              </w:rPr>
              <w:t>FIGURE</w:t>
            </w:r>
            <w:r w:rsidR="009A0F9B" w:rsidRPr="00F644FE">
              <w:rPr>
                <w:b/>
                <w:bCs/>
                <w:sz w:val="18"/>
                <w:szCs w:val="18"/>
              </w:rPr>
              <w:t xml:space="preserve"> 5.</w:t>
            </w:r>
            <w:r w:rsidR="009A0F9B" w:rsidRPr="00F644FE">
              <w:rPr>
                <w:sz w:val="18"/>
                <w:szCs w:val="18"/>
              </w:rPr>
              <w:t xml:space="preserve"> Efficiency curve of MPPT</w:t>
            </w:r>
            <w:r w:rsidR="001733EB" w:rsidRPr="00F644FE">
              <w:rPr>
                <w:sz w:val="18"/>
                <w:szCs w:val="18"/>
              </w:rPr>
              <w:t>.</w:t>
            </w:r>
          </w:p>
          <w:p w14:paraId="19745826" w14:textId="232FBE84" w:rsidR="008F4572" w:rsidRDefault="008F4572" w:rsidP="00AD147D"/>
        </w:tc>
        <w:tc>
          <w:tcPr>
            <w:tcW w:w="4780" w:type="dxa"/>
          </w:tcPr>
          <w:p w14:paraId="73F97BB9" w14:textId="66A64D0F" w:rsidR="009A0F9B" w:rsidRPr="00F644FE" w:rsidRDefault="003F0FBA" w:rsidP="00F644FE">
            <w:pPr>
              <w:jc w:val="center"/>
              <w:rPr>
                <w:sz w:val="18"/>
                <w:szCs w:val="18"/>
              </w:rPr>
            </w:pPr>
            <w:r w:rsidRPr="00F644FE">
              <w:rPr>
                <w:b/>
                <w:bCs/>
                <w:sz w:val="18"/>
                <w:szCs w:val="18"/>
              </w:rPr>
              <w:t xml:space="preserve">FIGURE </w:t>
            </w:r>
            <w:r w:rsidR="009A0F9B" w:rsidRPr="00F644FE">
              <w:rPr>
                <w:b/>
                <w:bCs/>
                <w:sz w:val="18"/>
                <w:szCs w:val="18"/>
              </w:rPr>
              <w:t>6</w:t>
            </w:r>
            <w:r w:rsidR="000E0A72" w:rsidRPr="00F644FE">
              <w:rPr>
                <w:b/>
                <w:bCs/>
                <w:sz w:val="18"/>
                <w:szCs w:val="18"/>
              </w:rPr>
              <w:t>.</w:t>
            </w:r>
            <w:r w:rsidR="009A0F9B" w:rsidRPr="00F644FE">
              <w:rPr>
                <w:sz w:val="18"/>
                <w:szCs w:val="18"/>
              </w:rPr>
              <w:t xml:space="preserve"> Density of gaseous hydrogen</w:t>
            </w:r>
          </w:p>
          <w:p w14:paraId="1F6657A0" w14:textId="450C7080" w:rsidR="008F4572" w:rsidRDefault="009A0F9B" w:rsidP="00F644FE">
            <w:pPr>
              <w:pStyle w:val="Paragraph"/>
              <w:ind w:firstLine="0"/>
              <w:jc w:val="center"/>
              <w:rPr>
                <w:sz w:val="24"/>
              </w:rPr>
            </w:pPr>
            <w:r w:rsidRPr="00F644FE">
              <w:rPr>
                <w:sz w:val="18"/>
                <w:szCs w:val="18"/>
              </w:rPr>
              <w:t>as a function of temperature.</w:t>
            </w:r>
          </w:p>
        </w:tc>
      </w:tr>
    </w:tbl>
    <w:p w14:paraId="7522E6A8" w14:textId="6B65C35D" w:rsidR="00A746EF" w:rsidRPr="00C73923" w:rsidRDefault="00B757FB" w:rsidP="00FD3028">
      <w:pPr>
        <w:pStyle w:val="Paragraph"/>
      </w:pPr>
      <w:r w:rsidRPr="00C73923">
        <w:t>This maximum rate is then maintained throughout the remaining operation period of the system. Once H</w:t>
      </w:r>
      <w:r w:rsidRPr="00C73923">
        <w:rPr>
          <w:vertAlign w:val="subscript"/>
        </w:rPr>
        <w:t>2</w:t>
      </w:r>
      <w:r w:rsidRPr="00C73923">
        <w:t xml:space="preserve"> production begins</w:t>
      </w:r>
      <w:r w:rsidR="00970B5B" w:rsidRPr="00C73923">
        <w:t>,</w:t>
      </w:r>
      <w:r w:rsidRPr="00C73923">
        <w:t xml:space="preserve"> the system pressure also starts to rise. After 0.1h, the pressure reaches 28.5bar and remains stable with minor fluctuations. After approximately 3h, a gradual increase is observed reaching 31bar at t = 3.5h. </w:t>
      </w:r>
      <w:r w:rsidR="008608B5" w:rsidRPr="00C73923">
        <w:t xml:space="preserve">A </w:t>
      </w:r>
      <w:r w:rsidRPr="00C73923">
        <w:t xml:space="preserve">continuous </w:t>
      </w:r>
      <w:r w:rsidR="008608B5" w:rsidRPr="00C73923">
        <w:t xml:space="preserve">temperature </w:t>
      </w:r>
      <w:r w:rsidRPr="00C73923">
        <w:t>increase is observed up to t = 1.2h, where it attains its maximum value of 55</w:t>
      </w:r>
      <w:r w:rsidRPr="00C73923">
        <w:rPr>
          <w:vertAlign w:val="superscript"/>
        </w:rPr>
        <w:t>o</w:t>
      </w:r>
      <w:r w:rsidRPr="00C73923">
        <w:t>C. When the electrolyzer is turned off, both the H</w:t>
      </w:r>
      <w:r w:rsidRPr="00C73923">
        <w:rPr>
          <w:vertAlign w:val="subscript"/>
        </w:rPr>
        <w:t>2</w:t>
      </w:r>
      <w:r w:rsidRPr="00C73923">
        <w:t xml:space="preserve"> and pressure drop instantaneously to zero while the temperature gradually returns to 20</w:t>
      </w:r>
      <w:r w:rsidRPr="00C73923">
        <w:rPr>
          <w:vertAlign w:val="superscript"/>
        </w:rPr>
        <w:t>o</w:t>
      </w:r>
      <w:r w:rsidRPr="00C73923">
        <w:t>C.</w:t>
      </w:r>
      <w:r w:rsidR="00813BA6" w:rsidRPr="00C73923">
        <w:t xml:space="preserve"> </w:t>
      </w:r>
    </w:p>
    <w:p w14:paraId="5ED9E4DB" w14:textId="67239587" w:rsidR="00D15850" w:rsidRPr="00C73923" w:rsidRDefault="00D15850" w:rsidP="009F6778">
      <w:pPr>
        <w:pStyle w:val="Paragraph"/>
      </w:pPr>
      <w:r w:rsidRPr="00C73923">
        <w:t>In Fig</w:t>
      </w:r>
      <w:r w:rsidR="002E6F89" w:rsidRPr="00C73923">
        <w:t>ure</w:t>
      </w:r>
      <w:r w:rsidRPr="00C73923">
        <w:t xml:space="preserve"> </w:t>
      </w:r>
      <w:r w:rsidR="006923D8" w:rsidRPr="00C73923">
        <w:t>3</w:t>
      </w:r>
      <w:r w:rsidRPr="00C73923">
        <w:t xml:space="preserve">.b, the variation of the </w:t>
      </w:r>
      <w:r w:rsidR="00686FFC" w:rsidRPr="00C73923">
        <w:t>ELY’s</w:t>
      </w:r>
      <w:r w:rsidRPr="00C73923">
        <w:t xml:space="preserve"> </w:t>
      </w:r>
      <w:r w:rsidR="00294A4A" w:rsidRPr="00C73923">
        <w:t>power demand</w:t>
      </w:r>
      <w:r w:rsidRPr="00C73923">
        <w:t xml:space="preserve"> as a function of time is presented. At 0.5h, the power begins to increase, followed by an abrupt drop after 0.1 h, the power attains its maximum value of 2365W. Subsequently, a decreasing trend is observed, stabilizing at approximately 2314 W.</w:t>
      </w:r>
      <w:r w:rsidR="00707B68" w:rsidRPr="00C73923">
        <w:t xml:space="preserve"> </w:t>
      </w:r>
      <w:r w:rsidRPr="00C73923">
        <w:t xml:space="preserve">The comparison between the two diagrams indicates that the hydrogen flow rate and the power are directly proportional quantities. </w:t>
      </w:r>
      <w:r w:rsidR="00FC1C03" w:rsidRPr="00C73923">
        <w:t>The H</w:t>
      </w:r>
      <w:r w:rsidR="00FC1C03" w:rsidRPr="00C73923">
        <w:rPr>
          <w:vertAlign w:val="subscript"/>
        </w:rPr>
        <w:t>2</w:t>
      </w:r>
      <w:r w:rsidR="00FC1C03" w:rsidRPr="00C73923">
        <w:t xml:space="preserve"> </w:t>
      </w:r>
      <w:r w:rsidR="00D86B70" w:rsidRPr="00C73923">
        <w:t>‘</w:t>
      </w:r>
      <w:r w:rsidR="00FC1C03" w:rsidRPr="00C73923">
        <w:t>ga</w:t>
      </w:r>
      <w:r w:rsidR="00137791" w:rsidRPr="00C73923">
        <w:t>s</w:t>
      </w:r>
      <w:r w:rsidRPr="00C73923">
        <w:t xml:space="preserve"> flow</w:t>
      </w:r>
      <w:r w:rsidR="00D86B70" w:rsidRPr="00C73923">
        <w:t>’</w:t>
      </w:r>
      <w:r w:rsidR="00137791" w:rsidRPr="00C73923">
        <w:t xml:space="preserve"> </w:t>
      </w:r>
      <w:r w:rsidR="00D86B70" w:rsidRPr="00C73923">
        <w:t>–</w:t>
      </w:r>
      <w:r w:rsidR="00137791" w:rsidRPr="00C73923">
        <w:t xml:space="preserve"> </w:t>
      </w:r>
      <w:r w:rsidR="00D86B70" w:rsidRPr="00C73923">
        <w:t>‘</w:t>
      </w:r>
      <w:r w:rsidRPr="00C73923">
        <w:t>power</w:t>
      </w:r>
      <w:r w:rsidR="00AE2167" w:rsidRPr="00C73923">
        <w:t xml:space="preserve"> demand</w:t>
      </w:r>
      <w:r w:rsidR="00D86B70" w:rsidRPr="00C73923">
        <w:t>’</w:t>
      </w:r>
      <w:r w:rsidRPr="00C73923">
        <w:t xml:space="preserve"> relationship</w:t>
      </w:r>
      <w:r w:rsidR="00137791" w:rsidRPr="00C73923">
        <w:t>,</w:t>
      </w:r>
      <w:r w:rsidRPr="00C73923">
        <w:t xml:space="preserve"> is illustrated in </w:t>
      </w:r>
      <w:r w:rsidR="00137791" w:rsidRPr="00C73923">
        <w:t>Figure 4.</w:t>
      </w:r>
      <w:r w:rsidRPr="00C73923">
        <w:t xml:space="preserve"> It </w:t>
      </w:r>
      <w:r w:rsidR="00D86B70" w:rsidRPr="00C73923">
        <w:t>is</w:t>
      </w:r>
      <w:r w:rsidRPr="00C73923">
        <w:t xml:space="preserve"> evident that an increase in </w:t>
      </w:r>
      <w:r w:rsidR="00212E4C" w:rsidRPr="00C73923">
        <w:t>ELY’s</w:t>
      </w:r>
      <w:r w:rsidRPr="00C73923">
        <w:t xml:space="preserve"> </w:t>
      </w:r>
      <w:r w:rsidR="004755F8" w:rsidRPr="00C73923">
        <w:t>power demand</w:t>
      </w:r>
      <w:r w:rsidRPr="00C73923">
        <w:t xml:space="preserve"> leads to</w:t>
      </w:r>
      <w:r w:rsidR="001D39EE" w:rsidRPr="00C73923">
        <w:t xml:space="preserve"> </w:t>
      </w:r>
      <w:r w:rsidR="001D39EE" w:rsidRPr="00C73923">
        <w:lastRenderedPageBreak/>
        <w:t>a</w:t>
      </w:r>
      <w:r w:rsidRPr="00C73923">
        <w:t xml:space="preserve"> linear </w:t>
      </w:r>
      <w:r w:rsidR="00B269DB" w:rsidRPr="00C73923">
        <w:t>rise</w:t>
      </w:r>
      <w:r w:rsidRPr="00C73923">
        <w:t xml:space="preserve"> in the </w:t>
      </w:r>
      <w:r w:rsidR="004755F8" w:rsidRPr="00C73923">
        <w:t>H</w:t>
      </w:r>
      <w:r w:rsidR="004755F8" w:rsidRPr="00C73923">
        <w:rPr>
          <w:vertAlign w:val="subscript"/>
        </w:rPr>
        <w:t>2</w:t>
      </w:r>
      <w:r w:rsidR="004755F8" w:rsidRPr="00C73923">
        <w:t xml:space="preserve"> </w:t>
      </w:r>
      <w:r w:rsidRPr="00C73923">
        <w:t xml:space="preserve">production rate. When the </w:t>
      </w:r>
      <w:r w:rsidR="00566708" w:rsidRPr="00C73923">
        <w:t>ELY</w:t>
      </w:r>
      <w:r w:rsidRPr="00C73923">
        <w:t xml:space="preserve"> reaches its maximum </w:t>
      </w:r>
      <w:r w:rsidR="00566708" w:rsidRPr="00C73923">
        <w:t>H</w:t>
      </w:r>
      <w:r w:rsidR="00566708" w:rsidRPr="00C73923">
        <w:rPr>
          <w:vertAlign w:val="subscript"/>
        </w:rPr>
        <w:t>2</w:t>
      </w:r>
      <w:r w:rsidRPr="00C73923">
        <w:t xml:space="preserve"> output </w:t>
      </w:r>
      <w:r w:rsidR="00212E4C" w:rsidRPr="00C73923">
        <w:t xml:space="preserve">of </w:t>
      </w:r>
      <w:r w:rsidRPr="00C73923">
        <w:t>511 L/h, the corresponding power is approximately 2500 W.</w:t>
      </w:r>
      <w:r w:rsidR="00FD3028" w:rsidRPr="00C73923">
        <w:t xml:space="preserve"> </w:t>
      </w:r>
      <w:r w:rsidRPr="00C73923">
        <w:t xml:space="preserve">The mathematical equation describing the relationship between the </w:t>
      </w:r>
      <w:r w:rsidR="00FD3028" w:rsidRPr="00C73923">
        <w:t>H</w:t>
      </w:r>
      <w:r w:rsidR="00FD3028" w:rsidRPr="00C73923">
        <w:rPr>
          <w:vertAlign w:val="subscript"/>
        </w:rPr>
        <w:t>2</w:t>
      </w:r>
      <w:r w:rsidR="00FD3028" w:rsidRPr="00C73923">
        <w:t xml:space="preserve"> </w:t>
      </w:r>
      <w:r w:rsidRPr="00C73923">
        <w:t xml:space="preserve">production flow rate and </w:t>
      </w:r>
      <w:r w:rsidR="00B269DB" w:rsidRPr="00C73923">
        <w:t>ELY’s</w:t>
      </w:r>
      <w:r w:rsidR="00FF4DB7" w:rsidRPr="00C73923">
        <w:t xml:space="preserve"> </w:t>
      </w:r>
      <w:r w:rsidR="00FD3028" w:rsidRPr="00C73923">
        <w:t>power demand</w:t>
      </w:r>
      <w:r w:rsidRPr="00C73923">
        <w:t>, as derived from Fig</w:t>
      </w:r>
      <w:r w:rsidR="00FF4DB7" w:rsidRPr="00C73923">
        <w:t>ure</w:t>
      </w:r>
      <w:r w:rsidRPr="00C73923">
        <w:t xml:space="preserve"> </w:t>
      </w:r>
      <w:r w:rsidR="00FF4DB7" w:rsidRPr="00C73923">
        <w:t>4</w:t>
      </w:r>
      <w:r w:rsidRPr="00C73923">
        <w:t>, is:</w:t>
      </w: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4"/>
        <w:gridCol w:w="525"/>
      </w:tblGrid>
      <w:tr w:rsidR="00D15850" w:rsidRPr="00C73923" w14:paraId="222999CF" w14:textId="77777777" w:rsidTr="00376290">
        <w:trPr>
          <w:trHeight w:val="426"/>
        </w:trPr>
        <w:tc>
          <w:tcPr>
            <w:tcW w:w="8874" w:type="dxa"/>
          </w:tcPr>
          <w:p w14:paraId="682D823E" w14:textId="77777777" w:rsidR="00D15850" w:rsidRPr="00C73923" w:rsidRDefault="00000000" w:rsidP="005D259A">
            <w:pPr>
              <w:ind w:firstLine="720"/>
              <w:jc w:val="center"/>
              <w:rPr>
                <w:sz w:val="20"/>
              </w:rPr>
            </w:pPr>
            <m:oMathPara>
              <m:oMath>
                <m:sSub>
                  <m:sSubPr>
                    <m:ctrlPr>
                      <w:rPr>
                        <w:rFonts w:ascii="Cambria Math" w:hAnsi="Cambria Math"/>
                        <w:i/>
                        <w:sz w:val="20"/>
                      </w:rPr>
                    </m:ctrlPr>
                  </m:sSubPr>
                  <m:e>
                    <m:r>
                      <w:rPr>
                        <w:rFonts w:ascii="Cambria Math" w:hAnsi="Cambria Math"/>
                        <w:sz w:val="20"/>
                      </w:rPr>
                      <m:t>H</m:t>
                    </m:r>
                  </m:e>
                  <m:sub>
                    <m:sSub>
                      <m:sSubPr>
                        <m:ctrlPr>
                          <w:rPr>
                            <w:rFonts w:ascii="Cambria Math" w:hAnsi="Cambria Math"/>
                            <w:i/>
                            <w:sz w:val="20"/>
                          </w:rPr>
                        </m:ctrlPr>
                      </m:sSubPr>
                      <m:e>
                        <m:r>
                          <w:rPr>
                            <w:rFonts w:ascii="Cambria Math" w:hAnsi="Cambria Math"/>
                            <w:sz w:val="20"/>
                          </w:rPr>
                          <m:t>2</m:t>
                        </m:r>
                      </m:e>
                      <m:sub>
                        <m:r>
                          <w:rPr>
                            <w:rFonts w:ascii="Cambria Math" w:hAnsi="Cambria Math"/>
                            <w:sz w:val="20"/>
                          </w:rPr>
                          <m:t>Flow</m:t>
                        </m:r>
                      </m:sub>
                    </m:sSub>
                  </m:sub>
                </m:sSub>
                <m:r>
                  <w:rPr>
                    <w:rFonts w:ascii="Cambria Math" w:hAnsi="Cambria Math"/>
                    <w:sz w:val="20"/>
                  </w:rPr>
                  <m:t>=2.81914+0.22286∙Power</m:t>
                </m:r>
              </m:oMath>
            </m:oMathPara>
          </w:p>
        </w:tc>
        <w:tc>
          <w:tcPr>
            <w:tcW w:w="525" w:type="dxa"/>
          </w:tcPr>
          <w:p w14:paraId="34EA78D0" w14:textId="77777777" w:rsidR="00D15850" w:rsidRPr="00C73923" w:rsidRDefault="00D15850" w:rsidP="005D259A">
            <w:pPr>
              <w:jc w:val="center"/>
              <w:rPr>
                <w:sz w:val="20"/>
              </w:rPr>
            </w:pPr>
            <w:r w:rsidRPr="00C73923">
              <w:rPr>
                <w:sz w:val="20"/>
              </w:rPr>
              <w:t>(1)</w:t>
            </w:r>
          </w:p>
        </w:tc>
      </w:tr>
    </w:tbl>
    <w:p w14:paraId="30FE504C" w14:textId="77777777" w:rsidR="00D15850" w:rsidRPr="00C73923" w:rsidRDefault="00D15850" w:rsidP="00D15850">
      <w:pPr>
        <w:jc w:val="both"/>
        <w:rPr>
          <w:i/>
          <w:sz w:val="20"/>
        </w:rPr>
      </w:pPr>
    </w:p>
    <w:p w14:paraId="30D55CA8" w14:textId="77777777" w:rsidR="00C76A71" w:rsidRPr="00C73923" w:rsidRDefault="00B0362E" w:rsidP="00144EF8">
      <w:pPr>
        <w:ind w:firstLine="284"/>
        <w:jc w:val="both"/>
        <w:rPr>
          <w:sz w:val="20"/>
        </w:rPr>
      </w:pPr>
      <w:r w:rsidRPr="00C73923">
        <w:rPr>
          <w:sz w:val="20"/>
        </w:rPr>
        <w:t xml:space="preserve">Figure 5 shows the efficiency of the MPPTs as a function of output power (W). It shows that efficiency increases rapidly at low power levels and stabilizes near 98% once the output power exceeds approximately 300W. This indicates that the </w:t>
      </w:r>
      <w:r w:rsidR="00E704DB" w:rsidRPr="00C73923">
        <w:rPr>
          <w:sz w:val="20"/>
        </w:rPr>
        <w:t>MPPTs</w:t>
      </w:r>
      <w:r w:rsidRPr="00C73923">
        <w:rPr>
          <w:sz w:val="20"/>
        </w:rPr>
        <w:t xml:space="preserve"> operate at near-maximum efficiency under typical or higher load conditions, with only minor efficiency losses observed at very low power outputs. </w:t>
      </w:r>
      <w:r w:rsidR="00C76A71" w:rsidRPr="00C73923">
        <w:rPr>
          <w:sz w:val="20"/>
        </w:rPr>
        <w:t>T</w:t>
      </w:r>
      <w:r w:rsidRPr="00C73923">
        <w:rPr>
          <w:sz w:val="20"/>
        </w:rPr>
        <w:t xml:space="preserve">he performance demonstrates excellent conversion efficiency across the full operating range of the PV system. </w:t>
      </w:r>
    </w:p>
    <w:p w14:paraId="2FF3D5E8" w14:textId="264B4651" w:rsidR="003657A5" w:rsidRPr="000451D7" w:rsidRDefault="00D15850" w:rsidP="00144EF8">
      <w:pPr>
        <w:ind w:firstLine="284"/>
        <w:jc w:val="both"/>
      </w:pPr>
      <w:r w:rsidRPr="00C73923">
        <w:rPr>
          <w:sz w:val="20"/>
        </w:rPr>
        <w:t>The relationship between the density of gaseous hydrogen and temperature is shown in Fig</w:t>
      </w:r>
      <w:r w:rsidR="00FA73CD" w:rsidRPr="00C73923">
        <w:rPr>
          <w:sz w:val="20"/>
        </w:rPr>
        <w:t>ur</w:t>
      </w:r>
      <w:r w:rsidR="00DE4C92" w:rsidRPr="00C73923">
        <w:rPr>
          <w:sz w:val="20"/>
        </w:rPr>
        <w:t>e</w:t>
      </w:r>
      <w:r w:rsidRPr="00C73923">
        <w:rPr>
          <w:sz w:val="20"/>
        </w:rPr>
        <w:t xml:space="preserve"> </w:t>
      </w:r>
      <w:r w:rsidR="00FA73CD" w:rsidRPr="00C73923">
        <w:rPr>
          <w:sz w:val="20"/>
        </w:rPr>
        <w:t>6</w:t>
      </w:r>
      <w:r w:rsidRPr="00C73923">
        <w:rPr>
          <w:sz w:val="20"/>
        </w:rPr>
        <w:t>. At 0</w:t>
      </w:r>
      <w:r w:rsidRPr="00C73923">
        <w:rPr>
          <w:sz w:val="20"/>
          <w:vertAlign w:val="superscript"/>
        </w:rPr>
        <w:t>o</w:t>
      </w:r>
      <w:r w:rsidRPr="00C73923">
        <w:rPr>
          <w:sz w:val="20"/>
        </w:rPr>
        <w:t xml:space="preserve">C, the gas density is 0.089g/L. As temperature increases, a gradual decrease in density is observed. The final value in the graph indicates that at 45 </w:t>
      </w:r>
      <w:r w:rsidRPr="00C73923">
        <w:rPr>
          <w:sz w:val="20"/>
          <w:vertAlign w:val="superscript"/>
        </w:rPr>
        <w:t>o</w:t>
      </w:r>
      <w:r w:rsidRPr="00C73923">
        <w:rPr>
          <w:sz w:val="20"/>
        </w:rPr>
        <w:t>C, the density decreases to 0.076 g/L. The inverse relationship between the two variables is consistent with the ideal gas law.</w:t>
      </w:r>
      <w:r>
        <w:t xml:space="preserve"> </w:t>
      </w:r>
    </w:p>
    <w:p w14:paraId="7B9DFE18" w14:textId="116F7EF8" w:rsidR="00AD6C5C" w:rsidRPr="00B65F58" w:rsidRDefault="00AD6C5C" w:rsidP="004B632D">
      <w:pPr>
        <w:pStyle w:val="Heading1"/>
      </w:pPr>
      <w:r>
        <w:t>CONCLUSION</w:t>
      </w:r>
    </w:p>
    <w:p w14:paraId="3A9D3BD3" w14:textId="73F806D9" w:rsidR="009F5D7C" w:rsidRPr="00C73923" w:rsidRDefault="007D5317" w:rsidP="00B63EA1">
      <w:pPr>
        <w:pStyle w:val="Paragraph"/>
        <w:tabs>
          <w:tab w:val="left" w:pos="5040"/>
        </w:tabs>
      </w:pPr>
      <w:r w:rsidRPr="00C73923">
        <w:t xml:space="preserve">The present study has demonstrated that the integrated operation of a </w:t>
      </w:r>
      <w:r w:rsidR="00EA72EE" w:rsidRPr="00C73923">
        <w:t>HRES-ELY</w:t>
      </w:r>
      <w:r w:rsidRPr="00C73923">
        <w:t xml:space="preserve"> system can be effectively harnessed for the reliable production of green </w:t>
      </w:r>
      <w:r w:rsidR="00EA72EE" w:rsidRPr="00C73923">
        <w:t>H</w:t>
      </w:r>
      <w:r w:rsidR="00EA72EE" w:rsidRPr="00C73923">
        <w:rPr>
          <w:vertAlign w:val="subscript"/>
        </w:rPr>
        <w:t>2</w:t>
      </w:r>
      <w:r w:rsidR="00EA72EE" w:rsidRPr="00C73923">
        <w:t xml:space="preserve"> </w:t>
      </w:r>
      <w:r w:rsidRPr="00C73923">
        <w:t xml:space="preserve">under realistic and intermittently variable solar conditions. The developed configuration autonomously evaluates the system’s instantaneous energy balance and dynamically allocates surplus photovoltaic energy to </w:t>
      </w:r>
      <w:r w:rsidR="002A768A" w:rsidRPr="00C73923">
        <w:t>H</w:t>
      </w:r>
      <w:r w:rsidR="002A768A" w:rsidRPr="00C73923">
        <w:rPr>
          <w:vertAlign w:val="subscript"/>
        </w:rPr>
        <w:t>2</w:t>
      </w:r>
      <w:r w:rsidR="002A768A" w:rsidRPr="00C73923">
        <w:t xml:space="preserve"> </w:t>
      </w:r>
      <w:r w:rsidRPr="00C73923">
        <w:t xml:space="preserve">generation, depending on real-time availability and storage capacity. This adaptive operation constitutes a critical step toward the optimization, automation, and scalability of renewable </w:t>
      </w:r>
      <w:r w:rsidR="002A768A" w:rsidRPr="00C73923">
        <w:t>H</w:t>
      </w:r>
      <w:r w:rsidR="002A768A" w:rsidRPr="00C73923">
        <w:rPr>
          <w:vertAlign w:val="subscript"/>
        </w:rPr>
        <w:t>2</w:t>
      </w:r>
      <w:r w:rsidR="002A768A" w:rsidRPr="00C73923">
        <w:t xml:space="preserve"> </w:t>
      </w:r>
      <w:r w:rsidRPr="00C73923">
        <w:t xml:space="preserve">systems. Additionally, the observed linear correlation between </w:t>
      </w:r>
      <w:r w:rsidR="002A768A" w:rsidRPr="00C73923">
        <w:t>ELY</w:t>
      </w:r>
      <w:r w:rsidRPr="00C73923">
        <w:t xml:space="preserve"> power consumption and </w:t>
      </w:r>
      <w:r w:rsidR="00B96377" w:rsidRPr="00C73923">
        <w:t>H</w:t>
      </w:r>
      <w:r w:rsidR="00B96377" w:rsidRPr="00C73923">
        <w:rPr>
          <w:vertAlign w:val="subscript"/>
        </w:rPr>
        <w:t>2</w:t>
      </w:r>
      <w:r w:rsidR="00B96377" w:rsidRPr="00C73923">
        <w:t xml:space="preserve"> </w:t>
      </w:r>
      <w:r w:rsidRPr="00C73923">
        <w:t>flow rate provides a solid analytical basis for developing simplified control algorithms and predictive models applicable to similar hybrid energy systems.</w:t>
      </w:r>
      <w:r w:rsidR="00B63EA1" w:rsidRPr="00C73923">
        <w:t xml:space="preserve"> </w:t>
      </w:r>
      <w:r w:rsidRPr="00C73923">
        <w:t xml:space="preserve">Overall, the findings highlight that the strategic utilization of surplus solar energy for green </w:t>
      </w:r>
      <w:r w:rsidR="00B96377" w:rsidRPr="00C73923">
        <w:t>H</w:t>
      </w:r>
      <w:r w:rsidR="00B96377" w:rsidRPr="00C73923">
        <w:rPr>
          <w:vertAlign w:val="subscript"/>
        </w:rPr>
        <w:t>2</w:t>
      </w:r>
      <w:r w:rsidR="00B96377" w:rsidRPr="00C73923">
        <w:t xml:space="preserve"> </w:t>
      </w:r>
      <w:r w:rsidRPr="00C73923">
        <w:t xml:space="preserve">production is both technically feasible and environmentally sustainable, offering a robust mechanism for enhancing the autonomy and efficiency of distributed renewable systems. Future work will focus on extending this research toward Power-to-Gas (P2G) applications, where the produced </w:t>
      </w:r>
      <w:r w:rsidR="00B63EA1" w:rsidRPr="00C73923">
        <w:t>H</w:t>
      </w:r>
      <w:r w:rsidR="00B63EA1" w:rsidRPr="00C73923">
        <w:rPr>
          <w:vertAlign w:val="subscript"/>
        </w:rPr>
        <w:t>2</w:t>
      </w:r>
      <w:r w:rsidR="00B63EA1" w:rsidRPr="00C73923">
        <w:t xml:space="preserve"> </w:t>
      </w:r>
      <w:r w:rsidRPr="00C73923">
        <w:t>can be further converted into synthetic methane or other renewable fuels, thus contributing to the broader vision of sector coupling, long-term energy storage, and carbon-neutral energy systems.</w:t>
      </w:r>
    </w:p>
    <w:p w14:paraId="256C4C69" w14:textId="77777777" w:rsidR="009F5D7C" w:rsidRPr="009F5D7C" w:rsidRDefault="00AD6C5C" w:rsidP="00AE6921">
      <w:pPr>
        <w:pStyle w:val="Heading1"/>
      </w:pPr>
      <w:r w:rsidRPr="009F5D7C">
        <w:t>Acknowledgments</w:t>
      </w:r>
    </w:p>
    <w:p w14:paraId="0E7424AA" w14:textId="0782A315" w:rsidR="003657A5" w:rsidRPr="00E71009" w:rsidRDefault="00813F53" w:rsidP="00C73923">
      <w:pPr>
        <w:spacing w:before="120"/>
        <w:ind w:firstLine="284"/>
        <w:rPr>
          <w:rFonts w:asciiTheme="majorBidi" w:hAnsiTheme="majorBidi" w:cstheme="majorBidi"/>
          <w:sz w:val="20"/>
        </w:rPr>
      </w:pPr>
      <w:r w:rsidRPr="00E71009">
        <w:rPr>
          <w:rFonts w:asciiTheme="majorBidi" w:hAnsiTheme="majorBidi" w:cstheme="majorBidi"/>
          <w:sz w:val="20"/>
        </w:rPr>
        <w:t>The research project was supported by the Hellenic Foundation for Research and Innovation (H.F.R.I.) under the “2nd Call for H.F.R.I. Research Projects to support Faculty Members &amp; Researchers” (Project Number: 3209).</w:t>
      </w:r>
    </w:p>
    <w:p w14:paraId="567FAF24" w14:textId="4EF0F929" w:rsidR="00E71009" w:rsidRDefault="00E71009" w:rsidP="008757B7">
      <w:pPr>
        <w:pStyle w:val="Heading1"/>
        <w:spacing w:before="0" w:after="0"/>
      </w:pPr>
      <w:r w:rsidRPr="00E71009">
        <w:rPr>
          <w:rFonts w:asciiTheme="majorBidi" w:hAnsiTheme="majorBidi" w:cstheme="majorBidi"/>
          <w:noProof/>
          <w:sz w:val="20"/>
        </w:rPr>
        <w:drawing>
          <wp:inline distT="0" distB="0" distL="0" distR="0" wp14:anchorId="2155C73A" wp14:editId="2A68CA6A">
            <wp:extent cx="1329055" cy="457200"/>
            <wp:effectExtent l="0" t="0" r="4445" b="0"/>
            <wp:docPr id="81654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9055" cy="457200"/>
                    </a:xfrm>
                    <a:prstGeom prst="rect">
                      <a:avLst/>
                    </a:prstGeom>
                    <a:noFill/>
                  </pic:spPr>
                </pic:pic>
              </a:graphicData>
            </a:graphic>
          </wp:inline>
        </w:drawing>
      </w:r>
    </w:p>
    <w:p w14:paraId="18AF50D3" w14:textId="3B5E9F1D" w:rsidR="003657A5" w:rsidRPr="000A40C7" w:rsidRDefault="000A40C7" w:rsidP="000A40C7">
      <w:pPr>
        <w:pStyle w:val="Heading1"/>
      </w:pPr>
      <w:r w:rsidRPr="000A40C7">
        <w:t xml:space="preserve">References </w:t>
      </w:r>
    </w:p>
    <w:p w14:paraId="259CE498" w14:textId="28ED6920" w:rsidR="000A1FDA" w:rsidRPr="00C73923" w:rsidRDefault="00A222A3" w:rsidP="00C73923">
      <w:pPr>
        <w:pStyle w:val="ListParagraph"/>
        <w:numPr>
          <w:ilvl w:val="0"/>
          <w:numId w:val="46"/>
        </w:numPr>
        <w:autoSpaceDE w:val="0"/>
        <w:autoSpaceDN w:val="0"/>
        <w:adjustRightInd w:val="0"/>
        <w:jc w:val="both"/>
        <w:rPr>
          <w:rFonts w:cs="Calibri"/>
          <w:sz w:val="20"/>
        </w:rPr>
      </w:pPr>
      <w:r w:rsidRPr="00C73923">
        <w:rPr>
          <w:rFonts w:cs="Calibri"/>
          <w:sz w:val="20"/>
        </w:rPr>
        <w:t xml:space="preserve">W. </w:t>
      </w:r>
      <w:r w:rsidR="000A1FDA" w:rsidRPr="00C73923">
        <w:rPr>
          <w:rFonts w:cs="Calibri"/>
          <w:sz w:val="20"/>
        </w:rPr>
        <w:t>Zhang</w:t>
      </w:r>
      <w:r w:rsidR="00E61DCF" w:rsidRPr="00C73923">
        <w:rPr>
          <w:rFonts w:cs="Calibri"/>
          <w:sz w:val="20"/>
        </w:rPr>
        <w:t xml:space="preserve"> and C. </w:t>
      </w:r>
      <w:r w:rsidR="000A1FDA" w:rsidRPr="00C73923">
        <w:rPr>
          <w:rFonts w:cs="Calibri"/>
          <w:sz w:val="20"/>
        </w:rPr>
        <w:t xml:space="preserve">Xu, </w:t>
      </w:r>
      <w:r w:rsidR="00355595" w:rsidRPr="00C73923">
        <w:rPr>
          <w:rFonts w:cs="Calibri"/>
          <w:sz w:val="20"/>
        </w:rPr>
        <w:t xml:space="preserve">Energy Convers. Econ. </w:t>
      </w:r>
      <w:r w:rsidR="000A1FDA" w:rsidRPr="00C73923">
        <w:rPr>
          <w:rFonts w:cs="Calibri"/>
          <w:b/>
          <w:bCs/>
          <w:sz w:val="20"/>
        </w:rPr>
        <w:t>5</w:t>
      </w:r>
      <w:r w:rsidR="000A1FDA" w:rsidRPr="00C73923">
        <w:rPr>
          <w:rFonts w:cs="Calibri"/>
          <w:sz w:val="20"/>
        </w:rPr>
        <w:t>(2), 78-92</w:t>
      </w:r>
      <w:r w:rsidR="001C00B5" w:rsidRPr="00C73923">
        <w:rPr>
          <w:rFonts w:cs="Calibri"/>
          <w:sz w:val="20"/>
        </w:rPr>
        <w:t xml:space="preserve"> </w:t>
      </w:r>
      <w:r w:rsidR="007C1453" w:rsidRPr="00C73923">
        <w:rPr>
          <w:rFonts w:cs="Calibri"/>
          <w:sz w:val="20"/>
        </w:rPr>
        <w:t>(2024)</w:t>
      </w:r>
      <w:r w:rsidR="000A1FDA" w:rsidRPr="00C73923">
        <w:rPr>
          <w:rFonts w:cs="Calibri"/>
          <w:sz w:val="20"/>
        </w:rPr>
        <w:t>.</w:t>
      </w:r>
    </w:p>
    <w:p w14:paraId="0EFA62EE" w14:textId="71042BF6" w:rsidR="000A1FDA" w:rsidRPr="00C73923" w:rsidRDefault="007243DF" w:rsidP="00C73923">
      <w:pPr>
        <w:pStyle w:val="ListParagraph"/>
        <w:numPr>
          <w:ilvl w:val="0"/>
          <w:numId w:val="46"/>
        </w:numPr>
        <w:autoSpaceDE w:val="0"/>
        <w:autoSpaceDN w:val="0"/>
        <w:adjustRightInd w:val="0"/>
        <w:jc w:val="both"/>
        <w:rPr>
          <w:rFonts w:cs="Calibri"/>
          <w:sz w:val="20"/>
        </w:rPr>
      </w:pPr>
      <w:r w:rsidRPr="00C73923">
        <w:rPr>
          <w:rFonts w:cs="Calibri"/>
          <w:sz w:val="20"/>
        </w:rPr>
        <w:t xml:space="preserve">A. </w:t>
      </w:r>
      <w:r w:rsidR="000A1FDA" w:rsidRPr="00C73923">
        <w:rPr>
          <w:rFonts w:cs="Calibri"/>
          <w:sz w:val="20"/>
        </w:rPr>
        <w:t>Maroufmashat,</w:t>
      </w:r>
      <w:r w:rsidR="00682AF4" w:rsidRPr="00C73923">
        <w:rPr>
          <w:rFonts w:cs="Calibri"/>
          <w:sz w:val="20"/>
        </w:rPr>
        <w:t xml:space="preserve"> </w:t>
      </w:r>
      <w:r w:rsidRPr="00C73923">
        <w:rPr>
          <w:rFonts w:cs="Calibri"/>
          <w:sz w:val="20"/>
        </w:rPr>
        <w:t xml:space="preserve">F. </w:t>
      </w:r>
      <w:r w:rsidR="000A1FDA" w:rsidRPr="00C73923">
        <w:rPr>
          <w:rFonts w:cs="Calibri"/>
          <w:sz w:val="20"/>
        </w:rPr>
        <w:t xml:space="preserve">Sayedin, </w:t>
      </w:r>
      <w:r w:rsidR="0045558E" w:rsidRPr="00C73923">
        <w:rPr>
          <w:rFonts w:cs="Calibri"/>
          <w:sz w:val="20"/>
        </w:rPr>
        <w:t xml:space="preserve">S. </w:t>
      </w:r>
      <w:r w:rsidR="00A43193" w:rsidRPr="00C73923">
        <w:rPr>
          <w:rFonts w:cs="Calibri"/>
          <w:sz w:val="20"/>
        </w:rPr>
        <w:t xml:space="preserve"> </w:t>
      </w:r>
      <w:r w:rsidR="000A1FDA" w:rsidRPr="00C73923">
        <w:rPr>
          <w:rFonts w:cs="Calibri"/>
          <w:sz w:val="20"/>
        </w:rPr>
        <w:t>Khavas,</w:t>
      </w:r>
      <w:r w:rsidR="00FB347E" w:rsidRPr="00C73923">
        <w:rPr>
          <w:rFonts w:cs="Calibri"/>
          <w:sz w:val="20"/>
        </w:rPr>
        <w:t xml:space="preserve"> </w:t>
      </w:r>
      <w:r w:rsidR="000A1FDA" w:rsidRPr="00C73923">
        <w:rPr>
          <w:rFonts w:cs="Calibri"/>
          <w:sz w:val="20"/>
        </w:rPr>
        <w:t xml:space="preserve">International </w:t>
      </w:r>
      <w:r w:rsidR="00DB414F" w:rsidRPr="00C73923">
        <w:rPr>
          <w:rFonts w:cs="Calibri"/>
          <w:sz w:val="20"/>
        </w:rPr>
        <w:t>J</w:t>
      </w:r>
      <w:r w:rsidR="000A1FDA" w:rsidRPr="00C73923">
        <w:rPr>
          <w:rFonts w:cs="Calibri"/>
          <w:sz w:val="20"/>
        </w:rPr>
        <w:t xml:space="preserve">ournal of </w:t>
      </w:r>
      <w:r w:rsidR="00DB414F" w:rsidRPr="00C73923">
        <w:rPr>
          <w:rFonts w:cs="Calibri"/>
          <w:sz w:val="20"/>
        </w:rPr>
        <w:t>H</w:t>
      </w:r>
      <w:r w:rsidR="000A1FDA" w:rsidRPr="00C73923">
        <w:rPr>
          <w:rFonts w:cs="Calibri"/>
          <w:sz w:val="20"/>
        </w:rPr>
        <w:t xml:space="preserve">ydrogen </w:t>
      </w:r>
      <w:r w:rsidR="00DB414F" w:rsidRPr="00C73923">
        <w:rPr>
          <w:rFonts w:cs="Calibri"/>
          <w:sz w:val="20"/>
        </w:rPr>
        <w:t>E</w:t>
      </w:r>
      <w:r w:rsidR="000A1FDA" w:rsidRPr="00C73923">
        <w:rPr>
          <w:rFonts w:cs="Calibri"/>
          <w:sz w:val="20"/>
        </w:rPr>
        <w:t xml:space="preserve">nergy, </w:t>
      </w:r>
      <w:r w:rsidR="000A1FDA" w:rsidRPr="00C73923">
        <w:rPr>
          <w:rFonts w:cs="Calibri"/>
          <w:b/>
          <w:bCs/>
          <w:sz w:val="20"/>
        </w:rPr>
        <w:t>39</w:t>
      </w:r>
      <w:r w:rsidR="000A1FDA" w:rsidRPr="00C73923">
        <w:rPr>
          <w:rFonts w:cs="Calibri"/>
          <w:sz w:val="20"/>
        </w:rPr>
        <w:t>(33), 18743-18757</w:t>
      </w:r>
      <w:r w:rsidR="00FB347E" w:rsidRPr="00C73923">
        <w:rPr>
          <w:rFonts w:cs="Calibri"/>
          <w:sz w:val="20"/>
        </w:rPr>
        <w:t xml:space="preserve"> (2014)</w:t>
      </w:r>
      <w:r w:rsidR="000A1FDA" w:rsidRPr="00C73923">
        <w:rPr>
          <w:rFonts w:cs="Calibri"/>
          <w:sz w:val="20"/>
        </w:rPr>
        <w:t>.</w:t>
      </w:r>
    </w:p>
    <w:p w14:paraId="36B1F16B" w14:textId="562BD081" w:rsidR="000A1FDA" w:rsidRPr="00C73923" w:rsidRDefault="00A43193" w:rsidP="00C73923">
      <w:pPr>
        <w:pStyle w:val="ListParagraph"/>
        <w:numPr>
          <w:ilvl w:val="0"/>
          <w:numId w:val="46"/>
        </w:numPr>
        <w:autoSpaceDE w:val="0"/>
        <w:autoSpaceDN w:val="0"/>
        <w:adjustRightInd w:val="0"/>
        <w:jc w:val="both"/>
        <w:rPr>
          <w:rFonts w:cs="Calibri"/>
          <w:sz w:val="20"/>
          <w:lang w:val="de-DE"/>
        </w:rPr>
      </w:pPr>
      <w:r w:rsidRPr="00C73923">
        <w:rPr>
          <w:rFonts w:cs="Calibri"/>
          <w:sz w:val="20"/>
          <w:lang w:val="de-DE"/>
        </w:rPr>
        <w:t xml:space="preserve">H. </w:t>
      </w:r>
      <w:r w:rsidR="000A1FDA" w:rsidRPr="00C73923">
        <w:rPr>
          <w:rFonts w:cs="Calibri"/>
          <w:sz w:val="20"/>
          <w:lang w:val="de-DE"/>
        </w:rPr>
        <w:t xml:space="preserve">Xu, </w:t>
      </w:r>
      <w:r w:rsidR="00D37113" w:rsidRPr="00C73923">
        <w:rPr>
          <w:rFonts w:cs="Calibri"/>
          <w:sz w:val="20"/>
          <w:lang w:val="de-DE"/>
        </w:rPr>
        <w:t xml:space="preserve">J. </w:t>
      </w:r>
      <w:r w:rsidR="000A1FDA" w:rsidRPr="00C73923">
        <w:rPr>
          <w:rFonts w:cs="Calibri"/>
          <w:sz w:val="20"/>
          <w:lang w:val="de-DE"/>
        </w:rPr>
        <w:t xml:space="preserve">Ma, </w:t>
      </w:r>
      <w:r w:rsidR="00D37113" w:rsidRPr="00C73923">
        <w:rPr>
          <w:rFonts w:cs="Calibri"/>
          <w:sz w:val="20"/>
          <w:lang w:val="de-DE"/>
        </w:rPr>
        <w:t xml:space="preserve">F. </w:t>
      </w:r>
      <w:r w:rsidR="000A1FDA" w:rsidRPr="00C73923">
        <w:rPr>
          <w:rFonts w:cs="Calibri"/>
          <w:sz w:val="20"/>
          <w:lang w:val="de-DE"/>
        </w:rPr>
        <w:t xml:space="preserve">Xue, </w:t>
      </w:r>
      <w:r w:rsidR="00D37113" w:rsidRPr="00C73923">
        <w:rPr>
          <w:rFonts w:cs="Calibri"/>
          <w:sz w:val="20"/>
          <w:lang w:val="de-DE"/>
        </w:rPr>
        <w:t xml:space="preserve">X. </w:t>
      </w:r>
      <w:r w:rsidR="000A1FDA" w:rsidRPr="00C73923">
        <w:rPr>
          <w:rFonts w:cs="Calibri"/>
          <w:sz w:val="20"/>
          <w:lang w:val="de-DE"/>
        </w:rPr>
        <w:t xml:space="preserve">Li, </w:t>
      </w:r>
      <w:r w:rsidR="00D37113" w:rsidRPr="00C73923">
        <w:rPr>
          <w:rFonts w:cs="Calibri"/>
          <w:sz w:val="20"/>
          <w:lang w:val="de-DE"/>
        </w:rPr>
        <w:t xml:space="preserve">H. </w:t>
      </w:r>
      <w:r w:rsidR="000A1FDA" w:rsidRPr="00C73923">
        <w:rPr>
          <w:rFonts w:cs="Calibri"/>
          <w:sz w:val="20"/>
          <w:lang w:val="de-DE"/>
        </w:rPr>
        <w:t xml:space="preserve">Li, </w:t>
      </w:r>
      <w:r w:rsidR="00D37113" w:rsidRPr="00C73923">
        <w:rPr>
          <w:rFonts w:cs="Calibri"/>
          <w:sz w:val="20"/>
          <w:lang w:val="de-DE"/>
        </w:rPr>
        <w:t xml:space="preserve">W. </w:t>
      </w:r>
      <w:r w:rsidR="000A1FDA" w:rsidRPr="00C73923">
        <w:rPr>
          <w:rFonts w:cs="Calibri"/>
          <w:sz w:val="20"/>
          <w:lang w:val="de-DE"/>
        </w:rPr>
        <w:t xml:space="preserve">Wang, </w:t>
      </w:r>
      <w:r w:rsidR="005A7E1F" w:rsidRPr="00C73923">
        <w:rPr>
          <w:rFonts w:cs="Calibri"/>
          <w:sz w:val="20"/>
          <w:lang w:val="de-DE"/>
        </w:rPr>
        <w:t xml:space="preserve">Y. </w:t>
      </w:r>
      <w:r w:rsidR="0009562F" w:rsidRPr="00C73923">
        <w:rPr>
          <w:rFonts w:cs="Calibri"/>
          <w:sz w:val="20"/>
          <w:lang w:val="de-DE"/>
        </w:rPr>
        <w:t>Zhong</w:t>
      </w:r>
      <w:r w:rsidR="000A1FDA" w:rsidRPr="00C73923">
        <w:rPr>
          <w:rFonts w:cs="Calibri"/>
          <w:sz w:val="20"/>
          <w:lang w:val="de-DE"/>
        </w:rPr>
        <w:t>,</w:t>
      </w:r>
      <w:r w:rsidR="0009562F" w:rsidRPr="00C73923">
        <w:rPr>
          <w:rFonts w:cs="Calibri"/>
          <w:sz w:val="20"/>
          <w:lang w:val="de-DE"/>
        </w:rPr>
        <w:t xml:space="preserve"> J. Zhao, Y. </w:t>
      </w:r>
      <w:r w:rsidR="000A1FDA" w:rsidRPr="00C73923">
        <w:rPr>
          <w:rFonts w:cs="Calibri"/>
          <w:sz w:val="20"/>
          <w:lang w:val="de-DE"/>
        </w:rPr>
        <w:t xml:space="preserve">Zhang, International Journal of Hydrogen Energy, </w:t>
      </w:r>
      <w:r w:rsidR="000A1FDA" w:rsidRPr="00C73923">
        <w:rPr>
          <w:rFonts w:cs="Calibri"/>
          <w:b/>
          <w:bCs/>
          <w:sz w:val="20"/>
          <w:lang w:val="de-DE"/>
        </w:rPr>
        <w:t>106</w:t>
      </w:r>
      <w:r w:rsidR="000A1FDA" w:rsidRPr="00C73923">
        <w:rPr>
          <w:rFonts w:cs="Calibri"/>
          <w:sz w:val="20"/>
          <w:lang w:val="de-DE"/>
        </w:rPr>
        <w:t>, 65-79</w:t>
      </w:r>
      <w:r w:rsidR="0010660C" w:rsidRPr="00C73923">
        <w:rPr>
          <w:rFonts w:cs="Calibri"/>
          <w:sz w:val="20"/>
          <w:lang w:val="de-DE"/>
        </w:rPr>
        <w:t xml:space="preserve"> </w:t>
      </w:r>
      <w:r w:rsidR="0009562F" w:rsidRPr="00C73923">
        <w:rPr>
          <w:rFonts w:cs="Calibri"/>
          <w:sz w:val="20"/>
          <w:lang w:val="de-DE"/>
        </w:rPr>
        <w:t>(2025).</w:t>
      </w:r>
      <w:r w:rsidR="000A1FDA" w:rsidRPr="00C73923">
        <w:rPr>
          <w:rFonts w:cs="Calibri"/>
          <w:sz w:val="20"/>
          <w:lang w:val="de-DE"/>
        </w:rPr>
        <w:t xml:space="preserve"> </w:t>
      </w:r>
    </w:p>
    <w:p w14:paraId="63876F1C" w14:textId="0F34C5A1" w:rsidR="000A1FDA" w:rsidRPr="00C73923" w:rsidRDefault="00F11E19" w:rsidP="00C73923">
      <w:pPr>
        <w:pStyle w:val="ListParagraph"/>
        <w:numPr>
          <w:ilvl w:val="0"/>
          <w:numId w:val="46"/>
        </w:numPr>
        <w:autoSpaceDE w:val="0"/>
        <w:autoSpaceDN w:val="0"/>
        <w:adjustRightInd w:val="0"/>
        <w:jc w:val="both"/>
        <w:rPr>
          <w:rFonts w:cs="Calibri"/>
          <w:sz w:val="20"/>
        </w:rPr>
      </w:pPr>
      <w:r w:rsidRPr="00C73923">
        <w:rPr>
          <w:rFonts w:cs="Calibri"/>
          <w:sz w:val="20"/>
        </w:rPr>
        <w:t xml:space="preserve">M. </w:t>
      </w:r>
      <w:r w:rsidR="000A1FDA" w:rsidRPr="00C73923">
        <w:rPr>
          <w:rFonts w:cs="Calibri"/>
          <w:sz w:val="20"/>
        </w:rPr>
        <w:t>Castañeda,</w:t>
      </w:r>
      <w:r w:rsidRPr="00C73923">
        <w:rPr>
          <w:rFonts w:cs="Calibri"/>
          <w:sz w:val="20"/>
        </w:rPr>
        <w:t xml:space="preserve"> A. </w:t>
      </w:r>
      <w:r w:rsidR="000A1FDA" w:rsidRPr="00C73923">
        <w:rPr>
          <w:rFonts w:cs="Calibri"/>
          <w:sz w:val="20"/>
        </w:rPr>
        <w:t xml:space="preserve">Cano, </w:t>
      </w:r>
      <w:r w:rsidRPr="00C73923">
        <w:rPr>
          <w:rFonts w:cs="Calibri"/>
          <w:sz w:val="20"/>
        </w:rPr>
        <w:t xml:space="preserve">F. </w:t>
      </w:r>
      <w:r w:rsidR="000A1FDA" w:rsidRPr="00C73923">
        <w:rPr>
          <w:rFonts w:cs="Calibri"/>
          <w:sz w:val="20"/>
        </w:rPr>
        <w:t xml:space="preserve">Jurado, </w:t>
      </w:r>
      <w:r w:rsidRPr="00C73923">
        <w:rPr>
          <w:rFonts w:cs="Calibri"/>
          <w:sz w:val="20"/>
        </w:rPr>
        <w:t xml:space="preserve">H. </w:t>
      </w:r>
      <w:r w:rsidR="000A1FDA" w:rsidRPr="00C73923">
        <w:rPr>
          <w:rFonts w:cs="Calibri"/>
          <w:sz w:val="20"/>
        </w:rPr>
        <w:t xml:space="preserve">Sánchez, </w:t>
      </w:r>
      <w:r w:rsidRPr="00C73923">
        <w:rPr>
          <w:rFonts w:cs="Calibri"/>
          <w:sz w:val="20"/>
        </w:rPr>
        <w:t xml:space="preserve">L. M. </w:t>
      </w:r>
      <w:r w:rsidR="000A1FDA" w:rsidRPr="00C73923">
        <w:rPr>
          <w:rFonts w:cs="Calibri"/>
          <w:sz w:val="20"/>
        </w:rPr>
        <w:t xml:space="preserve">Fernández, International </w:t>
      </w:r>
      <w:r w:rsidR="00FB5A0D" w:rsidRPr="00C73923">
        <w:rPr>
          <w:rFonts w:cs="Calibri"/>
          <w:sz w:val="20"/>
        </w:rPr>
        <w:t>J</w:t>
      </w:r>
      <w:r w:rsidR="000A1FDA" w:rsidRPr="00C73923">
        <w:rPr>
          <w:rFonts w:cs="Calibri"/>
          <w:sz w:val="20"/>
        </w:rPr>
        <w:t xml:space="preserve">ournal of </w:t>
      </w:r>
      <w:r w:rsidR="00FB5A0D" w:rsidRPr="00C73923">
        <w:rPr>
          <w:rFonts w:cs="Calibri"/>
          <w:sz w:val="20"/>
        </w:rPr>
        <w:t>H</w:t>
      </w:r>
      <w:r w:rsidR="000A1FDA" w:rsidRPr="00C73923">
        <w:rPr>
          <w:rFonts w:cs="Calibri"/>
          <w:sz w:val="20"/>
        </w:rPr>
        <w:t xml:space="preserve">ydrogen </w:t>
      </w:r>
      <w:r w:rsidR="00FB5A0D" w:rsidRPr="00C73923">
        <w:rPr>
          <w:rFonts w:cs="Calibri"/>
          <w:sz w:val="20"/>
        </w:rPr>
        <w:t>E</w:t>
      </w:r>
      <w:r w:rsidR="000A1FDA" w:rsidRPr="00C73923">
        <w:rPr>
          <w:rFonts w:cs="Calibri"/>
          <w:sz w:val="20"/>
        </w:rPr>
        <w:t xml:space="preserve">nergy, </w:t>
      </w:r>
      <w:r w:rsidR="000A1FDA" w:rsidRPr="00C73923">
        <w:rPr>
          <w:rFonts w:cs="Calibri"/>
          <w:b/>
          <w:bCs/>
          <w:sz w:val="20"/>
        </w:rPr>
        <w:t>38</w:t>
      </w:r>
      <w:r w:rsidR="000A1FDA" w:rsidRPr="00C73923">
        <w:rPr>
          <w:rFonts w:cs="Calibri"/>
          <w:sz w:val="20"/>
        </w:rPr>
        <w:t>(10), 3830-3845</w:t>
      </w:r>
      <w:r w:rsidR="005E06B3" w:rsidRPr="00C73923">
        <w:rPr>
          <w:rFonts w:cs="Calibri"/>
          <w:sz w:val="20"/>
        </w:rPr>
        <w:t xml:space="preserve"> </w:t>
      </w:r>
      <w:r w:rsidR="005E06B3" w:rsidRPr="00C73923">
        <w:rPr>
          <w:rFonts w:cs="Calibri"/>
          <w:sz w:val="20"/>
          <w:lang w:val="it-CH"/>
        </w:rPr>
        <w:t>(2013)</w:t>
      </w:r>
      <w:r w:rsidR="000A1FDA" w:rsidRPr="00C73923">
        <w:rPr>
          <w:rFonts w:cs="Calibri"/>
          <w:sz w:val="20"/>
        </w:rPr>
        <w:t>.</w:t>
      </w:r>
    </w:p>
    <w:p w14:paraId="5DBE6BD2" w14:textId="5C5B6C87" w:rsidR="000A1FDA" w:rsidRPr="00C73923" w:rsidRDefault="00B96741" w:rsidP="00C73923">
      <w:pPr>
        <w:pStyle w:val="ListParagraph"/>
        <w:numPr>
          <w:ilvl w:val="0"/>
          <w:numId w:val="46"/>
        </w:numPr>
        <w:autoSpaceDE w:val="0"/>
        <w:autoSpaceDN w:val="0"/>
        <w:adjustRightInd w:val="0"/>
        <w:jc w:val="both"/>
        <w:rPr>
          <w:rFonts w:cs="Calibri"/>
          <w:sz w:val="20"/>
        </w:rPr>
      </w:pPr>
      <w:r w:rsidRPr="00C73923">
        <w:rPr>
          <w:rFonts w:cs="Calibri"/>
          <w:sz w:val="20"/>
        </w:rPr>
        <w:t xml:space="preserve">L. </w:t>
      </w:r>
      <w:r w:rsidR="000A1FDA" w:rsidRPr="00C73923">
        <w:rPr>
          <w:rFonts w:cs="Calibri"/>
          <w:sz w:val="20"/>
        </w:rPr>
        <w:t>Hou,</w:t>
      </w:r>
      <w:r w:rsidRPr="00C73923">
        <w:rPr>
          <w:rFonts w:cs="Calibri"/>
          <w:sz w:val="20"/>
        </w:rPr>
        <w:t xml:space="preserve"> J.</w:t>
      </w:r>
      <w:r w:rsidR="000A1FDA" w:rsidRPr="00C73923">
        <w:rPr>
          <w:rFonts w:cs="Calibri"/>
          <w:sz w:val="20"/>
        </w:rPr>
        <w:t xml:space="preserve"> Dong, </w:t>
      </w:r>
      <w:r w:rsidRPr="00C73923">
        <w:rPr>
          <w:rFonts w:cs="Calibri"/>
          <w:sz w:val="20"/>
        </w:rPr>
        <w:t xml:space="preserve">O. E. </w:t>
      </w:r>
      <w:r w:rsidR="000A1FDA" w:rsidRPr="00C73923">
        <w:rPr>
          <w:rFonts w:cs="Calibri"/>
          <w:sz w:val="20"/>
        </w:rPr>
        <w:t xml:space="preserve">Herrera, </w:t>
      </w:r>
      <w:r w:rsidRPr="00C73923">
        <w:rPr>
          <w:rFonts w:cs="Calibri"/>
          <w:sz w:val="20"/>
        </w:rPr>
        <w:t xml:space="preserve">W. </w:t>
      </w:r>
      <w:r w:rsidR="000A1FDA" w:rsidRPr="00C73923">
        <w:rPr>
          <w:rFonts w:cs="Calibri"/>
          <w:sz w:val="20"/>
        </w:rPr>
        <w:t xml:space="preserve">Mérida, International Journal of Hydrogen Energy, </w:t>
      </w:r>
      <w:r w:rsidR="000A1FDA" w:rsidRPr="00C73923">
        <w:rPr>
          <w:rFonts w:cs="Calibri"/>
          <w:b/>
          <w:bCs/>
          <w:sz w:val="20"/>
        </w:rPr>
        <w:t>48</w:t>
      </w:r>
      <w:r w:rsidR="000A1FDA" w:rsidRPr="00C73923">
        <w:rPr>
          <w:rFonts w:cs="Calibri"/>
          <w:sz w:val="20"/>
        </w:rPr>
        <w:t>(5), 2013-2029</w:t>
      </w:r>
      <w:r w:rsidR="007F47A9" w:rsidRPr="00C73923">
        <w:rPr>
          <w:rFonts w:cs="Calibri"/>
          <w:sz w:val="20"/>
        </w:rPr>
        <w:t xml:space="preserve"> </w:t>
      </w:r>
      <w:r w:rsidR="00472B07" w:rsidRPr="00C73923">
        <w:rPr>
          <w:rFonts w:cs="Calibri"/>
          <w:sz w:val="20"/>
        </w:rPr>
        <w:t>(2023)</w:t>
      </w:r>
      <w:r w:rsidR="000A1FDA" w:rsidRPr="00C73923">
        <w:rPr>
          <w:rFonts w:cs="Calibri"/>
          <w:sz w:val="20"/>
        </w:rPr>
        <w:t>.</w:t>
      </w:r>
    </w:p>
    <w:p w14:paraId="6D3B51A5" w14:textId="700288B5" w:rsidR="000A1FDA" w:rsidRPr="00C73923" w:rsidRDefault="006424D6" w:rsidP="00C73923">
      <w:pPr>
        <w:pStyle w:val="ListParagraph"/>
        <w:numPr>
          <w:ilvl w:val="0"/>
          <w:numId w:val="46"/>
        </w:numPr>
        <w:autoSpaceDE w:val="0"/>
        <w:autoSpaceDN w:val="0"/>
        <w:adjustRightInd w:val="0"/>
        <w:jc w:val="both"/>
        <w:rPr>
          <w:rFonts w:cs="Calibri"/>
          <w:sz w:val="20"/>
        </w:rPr>
      </w:pPr>
      <w:r w:rsidRPr="00C73923">
        <w:rPr>
          <w:rFonts w:cs="Calibri"/>
          <w:sz w:val="20"/>
        </w:rPr>
        <w:t xml:space="preserve">D. </w:t>
      </w:r>
      <w:r w:rsidR="000A1FDA" w:rsidRPr="00C73923">
        <w:rPr>
          <w:rFonts w:cs="Calibri"/>
          <w:sz w:val="20"/>
        </w:rPr>
        <w:t xml:space="preserve">Pashchenko, Renewable Energy, </w:t>
      </w:r>
      <w:r w:rsidR="000A1FDA" w:rsidRPr="00C73923">
        <w:rPr>
          <w:rFonts w:cs="Calibri"/>
          <w:b/>
          <w:bCs/>
          <w:sz w:val="20"/>
        </w:rPr>
        <w:t>223</w:t>
      </w:r>
      <w:r w:rsidR="000A1FDA" w:rsidRPr="00C73923">
        <w:rPr>
          <w:rFonts w:cs="Calibri"/>
          <w:sz w:val="20"/>
        </w:rPr>
        <w:t>, 120033</w:t>
      </w:r>
      <w:r w:rsidR="002D3E31" w:rsidRPr="00C73923">
        <w:rPr>
          <w:rFonts w:cs="Calibri"/>
          <w:sz w:val="20"/>
        </w:rPr>
        <w:t xml:space="preserve"> (2024)</w:t>
      </w:r>
      <w:r w:rsidR="000A1FDA" w:rsidRPr="00C73923">
        <w:rPr>
          <w:rFonts w:cs="Calibri"/>
          <w:sz w:val="20"/>
        </w:rPr>
        <w:t>.</w:t>
      </w:r>
    </w:p>
    <w:p w14:paraId="17B81889" w14:textId="60C7614C" w:rsidR="000A1FDA" w:rsidRPr="00C73923" w:rsidRDefault="002D3E31" w:rsidP="00C73923">
      <w:pPr>
        <w:pStyle w:val="ListParagraph"/>
        <w:numPr>
          <w:ilvl w:val="0"/>
          <w:numId w:val="46"/>
        </w:numPr>
        <w:autoSpaceDE w:val="0"/>
        <w:autoSpaceDN w:val="0"/>
        <w:adjustRightInd w:val="0"/>
        <w:jc w:val="both"/>
        <w:rPr>
          <w:rFonts w:cs="Calibri"/>
          <w:sz w:val="20"/>
          <w:lang w:val="it-CH"/>
        </w:rPr>
      </w:pPr>
      <w:r w:rsidRPr="00C73923">
        <w:rPr>
          <w:rFonts w:cs="Calibri"/>
          <w:sz w:val="20"/>
          <w:lang w:val="it-CH"/>
        </w:rPr>
        <w:t xml:space="preserve">M. </w:t>
      </w:r>
      <w:r w:rsidR="000A1FDA" w:rsidRPr="00C73923">
        <w:rPr>
          <w:rFonts w:cs="Calibri"/>
          <w:sz w:val="20"/>
          <w:lang w:val="it-CH"/>
        </w:rPr>
        <w:t>Ongis,</w:t>
      </w:r>
      <w:r w:rsidRPr="00C73923">
        <w:rPr>
          <w:rFonts w:cs="Calibri"/>
          <w:sz w:val="20"/>
          <w:lang w:val="it-CH"/>
        </w:rPr>
        <w:t xml:space="preserve"> G. </w:t>
      </w:r>
      <w:r w:rsidR="000A1FDA" w:rsidRPr="00C73923">
        <w:rPr>
          <w:rFonts w:cs="Calibri"/>
          <w:sz w:val="20"/>
          <w:lang w:val="it-CH"/>
        </w:rPr>
        <w:t xml:space="preserve">Di Marcoberardino, </w:t>
      </w:r>
      <w:r w:rsidRPr="00C73923">
        <w:rPr>
          <w:rFonts w:cs="Calibri"/>
          <w:sz w:val="20"/>
          <w:lang w:val="it-CH"/>
        </w:rPr>
        <w:t xml:space="preserve">G. </w:t>
      </w:r>
      <w:r w:rsidR="000A1FDA" w:rsidRPr="00C73923">
        <w:rPr>
          <w:rFonts w:cs="Calibri"/>
          <w:sz w:val="20"/>
          <w:lang w:val="it-CH"/>
        </w:rPr>
        <w:t xml:space="preserve">Manzolini, </w:t>
      </w:r>
      <w:r w:rsidR="002D4F8D" w:rsidRPr="00C73923">
        <w:rPr>
          <w:rFonts w:cs="Calibri"/>
          <w:sz w:val="20"/>
          <w:lang w:val="it-CH"/>
        </w:rPr>
        <w:t xml:space="preserve">F. </w:t>
      </w:r>
      <w:r w:rsidR="000A1FDA" w:rsidRPr="00C73923">
        <w:rPr>
          <w:rFonts w:cs="Calibri"/>
          <w:sz w:val="20"/>
          <w:lang w:val="it-CH"/>
        </w:rPr>
        <w:t xml:space="preserve">Gallucci, </w:t>
      </w:r>
      <w:r w:rsidR="002D4F8D" w:rsidRPr="00C73923">
        <w:rPr>
          <w:rFonts w:cs="Calibri"/>
          <w:sz w:val="20"/>
          <w:lang w:val="it-CH"/>
        </w:rPr>
        <w:t xml:space="preserve">M. </w:t>
      </w:r>
      <w:r w:rsidR="000A1FDA" w:rsidRPr="00C73923">
        <w:rPr>
          <w:rFonts w:cs="Calibri"/>
          <w:sz w:val="20"/>
          <w:lang w:val="it-CH"/>
        </w:rPr>
        <w:t xml:space="preserve">Binotti, International </w:t>
      </w:r>
      <w:r w:rsidR="00EF042D" w:rsidRPr="00C73923">
        <w:rPr>
          <w:rFonts w:cs="Calibri"/>
          <w:sz w:val="20"/>
          <w:lang w:val="it-CH"/>
        </w:rPr>
        <w:t>J</w:t>
      </w:r>
      <w:r w:rsidR="000A1FDA" w:rsidRPr="00C73923">
        <w:rPr>
          <w:rFonts w:cs="Calibri"/>
          <w:sz w:val="20"/>
          <w:lang w:val="it-CH"/>
        </w:rPr>
        <w:t xml:space="preserve">ournal of </w:t>
      </w:r>
      <w:r w:rsidR="00EF042D" w:rsidRPr="00C73923">
        <w:rPr>
          <w:rFonts w:cs="Calibri"/>
          <w:sz w:val="20"/>
          <w:lang w:val="it-CH"/>
        </w:rPr>
        <w:t>H</w:t>
      </w:r>
      <w:r w:rsidR="000A1FDA" w:rsidRPr="00C73923">
        <w:rPr>
          <w:rFonts w:cs="Calibri"/>
          <w:sz w:val="20"/>
          <w:lang w:val="it-CH"/>
        </w:rPr>
        <w:t xml:space="preserve">ydrogen </w:t>
      </w:r>
      <w:r w:rsidR="00EF042D" w:rsidRPr="00C73923">
        <w:rPr>
          <w:rFonts w:cs="Calibri"/>
          <w:sz w:val="20"/>
          <w:lang w:val="it-CH"/>
        </w:rPr>
        <w:t>E</w:t>
      </w:r>
      <w:r w:rsidR="000A1FDA" w:rsidRPr="00C73923">
        <w:rPr>
          <w:rFonts w:cs="Calibri"/>
          <w:sz w:val="20"/>
          <w:lang w:val="it-CH"/>
        </w:rPr>
        <w:t xml:space="preserve">nergy, </w:t>
      </w:r>
      <w:r w:rsidR="000A1FDA" w:rsidRPr="00C73923">
        <w:rPr>
          <w:rFonts w:cs="Calibri"/>
          <w:b/>
          <w:bCs/>
          <w:sz w:val="20"/>
          <w:lang w:val="it-CH"/>
        </w:rPr>
        <w:t>48</w:t>
      </w:r>
      <w:r w:rsidR="000A1FDA" w:rsidRPr="00C73923">
        <w:rPr>
          <w:rFonts w:cs="Calibri"/>
          <w:sz w:val="20"/>
          <w:lang w:val="it-CH"/>
        </w:rPr>
        <w:t>(51), 19580-19595</w:t>
      </w:r>
      <w:r w:rsidR="002D4F8D" w:rsidRPr="00C73923">
        <w:rPr>
          <w:rFonts w:cs="Calibri"/>
          <w:sz w:val="20"/>
          <w:lang w:val="it-CH"/>
        </w:rPr>
        <w:t xml:space="preserve"> (2023).</w:t>
      </w:r>
    </w:p>
    <w:p w14:paraId="4DE91CCB" w14:textId="09AA0581" w:rsidR="00326AE0" w:rsidRPr="00C73923" w:rsidRDefault="00453F36" w:rsidP="00C73923">
      <w:pPr>
        <w:pStyle w:val="ListParagraph"/>
        <w:numPr>
          <w:ilvl w:val="0"/>
          <w:numId w:val="46"/>
        </w:numPr>
        <w:autoSpaceDE w:val="0"/>
        <w:autoSpaceDN w:val="0"/>
        <w:adjustRightInd w:val="0"/>
        <w:jc w:val="both"/>
        <w:rPr>
          <w:rFonts w:cs="Calibri"/>
          <w:sz w:val="20"/>
        </w:rPr>
      </w:pPr>
      <w:r w:rsidRPr="00C73923">
        <w:rPr>
          <w:rFonts w:cs="Calibri"/>
          <w:sz w:val="20"/>
        </w:rPr>
        <w:t>C</w:t>
      </w:r>
      <w:r w:rsidR="005927C1" w:rsidRPr="00C73923">
        <w:rPr>
          <w:rFonts w:cs="Calibri"/>
          <w:sz w:val="20"/>
        </w:rPr>
        <w:t xml:space="preserve">. </w:t>
      </w:r>
      <w:r w:rsidRPr="00C73923">
        <w:rPr>
          <w:rFonts w:cs="Calibri"/>
          <w:sz w:val="20"/>
        </w:rPr>
        <w:t>Elmasides, I</w:t>
      </w:r>
      <w:r w:rsidR="005927C1" w:rsidRPr="00C73923">
        <w:rPr>
          <w:rFonts w:cs="Calibri"/>
          <w:sz w:val="20"/>
        </w:rPr>
        <w:t>.</w:t>
      </w:r>
      <w:r w:rsidRPr="00C73923">
        <w:rPr>
          <w:rFonts w:cs="Calibri"/>
          <w:sz w:val="20"/>
        </w:rPr>
        <w:t xml:space="preserve"> E. Kosmadakis, C</w:t>
      </w:r>
      <w:r w:rsidR="005927C1" w:rsidRPr="00C73923">
        <w:rPr>
          <w:rFonts w:cs="Calibri"/>
          <w:sz w:val="20"/>
        </w:rPr>
        <w:t>.</w:t>
      </w:r>
      <w:r w:rsidRPr="00C73923">
        <w:rPr>
          <w:rFonts w:cs="Calibri"/>
          <w:sz w:val="20"/>
        </w:rPr>
        <w:t xml:space="preserve"> Athanasiou, Journal of Energy Storage, </w:t>
      </w:r>
      <w:r w:rsidRPr="00C73923">
        <w:rPr>
          <w:rFonts w:cs="Calibri"/>
          <w:b/>
          <w:bCs/>
          <w:sz w:val="20"/>
        </w:rPr>
        <w:t>106</w:t>
      </w:r>
      <w:r w:rsidRPr="00C73923">
        <w:rPr>
          <w:rFonts w:cs="Calibri"/>
          <w:sz w:val="20"/>
        </w:rPr>
        <w:t>, 114790</w:t>
      </w:r>
      <w:r w:rsidR="00C07B74" w:rsidRPr="00C73923">
        <w:rPr>
          <w:rFonts w:cs="Calibri"/>
          <w:sz w:val="20"/>
        </w:rPr>
        <w:t xml:space="preserve"> (2025)</w:t>
      </w:r>
      <w:r w:rsidR="00EF70FC" w:rsidRPr="00C73923">
        <w:rPr>
          <w:rFonts w:cs="Calibri"/>
          <w:sz w:val="20"/>
        </w:rPr>
        <w:t>.</w:t>
      </w:r>
      <w:r w:rsidR="003657A5" w:rsidRPr="00C73923">
        <w:rPr>
          <w:rFonts w:cs="Calibri"/>
          <w:sz w:val="20"/>
        </w:rPr>
        <w:t xml:space="preserve"> </w:t>
      </w:r>
    </w:p>
    <w:sectPr w:rsidR="00326AE0" w:rsidRPr="00C73923" w:rsidSect="00C517E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AA73039"/>
    <w:multiLevelType w:val="hybridMultilevel"/>
    <w:tmpl w:val="7D8CC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81453"/>
    <w:multiLevelType w:val="hybridMultilevel"/>
    <w:tmpl w:val="AE103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DE68A0"/>
    <w:multiLevelType w:val="multilevel"/>
    <w:tmpl w:val="0C4030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370410"/>
    <w:multiLevelType w:val="multilevel"/>
    <w:tmpl w:val="0980E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31931"/>
    <w:multiLevelType w:val="multilevel"/>
    <w:tmpl w:val="1F8EF1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20"/>
  </w:num>
  <w:num w:numId="2" w16cid:durableId="1623537524">
    <w:abstractNumId w:val="4"/>
  </w:num>
  <w:num w:numId="3" w16cid:durableId="333149680">
    <w:abstractNumId w:val="17"/>
  </w:num>
  <w:num w:numId="4" w16cid:durableId="1958750756">
    <w:abstractNumId w:val="8"/>
  </w:num>
  <w:num w:numId="5" w16cid:durableId="1466237890">
    <w:abstractNumId w:val="16"/>
  </w:num>
  <w:num w:numId="6" w16cid:durableId="846751398">
    <w:abstractNumId w:val="5"/>
  </w:num>
  <w:num w:numId="7" w16cid:durableId="982584711">
    <w:abstractNumId w:val="7"/>
  </w:num>
  <w:num w:numId="8" w16cid:durableId="247734440">
    <w:abstractNumId w:val="1"/>
  </w:num>
  <w:num w:numId="9" w16cid:durableId="1514879319">
    <w:abstractNumId w:val="19"/>
  </w:num>
  <w:num w:numId="10" w16cid:durableId="1383210328">
    <w:abstractNumId w:val="10"/>
  </w:num>
  <w:num w:numId="11" w16cid:durableId="1513061117">
    <w:abstractNumId w:val="18"/>
  </w:num>
  <w:num w:numId="12" w16cid:durableId="958226418">
    <w:abstractNumId w:val="14"/>
  </w:num>
  <w:num w:numId="13" w16cid:durableId="771170886">
    <w:abstractNumId w:val="6"/>
  </w:num>
  <w:num w:numId="14" w16cid:durableId="1315187322">
    <w:abstractNumId w:val="19"/>
  </w:num>
  <w:num w:numId="15" w16cid:durableId="1726029251">
    <w:abstractNumId w:val="9"/>
  </w:num>
  <w:num w:numId="16" w16cid:durableId="1685588258">
    <w:abstractNumId w:val="6"/>
  </w:num>
  <w:num w:numId="17" w16cid:durableId="1886479068">
    <w:abstractNumId w:val="6"/>
  </w:num>
  <w:num w:numId="18" w16cid:durableId="122507144">
    <w:abstractNumId w:val="6"/>
  </w:num>
  <w:num w:numId="19" w16cid:durableId="377123869">
    <w:abstractNumId w:val="6"/>
  </w:num>
  <w:num w:numId="20" w16cid:durableId="497497882">
    <w:abstractNumId w:val="6"/>
  </w:num>
  <w:num w:numId="21" w16cid:durableId="1717657651">
    <w:abstractNumId w:val="6"/>
  </w:num>
  <w:num w:numId="22" w16cid:durableId="311255422">
    <w:abstractNumId w:val="6"/>
  </w:num>
  <w:num w:numId="23" w16cid:durableId="85927171">
    <w:abstractNumId w:val="6"/>
  </w:num>
  <w:num w:numId="24" w16cid:durableId="1880437806">
    <w:abstractNumId w:val="6"/>
  </w:num>
  <w:num w:numId="25" w16cid:durableId="392965441">
    <w:abstractNumId w:val="6"/>
  </w:num>
  <w:num w:numId="26" w16cid:durableId="1947694933">
    <w:abstractNumId w:val="6"/>
  </w:num>
  <w:num w:numId="27" w16cid:durableId="296030027">
    <w:abstractNumId w:val="6"/>
  </w:num>
  <w:num w:numId="28" w16cid:durableId="136382022">
    <w:abstractNumId w:val="6"/>
  </w:num>
  <w:num w:numId="29" w16cid:durableId="1747334233">
    <w:abstractNumId w:val="16"/>
  </w:num>
  <w:num w:numId="30" w16cid:durableId="1575971747">
    <w:abstractNumId w:val="16"/>
  </w:num>
  <w:num w:numId="31" w16cid:durableId="1939214429">
    <w:abstractNumId w:val="16"/>
    <w:lvlOverride w:ilvl="0">
      <w:startOverride w:val="1"/>
    </w:lvlOverride>
  </w:num>
  <w:num w:numId="32" w16cid:durableId="1782339355">
    <w:abstractNumId w:val="16"/>
  </w:num>
  <w:num w:numId="33" w16cid:durableId="957906086">
    <w:abstractNumId w:val="16"/>
    <w:lvlOverride w:ilvl="0">
      <w:startOverride w:val="1"/>
    </w:lvlOverride>
  </w:num>
  <w:num w:numId="34" w16cid:durableId="1087652185">
    <w:abstractNumId w:val="16"/>
    <w:lvlOverride w:ilvl="0">
      <w:startOverride w:val="1"/>
    </w:lvlOverride>
  </w:num>
  <w:num w:numId="35" w16cid:durableId="1054889863">
    <w:abstractNumId w:val="17"/>
    <w:lvlOverride w:ilvl="0">
      <w:startOverride w:val="1"/>
    </w:lvlOverride>
  </w:num>
  <w:num w:numId="36" w16cid:durableId="1812165908">
    <w:abstractNumId w:val="17"/>
  </w:num>
  <w:num w:numId="37" w16cid:durableId="1903178079">
    <w:abstractNumId w:val="17"/>
    <w:lvlOverride w:ilvl="0">
      <w:startOverride w:val="1"/>
    </w:lvlOverride>
  </w:num>
  <w:num w:numId="38" w16cid:durableId="1316564979">
    <w:abstractNumId w:val="17"/>
  </w:num>
  <w:num w:numId="39" w16cid:durableId="874267395">
    <w:abstractNumId w:val="17"/>
    <w:lvlOverride w:ilvl="0">
      <w:startOverride w:val="1"/>
    </w:lvlOverride>
  </w:num>
  <w:num w:numId="40" w16cid:durableId="1368025285">
    <w:abstractNumId w:val="17"/>
    <w:lvlOverride w:ilvl="0">
      <w:startOverride w:val="1"/>
    </w:lvlOverride>
  </w:num>
  <w:num w:numId="41" w16cid:durableId="944078796">
    <w:abstractNumId w:val="17"/>
    <w:lvlOverride w:ilvl="0">
      <w:startOverride w:val="1"/>
    </w:lvlOverride>
  </w:num>
  <w:num w:numId="42" w16cid:durableId="996031766">
    <w:abstractNumId w:val="17"/>
  </w:num>
  <w:num w:numId="43" w16cid:durableId="1289776494">
    <w:abstractNumId w:val="17"/>
  </w:num>
  <w:num w:numId="44" w16cid:durableId="1653829719">
    <w:abstractNumId w:val="2"/>
  </w:num>
  <w:num w:numId="45" w16cid:durableId="1775442011">
    <w:abstractNumId w:val="0"/>
  </w:num>
  <w:num w:numId="46" w16cid:durableId="603652875">
    <w:abstractNumId w:val="11"/>
  </w:num>
  <w:num w:numId="47" w16cid:durableId="455217954">
    <w:abstractNumId w:val="3"/>
  </w:num>
  <w:num w:numId="48" w16cid:durableId="274602370">
    <w:abstractNumId w:val="15"/>
  </w:num>
  <w:num w:numId="49" w16cid:durableId="115149096">
    <w:abstractNumId w:val="12"/>
  </w:num>
  <w:num w:numId="50" w16cid:durableId="394789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4F4A"/>
    <w:rsid w:val="0000557F"/>
    <w:rsid w:val="00006F2E"/>
    <w:rsid w:val="0000775E"/>
    <w:rsid w:val="00013F95"/>
    <w:rsid w:val="00014140"/>
    <w:rsid w:val="0001799A"/>
    <w:rsid w:val="00020AEE"/>
    <w:rsid w:val="00027428"/>
    <w:rsid w:val="00031EC9"/>
    <w:rsid w:val="00036770"/>
    <w:rsid w:val="00044E6B"/>
    <w:rsid w:val="000451D7"/>
    <w:rsid w:val="0005026A"/>
    <w:rsid w:val="00051256"/>
    <w:rsid w:val="00055B24"/>
    <w:rsid w:val="00066FED"/>
    <w:rsid w:val="00070176"/>
    <w:rsid w:val="00074678"/>
    <w:rsid w:val="00074F70"/>
    <w:rsid w:val="000755C6"/>
    <w:rsid w:val="00075EA6"/>
    <w:rsid w:val="0007709F"/>
    <w:rsid w:val="0008037F"/>
    <w:rsid w:val="000810EA"/>
    <w:rsid w:val="0008136E"/>
    <w:rsid w:val="00086F62"/>
    <w:rsid w:val="00090674"/>
    <w:rsid w:val="00091C34"/>
    <w:rsid w:val="00092502"/>
    <w:rsid w:val="0009320B"/>
    <w:rsid w:val="0009382B"/>
    <w:rsid w:val="0009562F"/>
    <w:rsid w:val="000963A6"/>
    <w:rsid w:val="00096AE0"/>
    <w:rsid w:val="00096D8C"/>
    <w:rsid w:val="000A1FDA"/>
    <w:rsid w:val="000A2CA3"/>
    <w:rsid w:val="000A40C7"/>
    <w:rsid w:val="000A4D00"/>
    <w:rsid w:val="000B1B74"/>
    <w:rsid w:val="000B3A2D"/>
    <w:rsid w:val="000B42B1"/>
    <w:rsid w:val="000B49C0"/>
    <w:rsid w:val="000B70EE"/>
    <w:rsid w:val="000C1697"/>
    <w:rsid w:val="000C6AED"/>
    <w:rsid w:val="000C75E3"/>
    <w:rsid w:val="000D0ECA"/>
    <w:rsid w:val="000E0926"/>
    <w:rsid w:val="000E0A72"/>
    <w:rsid w:val="000E382F"/>
    <w:rsid w:val="000E73BF"/>
    <w:rsid w:val="000E75CD"/>
    <w:rsid w:val="000F3470"/>
    <w:rsid w:val="000F5A6D"/>
    <w:rsid w:val="000F6190"/>
    <w:rsid w:val="000F6B56"/>
    <w:rsid w:val="0010167D"/>
    <w:rsid w:val="001036BA"/>
    <w:rsid w:val="0010467A"/>
    <w:rsid w:val="0010660C"/>
    <w:rsid w:val="00110B54"/>
    <w:rsid w:val="001146DC"/>
    <w:rsid w:val="00114AB1"/>
    <w:rsid w:val="00115C47"/>
    <w:rsid w:val="001230FF"/>
    <w:rsid w:val="00130BD7"/>
    <w:rsid w:val="00133B4F"/>
    <w:rsid w:val="00135D89"/>
    <w:rsid w:val="00137791"/>
    <w:rsid w:val="00144ABF"/>
    <w:rsid w:val="00144EF8"/>
    <w:rsid w:val="00152581"/>
    <w:rsid w:val="00155B67"/>
    <w:rsid w:val="001562AF"/>
    <w:rsid w:val="001611EE"/>
    <w:rsid w:val="00161A5B"/>
    <w:rsid w:val="001620EB"/>
    <w:rsid w:val="0016385D"/>
    <w:rsid w:val="00165E7E"/>
    <w:rsid w:val="0016782F"/>
    <w:rsid w:val="001722DD"/>
    <w:rsid w:val="001733EB"/>
    <w:rsid w:val="0017391D"/>
    <w:rsid w:val="0017454C"/>
    <w:rsid w:val="00181A79"/>
    <w:rsid w:val="00186C3A"/>
    <w:rsid w:val="001937E9"/>
    <w:rsid w:val="001964E5"/>
    <w:rsid w:val="001A1776"/>
    <w:rsid w:val="001A4E95"/>
    <w:rsid w:val="001B263B"/>
    <w:rsid w:val="001B476A"/>
    <w:rsid w:val="001C00B5"/>
    <w:rsid w:val="001C2831"/>
    <w:rsid w:val="001C2C27"/>
    <w:rsid w:val="001C4A42"/>
    <w:rsid w:val="001C764F"/>
    <w:rsid w:val="001C7BB3"/>
    <w:rsid w:val="001D018E"/>
    <w:rsid w:val="001D0508"/>
    <w:rsid w:val="001D39EE"/>
    <w:rsid w:val="001D469C"/>
    <w:rsid w:val="001D5024"/>
    <w:rsid w:val="001D6F24"/>
    <w:rsid w:val="001E215B"/>
    <w:rsid w:val="001E38A4"/>
    <w:rsid w:val="001E78ED"/>
    <w:rsid w:val="001F6F63"/>
    <w:rsid w:val="00204D38"/>
    <w:rsid w:val="002104C8"/>
    <w:rsid w:val="00212E4C"/>
    <w:rsid w:val="0021619E"/>
    <w:rsid w:val="002205B6"/>
    <w:rsid w:val="002237B1"/>
    <w:rsid w:val="00225170"/>
    <w:rsid w:val="0023171B"/>
    <w:rsid w:val="00236BFC"/>
    <w:rsid w:val="00237437"/>
    <w:rsid w:val="002377A6"/>
    <w:rsid w:val="00240AE6"/>
    <w:rsid w:val="002432BA"/>
    <w:rsid w:val="002469F0"/>
    <w:rsid w:val="002502FD"/>
    <w:rsid w:val="00254A4C"/>
    <w:rsid w:val="002601B7"/>
    <w:rsid w:val="00263E6D"/>
    <w:rsid w:val="0026530D"/>
    <w:rsid w:val="00267A6B"/>
    <w:rsid w:val="00274622"/>
    <w:rsid w:val="00280197"/>
    <w:rsid w:val="002835A4"/>
    <w:rsid w:val="00285D24"/>
    <w:rsid w:val="00290390"/>
    <w:rsid w:val="002915D3"/>
    <w:rsid w:val="002924DB"/>
    <w:rsid w:val="002941DA"/>
    <w:rsid w:val="00294A4A"/>
    <w:rsid w:val="00294CB8"/>
    <w:rsid w:val="002962B3"/>
    <w:rsid w:val="002A1E71"/>
    <w:rsid w:val="002A4F87"/>
    <w:rsid w:val="002A53A7"/>
    <w:rsid w:val="002A768A"/>
    <w:rsid w:val="002B5648"/>
    <w:rsid w:val="002B7A46"/>
    <w:rsid w:val="002D1560"/>
    <w:rsid w:val="002D2779"/>
    <w:rsid w:val="002D3E31"/>
    <w:rsid w:val="002D4DBE"/>
    <w:rsid w:val="002D4F8D"/>
    <w:rsid w:val="002E274D"/>
    <w:rsid w:val="002E2FA9"/>
    <w:rsid w:val="002E3C35"/>
    <w:rsid w:val="002E658C"/>
    <w:rsid w:val="002E6F89"/>
    <w:rsid w:val="002F4DB6"/>
    <w:rsid w:val="002F5298"/>
    <w:rsid w:val="002F540F"/>
    <w:rsid w:val="002F6507"/>
    <w:rsid w:val="002F6626"/>
    <w:rsid w:val="003065C1"/>
    <w:rsid w:val="0030763B"/>
    <w:rsid w:val="003154B5"/>
    <w:rsid w:val="00324F0B"/>
    <w:rsid w:val="00326AE0"/>
    <w:rsid w:val="00333F34"/>
    <w:rsid w:val="003365AA"/>
    <w:rsid w:val="00337E4F"/>
    <w:rsid w:val="00340C36"/>
    <w:rsid w:val="0034279C"/>
    <w:rsid w:val="003437C4"/>
    <w:rsid w:val="00346209"/>
    <w:rsid w:val="003468E9"/>
    <w:rsid w:val="00346A9D"/>
    <w:rsid w:val="00355595"/>
    <w:rsid w:val="0035649E"/>
    <w:rsid w:val="00357D30"/>
    <w:rsid w:val="003600AA"/>
    <w:rsid w:val="003657A5"/>
    <w:rsid w:val="00376290"/>
    <w:rsid w:val="00392CF8"/>
    <w:rsid w:val="0039376F"/>
    <w:rsid w:val="00395150"/>
    <w:rsid w:val="003A15D7"/>
    <w:rsid w:val="003A287B"/>
    <w:rsid w:val="003A5C85"/>
    <w:rsid w:val="003A61B1"/>
    <w:rsid w:val="003B0050"/>
    <w:rsid w:val="003B5EEB"/>
    <w:rsid w:val="003C146B"/>
    <w:rsid w:val="003C4C83"/>
    <w:rsid w:val="003D0947"/>
    <w:rsid w:val="003D6312"/>
    <w:rsid w:val="003E1837"/>
    <w:rsid w:val="003E7C74"/>
    <w:rsid w:val="003F0D3D"/>
    <w:rsid w:val="003F0FBA"/>
    <w:rsid w:val="003F31C6"/>
    <w:rsid w:val="003F5911"/>
    <w:rsid w:val="003F5E18"/>
    <w:rsid w:val="0040225B"/>
    <w:rsid w:val="00402DA2"/>
    <w:rsid w:val="00402F6B"/>
    <w:rsid w:val="004050C7"/>
    <w:rsid w:val="00417276"/>
    <w:rsid w:val="00422FC9"/>
    <w:rsid w:val="00424AB2"/>
    <w:rsid w:val="00425AC2"/>
    <w:rsid w:val="00432953"/>
    <w:rsid w:val="004409B3"/>
    <w:rsid w:val="00442901"/>
    <w:rsid w:val="0044771F"/>
    <w:rsid w:val="004523E7"/>
    <w:rsid w:val="00453F36"/>
    <w:rsid w:val="0045558E"/>
    <w:rsid w:val="00456969"/>
    <w:rsid w:val="004606A6"/>
    <w:rsid w:val="00466BD8"/>
    <w:rsid w:val="00472B07"/>
    <w:rsid w:val="00474387"/>
    <w:rsid w:val="004755F8"/>
    <w:rsid w:val="0047659F"/>
    <w:rsid w:val="004814F2"/>
    <w:rsid w:val="00492A2C"/>
    <w:rsid w:val="00492ED2"/>
    <w:rsid w:val="004962E4"/>
    <w:rsid w:val="00496A53"/>
    <w:rsid w:val="00496ABC"/>
    <w:rsid w:val="004B151D"/>
    <w:rsid w:val="004B426B"/>
    <w:rsid w:val="004B632D"/>
    <w:rsid w:val="004C0BCF"/>
    <w:rsid w:val="004C5D89"/>
    <w:rsid w:val="004C7243"/>
    <w:rsid w:val="004D2360"/>
    <w:rsid w:val="004D28FC"/>
    <w:rsid w:val="004E21DE"/>
    <w:rsid w:val="004E3C14"/>
    <w:rsid w:val="004E3C57"/>
    <w:rsid w:val="004E3CB2"/>
    <w:rsid w:val="004E7720"/>
    <w:rsid w:val="004F3B44"/>
    <w:rsid w:val="004F5839"/>
    <w:rsid w:val="004F7FD7"/>
    <w:rsid w:val="00514758"/>
    <w:rsid w:val="00525813"/>
    <w:rsid w:val="00525F84"/>
    <w:rsid w:val="005267D4"/>
    <w:rsid w:val="00527649"/>
    <w:rsid w:val="00532A5C"/>
    <w:rsid w:val="00534E64"/>
    <w:rsid w:val="0053513F"/>
    <w:rsid w:val="00536BC8"/>
    <w:rsid w:val="00536DF9"/>
    <w:rsid w:val="00540CCB"/>
    <w:rsid w:val="00555BAC"/>
    <w:rsid w:val="00561891"/>
    <w:rsid w:val="0056239B"/>
    <w:rsid w:val="00566708"/>
    <w:rsid w:val="00574405"/>
    <w:rsid w:val="00581B0F"/>
    <w:rsid w:val="0058495A"/>
    <w:rsid w:val="00585066"/>
    <w:rsid w:val="005854B0"/>
    <w:rsid w:val="0058675E"/>
    <w:rsid w:val="005927C1"/>
    <w:rsid w:val="005A0E21"/>
    <w:rsid w:val="005A7E1F"/>
    <w:rsid w:val="005B07BA"/>
    <w:rsid w:val="005B3A34"/>
    <w:rsid w:val="005B4651"/>
    <w:rsid w:val="005B4E21"/>
    <w:rsid w:val="005B626B"/>
    <w:rsid w:val="005C1B85"/>
    <w:rsid w:val="005C25A1"/>
    <w:rsid w:val="005D49AF"/>
    <w:rsid w:val="005D57C6"/>
    <w:rsid w:val="005E06B3"/>
    <w:rsid w:val="005E415C"/>
    <w:rsid w:val="005E6252"/>
    <w:rsid w:val="005E71ED"/>
    <w:rsid w:val="005E7946"/>
    <w:rsid w:val="005F5645"/>
    <w:rsid w:val="005F7475"/>
    <w:rsid w:val="00605B08"/>
    <w:rsid w:val="00606193"/>
    <w:rsid w:val="00611299"/>
    <w:rsid w:val="00613B4D"/>
    <w:rsid w:val="00614FE8"/>
    <w:rsid w:val="00615E42"/>
    <w:rsid w:val="00616365"/>
    <w:rsid w:val="00616F3B"/>
    <w:rsid w:val="00617B11"/>
    <w:rsid w:val="00617CEB"/>
    <w:rsid w:val="006228FB"/>
    <w:rsid w:val="006249A7"/>
    <w:rsid w:val="00625BAF"/>
    <w:rsid w:val="00634F0A"/>
    <w:rsid w:val="0064225B"/>
    <w:rsid w:val="006424D6"/>
    <w:rsid w:val="00652672"/>
    <w:rsid w:val="00652750"/>
    <w:rsid w:val="00657ED5"/>
    <w:rsid w:val="00662704"/>
    <w:rsid w:val="006629EE"/>
    <w:rsid w:val="006651F2"/>
    <w:rsid w:val="006763F9"/>
    <w:rsid w:val="006770F3"/>
    <w:rsid w:val="00677E65"/>
    <w:rsid w:val="00681E38"/>
    <w:rsid w:val="00682AF4"/>
    <w:rsid w:val="006841F7"/>
    <w:rsid w:val="00686FFC"/>
    <w:rsid w:val="00687284"/>
    <w:rsid w:val="006923D8"/>
    <w:rsid w:val="0069372C"/>
    <w:rsid w:val="006949BC"/>
    <w:rsid w:val="00697769"/>
    <w:rsid w:val="006A5746"/>
    <w:rsid w:val="006B7DA1"/>
    <w:rsid w:val="006C2D1C"/>
    <w:rsid w:val="006D1229"/>
    <w:rsid w:val="006D1617"/>
    <w:rsid w:val="006D1775"/>
    <w:rsid w:val="006D1E05"/>
    <w:rsid w:val="006D2729"/>
    <w:rsid w:val="006D372F"/>
    <w:rsid w:val="006D7A18"/>
    <w:rsid w:val="006D7A4A"/>
    <w:rsid w:val="006E0638"/>
    <w:rsid w:val="006E121F"/>
    <w:rsid w:val="006E20F3"/>
    <w:rsid w:val="006E4474"/>
    <w:rsid w:val="006F5C7B"/>
    <w:rsid w:val="00701388"/>
    <w:rsid w:val="0070596F"/>
    <w:rsid w:val="007059D4"/>
    <w:rsid w:val="00707B68"/>
    <w:rsid w:val="00712CB0"/>
    <w:rsid w:val="007159E4"/>
    <w:rsid w:val="00723B7F"/>
    <w:rsid w:val="007243DF"/>
    <w:rsid w:val="00725861"/>
    <w:rsid w:val="007273AA"/>
    <w:rsid w:val="00730C21"/>
    <w:rsid w:val="00730E8E"/>
    <w:rsid w:val="0073393A"/>
    <w:rsid w:val="0073505C"/>
    <w:rsid w:val="0073539D"/>
    <w:rsid w:val="00746730"/>
    <w:rsid w:val="00755363"/>
    <w:rsid w:val="00764A3F"/>
    <w:rsid w:val="00766C71"/>
    <w:rsid w:val="00767B8A"/>
    <w:rsid w:val="00775481"/>
    <w:rsid w:val="00782D71"/>
    <w:rsid w:val="00785D69"/>
    <w:rsid w:val="00793A31"/>
    <w:rsid w:val="007A079F"/>
    <w:rsid w:val="007A233B"/>
    <w:rsid w:val="007A2AF8"/>
    <w:rsid w:val="007A5278"/>
    <w:rsid w:val="007A610A"/>
    <w:rsid w:val="007B0563"/>
    <w:rsid w:val="007B46E1"/>
    <w:rsid w:val="007B4863"/>
    <w:rsid w:val="007B5C26"/>
    <w:rsid w:val="007B6273"/>
    <w:rsid w:val="007C1453"/>
    <w:rsid w:val="007C65E6"/>
    <w:rsid w:val="007D406B"/>
    <w:rsid w:val="007D4407"/>
    <w:rsid w:val="007D5317"/>
    <w:rsid w:val="007D7300"/>
    <w:rsid w:val="007E1CA3"/>
    <w:rsid w:val="007E2E74"/>
    <w:rsid w:val="007E5E8C"/>
    <w:rsid w:val="007F47A9"/>
    <w:rsid w:val="007F6E7C"/>
    <w:rsid w:val="008013B3"/>
    <w:rsid w:val="0080404F"/>
    <w:rsid w:val="0080422F"/>
    <w:rsid w:val="008073DF"/>
    <w:rsid w:val="0081079D"/>
    <w:rsid w:val="00812D62"/>
    <w:rsid w:val="00812F29"/>
    <w:rsid w:val="00813BA6"/>
    <w:rsid w:val="00813F53"/>
    <w:rsid w:val="008160FE"/>
    <w:rsid w:val="0081668B"/>
    <w:rsid w:val="00821713"/>
    <w:rsid w:val="008261BA"/>
    <w:rsid w:val="00827050"/>
    <w:rsid w:val="00830347"/>
    <w:rsid w:val="0083278B"/>
    <w:rsid w:val="00834538"/>
    <w:rsid w:val="008369BB"/>
    <w:rsid w:val="00836A3B"/>
    <w:rsid w:val="008422EE"/>
    <w:rsid w:val="00844B22"/>
    <w:rsid w:val="00847A8D"/>
    <w:rsid w:val="00850E89"/>
    <w:rsid w:val="008608B5"/>
    <w:rsid w:val="00866461"/>
    <w:rsid w:val="00866F9F"/>
    <w:rsid w:val="008757B7"/>
    <w:rsid w:val="00880822"/>
    <w:rsid w:val="008930E4"/>
    <w:rsid w:val="00893821"/>
    <w:rsid w:val="00893D7A"/>
    <w:rsid w:val="008A331A"/>
    <w:rsid w:val="008A4525"/>
    <w:rsid w:val="008A4997"/>
    <w:rsid w:val="008A7B9C"/>
    <w:rsid w:val="008B39FA"/>
    <w:rsid w:val="008B4754"/>
    <w:rsid w:val="008C5487"/>
    <w:rsid w:val="008D00E5"/>
    <w:rsid w:val="008D1A90"/>
    <w:rsid w:val="008D1FF2"/>
    <w:rsid w:val="008D6CBE"/>
    <w:rsid w:val="008E18A0"/>
    <w:rsid w:val="008E5251"/>
    <w:rsid w:val="008E6A7A"/>
    <w:rsid w:val="008F1038"/>
    <w:rsid w:val="008F4572"/>
    <w:rsid w:val="008F7046"/>
    <w:rsid w:val="009005FC"/>
    <w:rsid w:val="009102C0"/>
    <w:rsid w:val="00910724"/>
    <w:rsid w:val="00910834"/>
    <w:rsid w:val="00915284"/>
    <w:rsid w:val="0091611D"/>
    <w:rsid w:val="00920A3A"/>
    <w:rsid w:val="00922E5A"/>
    <w:rsid w:val="00932F7B"/>
    <w:rsid w:val="0093752E"/>
    <w:rsid w:val="00941E7F"/>
    <w:rsid w:val="009422B3"/>
    <w:rsid w:val="00943315"/>
    <w:rsid w:val="00946C27"/>
    <w:rsid w:val="00950046"/>
    <w:rsid w:val="00950937"/>
    <w:rsid w:val="00954983"/>
    <w:rsid w:val="0095534A"/>
    <w:rsid w:val="00970B5B"/>
    <w:rsid w:val="00990462"/>
    <w:rsid w:val="009A0F9B"/>
    <w:rsid w:val="009A2BDC"/>
    <w:rsid w:val="009A4F3D"/>
    <w:rsid w:val="009B4BE6"/>
    <w:rsid w:val="009B696B"/>
    <w:rsid w:val="009B7671"/>
    <w:rsid w:val="009C1E33"/>
    <w:rsid w:val="009C2157"/>
    <w:rsid w:val="009C3720"/>
    <w:rsid w:val="009C5B9B"/>
    <w:rsid w:val="009D1256"/>
    <w:rsid w:val="009D51CF"/>
    <w:rsid w:val="009D76EF"/>
    <w:rsid w:val="009E325A"/>
    <w:rsid w:val="009E3BB6"/>
    <w:rsid w:val="009E5BA1"/>
    <w:rsid w:val="009F056E"/>
    <w:rsid w:val="009F44D8"/>
    <w:rsid w:val="009F5D7C"/>
    <w:rsid w:val="009F6778"/>
    <w:rsid w:val="009F731B"/>
    <w:rsid w:val="009F75C9"/>
    <w:rsid w:val="00A00A7D"/>
    <w:rsid w:val="00A02C42"/>
    <w:rsid w:val="00A10835"/>
    <w:rsid w:val="00A1336D"/>
    <w:rsid w:val="00A17996"/>
    <w:rsid w:val="00A21D30"/>
    <w:rsid w:val="00A222A3"/>
    <w:rsid w:val="00A24F3D"/>
    <w:rsid w:val="00A26DCD"/>
    <w:rsid w:val="00A271D3"/>
    <w:rsid w:val="00A27931"/>
    <w:rsid w:val="00A314BB"/>
    <w:rsid w:val="00A32B7D"/>
    <w:rsid w:val="00A35FCD"/>
    <w:rsid w:val="00A376B7"/>
    <w:rsid w:val="00A43193"/>
    <w:rsid w:val="00A448A2"/>
    <w:rsid w:val="00A47D21"/>
    <w:rsid w:val="00A5596B"/>
    <w:rsid w:val="00A57023"/>
    <w:rsid w:val="00A60EDC"/>
    <w:rsid w:val="00A62932"/>
    <w:rsid w:val="00A646B3"/>
    <w:rsid w:val="00A6572B"/>
    <w:rsid w:val="00A6739B"/>
    <w:rsid w:val="00A746EF"/>
    <w:rsid w:val="00A90413"/>
    <w:rsid w:val="00A92BB5"/>
    <w:rsid w:val="00AA2B4D"/>
    <w:rsid w:val="00AA307D"/>
    <w:rsid w:val="00AA4590"/>
    <w:rsid w:val="00AA728C"/>
    <w:rsid w:val="00AB0A9C"/>
    <w:rsid w:val="00AB4169"/>
    <w:rsid w:val="00AB7119"/>
    <w:rsid w:val="00AC71F7"/>
    <w:rsid w:val="00AD0945"/>
    <w:rsid w:val="00AD147D"/>
    <w:rsid w:val="00AD4567"/>
    <w:rsid w:val="00AD5855"/>
    <w:rsid w:val="00AD6C5C"/>
    <w:rsid w:val="00AE1229"/>
    <w:rsid w:val="00AE2167"/>
    <w:rsid w:val="00AE32A7"/>
    <w:rsid w:val="00AE45E4"/>
    <w:rsid w:val="00AE5A5E"/>
    <w:rsid w:val="00AE6921"/>
    <w:rsid w:val="00AE7500"/>
    <w:rsid w:val="00AE7F87"/>
    <w:rsid w:val="00AF1730"/>
    <w:rsid w:val="00AF3542"/>
    <w:rsid w:val="00AF5ABE"/>
    <w:rsid w:val="00B00415"/>
    <w:rsid w:val="00B005DA"/>
    <w:rsid w:val="00B00DDB"/>
    <w:rsid w:val="00B01345"/>
    <w:rsid w:val="00B0239F"/>
    <w:rsid w:val="00B0362E"/>
    <w:rsid w:val="00B03C2A"/>
    <w:rsid w:val="00B04666"/>
    <w:rsid w:val="00B1000D"/>
    <w:rsid w:val="00B10134"/>
    <w:rsid w:val="00B135A7"/>
    <w:rsid w:val="00B15B90"/>
    <w:rsid w:val="00B16BFE"/>
    <w:rsid w:val="00B17F36"/>
    <w:rsid w:val="00B20B10"/>
    <w:rsid w:val="00B20B7F"/>
    <w:rsid w:val="00B25FEA"/>
    <w:rsid w:val="00B269DB"/>
    <w:rsid w:val="00B31338"/>
    <w:rsid w:val="00B404E8"/>
    <w:rsid w:val="00B42184"/>
    <w:rsid w:val="00B446E5"/>
    <w:rsid w:val="00B500E5"/>
    <w:rsid w:val="00B50CB7"/>
    <w:rsid w:val="00B531DB"/>
    <w:rsid w:val="00B55299"/>
    <w:rsid w:val="00B63EA1"/>
    <w:rsid w:val="00B65F58"/>
    <w:rsid w:val="00B6740F"/>
    <w:rsid w:val="00B70C04"/>
    <w:rsid w:val="00B71FF5"/>
    <w:rsid w:val="00B74790"/>
    <w:rsid w:val="00B757FB"/>
    <w:rsid w:val="00B77040"/>
    <w:rsid w:val="00B773C0"/>
    <w:rsid w:val="00B777AC"/>
    <w:rsid w:val="00B809E8"/>
    <w:rsid w:val="00B839F5"/>
    <w:rsid w:val="00B83AA1"/>
    <w:rsid w:val="00B86003"/>
    <w:rsid w:val="00B8611C"/>
    <w:rsid w:val="00B861BC"/>
    <w:rsid w:val="00B876F3"/>
    <w:rsid w:val="00B94E70"/>
    <w:rsid w:val="00B96377"/>
    <w:rsid w:val="00B96741"/>
    <w:rsid w:val="00BA2AA9"/>
    <w:rsid w:val="00BA39BB"/>
    <w:rsid w:val="00BA3B3D"/>
    <w:rsid w:val="00BA55A6"/>
    <w:rsid w:val="00BA5766"/>
    <w:rsid w:val="00BB04B0"/>
    <w:rsid w:val="00BB4576"/>
    <w:rsid w:val="00BB7EEA"/>
    <w:rsid w:val="00BC11B6"/>
    <w:rsid w:val="00BC2D6A"/>
    <w:rsid w:val="00BC5B1B"/>
    <w:rsid w:val="00BC6F7F"/>
    <w:rsid w:val="00BD1909"/>
    <w:rsid w:val="00BE0CCF"/>
    <w:rsid w:val="00BE4606"/>
    <w:rsid w:val="00BE52F5"/>
    <w:rsid w:val="00BE5E16"/>
    <w:rsid w:val="00BE5FD1"/>
    <w:rsid w:val="00BF05B5"/>
    <w:rsid w:val="00BF2CD3"/>
    <w:rsid w:val="00BF3168"/>
    <w:rsid w:val="00BF4171"/>
    <w:rsid w:val="00BF6FE7"/>
    <w:rsid w:val="00BF7BB5"/>
    <w:rsid w:val="00C00234"/>
    <w:rsid w:val="00C0034A"/>
    <w:rsid w:val="00C02671"/>
    <w:rsid w:val="00C06E05"/>
    <w:rsid w:val="00C07B74"/>
    <w:rsid w:val="00C113C3"/>
    <w:rsid w:val="00C13F0E"/>
    <w:rsid w:val="00C14B14"/>
    <w:rsid w:val="00C17370"/>
    <w:rsid w:val="00C2054D"/>
    <w:rsid w:val="00C20AF0"/>
    <w:rsid w:val="00C252EB"/>
    <w:rsid w:val="00C25D0C"/>
    <w:rsid w:val="00C26EC0"/>
    <w:rsid w:val="00C275E6"/>
    <w:rsid w:val="00C27817"/>
    <w:rsid w:val="00C27B6D"/>
    <w:rsid w:val="00C351EE"/>
    <w:rsid w:val="00C36C48"/>
    <w:rsid w:val="00C36CAD"/>
    <w:rsid w:val="00C517E1"/>
    <w:rsid w:val="00C53107"/>
    <w:rsid w:val="00C56C77"/>
    <w:rsid w:val="00C63EFE"/>
    <w:rsid w:val="00C671F0"/>
    <w:rsid w:val="00C70919"/>
    <w:rsid w:val="00C73575"/>
    <w:rsid w:val="00C73923"/>
    <w:rsid w:val="00C75F0A"/>
    <w:rsid w:val="00C7603D"/>
    <w:rsid w:val="00C767E0"/>
    <w:rsid w:val="00C76A71"/>
    <w:rsid w:val="00C8432D"/>
    <w:rsid w:val="00C84923"/>
    <w:rsid w:val="00C87760"/>
    <w:rsid w:val="00C91483"/>
    <w:rsid w:val="00C91F1D"/>
    <w:rsid w:val="00C95D72"/>
    <w:rsid w:val="00CA2792"/>
    <w:rsid w:val="00CA671D"/>
    <w:rsid w:val="00CB5628"/>
    <w:rsid w:val="00CB7B3E"/>
    <w:rsid w:val="00CC1E8B"/>
    <w:rsid w:val="00CC3918"/>
    <w:rsid w:val="00CC739D"/>
    <w:rsid w:val="00CF4126"/>
    <w:rsid w:val="00D0070F"/>
    <w:rsid w:val="00D04468"/>
    <w:rsid w:val="00D06474"/>
    <w:rsid w:val="00D07255"/>
    <w:rsid w:val="00D12CBA"/>
    <w:rsid w:val="00D151A7"/>
    <w:rsid w:val="00D15850"/>
    <w:rsid w:val="00D23FB1"/>
    <w:rsid w:val="00D251AE"/>
    <w:rsid w:val="00D278A3"/>
    <w:rsid w:val="00D30640"/>
    <w:rsid w:val="00D3391B"/>
    <w:rsid w:val="00D34247"/>
    <w:rsid w:val="00D36257"/>
    <w:rsid w:val="00D37113"/>
    <w:rsid w:val="00D435D1"/>
    <w:rsid w:val="00D4687E"/>
    <w:rsid w:val="00D46993"/>
    <w:rsid w:val="00D46AF5"/>
    <w:rsid w:val="00D53A12"/>
    <w:rsid w:val="00D53EBF"/>
    <w:rsid w:val="00D625B6"/>
    <w:rsid w:val="00D62E08"/>
    <w:rsid w:val="00D67FC6"/>
    <w:rsid w:val="00D73FC3"/>
    <w:rsid w:val="00D81150"/>
    <w:rsid w:val="00D86B70"/>
    <w:rsid w:val="00D87E2A"/>
    <w:rsid w:val="00D93EBC"/>
    <w:rsid w:val="00D9472A"/>
    <w:rsid w:val="00D9573E"/>
    <w:rsid w:val="00D962E9"/>
    <w:rsid w:val="00DA3CD6"/>
    <w:rsid w:val="00DA7760"/>
    <w:rsid w:val="00DB0C43"/>
    <w:rsid w:val="00DB0EE9"/>
    <w:rsid w:val="00DB414F"/>
    <w:rsid w:val="00DB5A1A"/>
    <w:rsid w:val="00DD42DE"/>
    <w:rsid w:val="00DD6317"/>
    <w:rsid w:val="00DD633D"/>
    <w:rsid w:val="00DE3354"/>
    <w:rsid w:val="00DE4C92"/>
    <w:rsid w:val="00DF7DCD"/>
    <w:rsid w:val="00E04F62"/>
    <w:rsid w:val="00E06089"/>
    <w:rsid w:val="00E10B5D"/>
    <w:rsid w:val="00E146DD"/>
    <w:rsid w:val="00E219D9"/>
    <w:rsid w:val="00E2473D"/>
    <w:rsid w:val="00E31BD7"/>
    <w:rsid w:val="00E32725"/>
    <w:rsid w:val="00E33119"/>
    <w:rsid w:val="00E422C9"/>
    <w:rsid w:val="00E435AC"/>
    <w:rsid w:val="00E4435E"/>
    <w:rsid w:val="00E50B7D"/>
    <w:rsid w:val="00E52D97"/>
    <w:rsid w:val="00E6199F"/>
    <w:rsid w:val="00E61DCF"/>
    <w:rsid w:val="00E63E4A"/>
    <w:rsid w:val="00E645DC"/>
    <w:rsid w:val="00E704DB"/>
    <w:rsid w:val="00E71009"/>
    <w:rsid w:val="00E71C52"/>
    <w:rsid w:val="00E75A18"/>
    <w:rsid w:val="00E76F9C"/>
    <w:rsid w:val="00E83466"/>
    <w:rsid w:val="00E86BF1"/>
    <w:rsid w:val="00E904A1"/>
    <w:rsid w:val="00E91BAB"/>
    <w:rsid w:val="00EA00CE"/>
    <w:rsid w:val="00EA2299"/>
    <w:rsid w:val="00EA2CE3"/>
    <w:rsid w:val="00EA6470"/>
    <w:rsid w:val="00EA72EE"/>
    <w:rsid w:val="00EB69A2"/>
    <w:rsid w:val="00EB76A2"/>
    <w:rsid w:val="00EB7D28"/>
    <w:rsid w:val="00EC0AF7"/>
    <w:rsid w:val="00EC0D0C"/>
    <w:rsid w:val="00EC0D32"/>
    <w:rsid w:val="00ED0C08"/>
    <w:rsid w:val="00ED1088"/>
    <w:rsid w:val="00ED4A2C"/>
    <w:rsid w:val="00EE0BDD"/>
    <w:rsid w:val="00EE13FB"/>
    <w:rsid w:val="00EE205B"/>
    <w:rsid w:val="00EE25AF"/>
    <w:rsid w:val="00EF042D"/>
    <w:rsid w:val="00EF0A18"/>
    <w:rsid w:val="00EF6940"/>
    <w:rsid w:val="00EF70FC"/>
    <w:rsid w:val="00F072F5"/>
    <w:rsid w:val="00F11E19"/>
    <w:rsid w:val="00F200E1"/>
    <w:rsid w:val="00F2044A"/>
    <w:rsid w:val="00F20BFC"/>
    <w:rsid w:val="00F2199D"/>
    <w:rsid w:val="00F21DCC"/>
    <w:rsid w:val="00F22AB7"/>
    <w:rsid w:val="00F22D2D"/>
    <w:rsid w:val="00F241CC"/>
    <w:rsid w:val="00F24D5F"/>
    <w:rsid w:val="00F3206D"/>
    <w:rsid w:val="00F32F4D"/>
    <w:rsid w:val="00F33D75"/>
    <w:rsid w:val="00F3517B"/>
    <w:rsid w:val="00F367D9"/>
    <w:rsid w:val="00F41573"/>
    <w:rsid w:val="00F418FB"/>
    <w:rsid w:val="00F41938"/>
    <w:rsid w:val="00F46C82"/>
    <w:rsid w:val="00F560C7"/>
    <w:rsid w:val="00F6063D"/>
    <w:rsid w:val="00F617E3"/>
    <w:rsid w:val="00F644FE"/>
    <w:rsid w:val="00F6581C"/>
    <w:rsid w:val="00F67965"/>
    <w:rsid w:val="00F726C3"/>
    <w:rsid w:val="00F820CA"/>
    <w:rsid w:val="00F8554C"/>
    <w:rsid w:val="00F9027F"/>
    <w:rsid w:val="00F95F82"/>
    <w:rsid w:val="00F97A90"/>
    <w:rsid w:val="00FA29A7"/>
    <w:rsid w:val="00FA2BEA"/>
    <w:rsid w:val="00FA5122"/>
    <w:rsid w:val="00FA6622"/>
    <w:rsid w:val="00FA73CD"/>
    <w:rsid w:val="00FB30DD"/>
    <w:rsid w:val="00FB347E"/>
    <w:rsid w:val="00FB5A0D"/>
    <w:rsid w:val="00FB7749"/>
    <w:rsid w:val="00FC1C03"/>
    <w:rsid w:val="00FC2F35"/>
    <w:rsid w:val="00FC3FD7"/>
    <w:rsid w:val="00FD1CDB"/>
    <w:rsid w:val="00FD1FC6"/>
    <w:rsid w:val="00FD2A88"/>
    <w:rsid w:val="00FD3028"/>
    <w:rsid w:val="00FD4370"/>
    <w:rsid w:val="00FD6322"/>
    <w:rsid w:val="00FE09DA"/>
    <w:rsid w:val="00FE15BF"/>
    <w:rsid w:val="00FE5591"/>
    <w:rsid w:val="00FE5869"/>
    <w:rsid w:val="00FE5C82"/>
    <w:rsid w:val="00FE6300"/>
    <w:rsid w:val="00FF0FD9"/>
    <w:rsid w:val="00FF2783"/>
    <w:rsid w:val="00FF3008"/>
    <w:rsid w:val="00FF3864"/>
    <w:rsid w:val="00FF4DB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uiPriority w:val="99"/>
    <w:semiHidden/>
    <w:unhideWhenUsed/>
    <w:rsid w:val="005E71ED"/>
    <w:rPr>
      <w:sz w:val="16"/>
      <w:szCs w:val="16"/>
    </w:rPr>
  </w:style>
  <w:style w:type="paragraph" w:styleId="CommentText">
    <w:name w:val="annotation text"/>
    <w:basedOn w:val="Normal"/>
    <w:link w:val="CommentTextChar"/>
    <w:uiPriority w:val="99"/>
    <w:unhideWhenUsed/>
    <w:rsid w:val="005E71ED"/>
    <w:rPr>
      <w:sz w:val="20"/>
    </w:rPr>
  </w:style>
  <w:style w:type="character" w:customStyle="1" w:styleId="CommentTextChar">
    <w:name w:val="Comment Text Char"/>
    <w:basedOn w:val="DefaultParagraphFont"/>
    <w:link w:val="CommentText"/>
    <w:uiPriority w:val="99"/>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iPriority w:val="35"/>
    <w:unhideWhenUsed/>
    <w:qFormat/>
    <w:rsid w:val="003657A5"/>
    <w:pPr>
      <w:spacing w:after="200"/>
      <w:jc w:val="both"/>
    </w:pPr>
    <w:rPr>
      <w:rFonts w:ascii="Calibri" w:eastAsia="Calibri" w:hAnsi="Calibri"/>
      <w:i/>
      <w:iCs/>
      <w:color w:val="1F497D" w:themeColor="text2"/>
      <w:sz w:val="18"/>
      <w:szCs w:val="18"/>
      <w:lang w:val="el-GR"/>
    </w:rPr>
  </w:style>
  <w:style w:type="character" w:customStyle="1" w:styleId="hwtze">
    <w:name w:val="hwtze"/>
    <w:basedOn w:val="DefaultParagraphFont"/>
    <w:rsid w:val="00A17996"/>
  </w:style>
  <w:style w:type="character" w:customStyle="1" w:styleId="Heading1Char">
    <w:name w:val="Heading 1 Char"/>
    <w:basedOn w:val="DefaultParagraphFont"/>
    <w:link w:val="Heading1"/>
    <w:rsid w:val="00AD6C5C"/>
    <w:rPr>
      <w:b/>
      <w:caps/>
      <w:sz w:val="24"/>
      <w:lang w:val="en-US" w:eastAsia="en-US"/>
    </w:rPr>
  </w:style>
  <w:style w:type="character" w:styleId="FollowedHyperlink">
    <w:name w:val="FollowedHyperlink"/>
    <w:basedOn w:val="DefaultParagraphFont"/>
    <w:semiHidden/>
    <w:unhideWhenUsed/>
    <w:rsid w:val="00EF7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c01fa-b7ae-4ae7-8e8b-a14f632dcb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004745079A244B386ABDDC097B0CA" ma:contentTypeVersion="16" ma:contentTypeDescription="Create a new document." ma:contentTypeScope="" ma:versionID="bd2a1ad355fe7a86ee3c1271f402e0c0">
  <xsd:schema xmlns:xsd="http://www.w3.org/2001/XMLSchema" xmlns:xs="http://www.w3.org/2001/XMLSchema" xmlns:p="http://schemas.microsoft.com/office/2006/metadata/properties" xmlns:ns3="379c01fa-b7ae-4ae7-8e8b-a14f632dcbc3" xmlns:ns4="6e650754-f267-48c6-bf9b-8fc16039d0d1" targetNamespace="http://schemas.microsoft.com/office/2006/metadata/properties" ma:root="true" ma:fieldsID="e419c3344bff7f786393b587b874edfb" ns3:_="" ns4:_="">
    <xsd:import namespace="379c01fa-b7ae-4ae7-8e8b-a14f632dcbc3"/>
    <xsd:import namespace="6e650754-f267-48c6-bf9b-8fc16039d0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c01fa-b7ae-4ae7-8e8b-a14f632d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50754-f267-48c6-bf9b-8fc16039d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 ds:uri="379c01fa-b7ae-4ae7-8e8b-a14f632dcbc3"/>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3C8EBCA1-9D7C-46D6-BBE7-B4194018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c01fa-b7ae-4ae7-8e8b-a14f632dcbc3"/>
    <ds:schemaRef ds:uri="6e650754-f267-48c6-bf9b-8fc16039d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94</TotalTime>
  <Pages>6</Pages>
  <Words>2915</Words>
  <Characters>16942</Characters>
  <Application>Microsoft Office Word</Application>
  <DocSecurity>0</DocSecurity>
  <Lines>225</Lines>
  <Paragraphs>70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123</cp:revision>
  <cp:lastPrinted>2011-03-03T08:29:00Z</cp:lastPrinted>
  <dcterms:created xsi:type="dcterms:W3CDTF">2025-11-15T19:46:00Z</dcterms:created>
  <dcterms:modified xsi:type="dcterms:W3CDTF">2025-12-06T16:36:00Z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0x01010071C004745079A244B386ABDDC097B0CA</vt:lpwstr>
  </property>
  <property fmtid="{D5CDD505-2E9C-101B-9397-08002B2CF9AE}" pid="3" name="GrammarlyDocumentId">
    <vt:lpwstr>4e31ff58-e69a-41de-8012-30dfef72b07d</vt:lpwstr>
  </property>
</Properties>
</file>