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870DB4C" w:rsidR="0016385D" w:rsidRPr="00A23EB4" w:rsidRDefault="00F65C2A" w:rsidP="00D30640">
      <w:pPr>
        <w:pStyle w:val="PaperTitle"/>
        <w:spacing w:before="0"/>
        <w:rPr>
          <w:b w:val="0"/>
          <w:bCs/>
          <w:sz w:val="24"/>
          <w:szCs w:val="24"/>
        </w:rPr>
      </w:pPr>
      <w:r w:rsidRPr="00A23EB4">
        <w:t>Solar Tracking Performance in Residential Photovoltaic Systems to Optimize Efficiency and Profitability</w:t>
      </w:r>
    </w:p>
    <w:p w14:paraId="548D96A3" w14:textId="64C32C0D" w:rsidR="00C14B14" w:rsidRDefault="00291095" w:rsidP="2F830975">
      <w:pPr>
        <w:pStyle w:val="AuthorName"/>
        <w:rPr>
          <w:sz w:val="20"/>
          <w:lang w:val="en-GB" w:eastAsia="en-GB"/>
        </w:rPr>
      </w:pPr>
      <w:r>
        <w:t>Eliseo Zarate-Perez</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t>Josué Zarate</w:t>
      </w:r>
      <w:r w:rsidR="00D6097D">
        <w:t>-Perez</w:t>
      </w:r>
      <w:r w:rsidR="00D6097D">
        <w:rPr>
          <w:vertAlign w:val="superscript"/>
        </w:rPr>
        <w:t>1</w:t>
      </w:r>
      <w:r w:rsidR="007B4863" w:rsidRPr="2F830975">
        <w:rPr>
          <w:vertAlign w:val="superscript"/>
        </w:rPr>
        <w:t xml:space="preserve">, </w:t>
      </w:r>
      <w:r w:rsidR="003A5C85" w:rsidRPr="2F830975">
        <w:rPr>
          <w:vertAlign w:val="superscript"/>
        </w:rPr>
        <w:t>b)</w:t>
      </w:r>
    </w:p>
    <w:p w14:paraId="1540EEFF" w14:textId="39308DF1" w:rsidR="00B275F3" w:rsidRDefault="00027428" w:rsidP="00B275F3">
      <w:pPr>
        <w:pStyle w:val="AuthorAffiliation"/>
      </w:pPr>
      <w:r w:rsidRPr="00075EA6">
        <w:rPr>
          <w:i w:val="0"/>
          <w:iCs/>
          <w:vertAlign w:val="superscript"/>
        </w:rPr>
        <w:t>1</w:t>
      </w:r>
      <w:r w:rsidR="00136CC2" w:rsidRPr="00136CC2">
        <w:t>Department of Engineering, Universidad Privada del Norte – UPN, Av. Alfredo Mendiola 6062, Los Olivos 15314, Peru</w:t>
      </w:r>
      <w:r w:rsidR="0016782F" w:rsidRPr="00075EA6">
        <w:t>.</w:t>
      </w:r>
    </w:p>
    <w:p w14:paraId="42F95D06" w14:textId="77777777" w:rsidR="00750730" w:rsidRDefault="00750730" w:rsidP="00B275F3">
      <w:pPr>
        <w:pStyle w:val="AuthorAffiliation"/>
      </w:pPr>
    </w:p>
    <w:p w14:paraId="0FC9D107" w14:textId="3FCA0D07" w:rsidR="00EE17B7" w:rsidRPr="004A1061" w:rsidRDefault="00003D7C" w:rsidP="00292867">
      <w:pPr>
        <w:pStyle w:val="AuthorAffiliation"/>
        <w:rPr>
          <w:b/>
          <w:bCs/>
          <w:i w:val="0"/>
          <w:iCs/>
        </w:rPr>
      </w:pPr>
      <w:r w:rsidRPr="00075EA6">
        <w:rPr>
          <w:szCs w:val="28"/>
          <w:vertAlign w:val="superscript"/>
        </w:rPr>
        <w:t>a)</w:t>
      </w:r>
      <w:r w:rsidRPr="00075EA6">
        <w:t xml:space="preserve"> Corresponding</w:t>
      </w:r>
      <w:r w:rsidR="004E3CB2" w:rsidRPr="00075EA6">
        <w:t xml:space="preserve"> author: </w:t>
      </w:r>
      <w:r w:rsidR="009C7365">
        <w:t>eliseo.zarate</w:t>
      </w:r>
      <w:r w:rsidR="009C7365" w:rsidRPr="00075EA6">
        <w:t>@</w:t>
      </w:r>
      <w:r w:rsidR="005B4A83">
        <w:t>upn.edu.pe</w:t>
      </w:r>
      <w:r w:rsidR="001D469C" w:rsidRPr="00075EA6">
        <w:br/>
      </w:r>
      <w:proofErr w:type="gramStart"/>
      <w:r w:rsidR="003A5C85" w:rsidRPr="00075EA6">
        <w:rPr>
          <w:szCs w:val="28"/>
          <w:vertAlign w:val="superscript"/>
        </w:rPr>
        <w:t>b)</w:t>
      </w:r>
      <w:r w:rsidR="004A026D" w:rsidRPr="004A026D">
        <w:t>N00169159@upn.pe</w:t>
      </w:r>
      <w:proofErr w:type="gramEnd"/>
      <w:r w:rsidR="003A5C85" w:rsidRPr="00075EA6">
        <w:br/>
      </w:r>
    </w:p>
    <w:p w14:paraId="22C3F2A8" w14:textId="3C038786" w:rsidR="0016385D" w:rsidRPr="00073EE9" w:rsidRDefault="0016385D" w:rsidP="00F93456">
      <w:pPr>
        <w:pStyle w:val="AuthorAffiliation"/>
        <w:jc w:val="both"/>
        <w:rPr>
          <w:i w:val="0"/>
          <w:iCs/>
          <w:sz w:val="18"/>
          <w:szCs w:val="18"/>
        </w:rPr>
      </w:pPr>
      <w:r w:rsidRPr="00073EE9">
        <w:rPr>
          <w:b/>
          <w:bCs/>
          <w:i w:val="0"/>
          <w:iCs/>
          <w:sz w:val="18"/>
          <w:szCs w:val="18"/>
        </w:rPr>
        <w:t>Abstract.</w:t>
      </w:r>
      <w:r w:rsidRPr="00073EE9">
        <w:rPr>
          <w:i w:val="0"/>
          <w:iCs/>
          <w:sz w:val="18"/>
          <w:szCs w:val="18"/>
        </w:rPr>
        <w:t xml:space="preserve"> </w:t>
      </w:r>
      <w:r w:rsidR="0008013A" w:rsidRPr="00073EE9">
        <w:rPr>
          <w:i w:val="0"/>
          <w:iCs/>
          <w:sz w:val="18"/>
          <w:szCs w:val="18"/>
        </w:rPr>
        <w:t xml:space="preserve">The objective of this study is to analyze and compare the energy and economic performance of residential photovoltaic systems with fixed structures and single-axis solar tracking in Lima, Peru. Hourly modeling was used, employing actual climate data, electricity demand profiles, and technical parameters from a commercial 5.67 </w:t>
      </w:r>
      <w:proofErr w:type="spellStart"/>
      <w:r w:rsidR="0008013A" w:rsidRPr="00073EE9">
        <w:rPr>
          <w:i w:val="0"/>
          <w:iCs/>
          <w:sz w:val="18"/>
          <w:szCs w:val="18"/>
        </w:rPr>
        <w:t>kWp</w:t>
      </w:r>
      <w:proofErr w:type="spellEnd"/>
      <w:r w:rsidR="0008013A" w:rsidRPr="00073EE9">
        <w:rPr>
          <w:i w:val="0"/>
          <w:iCs/>
          <w:sz w:val="18"/>
          <w:szCs w:val="18"/>
        </w:rPr>
        <w:t xml:space="preserve"> solar kit, </w:t>
      </w:r>
      <w:r w:rsidR="00F93456" w:rsidRPr="00073EE9">
        <w:rPr>
          <w:i w:val="0"/>
          <w:iCs/>
          <w:sz w:val="18"/>
          <w:szCs w:val="18"/>
        </w:rPr>
        <w:t>considering</w:t>
      </w:r>
      <w:r w:rsidR="0008013A" w:rsidRPr="00073EE9">
        <w:rPr>
          <w:i w:val="0"/>
          <w:iCs/>
          <w:sz w:val="18"/>
          <w:szCs w:val="18"/>
        </w:rPr>
        <w:t xml:space="preserve"> the efficiency of the modules, inverters, and the annual consumption of the tracker. The analysis included estimates of annual generation, specific yield, levelized cost of energy (LCOE), net present value (NPV), internal rate of return (IRR), and payback period, as well as a sensitivity study on variations in CAPEX and electricity prices. The results show that the incorporation of solar tracking increased annual production by 43% compared to the fixed system (10,349 vs. 7,220 kWh/year), improving the LCOE to 0.076 USD/kWh. However, improvements in NPV and IRR were marginal due to the higher investment cost and low valuation of surpluses. It is concluded that, under the current tariff context, the economic viability of solar tracking depends mainly on CAPEX and the existence of incentives or favorable tariffs for surplus energy</w:t>
      </w:r>
      <w:r w:rsidR="00F33C77" w:rsidRPr="00073EE9">
        <w:rPr>
          <w:i w:val="0"/>
          <w:iCs/>
          <w:sz w:val="18"/>
          <w:szCs w:val="18"/>
        </w:rPr>
        <w:t>.</w:t>
      </w:r>
    </w:p>
    <w:p w14:paraId="1A8723F6" w14:textId="77777777" w:rsidR="004C2E9A" w:rsidRDefault="004C2E9A" w:rsidP="00F93456">
      <w:pPr>
        <w:pStyle w:val="AuthorAffiliation"/>
        <w:jc w:val="both"/>
      </w:pPr>
    </w:p>
    <w:p w14:paraId="1C4126E6" w14:textId="2EA13C99" w:rsidR="00716988" w:rsidRPr="00073EE9" w:rsidRDefault="004E7138" w:rsidP="00F93456">
      <w:pPr>
        <w:pStyle w:val="AuthorAffiliation"/>
        <w:jc w:val="both"/>
        <w:rPr>
          <w:i w:val="0"/>
          <w:iCs/>
          <w:sz w:val="18"/>
          <w:szCs w:val="18"/>
        </w:rPr>
      </w:pPr>
      <w:r w:rsidRPr="00073EE9">
        <w:rPr>
          <w:b/>
          <w:bCs/>
          <w:i w:val="0"/>
          <w:iCs/>
          <w:sz w:val="18"/>
          <w:szCs w:val="18"/>
        </w:rPr>
        <w:t>Keywords</w:t>
      </w:r>
      <w:r w:rsidR="00716988" w:rsidRPr="00073EE9">
        <w:rPr>
          <w:b/>
          <w:bCs/>
          <w:i w:val="0"/>
          <w:iCs/>
          <w:sz w:val="18"/>
          <w:szCs w:val="18"/>
        </w:rPr>
        <w:t>.</w:t>
      </w:r>
      <w:r w:rsidR="00716988" w:rsidRPr="00073EE9">
        <w:rPr>
          <w:i w:val="0"/>
          <w:iCs/>
          <w:sz w:val="18"/>
          <w:szCs w:val="18"/>
        </w:rPr>
        <w:t xml:space="preserve"> </w:t>
      </w:r>
      <w:r w:rsidR="00711209" w:rsidRPr="00073EE9">
        <w:rPr>
          <w:i w:val="0"/>
          <w:iCs/>
          <w:sz w:val="18"/>
          <w:szCs w:val="18"/>
        </w:rPr>
        <w:t>Solar tracking, residential photovoltaic systems, energy performance, economic analysis, sensitivity analysis</w:t>
      </w:r>
      <w:r w:rsidR="004C2E9A" w:rsidRPr="00073EE9">
        <w:rPr>
          <w:i w:val="0"/>
          <w:iCs/>
          <w:sz w:val="18"/>
          <w:szCs w:val="18"/>
        </w:rPr>
        <w:t>.</w:t>
      </w:r>
    </w:p>
    <w:p w14:paraId="5240E3FB" w14:textId="0B8207EE" w:rsidR="003A287B" w:rsidRPr="00E37454" w:rsidRDefault="008F640A" w:rsidP="00003D7C">
      <w:pPr>
        <w:pStyle w:val="Heading1"/>
        <w:rPr>
          <w:b w:val="0"/>
          <w:caps w:val="0"/>
          <w:sz w:val="20"/>
        </w:rPr>
      </w:pPr>
      <w:r w:rsidRPr="00E37454">
        <w:rPr>
          <w:caps w:val="0"/>
        </w:rPr>
        <w:t>INTRODUCTION</w:t>
      </w:r>
    </w:p>
    <w:p w14:paraId="49101609" w14:textId="0358A7C5" w:rsidR="008F70C8" w:rsidRPr="007433AA" w:rsidRDefault="008F70C8" w:rsidP="007E6D96">
      <w:pPr>
        <w:pStyle w:val="Cuerpo"/>
      </w:pPr>
      <w:r w:rsidRPr="007433AA">
        <w:t>Distributed generation from photovoltaic (PV) systems has experienced sustained growth in the residential sector worldwide, driven by cost reductions, increased module efficiency, and the development of policies aimed at energy transition</w:t>
      </w:r>
      <w:r w:rsidRPr="007E6D96">
        <w:t xml:space="preserve"> </w:t>
      </w:r>
      <w:sdt>
        <w:sdtPr>
          <w:rPr>
            <w:color w:val="000000"/>
          </w:rPr>
          <w:tag w:val="MENDELEY_CITATION_v3_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"/>
          <w:id w:val="-231015392"/>
          <w:placeholder>
            <w:docPart w:val="DefaultPlaceholder_-1854013440"/>
          </w:placeholder>
        </w:sdtPr>
        <w:sdtContent>
          <w:r w:rsidR="007E6D96">
            <w:rPr>
              <w:color w:val="000000"/>
            </w:rPr>
            <w:t>[</w:t>
          </w:r>
          <w:r w:rsidR="000376C8" w:rsidRPr="007E6D96">
            <w:rPr>
              <w:color w:val="000000"/>
            </w:rPr>
            <w:t>1</w:t>
          </w:r>
        </w:sdtContent>
      </w:sdt>
      <w:r w:rsidR="007E6D96">
        <w:t>]</w:t>
      </w:r>
      <w:r w:rsidRPr="007433AA">
        <w:t>. In particular, the integration of solar tracking technologies in residential applications represents a potential strategy for maximizing energy capture and improving the performance of installations in urban contexts, where space availability and roof orientation can limit the optimal use of solar resources.</w:t>
      </w:r>
      <w:r w:rsidR="007E6D96">
        <w:t xml:space="preserve"> </w:t>
      </w:r>
      <w:r w:rsidRPr="007433AA">
        <w:t>Several studies have documented the benefits of solar tracking systems in large-scale PV plants and industrial applications</w:t>
      </w:r>
      <w:r w:rsidR="00687DB5">
        <w:t xml:space="preserve"> </w:t>
      </w:r>
      <w:sdt>
        <w:sdtPr>
          <w:rPr>
            <w:color w:val="000000"/>
            <w:vertAlign w:val="superscript"/>
          </w:rPr>
          <w:tag w:val="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"/>
          <w:id w:val="-1966719341"/>
          <w:placeholder>
            <w:docPart w:val="DefaultPlaceholder_-1854013440"/>
          </w:placeholder>
        </w:sdtPr>
        <w:sdtContent>
          <w:r w:rsidR="007E6D96" w:rsidRPr="007E6D96">
            <w:rPr>
              <w:color w:val="000000"/>
            </w:rPr>
            <w:t>[</w:t>
          </w:r>
          <w:r w:rsidR="000376C8" w:rsidRPr="007E6D96">
            <w:rPr>
              <w:color w:val="000000"/>
            </w:rPr>
            <w:t>2–4</w:t>
          </w:r>
          <w:r w:rsidR="007E6D96" w:rsidRPr="007E6D96">
            <w:rPr>
              <w:color w:val="000000"/>
            </w:rPr>
            <w:t>]</w:t>
          </w:r>
        </w:sdtContent>
      </w:sdt>
      <w:r w:rsidRPr="007433AA">
        <w:t xml:space="preserve">, showing increases in annual energy production of between 20% and 45% compared to fixed configurations. However, in the residential sector, </w:t>
      </w:r>
      <w:r w:rsidR="007E6D96" w:rsidRPr="007433AA">
        <w:t>literature</w:t>
      </w:r>
      <w:r w:rsidRPr="007433AA">
        <w:t xml:space="preserve"> is still in its infancy, especially in terms of comprehensive evaluations that simultaneously consider energy performance and economic profitability under real market conditions, residential electricity rates, and technical constraints specific to urban environments</w:t>
      </w:r>
      <w:r w:rsidR="007E6D96">
        <w:t xml:space="preserve"> </w:t>
      </w:r>
      <w:r w:rsidR="007E6D96" w:rsidRPr="007E6D96">
        <w:t>[</w:t>
      </w:r>
      <w:sdt>
        <w:sdtPr>
          <w:rPr>
            <w:color w:val="000000"/>
          </w:rPr>
          <w:tag w:val="MENDELEY_CITATION_v3_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"/>
          <w:id w:val="937944833"/>
          <w:placeholder>
            <w:docPart w:val="DB96E70EA53846CB84C9C8FDFD9FDB9F"/>
          </w:placeholder>
        </w:sdtPr>
        <w:sdtContent>
          <w:r w:rsidR="007E6D96" w:rsidRPr="007E6D96">
            <w:rPr>
              <w:color w:val="000000"/>
            </w:rPr>
            <w:t>5</w:t>
          </w:r>
        </w:sdtContent>
      </w:sdt>
      <w:r w:rsidR="007E6D96">
        <w:t>]</w:t>
      </w:r>
      <w:r w:rsidRPr="007433AA">
        <w:t>.</w:t>
      </w:r>
      <w:r w:rsidR="007E6D96">
        <w:t xml:space="preserve"> </w:t>
      </w:r>
    </w:p>
    <w:p w14:paraId="092A2593" w14:textId="69A79857" w:rsidR="008F70C8" w:rsidRPr="007433AA" w:rsidRDefault="008F70C8" w:rsidP="008F70C8">
      <w:pPr>
        <w:pStyle w:val="Cuerpo"/>
      </w:pPr>
      <w:r w:rsidRPr="007433AA">
        <w:t xml:space="preserve">This gap is particularly relevant in emerging countries, such as Peru, where the penetration of residential PV systems is still limited and regulations for net metering and surplus valuation are still under development </w:t>
      </w:r>
      <w:sdt>
        <w:sdtPr>
          <w:rPr>
            <w:color w:val="000000"/>
            <w:vertAlign w:val="superscript"/>
          </w:rPr>
          <w:tag w:val="MENDELEY_CITATION_v3_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"/>
          <w:id w:val="-2024696887"/>
          <w:placeholder>
            <w:docPart w:val="DefaultPlaceholder_-1854013440"/>
          </w:placeholder>
        </w:sdtPr>
        <w:sdtContent>
          <w:r w:rsidR="007E6D96" w:rsidRPr="007E6D96">
            <w:rPr>
              <w:color w:val="000000"/>
            </w:rPr>
            <w:t>[</w:t>
          </w:r>
          <w:r w:rsidR="000376C8" w:rsidRPr="007E6D96">
            <w:rPr>
              <w:color w:val="000000"/>
            </w:rPr>
            <w:t>6</w:t>
          </w:r>
          <w:r w:rsidR="007E6D96" w:rsidRPr="007E6D96">
            <w:rPr>
              <w:color w:val="000000"/>
            </w:rPr>
            <w:t>]</w:t>
          </w:r>
        </w:sdtContent>
      </w:sdt>
      <w:r w:rsidRPr="007433AA">
        <w:t>. In addition, factors such as the initial investment cost, the electricity demand profile, and local irradiance conditions have a critical impact on the viability and mass adoption of these technologies.</w:t>
      </w:r>
    </w:p>
    <w:p w14:paraId="30F024C3" w14:textId="77777777" w:rsidR="008F70C8" w:rsidRPr="007433AA" w:rsidRDefault="008F70C8" w:rsidP="008F70C8">
      <w:pPr>
        <w:pStyle w:val="Cuerpo"/>
      </w:pPr>
      <w:r w:rsidRPr="007433AA">
        <w:t>In this context, it is justified to analyze the real impact of solar tracking on residential PV systems, both from an energy and economic–financial perspective, using technical and economic data representative of the local market. Such an analysis makes it possible to identify the conditions under which the incorporation of solar trackers may be advisable and competitive in the residential sector.</w:t>
      </w:r>
    </w:p>
    <w:p w14:paraId="3544401C" w14:textId="27AA93BB" w:rsidR="00CC3324" w:rsidRPr="00CC3324" w:rsidRDefault="008F70C8" w:rsidP="008F70C8">
      <w:pPr>
        <w:pStyle w:val="Cuerpo"/>
        <w:rPr>
          <w:lang w:val="es-PE"/>
        </w:rPr>
      </w:pPr>
      <w:r w:rsidRPr="007433AA">
        <w:t>Therefore, the objective of this study is to compare the performance of residential photovoltaic systems with a fixed structure and with single-axis solar tracking through hourly simulation and economic analysis, identifying the potential for optimization in efficiency and profitability under real conditions in the r</w:t>
      </w:r>
      <w:r w:rsidRPr="00CA1780">
        <w:t>esidential sector in Lima.</w:t>
      </w:r>
      <w:r w:rsidR="00CA1780" w:rsidRPr="00CA1780">
        <w:t xml:space="preserve"> Subsequently, the methodological section is presented, detailing the modeling approach, simulation procedures, and economic assessment criteria. The following section discusses the main results and provides an in-depth discussion of the findings. Finally, the main conclusions and recommendations of the study are presented.</w:t>
      </w:r>
    </w:p>
    <w:p w14:paraId="19496C26" w14:textId="690445AE" w:rsidR="00BA3B3D" w:rsidRPr="00075EA6" w:rsidRDefault="008F640A" w:rsidP="00A646B3">
      <w:pPr>
        <w:pStyle w:val="Heading1"/>
        <w:rPr>
          <w:b w:val="0"/>
          <w:caps w:val="0"/>
          <w:sz w:val="20"/>
        </w:rPr>
      </w:pPr>
      <w:r w:rsidRPr="00C5179E">
        <w:rPr>
          <w:caps w:val="0"/>
        </w:rPr>
        <w:lastRenderedPageBreak/>
        <w:t>METHODOLOGY</w:t>
      </w:r>
    </w:p>
    <w:p w14:paraId="47A71E10" w14:textId="684F33B7" w:rsidR="004A3FE3" w:rsidRPr="00CC02CC" w:rsidRDefault="00562AD7" w:rsidP="00346A9D">
      <w:pPr>
        <w:pStyle w:val="Paragraph"/>
      </w:pPr>
      <w:r w:rsidRPr="00CC02CC">
        <w:t>This study compares residential photovoltaic systems with fixed structures and solar tracking, evaluating energy efficiency and economic profitability. The analysis considers annual generation, specific yield, LCOE, NPV, IRR, and payback period, including investment, operation, maintenance, and consumption costs of the tracker. To this end, an hourly model of the solar resource is developed, which allows the energy and economic performance of both configurations to be simulated and compared over a typical year. Figure 1 presents the methodological flow followed in this study, which includes the collection of input data, system configuration, energy modeling, and economic analysis, as well as sensitivity analysis and final comparison of results.</w:t>
      </w:r>
    </w:p>
    <w:p w14:paraId="522FD437" w14:textId="77777777" w:rsidR="006976CA" w:rsidRDefault="006976CA" w:rsidP="006976CA">
      <w:pPr>
        <w:pStyle w:val="FigureCaption"/>
        <w:rPr>
          <w:b/>
          <w:caps/>
        </w:rPr>
      </w:pPr>
      <w:r>
        <w:rPr>
          <w:noProof/>
          <w:lang w:val="es-PE"/>
        </w:rPr>
        <w:drawing>
          <wp:inline distT="0" distB="0" distL="0" distR="0" wp14:anchorId="383D7FE8" wp14:editId="1D8D7A13">
            <wp:extent cx="4716405" cy="2910840"/>
            <wp:effectExtent l="0" t="0" r="8255" b="3810"/>
            <wp:docPr id="1593041540"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1540" name="Imagen 3" descr="Diagra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21957" cy="2914267"/>
                    </a:xfrm>
                    <a:prstGeom prst="rect">
                      <a:avLst/>
                    </a:prstGeom>
                  </pic:spPr>
                </pic:pic>
              </a:graphicData>
            </a:graphic>
          </wp:inline>
        </w:drawing>
      </w:r>
    </w:p>
    <w:p w14:paraId="311D4070" w14:textId="4E92E96A" w:rsidR="00833549" w:rsidRPr="00574405" w:rsidRDefault="00833549" w:rsidP="006976CA">
      <w:pPr>
        <w:pStyle w:val="FigureCaption"/>
        <w:rPr>
          <w:sz w:val="20"/>
        </w:rPr>
      </w:pPr>
      <w:r>
        <w:rPr>
          <w:b/>
          <w:caps/>
        </w:rPr>
        <w:t>Figure 1.</w:t>
      </w:r>
      <w:r>
        <w:t xml:space="preserve"> </w:t>
      </w:r>
      <w:r w:rsidR="007B17BD" w:rsidRPr="007B17BD">
        <w:t>Methodological workflow for the hourly simulation and economic analysis of residential photovoltaic systems with and without solar tracking</w:t>
      </w:r>
      <w:r w:rsidR="00A144E2">
        <w:t xml:space="preserve">. </w:t>
      </w:r>
    </w:p>
    <w:p w14:paraId="530E6BD2" w14:textId="33F8013C" w:rsidR="00BA3B3D" w:rsidRPr="00075EA6" w:rsidRDefault="00AA756C" w:rsidP="00A646B3">
      <w:pPr>
        <w:pStyle w:val="Heading2"/>
      </w:pPr>
      <w:r w:rsidRPr="00AA756C">
        <w:t>Materials</w:t>
      </w:r>
    </w:p>
    <w:p w14:paraId="23170B50" w14:textId="37EA73FF" w:rsidR="00540DCB" w:rsidRPr="00EB1F0E" w:rsidRDefault="00EB1F0E" w:rsidP="00BA3B3D">
      <w:pPr>
        <w:pStyle w:val="Paragraph"/>
      </w:pPr>
      <w:r w:rsidRPr="00EB1F0E">
        <w:t xml:space="preserve">The analysis uses solar irradiance and temperature </w:t>
      </w:r>
      <w:sdt>
        <w:sdtPr>
          <w:rPr>
            <w:color w:val="000000"/>
            <w:vertAlign w:val="superscript"/>
          </w:rPr>
          <w:tag w:val="MENDELEY_CITATION_v3_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"/>
          <w:id w:val="-1600241312"/>
          <w:placeholder>
            <w:docPart w:val="DefaultPlaceholder_-1854013440"/>
          </w:placeholder>
        </w:sdtPr>
        <w:sdtContent>
          <w:r w:rsidR="000376C8" w:rsidRPr="000376C8">
            <w:rPr>
              <w:color w:val="000000"/>
              <w:vertAlign w:val="superscript"/>
            </w:rPr>
            <w:t>7</w:t>
          </w:r>
        </w:sdtContent>
      </w:sdt>
      <w:r w:rsidRPr="00EB1F0E">
        <w:t xml:space="preserve"> together with the residential load profile of typical consumption in a home in Lima, as shown in Fig</w:t>
      </w:r>
      <w:r w:rsidR="009747E5">
        <w:t>.</w:t>
      </w:r>
      <w:r w:rsidRPr="00EB1F0E">
        <w:t xml:space="preserve"> 1. Similarly, the technical parameters of the photovoltaic modules, inverters, and solar tracker components are considered, as detailed in Table 1</w:t>
      </w:r>
      <w:r w:rsidR="00540DCB" w:rsidRPr="00EB1F0E">
        <w:t>.</w:t>
      </w:r>
    </w:p>
    <w:p w14:paraId="13F49C1E" w14:textId="123B013D" w:rsidR="00E43E7C" w:rsidRDefault="007F1737" w:rsidP="00E43E7C">
      <w:pPr>
        <w:pStyle w:val="tablecaption0"/>
      </w:pPr>
      <w:r>
        <w:rPr>
          <w:b/>
        </w:rPr>
        <w:t xml:space="preserve">TABLE </w:t>
      </w:r>
      <w:r w:rsidR="00E43E7C">
        <w:rPr>
          <w:b/>
        </w:rPr>
        <w:fldChar w:fldCharType="begin"/>
      </w:r>
      <w:r w:rsidR="00E43E7C">
        <w:rPr>
          <w:b/>
        </w:rPr>
        <w:instrText xml:space="preserve"> SEQ "Table" \* MERGEFORMAT </w:instrText>
      </w:r>
      <w:r w:rsidR="00E43E7C">
        <w:rPr>
          <w:b/>
        </w:rPr>
        <w:fldChar w:fldCharType="separate"/>
      </w:r>
      <w:r w:rsidR="00DA6935">
        <w:rPr>
          <w:b/>
          <w:noProof/>
        </w:rPr>
        <w:t>1</w:t>
      </w:r>
      <w:r w:rsidR="00E43E7C">
        <w:rPr>
          <w:b/>
        </w:rPr>
        <w:fldChar w:fldCharType="end"/>
      </w:r>
      <w:r w:rsidR="00E43E7C">
        <w:rPr>
          <w:b/>
        </w:rPr>
        <w:t>.</w:t>
      </w:r>
      <w:r w:rsidR="00E43E7C">
        <w:t xml:space="preserve"> </w:t>
      </w:r>
      <w:r w:rsidR="00E43E7C" w:rsidRPr="008B4EB6">
        <w:t>Main input parameters used in the simulation</w:t>
      </w:r>
      <w:r w:rsidR="00E43E7C">
        <w:t>.</w:t>
      </w:r>
    </w:p>
    <w:tbl>
      <w:tblPr>
        <w:tblW w:w="4547" w:type="pct"/>
        <w:jc w:val="center"/>
        <w:tblCellMar>
          <w:left w:w="70" w:type="dxa"/>
          <w:right w:w="70" w:type="dxa"/>
        </w:tblCellMar>
        <w:tblLook w:val="04A0" w:firstRow="1" w:lastRow="0" w:firstColumn="1" w:lastColumn="0" w:noHBand="0" w:noVBand="1"/>
      </w:tblPr>
      <w:tblGrid>
        <w:gridCol w:w="3121"/>
        <w:gridCol w:w="3384"/>
        <w:gridCol w:w="2007"/>
      </w:tblGrid>
      <w:tr w:rsidR="00E43E7C" w:rsidRPr="004F7B73" w14:paraId="0F79DC5D" w14:textId="77777777" w:rsidTr="006724F1">
        <w:trPr>
          <w:trHeight w:val="290"/>
          <w:jc w:val="center"/>
        </w:trPr>
        <w:tc>
          <w:tcPr>
            <w:tcW w:w="1833" w:type="pct"/>
            <w:tcBorders>
              <w:top w:val="single" w:sz="4" w:space="0" w:color="auto"/>
              <w:left w:val="nil"/>
              <w:bottom w:val="single" w:sz="4" w:space="0" w:color="auto"/>
              <w:right w:val="nil"/>
            </w:tcBorders>
            <w:noWrap/>
            <w:vAlign w:val="center"/>
            <w:hideMark/>
          </w:tcPr>
          <w:p w14:paraId="2A15D5D6" w14:textId="77777777" w:rsidR="00E43E7C" w:rsidRPr="004F7B73" w:rsidRDefault="00E43E7C" w:rsidP="00055DE8">
            <w:pPr>
              <w:rPr>
                <w:b/>
                <w:bCs/>
                <w:color w:val="000000"/>
                <w:sz w:val="18"/>
                <w:szCs w:val="18"/>
                <w:lang w:eastAsia="es-PE"/>
              </w:rPr>
            </w:pPr>
            <w:r w:rsidRPr="004F7B73">
              <w:rPr>
                <w:b/>
                <w:bCs/>
                <w:color w:val="000000"/>
                <w:sz w:val="18"/>
                <w:szCs w:val="18"/>
                <w:lang w:eastAsia="es-PE"/>
              </w:rPr>
              <w:t>Parameter</w:t>
            </w:r>
          </w:p>
        </w:tc>
        <w:tc>
          <w:tcPr>
            <w:tcW w:w="1988" w:type="pct"/>
            <w:tcBorders>
              <w:top w:val="single" w:sz="4" w:space="0" w:color="auto"/>
              <w:left w:val="nil"/>
              <w:bottom w:val="single" w:sz="4" w:space="0" w:color="auto"/>
              <w:right w:val="nil"/>
            </w:tcBorders>
            <w:noWrap/>
            <w:vAlign w:val="center"/>
            <w:hideMark/>
          </w:tcPr>
          <w:p w14:paraId="22B9294B" w14:textId="77777777" w:rsidR="00E43E7C" w:rsidRPr="004F7B73" w:rsidRDefault="00E43E7C" w:rsidP="00D94BAD">
            <w:pPr>
              <w:jc w:val="center"/>
              <w:rPr>
                <w:b/>
                <w:bCs/>
                <w:color w:val="000000"/>
                <w:sz w:val="18"/>
                <w:szCs w:val="18"/>
                <w:lang w:eastAsia="es-PE"/>
              </w:rPr>
            </w:pPr>
            <w:r w:rsidRPr="004F7B73">
              <w:rPr>
                <w:b/>
                <w:bCs/>
                <w:color w:val="000000"/>
                <w:sz w:val="18"/>
                <w:szCs w:val="18"/>
                <w:lang w:eastAsia="es-PE"/>
              </w:rPr>
              <w:t>Symbol / Unit</w:t>
            </w:r>
          </w:p>
        </w:tc>
        <w:tc>
          <w:tcPr>
            <w:tcW w:w="1179" w:type="pct"/>
            <w:tcBorders>
              <w:top w:val="single" w:sz="4" w:space="0" w:color="auto"/>
              <w:left w:val="nil"/>
              <w:bottom w:val="single" w:sz="4" w:space="0" w:color="auto"/>
              <w:right w:val="nil"/>
            </w:tcBorders>
            <w:noWrap/>
            <w:vAlign w:val="center"/>
            <w:hideMark/>
          </w:tcPr>
          <w:p w14:paraId="3471DEB7" w14:textId="77777777" w:rsidR="00E43E7C" w:rsidRPr="004F7B73" w:rsidRDefault="00E43E7C" w:rsidP="00D94BAD">
            <w:pPr>
              <w:jc w:val="center"/>
              <w:rPr>
                <w:b/>
                <w:bCs/>
                <w:color w:val="000000"/>
                <w:sz w:val="18"/>
                <w:szCs w:val="18"/>
                <w:lang w:eastAsia="es-PE"/>
              </w:rPr>
            </w:pPr>
            <w:r w:rsidRPr="004F7B73">
              <w:rPr>
                <w:b/>
                <w:bCs/>
                <w:color w:val="000000"/>
                <w:sz w:val="18"/>
                <w:szCs w:val="18"/>
                <w:lang w:eastAsia="es-PE"/>
              </w:rPr>
              <w:t>Value</w:t>
            </w:r>
          </w:p>
        </w:tc>
      </w:tr>
      <w:tr w:rsidR="00E43E7C" w:rsidRPr="004F7B73" w14:paraId="30600A0C" w14:textId="77777777" w:rsidTr="006724F1">
        <w:trPr>
          <w:trHeight w:val="290"/>
          <w:jc w:val="center"/>
        </w:trPr>
        <w:tc>
          <w:tcPr>
            <w:tcW w:w="1833" w:type="pct"/>
            <w:tcBorders>
              <w:top w:val="nil"/>
              <w:left w:val="nil"/>
              <w:bottom w:val="nil"/>
              <w:right w:val="nil"/>
            </w:tcBorders>
            <w:noWrap/>
            <w:vAlign w:val="center"/>
            <w:hideMark/>
          </w:tcPr>
          <w:p w14:paraId="51079302" w14:textId="77777777" w:rsidR="00E43E7C" w:rsidRPr="004F7B73" w:rsidRDefault="00E43E7C" w:rsidP="00055DE8">
            <w:pPr>
              <w:rPr>
                <w:color w:val="000000"/>
                <w:sz w:val="20"/>
                <w:lang w:eastAsia="es-PE"/>
              </w:rPr>
            </w:pPr>
            <w:r w:rsidRPr="004F7B73">
              <w:rPr>
                <w:color w:val="000000"/>
                <w:sz w:val="20"/>
                <w:lang w:eastAsia="es-PE"/>
              </w:rPr>
              <w:t>Nominal power of PV module</w:t>
            </w:r>
          </w:p>
        </w:tc>
        <w:tc>
          <w:tcPr>
            <w:tcW w:w="1988" w:type="pct"/>
            <w:tcBorders>
              <w:top w:val="nil"/>
              <w:left w:val="nil"/>
              <w:bottom w:val="nil"/>
              <w:right w:val="nil"/>
            </w:tcBorders>
            <w:noWrap/>
            <w:vAlign w:val="center"/>
            <w:hideMark/>
          </w:tcPr>
          <w:p w14:paraId="2A9F888C" w14:textId="6E1006CC" w:rsidR="00E43E7C" w:rsidRPr="004F7B73" w:rsidRDefault="00E43E7C" w:rsidP="00055DE8">
            <w:pPr>
              <w:jc w:val="center"/>
              <w:rPr>
                <w:color w:val="000000"/>
                <w:sz w:val="20"/>
                <w:lang w:eastAsia="es-PE"/>
              </w:rPr>
            </w:pPr>
            <w:proofErr w:type="spellStart"/>
            <w:r w:rsidRPr="004F7B73">
              <w:rPr>
                <w:color w:val="000000"/>
                <w:sz w:val="20"/>
                <w:lang w:eastAsia="es-PE"/>
              </w:rPr>
              <w:t>P</w:t>
            </w:r>
            <w:r w:rsidRPr="00AF0A16">
              <w:rPr>
                <w:color w:val="000000"/>
                <w:sz w:val="20"/>
                <w:vertAlign w:val="subscript"/>
                <w:lang w:eastAsia="es-PE"/>
              </w:rPr>
              <w:t>mpp</w:t>
            </w:r>
            <w:proofErr w:type="spellEnd"/>
            <w:r w:rsidRPr="004F7B73">
              <w:rPr>
                <w:color w:val="000000"/>
                <w:sz w:val="20"/>
                <w:lang w:eastAsia="es-PE"/>
              </w:rPr>
              <w:t xml:space="preserve"> [W]</w:t>
            </w:r>
          </w:p>
        </w:tc>
        <w:tc>
          <w:tcPr>
            <w:tcW w:w="1179" w:type="pct"/>
            <w:tcBorders>
              <w:top w:val="nil"/>
              <w:left w:val="nil"/>
              <w:bottom w:val="nil"/>
              <w:right w:val="nil"/>
            </w:tcBorders>
            <w:noWrap/>
            <w:vAlign w:val="center"/>
            <w:hideMark/>
          </w:tcPr>
          <w:p w14:paraId="45462E03" w14:textId="77777777" w:rsidR="00E43E7C" w:rsidRPr="004F7B73" w:rsidRDefault="00E43E7C" w:rsidP="00055DE8">
            <w:pPr>
              <w:jc w:val="center"/>
              <w:rPr>
                <w:color w:val="000000"/>
                <w:sz w:val="20"/>
                <w:lang w:eastAsia="es-PE"/>
              </w:rPr>
            </w:pPr>
            <w:r w:rsidRPr="004F7B73">
              <w:rPr>
                <w:color w:val="000000"/>
                <w:sz w:val="20"/>
                <w:lang w:eastAsia="es-PE"/>
              </w:rPr>
              <w:t>630</w:t>
            </w:r>
          </w:p>
        </w:tc>
      </w:tr>
      <w:tr w:rsidR="00E43E7C" w:rsidRPr="004F7B73" w14:paraId="5A546121" w14:textId="77777777" w:rsidTr="006724F1">
        <w:trPr>
          <w:trHeight w:val="290"/>
          <w:jc w:val="center"/>
        </w:trPr>
        <w:tc>
          <w:tcPr>
            <w:tcW w:w="1833" w:type="pct"/>
            <w:tcBorders>
              <w:top w:val="nil"/>
              <w:left w:val="nil"/>
              <w:bottom w:val="nil"/>
              <w:right w:val="nil"/>
            </w:tcBorders>
            <w:noWrap/>
            <w:vAlign w:val="center"/>
            <w:hideMark/>
          </w:tcPr>
          <w:p w14:paraId="6F6E49D8" w14:textId="77777777" w:rsidR="00E43E7C" w:rsidRPr="004F7B73" w:rsidRDefault="00E43E7C" w:rsidP="00055DE8">
            <w:pPr>
              <w:rPr>
                <w:color w:val="000000"/>
                <w:sz w:val="20"/>
                <w:lang w:eastAsia="es-PE"/>
              </w:rPr>
            </w:pPr>
            <w:r w:rsidRPr="004F7B73">
              <w:rPr>
                <w:color w:val="000000"/>
                <w:sz w:val="20"/>
                <w:lang w:eastAsia="es-PE"/>
              </w:rPr>
              <w:t>PV module efficiency</w:t>
            </w:r>
          </w:p>
        </w:tc>
        <w:tc>
          <w:tcPr>
            <w:tcW w:w="1988" w:type="pct"/>
            <w:tcBorders>
              <w:top w:val="nil"/>
              <w:left w:val="nil"/>
              <w:bottom w:val="nil"/>
              <w:right w:val="nil"/>
            </w:tcBorders>
            <w:noWrap/>
            <w:vAlign w:val="center"/>
            <w:hideMark/>
          </w:tcPr>
          <w:p w14:paraId="7513DB5A" w14:textId="15F2C7F2" w:rsidR="00E43E7C" w:rsidRPr="004F7B73" w:rsidRDefault="00E43E7C" w:rsidP="00055DE8">
            <w:pPr>
              <w:jc w:val="center"/>
              <w:rPr>
                <w:color w:val="000000"/>
                <w:sz w:val="20"/>
                <w:lang w:eastAsia="es-PE"/>
              </w:rPr>
            </w:pPr>
            <w:proofErr w:type="spellStart"/>
            <w:r w:rsidRPr="004F7B73">
              <w:rPr>
                <w:color w:val="000000"/>
                <w:sz w:val="20"/>
                <w:lang w:eastAsia="es-PE"/>
              </w:rPr>
              <w:t>η</w:t>
            </w:r>
            <w:r w:rsidRPr="004E2E78">
              <w:rPr>
                <w:color w:val="000000"/>
                <w:sz w:val="20"/>
                <w:vertAlign w:val="subscript"/>
                <w:lang w:eastAsia="es-PE"/>
              </w:rPr>
              <w:t>mod</w:t>
            </w:r>
            <w:proofErr w:type="spellEnd"/>
            <w:r w:rsidRPr="004F7B73">
              <w:rPr>
                <w:color w:val="000000"/>
                <w:sz w:val="20"/>
                <w:lang w:eastAsia="es-PE"/>
              </w:rPr>
              <w:t xml:space="preserve"> [%]</w:t>
            </w:r>
          </w:p>
        </w:tc>
        <w:tc>
          <w:tcPr>
            <w:tcW w:w="1179" w:type="pct"/>
            <w:tcBorders>
              <w:top w:val="nil"/>
              <w:left w:val="nil"/>
              <w:bottom w:val="nil"/>
              <w:right w:val="nil"/>
            </w:tcBorders>
            <w:noWrap/>
            <w:vAlign w:val="center"/>
            <w:hideMark/>
          </w:tcPr>
          <w:p w14:paraId="15D2FD84" w14:textId="77777777" w:rsidR="00E43E7C" w:rsidRPr="004F7B73" w:rsidRDefault="00E43E7C" w:rsidP="00055DE8">
            <w:pPr>
              <w:jc w:val="center"/>
              <w:rPr>
                <w:color w:val="000000"/>
                <w:sz w:val="20"/>
                <w:lang w:eastAsia="es-PE"/>
              </w:rPr>
            </w:pPr>
            <w:r w:rsidRPr="004F7B73">
              <w:rPr>
                <w:color w:val="000000"/>
                <w:sz w:val="20"/>
                <w:lang w:eastAsia="es-PE"/>
              </w:rPr>
              <w:t>21.5</w:t>
            </w:r>
          </w:p>
        </w:tc>
      </w:tr>
      <w:tr w:rsidR="00E43E7C" w:rsidRPr="004F7B73" w14:paraId="44C06A23" w14:textId="77777777" w:rsidTr="006724F1">
        <w:trPr>
          <w:trHeight w:val="290"/>
          <w:jc w:val="center"/>
        </w:trPr>
        <w:tc>
          <w:tcPr>
            <w:tcW w:w="1833" w:type="pct"/>
            <w:tcBorders>
              <w:top w:val="nil"/>
              <w:left w:val="nil"/>
              <w:bottom w:val="nil"/>
              <w:right w:val="nil"/>
            </w:tcBorders>
            <w:noWrap/>
            <w:vAlign w:val="center"/>
            <w:hideMark/>
          </w:tcPr>
          <w:p w14:paraId="721F2752" w14:textId="77777777" w:rsidR="00E43E7C" w:rsidRPr="004F7B73" w:rsidRDefault="00E43E7C" w:rsidP="00055DE8">
            <w:pPr>
              <w:rPr>
                <w:color w:val="000000"/>
                <w:sz w:val="20"/>
                <w:lang w:eastAsia="es-PE"/>
              </w:rPr>
            </w:pPr>
            <w:r w:rsidRPr="004F7B73">
              <w:rPr>
                <w:color w:val="000000"/>
                <w:sz w:val="20"/>
                <w:lang w:eastAsia="es-PE"/>
              </w:rPr>
              <w:t>Voltage at MPP</w:t>
            </w:r>
          </w:p>
        </w:tc>
        <w:tc>
          <w:tcPr>
            <w:tcW w:w="1988" w:type="pct"/>
            <w:tcBorders>
              <w:top w:val="nil"/>
              <w:left w:val="nil"/>
              <w:bottom w:val="nil"/>
              <w:right w:val="nil"/>
            </w:tcBorders>
            <w:noWrap/>
            <w:vAlign w:val="center"/>
            <w:hideMark/>
          </w:tcPr>
          <w:p w14:paraId="30346A0E" w14:textId="1DED4C48" w:rsidR="00E43E7C" w:rsidRPr="004F7B73" w:rsidRDefault="00E43E7C" w:rsidP="00055DE8">
            <w:pPr>
              <w:jc w:val="center"/>
              <w:rPr>
                <w:color w:val="000000"/>
                <w:sz w:val="20"/>
                <w:lang w:eastAsia="es-PE"/>
              </w:rPr>
            </w:pPr>
            <w:proofErr w:type="spellStart"/>
            <w:r w:rsidRPr="004F7B73">
              <w:rPr>
                <w:color w:val="000000"/>
                <w:sz w:val="20"/>
                <w:lang w:eastAsia="es-PE"/>
              </w:rPr>
              <w:t>V</w:t>
            </w:r>
            <w:r w:rsidRPr="004E2E78">
              <w:rPr>
                <w:color w:val="000000"/>
                <w:sz w:val="20"/>
                <w:vertAlign w:val="subscript"/>
                <w:lang w:eastAsia="es-PE"/>
              </w:rPr>
              <w:t>mpp</w:t>
            </w:r>
            <w:proofErr w:type="spellEnd"/>
            <w:r w:rsidRPr="004F7B73">
              <w:rPr>
                <w:color w:val="000000"/>
                <w:sz w:val="20"/>
                <w:lang w:eastAsia="es-PE"/>
              </w:rPr>
              <w:t xml:space="preserve"> [V]</w:t>
            </w:r>
          </w:p>
        </w:tc>
        <w:tc>
          <w:tcPr>
            <w:tcW w:w="1179" w:type="pct"/>
            <w:tcBorders>
              <w:top w:val="nil"/>
              <w:left w:val="nil"/>
              <w:bottom w:val="nil"/>
              <w:right w:val="nil"/>
            </w:tcBorders>
            <w:noWrap/>
            <w:vAlign w:val="center"/>
            <w:hideMark/>
          </w:tcPr>
          <w:p w14:paraId="65D558E6" w14:textId="77777777" w:rsidR="00E43E7C" w:rsidRPr="004F7B73" w:rsidRDefault="00E43E7C" w:rsidP="00055DE8">
            <w:pPr>
              <w:jc w:val="center"/>
              <w:rPr>
                <w:color w:val="000000"/>
                <w:sz w:val="20"/>
                <w:lang w:eastAsia="es-PE"/>
              </w:rPr>
            </w:pPr>
            <w:r w:rsidRPr="004F7B73">
              <w:rPr>
                <w:color w:val="000000"/>
                <w:sz w:val="20"/>
                <w:lang w:eastAsia="es-PE"/>
              </w:rPr>
              <w:t>37.6</w:t>
            </w:r>
          </w:p>
        </w:tc>
      </w:tr>
      <w:tr w:rsidR="00E43E7C" w:rsidRPr="004F7B73" w14:paraId="46878168" w14:textId="77777777" w:rsidTr="006724F1">
        <w:trPr>
          <w:trHeight w:val="290"/>
          <w:jc w:val="center"/>
        </w:trPr>
        <w:tc>
          <w:tcPr>
            <w:tcW w:w="1833" w:type="pct"/>
            <w:tcBorders>
              <w:top w:val="nil"/>
              <w:left w:val="nil"/>
              <w:bottom w:val="nil"/>
              <w:right w:val="nil"/>
            </w:tcBorders>
            <w:noWrap/>
            <w:vAlign w:val="center"/>
            <w:hideMark/>
          </w:tcPr>
          <w:p w14:paraId="24B4A0DA" w14:textId="77777777" w:rsidR="00E43E7C" w:rsidRPr="004F7B73" w:rsidRDefault="00E43E7C" w:rsidP="00055DE8">
            <w:pPr>
              <w:rPr>
                <w:color w:val="000000"/>
                <w:sz w:val="20"/>
                <w:lang w:eastAsia="es-PE"/>
              </w:rPr>
            </w:pPr>
            <w:r w:rsidRPr="004F7B73">
              <w:rPr>
                <w:color w:val="000000"/>
                <w:sz w:val="20"/>
                <w:lang w:eastAsia="es-PE"/>
              </w:rPr>
              <w:t>Current at MPP</w:t>
            </w:r>
          </w:p>
        </w:tc>
        <w:tc>
          <w:tcPr>
            <w:tcW w:w="1988" w:type="pct"/>
            <w:tcBorders>
              <w:top w:val="nil"/>
              <w:left w:val="nil"/>
              <w:bottom w:val="nil"/>
              <w:right w:val="nil"/>
            </w:tcBorders>
            <w:noWrap/>
            <w:vAlign w:val="center"/>
            <w:hideMark/>
          </w:tcPr>
          <w:p w14:paraId="408B8065" w14:textId="339436EE" w:rsidR="00E43E7C" w:rsidRPr="004F7B73" w:rsidRDefault="00E43E7C" w:rsidP="00055DE8">
            <w:pPr>
              <w:jc w:val="center"/>
              <w:rPr>
                <w:color w:val="000000"/>
                <w:sz w:val="20"/>
                <w:lang w:eastAsia="es-PE"/>
              </w:rPr>
            </w:pPr>
            <w:proofErr w:type="spellStart"/>
            <w:r w:rsidRPr="004F7B73">
              <w:rPr>
                <w:color w:val="000000"/>
                <w:sz w:val="20"/>
                <w:lang w:eastAsia="es-PE"/>
              </w:rPr>
              <w:t>I</w:t>
            </w:r>
            <w:r w:rsidRPr="004E2E78">
              <w:rPr>
                <w:color w:val="000000"/>
                <w:sz w:val="20"/>
                <w:vertAlign w:val="subscript"/>
                <w:lang w:eastAsia="es-PE"/>
              </w:rPr>
              <w:t>mpp</w:t>
            </w:r>
            <w:proofErr w:type="spellEnd"/>
            <w:r w:rsidRPr="004F7B73">
              <w:rPr>
                <w:color w:val="000000"/>
                <w:sz w:val="20"/>
                <w:lang w:eastAsia="es-PE"/>
              </w:rPr>
              <w:t xml:space="preserve"> [A]</w:t>
            </w:r>
          </w:p>
        </w:tc>
        <w:tc>
          <w:tcPr>
            <w:tcW w:w="1179" w:type="pct"/>
            <w:tcBorders>
              <w:top w:val="nil"/>
              <w:left w:val="nil"/>
              <w:bottom w:val="nil"/>
              <w:right w:val="nil"/>
            </w:tcBorders>
            <w:noWrap/>
            <w:vAlign w:val="center"/>
            <w:hideMark/>
          </w:tcPr>
          <w:p w14:paraId="42C97B2F" w14:textId="77777777" w:rsidR="00E43E7C" w:rsidRPr="004F7B73" w:rsidRDefault="00E43E7C" w:rsidP="00055DE8">
            <w:pPr>
              <w:jc w:val="center"/>
              <w:rPr>
                <w:color w:val="000000"/>
                <w:sz w:val="20"/>
                <w:lang w:eastAsia="es-PE"/>
              </w:rPr>
            </w:pPr>
            <w:r w:rsidRPr="004F7B73">
              <w:rPr>
                <w:color w:val="000000"/>
                <w:sz w:val="20"/>
                <w:lang w:eastAsia="es-PE"/>
              </w:rPr>
              <w:t>16.76</w:t>
            </w:r>
          </w:p>
        </w:tc>
      </w:tr>
      <w:tr w:rsidR="00E43E7C" w:rsidRPr="004F7B73" w14:paraId="3E976A98" w14:textId="77777777" w:rsidTr="006724F1">
        <w:trPr>
          <w:trHeight w:val="290"/>
          <w:jc w:val="center"/>
        </w:trPr>
        <w:tc>
          <w:tcPr>
            <w:tcW w:w="1833" w:type="pct"/>
            <w:tcBorders>
              <w:top w:val="nil"/>
              <w:left w:val="nil"/>
              <w:bottom w:val="nil"/>
              <w:right w:val="nil"/>
            </w:tcBorders>
            <w:noWrap/>
            <w:vAlign w:val="center"/>
            <w:hideMark/>
          </w:tcPr>
          <w:p w14:paraId="577C499F" w14:textId="77777777" w:rsidR="00E43E7C" w:rsidRPr="004F7B73" w:rsidRDefault="00E43E7C" w:rsidP="00055DE8">
            <w:pPr>
              <w:rPr>
                <w:color w:val="000000"/>
                <w:sz w:val="20"/>
                <w:lang w:eastAsia="es-PE"/>
              </w:rPr>
            </w:pPr>
            <w:r w:rsidRPr="004F7B73">
              <w:rPr>
                <w:color w:val="000000"/>
                <w:sz w:val="20"/>
                <w:lang w:eastAsia="es-PE"/>
              </w:rPr>
              <w:t>Nominal power of inverter</w:t>
            </w:r>
          </w:p>
        </w:tc>
        <w:tc>
          <w:tcPr>
            <w:tcW w:w="1988" w:type="pct"/>
            <w:tcBorders>
              <w:top w:val="nil"/>
              <w:left w:val="nil"/>
              <w:bottom w:val="nil"/>
              <w:right w:val="nil"/>
            </w:tcBorders>
            <w:noWrap/>
            <w:vAlign w:val="center"/>
            <w:hideMark/>
          </w:tcPr>
          <w:p w14:paraId="5621469B" w14:textId="580C1AF5" w:rsidR="00E43E7C" w:rsidRPr="004F7B73" w:rsidRDefault="00E43E7C" w:rsidP="00055DE8">
            <w:pPr>
              <w:jc w:val="center"/>
              <w:rPr>
                <w:color w:val="000000"/>
                <w:sz w:val="20"/>
                <w:lang w:eastAsia="es-PE"/>
              </w:rPr>
            </w:pPr>
            <w:proofErr w:type="spellStart"/>
            <w:r w:rsidRPr="004F7B73">
              <w:rPr>
                <w:color w:val="000000"/>
                <w:sz w:val="20"/>
                <w:lang w:eastAsia="es-PE"/>
              </w:rPr>
              <w:t>P</w:t>
            </w:r>
            <w:r w:rsidRPr="004E2E78">
              <w:rPr>
                <w:color w:val="000000"/>
                <w:sz w:val="20"/>
                <w:vertAlign w:val="subscript"/>
                <w:lang w:eastAsia="es-PE"/>
              </w:rPr>
              <w:t>inv</w:t>
            </w:r>
            <w:proofErr w:type="spellEnd"/>
            <w:r w:rsidRPr="004F7B73">
              <w:rPr>
                <w:color w:val="000000"/>
                <w:sz w:val="20"/>
                <w:lang w:eastAsia="es-PE"/>
              </w:rPr>
              <w:t xml:space="preserve"> [kW]</w:t>
            </w:r>
          </w:p>
        </w:tc>
        <w:tc>
          <w:tcPr>
            <w:tcW w:w="1179" w:type="pct"/>
            <w:tcBorders>
              <w:top w:val="nil"/>
              <w:left w:val="nil"/>
              <w:bottom w:val="nil"/>
              <w:right w:val="nil"/>
            </w:tcBorders>
            <w:noWrap/>
            <w:vAlign w:val="center"/>
            <w:hideMark/>
          </w:tcPr>
          <w:p w14:paraId="559E8D16" w14:textId="77777777" w:rsidR="00E43E7C" w:rsidRPr="004F7B73" w:rsidRDefault="00E43E7C" w:rsidP="00055DE8">
            <w:pPr>
              <w:jc w:val="center"/>
              <w:rPr>
                <w:color w:val="000000"/>
                <w:sz w:val="20"/>
                <w:lang w:eastAsia="es-PE"/>
              </w:rPr>
            </w:pPr>
            <w:r w:rsidRPr="004F7B73">
              <w:rPr>
                <w:color w:val="000000"/>
                <w:sz w:val="20"/>
                <w:lang w:eastAsia="es-PE"/>
              </w:rPr>
              <w:t>≥5.67</w:t>
            </w:r>
          </w:p>
        </w:tc>
      </w:tr>
      <w:tr w:rsidR="00E43E7C" w:rsidRPr="007E6D96" w14:paraId="6ED48286" w14:textId="77777777" w:rsidTr="006724F1">
        <w:trPr>
          <w:trHeight w:val="290"/>
          <w:jc w:val="center"/>
        </w:trPr>
        <w:tc>
          <w:tcPr>
            <w:tcW w:w="1833" w:type="pct"/>
            <w:tcBorders>
              <w:top w:val="nil"/>
              <w:left w:val="nil"/>
              <w:bottom w:val="nil"/>
              <w:right w:val="nil"/>
            </w:tcBorders>
            <w:noWrap/>
            <w:vAlign w:val="center"/>
            <w:hideMark/>
          </w:tcPr>
          <w:p w14:paraId="51E12EBF" w14:textId="77777777" w:rsidR="00E43E7C" w:rsidRPr="004F7B73" w:rsidRDefault="00E43E7C" w:rsidP="00055DE8">
            <w:pPr>
              <w:rPr>
                <w:color w:val="000000"/>
                <w:sz w:val="20"/>
                <w:lang w:eastAsia="es-PE"/>
              </w:rPr>
            </w:pPr>
            <w:r w:rsidRPr="004F7B73">
              <w:rPr>
                <w:color w:val="000000"/>
                <w:sz w:val="20"/>
                <w:lang w:eastAsia="es-PE"/>
              </w:rPr>
              <w:t>Inverter efficiency</w:t>
            </w:r>
          </w:p>
        </w:tc>
        <w:tc>
          <w:tcPr>
            <w:tcW w:w="1988" w:type="pct"/>
            <w:tcBorders>
              <w:top w:val="nil"/>
              <w:left w:val="nil"/>
              <w:bottom w:val="nil"/>
              <w:right w:val="nil"/>
            </w:tcBorders>
            <w:noWrap/>
            <w:vAlign w:val="center"/>
            <w:hideMark/>
          </w:tcPr>
          <w:p w14:paraId="46CB33F2" w14:textId="63730251" w:rsidR="00E43E7C" w:rsidRPr="004F7B73" w:rsidRDefault="00E43E7C" w:rsidP="00055DE8">
            <w:pPr>
              <w:jc w:val="center"/>
              <w:rPr>
                <w:color w:val="000000"/>
                <w:sz w:val="20"/>
                <w:lang w:eastAsia="es-PE"/>
              </w:rPr>
            </w:pPr>
            <w:proofErr w:type="spellStart"/>
            <w:r w:rsidRPr="004F7B73">
              <w:rPr>
                <w:color w:val="000000"/>
                <w:sz w:val="20"/>
                <w:lang w:eastAsia="es-PE"/>
              </w:rPr>
              <w:t>η</w:t>
            </w:r>
            <w:r w:rsidRPr="004E2E78">
              <w:rPr>
                <w:color w:val="000000"/>
                <w:sz w:val="20"/>
                <w:vertAlign w:val="subscript"/>
                <w:lang w:eastAsia="es-PE"/>
              </w:rPr>
              <w:t>inv</w:t>
            </w:r>
            <w:proofErr w:type="spellEnd"/>
            <w:r w:rsidRPr="004F7B73">
              <w:rPr>
                <w:color w:val="000000"/>
                <w:sz w:val="20"/>
                <w:lang w:eastAsia="es-PE"/>
              </w:rPr>
              <w:t xml:space="preserve"> [%]</w:t>
            </w:r>
          </w:p>
        </w:tc>
        <w:tc>
          <w:tcPr>
            <w:tcW w:w="1179" w:type="pct"/>
            <w:tcBorders>
              <w:top w:val="nil"/>
              <w:left w:val="nil"/>
              <w:bottom w:val="nil"/>
              <w:right w:val="nil"/>
            </w:tcBorders>
            <w:noWrap/>
            <w:vAlign w:val="center"/>
            <w:hideMark/>
          </w:tcPr>
          <w:p w14:paraId="7C94AD97" w14:textId="77777777" w:rsidR="00E43E7C" w:rsidRPr="004F7B73" w:rsidRDefault="00E43E7C" w:rsidP="00055DE8">
            <w:pPr>
              <w:jc w:val="center"/>
              <w:rPr>
                <w:color w:val="000000"/>
                <w:sz w:val="20"/>
                <w:lang w:eastAsia="es-PE"/>
              </w:rPr>
            </w:pPr>
            <w:r w:rsidRPr="004F7B73">
              <w:rPr>
                <w:color w:val="000000"/>
                <w:sz w:val="20"/>
                <w:lang w:eastAsia="es-PE"/>
              </w:rPr>
              <w:t>98</w:t>
            </w:r>
          </w:p>
        </w:tc>
      </w:tr>
      <w:tr w:rsidR="00E43E7C" w:rsidRPr="004F7B73" w14:paraId="258D7888" w14:textId="77777777" w:rsidTr="006724F1">
        <w:trPr>
          <w:trHeight w:val="290"/>
          <w:jc w:val="center"/>
        </w:trPr>
        <w:tc>
          <w:tcPr>
            <w:tcW w:w="1833" w:type="pct"/>
            <w:tcBorders>
              <w:top w:val="nil"/>
              <w:left w:val="nil"/>
              <w:bottom w:val="nil"/>
              <w:right w:val="nil"/>
            </w:tcBorders>
            <w:noWrap/>
            <w:vAlign w:val="center"/>
            <w:hideMark/>
          </w:tcPr>
          <w:p w14:paraId="69A03481" w14:textId="77777777" w:rsidR="00E43E7C" w:rsidRPr="004F7B73" w:rsidRDefault="00E43E7C" w:rsidP="00055DE8">
            <w:pPr>
              <w:rPr>
                <w:color w:val="000000"/>
                <w:sz w:val="20"/>
                <w:lang w:eastAsia="es-PE"/>
              </w:rPr>
            </w:pPr>
            <w:r w:rsidRPr="004F7B73">
              <w:rPr>
                <w:color w:val="000000"/>
                <w:sz w:val="20"/>
                <w:lang w:eastAsia="es-PE"/>
              </w:rPr>
              <w:t>Annual consumption of tracker</w:t>
            </w:r>
          </w:p>
        </w:tc>
        <w:tc>
          <w:tcPr>
            <w:tcW w:w="1988" w:type="pct"/>
            <w:tcBorders>
              <w:top w:val="nil"/>
              <w:left w:val="nil"/>
              <w:bottom w:val="nil"/>
              <w:right w:val="nil"/>
            </w:tcBorders>
            <w:noWrap/>
            <w:vAlign w:val="center"/>
            <w:hideMark/>
          </w:tcPr>
          <w:p w14:paraId="420B335F" w14:textId="1D4903A8" w:rsidR="00E43E7C" w:rsidRPr="004F7B73" w:rsidRDefault="00E43E7C" w:rsidP="00055DE8">
            <w:pPr>
              <w:jc w:val="center"/>
              <w:rPr>
                <w:color w:val="000000"/>
                <w:sz w:val="20"/>
                <w:lang w:eastAsia="es-PE"/>
              </w:rPr>
            </w:pPr>
            <w:proofErr w:type="spellStart"/>
            <w:r w:rsidRPr="004F7B73">
              <w:rPr>
                <w:color w:val="000000"/>
                <w:sz w:val="20"/>
                <w:lang w:eastAsia="es-PE"/>
              </w:rPr>
              <w:t>E</w:t>
            </w:r>
            <w:r w:rsidRPr="00C0327D">
              <w:rPr>
                <w:color w:val="000000"/>
                <w:sz w:val="20"/>
                <w:vertAlign w:val="subscript"/>
                <w:lang w:eastAsia="es-PE"/>
              </w:rPr>
              <w:t>track</w:t>
            </w:r>
            <w:proofErr w:type="spellEnd"/>
            <w:r w:rsidRPr="004F7B73">
              <w:rPr>
                <w:color w:val="000000"/>
                <w:sz w:val="20"/>
                <w:lang w:eastAsia="es-PE"/>
              </w:rPr>
              <w:t xml:space="preserve"> [kWh/year]</w:t>
            </w:r>
          </w:p>
        </w:tc>
        <w:tc>
          <w:tcPr>
            <w:tcW w:w="1179" w:type="pct"/>
            <w:tcBorders>
              <w:top w:val="nil"/>
              <w:left w:val="nil"/>
              <w:bottom w:val="nil"/>
              <w:right w:val="nil"/>
            </w:tcBorders>
            <w:noWrap/>
            <w:vAlign w:val="center"/>
            <w:hideMark/>
          </w:tcPr>
          <w:p w14:paraId="42BE9CAD" w14:textId="77777777" w:rsidR="00E43E7C" w:rsidRPr="004F7B73" w:rsidRDefault="00E43E7C" w:rsidP="00055DE8">
            <w:pPr>
              <w:jc w:val="center"/>
              <w:rPr>
                <w:color w:val="000000"/>
                <w:sz w:val="20"/>
                <w:lang w:eastAsia="es-PE"/>
              </w:rPr>
            </w:pPr>
            <w:r w:rsidRPr="004F7B73">
              <w:rPr>
                <w:color w:val="000000"/>
                <w:sz w:val="20"/>
                <w:lang w:eastAsia="es-PE"/>
              </w:rPr>
              <w:t>50</w:t>
            </w:r>
          </w:p>
        </w:tc>
      </w:tr>
      <w:tr w:rsidR="00E43E7C" w:rsidRPr="004F7B73" w14:paraId="64F55F2A" w14:textId="77777777" w:rsidTr="006724F1">
        <w:trPr>
          <w:trHeight w:val="290"/>
          <w:jc w:val="center"/>
        </w:trPr>
        <w:tc>
          <w:tcPr>
            <w:tcW w:w="1833" w:type="pct"/>
            <w:tcBorders>
              <w:top w:val="nil"/>
              <w:left w:val="nil"/>
              <w:bottom w:val="nil"/>
              <w:right w:val="nil"/>
            </w:tcBorders>
            <w:noWrap/>
            <w:vAlign w:val="center"/>
            <w:hideMark/>
          </w:tcPr>
          <w:p w14:paraId="3F55D186" w14:textId="77777777" w:rsidR="00E43E7C" w:rsidRPr="004F7B73" w:rsidRDefault="00E43E7C" w:rsidP="00055DE8">
            <w:pPr>
              <w:rPr>
                <w:color w:val="000000"/>
                <w:sz w:val="20"/>
                <w:lang w:eastAsia="es-PE"/>
              </w:rPr>
            </w:pPr>
            <w:r w:rsidRPr="004F7B73">
              <w:rPr>
                <w:color w:val="000000"/>
                <w:sz w:val="20"/>
                <w:lang w:eastAsia="es-PE"/>
              </w:rPr>
              <w:t>Type of solar tracker</w:t>
            </w:r>
          </w:p>
        </w:tc>
        <w:tc>
          <w:tcPr>
            <w:tcW w:w="1988" w:type="pct"/>
            <w:tcBorders>
              <w:top w:val="nil"/>
              <w:left w:val="nil"/>
              <w:bottom w:val="nil"/>
              <w:right w:val="nil"/>
            </w:tcBorders>
            <w:noWrap/>
            <w:vAlign w:val="center"/>
            <w:hideMark/>
          </w:tcPr>
          <w:p w14:paraId="5A53CC88" w14:textId="77777777" w:rsidR="00E43E7C" w:rsidRPr="004F7B73" w:rsidRDefault="00E43E7C" w:rsidP="00055DE8">
            <w:pPr>
              <w:jc w:val="center"/>
              <w:rPr>
                <w:color w:val="000000"/>
                <w:sz w:val="20"/>
                <w:lang w:eastAsia="es-PE"/>
              </w:rPr>
            </w:pPr>
            <w:r w:rsidRPr="004F7B73">
              <w:rPr>
                <w:color w:val="000000"/>
                <w:sz w:val="20"/>
                <w:lang w:eastAsia="es-PE"/>
              </w:rPr>
              <w:t>–</w:t>
            </w:r>
          </w:p>
        </w:tc>
        <w:tc>
          <w:tcPr>
            <w:tcW w:w="1179" w:type="pct"/>
            <w:tcBorders>
              <w:top w:val="nil"/>
              <w:left w:val="nil"/>
              <w:bottom w:val="nil"/>
              <w:right w:val="nil"/>
            </w:tcBorders>
            <w:noWrap/>
            <w:vAlign w:val="center"/>
            <w:hideMark/>
          </w:tcPr>
          <w:p w14:paraId="5BDA68DA" w14:textId="58E93183" w:rsidR="00E43E7C" w:rsidRPr="004F7B73" w:rsidRDefault="00687FEA" w:rsidP="00055DE8">
            <w:pPr>
              <w:jc w:val="center"/>
              <w:rPr>
                <w:color w:val="000000"/>
                <w:sz w:val="20"/>
                <w:lang w:eastAsia="es-PE"/>
              </w:rPr>
            </w:pPr>
            <w:r w:rsidRPr="004F7B73">
              <w:rPr>
                <w:color w:val="000000"/>
                <w:sz w:val="20"/>
                <w:lang w:eastAsia="es-PE"/>
              </w:rPr>
              <w:t>Single axis</w:t>
            </w:r>
            <w:r w:rsidR="00E43E7C" w:rsidRPr="004F7B73">
              <w:rPr>
                <w:color w:val="000000"/>
                <w:sz w:val="20"/>
                <w:lang w:eastAsia="es-PE"/>
              </w:rPr>
              <w:t xml:space="preserve"> (azimuthal)</w:t>
            </w:r>
          </w:p>
        </w:tc>
      </w:tr>
      <w:tr w:rsidR="00E43E7C" w:rsidRPr="004F7B73" w14:paraId="00426959" w14:textId="77777777" w:rsidTr="006724F1">
        <w:trPr>
          <w:trHeight w:val="290"/>
          <w:jc w:val="center"/>
        </w:trPr>
        <w:tc>
          <w:tcPr>
            <w:tcW w:w="1833" w:type="pct"/>
            <w:tcBorders>
              <w:top w:val="nil"/>
              <w:left w:val="nil"/>
              <w:bottom w:val="single" w:sz="4" w:space="0" w:color="auto"/>
              <w:right w:val="nil"/>
            </w:tcBorders>
            <w:noWrap/>
            <w:vAlign w:val="center"/>
            <w:hideMark/>
          </w:tcPr>
          <w:p w14:paraId="3450C4A5" w14:textId="77777777" w:rsidR="00E43E7C" w:rsidRPr="004F7B73" w:rsidRDefault="00E43E7C" w:rsidP="00055DE8">
            <w:pPr>
              <w:rPr>
                <w:color w:val="000000"/>
                <w:sz w:val="20"/>
                <w:lang w:eastAsia="es-PE"/>
              </w:rPr>
            </w:pPr>
            <w:r w:rsidRPr="004F7B73">
              <w:rPr>
                <w:color w:val="000000"/>
                <w:sz w:val="20"/>
                <w:lang w:eastAsia="es-PE"/>
              </w:rPr>
              <w:t>Tracking range</w:t>
            </w:r>
          </w:p>
        </w:tc>
        <w:tc>
          <w:tcPr>
            <w:tcW w:w="1988" w:type="pct"/>
            <w:tcBorders>
              <w:top w:val="nil"/>
              <w:left w:val="nil"/>
              <w:bottom w:val="single" w:sz="4" w:space="0" w:color="auto"/>
              <w:right w:val="nil"/>
            </w:tcBorders>
            <w:noWrap/>
            <w:vAlign w:val="center"/>
            <w:hideMark/>
          </w:tcPr>
          <w:p w14:paraId="1994C77C" w14:textId="77777777" w:rsidR="00E43E7C" w:rsidRPr="004F7B73" w:rsidRDefault="00E43E7C" w:rsidP="00055DE8">
            <w:pPr>
              <w:jc w:val="center"/>
              <w:rPr>
                <w:color w:val="000000"/>
                <w:sz w:val="20"/>
                <w:lang w:eastAsia="es-PE"/>
              </w:rPr>
            </w:pPr>
            <w:r w:rsidRPr="004F7B73">
              <w:rPr>
                <w:color w:val="000000"/>
                <w:sz w:val="20"/>
                <w:lang w:eastAsia="es-PE"/>
              </w:rPr>
              <w:t>θ [°]</w:t>
            </w:r>
          </w:p>
        </w:tc>
        <w:tc>
          <w:tcPr>
            <w:tcW w:w="1179" w:type="pct"/>
            <w:tcBorders>
              <w:top w:val="nil"/>
              <w:left w:val="nil"/>
              <w:bottom w:val="single" w:sz="4" w:space="0" w:color="auto"/>
              <w:right w:val="nil"/>
            </w:tcBorders>
            <w:noWrap/>
            <w:vAlign w:val="center"/>
            <w:hideMark/>
          </w:tcPr>
          <w:p w14:paraId="7BB595D8" w14:textId="77777777" w:rsidR="00E43E7C" w:rsidRPr="004F7B73" w:rsidRDefault="00E43E7C" w:rsidP="00055DE8">
            <w:pPr>
              <w:jc w:val="center"/>
              <w:rPr>
                <w:color w:val="000000"/>
                <w:sz w:val="20"/>
                <w:lang w:eastAsia="es-PE"/>
              </w:rPr>
            </w:pPr>
            <w:r w:rsidRPr="004F7B73">
              <w:rPr>
                <w:color w:val="000000"/>
                <w:sz w:val="20"/>
                <w:lang w:eastAsia="es-PE"/>
              </w:rPr>
              <w:t>±60</w:t>
            </w:r>
          </w:p>
        </w:tc>
      </w:tr>
    </w:tbl>
    <w:p w14:paraId="2843A59A" w14:textId="48274477" w:rsidR="0044277E" w:rsidRDefault="007C1519" w:rsidP="0044277E">
      <w:pPr>
        <w:pStyle w:val="FigureCaption"/>
        <w:rPr>
          <w:b/>
          <w:caps/>
        </w:rPr>
      </w:pPr>
      <w:r>
        <w:rPr>
          <w:b/>
          <w:caps/>
          <w:noProof/>
        </w:rPr>
        <w:lastRenderedPageBreak/>
        <w:drawing>
          <wp:inline distT="0" distB="0" distL="0" distR="0" wp14:anchorId="257A6CF6" wp14:editId="29DCB6C4">
            <wp:extent cx="4755600" cy="2462400"/>
            <wp:effectExtent l="0" t="0" r="6985" b="0"/>
            <wp:docPr id="2124170051" name="Imagen 5"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70051" name="Imagen 5" descr="Escala de tiemp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5600" cy="2462400"/>
                    </a:xfrm>
                    <a:prstGeom prst="rect">
                      <a:avLst/>
                    </a:prstGeom>
                  </pic:spPr>
                </pic:pic>
              </a:graphicData>
            </a:graphic>
          </wp:inline>
        </w:drawing>
      </w:r>
    </w:p>
    <w:p w14:paraId="4634DAE3" w14:textId="6C920C48" w:rsidR="0044277E" w:rsidRPr="00574405" w:rsidRDefault="0044277E" w:rsidP="0044277E">
      <w:pPr>
        <w:pStyle w:val="FigureCaption"/>
        <w:rPr>
          <w:sz w:val="20"/>
        </w:rPr>
      </w:pPr>
      <w:r>
        <w:rPr>
          <w:b/>
          <w:caps/>
        </w:rPr>
        <w:t xml:space="preserve">Figure </w:t>
      </w:r>
      <w:r w:rsidR="00DF37CA">
        <w:rPr>
          <w:b/>
          <w:caps/>
        </w:rPr>
        <w:t>2</w:t>
      </w:r>
      <w:r>
        <w:rPr>
          <w:b/>
          <w:caps/>
        </w:rPr>
        <w:t>.</w:t>
      </w:r>
      <w:r>
        <w:t xml:space="preserve"> </w:t>
      </w:r>
      <w:r w:rsidR="000D135C" w:rsidRPr="000D135C">
        <w:t>Hourly time series of input variables used for the simulation and analysis: a) electricity demand, b) global horizontal irradiance (GHI), and c) ambient temperature over the study period</w:t>
      </w:r>
      <w:r>
        <w:t xml:space="preserve">. </w:t>
      </w:r>
    </w:p>
    <w:p w14:paraId="6EBC108D" w14:textId="4D8C1D9F" w:rsidR="00EF59D6" w:rsidRPr="00591EC7" w:rsidRDefault="00591EC7" w:rsidP="00EF59D6">
      <w:pPr>
        <w:pStyle w:val="Heading2"/>
      </w:pPr>
      <w:r w:rsidRPr="00591EC7">
        <w:t xml:space="preserve">System </w:t>
      </w:r>
      <w:r w:rsidR="008F640A" w:rsidRPr="00591EC7">
        <w:t>Configuration and Modeling</w:t>
      </w:r>
    </w:p>
    <w:p w14:paraId="41CFAA92" w14:textId="3FA2A06B" w:rsidR="00C064EB" w:rsidRPr="00AA3D97" w:rsidRDefault="00C064EB" w:rsidP="00C064EB">
      <w:pPr>
        <w:pStyle w:val="Paragraph"/>
      </w:pPr>
      <w:r w:rsidRPr="00AA3D97">
        <w:t>Two residential photovoltaic configurations were analyzed: (</w:t>
      </w:r>
      <w:proofErr w:type="spellStart"/>
      <w:r w:rsidRPr="00AA3D97">
        <w:t>i</w:t>
      </w:r>
      <w:proofErr w:type="spellEnd"/>
      <w:r w:rsidRPr="00AA3D97">
        <w:t xml:space="preserve">) a system with a fixed structure facing north and with optimal inclination (β = 6°), </w:t>
      </w:r>
      <w:sdt>
        <w:sdtPr>
          <w:rPr>
            <w:color w:val="000000"/>
            <w:vertAlign w:val="superscript"/>
          </w:rPr>
          <w:tag w:val="MENDELEY_CITATION_v3_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"/>
          <w:id w:val="-257299538"/>
          <w:placeholder>
            <w:docPart w:val="DefaultPlaceholder_-1854013440"/>
          </w:placeholder>
        </w:sdtPr>
        <w:sdtContent>
          <w:r w:rsidR="007E6D96">
            <w:rPr>
              <w:color w:val="000000"/>
            </w:rPr>
            <w:t>[</w:t>
          </w:r>
          <w:r w:rsidR="000376C8" w:rsidRPr="007E6D96">
            <w:rPr>
              <w:color w:val="000000"/>
            </w:rPr>
            <w:t>8</w:t>
          </w:r>
          <w:r w:rsidR="007E6D96">
            <w:rPr>
              <w:color w:val="000000"/>
            </w:rPr>
            <w:t>]</w:t>
          </w:r>
        </w:sdtContent>
      </w:sdt>
      <w:r w:rsidRPr="00AA3D97">
        <w:t xml:space="preserve">, and (ii) a single-axis solar tracking system capable of varying the tilt </w:t>
      </w:r>
      <w:proofErr w:type="gramStart"/>
      <w:r w:rsidRPr="00AA3D97">
        <w:t>angle daily</w:t>
      </w:r>
      <w:proofErr w:type="gramEnd"/>
      <w:r w:rsidRPr="00AA3D97">
        <w:t xml:space="preserve"> within a range of ±60°, using an astronomical algorithm. In both cases, the same installed power (</w:t>
      </w:r>
      <w:proofErr w:type="spellStart"/>
      <w:r w:rsidRPr="00AA3D97">
        <w:t>P</w:t>
      </w:r>
      <w:r w:rsidRPr="00AF66C6">
        <w:rPr>
          <w:vertAlign w:val="subscript"/>
        </w:rPr>
        <w:t>inst</w:t>
      </w:r>
      <w:proofErr w:type="spellEnd"/>
      <w:r w:rsidRPr="00AA3D97">
        <w:t xml:space="preserve"> = 5.67 </w:t>
      </w:r>
      <w:proofErr w:type="spellStart"/>
      <w:r w:rsidRPr="00AA3D97">
        <w:t>kWp</w:t>
      </w:r>
      <w:proofErr w:type="spellEnd"/>
      <w:r w:rsidRPr="00AA3D97">
        <w:t xml:space="preserve">) was considered, with </w:t>
      </w:r>
      <w:proofErr w:type="spellStart"/>
      <w:r w:rsidRPr="00AA3D97">
        <w:t>Tensite</w:t>
      </w:r>
      <w:proofErr w:type="spellEnd"/>
      <w:r w:rsidRPr="00AA3D97">
        <w:t xml:space="preserve"> bifacial photovoltaic modules (</w:t>
      </w:r>
      <w:proofErr w:type="spellStart"/>
      <w:r w:rsidRPr="00AA3D97">
        <w:t>P</w:t>
      </w:r>
      <w:r w:rsidRPr="00AF66C6">
        <w:rPr>
          <w:vertAlign w:val="subscript"/>
        </w:rPr>
        <w:t>mpp</w:t>
      </w:r>
      <w:proofErr w:type="spellEnd"/>
      <w:r w:rsidRPr="00AA3D97">
        <w:t xml:space="preserve"> = 630 W, </w:t>
      </w:r>
      <w:proofErr w:type="spellStart"/>
      <w:r w:rsidRPr="00AA3D97">
        <w:t>η</w:t>
      </w:r>
      <w:proofErr w:type="gramStart"/>
      <w:r w:rsidRPr="00AF66C6">
        <w:rPr>
          <w:vertAlign w:val="subscript"/>
        </w:rPr>
        <w:t>mod,STC</w:t>
      </w:r>
      <w:proofErr w:type="spellEnd"/>
      <w:proofErr w:type="gramEnd"/>
      <w:r w:rsidRPr="00AF66C6">
        <w:rPr>
          <w:vertAlign w:val="subscript"/>
        </w:rPr>
        <w:t xml:space="preserve"> </w:t>
      </w:r>
      <w:r w:rsidRPr="00AA3D97">
        <w:t>= 21.5%) and high-efficiency inverters (</w:t>
      </w:r>
      <w:proofErr w:type="spellStart"/>
      <w:r w:rsidRPr="00AA3D97">
        <w:t>η</w:t>
      </w:r>
      <w:r w:rsidRPr="00AF66C6">
        <w:rPr>
          <w:vertAlign w:val="subscript"/>
        </w:rPr>
        <w:t>inv</w:t>
      </w:r>
      <w:proofErr w:type="spellEnd"/>
      <w:r w:rsidRPr="00AA3D97">
        <w:t>) = 98%). The annual energy consumption of the tracker (</w:t>
      </w:r>
      <w:proofErr w:type="spellStart"/>
      <w:r w:rsidRPr="00AA3D97">
        <w:t>E</w:t>
      </w:r>
      <w:r w:rsidRPr="007541DC">
        <w:rPr>
          <w:vertAlign w:val="subscript"/>
        </w:rPr>
        <w:t>track</w:t>
      </w:r>
      <w:proofErr w:type="spellEnd"/>
      <w:r w:rsidRPr="00AA3D97">
        <w:t>),</w:t>
      </w:r>
      <w:r w:rsidR="00E52053">
        <w:t xml:space="preserve"> </w:t>
      </w:r>
      <w:r w:rsidRPr="00AA3D97">
        <w:t xml:space="preserve">year) was estimated at 50 kWh/year, considering technical specifications and references from the </w:t>
      </w:r>
      <w:proofErr w:type="gramStart"/>
      <w:r w:rsidRPr="00AA3D97">
        <w:t>literature</w:t>
      </w:r>
      <w:r w:rsidR="007E6D96">
        <w:t>[</w:t>
      </w:r>
      <w:proofErr w:type="gramEnd"/>
      <w:sdt>
        <w:sdtPr>
          <w:rPr>
            <w:color w:val="000000"/>
            <w:vertAlign w:val="superscript"/>
          </w:rPr>
          <w:tag w:val="MENDELEY_CITATION_v3_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"/>
          <w:id w:val="-397586272"/>
          <w:placeholder>
            <w:docPart w:val="E664CDC36D5349109B64206042D00803"/>
          </w:placeholder>
        </w:sdtPr>
        <w:sdtEndPr>
          <w:rPr>
            <w:vertAlign w:val="baseline"/>
          </w:rPr>
        </w:sdtEndPr>
        <w:sdtContent>
          <w:r w:rsidR="007E6D96" w:rsidRPr="007E6D96">
            <w:rPr>
              <w:color w:val="000000"/>
            </w:rPr>
            <w:t>9</w:t>
          </w:r>
        </w:sdtContent>
      </w:sdt>
      <w:r w:rsidR="007E6D96">
        <w:t>]</w:t>
      </w:r>
      <w:r w:rsidRPr="00AA3D97">
        <w:t>.</w:t>
      </w:r>
    </w:p>
    <w:p w14:paraId="3202F17F" w14:textId="5447D4C8" w:rsidR="005C72D9" w:rsidRDefault="00C064EB" w:rsidP="009C3C59">
      <w:pPr>
        <w:pStyle w:val="Texto1"/>
        <w:rPr>
          <w:lang w:val="es-PE"/>
        </w:rPr>
      </w:pPr>
      <w:r w:rsidRPr="00AA3D97">
        <w:t>Energy modeling was performed in hourly steps, using the irradiance on the plane of the modules (</w:t>
      </w:r>
      <w:proofErr w:type="spellStart"/>
      <w:proofErr w:type="gramStart"/>
      <w:r w:rsidRPr="00AA3D97">
        <w:t>G</w:t>
      </w:r>
      <w:r w:rsidRPr="00C963D5">
        <w:rPr>
          <w:vertAlign w:val="subscript"/>
        </w:rPr>
        <w:t>POA</w:t>
      </w:r>
      <w:r w:rsidRPr="00AA3D97">
        <w:t>,</w:t>
      </w:r>
      <w:r w:rsidRPr="00C963D5">
        <w:rPr>
          <w:vertAlign w:val="subscript"/>
        </w:rPr>
        <w:t>h</w:t>
      </w:r>
      <w:proofErr w:type="spellEnd"/>
      <w:proofErr w:type="gramEnd"/>
      <w:r w:rsidRPr="00AA3D97">
        <w:t xml:space="preserve">), calculated from hourly global horizontal irradiance (GHI) data, and considering the tilt angle (fixed or variable, depending on the system). Electricity generation was estimated </w:t>
      </w:r>
      <w:r w:rsidR="00AA3D97" w:rsidRPr="00AA3D97">
        <w:t>to use</w:t>
      </w:r>
      <w:r w:rsidRPr="00AA3D97">
        <w:t xml:space="preserve"> Equation 1</w:t>
      </w:r>
      <w:r w:rsidRPr="00C064EB">
        <w:rPr>
          <w:lang w:val="es-PE"/>
        </w:rPr>
        <w:t>.</w:t>
      </w:r>
    </w:p>
    <w:p w14:paraId="1F474390" w14:textId="77777777" w:rsidR="00514691" w:rsidRDefault="00514691" w:rsidP="005C72D9">
      <w:pPr>
        <w:pStyle w:val="Paragraph"/>
        <w:rPr>
          <w:lang w:val="es-PE"/>
        </w:rPr>
      </w:pPr>
    </w:p>
    <w:tbl>
      <w:tblPr>
        <w:tblW w:w="5000" w:type="pct"/>
        <w:tblCellMar>
          <w:left w:w="70" w:type="dxa"/>
          <w:right w:w="70" w:type="dxa"/>
        </w:tblCellMar>
        <w:tblLook w:val="04A0" w:firstRow="1" w:lastRow="0" w:firstColumn="1" w:lastColumn="0" w:noHBand="0" w:noVBand="1"/>
      </w:tblPr>
      <w:tblGrid>
        <w:gridCol w:w="8546"/>
        <w:gridCol w:w="814"/>
      </w:tblGrid>
      <w:tr w:rsidR="00E303B2" w:rsidRPr="00537A37" w14:paraId="5211CA6E" w14:textId="77777777" w:rsidTr="00794C8E">
        <w:trPr>
          <w:trHeight w:val="290"/>
        </w:trPr>
        <w:tc>
          <w:tcPr>
            <w:tcW w:w="4565" w:type="pct"/>
            <w:noWrap/>
            <w:vAlign w:val="center"/>
            <w:hideMark/>
          </w:tcPr>
          <w:p w14:paraId="41466007" w14:textId="77777777" w:rsidR="00E303B2" w:rsidRPr="00537A37" w:rsidRDefault="00000000" w:rsidP="00055DE8">
            <w:pPr>
              <w:jc w:val="center"/>
              <w:rPr>
                <w:rFonts w:ascii="Aptos Narrow" w:hAnsi="Aptos Narrow"/>
                <w:color w:val="000000"/>
                <w:sz w:val="20"/>
                <w:lang w:val="es-PE" w:eastAsia="es-PE"/>
              </w:rPr>
            </w:pPr>
            <m:oMathPara>
              <m:oMath>
                <m:sSub>
                  <m:sSubPr>
                    <m:ctrlPr>
                      <w:rPr>
                        <w:rFonts w:ascii="Cambria Math" w:hAnsi="Cambria Math"/>
                        <w:sz w:val="20"/>
                        <w:lang w:val="es-PE" w:eastAsia="es-PE"/>
                      </w:rPr>
                    </m:ctrlPr>
                  </m:sSubPr>
                  <m:e>
                    <m:r>
                      <w:rPr>
                        <w:rFonts w:ascii="Cambria Math" w:hAnsi="Cambria Math"/>
                        <w:sz w:val="20"/>
                        <w:lang w:val="es-PE" w:eastAsia="es-PE"/>
                      </w:rPr>
                      <m:t>E</m:t>
                    </m:r>
                    <m:ctrlPr>
                      <w:rPr>
                        <w:rFonts w:ascii="Cambria Math" w:hAnsi="Cambria Math"/>
                        <w:i/>
                        <w:sz w:val="20"/>
                        <w:lang w:val="es-PE" w:eastAsia="es-PE"/>
                      </w:rPr>
                    </m:ctrlPr>
                  </m:e>
                  <m:sub>
                    <m:r>
                      <w:rPr>
                        <w:rFonts w:ascii="Cambria Math" w:hAnsi="Cambria Math"/>
                        <w:sz w:val="20"/>
                        <w:lang w:val="es-PE" w:eastAsia="es-PE"/>
                      </w:rPr>
                      <m:t>PV,h</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G</m:t>
                    </m:r>
                    <m:ctrlPr>
                      <w:rPr>
                        <w:rFonts w:ascii="Cambria Math" w:hAnsi="Cambria Math"/>
                        <w:i/>
                        <w:sz w:val="20"/>
                        <w:lang w:val="es-PE" w:eastAsia="es-PE"/>
                      </w:rPr>
                    </m:ctrlPr>
                  </m:e>
                  <m:sub>
                    <m:r>
                      <w:rPr>
                        <w:rFonts w:ascii="Cambria Math" w:hAnsi="Cambria Math"/>
                        <w:sz w:val="20"/>
                        <w:lang w:val="es-PE" w:eastAsia="es-PE"/>
                      </w:rPr>
                      <m:t>POA,h</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A</m:t>
                    </m:r>
                    <m:ctrlPr>
                      <w:rPr>
                        <w:rFonts w:ascii="Cambria Math" w:hAnsi="Cambria Math"/>
                        <w:i/>
                        <w:sz w:val="20"/>
                        <w:lang w:val="es-PE" w:eastAsia="es-PE"/>
                      </w:rPr>
                    </m:ctrlPr>
                  </m:e>
                  <m:sub>
                    <m:r>
                      <w:rPr>
                        <w:rFonts w:ascii="Cambria Math" w:hAnsi="Cambria Math"/>
                        <w:sz w:val="20"/>
                        <w:lang w:val="es-PE" w:eastAsia="es-PE"/>
                      </w:rPr>
                      <m:t>mod</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η</m:t>
                    </m:r>
                    <m:ctrlPr>
                      <w:rPr>
                        <w:rFonts w:ascii="Cambria Math" w:hAnsi="Cambria Math"/>
                        <w:i/>
                        <w:sz w:val="20"/>
                        <w:lang w:val="es-PE" w:eastAsia="es-PE"/>
                      </w:rPr>
                    </m:ctrlPr>
                  </m:e>
                  <m:sub>
                    <m:r>
                      <w:rPr>
                        <w:rFonts w:ascii="Cambria Math" w:hAnsi="Cambria Math"/>
                        <w:sz w:val="20"/>
                        <w:lang w:val="es-PE" w:eastAsia="es-PE"/>
                      </w:rPr>
                      <m:t>mod,h</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η</m:t>
                    </m:r>
                    <m:ctrlPr>
                      <w:rPr>
                        <w:rFonts w:ascii="Cambria Math" w:hAnsi="Cambria Math"/>
                        <w:i/>
                        <w:sz w:val="20"/>
                        <w:lang w:val="es-PE" w:eastAsia="es-PE"/>
                      </w:rPr>
                    </m:ctrlPr>
                  </m:e>
                  <m:sub>
                    <m:r>
                      <w:rPr>
                        <w:rFonts w:ascii="Cambria Math" w:hAnsi="Cambria Math"/>
                        <w:sz w:val="20"/>
                        <w:lang w:val="es-PE" w:eastAsia="es-PE"/>
                      </w:rPr>
                      <m:t>inv</m:t>
                    </m:r>
                  </m:sub>
                </m:sSub>
              </m:oMath>
            </m:oMathPara>
          </w:p>
        </w:tc>
        <w:tc>
          <w:tcPr>
            <w:tcW w:w="435" w:type="pct"/>
            <w:noWrap/>
            <w:vAlign w:val="center"/>
            <w:hideMark/>
          </w:tcPr>
          <w:p w14:paraId="43DEB6A6" w14:textId="77777777" w:rsidR="00E303B2" w:rsidRPr="00537A37" w:rsidRDefault="00E303B2" w:rsidP="00A06A1A">
            <w:pPr>
              <w:jc w:val="center"/>
              <w:rPr>
                <w:sz w:val="20"/>
                <w:lang w:val="es-PE" w:eastAsia="es-PE"/>
              </w:rPr>
            </w:pPr>
            <w:r w:rsidRPr="00537A37">
              <w:rPr>
                <w:sz w:val="20"/>
                <w:lang w:val="es-PE" w:eastAsia="es-PE"/>
              </w:rPr>
              <w:t>(1)</w:t>
            </w:r>
          </w:p>
        </w:tc>
      </w:tr>
    </w:tbl>
    <w:p w14:paraId="5F2AD3E0" w14:textId="77777777" w:rsidR="008C6CD4" w:rsidRPr="00AA1FB5" w:rsidRDefault="008C6CD4" w:rsidP="009C3C59">
      <w:pPr>
        <w:pStyle w:val="Texto1"/>
        <w:rPr>
          <w:b/>
          <w:bCs/>
        </w:rPr>
      </w:pPr>
      <w:r w:rsidRPr="00AA1FB5">
        <w:rPr>
          <w:rStyle w:val="Strong"/>
          <w:b w:val="0"/>
          <w:bCs w:val="0"/>
        </w:rPr>
        <w:t>Where</w:t>
      </w:r>
      <w:r w:rsidRPr="00AA1FB5">
        <w:rPr>
          <w:rStyle w:val="Strong"/>
          <w:rFonts w:eastAsiaTheme="majorEastAsia"/>
          <w:b w:val="0"/>
          <w:bCs w:val="0"/>
        </w:rPr>
        <w:t>:</w:t>
      </w:r>
    </w:p>
    <w:p w14:paraId="090F331C" w14:textId="77777777" w:rsidR="008C6CD4" w:rsidRPr="00AA1FB5" w:rsidRDefault="00000000" w:rsidP="00B8234E">
      <w:pPr>
        <w:pStyle w:val="Texto1"/>
        <w:numPr>
          <w:ilvl w:val="0"/>
          <w:numId w:val="4"/>
        </w:numPr>
      </w:pPr>
      <m:oMath>
        <m:sSub>
          <m:sSubPr>
            <m:ctrlPr>
              <w:rPr>
                <w:rFonts w:ascii="Cambria Math" w:hAnsi="Cambria Math"/>
              </w:rPr>
            </m:ctrlPr>
          </m:sSubPr>
          <m:e>
            <m:r>
              <w:rPr>
                <w:rFonts w:ascii="Cambria Math" w:hAnsi="Cambria Math"/>
              </w:rPr>
              <m:t>E</m:t>
            </m:r>
          </m:e>
          <m:sub>
            <m:r>
              <w:rPr>
                <w:rFonts w:ascii="Cambria Math" w:hAnsi="Cambria Math"/>
              </w:rPr>
              <m:t>PV,h</m:t>
            </m:r>
          </m:sub>
        </m:sSub>
      </m:oMath>
      <w:r w:rsidR="008C6CD4" w:rsidRPr="00AA1FB5">
        <w:t xml:space="preserve"> is the electricity generated by the PV system in hour </w:t>
      </w:r>
      <m:oMath>
        <m:r>
          <w:rPr>
            <w:rFonts w:ascii="Cambria Math" w:hAnsi="Cambria Math"/>
          </w:rPr>
          <m:t>h</m:t>
        </m:r>
      </m:oMath>
      <w:r w:rsidR="008C6CD4" w:rsidRPr="00AA1FB5">
        <w:t>(Wh)</w:t>
      </w:r>
    </w:p>
    <w:p w14:paraId="272880E1" w14:textId="77777777" w:rsidR="008C6CD4" w:rsidRPr="00AA1FB5" w:rsidRDefault="00000000" w:rsidP="00B8234E">
      <w:pPr>
        <w:pStyle w:val="Texto1"/>
        <w:numPr>
          <w:ilvl w:val="0"/>
          <w:numId w:val="4"/>
        </w:numPr>
      </w:pPr>
      <m:oMath>
        <m:sSub>
          <m:sSubPr>
            <m:ctrlPr>
              <w:rPr>
                <w:rFonts w:ascii="Cambria Math" w:hAnsi="Cambria Math"/>
              </w:rPr>
            </m:ctrlPr>
          </m:sSubPr>
          <m:e>
            <m:r>
              <w:rPr>
                <w:rFonts w:ascii="Cambria Math" w:hAnsi="Cambria Math"/>
              </w:rPr>
              <m:t>G</m:t>
            </m:r>
          </m:e>
          <m:sub>
            <m:r>
              <w:rPr>
                <w:rFonts w:ascii="Cambria Math" w:hAnsi="Cambria Math"/>
              </w:rPr>
              <m:t>POA,h</m:t>
            </m:r>
          </m:sub>
        </m:sSub>
      </m:oMath>
      <w:r w:rsidR="008C6CD4" w:rsidRPr="00AA1FB5">
        <w:t xml:space="preserve"> is the lane-of-array irradiance in hour </w:t>
      </w:r>
      <m:oMath>
        <m:r>
          <w:rPr>
            <w:rFonts w:ascii="Cambria Math" w:hAnsi="Cambria Math"/>
          </w:rPr>
          <m:t>h</m:t>
        </m:r>
      </m:oMath>
      <w:r w:rsidR="008C6CD4" w:rsidRPr="00AA1FB5">
        <w:t>(W/m²)</w:t>
      </w:r>
    </w:p>
    <w:p w14:paraId="57E50B0F" w14:textId="77777777" w:rsidR="008C6CD4" w:rsidRPr="00AA1FB5" w:rsidRDefault="00000000" w:rsidP="00B8234E">
      <w:pPr>
        <w:pStyle w:val="Texto1"/>
        <w:numPr>
          <w:ilvl w:val="0"/>
          <w:numId w:val="4"/>
        </w:numPr>
      </w:pPr>
      <m:oMath>
        <m:sSub>
          <m:sSubPr>
            <m:ctrlPr>
              <w:rPr>
                <w:rFonts w:ascii="Cambria Math" w:hAnsi="Cambria Math"/>
              </w:rPr>
            </m:ctrlPr>
          </m:sSubPr>
          <m:e>
            <m:r>
              <w:rPr>
                <w:rFonts w:ascii="Cambria Math" w:hAnsi="Cambria Math"/>
              </w:rPr>
              <m:t>A</m:t>
            </m:r>
          </m:e>
          <m:sub>
            <m:r>
              <w:rPr>
                <w:rFonts w:ascii="Cambria Math" w:hAnsi="Cambria Math"/>
              </w:rPr>
              <m:t>mod</m:t>
            </m:r>
          </m:sub>
        </m:sSub>
      </m:oMath>
      <w:r w:rsidR="008C6CD4" w:rsidRPr="00AA1FB5">
        <w:t xml:space="preserve"> is the total area of PV modules (m²)</w:t>
      </w:r>
    </w:p>
    <w:p w14:paraId="08E617B1" w14:textId="77777777" w:rsidR="008C6CD4" w:rsidRPr="00AA1FB5" w:rsidRDefault="00000000" w:rsidP="00B8234E">
      <w:pPr>
        <w:pStyle w:val="Texto1"/>
        <w:numPr>
          <w:ilvl w:val="0"/>
          <w:numId w:val="4"/>
        </w:numPr>
      </w:pPr>
      <m:oMath>
        <m:sSub>
          <m:sSubPr>
            <m:ctrlPr>
              <w:rPr>
                <w:rFonts w:ascii="Cambria Math" w:hAnsi="Cambria Math"/>
              </w:rPr>
            </m:ctrlPr>
          </m:sSubPr>
          <m:e>
            <m:r>
              <w:rPr>
                <w:rFonts w:ascii="Cambria Math" w:hAnsi="Cambria Math"/>
              </w:rPr>
              <m:t>η</m:t>
            </m:r>
          </m:e>
          <m:sub>
            <m:r>
              <w:rPr>
                <w:rFonts w:ascii="Cambria Math" w:hAnsi="Cambria Math"/>
              </w:rPr>
              <m:t>mod,h</m:t>
            </m:r>
          </m:sub>
        </m:sSub>
      </m:oMath>
      <w:r w:rsidR="008C6CD4" w:rsidRPr="00AA1FB5">
        <w:t xml:space="preserve"> is the module efficiency at hour </w:t>
      </w:r>
      <m:oMath>
        <m:r>
          <w:rPr>
            <w:rFonts w:ascii="Cambria Math" w:hAnsi="Cambria Math"/>
          </w:rPr>
          <m:t>h</m:t>
        </m:r>
      </m:oMath>
      <w:r w:rsidR="008C6CD4" w:rsidRPr="00AA1FB5">
        <w:t>(–)</w:t>
      </w:r>
    </w:p>
    <w:p w14:paraId="7E27A196" w14:textId="77777777" w:rsidR="008C6CD4" w:rsidRPr="00AA1FB5" w:rsidRDefault="00000000" w:rsidP="00B8234E">
      <w:pPr>
        <w:pStyle w:val="Texto1"/>
        <w:numPr>
          <w:ilvl w:val="0"/>
          <w:numId w:val="4"/>
        </w:numPr>
      </w:pPr>
      <m:oMath>
        <m:sSub>
          <m:sSubPr>
            <m:ctrlPr>
              <w:rPr>
                <w:rFonts w:ascii="Cambria Math" w:hAnsi="Cambria Math"/>
              </w:rPr>
            </m:ctrlPr>
          </m:sSubPr>
          <m:e>
            <m:r>
              <w:rPr>
                <w:rFonts w:ascii="Cambria Math" w:hAnsi="Cambria Math"/>
              </w:rPr>
              <m:t>η</m:t>
            </m:r>
          </m:e>
          <m:sub>
            <m:r>
              <w:rPr>
                <w:rFonts w:ascii="Cambria Math" w:hAnsi="Cambria Math"/>
              </w:rPr>
              <m:t>inv</m:t>
            </m:r>
          </m:sub>
        </m:sSub>
      </m:oMath>
      <w:r w:rsidR="008C6CD4" w:rsidRPr="00AA1FB5">
        <w:t xml:space="preserve"> is the inverter efficiency (–)</w:t>
      </w:r>
    </w:p>
    <w:p w14:paraId="0F8FCCC8" w14:textId="13D5F0D6" w:rsidR="00E303B2" w:rsidRPr="00794C8E" w:rsidRDefault="0025781E" w:rsidP="00E303B2">
      <w:pPr>
        <w:pStyle w:val="Formato"/>
        <w:rPr>
          <w:lang w:val="en-US"/>
        </w:rPr>
      </w:pPr>
      <w:r>
        <w:rPr>
          <w:lang w:val="en-US"/>
        </w:rPr>
        <w:t>T</w:t>
      </w:r>
      <w:r w:rsidR="00794C8E" w:rsidRPr="00794C8E">
        <w:rPr>
          <w:lang w:val="en-US"/>
        </w:rPr>
        <w:t xml:space="preserve">he efficiency of the modules was corrected for temperature using </w:t>
      </w:r>
      <w:r>
        <w:rPr>
          <w:lang w:val="en-US"/>
        </w:rPr>
        <w:t>E</w:t>
      </w:r>
      <w:r w:rsidR="00794C8E" w:rsidRPr="00794C8E">
        <w:rPr>
          <w:lang w:val="en-US"/>
        </w:rPr>
        <w:t>quation 2</w:t>
      </w:r>
      <w:r w:rsidR="00E303B2" w:rsidRPr="00794C8E">
        <w:rPr>
          <w:lang w:val="en-US"/>
        </w:rPr>
        <w:t>.</w:t>
      </w:r>
    </w:p>
    <w:p w14:paraId="7F8A4792" w14:textId="77777777" w:rsidR="00514691" w:rsidRPr="00B167CC" w:rsidRDefault="00514691" w:rsidP="00E303B2">
      <w:pPr>
        <w:pStyle w:val="Formato"/>
      </w:pPr>
    </w:p>
    <w:tbl>
      <w:tblPr>
        <w:tblW w:w="5000" w:type="pct"/>
        <w:tblCellMar>
          <w:left w:w="70" w:type="dxa"/>
          <w:right w:w="70" w:type="dxa"/>
        </w:tblCellMar>
        <w:tblLook w:val="04A0" w:firstRow="1" w:lastRow="0" w:firstColumn="1" w:lastColumn="0" w:noHBand="0" w:noVBand="1"/>
      </w:tblPr>
      <w:tblGrid>
        <w:gridCol w:w="8546"/>
        <w:gridCol w:w="814"/>
      </w:tblGrid>
      <w:tr w:rsidR="00E303B2" w:rsidRPr="00537A37" w14:paraId="2102B361" w14:textId="77777777" w:rsidTr="007F5066">
        <w:trPr>
          <w:trHeight w:val="290"/>
        </w:trPr>
        <w:tc>
          <w:tcPr>
            <w:tcW w:w="4565" w:type="pct"/>
            <w:noWrap/>
            <w:vAlign w:val="center"/>
            <w:hideMark/>
          </w:tcPr>
          <w:p w14:paraId="1AAFE0F0" w14:textId="77777777" w:rsidR="00E303B2" w:rsidRPr="00537A37" w:rsidRDefault="00000000" w:rsidP="00055DE8">
            <w:pPr>
              <w:jc w:val="center"/>
              <w:rPr>
                <w:rFonts w:ascii="Aptos Narrow" w:hAnsi="Aptos Narrow"/>
                <w:color w:val="000000"/>
                <w:sz w:val="20"/>
                <w:lang w:val="es-PE" w:eastAsia="es-PE"/>
              </w:rPr>
            </w:pPr>
            <m:oMathPara>
              <m:oMath>
                <m:sSub>
                  <m:sSubPr>
                    <m:ctrlPr>
                      <w:rPr>
                        <w:rFonts w:ascii="Cambria Math" w:hAnsi="Cambria Math"/>
                        <w:sz w:val="20"/>
                        <w:lang w:val="es-PE" w:eastAsia="es-PE"/>
                      </w:rPr>
                    </m:ctrlPr>
                  </m:sSubPr>
                  <m:e>
                    <m:r>
                      <w:rPr>
                        <w:rFonts w:ascii="Cambria Math" w:hAnsi="Cambria Math"/>
                        <w:sz w:val="20"/>
                        <w:lang w:val="es-PE" w:eastAsia="es-PE"/>
                      </w:rPr>
                      <m:t>η</m:t>
                    </m:r>
                    <m:ctrlPr>
                      <w:rPr>
                        <w:rFonts w:ascii="Cambria Math" w:hAnsi="Cambria Math"/>
                        <w:i/>
                        <w:sz w:val="20"/>
                        <w:lang w:val="es-PE" w:eastAsia="es-PE"/>
                      </w:rPr>
                    </m:ctrlPr>
                  </m:e>
                  <m:sub>
                    <m:r>
                      <w:rPr>
                        <w:rFonts w:ascii="Cambria Math" w:hAnsi="Cambria Math"/>
                        <w:sz w:val="20"/>
                        <w:lang w:val="es-PE" w:eastAsia="es-PE"/>
                      </w:rPr>
                      <m:t>mod,h</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η</m:t>
                    </m:r>
                    <m:ctrlPr>
                      <w:rPr>
                        <w:rFonts w:ascii="Cambria Math" w:hAnsi="Cambria Math"/>
                        <w:i/>
                        <w:sz w:val="20"/>
                        <w:lang w:val="es-PE" w:eastAsia="es-PE"/>
                      </w:rPr>
                    </m:ctrlPr>
                  </m:e>
                  <m:sub>
                    <m:r>
                      <w:rPr>
                        <w:rFonts w:ascii="Cambria Math" w:hAnsi="Cambria Math"/>
                        <w:sz w:val="20"/>
                        <w:lang w:val="es-PE" w:eastAsia="es-PE"/>
                      </w:rPr>
                      <m:t>mod,STC</m:t>
                    </m:r>
                  </m:sub>
                </m:sSub>
                <m:r>
                  <w:rPr>
                    <w:rFonts w:ascii="Cambria Math" w:hAnsi="Cambria Math"/>
                    <w:sz w:val="20"/>
                    <w:lang w:val="es-PE" w:eastAsia="es-PE"/>
                  </w:rPr>
                  <m:t>⋅</m:t>
                </m:r>
                <m:d>
                  <m:dPr>
                    <m:begChr m:val="["/>
                    <m:endChr m:val="]"/>
                    <m:ctrlPr>
                      <w:rPr>
                        <w:rFonts w:ascii="Cambria Math" w:hAnsi="Cambria Math"/>
                        <w:i/>
                        <w:sz w:val="20"/>
                        <w:lang w:val="es-PE" w:eastAsia="es-PE"/>
                      </w:rPr>
                    </m:ctrlPr>
                  </m:dPr>
                  <m:e>
                    <m:r>
                      <w:rPr>
                        <w:rFonts w:ascii="Cambria Math" w:hAnsi="Cambria Math"/>
                        <w:sz w:val="20"/>
                        <w:lang w:val="es-PE" w:eastAsia="es-PE"/>
                      </w:rPr>
                      <m:t>1-γ⋅</m:t>
                    </m:r>
                    <m:d>
                      <m:dPr>
                        <m:ctrlPr>
                          <w:rPr>
                            <w:rFonts w:ascii="Cambria Math" w:hAnsi="Cambria Math"/>
                            <w:i/>
                            <w:sz w:val="20"/>
                            <w:lang w:val="es-PE" w:eastAsia="es-PE"/>
                          </w:rPr>
                        </m:ctrlPr>
                      </m:dPr>
                      <m:e>
                        <m:sSub>
                          <m:sSubPr>
                            <m:ctrlPr>
                              <w:rPr>
                                <w:rFonts w:ascii="Cambria Math" w:hAnsi="Cambria Math"/>
                                <w:sz w:val="20"/>
                                <w:lang w:val="es-PE" w:eastAsia="es-PE"/>
                              </w:rPr>
                            </m:ctrlPr>
                          </m:sSubPr>
                          <m:e>
                            <m:r>
                              <w:rPr>
                                <w:rFonts w:ascii="Cambria Math" w:hAnsi="Cambria Math"/>
                                <w:sz w:val="20"/>
                                <w:lang w:val="es-PE" w:eastAsia="es-PE"/>
                              </w:rPr>
                              <m:t>T</m:t>
                            </m:r>
                            <m:ctrlPr>
                              <w:rPr>
                                <w:rFonts w:ascii="Cambria Math" w:hAnsi="Cambria Math"/>
                                <w:i/>
                                <w:sz w:val="20"/>
                                <w:lang w:val="es-PE" w:eastAsia="es-PE"/>
                              </w:rPr>
                            </m:ctrlPr>
                          </m:e>
                          <m:sub>
                            <m:r>
                              <w:rPr>
                                <w:rFonts w:ascii="Cambria Math" w:hAnsi="Cambria Math"/>
                                <w:sz w:val="20"/>
                                <w:lang w:val="es-PE" w:eastAsia="es-PE"/>
                              </w:rPr>
                              <m:t>cell,h</m:t>
                            </m:r>
                          </m:sub>
                        </m:sSub>
                        <m:r>
                          <w:rPr>
                            <w:rFonts w:ascii="Cambria Math" w:hAnsi="Cambria Math"/>
                            <w:sz w:val="20"/>
                            <w:lang w:val="es-PE" w:eastAsia="es-PE"/>
                          </w:rPr>
                          <m:t>-25</m:t>
                        </m:r>
                      </m:e>
                    </m:d>
                  </m:e>
                </m:d>
              </m:oMath>
            </m:oMathPara>
          </w:p>
        </w:tc>
        <w:tc>
          <w:tcPr>
            <w:tcW w:w="435" w:type="pct"/>
            <w:noWrap/>
            <w:vAlign w:val="center"/>
            <w:hideMark/>
          </w:tcPr>
          <w:p w14:paraId="68550737" w14:textId="77777777" w:rsidR="00E303B2" w:rsidRPr="00537A37" w:rsidRDefault="00E303B2" w:rsidP="00A06A1A">
            <w:pPr>
              <w:jc w:val="center"/>
              <w:rPr>
                <w:sz w:val="20"/>
                <w:lang w:val="es-PE" w:eastAsia="es-PE"/>
              </w:rPr>
            </w:pPr>
            <w:r w:rsidRPr="00537A37">
              <w:rPr>
                <w:sz w:val="20"/>
                <w:lang w:val="es-PE" w:eastAsia="es-PE"/>
              </w:rPr>
              <w:t>(2)</w:t>
            </w:r>
          </w:p>
        </w:tc>
      </w:tr>
    </w:tbl>
    <w:p w14:paraId="5580EB27" w14:textId="77777777" w:rsidR="00514691" w:rsidRDefault="00514691" w:rsidP="00E303B2">
      <w:pPr>
        <w:pStyle w:val="Formato"/>
      </w:pPr>
    </w:p>
    <w:p w14:paraId="5EC4198F" w14:textId="77777777" w:rsidR="00E56DDD" w:rsidRPr="00AA1FB5" w:rsidRDefault="00E56DDD" w:rsidP="00E56DDD">
      <w:pPr>
        <w:pStyle w:val="Texto1"/>
        <w:rPr>
          <w:lang w:eastAsia="es-PE"/>
        </w:rPr>
      </w:pPr>
      <w:r w:rsidRPr="00AA1FB5">
        <w:rPr>
          <w:lang w:eastAsia="es-PE"/>
        </w:rPr>
        <w:t>Where:</w:t>
      </w:r>
    </w:p>
    <w:p w14:paraId="24156063" w14:textId="77777777" w:rsidR="00E56DDD" w:rsidRPr="00AA1FB5" w:rsidRDefault="00000000" w:rsidP="00B8234E">
      <w:pPr>
        <w:pStyle w:val="Texto1"/>
        <w:numPr>
          <w:ilvl w:val="0"/>
          <w:numId w:val="5"/>
        </w:numPr>
        <w:rPr>
          <w:lang w:eastAsia="es-PE"/>
        </w:rPr>
      </w:pPr>
      <m:oMath>
        <m:sSub>
          <m:sSubPr>
            <m:ctrlPr>
              <w:rPr>
                <w:rFonts w:ascii="Cambria Math" w:hAnsi="Cambria Math"/>
                <w:lang w:eastAsia="es-PE"/>
              </w:rPr>
            </m:ctrlPr>
          </m:sSubPr>
          <m:e>
            <m:r>
              <w:rPr>
                <w:rFonts w:ascii="Cambria Math" w:hAnsi="Cambria Math"/>
              </w:rPr>
              <m:t>η</m:t>
            </m:r>
          </m:e>
          <m:sub>
            <m:r>
              <w:rPr>
                <w:rFonts w:ascii="Cambria Math" w:hAnsi="Cambria Math"/>
              </w:rPr>
              <m:t>mod,h</m:t>
            </m:r>
          </m:sub>
        </m:sSub>
      </m:oMath>
      <w:r w:rsidR="00E56DDD">
        <w:t xml:space="preserve"> is the m</w:t>
      </w:r>
      <w:proofErr w:type="spellStart"/>
      <w:r w:rsidR="00E56DDD" w:rsidRPr="00AA1FB5">
        <w:rPr>
          <w:lang w:eastAsia="es-PE"/>
        </w:rPr>
        <w:t>odule</w:t>
      </w:r>
      <w:proofErr w:type="spellEnd"/>
      <w:r w:rsidR="00E56DDD" w:rsidRPr="00AA1FB5">
        <w:rPr>
          <w:lang w:eastAsia="es-PE"/>
        </w:rPr>
        <w:t xml:space="preserve"> efficiency at hour </w:t>
      </w:r>
      <m:oMath>
        <m:r>
          <w:rPr>
            <w:rFonts w:ascii="Cambria Math" w:hAnsi="Cambria Math"/>
          </w:rPr>
          <m:t>h</m:t>
        </m:r>
      </m:oMath>
      <w:r w:rsidR="00E56DDD" w:rsidRPr="00AA1FB5">
        <w:rPr>
          <w:lang w:eastAsia="es-PE"/>
        </w:rPr>
        <w:t>(–)</w:t>
      </w:r>
    </w:p>
    <w:p w14:paraId="631F7CD8" w14:textId="77777777" w:rsidR="00E56DDD" w:rsidRPr="00AA1FB5" w:rsidRDefault="00000000" w:rsidP="00B8234E">
      <w:pPr>
        <w:pStyle w:val="Texto1"/>
        <w:numPr>
          <w:ilvl w:val="0"/>
          <w:numId w:val="5"/>
        </w:numPr>
        <w:rPr>
          <w:lang w:eastAsia="es-PE"/>
        </w:rPr>
      </w:pPr>
      <m:oMath>
        <m:sSub>
          <m:sSubPr>
            <m:ctrlPr>
              <w:rPr>
                <w:rFonts w:ascii="Cambria Math" w:hAnsi="Cambria Math"/>
                <w:lang w:eastAsia="es-PE"/>
              </w:rPr>
            </m:ctrlPr>
          </m:sSubPr>
          <m:e>
            <m:r>
              <w:rPr>
                <w:rFonts w:ascii="Cambria Math" w:hAnsi="Cambria Math"/>
              </w:rPr>
              <m:t>η</m:t>
            </m:r>
          </m:e>
          <m:sub>
            <m:r>
              <w:rPr>
                <w:rFonts w:ascii="Cambria Math" w:hAnsi="Cambria Math"/>
              </w:rPr>
              <m:t>mod,STC</m:t>
            </m:r>
          </m:sub>
        </m:sSub>
      </m:oMath>
      <w:r w:rsidR="00E56DDD">
        <w:t xml:space="preserve"> is the m</w:t>
      </w:r>
      <w:proofErr w:type="spellStart"/>
      <w:r w:rsidR="00E56DDD" w:rsidRPr="00AA1FB5">
        <w:rPr>
          <w:lang w:eastAsia="es-PE"/>
        </w:rPr>
        <w:t>odule</w:t>
      </w:r>
      <w:proofErr w:type="spellEnd"/>
      <w:r w:rsidR="00E56DDD" w:rsidRPr="00AA1FB5">
        <w:rPr>
          <w:lang w:eastAsia="es-PE"/>
        </w:rPr>
        <w:t xml:space="preserve"> efficiency under standard test conditions (–)</w:t>
      </w:r>
    </w:p>
    <w:p w14:paraId="4A05643A" w14:textId="77777777" w:rsidR="00E56DDD" w:rsidRPr="00AA1FB5" w:rsidRDefault="00E56DDD" w:rsidP="00B8234E">
      <w:pPr>
        <w:pStyle w:val="Texto1"/>
        <w:numPr>
          <w:ilvl w:val="0"/>
          <w:numId w:val="5"/>
        </w:numPr>
        <w:rPr>
          <w:lang w:eastAsia="es-PE"/>
        </w:rPr>
      </w:pPr>
      <m:oMath>
        <m:r>
          <w:rPr>
            <w:rFonts w:ascii="Cambria Math" w:hAnsi="Cambria Math"/>
          </w:rPr>
          <m:t>γ</m:t>
        </m:r>
      </m:oMath>
      <w:r>
        <w:t xml:space="preserve"> is the p</w:t>
      </w:r>
      <w:proofErr w:type="spellStart"/>
      <w:r w:rsidRPr="00AA1FB5">
        <w:rPr>
          <w:lang w:eastAsia="es-PE"/>
        </w:rPr>
        <w:t>ower</w:t>
      </w:r>
      <w:proofErr w:type="spellEnd"/>
      <w:r w:rsidRPr="00AA1FB5">
        <w:rPr>
          <w:lang w:eastAsia="es-PE"/>
        </w:rPr>
        <w:t xml:space="preserve"> temperature coefficient (1/°C)</w:t>
      </w:r>
    </w:p>
    <w:p w14:paraId="4BE2E547" w14:textId="77777777" w:rsidR="00E56DDD" w:rsidRPr="00AA1FB5" w:rsidRDefault="00000000" w:rsidP="00B8234E">
      <w:pPr>
        <w:pStyle w:val="Texto1"/>
        <w:numPr>
          <w:ilvl w:val="0"/>
          <w:numId w:val="5"/>
        </w:numPr>
        <w:rPr>
          <w:lang w:eastAsia="es-PE"/>
        </w:rPr>
      </w:pPr>
      <m:oMath>
        <m:sSub>
          <m:sSubPr>
            <m:ctrlPr>
              <w:rPr>
                <w:rFonts w:ascii="Cambria Math" w:hAnsi="Cambria Math"/>
                <w:lang w:eastAsia="es-PE"/>
              </w:rPr>
            </m:ctrlPr>
          </m:sSubPr>
          <m:e>
            <m:r>
              <w:rPr>
                <w:rFonts w:ascii="Cambria Math" w:hAnsi="Cambria Math"/>
              </w:rPr>
              <m:t>T</m:t>
            </m:r>
          </m:e>
          <m:sub>
            <m:r>
              <w:rPr>
                <w:rFonts w:ascii="Cambria Math" w:hAnsi="Cambria Math"/>
              </w:rPr>
              <m:t>cell,h</m:t>
            </m:r>
          </m:sub>
        </m:sSub>
      </m:oMath>
      <w:r w:rsidR="00E56DDD">
        <w:t xml:space="preserve"> is the </w:t>
      </w:r>
      <w:r w:rsidR="00E56DDD" w:rsidRPr="00AA1FB5">
        <w:rPr>
          <w:lang w:eastAsia="es-PE"/>
        </w:rPr>
        <w:t xml:space="preserve">PV cell temperature at hour </w:t>
      </w:r>
      <m:oMath>
        <m:r>
          <w:rPr>
            <w:rFonts w:ascii="Cambria Math" w:hAnsi="Cambria Math"/>
          </w:rPr>
          <m:t>h</m:t>
        </m:r>
      </m:oMath>
      <w:r w:rsidR="00E56DDD" w:rsidRPr="00AA1FB5">
        <w:rPr>
          <w:lang w:eastAsia="es-PE"/>
        </w:rPr>
        <w:t>(°C)</w:t>
      </w:r>
    </w:p>
    <w:p w14:paraId="7A92D797" w14:textId="5939706C" w:rsidR="00E303B2" w:rsidRPr="004B420F" w:rsidRDefault="0050734D" w:rsidP="00E303B2">
      <w:pPr>
        <w:pStyle w:val="Formato"/>
        <w:rPr>
          <w:lang w:val="en-US"/>
        </w:rPr>
      </w:pPr>
      <w:r w:rsidRPr="004B420F">
        <w:rPr>
          <w:lang w:val="en-US"/>
        </w:rPr>
        <w:t xml:space="preserve">The hourly balance was adjusted by subtracting the follower's consumption in the corresponding case, using </w:t>
      </w:r>
      <w:r w:rsidR="00D94BAD">
        <w:rPr>
          <w:lang w:val="en-US"/>
        </w:rPr>
        <w:t>E</w:t>
      </w:r>
      <w:r w:rsidRPr="004B420F">
        <w:rPr>
          <w:lang w:val="en-US"/>
        </w:rPr>
        <w:t>quation 3</w:t>
      </w:r>
      <w:r w:rsidR="00E303B2" w:rsidRPr="004B420F">
        <w:rPr>
          <w:lang w:val="en-US"/>
        </w:rPr>
        <w:t>.</w:t>
      </w:r>
    </w:p>
    <w:tbl>
      <w:tblPr>
        <w:tblW w:w="5000" w:type="pct"/>
        <w:tblCellMar>
          <w:left w:w="70" w:type="dxa"/>
          <w:right w:w="70" w:type="dxa"/>
        </w:tblCellMar>
        <w:tblLook w:val="04A0" w:firstRow="1" w:lastRow="0" w:firstColumn="1" w:lastColumn="0" w:noHBand="0" w:noVBand="1"/>
      </w:tblPr>
      <w:tblGrid>
        <w:gridCol w:w="8546"/>
        <w:gridCol w:w="814"/>
      </w:tblGrid>
      <w:tr w:rsidR="00E303B2" w:rsidRPr="00537A37" w14:paraId="35F25F78" w14:textId="77777777" w:rsidTr="007F5066">
        <w:trPr>
          <w:trHeight w:val="290"/>
        </w:trPr>
        <w:tc>
          <w:tcPr>
            <w:tcW w:w="4565" w:type="pct"/>
            <w:noWrap/>
            <w:vAlign w:val="center"/>
            <w:hideMark/>
          </w:tcPr>
          <w:p w14:paraId="6E65B6A9" w14:textId="77777777" w:rsidR="00E303B2" w:rsidRPr="00537A37" w:rsidRDefault="00000000" w:rsidP="00055DE8">
            <w:pPr>
              <w:jc w:val="center"/>
              <w:rPr>
                <w:rFonts w:ascii="Aptos Narrow" w:hAnsi="Aptos Narrow"/>
                <w:color w:val="000000"/>
                <w:sz w:val="20"/>
                <w:lang w:val="es-PE" w:eastAsia="es-PE"/>
              </w:rPr>
            </w:pPr>
            <m:oMathPara>
              <m:oMath>
                <m:sSub>
                  <m:sSubPr>
                    <m:ctrlPr>
                      <w:rPr>
                        <w:rFonts w:ascii="Cambria Math" w:hAnsi="Cambria Math"/>
                        <w:sz w:val="20"/>
                        <w:lang w:val="es-PE" w:eastAsia="es-PE"/>
                      </w:rPr>
                    </m:ctrlPr>
                  </m:sSubPr>
                  <m:e>
                    <m:r>
                      <w:rPr>
                        <w:rFonts w:ascii="Cambria Math" w:hAnsi="Cambria Math"/>
                        <w:sz w:val="20"/>
                        <w:lang w:val="es-PE" w:eastAsia="es-PE"/>
                      </w:rPr>
                      <m:t>E</m:t>
                    </m:r>
                    <m:ctrlPr>
                      <w:rPr>
                        <w:rFonts w:ascii="Cambria Math" w:hAnsi="Cambria Math"/>
                        <w:i/>
                        <w:sz w:val="20"/>
                        <w:lang w:val="es-PE" w:eastAsia="es-PE"/>
                      </w:rPr>
                    </m:ctrlPr>
                  </m:e>
                  <m:sub>
                    <m:r>
                      <w:rPr>
                        <w:rFonts w:ascii="Cambria Math" w:hAnsi="Cambria Math"/>
                        <w:sz w:val="20"/>
                        <w:lang w:val="es-PE" w:eastAsia="es-PE"/>
                      </w:rPr>
                      <m:t>net,h</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E</m:t>
                    </m:r>
                    <m:ctrlPr>
                      <w:rPr>
                        <w:rFonts w:ascii="Cambria Math" w:hAnsi="Cambria Math"/>
                        <w:i/>
                        <w:sz w:val="20"/>
                        <w:lang w:val="es-PE" w:eastAsia="es-PE"/>
                      </w:rPr>
                    </m:ctrlPr>
                  </m:e>
                  <m:sub>
                    <m:r>
                      <w:rPr>
                        <w:rFonts w:ascii="Cambria Math" w:hAnsi="Cambria Math"/>
                        <w:sz w:val="20"/>
                        <w:lang w:val="es-PE" w:eastAsia="es-PE"/>
                      </w:rPr>
                      <m:t>PV,h</m:t>
                    </m:r>
                  </m:sub>
                </m:sSub>
                <m:r>
                  <w:rPr>
                    <w:rFonts w:ascii="Cambria Math" w:hAnsi="Cambria Math"/>
                    <w:sz w:val="20"/>
                    <w:lang w:val="es-PE" w:eastAsia="es-PE"/>
                  </w:rPr>
                  <m:t>-</m:t>
                </m:r>
                <m:sSub>
                  <m:sSubPr>
                    <m:ctrlPr>
                      <w:rPr>
                        <w:rFonts w:ascii="Cambria Math" w:hAnsi="Cambria Math"/>
                        <w:sz w:val="20"/>
                        <w:lang w:val="es-PE" w:eastAsia="es-PE"/>
                      </w:rPr>
                    </m:ctrlPr>
                  </m:sSubPr>
                  <m:e>
                    <m:r>
                      <w:rPr>
                        <w:rFonts w:ascii="Cambria Math" w:hAnsi="Cambria Math"/>
                        <w:sz w:val="20"/>
                        <w:lang w:val="es-PE" w:eastAsia="es-PE"/>
                      </w:rPr>
                      <m:t>E</m:t>
                    </m:r>
                    <m:ctrlPr>
                      <w:rPr>
                        <w:rFonts w:ascii="Cambria Math" w:hAnsi="Cambria Math"/>
                        <w:i/>
                        <w:sz w:val="20"/>
                        <w:lang w:val="es-PE" w:eastAsia="es-PE"/>
                      </w:rPr>
                    </m:ctrlPr>
                  </m:e>
                  <m:sub>
                    <m:r>
                      <w:rPr>
                        <w:rFonts w:ascii="Cambria Math" w:hAnsi="Cambria Math"/>
                        <w:sz w:val="20"/>
                        <w:lang w:val="es-PE" w:eastAsia="es-PE"/>
                      </w:rPr>
                      <m:t>track,h</m:t>
                    </m:r>
                  </m:sub>
                </m:sSub>
              </m:oMath>
            </m:oMathPara>
          </w:p>
        </w:tc>
        <w:tc>
          <w:tcPr>
            <w:tcW w:w="435" w:type="pct"/>
            <w:noWrap/>
            <w:vAlign w:val="center"/>
            <w:hideMark/>
          </w:tcPr>
          <w:p w14:paraId="4F1D6682" w14:textId="77777777" w:rsidR="00E303B2" w:rsidRPr="00537A37" w:rsidRDefault="00E303B2" w:rsidP="00A06A1A">
            <w:pPr>
              <w:jc w:val="center"/>
              <w:rPr>
                <w:sz w:val="20"/>
                <w:lang w:val="es-PE" w:eastAsia="es-PE"/>
              </w:rPr>
            </w:pPr>
            <w:r w:rsidRPr="00537A37">
              <w:rPr>
                <w:sz w:val="20"/>
                <w:lang w:val="es-PE" w:eastAsia="es-PE"/>
              </w:rPr>
              <w:t>(3)</w:t>
            </w:r>
          </w:p>
        </w:tc>
      </w:tr>
    </w:tbl>
    <w:p w14:paraId="3C045518" w14:textId="77777777" w:rsidR="00536BAE" w:rsidRPr="00AE5DE6" w:rsidRDefault="00536BAE" w:rsidP="00536BAE">
      <w:pPr>
        <w:pStyle w:val="Texto1"/>
      </w:pPr>
      <w:r w:rsidRPr="00AE5DE6">
        <w:rPr>
          <w:rStyle w:val="Strong"/>
          <w:b w:val="0"/>
          <w:bCs w:val="0"/>
        </w:rPr>
        <w:t>Where:</w:t>
      </w:r>
    </w:p>
    <w:p w14:paraId="0D41592E" w14:textId="77777777" w:rsidR="00536BAE" w:rsidRPr="00AE5DE6" w:rsidRDefault="00000000" w:rsidP="00B8234E">
      <w:pPr>
        <w:pStyle w:val="Texto1"/>
        <w:numPr>
          <w:ilvl w:val="0"/>
          <w:numId w:val="6"/>
        </w:numPr>
      </w:pPr>
      <m:oMath>
        <m:sSub>
          <m:sSubPr>
            <m:ctrlPr>
              <w:rPr>
                <w:rFonts w:ascii="Cambria Math" w:hAnsi="Cambria Math"/>
              </w:rPr>
            </m:ctrlPr>
          </m:sSubPr>
          <m:e>
            <m:r>
              <w:rPr>
                <w:rFonts w:ascii="Cambria Math" w:hAnsi="Cambria Math"/>
              </w:rPr>
              <m:t>E</m:t>
            </m:r>
          </m:e>
          <m:sub>
            <m:r>
              <w:rPr>
                <w:rFonts w:ascii="Cambria Math" w:hAnsi="Cambria Math"/>
              </w:rPr>
              <m:t>net,h</m:t>
            </m:r>
          </m:sub>
        </m:sSub>
      </m:oMath>
      <w:r w:rsidR="00536BAE">
        <w:t xml:space="preserve"> is the n</w:t>
      </w:r>
      <w:r w:rsidR="00536BAE" w:rsidRPr="00AE5DE6">
        <w:t>et hourly energy delivered to the load (</w:t>
      </w:r>
      <w:proofErr w:type="spellStart"/>
      <w:r w:rsidR="00536BAE" w:rsidRPr="00AE5DE6">
        <w:t>Wh</w:t>
      </w:r>
      <w:proofErr w:type="spellEnd"/>
      <w:r w:rsidR="00536BAE" w:rsidRPr="00AE5DE6">
        <w:t>)</w:t>
      </w:r>
    </w:p>
    <w:p w14:paraId="1F06FCED" w14:textId="77777777" w:rsidR="00536BAE" w:rsidRPr="00AE5DE6" w:rsidRDefault="00000000" w:rsidP="00B8234E">
      <w:pPr>
        <w:pStyle w:val="Texto1"/>
        <w:numPr>
          <w:ilvl w:val="0"/>
          <w:numId w:val="6"/>
        </w:numPr>
      </w:pPr>
      <m:oMath>
        <m:sSub>
          <m:sSubPr>
            <m:ctrlPr>
              <w:rPr>
                <w:rFonts w:ascii="Cambria Math" w:hAnsi="Cambria Math"/>
              </w:rPr>
            </m:ctrlPr>
          </m:sSubPr>
          <m:e>
            <m:r>
              <w:rPr>
                <w:rFonts w:ascii="Cambria Math" w:hAnsi="Cambria Math"/>
              </w:rPr>
              <m:t>E</m:t>
            </m:r>
          </m:e>
          <m:sub>
            <m:r>
              <w:rPr>
                <w:rFonts w:ascii="Cambria Math" w:hAnsi="Cambria Math"/>
              </w:rPr>
              <m:t>PV,h</m:t>
            </m:r>
          </m:sub>
        </m:sSub>
      </m:oMath>
      <w:r w:rsidR="00536BAE">
        <w:t xml:space="preserve"> is the h</w:t>
      </w:r>
      <w:proofErr w:type="spellStart"/>
      <w:r w:rsidR="00536BAE" w:rsidRPr="00AE5DE6">
        <w:t>ourly</w:t>
      </w:r>
      <w:proofErr w:type="spellEnd"/>
      <w:r w:rsidR="00536BAE" w:rsidRPr="00AE5DE6">
        <w:t xml:space="preserve"> electricity generated by the PV system (</w:t>
      </w:r>
      <w:proofErr w:type="spellStart"/>
      <w:r w:rsidR="00536BAE" w:rsidRPr="00AE5DE6">
        <w:t>Wh</w:t>
      </w:r>
      <w:proofErr w:type="spellEnd"/>
      <w:r w:rsidR="00536BAE" w:rsidRPr="00AE5DE6">
        <w:t>)</w:t>
      </w:r>
    </w:p>
    <w:p w14:paraId="6A21C0F3" w14:textId="77777777" w:rsidR="00536BAE" w:rsidRPr="00AE5DE6" w:rsidRDefault="00000000" w:rsidP="00B8234E">
      <w:pPr>
        <w:pStyle w:val="Texto1"/>
        <w:numPr>
          <w:ilvl w:val="0"/>
          <w:numId w:val="6"/>
        </w:numPr>
      </w:pPr>
      <m:oMath>
        <m:sSub>
          <m:sSubPr>
            <m:ctrlPr>
              <w:rPr>
                <w:rFonts w:ascii="Cambria Math" w:hAnsi="Cambria Math"/>
              </w:rPr>
            </m:ctrlPr>
          </m:sSubPr>
          <m:e>
            <m:r>
              <w:rPr>
                <w:rFonts w:ascii="Cambria Math" w:hAnsi="Cambria Math"/>
              </w:rPr>
              <m:t>E</m:t>
            </m:r>
          </m:e>
          <m:sub>
            <m:r>
              <w:rPr>
                <w:rFonts w:ascii="Cambria Math" w:hAnsi="Cambria Math"/>
              </w:rPr>
              <m:t>track,h</m:t>
            </m:r>
          </m:sub>
        </m:sSub>
      </m:oMath>
      <w:r w:rsidR="00536BAE">
        <w:t xml:space="preserve"> is the h</w:t>
      </w:r>
      <w:proofErr w:type="spellStart"/>
      <w:r w:rsidR="00536BAE" w:rsidRPr="00AE5DE6">
        <w:t>ourly</w:t>
      </w:r>
      <w:proofErr w:type="spellEnd"/>
      <w:r w:rsidR="00536BAE" w:rsidRPr="00AE5DE6">
        <w:t xml:space="preserve"> energy consumed by the tracking system (</w:t>
      </w:r>
      <w:proofErr w:type="spellStart"/>
      <w:r w:rsidR="00536BAE" w:rsidRPr="00AE5DE6">
        <w:t>Wh</w:t>
      </w:r>
      <w:proofErr w:type="spellEnd"/>
      <w:r w:rsidR="00536BAE" w:rsidRPr="00AE5DE6">
        <w:t>)</w:t>
      </w:r>
    </w:p>
    <w:p w14:paraId="09431DA5" w14:textId="62736DE3" w:rsidR="0001769E" w:rsidRPr="00E53BF5" w:rsidRDefault="00E53BF5" w:rsidP="0001769E">
      <w:pPr>
        <w:pStyle w:val="Heading2"/>
      </w:pPr>
      <w:r w:rsidRPr="00E53BF5">
        <w:t xml:space="preserve">Economic </w:t>
      </w:r>
      <w:r w:rsidR="008F640A" w:rsidRPr="00E53BF5">
        <w:t>Analysis</w:t>
      </w:r>
    </w:p>
    <w:p w14:paraId="5D3B5641" w14:textId="08043AF8" w:rsidR="00494345" w:rsidRDefault="00C05650" w:rsidP="00BE22A4">
      <w:pPr>
        <w:pStyle w:val="Paragraph"/>
      </w:pPr>
      <w:r w:rsidRPr="00BA11ED">
        <w:t xml:space="preserve">The economic performance of each system was evaluated using the levelized cost of energy (LCOE), </w:t>
      </w:r>
      <w:proofErr w:type="gramStart"/>
      <w:r w:rsidRPr="00BA11ED">
        <w:t>net present</w:t>
      </w:r>
      <w:proofErr w:type="gramEnd"/>
      <w:r w:rsidRPr="00BA11ED">
        <w:t xml:space="preserve"> value (NPV), internal rate of return (IRR), and payback period, following the standard methodology for residential photovoltaic projects</w:t>
      </w:r>
      <w:r w:rsidR="00C05F07">
        <w:t xml:space="preserve"> </w:t>
      </w:r>
      <w:sdt>
        <w:sdtPr>
          <w:rPr>
            <w:color w:val="000000"/>
            <w:vertAlign w:val="superscript"/>
          </w:rPr>
          <w:tag w:val="MENDELEY_CITATION_v3_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"/>
          <w:id w:val="1076102455"/>
          <w:placeholder>
            <w:docPart w:val="DefaultPlaceholder_-1854013440"/>
          </w:placeholder>
        </w:sdtPr>
        <w:sdtContent>
          <w:r w:rsidR="000376C8" w:rsidRPr="000376C8">
            <w:rPr>
              <w:color w:val="000000"/>
              <w:vertAlign w:val="superscript"/>
            </w:rPr>
            <w:t>10</w:t>
          </w:r>
        </w:sdtContent>
      </w:sdt>
      <w:r w:rsidRPr="00BA11ED">
        <w:t>. The initial investment costs (</w:t>
      </w:r>
      <w:proofErr w:type="spellStart"/>
      <w:r w:rsidRPr="00BA11ED">
        <w:t>C</w:t>
      </w:r>
      <w:r w:rsidRPr="001B799F">
        <w:rPr>
          <w:vertAlign w:val="subscript"/>
        </w:rPr>
        <w:t>inv</w:t>
      </w:r>
      <w:proofErr w:type="spellEnd"/>
      <w:r w:rsidRPr="00BA11ED">
        <w:t>), annual operation and maintenance costs (C</w:t>
      </w:r>
      <w:r w:rsidRPr="001B799F">
        <w:rPr>
          <w:vertAlign w:val="subscript"/>
        </w:rPr>
        <w:t>O&amp;M</w:t>
      </w:r>
      <w:r w:rsidRPr="00BA11ED">
        <w:t>), and the energy consumption of the tracker were considered. The LCOE was calculated according to Equation 4</w:t>
      </w:r>
      <w:r w:rsidR="002B43DA" w:rsidRPr="00BA11ED">
        <w:t>.</w:t>
      </w:r>
    </w:p>
    <w:p w14:paraId="59688A4F" w14:textId="77777777" w:rsidR="00816467" w:rsidRPr="00BE22A4" w:rsidRDefault="00816467" w:rsidP="00BE22A4">
      <w:pPr>
        <w:pStyle w:val="Paragraph"/>
      </w:pPr>
    </w:p>
    <w:tbl>
      <w:tblPr>
        <w:tblW w:w="5000" w:type="pct"/>
        <w:tblCellMar>
          <w:left w:w="70" w:type="dxa"/>
          <w:right w:w="70" w:type="dxa"/>
        </w:tblCellMar>
        <w:tblLook w:val="04A0" w:firstRow="1" w:lastRow="0" w:firstColumn="1" w:lastColumn="0" w:noHBand="0" w:noVBand="1"/>
      </w:tblPr>
      <w:tblGrid>
        <w:gridCol w:w="8546"/>
        <w:gridCol w:w="814"/>
      </w:tblGrid>
      <w:tr w:rsidR="00DE41A9" w:rsidRPr="00472B1B" w14:paraId="61C43483" w14:textId="77777777" w:rsidTr="00247825">
        <w:trPr>
          <w:trHeight w:val="290"/>
        </w:trPr>
        <w:tc>
          <w:tcPr>
            <w:tcW w:w="4565" w:type="pct"/>
            <w:noWrap/>
            <w:vAlign w:val="center"/>
            <w:hideMark/>
          </w:tcPr>
          <w:p w14:paraId="0E165A3C" w14:textId="30DEC43C" w:rsidR="00DE41A9" w:rsidRPr="00472B1B" w:rsidRDefault="00DE41A9" w:rsidP="00055DE8">
            <w:pPr>
              <w:jc w:val="center"/>
              <w:rPr>
                <w:rFonts w:ascii="Aptos Narrow" w:hAnsi="Aptos Narrow"/>
                <w:color w:val="000000"/>
                <w:sz w:val="20"/>
                <w:lang w:val="es-PE" w:eastAsia="es-PE"/>
              </w:rPr>
            </w:pPr>
            <m:oMathPara>
              <m:oMath>
                <m:r>
                  <w:rPr>
                    <w:rFonts w:ascii="Cambria Math" w:hAnsi="Cambria Math"/>
                    <w:sz w:val="20"/>
                    <w:lang w:val="es-PE" w:eastAsia="es-PE"/>
                  </w:rPr>
                  <m:t>LCOE=</m:t>
                </m:r>
                <m:f>
                  <m:fPr>
                    <m:ctrlPr>
                      <w:rPr>
                        <w:rFonts w:ascii="Cambria Math" w:hAnsi="Cambria Math"/>
                        <w:i/>
                        <w:sz w:val="20"/>
                        <w:lang w:val="es-PE" w:eastAsia="es-PE"/>
                      </w:rPr>
                    </m:ctrlPr>
                  </m:fPr>
                  <m:num>
                    <m:f>
                      <m:fPr>
                        <m:ctrlPr>
                          <w:rPr>
                            <w:rFonts w:ascii="Cambria Math" w:hAnsi="Cambria Math"/>
                            <w:i/>
                            <w:sz w:val="20"/>
                            <w:lang w:val="es-PE" w:eastAsia="es-PE"/>
                          </w:rPr>
                        </m:ctrlPr>
                      </m:fPr>
                      <m:num>
                        <m:nary>
                          <m:naryPr>
                            <m:chr m:val="∑"/>
                            <m:limLoc m:val="undOvr"/>
                            <m:ctrlPr>
                              <w:rPr>
                                <w:rFonts w:ascii="Cambria Math" w:hAnsi="Cambria Math"/>
                                <w:i/>
                                <w:sz w:val="20"/>
                                <w:lang w:val="es-PE" w:eastAsia="es-PE"/>
                              </w:rPr>
                            </m:ctrlPr>
                          </m:naryPr>
                          <m:sub>
                            <m:r>
                              <w:rPr>
                                <w:rFonts w:ascii="Cambria Math" w:hAnsi="Cambria Math"/>
                                <w:sz w:val="20"/>
                                <w:lang w:val="es-PE" w:eastAsia="es-PE"/>
                              </w:rPr>
                              <m:t>n=1</m:t>
                            </m:r>
                          </m:sub>
                          <m:sup>
                            <m:r>
                              <w:rPr>
                                <w:rFonts w:ascii="Cambria Math" w:hAnsi="Cambria Math"/>
                                <w:sz w:val="20"/>
                                <w:lang w:val="es-PE" w:eastAsia="es-PE"/>
                              </w:rPr>
                              <m:t>N</m:t>
                            </m:r>
                          </m:sup>
                          <m:e>
                            <m:r>
                              <w:rPr>
                                <w:rFonts w:ascii="Cambria Math" w:hAnsi="Cambria Math"/>
                                <w:sz w:val="20"/>
                                <w:lang w:val="es-PE" w:eastAsia="es-PE"/>
                              </w:rPr>
                              <m:t>(</m:t>
                            </m:r>
                            <m:sSub>
                              <m:sSubPr>
                                <m:ctrlPr>
                                  <w:rPr>
                                    <w:rFonts w:ascii="Cambria Math" w:hAnsi="Cambria Math"/>
                                    <w:i/>
                                    <w:sz w:val="20"/>
                                    <w:lang w:val="es-PE" w:eastAsia="es-PE"/>
                                  </w:rPr>
                                </m:ctrlPr>
                              </m:sSubPr>
                              <m:e>
                                <m:r>
                                  <w:rPr>
                                    <w:rFonts w:ascii="Cambria Math" w:hAnsi="Cambria Math"/>
                                    <w:sz w:val="20"/>
                                    <w:lang w:val="es-PE" w:eastAsia="es-PE"/>
                                  </w:rPr>
                                  <m:t>C</m:t>
                                </m:r>
                              </m:e>
                              <m:sub>
                                <m:r>
                                  <w:rPr>
                                    <w:rFonts w:ascii="Cambria Math" w:hAnsi="Cambria Math"/>
                                    <w:sz w:val="20"/>
                                    <w:lang w:val="es-PE" w:eastAsia="es-PE"/>
                                  </w:rPr>
                                  <m:t>inv</m:t>
                                </m:r>
                              </m:sub>
                            </m:sSub>
                            <m:r>
                              <w:rPr>
                                <w:rFonts w:ascii="Cambria Math" w:hAnsi="Cambria Math"/>
                                <w:sz w:val="20"/>
                                <w:lang w:val="es-PE" w:eastAsia="es-PE"/>
                              </w:rPr>
                              <m:t>+</m:t>
                            </m:r>
                            <m:sSub>
                              <m:sSubPr>
                                <m:ctrlPr>
                                  <w:rPr>
                                    <w:rFonts w:ascii="Cambria Math" w:hAnsi="Cambria Math"/>
                                    <w:i/>
                                    <w:sz w:val="20"/>
                                    <w:lang w:val="es-PE" w:eastAsia="es-PE"/>
                                  </w:rPr>
                                </m:ctrlPr>
                              </m:sSubPr>
                              <m:e>
                                <m:r>
                                  <w:rPr>
                                    <w:rFonts w:ascii="Cambria Math" w:hAnsi="Cambria Math"/>
                                    <w:sz w:val="20"/>
                                    <w:lang w:val="es-PE" w:eastAsia="es-PE"/>
                                  </w:rPr>
                                  <m:t>C</m:t>
                                </m:r>
                              </m:e>
                              <m:sub>
                                <m:r>
                                  <w:rPr>
                                    <w:rFonts w:ascii="Cambria Math" w:hAnsi="Cambria Math"/>
                                    <w:sz w:val="20"/>
                                    <w:lang w:val="es-PE" w:eastAsia="es-PE"/>
                                  </w:rPr>
                                  <m:t>O&amp;M,n</m:t>
                                </m:r>
                              </m:sub>
                            </m:sSub>
                            <m:r>
                              <w:rPr>
                                <w:rFonts w:ascii="Cambria Math" w:hAnsi="Cambria Math"/>
                                <w:sz w:val="20"/>
                                <w:lang w:val="es-PE" w:eastAsia="es-PE"/>
                              </w:rPr>
                              <m:t>)</m:t>
                            </m:r>
                          </m:e>
                        </m:nary>
                      </m:num>
                      <m:den>
                        <m:sSup>
                          <m:sSupPr>
                            <m:ctrlPr>
                              <w:rPr>
                                <w:rFonts w:ascii="Cambria Math" w:hAnsi="Cambria Math"/>
                                <w:i/>
                                <w:sz w:val="20"/>
                                <w:lang w:val="es-PE" w:eastAsia="es-PE"/>
                              </w:rPr>
                            </m:ctrlPr>
                          </m:sSupPr>
                          <m:e>
                            <m:r>
                              <w:rPr>
                                <w:rFonts w:ascii="Cambria Math" w:hAnsi="Cambria Math"/>
                                <w:sz w:val="20"/>
                                <w:lang w:val="es-PE" w:eastAsia="es-PE"/>
                              </w:rPr>
                              <m:t>(1+r)</m:t>
                            </m:r>
                          </m:e>
                          <m:sup>
                            <m:r>
                              <w:rPr>
                                <w:rFonts w:ascii="Cambria Math" w:hAnsi="Cambria Math"/>
                                <w:sz w:val="20"/>
                                <w:lang w:val="es-PE" w:eastAsia="es-PE"/>
                              </w:rPr>
                              <m:t>n</m:t>
                            </m:r>
                          </m:sup>
                        </m:sSup>
                      </m:den>
                    </m:f>
                  </m:num>
                  <m:den>
                    <m:f>
                      <m:fPr>
                        <m:ctrlPr>
                          <w:rPr>
                            <w:rFonts w:ascii="Cambria Math" w:hAnsi="Cambria Math"/>
                            <w:i/>
                            <w:sz w:val="20"/>
                            <w:lang w:val="es-PE" w:eastAsia="es-PE"/>
                          </w:rPr>
                        </m:ctrlPr>
                      </m:fPr>
                      <m:num>
                        <m:nary>
                          <m:naryPr>
                            <m:chr m:val="∑"/>
                            <m:limLoc m:val="undOvr"/>
                            <m:ctrlPr>
                              <w:rPr>
                                <w:rFonts w:ascii="Cambria Math" w:hAnsi="Cambria Math"/>
                                <w:i/>
                                <w:sz w:val="20"/>
                                <w:lang w:val="es-PE" w:eastAsia="es-PE"/>
                              </w:rPr>
                            </m:ctrlPr>
                          </m:naryPr>
                          <m:sub>
                            <m:r>
                              <w:rPr>
                                <w:rFonts w:ascii="Cambria Math" w:hAnsi="Cambria Math"/>
                                <w:sz w:val="20"/>
                                <w:lang w:val="es-PE" w:eastAsia="es-PE"/>
                              </w:rPr>
                              <m:t>n=1</m:t>
                            </m:r>
                          </m:sub>
                          <m:sup>
                            <m:r>
                              <w:rPr>
                                <w:rFonts w:ascii="Cambria Math" w:hAnsi="Cambria Math"/>
                                <w:sz w:val="20"/>
                                <w:lang w:val="es-PE" w:eastAsia="es-PE"/>
                              </w:rPr>
                              <m:t>N</m:t>
                            </m:r>
                          </m:sup>
                          <m:e>
                            <m:sSub>
                              <m:sSubPr>
                                <m:ctrlPr>
                                  <w:rPr>
                                    <w:rFonts w:ascii="Cambria Math" w:hAnsi="Cambria Math"/>
                                    <w:i/>
                                    <w:sz w:val="20"/>
                                    <w:lang w:val="es-PE" w:eastAsia="es-PE"/>
                                  </w:rPr>
                                </m:ctrlPr>
                              </m:sSubPr>
                              <m:e>
                                <m:r>
                                  <w:rPr>
                                    <w:rFonts w:ascii="Cambria Math" w:hAnsi="Cambria Math"/>
                                    <w:sz w:val="20"/>
                                    <w:lang w:val="es-PE" w:eastAsia="es-PE"/>
                                  </w:rPr>
                                  <m:t>E</m:t>
                                </m:r>
                              </m:e>
                              <m:sub>
                                <m:r>
                                  <w:rPr>
                                    <w:rFonts w:ascii="Cambria Math" w:hAnsi="Cambria Math"/>
                                    <w:sz w:val="20"/>
                                    <w:lang w:val="es-PE" w:eastAsia="es-PE"/>
                                  </w:rPr>
                                  <m:t>net,n</m:t>
                                </m:r>
                              </m:sub>
                            </m:sSub>
                          </m:e>
                        </m:nary>
                      </m:num>
                      <m:den>
                        <m:sSup>
                          <m:sSupPr>
                            <m:ctrlPr>
                              <w:rPr>
                                <w:rFonts w:ascii="Cambria Math" w:hAnsi="Cambria Math"/>
                                <w:i/>
                                <w:sz w:val="20"/>
                                <w:lang w:val="es-PE" w:eastAsia="es-PE"/>
                              </w:rPr>
                            </m:ctrlPr>
                          </m:sSupPr>
                          <m:e>
                            <m:r>
                              <w:rPr>
                                <w:rFonts w:ascii="Cambria Math" w:hAnsi="Cambria Math"/>
                                <w:sz w:val="20"/>
                                <w:lang w:val="es-PE" w:eastAsia="es-PE"/>
                              </w:rPr>
                              <m:t>(1+r)</m:t>
                            </m:r>
                          </m:e>
                          <m:sup>
                            <m:r>
                              <w:rPr>
                                <w:rFonts w:ascii="Cambria Math" w:hAnsi="Cambria Math"/>
                                <w:sz w:val="20"/>
                                <w:lang w:val="es-PE" w:eastAsia="es-PE"/>
                              </w:rPr>
                              <m:t>n</m:t>
                            </m:r>
                          </m:sup>
                        </m:sSup>
                      </m:den>
                    </m:f>
                  </m:den>
                </m:f>
              </m:oMath>
            </m:oMathPara>
          </w:p>
        </w:tc>
        <w:tc>
          <w:tcPr>
            <w:tcW w:w="435" w:type="pct"/>
            <w:noWrap/>
            <w:vAlign w:val="center"/>
            <w:hideMark/>
          </w:tcPr>
          <w:p w14:paraId="0A906D77" w14:textId="77777777" w:rsidR="00DE41A9" w:rsidRPr="00472B1B" w:rsidRDefault="00DE41A9" w:rsidP="00055DE8">
            <w:pPr>
              <w:jc w:val="center"/>
              <w:rPr>
                <w:sz w:val="20"/>
                <w:lang w:val="es-PE" w:eastAsia="es-PE"/>
              </w:rPr>
            </w:pPr>
            <w:r w:rsidRPr="00472B1B">
              <w:rPr>
                <w:sz w:val="20"/>
                <w:lang w:val="es-PE" w:eastAsia="es-PE"/>
              </w:rPr>
              <w:t>(4)</w:t>
            </w:r>
          </w:p>
        </w:tc>
      </w:tr>
    </w:tbl>
    <w:p w14:paraId="5B8739A0" w14:textId="77777777" w:rsidR="00E45041" w:rsidRPr="00AE5DE6" w:rsidRDefault="00E45041" w:rsidP="00B27A9A">
      <w:pPr>
        <w:pStyle w:val="Texto1"/>
      </w:pPr>
      <w:r w:rsidRPr="00AE5DE6">
        <w:t>Where:</w:t>
      </w:r>
    </w:p>
    <w:p w14:paraId="6DBA92A1" w14:textId="77777777" w:rsidR="00E45041" w:rsidRPr="00AE5DE6" w:rsidRDefault="00E45041" w:rsidP="00B8234E">
      <w:pPr>
        <w:pStyle w:val="Texto1"/>
        <w:numPr>
          <w:ilvl w:val="0"/>
          <w:numId w:val="7"/>
        </w:numPr>
      </w:pPr>
      <m:oMath>
        <m:r>
          <w:rPr>
            <w:rFonts w:ascii="Cambria Math" w:hAnsi="Cambria Math"/>
          </w:rPr>
          <m:t>LCOE</m:t>
        </m:r>
      </m:oMath>
      <w:r w:rsidRPr="00AE5DE6">
        <w:t>: Levelized cost of energy (USD/kWh)</w:t>
      </w:r>
    </w:p>
    <w:p w14:paraId="29980CB9" w14:textId="77777777" w:rsidR="00E45041" w:rsidRPr="00AE5DE6" w:rsidRDefault="00000000" w:rsidP="00B8234E">
      <w:pPr>
        <w:pStyle w:val="Texto1"/>
        <w:numPr>
          <w:ilvl w:val="0"/>
          <w:numId w:val="7"/>
        </w:numPr>
      </w:pPr>
      <m:oMath>
        <m:sSub>
          <m:sSubPr>
            <m:ctrlPr>
              <w:rPr>
                <w:rFonts w:ascii="Cambria Math" w:hAnsi="Cambria Math"/>
              </w:rPr>
            </m:ctrlPr>
          </m:sSubPr>
          <m:e>
            <m:r>
              <w:rPr>
                <w:rFonts w:ascii="Cambria Math" w:hAnsi="Cambria Math"/>
              </w:rPr>
              <m:t>C</m:t>
            </m:r>
          </m:e>
          <m:sub>
            <m:r>
              <w:rPr>
                <w:rFonts w:ascii="Cambria Math" w:hAnsi="Cambria Math"/>
              </w:rPr>
              <m:t>inv</m:t>
            </m:r>
          </m:sub>
        </m:sSub>
      </m:oMath>
      <w:r w:rsidR="00E45041" w:rsidRPr="00AE5DE6">
        <w:t xml:space="preserve">: Initial investment cost in year </w:t>
      </w:r>
      <m:oMath>
        <m:r>
          <w:rPr>
            <w:rFonts w:ascii="Cambria Math" w:hAnsi="Cambria Math"/>
          </w:rPr>
          <m:t>n</m:t>
        </m:r>
      </m:oMath>
      <w:r w:rsidR="00E45041" w:rsidRPr="00AE5DE6">
        <w:t>(USD)</w:t>
      </w:r>
    </w:p>
    <w:p w14:paraId="492CCDC7" w14:textId="77777777" w:rsidR="00E45041" w:rsidRPr="00AE5DE6" w:rsidRDefault="00000000" w:rsidP="00B8234E">
      <w:pPr>
        <w:pStyle w:val="Texto1"/>
        <w:numPr>
          <w:ilvl w:val="0"/>
          <w:numId w:val="7"/>
        </w:numPr>
      </w:pPr>
      <m:oMath>
        <m:sSub>
          <m:sSubPr>
            <m:ctrlPr>
              <w:rPr>
                <w:rFonts w:ascii="Cambria Math" w:hAnsi="Cambria Math"/>
              </w:rPr>
            </m:ctrlPr>
          </m:sSubPr>
          <m:e>
            <m:r>
              <w:rPr>
                <w:rFonts w:ascii="Cambria Math" w:hAnsi="Cambria Math"/>
              </w:rPr>
              <m:t>C</m:t>
            </m:r>
          </m:e>
          <m:sub>
            <m:r>
              <w:rPr>
                <w:rFonts w:ascii="Cambria Math" w:hAnsi="Cambria Math"/>
              </w:rPr>
              <m:t>O</m:t>
            </m:r>
            <m:r>
              <m:rPr>
                <m:sty m:val="p"/>
              </m:rPr>
              <w:rPr>
                <w:rFonts w:ascii="Cambria Math" w:hAnsi="Cambria Math"/>
              </w:rPr>
              <m:t>&amp;</m:t>
            </m:r>
            <m:r>
              <w:rPr>
                <w:rFonts w:ascii="Cambria Math" w:hAnsi="Cambria Math"/>
              </w:rPr>
              <m:t>M,n</m:t>
            </m:r>
          </m:sub>
        </m:sSub>
      </m:oMath>
      <w:r w:rsidR="00E45041" w:rsidRPr="00AE5DE6">
        <w:t xml:space="preserve">: Operation and maintenance cost in year </w:t>
      </w:r>
      <m:oMath>
        <m:r>
          <w:rPr>
            <w:rFonts w:ascii="Cambria Math" w:hAnsi="Cambria Math"/>
          </w:rPr>
          <m:t>n</m:t>
        </m:r>
      </m:oMath>
      <w:r w:rsidR="00E45041" w:rsidRPr="00AE5DE6">
        <w:t>(USD)</w:t>
      </w:r>
    </w:p>
    <w:p w14:paraId="56DF2A73" w14:textId="77777777" w:rsidR="00E45041" w:rsidRPr="00AE5DE6" w:rsidRDefault="00000000" w:rsidP="00B8234E">
      <w:pPr>
        <w:pStyle w:val="Texto1"/>
        <w:numPr>
          <w:ilvl w:val="0"/>
          <w:numId w:val="7"/>
        </w:numPr>
      </w:pPr>
      <m:oMath>
        <m:sSub>
          <m:sSubPr>
            <m:ctrlPr>
              <w:rPr>
                <w:rFonts w:ascii="Cambria Math" w:hAnsi="Cambria Math"/>
              </w:rPr>
            </m:ctrlPr>
          </m:sSubPr>
          <m:e>
            <m:r>
              <w:rPr>
                <w:rFonts w:ascii="Cambria Math" w:hAnsi="Cambria Math"/>
              </w:rPr>
              <m:t>E</m:t>
            </m:r>
          </m:e>
          <m:sub>
            <m:r>
              <w:rPr>
                <w:rFonts w:ascii="Cambria Math" w:hAnsi="Cambria Math"/>
              </w:rPr>
              <m:t>net,n</m:t>
            </m:r>
          </m:sub>
        </m:sSub>
      </m:oMath>
      <w:r w:rsidR="00E45041" w:rsidRPr="00AE5DE6">
        <w:t xml:space="preserve">: Net energy generated and delivered to the load in year </w:t>
      </w:r>
      <m:oMath>
        <m:r>
          <w:rPr>
            <w:rFonts w:ascii="Cambria Math" w:hAnsi="Cambria Math"/>
          </w:rPr>
          <m:t>n</m:t>
        </m:r>
      </m:oMath>
      <w:r w:rsidR="00E45041" w:rsidRPr="00AE5DE6">
        <w:t>(kWh)</w:t>
      </w:r>
    </w:p>
    <w:p w14:paraId="4A6C71D7" w14:textId="77777777" w:rsidR="00E45041" w:rsidRPr="00AE5DE6" w:rsidRDefault="00E45041" w:rsidP="00B8234E">
      <w:pPr>
        <w:pStyle w:val="Texto1"/>
        <w:numPr>
          <w:ilvl w:val="0"/>
          <w:numId w:val="7"/>
        </w:numPr>
      </w:pPr>
      <m:oMath>
        <m:r>
          <w:rPr>
            <w:rFonts w:ascii="Cambria Math" w:hAnsi="Cambria Math"/>
          </w:rPr>
          <m:t>r</m:t>
        </m:r>
      </m:oMath>
      <w:r w:rsidRPr="00AE5DE6">
        <w:t>: Discount rate (–)</w:t>
      </w:r>
    </w:p>
    <w:p w14:paraId="3D582CCF" w14:textId="77777777" w:rsidR="00E45041" w:rsidRPr="00AE5DE6" w:rsidRDefault="00E45041" w:rsidP="00B8234E">
      <w:pPr>
        <w:pStyle w:val="Texto1"/>
        <w:numPr>
          <w:ilvl w:val="0"/>
          <w:numId w:val="7"/>
        </w:numPr>
      </w:pPr>
      <m:oMath>
        <m:r>
          <w:rPr>
            <w:rFonts w:ascii="Cambria Math" w:hAnsi="Cambria Math"/>
          </w:rPr>
          <m:t>N</m:t>
        </m:r>
      </m:oMath>
      <w:r w:rsidRPr="00AE5DE6">
        <w:t>: Project lifetime (years)</w:t>
      </w:r>
    </w:p>
    <w:p w14:paraId="7ABBC3A8" w14:textId="77777777" w:rsidR="00E45041" w:rsidRPr="00AE5DE6" w:rsidRDefault="00E45041" w:rsidP="00B8234E">
      <w:pPr>
        <w:pStyle w:val="Texto1"/>
        <w:numPr>
          <w:ilvl w:val="0"/>
          <w:numId w:val="7"/>
        </w:numPr>
      </w:pPr>
      <m:oMath>
        <m:r>
          <w:rPr>
            <w:rFonts w:ascii="Cambria Math" w:hAnsi="Cambria Math"/>
          </w:rPr>
          <m:t>n</m:t>
        </m:r>
      </m:oMath>
      <w:r w:rsidRPr="00AE5DE6">
        <w:t xml:space="preserve">: Year of analysis, from 1 to </w:t>
      </w:r>
      <m:oMath>
        <m:r>
          <w:rPr>
            <w:rFonts w:ascii="Cambria Math" w:hAnsi="Cambria Math"/>
          </w:rPr>
          <m:t>N</m:t>
        </m:r>
      </m:oMath>
    </w:p>
    <w:p w14:paraId="77E82821" w14:textId="4C963EAC" w:rsidR="00BA3B3D" w:rsidRPr="00F31A36" w:rsidRDefault="00F31A36" w:rsidP="009B696B">
      <w:pPr>
        <w:pStyle w:val="Heading2"/>
      </w:pPr>
      <w:r w:rsidRPr="00F31A36">
        <w:t xml:space="preserve">Sensitivity </w:t>
      </w:r>
      <w:r w:rsidR="008F640A" w:rsidRPr="00F31A36">
        <w:t>Analysis</w:t>
      </w:r>
    </w:p>
    <w:p w14:paraId="402D692F" w14:textId="4618175E" w:rsidR="00015D50" w:rsidRPr="00EB0A28" w:rsidRDefault="00EB0A28" w:rsidP="009B7671">
      <w:pPr>
        <w:pStyle w:val="Paragraph"/>
      </w:pPr>
      <w:r w:rsidRPr="00EB0A28">
        <w:t xml:space="preserve">To assess the robustness of the results, a sensitivity analysis was performed on the most influential variables: capital expenditure (CAPEX), operating and maintenance costs (OPEX), the price of electricity, and the discount rate. Variations of ±20% from the base scenario were analyzed to identify their impact on the </w:t>
      </w:r>
      <w:r w:rsidR="003235C8" w:rsidRPr="00D61C25">
        <w:rPr>
          <w:lang w:eastAsia="en-GB"/>
        </w:rPr>
        <w:t xml:space="preserve">levelized cost of energy </w:t>
      </w:r>
      <w:r w:rsidR="003235C8">
        <w:rPr>
          <w:lang w:eastAsia="en-GB"/>
        </w:rPr>
        <w:t>(</w:t>
      </w:r>
      <w:r w:rsidRPr="00EB0A28">
        <w:t>LCOE</w:t>
      </w:r>
      <w:r w:rsidR="003235C8">
        <w:t>)</w:t>
      </w:r>
      <w:r w:rsidRPr="00EB0A28">
        <w:t xml:space="preserve"> and profitability indicators</w:t>
      </w:r>
      <w:r w:rsidR="00015D50" w:rsidRPr="00EB0A28">
        <w:t>.</w:t>
      </w:r>
    </w:p>
    <w:p w14:paraId="6401B72D" w14:textId="1979F265" w:rsidR="0039376F" w:rsidRPr="00075EA6" w:rsidRDefault="008F640A" w:rsidP="00B1000D">
      <w:pPr>
        <w:pStyle w:val="Heading1"/>
        <w:rPr>
          <w:caps w:val="0"/>
          <w:lang w:val="en-GB" w:eastAsia="en-GB"/>
        </w:rPr>
      </w:pPr>
      <w:r>
        <w:rPr>
          <w:caps w:val="0"/>
        </w:rPr>
        <w:t xml:space="preserve">RESULTS AND </w:t>
      </w:r>
      <w:r w:rsidRPr="00723E3F">
        <w:rPr>
          <w:caps w:val="0"/>
        </w:rPr>
        <w:t>DISCUSSION</w:t>
      </w:r>
    </w:p>
    <w:p w14:paraId="653C4032" w14:textId="2885DCA5" w:rsidR="00D82B62" w:rsidRPr="00D61C25" w:rsidRDefault="00D61C25" w:rsidP="00A314BB">
      <w:pPr>
        <w:pStyle w:val="Paragraph"/>
        <w:rPr>
          <w:lang w:eastAsia="en-GB"/>
        </w:rPr>
      </w:pPr>
      <w:r w:rsidRPr="00D61C25">
        <w:rPr>
          <w:lang w:eastAsia="en-GB"/>
        </w:rPr>
        <w:t>This section presents and analyzes the results obtained from hourly simulations and economic analyses of residential photovoltaic systems with fixed structures and solar tracking. The main energy and economic indicators are compared, such as annual generation, specific yield, levelized cost of energy (LCOE), net present value (NPV), internal rate of return (IRR), and payback period. Likewise, the impact of the tracker's energy consumption is evaluated, and a sensitivity analysis is performed on the most relevant parameters</w:t>
      </w:r>
      <w:r w:rsidR="00D82B62" w:rsidRPr="00D61C25">
        <w:rPr>
          <w:lang w:eastAsia="en-GB"/>
        </w:rPr>
        <w:t>.</w:t>
      </w:r>
    </w:p>
    <w:p w14:paraId="2C6C87A7" w14:textId="2AE89A6A" w:rsidR="009E5BA1" w:rsidRDefault="00330DC8" w:rsidP="009E5BA1">
      <w:pPr>
        <w:pStyle w:val="Heading2"/>
      </w:pPr>
      <w:r w:rsidRPr="001571DD">
        <w:t xml:space="preserve">Annual </w:t>
      </w:r>
      <w:r w:rsidR="008F640A" w:rsidRPr="001571DD">
        <w:t>Energy Performance</w:t>
      </w:r>
    </w:p>
    <w:p w14:paraId="0CFEDBE8" w14:textId="284703FD" w:rsidR="00D94BAD" w:rsidRPr="00D94BAD" w:rsidRDefault="00D94BAD" w:rsidP="00D94BAD">
      <w:pPr>
        <w:pStyle w:val="Paragraph"/>
      </w:pPr>
      <w:r w:rsidRPr="009B16B1">
        <w:t>The implementation of solar tracking in residential photovoltaic systems increased annual generation by 43%, compared to the fixed configuration, under Lima's climatic conditions and with the same installed power, as shown in Table 2.</w:t>
      </w:r>
    </w:p>
    <w:p w14:paraId="4B62FD89" w14:textId="0B8FED27" w:rsidR="008E02C3" w:rsidRDefault="007F1737" w:rsidP="008E02C3">
      <w:pPr>
        <w:pStyle w:val="tablecaption0"/>
      </w:pPr>
      <w:r>
        <w:rPr>
          <w:b/>
        </w:rPr>
        <w:t xml:space="preserve">TABLE </w:t>
      </w:r>
      <w:r w:rsidR="008E02C3">
        <w:rPr>
          <w:b/>
        </w:rPr>
        <w:fldChar w:fldCharType="begin"/>
      </w:r>
      <w:r w:rsidR="008E02C3">
        <w:rPr>
          <w:b/>
        </w:rPr>
        <w:instrText xml:space="preserve"> SEQ "Table" \* MERGEFORMAT </w:instrText>
      </w:r>
      <w:r w:rsidR="008E02C3">
        <w:rPr>
          <w:b/>
        </w:rPr>
        <w:fldChar w:fldCharType="separate"/>
      </w:r>
      <w:r w:rsidR="00DA6935">
        <w:rPr>
          <w:b/>
          <w:noProof/>
        </w:rPr>
        <w:t>2</w:t>
      </w:r>
      <w:r w:rsidR="008E02C3">
        <w:rPr>
          <w:b/>
        </w:rPr>
        <w:fldChar w:fldCharType="end"/>
      </w:r>
      <w:r w:rsidR="008E02C3">
        <w:rPr>
          <w:b/>
        </w:rPr>
        <w:t>.</w:t>
      </w:r>
      <w:r w:rsidR="008E02C3">
        <w:t xml:space="preserve"> </w:t>
      </w:r>
      <w:r w:rsidR="008E02C3" w:rsidRPr="00732360">
        <w:t>Comparative annual energy performance</w:t>
      </w:r>
      <w:r w:rsidR="006B5A4F">
        <w:t xml:space="preserve"> of </w:t>
      </w:r>
      <w:r w:rsidR="008E02C3" w:rsidRPr="00732360">
        <w:t>fixed vs. tracking PV systems</w:t>
      </w:r>
      <w:r w:rsidR="008E02C3">
        <w:t>.</w:t>
      </w:r>
    </w:p>
    <w:tbl>
      <w:tblPr>
        <w:tblW w:w="5600" w:type="dxa"/>
        <w:jc w:val="center"/>
        <w:tblCellMar>
          <w:left w:w="70" w:type="dxa"/>
          <w:right w:w="70" w:type="dxa"/>
        </w:tblCellMar>
        <w:tblLook w:val="04A0" w:firstRow="1" w:lastRow="0" w:firstColumn="1" w:lastColumn="0" w:noHBand="0" w:noVBand="1"/>
      </w:tblPr>
      <w:tblGrid>
        <w:gridCol w:w="2680"/>
        <w:gridCol w:w="1280"/>
        <w:gridCol w:w="1640"/>
      </w:tblGrid>
      <w:tr w:rsidR="008E02C3" w:rsidRPr="008E02C3" w14:paraId="10FE1E92" w14:textId="77777777" w:rsidTr="00055DE8">
        <w:trPr>
          <w:trHeight w:val="290"/>
          <w:jc w:val="center"/>
        </w:trPr>
        <w:tc>
          <w:tcPr>
            <w:tcW w:w="2680" w:type="dxa"/>
            <w:tcBorders>
              <w:top w:val="single" w:sz="4" w:space="0" w:color="auto"/>
              <w:left w:val="nil"/>
              <w:bottom w:val="single" w:sz="4" w:space="0" w:color="auto"/>
              <w:right w:val="nil"/>
            </w:tcBorders>
            <w:noWrap/>
            <w:vAlign w:val="center"/>
            <w:hideMark/>
          </w:tcPr>
          <w:p w14:paraId="2FA549C9" w14:textId="77777777" w:rsidR="008E02C3" w:rsidRPr="008E02C3" w:rsidRDefault="008E02C3" w:rsidP="00055DE8">
            <w:pPr>
              <w:rPr>
                <w:b/>
                <w:bCs/>
                <w:color w:val="000000"/>
                <w:sz w:val="18"/>
                <w:szCs w:val="18"/>
                <w:lang w:eastAsia="es-PE"/>
              </w:rPr>
            </w:pPr>
            <w:r w:rsidRPr="008E02C3">
              <w:rPr>
                <w:b/>
                <w:bCs/>
                <w:color w:val="000000"/>
                <w:sz w:val="18"/>
                <w:szCs w:val="18"/>
                <w:lang w:eastAsia="es-PE"/>
              </w:rPr>
              <w:t>Indicator</w:t>
            </w:r>
          </w:p>
        </w:tc>
        <w:tc>
          <w:tcPr>
            <w:tcW w:w="1280" w:type="dxa"/>
            <w:tcBorders>
              <w:top w:val="single" w:sz="4" w:space="0" w:color="auto"/>
              <w:left w:val="nil"/>
              <w:bottom w:val="single" w:sz="4" w:space="0" w:color="auto"/>
              <w:right w:val="nil"/>
            </w:tcBorders>
            <w:noWrap/>
            <w:vAlign w:val="center"/>
            <w:hideMark/>
          </w:tcPr>
          <w:p w14:paraId="730C75C3" w14:textId="77777777" w:rsidR="008E02C3" w:rsidRPr="008E02C3" w:rsidRDefault="008E02C3" w:rsidP="00055DE8">
            <w:pPr>
              <w:rPr>
                <w:b/>
                <w:bCs/>
                <w:color w:val="000000"/>
                <w:sz w:val="18"/>
                <w:szCs w:val="18"/>
                <w:lang w:eastAsia="es-PE"/>
              </w:rPr>
            </w:pPr>
            <w:r w:rsidRPr="008E02C3">
              <w:rPr>
                <w:b/>
                <w:bCs/>
                <w:color w:val="000000"/>
                <w:sz w:val="18"/>
                <w:szCs w:val="18"/>
                <w:lang w:eastAsia="es-PE"/>
              </w:rPr>
              <w:t>Fixed system</w:t>
            </w:r>
          </w:p>
        </w:tc>
        <w:tc>
          <w:tcPr>
            <w:tcW w:w="1640" w:type="dxa"/>
            <w:tcBorders>
              <w:top w:val="single" w:sz="4" w:space="0" w:color="auto"/>
              <w:left w:val="nil"/>
              <w:bottom w:val="single" w:sz="4" w:space="0" w:color="auto"/>
              <w:right w:val="nil"/>
            </w:tcBorders>
            <w:noWrap/>
            <w:vAlign w:val="center"/>
            <w:hideMark/>
          </w:tcPr>
          <w:p w14:paraId="400EC090" w14:textId="77777777" w:rsidR="008E02C3" w:rsidRPr="008E02C3" w:rsidRDefault="008E02C3" w:rsidP="00055DE8">
            <w:pPr>
              <w:rPr>
                <w:b/>
                <w:bCs/>
                <w:color w:val="000000"/>
                <w:sz w:val="18"/>
                <w:szCs w:val="18"/>
                <w:lang w:eastAsia="es-PE"/>
              </w:rPr>
            </w:pPr>
            <w:r w:rsidRPr="008E02C3">
              <w:rPr>
                <w:b/>
                <w:bCs/>
                <w:color w:val="000000"/>
                <w:sz w:val="18"/>
                <w:szCs w:val="18"/>
                <w:lang w:eastAsia="es-PE"/>
              </w:rPr>
              <w:t>Tracking system</w:t>
            </w:r>
          </w:p>
        </w:tc>
      </w:tr>
      <w:tr w:rsidR="008E02C3" w:rsidRPr="008E02C3" w14:paraId="621D90BB" w14:textId="77777777" w:rsidTr="00055DE8">
        <w:trPr>
          <w:trHeight w:val="290"/>
          <w:jc w:val="center"/>
        </w:trPr>
        <w:tc>
          <w:tcPr>
            <w:tcW w:w="2680" w:type="dxa"/>
            <w:tcBorders>
              <w:top w:val="nil"/>
              <w:left w:val="nil"/>
              <w:bottom w:val="nil"/>
              <w:right w:val="nil"/>
            </w:tcBorders>
            <w:noWrap/>
            <w:vAlign w:val="center"/>
            <w:hideMark/>
          </w:tcPr>
          <w:p w14:paraId="7FE77ABC" w14:textId="77777777" w:rsidR="008E02C3" w:rsidRPr="001058FB" w:rsidRDefault="008E02C3" w:rsidP="00055DE8">
            <w:pPr>
              <w:rPr>
                <w:color w:val="000000"/>
                <w:sz w:val="20"/>
                <w:lang w:eastAsia="es-PE"/>
              </w:rPr>
            </w:pPr>
            <w:r w:rsidRPr="001058FB">
              <w:rPr>
                <w:color w:val="000000"/>
                <w:sz w:val="20"/>
                <w:lang w:eastAsia="es-PE"/>
              </w:rPr>
              <w:t>Installed PV power (</w:t>
            </w:r>
            <w:proofErr w:type="spellStart"/>
            <w:r w:rsidRPr="001058FB">
              <w:rPr>
                <w:color w:val="000000"/>
                <w:sz w:val="20"/>
                <w:lang w:eastAsia="es-PE"/>
              </w:rPr>
              <w:t>kWp</w:t>
            </w:r>
            <w:proofErr w:type="spellEnd"/>
            <w:r w:rsidRPr="001058FB">
              <w:rPr>
                <w:color w:val="000000"/>
                <w:sz w:val="20"/>
                <w:lang w:eastAsia="es-PE"/>
              </w:rPr>
              <w:t>)</w:t>
            </w:r>
          </w:p>
        </w:tc>
        <w:tc>
          <w:tcPr>
            <w:tcW w:w="1280" w:type="dxa"/>
            <w:tcBorders>
              <w:top w:val="nil"/>
              <w:left w:val="nil"/>
              <w:bottom w:val="nil"/>
              <w:right w:val="nil"/>
            </w:tcBorders>
            <w:noWrap/>
            <w:vAlign w:val="center"/>
            <w:hideMark/>
          </w:tcPr>
          <w:p w14:paraId="6E5C8B3C" w14:textId="77777777" w:rsidR="008E02C3" w:rsidRPr="001058FB" w:rsidRDefault="008E02C3" w:rsidP="00055DE8">
            <w:pPr>
              <w:jc w:val="center"/>
              <w:rPr>
                <w:color w:val="000000"/>
                <w:sz w:val="20"/>
                <w:lang w:eastAsia="es-PE"/>
              </w:rPr>
            </w:pPr>
            <w:r w:rsidRPr="001058FB">
              <w:rPr>
                <w:color w:val="000000"/>
                <w:sz w:val="20"/>
                <w:lang w:eastAsia="es-PE"/>
              </w:rPr>
              <w:t>5.67</w:t>
            </w:r>
          </w:p>
        </w:tc>
        <w:tc>
          <w:tcPr>
            <w:tcW w:w="1640" w:type="dxa"/>
            <w:tcBorders>
              <w:top w:val="nil"/>
              <w:left w:val="nil"/>
              <w:bottom w:val="nil"/>
              <w:right w:val="nil"/>
            </w:tcBorders>
            <w:noWrap/>
            <w:vAlign w:val="center"/>
            <w:hideMark/>
          </w:tcPr>
          <w:p w14:paraId="6F567042" w14:textId="77777777" w:rsidR="008E02C3" w:rsidRPr="001058FB" w:rsidRDefault="008E02C3" w:rsidP="00055DE8">
            <w:pPr>
              <w:jc w:val="center"/>
              <w:rPr>
                <w:color w:val="000000"/>
                <w:sz w:val="20"/>
                <w:lang w:eastAsia="es-PE"/>
              </w:rPr>
            </w:pPr>
            <w:r w:rsidRPr="001058FB">
              <w:rPr>
                <w:color w:val="000000"/>
                <w:sz w:val="20"/>
                <w:lang w:eastAsia="es-PE"/>
              </w:rPr>
              <w:t>5.67</w:t>
            </w:r>
          </w:p>
        </w:tc>
      </w:tr>
      <w:tr w:rsidR="008E02C3" w:rsidRPr="008E02C3" w14:paraId="603E677B" w14:textId="77777777" w:rsidTr="00055DE8">
        <w:trPr>
          <w:trHeight w:val="290"/>
          <w:jc w:val="center"/>
        </w:trPr>
        <w:tc>
          <w:tcPr>
            <w:tcW w:w="2680" w:type="dxa"/>
            <w:tcBorders>
              <w:top w:val="nil"/>
              <w:left w:val="nil"/>
              <w:bottom w:val="nil"/>
              <w:right w:val="nil"/>
            </w:tcBorders>
            <w:noWrap/>
            <w:vAlign w:val="center"/>
            <w:hideMark/>
          </w:tcPr>
          <w:p w14:paraId="23464069" w14:textId="77777777" w:rsidR="008E02C3" w:rsidRPr="001058FB" w:rsidRDefault="008E02C3" w:rsidP="00055DE8">
            <w:pPr>
              <w:rPr>
                <w:color w:val="000000"/>
                <w:sz w:val="20"/>
                <w:lang w:eastAsia="es-PE"/>
              </w:rPr>
            </w:pPr>
            <w:r w:rsidRPr="001058FB">
              <w:rPr>
                <w:color w:val="000000"/>
                <w:sz w:val="20"/>
                <w:lang w:eastAsia="es-PE"/>
              </w:rPr>
              <w:t>Annual yield (kWh)</w:t>
            </w:r>
          </w:p>
        </w:tc>
        <w:tc>
          <w:tcPr>
            <w:tcW w:w="1280" w:type="dxa"/>
            <w:tcBorders>
              <w:top w:val="nil"/>
              <w:left w:val="nil"/>
              <w:bottom w:val="nil"/>
              <w:right w:val="nil"/>
            </w:tcBorders>
            <w:noWrap/>
            <w:vAlign w:val="center"/>
            <w:hideMark/>
          </w:tcPr>
          <w:p w14:paraId="5921B3E4" w14:textId="77777777" w:rsidR="008E02C3" w:rsidRPr="001058FB" w:rsidRDefault="008E02C3" w:rsidP="00055DE8">
            <w:pPr>
              <w:jc w:val="center"/>
              <w:rPr>
                <w:color w:val="000000"/>
                <w:sz w:val="20"/>
                <w:lang w:eastAsia="es-PE"/>
              </w:rPr>
            </w:pPr>
            <w:r w:rsidRPr="001058FB">
              <w:rPr>
                <w:color w:val="000000"/>
                <w:sz w:val="20"/>
                <w:lang w:eastAsia="es-PE"/>
              </w:rPr>
              <w:t>7220</w:t>
            </w:r>
          </w:p>
        </w:tc>
        <w:tc>
          <w:tcPr>
            <w:tcW w:w="1640" w:type="dxa"/>
            <w:tcBorders>
              <w:top w:val="nil"/>
              <w:left w:val="nil"/>
              <w:bottom w:val="nil"/>
              <w:right w:val="nil"/>
            </w:tcBorders>
            <w:noWrap/>
            <w:vAlign w:val="center"/>
            <w:hideMark/>
          </w:tcPr>
          <w:p w14:paraId="7CFF110F" w14:textId="77777777" w:rsidR="008E02C3" w:rsidRPr="001058FB" w:rsidRDefault="008E02C3" w:rsidP="00055DE8">
            <w:pPr>
              <w:jc w:val="center"/>
              <w:rPr>
                <w:color w:val="000000"/>
                <w:sz w:val="20"/>
                <w:lang w:eastAsia="es-PE"/>
              </w:rPr>
            </w:pPr>
            <w:r w:rsidRPr="001058FB">
              <w:rPr>
                <w:color w:val="000000"/>
                <w:sz w:val="20"/>
                <w:lang w:eastAsia="es-PE"/>
              </w:rPr>
              <w:t>10349</w:t>
            </w:r>
          </w:p>
        </w:tc>
      </w:tr>
      <w:tr w:rsidR="008E02C3" w:rsidRPr="008E02C3" w14:paraId="1EA0C7FC" w14:textId="77777777" w:rsidTr="00055DE8">
        <w:trPr>
          <w:trHeight w:val="290"/>
          <w:jc w:val="center"/>
        </w:trPr>
        <w:tc>
          <w:tcPr>
            <w:tcW w:w="2680" w:type="dxa"/>
            <w:tcBorders>
              <w:top w:val="nil"/>
              <w:left w:val="nil"/>
              <w:bottom w:val="nil"/>
              <w:right w:val="nil"/>
            </w:tcBorders>
            <w:noWrap/>
            <w:vAlign w:val="center"/>
            <w:hideMark/>
          </w:tcPr>
          <w:p w14:paraId="5514BD6A" w14:textId="77777777" w:rsidR="008E02C3" w:rsidRPr="001058FB" w:rsidRDefault="008E02C3" w:rsidP="00055DE8">
            <w:pPr>
              <w:rPr>
                <w:color w:val="000000"/>
                <w:sz w:val="20"/>
                <w:lang w:eastAsia="es-PE"/>
              </w:rPr>
            </w:pPr>
            <w:r w:rsidRPr="001058FB">
              <w:rPr>
                <w:color w:val="000000"/>
                <w:sz w:val="20"/>
                <w:lang w:eastAsia="es-PE"/>
              </w:rPr>
              <w:t>Specific yield (kWh/</w:t>
            </w:r>
            <w:proofErr w:type="spellStart"/>
            <w:r w:rsidRPr="001058FB">
              <w:rPr>
                <w:color w:val="000000"/>
                <w:sz w:val="20"/>
                <w:lang w:eastAsia="es-PE"/>
              </w:rPr>
              <w:t>kWp·yr</w:t>
            </w:r>
            <w:proofErr w:type="spellEnd"/>
            <w:r w:rsidRPr="001058FB">
              <w:rPr>
                <w:color w:val="000000"/>
                <w:sz w:val="20"/>
                <w:lang w:eastAsia="es-PE"/>
              </w:rPr>
              <w:t>)</w:t>
            </w:r>
          </w:p>
        </w:tc>
        <w:tc>
          <w:tcPr>
            <w:tcW w:w="1280" w:type="dxa"/>
            <w:tcBorders>
              <w:top w:val="nil"/>
              <w:left w:val="nil"/>
              <w:bottom w:val="nil"/>
              <w:right w:val="nil"/>
            </w:tcBorders>
            <w:noWrap/>
            <w:vAlign w:val="center"/>
            <w:hideMark/>
          </w:tcPr>
          <w:p w14:paraId="17B35C49" w14:textId="77777777" w:rsidR="008E02C3" w:rsidRPr="001058FB" w:rsidRDefault="008E02C3" w:rsidP="00055DE8">
            <w:pPr>
              <w:jc w:val="center"/>
              <w:rPr>
                <w:color w:val="000000"/>
                <w:sz w:val="20"/>
                <w:lang w:eastAsia="es-PE"/>
              </w:rPr>
            </w:pPr>
            <w:r w:rsidRPr="001058FB">
              <w:rPr>
                <w:color w:val="000000"/>
                <w:sz w:val="20"/>
                <w:lang w:eastAsia="es-PE"/>
              </w:rPr>
              <w:t>1275</w:t>
            </w:r>
          </w:p>
        </w:tc>
        <w:tc>
          <w:tcPr>
            <w:tcW w:w="1640" w:type="dxa"/>
            <w:tcBorders>
              <w:top w:val="nil"/>
              <w:left w:val="nil"/>
              <w:bottom w:val="nil"/>
              <w:right w:val="nil"/>
            </w:tcBorders>
            <w:noWrap/>
            <w:vAlign w:val="center"/>
            <w:hideMark/>
          </w:tcPr>
          <w:p w14:paraId="56E808A7" w14:textId="77777777" w:rsidR="008E02C3" w:rsidRPr="001058FB" w:rsidRDefault="008E02C3" w:rsidP="00055DE8">
            <w:pPr>
              <w:jc w:val="center"/>
              <w:rPr>
                <w:color w:val="000000"/>
                <w:sz w:val="20"/>
                <w:lang w:eastAsia="es-PE"/>
              </w:rPr>
            </w:pPr>
            <w:r w:rsidRPr="001058FB">
              <w:rPr>
                <w:color w:val="000000"/>
                <w:sz w:val="20"/>
                <w:lang w:eastAsia="es-PE"/>
              </w:rPr>
              <w:t>1825</w:t>
            </w:r>
          </w:p>
        </w:tc>
      </w:tr>
      <w:tr w:rsidR="008E02C3" w:rsidRPr="008E02C3" w14:paraId="251E6B40" w14:textId="77777777" w:rsidTr="00055DE8">
        <w:trPr>
          <w:trHeight w:val="290"/>
          <w:jc w:val="center"/>
        </w:trPr>
        <w:tc>
          <w:tcPr>
            <w:tcW w:w="2680" w:type="dxa"/>
            <w:tcBorders>
              <w:top w:val="nil"/>
              <w:left w:val="nil"/>
              <w:bottom w:val="single" w:sz="4" w:space="0" w:color="auto"/>
              <w:right w:val="nil"/>
            </w:tcBorders>
            <w:noWrap/>
            <w:vAlign w:val="center"/>
            <w:hideMark/>
          </w:tcPr>
          <w:p w14:paraId="1924D5CE" w14:textId="77777777" w:rsidR="008E02C3" w:rsidRPr="001058FB" w:rsidRDefault="008E02C3" w:rsidP="00055DE8">
            <w:pPr>
              <w:rPr>
                <w:color w:val="000000"/>
                <w:sz w:val="20"/>
                <w:lang w:eastAsia="es-PE"/>
              </w:rPr>
            </w:pPr>
            <w:r w:rsidRPr="001058FB">
              <w:rPr>
                <w:color w:val="000000"/>
                <w:sz w:val="20"/>
                <w:lang w:eastAsia="es-PE"/>
              </w:rPr>
              <w:t>Gain vs. fixed (%)</w:t>
            </w:r>
          </w:p>
        </w:tc>
        <w:tc>
          <w:tcPr>
            <w:tcW w:w="1280" w:type="dxa"/>
            <w:tcBorders>
              <w:top w:val="nil"/>
              <w:left w:val="nil"/>
              <w:bottom w:val="single" w:sz="4" w:space="0" w:color="auto"/>
              <w:right w:val="nil"/>
            </w:tcBorders>
            <w:noWrap/>
            <w:vAlign w:val="center"/>
            <w:hideMark/>
          </w:tcPr>
          <w:p w14:paraId="352B0FB6" w14:textId="77777777" w:rsidR="008E02C3" w:rsidRPr="001058FB" w:rsidRDefault="008E02C3" w:rsidP="00055DE8">
            <w:pPr>
              <w:jc w:val="center"/>
              <w:rPr>
                <w:color w:val="000000"/>
                <w:sz w:val="20"/>
                <w:lang w:eastAsia="es-PE"/>
              </w:rPr>
            </w:pPr>
            <w:r w:rsidRPr="001058FB">
              <w:rPr>
                <w:color w:val="000000"/>
                <w:sz w:val="20"/>
                <w:lang w:eastAsia="es-PE"/>
              </w:rPr>
              <w:t>-</w:t>
            </w:r>
          </w:p>
        </w:tc>
        <w:tc>
          <w:tcPr>
            <w:tcW w:w="1640" w:type="dxa"/>
            <w:tcBorders>
              <w:top w:val="nil"/>
              <w:left w:val="nil"/>
              <w:bottom w:val="single" w:sz="4" w:space="0" w:color="auto"/>
              <w:right w:val="nil"/>
            </w:tcBorders>
            <w:noWrap/>
            <w:vAlign w:val="center"/>
            <w:hideMark/>
          </w:tcPr>
          <w:p w14:paraId="500684B8" w14:textId="77777777" w:rsidR="008E02C3" w:rsidRPr="001058FB" w:rsidRDefault="008E02C3" w:rsidP="00055DE8">
            <w:pPr>
              <w:jc w:val="center"/>
              <w:rPr>
                <w:color w:val="000000"/>
                <w:sz w:val="20"/>
                <w:lang w:eastAsia="es-PE"/>
              </w:rPr>
            </w:pPr>
            <w:r w:rsidRPr="001058FB">
              <w:rPr>
                <w:color w:val="000000"/>
                <w:sz w:val="20"/>
                <w:lang w:eastAsia="es-PE"/>
              </w:rPr>
              <w:t>43%</w:t>
            </w:r>
          </w:p>
        </w:tc>
      </w:tr>
    </w:tbl>
    <w:p w14:paraId="45AA0D5A" w14:textId="77777777" w:rsidR="00CA1780" w:rsidRDefault="00CA1780" w:rsidP="00CA1780">
      <w:pPr>
        <w:pStyle w:val="Paragraph"/>
      </w:pPr>
    </w:p>
    <w:p w14:paraId="1FD38460" w14:textId="497302CF" w:rsidR="00CA1780" w:rsidRPr="009B16B1" w:rsidRDefault="00CA1780" w:rsidP="00CA1780">
      <w:pPr>
        <w:pStyle w:val="Paragraph"/>
      </w:pPr>
      <w:r w:rsidRPr="009B16B1">
        <w:lastRenderedPageBreak/>
        <w:t>This improvement is also reflected in the specific annual yield, which increased from 1,275 to 1,825 kWh/</w:t>
      </w:r>
      <w:proofErr w:type="spellStart"/>
      <w:r w:rsidRPr="009B16B1">
        <w:t>kWp·year</w:t>
      </w:r>
      <w:proofErr w:type="spellEnd"/>
      <w:r w:rsidRPr="009B16B1">
        <w:t>. These results confirm the superior energy capture of the system with a tracker and its potential to maximize the fraction of demand covered by solar energy, although the absolute benefit depends on the hourly consumption profile and the conditions for feeding surplus energy into the grid.</w:t>
      </w:r>
    </w:p>
    <w:p w14:paraId="1C9CE985" w14:textId="0A798A5D" w:rsidR="00E902F4" w:rsidRPr="005E43DD" w:rsidRDefault="008F640A" w:rsidP="00E902F4">
      <w:pPr>
        <w:pStyle w:val="Heading2"/>
      </w:pPr>
      <w:r w:rsidRPr="005E43DD">
        <w:t>Economic Analysis</w:t>
      </w:r>
      <w:r w:rsidRPr="005E43DD">
        <w:rPr>
          <w:lang w:eastAsia="en-GB"/>
        </w:rPr>
        <w:t xml:space="preserve"> </w:t>
      </w:r>
    </w:p>
    <w:p w14:paraId="1F746A86" w14:textId="6D944681" w:rsidR="00845FA4" w:rsidRPr="00B05FC7" w:rsidRDefault="00B05FC7" w:rsidP="009B7671">
      <w:pPr>
        <w:pStyle w:val="Paragraph"/>
      </w:pPr>
      <w:r w:rsidRPr="00B05FC7">
        <w:t xml:space="preserve">The economic analysis shows that, using actual local market prices, the solar tracking system achieves a LCOE of $0.076/kWh, which is lower than that of the fixed system ($0.091/kWh), due to its higher annual production. However, both systems have similar internal rates of return (IRR ≈ 11%) and payback periods of around 9 years, as the increase in the initial investment for the tracker offsets the benefit of its additional energy, as summarized in Table 3. </w:t>
      </w:r>
    </w:p>
    <w:p w14:paraId="74A6E2BA" w14:textId="623698EC" w:rsidR="00A27543" w:rsidRDefault="007F1737" w:rsidP="00A27543">
      <w:pPr>
        <w:pStyle w:val="tablecaption0"/>
      </w:pPr>
      <w:r>
        <w:rPr>
          <w:b/>
        </w:rPr>
        <w:t>TABLE 3</w:t>
      </w:r>
      <w:r w:rsidR="00A27543">
        <w:rPr>
          <w:b/>
        </w:rPr>
        <w:t>.</w:t>
      </w:r>
      <w:r w:rsidR="00A27543">
        <w:t xml:space="preserve"> </w:t>
      </w:r>
      <w:r w:rsidR="00A27543" w:rsidRPr="00D04BE0">
        <w:t>Economic performance comparison of fixed and tracking residential photovoltaic systems</w:t>
      </w:r>
      <w:r w:rsidR="00A27543">
        <w:t>.</w:t>
      </w:r>
    </w:p>
    <w:tbl>
      <w:tblPr>
        <w:tblW w:w="5670" w:type="dxa"/>
        <w:jc w:val="center"/>
        <w:tblCellMar>
          <w:left w:w="70" w:type="dxa"/>
          <w:right w:w="70" w:type="dxa"/>
        </w:tblCellMar>
        <w:tblLook w:val="04A0" w:firstRow="1" w:lastRow="0" w:firstColumn="1" w:lastColumn="0" w:noHBand="0" w:noVBand="1"/>
      </w:tblPr>
      <w:tblGrid>
        <w:gridCol w:w="2835"/>
        <w:gridCol w:w="1134"/>
        <w:gridCol w:w="1701"/>
      </w:tblGrid>
      <w:tr w:rsidR="00A27543" w:rsidRPr="008B4239" w14:paraId="0CC35ECE" w14:textId="77777777" w:rsidTr="008B4239">
        <w:trPr>
          <w:trHeight w:val="290"/>
          <w:jc w:val="center"/>
        </w:trPr>
        <w:tc>
          <w:tcPr>
            <w:tcW w:w="2835" w:type="dxa"/>
            <w:tcBorders>
              <w:top w:val="single" w:sz="4" w:space="0" w:color="auto"/>
              <w:left w:val="nil"/>
              <w:bottom w:val="single" w:sz="4" w:space="0" w:color="auto"/>
              <w:right w:val="nil"/>
            </w:tcBorders>
            <w:noWrap/>
            <w:vAlign w:val="center"/>
            <w:hideMark/>
          </w:tcPr>
          <w:p w14:paraId="4154E53E" w14:textId="77777777" w:rsidR="00A27543" w:rsidRPr="008B4239" w:rsidRDefault="00A27543" w:rsidP="00055DE8">
            <w:pPr>
              <w:rPr>
                <w:b/>
                <w:bCs/>
                <w:color w:val="000000"/>
                <w:sz w:val="18"/>
                <w:szCs w:val="18"/>
                <w:lang w:eastAsia="es-PE"/>
              </w:rPr>
            </w:pPr>
            <w:r w:rsidRPr="008B4239">
              <w:rPr>
                <w:b/>
                <w:bCs/>
                <w:color w:val="000000"/>
                <w:sz w:val="18"/>
                <w:szCs w:val="18"/>
                <w:lang w:eastAsia="es-PE"/>
              </w:rPr>
              <w:t>Economic Indicator</w:t>
            </w:r>
          </w:p>
        </w:tc>
        <w:tc>
          <w:tcPr>
            <w:tcW w:w="1134" w:type="dxa"/>
            <w:tcBorders>
              <w:top w:val="single" w:sz="4" w:space="0" w:color="auto"/>
              <w:left w:val="nil"/>
              <w:bottom w:val="single" w:sz="4" w:space="0" w:color="auto"/>
              <w:right w:val="nil"/>
            </w:tcBorders>
            <w:noWrap/>
            <w:vAlign w:val="center"/>
            <w:hideMark/>
          </w:tcPr>
          <w:p w14:paraId="70EB561C" w14:textId="77777777" w:rsidR="00A27543" w:rsidRPr="008B4239" w:rsidRDefault="00A27543" w:rsidP="00055DE8">
            <w:pPr>
              <w:rPr>
                <w:b/>
                <w:bCs/>
                <w:color w:val="000000"/>
                <w:sz w:val="18"/>
                <w:szCs w:val="18"/>
                <w:lang w:eastAsia="es-PE"/>
              </w:rPr>
            </w:pPr>
            <w:r w:rsidRPr="008B4239">
              <w:rPr>
                <w:b/>
                <w:bCs/>
                <w:color w:val="000000"/>
                <w:sz w:val="18"/>
                <w:szCs w:val="18"/>
                <w:lang w:eastAsia="es-PE"/>
              </w:rPr>
              <w:t>Fixed system</w:t>
            </w:r>
          </w:p>
        </w:tc>
        <w:tc>
          <w:tcPr>
            <w:tcW w:w="1701" w:type="dxa"/>
            <w:tcBorders>
              <w:top w:val="single" w:sz="4" w:space="0" w:color="auto"/>
              <w:left w:val="nil"/>
              <w:bottom w:val="single" w:sz="4" w:space="0" w:color="auto"/>
              <w:right w:val="nil"/>
            </w:tcBorders>
            <w:noWrap/>
            <w:vAlign w:val="center"/>
            <w:hideMark/>
          </w:tcPr>
          <w:p w14:paraId="0F53612B" w14:textId="77777777" w:rsidR="00A27543" w:rsidRPr="008B4239" w:rsidRDefault="00A27543" w:rsidP="00055DE8">
            <w:pPr>
              <w:rPr>
                <w:b/>
                <w:bCs/>
                <w:color w:val="000000"/>
                <w:sz w:val="18"/>
                <w:szCs w:val="18"/>
                <w:lang w:eastAsia="es-PE"/>
              </w:rPr>
            </w:pPr>
            <w:r w:rsidRPr="008B4239">
              <w:rPr>
                <w:b/>
                <w:bCs/>
                <w:color w:val="000000"/>
                <w:sz w:val="18"/>
                <w:szCs w:val="18"/>
                <w:lang w:eastAsia="es-PE"/>
              </w:rPr>
              <w:t>Tracking system</w:t>
            </w:r>
          </w:p>
        </w:tc>
      </w:tr>
      <w:tr w:rsidR="00A27543" w:rsidRPr="008B4239" w14:paraId="2C4A6FE0" w14:textId="77777777" w:rsidTr="008B4239">
        <w:trPr>
          <w:trHeight w:val="290"/>
          <w:jc w:val="center"/>
        </w:trPr>
        <w:tc>
          <w:tcPr>
            <w:tcW w:w="2835" w:type="dxa"/>
            <w:tcBorders>
              <w:top w:val="nil"/>
              <w:left w:val="nil"/>
              <w:bottom w:val="nil"/>
              <w:right w:val="nil"/>
            </w:tcBorders>
            <w:noWrap/>
            <w:vAlign w:val="center"/>
            <w:hideMark/>
          </w:tcPr>
          <w:p w14:paraId="3E18B072" w14:textId="77777777" w:rsidR="00A27543" w:rsidRPr="008B4239" w:rsidRDefault="00A27543" w:rsidP="00055DE8">
            <w:pPr>
              <w:rPr>
                <w:color w:val="000000"/>
                <w:sz w:val="20"/>
                <w:lang w:eastAsia="es-PE"/>
              </w:rPr>
            </w:pPr>
            <w:r w:rsidRPr="008B4239">
              <w:rPr>
                <w:color w:val="000000"/>
                <w:sz w:val="20"/>
                <w:lang w:eastAsia="es-PE"/>
              </w:rPr>
              <w:t>CAPEX (USD/</w:t>
            </w:r>
            <w:proofErr w:type="spellStart"/>
            <w:r w:rsidRPr="008B4239">
              <w:rPr>
                <w:color w:val="000000"/>
                <w:sz w:val="20"/>
                <w:lang w:eastAsia="es-PE"/>
              </w:rPr>
              <w:t>kWp</w:t>
            </w:r>
            <w:proofErr w:type="spellEnd"/>
            <w:r w:rsidRPr="008B4239">
              <w:rPr>
                <w:color w:val="000000"/>
                <w:sz w:val="20"/>
                <w:lang w:eastAsia="es-PE"/>
              </w:rPr>
              <w:t>)</w:t>
            </w:r>
          </w:p>
        </w:tc>
        <w:tc>
          <w:tcPr>
            <w:tcW w:w="1134" w:type="dxa"/>
            <w:tcBorders>
              <w:top w:val="nil"/>
              <w:left w:val="nil"/>
              <w:bottom w:val="nil"/>
              <w:right w:val="nil"/>
            </w:tcBorders>
            <w:noWrap/>
            <w:vAlign w:val="center"/>
            <w:hideMark/>
          </w:tcPr>
          <w:p w14:paraId="5435D450" w14:textId="77777777" w:rsidR="00A27543" w:rsidRPr="008B4239" w:rsidRDefault="00A27543" w:rsidP="008B4239">
            <w:pPr>
              <w:jc w:val="center"/>
              <w:rPr>
                <w:color w:val="000000"/>
                <w:sz w:val="20"/>
                <w:lang w:eastAsia="es-PE"/>
              </w:rPr>
            </w:pPr>
            <w:r w:rsidRPr="008B4239">
              <w:rPr>
                <w:color w:val="000000"/>
                <w:sz w:val="20"/>
                <w:lang w:eastAsia="es-PE"/>
              </w:rPr>
              <w:t>1139</w:t>
            </w:r>
          </w:p>
        </w:tc>
        <w:tc>
          <w:tcPr>
            <w:tcW w:w="1701" w:type="dxa"/>
            <w:tcBorders>
              <w:top w:val="nil"/>
              <w:left w:val="nil"/>
              <w:bottom w:val="nil"/>
              <w:right w:val="nil"/>
            </w:tcBorders>
            <w:noWrap/>
            <w:vAlign w:val="center"/>
            <w:hideMark/>
          </w:tcPr>
          <w:p w14:paraId="301EE52B" w14:textId="77777777" w:rsidR="00A27543" w:rsidRPr="008B4239" w:rsidRDefault="00A27543" w:rsidP="008B4239">
            <w:pPr>
              <w:jc w:val="center"/>
              <w:rPr>
                <w:color w:val="000000"/>
                <w:sz w:val="20"/>
                <w:lang w:eastAsia="es-PE"/>
              </w:rPr>
            </w:pPr>
            <w:r w:rsidRPr="008B4239">
              <w:rPr>
                <w:color w:val="000000"/>
                <w:sz w:val="20"/>
                <w:lang w:eastAsia="es-PE"/>
              </w:rPr>
              <w:t>1480</w:t>
            </w:r>
          </w:p>
        </w:tc>
      </w:tr>
      <w:tr w:rsidR="00A27543" w:rsidRPr="008B4239" w14:paraId="416A0F0B" w14:textId="77777777" w:rsidTr="008B4239">
        <w:trPr>
          <w:trHeight w:val="290"/>
          <w:jc w:val="center"/>
        </w:trPr>
        <w:tc>
          <w:tcPr>
            <w:tcW w:w="2835" w:type="dxa"/>
            <w:tcBorders>
              <w:top w:val="nil"/>
              <w:left w:val="nil"/>
              <w:bottom w:val="nil"/>
              <w:right w:val="nil"/>
            </w:tcBorders>
            <w:noWrap/>
            <w:vAlign w:val="center"/>
            <w:hideMark/>
          </w:tcPr>
          <w:p w14:paraId="3EB2A244" w14:textId="77777777" w:rsidR="00A27543" w:rsidRPr="008B4239" w:rsidRDefault="00A27543" w:rsidP="00055DE8">
            <w:pPr>
              <w:rPr>
                <w:color w:val="000000"/>
                <w:sz w:val="20"/>
                <w:lang w:eastAsia="es-PE"/>
              </w:rPr>
            </w:pPr>
            <w:r w:rsidRPr="008B4239">
              <w:rPr>
                <w:color w:val="000000"/>
                <w:sz w:val="20"/>
                <w:lang w:eastAsia="es-PE"/>
              </w:rPr>
              <w:t>O&amp;M cost (% CAPEX/year)</w:t>
            </w:r>
          </w:p>
        </w:tc>
        <w:tc>
          <w:tcPr>
            <w:tcW w:w="1134" w:type="dxa"/>
            <w:tcBorders>
              <w:top w:val="nil"/>
              <w:left w:val="nil"/>
              <w:bottom w:val="nil"/>
              <w:right w:val="nil"/>
            </w:tcBorders>
            <w:noWrap/>
            <w:vAlign w:val="center"/>
            <w:hideMark/>
          </w:tcPr>
          <w:p w14:paraId="6607E5E4" w14:textId="77777777" w:rsidR="00A27543" w:rsidRPr="008B4239" w:rsidRDefault="00A27543" w:rsidP="008B4239">
            <w:pPr>
              <w:jc w:val="center"/>
              <w:rPr>
                <w:color w:val="000000"/>
                <w:sz w:val="20"/>
                <w:lang w:eastAsia="es-PE"/>
              </w:rPr>
            </w:pPr>
            <w:r w:rsidRPr="008B4239">
              <w:rPr>
                <w:color w:val="000000"/>
                <w:sz w:val="20"/>
                <w:lang w:eastAsia="es-PE"/>
              </w:rPr>
              <w:t>3%</w:t>
            </w:r>
          </w:p>
        </w:tc>
        <w:tc>
          <w:tcPr>
            <w:tcW w:w="1701" w:type="dxa"/>
            <w:tcBorders>
              <w:top w:val="nil"/>
              <w:left w:val="nil"/>
              <w:bottom w:val="nil"/>
              <w:right w:val="nil"/>
            </w:tcBorders>
            <w:noWrap/>
            <w:vAlign w:val="center"/>
            <w:hideMark/>
          </w:tcPr>
          <w:p w14:paraId="580B37D7" w14:textId="77777777" w:rsidR="00A27543" w:rsidRPr="008B4239" w:rsidRDefault="00A27543" w:rsidP="008B4239">
            <w:pPr>
              <w:jc w:val="center"/>
              <w:rPr>
                <w:color w:val="000000"/>
                <w:sz w:val="20"/>
                <w:lang w:eastAsia="es-PE"/>
              </w:rPr>
            </w:pPr>
            <w:r w:rsidRPr="008B4239">
              <w:rPr>
                <w:color w:val="000000"/>
                <w:sz w:val="20"/>
                <w:lang w:eastAsia="es-PE"/>
              </w:rPr>
              <w:t>3%</w:t>
            </w:r>
          </w:p>
        </w:tc>
      </w:tr>
      <w:tr w:rsidR="00A27543" w:rsidRPr="008B4239" w14:paraId="33F5CC9A" w14:textId="77777777" w:rsidTr="008B4239">
        <w:trPr>
          <w:trHeight w:val="290"/>
          <w:jc w:val="center"/>
        </w:trPr>
        <w:tc>
          <w:tcPr>
            <w:tcW w:w="2835" w:type="dxa"/>
            <w:tcBorders>
              <w:top w:val="nil"/>
              <w:left w:val="nil"/>
              <w:bottom w:val="nil"/>
              <w:right w:val="nil"/>
            </w:tcBorders>
            <w:noWrap/>
            <w:vAlign w:val="center"/>
            <w:hideMark/>
          </w:tcPr>
          <w:p w14:paraId="1CCFEDF8" w14:textId="77777777" w:rsidR="00A27543" w:rsidRPr="008B4239" w:rsidRDefault="00A27543" w:rsidP="00055DE8">
            <w:pPr>
              <w:rPr>
                <w:color w:val="000000"/>
                <w:sz w:val="20"/>
                <w:lang w:eastAsia="es-PE"/>
              </w:rPr>
            </w:pPr>
            <w:r w:rsidRPr="008B4239">
              <w:rPr>
                <w:color w:val="000000"/>
                <w:sz w:val="20"/>
                <w:lang w:eastAsia="es-PE"/>
              </w:rPr>
              <w:t>LCOE (USD/kWh)</w:t>
            </w:r>
          </w:p>
        </w:tc>
        <w:tc>
          <w:tcPr>
            <w:tcW w:w="1134" w:type="dxa"/>
            <w:tcBorders>
              <w:top w:val="nil"/>
              <w:left w:val="nil"/>
              <w:bottom w:val="nil"/>
              <w:right w:val="nil"/>
            </w:tcBorders>
            <w:noWrap/>
            <w:vAlign w:val="center"/>
            <w:hideMark/>
          </w:tcPr>
          <w:p w14:paraId="6FE8F5D1" w14:textId="77777777" w:rsidR="00A27543" w:rsidRPr="008B4239" w:rsidRDefault="00A27543" w:rsidP="008B4239">
            <w:pPr>
              <w:jc w:val="center"/>
              <w:rPr>
                <w:color w:val="000000"/>
                <w:sz w:val="20"/>
                <w:lang w:eastAsia="es-PE"/>
              </w:rPr>
            </w:pPr>
            <w:r w:rsidRPr="008B4239">
              <w:rPr>
                <w:color w:val="000000"/>
                <w:sz w:val="20"/>
                <w:lang w:eastAsia="es-PE"/>
              </w:rPr>
              <w:t>0.091</w:t>
            </w:r>
          </w:p>
        </w:tc>
        <w:tc>
          <w:tcPr>
            <w:tcW w:w="1701" w:type="dxa"/>
            <w:tcBorders>
              <w:top w:val="nil"/>
              <w:left w:val="nil"/>
              <w:bottom w:val="nil"/>
              <w:right w:val="nil"/>
            </w:tcBorders>
            <w:noWrap/>
            <w:vAlign w:val="center"/>
            <w:hideMark/>
          </w:tcPr>
          <w:p w14:paraId="572B5201" w14:textId="77777777" w:rsidR="00A27543" w:rsidRPr="008B4239" w:rsidRDefault="00A27543" w:rsidP="008B4239">
            <w:pPr>
              <w:jc w:val="center"/>
              <w:rPr>
                <w:color w:val="000000"/>
                <w:sz w:val="20"/>
                <w:lang w:eastAsia="es-PE"/>
              </w:rPr>
            </w:pPr>
            <w:r w:rsidRPr="008B4239">
              <w:rPr>
                <w:color w:val="000000"/>
                <w:sz w:val="20"/>
                <w:lang w:eastAsia="es-PE"/>
              </w:rPr>
              <w:t>0.076</w:t>
            </w:r>
          </w:p>
        </w:tc>
      </w:tr>
      <w:tr w:rsidR="00A27543" w:rsidRPr="008B4239" w14:paraId="04F71AD5" w14:textId="77777777" w:rsidTr="008B4239">
        <w:trPr>
          <w:trHeight w:val="290"/>
          <w:jc w:val="center"/>
        </w:trPr>
        <w:tc>
          <w:tcPr>
            <w:tcW w:w="2835" w:type="dxa"/>
            <w:tcBorders>
              <w:top w:val="nil"/>
              <w:left w:val="nil"/>
              <w:bottom w:val="nil"/>
              <w:right w:val="nil"/>
            </w:tcBorders>
            <w:noWrap/>
            <w:vAlign w:val="center"/>
            <w:hideMark/>
          </w:tcPr>
          <w:p w14:paraId="77B6FA6C" w14:textId="33B4C807" w:rsidR="00A27543" w:rsidRPr="008B4239" w:rsidRDefault="00A27543" w:rsidP="00055DE8">
            <w:pPr>
              <w:rPr>
                <w:color w:val="000000"/>
                <w:sz w:val="20"/>
                <w:lang w:eastAsia="es-PE"/>
              </w:rPr>
            </w:pPr>
            <w:r w:rsidRPr="008B4239">
              <w:rPr>
                <w:color w:val="000000"/>
                <w:sz w:val="20"/>
                <w:lang w:eastAsia="es-PE"/>
              </w:rPr>
              <w:t>NPV</w:t>
            </w:r>
            <w:r w:rsidR="008B4239">
              <w:rPr>
                <w:color w:val="000000"/>
                <w:sz w:val="20"/>
                <w:lang w:eastAsia="es-PE"/>
              </w:rPr>
              <w:t xml:space="preserve"> </w:t>
            </w:r>
            <w:r w:rsidRPr="008B4239">
              <w:rPr>
                <w:color w:val="000000"/>
                <w:sz w:val="20"/>
                <w:lang w:eastAsia="es-PE"/>
              </w:rPr>
              <w:t>10% (USD, 25 years)</w:t>
            </w:r>
          </w:p>
        </w:tc>
        <w:tc>
          <w:tcPr>
            <w:tcW w:w="1134" w:type="dxa"/>
            <w:tcBorders>
              <w:top w:val="nil"/>
              <w:left w:val="nil"/>
              <w:bottom w:val="nil"/>
              <w:right w:val="nil"/>
            </w:tcBorders>
            <w:noWrap/>
            <w:vAlign w:val="center"/>
            <w:hideMark/>
          </w:tcPr>
          <w:p w14:paraId="41B1F034" w14:textId="77777777" w:rsidR="00A27543" w:rsidRPr="008B4239" w:rsidRDefault="00A27543" w:rsidP="008B4239">
            <w:pPr>
              <w:jc w:val="center"/>
              <w:rPr>
                <w:color w:val="000000"/>
                <w:sz w:val="20"/>
                <w:lang w:eastAsia="es-PE"/>
              </w:rPr>
            </w:pPr>
            <w:r w:rsidRPr="008B4239">
              <w:rPr>
                <w:color w:val="000000"/>
                <w:sz w:val="20"/>
                <w:lang w:eastAsia="es-PE"/>
              </w:rPr>
              <w:t>65</w:t>
            </w:r>
          </w:p>
        </w:tc>
        <w:tc>
          <w:tcPr>
            <w:tcW w:w="1701" w:type="dxa"/>
            <w:tcBorders>
              <w:top w:val="nil"/>
              <w:left w:val="nil"/>
              <w:bottom w:val="nil"/>
              <w:right w:val="nil"/>
            </w:tcBorders>
            <w:noWrap/>
            <w:vAlign w:val="center"/>
            <w:hideMark/>
          </w:tcPr>
          <w:p w14:paraId="6258D52D" w14:textId="77777777" w:rsidR="00A27543" w:rsidRPr="008B4239" w:rsidRDefault="00A27543" w:rsidP="008B4239">
            <w:pPr>
              <w:jc w:val="center"/>
              <w:rPr>
                <w:color w:val="000000"/>
                <w:sz w:val="20"/>
                <w:lang w:eastAsia="es-PE"/>
              </w:rPr>
            </w:pPr>
            <w:r w:rsidRPr="008B4239">
              <w:rPr>
                <w:color w:val="000000"/>
                <w:sz w:val="20"/>
                <w:lang w:eastAsia="es-PE"/>
              </w:rPr>
              <w:t>54</w:t>
            </w:r>
          </w:p>
        </w:tc>
      </w:tr>
      <w:tr w:rsidR="00A27543" w:rsidRPr="008B4239" w14:paraId="6A51CB90" w14:textId="77777777" w:rsidTr="008B4239">
        <w:trPr>
          <w:trHeight w:val="290"/>
          <w:jc w:val="center"/>
        </w:trPr>
        <w:tc>
          <w:tcPr>
            <w:tcW w:w="2835" w:type="dxa"/>
            <w:tcBorders>
              <w:top w:val="nil"/>
              <w:left w:val="nil"/>
              <w:bottom w:val="nil"/>
              <w:right w:val="nil"/>
            </w:tcBorders>
            <w:noWrap/>
            <w:vAlign w:val="center"/>
            <w:hideMark/>
          </w:tcPr>
          <w:p w14:paraId="16CD1E0B" w14:textId="77777777" w:rsidR="00A27543" w:rsidRPr="008B4239" w:rsidRDefault="00A27543" w:rsidP="00055DE8">
            <w:pPr>
              <w:rPr>
                <w:color w:val="000000"/>
                <w:sz w:val="20"/>
                <w:lang w:eastAsia="es-PE"/>
              </w:rPr>
            </w:pPr>
            <w:r w:rsidRPr="008B4239">
              <w:rPr>
                <w:color w:val="000000"/>
                <w:sz w:val="20"/>
                <w:lang w:eastAsia="es-PE"/>
              </w:rPr>
              <w:t>IRR (%)</w:t>
            </w:r>
          </w:p>
        </w:tc>
        <w:tc>
          <w:tcPr>
            <w:tcW w:w="1134" w:type="dxa"/>
            <w:tcBorders>
              <w:top w:val="nil"/>
              <w:left w:val="nil"/>
              <w:bottom w:val="nil"/>
              <w:right w:val="nil"/>
            </w:tcBorders>
            <w:noWrap/>
            <w:vAlign w:val="center"/>
            <w:hideMark/>
          </w:tcPr>
          <w:p w14:paraId="56065C78" w14:textId="77777777" w:rsidR="00A27543" w:rsidRPr="008B4239" w:rsidRDefault="00A27543" w:rsidP="008B4239">
            <w:pPr>
              <w:jc w:val="center"/>
              <w:rPr>
                <w:color w:val="000000"/>
                <w:sz w:val="20"/>
                <w:lang w:eastAsia="es-PE"/>
              </w:rPr>
            </w:pPr>
            <w:r w:rsidRPr="008B4239">
              <w:rPr>
                <w:color w:val="000000"/>
                <w:sz w:val="20"/>
                <w:lang w:eastAsia="es-PE"/>
              </w:rPr>
              <w:t>11.3</w:t>
            </w:r>
          </w:p>
        </w:tc>
        <w:tc>
          <w:tcPr>
            <w:tcW w:w="1701" w:type="dxa"/>
            <w:tcBorders>
              <w:top w:val="nil"/>
              <w:left w:val="nil"/>
              <w:bottom w:val="nil"/>
              <w:right w:val="nil"/>
            </w:tcBorders>
            <w:noWrap/>
            <w:vAlign w:val="center"/>
            <w:hideMark/>
          </w:tcPr>
          <w:p w14:paraId="4D164494" w14:textId="77777777" w:rsidR="00A27543" w:rsidRPr="008B4239" w:rsidRDefault="00A27543" w:rsidP="008B4239">
            <w:pPr>
              <w:jc w:val="center"/>
              <w:rPr>
                <w:color w:val="000000"/>
                <w:sz w:val="20"/>
                <w:lang w:eastAsia="es-PE"/>
              </w:rPr>
            </w:pPr>
            <w:r w:rsidRPr="008B4239">
              <w:rPr>
                <w:color w:val="000000"/>
                <w:sz w:val="20"/>
                <w:lang w:eastAsia="es-PE"/>
              </w:rPr>
              <w:t>11.1</w:t>
            </w:r>
          </w:p>
        </w:tc>
      </w:tr>
      <w:tr w:rsidR="00A27543" w:rsidRPr="008B4239" w14:paraId="1C3D06D7" w14:textId="77777777" w:rsidTr="008B4239">
        <w:trPr>
          <w:trHeight w:val="290"/>
          <w:jc w:val="center"/>
        </w:trPr>
        <w:tc>
          <w:tcPr>
            <w:tcW w:w="2835" w:type="dxa"/>
            <w:tcBorders>
              <w:top w:val="nil"/>
              <w:left w:val="nil"/>
              <w:bottom w:val="nil"/>
              <w:right w:val="nil"/>
            </w:tcBorders>
            <w:noWrap/>
            <w:vAlign w:val="center"/>
            <w:hideMark/>
          </w:tcPr>
          <w:p w14:paraId="5EFB3F6F" w14:textId="77777777" w:rsidR="00A27543" w:rsidRPr="008B4239" w:rsidRDefault="00A27543" w:rsidP="00055DE8">
            <w:pPr>
              <w:rPr>
                <w:color w:val="000000"/>
                <w:sz w:val="20"/>
                <w:lang w:eastAsia="es-PE"/>
              </w:rPr>
            </w:pPr>
            <w:r w:rsidRPr="008B4239">
              <w:rPr>
                <w:color w:val="000000"/>
                <w:sz w:val="20"/>
                <w:lang w:eastAsia="es-PE"/>
              </w:rPr>
              <w:t>Payback period (years)</w:t>
            </w:r>
          </w:p>
        </w:tc>
        <w:tc>
          <w:tcPr>
            <w:tcW w:w="1134" w:type="dxa"/>
            <w:tcBorders>
              <w:top w:val="nil"/>
              <w:left w:val="nil"/>
              <w:bottom w:val="nil"/>
              <w:right w:val="nil"/>
            </w:tcBorders>
            <w:noWrap/>
            <w:vAlign w:val="center"/>
            <w:hideMark/>
          </w:tcPr>
          <w:p w14:paraId="67BD6348" w14:textId="77777777" w:rsidR="00A27543" w:rsidRPr="008B4239" w:rsidRDefault="00A27543" w:rsidP="008B4239">
            <w:pPr>
              <w:jc w:val="center"/>
              <w:rPr>
                <w:color w:val="000000"/>
                <w:sz w:val="20"/>
                <w:lang w:eastAsia="es-PE"/>
              </w:rPr>
            </w:pPr>
            <w:r w:rsidRPr="008B4239">
              <w:rPr>
                <w:color w:val="000000"/>
                <w:sz w:val="20"/>
                <w:lang w:eastAsia="es-PE"/>
              </w:rPr>
              <w:t>8.6</w:t>
            </w:r>
          </w:p>
        </w:tc>
        <w:tc>
          <w:tcPr>
            <w:tcW w:w="1701" w:type="dxa"/>
            <w:tcBorders>
              <w:top w:val="nil"/>
              <w:left w:val="nil"/>
              <w:bottom w:val="nil"/>
              <w:right w:val="nil"/>
            </w:tcBorders>
            <w:noWrap/>
            <w:vAlign w:val="center"/>
            <w:hideMark/>
          </w:tcPr>
          <w:p w14:paraId="6796B8D1" w14:textId="77777777" w:rsidR="00A27543" w:rsidRPr="008B4239" w:rsidRDefault="00A27543" w:rsidP="008B4239">
            <w:pPr>
              <w:jc w:val="center"/>
              <w:rPr>
                <w:color w:val="000000"/>
                <w:sz w:val="20"/>
                <w:lang w:eastAsia="es-PE"/>
              </w:rPr>
            </w:pPr>
            <w:r w:rsidRPr="008B4239">
              <w:rPr>
                <w:color w:val="000000"/>
                <w:sz w:val="20"/>
                <w:lang w:eastAsia="es-PE"/>
              </w:rPr>
              <w:t>8.8</w:t>
            </w:r>
          </w:p>
        </w:tc>
      </w:tr>
      <w:tr w:rsidR="00A27543" w:rsidRPr="008B4239" w14:paraId="04F07B96" w14:textId="77777777" w:rsidTr="008B4239">
        <w:trPr>
          <w:trHeight w:val="290"/>
          <w:jc w:val="center"/>
        </w:trPr>
        <w:tc>
          <w:tcPr>
            <w:tcW w:w="2835" w:type="dxa"/>
            <w:tcBorders>
              <w:top w:val="nil"/>
              <w:left w:val="nil"/>
              <w:bottom w:val="single" w:sz="4" w:space="0" w:color="auto"/>
              <w:right w:val="nil"/>
            </w:tcBorders>
            <w:noWrap/>
            <w:vAlign w:val="center"/>
            <w:hideMark/>
          </w:tcPr>
          <w:p w14:paraId="6C3C2292" w14:textId="77777777" w:rsidR="00A27543" w:rsidRPr="008B4239" w:rsidRDefault="00A27543" w:rsidP="00055DE8">
            <w:pPr>
              <w:rPr>
                <w:color w:val="000000"/>
                <w:sz w:val="20"/>
                <w:lang w:eastAsia="es-PE"/>
              </w:rPr>
            </w:pPr>
            <w:r w:rsidRPr="008B4239">
              <w:rPr>
                <w:color w:val="000000"/>
                <w:sz w:val="20"/>
                <w:lang w:eastAsia="es-PE"/>
              </w:rPr>
              <w:t>First-year savings (USD)</w:t>
            </w:r>
          </w:p>
        </w:tc>
        <w:tc>
          <w:tcPr>
            <w:tcW w:w="1134" w:type="dxa"/>
            <w:tcBorders>
              <w:top w:val="nil"/>
              <w:left w:val="nil"/>
              <w:bottom w:val="single" w:sz="4" w:space="0" w:color="auto"/>
              <w:right w:val="nil"/>
            </w:tcBorders>
            <w:noWrap/>
            <w:vAlign w:val="center"/>
            <w:hideMark/>
          </w:tcPr>
          <w:p w14:paraId="5A072B48" w14:textId="77777777" w:rsidR="00A27543" w:rsidRPr="008B4239" w:rsidRDefault="00A27543" w:rsidP="008B4239">
            <w:pPr>
              <w:jc w:val="center"/>
              <w:rPr>
                <w:color w:val="000000"/>
                <w:sz w:val="20"/>
                <w:lang w:eastAsia="es-PE"/>
              </w:rPr>
            </w:pPr>
            <w:r w:rsidRPr="008B4239">
              <w:rPr>
                <w:color w:val="000000"/>
                <w:sz w:val="20"/>
                <w:lang w:eastAsia="es-PE"/>
              </w:rPr>
              <w:t>326</w:t>
            </w:r>
          </w:p>
        </w:tc>
        <w:tc>
          <w:tcPr>
            <w:tcW w:w="1701" w:type="dxa"/>
            <w:tcBorders>
              <w:top w:val="nil"/>
              <w:left w:val="nil"/>
              <w:bottom w:val="single" w:sz="4" w:space="0" w:color="auto"/>
              <w:right w:val="nil"/>
            </w:tcBorders>
            <w:noWrap/>
            <w:vAlign w:val="center"/>
            <w:hideMark/>
          </w:tcPr>
          <w:p w14:paraId="601446E4" w14:textId="77777777" w:rsidR="00A27543" w:rsidRPr="008B4239" w:rsidRDefault="00A27543" w:rsidP="008B4239">
            <w:pPr>
              <w:jc w:val="center"/>
              <w:rPr>
                <w:color w:val="000000"/>
                <w:sz w:val="20"/>
                <w:lang w:eastAsia="es-PE"/>
              </w:rPr>
            </w:pPr>
            <w:r w:rsidRPr="008B4239">
              <w:rPr>
                <w:color w:val="000000"/>
                <w:sz w:val="20"/>
                <w:lang w:eastAsia="es-PE"/>
              </w:rPr>
              <w:t>423</w:t>
            </w:r>
          </w:p>
        </w:tc>
      </w:tr>
    </w:tbl>
    <w:p w14:paraId="38D44CA6" w14:textId="77777777" w:rsidR="00AB700E" w:rsidRDefault="00AB700E" w:rsidP="00BE25BB">
      <w:pPr>
        <w:pStyle w:val="Estilo1"/>
      </w:pPr>
    </w:p>
    <w:p w14:paraId="353C53A4" w14:textId="4C2582C7" w:rsidR="00BE22A4" w:rsidRDefault="00BE22A4" w:rsidP="00BE25BB">
      <w:pPr>
        <w:pStyle w:val="Estilo1"/>
      </w:pPr>
      <w:r w:rsidRPr="00B05FC7">
        <w:t xml:space="preserve">The NPV, calculated </w:t>
      </w:r>
      <w:r w:rsidR="002B01DC" w:rsidRPr="00B05FC7">
        <w:t>at</w:t>
      </w:r>
      <w:r w:rsidRPr="00B05FC7">
        <w:t xml:space="preserve"> a discount rate of 10%, is barely positive in both cases, indicating financial viability under current tariff conditions. These results show that, in the absence of incentives or preferential tariffs for surplus energy, the economic advantage of the tracker over the fixed system is marginal in the residential context of Lima.</w:t>
      </w:r>
    </w:p>
    <w:p w14:paraId="56D9B4C9" w14:textId="3F94BB12" w:rsidR="00E902F4" w:rsidRPr="00057AB8" w:rsidRDefault="00057AB8" w:rsidP="00E902F4">
      <w:pPr>
        <w:pStyle w:val="Heading2"/>
      </w:pPr>
      <w:r w:rsidRPr="00057AB8">
        <w:t xml:space="preserve">Impact </w:t>
      </w:r>
      <w:r w:rsidR="008F640A">
        <w:t>o</w:t>
      </w:r>
      <w:r w:rsidR="008F640A" w:rsidRPr="00057AB8">
        <w:t>f Tracker Energy Consumption</w:t>
      </w:r>
    </w:p>
    <w:p w14:paraId="78F47113" w14:textId="2F2DA57A" w:rsidR="00D50ED0" w:rsidRPr="00A84899" w:rsidRDefault="00A84899" w:rsidP="00BE25BB">
      <w:pPr>
        <w:pStyle w:val="Estilo1"/>
      </w:pPr>
      <w:r w:rsidRPr="00A84899">
        <w:t xml:space="preserve">The energy consumption of the solar tracking system was estimated at 50 kWh/year, representing less than 0.5% of the total annual production of the photovoltaic system with tracker. This energy is subtracted from the gross generation, resulting in a </w:t>
      </w:r>
      <w:proofErr w:type="spellStart"/>
      <w:r w:rsidRPr="00A84899">
        <w:t>net</w:t>
      </w:r>
      <w:proofErr w:type="spellEnd"/>
      <w:r w:rsidRPr="00A84899">
        <w:t xml:space="preserve"> generation of 10,299 kWh/year. The energy penalty is minimal and does not significantly affect the system's annual balance or key economic indicators. However, to obtain an accurate assessment of actual performance, it is essential to incorporate this auxiliary consumption into net energy calculations and financial analysis.</w:t>
      </w:r>
    </w:p>
    <w:p w14:paraId="1BF9AF80" w14:textId="248EB529" w:rsidR="00A7772D" w:rsidRDefault="002463C3" w:rsidP="00A7772D">
      <w:pPr>
        <w:pStyle w:val="tablecaption0"/>
      </w:pPr>
      <w:r>
        <w:rPr>
          <w:b/>
        </w:rPr>
        <w:t>TABLE 4</w:t>
      </w:r>
      <w:r w:rsidR="00A7772D">
        <w:rPr>
          <w:b/>
        </w:rPr>
        <w:t>.</w:t>
      </w:r>
      <w:r w:rsidR="00A7772D">
        <w:t xml:space="preserve"> </w:t>
      </w:r>
      <w:r w:rsidR="00A7772D" w:rsidRPr="003946EF">
        <w:t>Impact of annual tracker energy consumption on net PV yield in the tracking system</w:t>
      </w:r>
      <w:r w:rsidR="00A7772D">
        <w:t>.</w:t>
      </w:r>
    </w:p>
    <w:tbl>
      <w:tblPr>
        <w:tblW w:w="5000" w:type="dxa"/>
        <w:jc w:val="center"/>
        <w:tblCellMar>
          <w:left w:w="70" w:type="dxa"/>
          <w:right w:w="70" w:type="dxa"/>
        </w:tblCellMar>
        <w:tblLook w:val="04A0" w:firstRow="1" w:lastRow="0" w:firstColumn="1" w:lastColumn="0" w:noHBand="0" w:noVBand="1"/>
      </w:tblPr>
      <w:tblGrid>
        <w:gridCol w:w="3420"/>
        <w:gridCol w:w="1580"/>
      </w:tblGrid>
      <w:tr w:rsidR="00A7772D" w:rsidRPr="002806AC" w14:paraId="5248E3B9" w14:textId="77777777" w:rsidTr="00055DE8">
        <w:trPr>
          <w:trHeight w:val="290"/>
          <w:jc w:val="center"/>
        </w:trPr>
        <w:tc>
          <w:tcPr>
            <w:tcW w:w="3420" w:type="dxa"/>
            <w:tcBorders>
              <w:top w:val="single" w:sz="4" w:space="0" w:color="auto"/>
              <w:left w:val="nil"/>
              <w:bottom w:val="single" w:sz="4" w:space="0" w:color="auto"/>
              <w:right w:val="nil"/>
            </w:tcBorders>
            <w:noWrap/>
            <w:vAlign w:val="center"/>
            <w:hideMark/>
          </w:tcPr>
          <w:p w14:paraId="54CE92F3" w14:textId="77777777" w:rsidR="00A7772D" w:rsidRPr="002806AC" w:rsidRDefault="00A7772D" w:rsidP="00055DE8">
            <w:pPr>
              <w:rPr>
                <w:b/>
                <w:bCs/>
                <w:color w:val="000000"/>
                <w:sz w:val="18"/>
                <w:szCs w:val="18"/>
                <w:lang w:eastAsia="es-PE"/>
              </w:rPr>
            </w:pPr>
            <w:r w:rsidRPr="002806AC">
              <w:rPr>
                <w:b/>
                <w:bCs/>
                <w:color w:val="000000"/>
                <w:sz w:val="18"/>
                <w:szCs w:val="18"/>
                <w:lang w:eastAsia="es-PE"/>
              </w:rPr>
              <w:t>Indicator</w:t>
            </w:r>
          </w:p>
        </w:tc>
        <w:tc>
          <w:tcPr>
            <w:tcW w:w="1580" w:type="dxa"/>
            <w:tcBorders>
              <w:top w:val="single" w:sz="4" w:space="0" w:color="auto"/>
              <w:left w:val="nil"/>
              <w:bottom w:val="single" w:sz="4" w:space="0" w:color="auto"/>
              <w:right w:val="nil"/>
            </w:tcBorders>
            <w:noWrap/>
            <w:vAlign w:val="center"/>
            <w:hideMark/>
          </w:tcPr>
          <w:p w14:paraId="13E84FC5" w14:textId="77777777" w:rsidR="00A7772D" w:rsidRPr="002806AC" w:rsidRDefault="00A7772D" w:rsidP="00055DE8">
            <w:pPr>
              <w:rPr>
                <w:b/>
                <w:bCs/>
                <w:color w:val="000000"/>
                <w:sz w:val="18"/>
                <w:szCs w:val="18"/>
                <w:lang w:eastAsia="es-PE"/>
              </w:rPr>
            </w:pPr>
            <w:r w:rsidRPr="002806AC">
              <w:rPr>
                <w:b/>
                <w:bCs/>
                <w:color w:val="000000"/>
                <w:sz w:val="18"/>
                <w:szCs w:val="18"/>
                <w:lang w:eastAsia="es-PE"/>
              </w:rPr>
              <w:t>Tracking system</w:t>
            </w:r>
          </w:p>
        </w:tc>
      </w:tr>
      <w:tr w:rsidR="00A7772D" w:rsidRPr="002806AC" w14:paraId="0CFCA950" w14:textId="77777777" w:rsidTr="00055DE8">
        <w:trPr>
          <w:trHeight w:val="290"/>
          <w:jc w:val="center"/>
        </w:trPr>
        <w:tc>
          <w:tcPr>
            <w:tcW w:w="3420" w:type="dxa"/>
            <w:tcBorders>
              <w:top w:val="nil"/>
              <w:left w:val="nil"/>
              <w:bottom w:val="nil"/>
              <w:right w:val="nil"/>
            </w:tcBorders>
            <w:noWrap/>
            <w:vAlign w:val="center"/>
            <w:hideMark/>
          </w:tcPr>
          <w:p w14:paraId="51552206" w14:textId="77777777" w:rsidR="00A7772D" w:rsidRPr="002806AC" w:rsidRDefault="00A7772D" w:rsidP="00055DE8">
            <w:pPr>
              <w:rPr>
                <w:color w:val="000000"/>
                <w:sz w:val="20"/>
                <w:lang w:eastAsia="es-PE"/>
              </w:rPr>
            </w:pPr>
            <w:r w:rsidRPr="002806AC">
              <w:rPr>
                <w:color w:val="000000"/>
                <w:sz w:val="20"/>
                <w:lang w:eastAsia="es-PE"/>
              </w:rPr>
              <w:t>Gross annual PV yield (kWh)</w:t>
            </w:r>
          </w:p>
        </w:tc>
        <w:tc>
          <w:tcPr>
            <w:tcW w:w="1580" w:type="dxa"/>
            <w:tcBorders>
              <w:top w:val="nil"/>
              <w:left w:val="nil"/>
              <w:bottom w:val="nil"/>
              <w:right w:val="nil"/>
            </w:tcBorders>
            <w:noWrap/>
            <w:vAlign w:val="center"/>
            <w:hideMark/>
          </w:tcPr>
          <w:p w14:paraId="4A0716A6" w14:textId="77777777" w:rsidR="00A7772D" w:rsidRPr="002806AC" w:rsidRDefault="00A7772D" w:rsidP="00FA32AE">
            <w:pPr>
              <w:jc w:val="center"/>
              <w:rPr>
                <w:color w:val="000000"/>
                <w:sz w:val="20"/>
                <w:lang w:eastAsia="es-PE"/>
              </w:rPr>
            </w:pPr>
            <w:r w:rsidRPr="002806AC">
              <w:rPr>
                <w:color w:val="000000"/>
                <w:sz w:val="20"/>
                <w:lang w:eastAsia="es-PE"/>
              </w:rPr>
              <w:t>10349</w:t>
            </w:r>
          </w:p>
        </w:tc>
      </w:tr>
      <w:tr w:rsidR="00A7772D" w:rsidRPr="002806AC" w14:paraId="7C72B42C" w14:textId="77777777" w:rsidTr="00055DE8">
        <w:trPr>
          <w:trHeight w:val="290"/>
          <w:jc w:val="center"/>
        </w:trPr>
        <w:tc>
          <w:tcPr>
            <w:tcW w:w="3420" w:type="dxa"/>
            <w:tcBorders>
              <w:top w:val="nil"/>
              <w:left w:val="nil"/>
              <w:bottom w:val="nil"/>
              <w:right w:val="nil"/>
            </w:tcBorders>
            <w:noWrap/>
            <w:vAlign w:val="center"/>
            <w:hideMark/>
          </w:tcPr>
          <w:p w14:paraId="53F80EB8" w14:textId="77777777" w:rsidR="00A7772D" w:rsidRPr="002806AC" w:rsidRDefault="00A7772D" w:rsidP="00055DE8">
            <w:pPr>
              <w:rPr>
                <w:color w:val="000000"/>
                <w:sz w:val="20"/>
                <w:lang w:eastAsia="es-PE"/>
              </w:rPr>
            </w:pPr>
            <w:r w:rsidRPr="002806AC">
              <w:rPr>
                <w:color w:val="000000"/>
                <w:sz w:val="20"/>
                <w:lang w:eastAsia="es-PE"/>
              </w:rPr>
              <w:t>Tracker annual consumption (kWh)</w:t>
            </w:r>
          </w:p>
        </w:tc>
        <w:tc>
          <w:tcPr>
            <w:tcW w:w="1580" w:type="dxa"/>
            <w:tcBorders>
              <w:top w:val="nil"/>
              <w:left w:val="nil"/>
              <w:bottom w:val="nil"/>
              <w:right w:val="nil"/>
            </w:tcBorders>
            <w:noWrap/>
            <w:vAlign w:val="center"/>
            <w:hideMark/>
          </w:tcPr>
          <w:p w14:paraId="6E598C92" w14:textId="77777777" w:rsidR="00A7772D" w:rsidRPr="002806AC" w:rsidRDefault="00A7772D" w:rsidP="00FA32AE">
            <w:pPr>
              <w:jc w:val="center"/>
              <w:rPr>
                <w:color w:val="000000"/>
                <w:sz w:val="20"/>
                <w:lang w:eastAsia="es-PE"/>
              </w:rPr>
            </w:pPr>
            <w:r w:rsidRPr="002806AC">
              <w:rPr>
                <w:color w:val="000000"/>
                <w:sz w:val="20"/>
                <w:lang w:eastAsia="es-PE"/>
              </w:rPr>
              <w:t>50</w:t>
            </w:r>
          </w:p>
        </w:tc>
      </w:tr>
      <w:tr w:rsidR="00A7772D" w:rsidRPr="002806AC" w14:paraId="17DB28EE" w14:textId="77777777" w:rsidTr="00055DE8">
        <w:trPr>
          <w:trHeight w:val="290"/>
          <w:jc w:val="center"/>
        </w:trPr>
        <w:tc>
          <w:tcPr>
            <w:tcW w:w="3420" w:type="dxa"/>
            <w:tcBorders>
              <w:top w:val="nil"/>
              <w:left w:val="nil"/>
              <w:bottom w:val="nil"/>
              <w:right w:val="nil"/>
            </w:tcBorders>
            <w:noWrap/>
            <w:vAlign w:val="center"/>
            <w:hideMark/>
          </w:tcPr>
          <w:p w14:paraId="5776F4FE" w14:textId="77777777" w:rsidR="00A7772D" w:rsidRPr="002806AC" w:rsidRDefault="00A7772D" w:rsidP="00055DE8">
            <w:pPr>
              <w:rPr>
                <w:color w:val="000000"/>
                <w:sz w:val="20"/>
                <w:lang w:eastAsia="es-PE"/>
              </w:rPr>
            </w:pPr>
            <w:r w:rsidRPr="002806AC">
              <w:rPr>
                <w:color w:val="000000"/>
                <w:sz w:val="20"/>
                <w:lang w:eastAsia="es-PE"/>
              </w:rPr>
              <w:t>Net annual PV yield (kWh)</w:t>
            </w:r>
          </w:p>
        </w:tc>
        <w:tc>
          <w:tcPr>
            <w:tcW w:w="1580" w:type="dxa"/>
            <w:tcBorders>
              <w:top w:val="nil"/>
              <w:left w:val="nil"/>
              <w:bottom w:val="nil"/>
              <w:right w:val="nil"/>
            </w:tcBorders>
            <w:noWrap/>
            <w:vAlign w:val="center"/>
            <w:hideMark/>
          </w:tcPr>
          <w:p w14:paraId="09A19B9A" w14:textId="77777777" w:rsidR="00A7772D" w:rsidRPr="002806AC" w:rsidRDefault="00A7772D" w:rsidP="00FA32AE">
            <w:pPr>
              <w:jc w:val="center"/>
              <w:rPr>
                <w:color w:val="000000"/>
                <w:sz w:val="20"/>
                <w:lang w:eastAsia="es-PE"/>
              </w:rPr>
            </w:pPr>
            <w:r w:rsidRPr="002806AC">
              <w:rPr>
                <w:color w:val="000000"/>
                <w:sz w:val="20"/>
                <w:lang w:eastAsia="es-PE"/>
              </w:rPr>
              <w:t>10299</w:t>
            </w:r>
          </w:p>
        </w:tc>
      </w:tr>
      <w:tr w:rsidR="00A7772D" w:rsidRPr="002806AC" w14:paraId="309E6DCB" w14:textId="77777777" w:rsidTr="00055DE8">
        <w:trPr>
          <w:trHeight w:val="290"/>
          <w:jc w:val="center"/>
        </w:trPr>
        <w:tc>
          <w:tcPr>
            <w:tcW w:w="3420" w:type="dxa"/>
            <w:tcBorders>
              <w:top w:val="nil"/>
              <w:left w:val="nil"/>
              <w:bottom w:val="single" w:sz="4" w:space="0" w:color="auto"/>
              <w:right w:val="nil"/>
            </w:tcBorders>
            <w:noWrap/>
            <w:vAlign w:val="center"/>
            <w:hideMark/>
          </w:tcPr>
          <w:p w14:paraId="4DBDFEF6" w14:textId="77777777" w:rsidR="00A7772D" w:rsidRPr="002806AC" w:rsidRDefault="00A7772D" w:rsidP="00055DE8">
            <w:pPr>
              <w:rPr>
                <w:color w:val="000000"/>
                <w:sz w:val="20"/>
                <w:lang w:eastAsia="es-PE"/>
              </w:rPr>
            </w:pPr>
            <w:r w:rsidRPr="002806AC">
              <w:rPr>
                <w:color w:val="000000"/>
                <w:sz w:val="20"/>
                <w:lang w:eastAsia="es-PE"/>
              </w:rPr>
              <w:t>Net loss vs. gross (%)</w:t>
            </w:r>
          </w:p>
        </w:tc>
        <w:tc>
          <w:tcPr>
            <w:tcW w:w="1580" w:type="dxa"/>
            <w:tcBorders>
              <w:top w:val="nil"/>
              <w:left w:val="nil"/>
              <w:bottom w:val="single" w:sz="4" w:space="0" w:color="auto"/>
              <w:right w:val="nil"/>
            </w:tcBorders>
            <w:noWrap/>
            <w:vAlign w:val="center"/>
            <w:hideMark/>
          </w:tcPr>
          <w:p w14:paraId="0CEB0EAB" w14:textId="77777777" w:rsidR="00A7772D" w:rsidRPr="002806AC" w:rsidRDefault="00A7772D" w:rsidP="00FA32AE">
            <w:pPr>
              <w:jc w:val="center"/>
              <w:rPr>
                <w:color w:val="000000"/>
                <w:sz w:val="20"/>
                <w:lang w:eastAsia="es-PE"/>
              </w:rPr>
            </w:pPr>
            <w:r w:rsidRPr="002806AC">
              <w:rPr>
                <w:color w:val="000000"/>
                <w:sz w:val="20"/>
                <w:lang w:eastAsia="es-PE"/>
              </w:rPr>
              <w:t>0.48%</w:t>
            </w:r>
          </w:p>
        </w:tc>
      </w:tr>
    </w:tbl>
    <w:p w14:paraId="0F5F191E" w14:textId="5E76533B" w:rsidR="004E3C57" w:rsidRPr="004B3FA8" w:rsidRDefault="004B3FA8" w:rsidP="004E3C57">
      <w:pPr>
        <w:pStyle w:val="Heading2"/>
      </w:pPr>
      <w:r w:rsidRPr="004B3FA8">
        <w:t>Sensitivity Analysis</w:t>
      </w:r>
    </w:p>
    <w:p w14:paraId="7DBEF0B3" w14:textId="65610490" w:rsidR="00AC0FDD" w:rsidRPr="007F7D60" w:rsidRDefault="007F7D60" w:rsidP="005A0E21">
      <w:pPr>
        <w:pStyle w:val="Paragraph"/>
      </w:pPr>
      <w:r w:rsidRPr="007F7D60">
        <w:t xml:space="preserve">The sensitivity analysis shows that the LCOE and NPV of the solar tracking system are highly sensitive to the initial investment cost (CAPEX) and the price of energy, while the impact of operating and maintenance costs (OPEX) is marginal. A 20% reduction in CAPEX decreases the LCOE by 19% and transforms the NPV from negative to positive, dramatically improving the project's profitability, as shown in Table 5. Similarly, a 20% increase in the energy price makes the project financially attractive. Conversely, increases in CAPEX or reductions in the energy price significantly worsen the economic indicators, potentially making the investment unviable. Moderate variations </w:t>
      </w:r>
      <w:r w:rsidRPr="007F7D60">
        <w:lastRenderedPageBreak/>
        <w:t>in the discount rate also have a notable influence on the NPV but have little effect on the LCOE. These results underscore the importance of the initial investment and the tariff environment for the economic viability of residential PV systems with solar tracking.</w:t>
      </w:r>
    </w:p>
    <w:p w14:paraId="36DEBC24" w14:textId="3850B522" w:rsidR="000078CB" w:rsidRDefault="007F1737" w:rsidP="000078CB">
      <w:pPr>
        <w:pStyle w:val="tablecaption0"/>
      </w:pPr>
      <w:r>
        <w:rPr>
          <w:b/>
        </w:rPr>
        <w:t>TABLE 5</w:t>
      </w:r>
      <w:r w:rsidR="000078CB">
        <w:rPr>
          <w:b/>
        </w:rPr>
        <w:t>.</w:t>
      </w:r>
      <w:r w:rsidR="000078CB">
        <w:t xml:space="preserve"> </w:t>
      </w:r>
      <w:r w:rsidR="00F5071B" w:rsidRPr="00F5071B">
        <w:t>Sensitivity analysis of economic parameters for residential PV systems with solar tracking: LCOE and NPV</w:t>
      </w:r>
      <w:r w:rsidR="000078CB">
        <w:t>.</w:t>
      </w:r>
    </w:p>
    <w:tbl>
      <w:tblPr>
        <w:tblW w:w="4695" w:type="pct"/>
        <w:jc w:val="center"/>
        <w:tblCellMar>
          <w:left w:w="70" w:type="dxa"/>
          <w:right w:w="70" w:type="dxa"/>
        </w:tblCellMar>
        <w:tblLook w:val="04A0" w:firstRow="1" w:lastRow="0" w:firstColumn="1" w:lastColumn="0" w:noHBand="0" w:noVBand="1"/>
      </w:tblPr>
      <w:tblGrid>
        <w:gridCol w:w="2192"/>
        <w:gridCol w:w="1825"/>
        <w:gridCol w:w="1051"/>
        <w:gridCol w:w="1343"/>
        <w:gridCol w:w="1401"/>
        <w:gridCol w:w="977"/>
      </w:tblGrid>
      <w:tr w:rsidR="008E0B3E" w:rsidRPr="008E0B3E" w14:paraId="57825D6A" w14:textId="77777777" w:rsidTr="00311EFF">
        <w:trPr>
          <w:trHeight w:val="690"/>
          <w:jc w:val="center"/>
        </w:trPr>
        <w:tc>
          <w:tcPr>
            <w:tcW w:w="1209" w:type="pct"/>
            <w:tcBorders>
              <w:top w:val="single" w:sz="4" w:space="0" w:color="auto"/>
              <w:left w:val="nil"/>
              <w:bottom w:val="single" w:sz="4" w:space="0" w:color="auto"/>
              <w:right w:val="nil"/>
            </w:tcBorders>
            <w:vAlign w:val="center"/>
            <w:hideMark/>
          </w:tcPr>
          <w:p w14:paraId="19E48CDE" w14:textId="77777777" w:rsidR="000078CB" w:rsidRPr="008E0B3E" w:rsidRDefault="000078CB" w:rsidP="00055DE8">
            <w:pPr>
              <w:rPr>
                <w:b/>
                <w:bCs/>
                <w:color w:val="000000"/>
                <w:sz w:val="18"/>
                <w:szCs w:val="18"/>
                <w:lang w:eastAsia="es-PE"/>
              </w:rPr>
            </w:pPr>
            <w:r w:rsidRPr="008E0B3E">
              <w:rPr>
                <w:b/>
                <w:bCs/>
                <w:color w:val="000000"/>
                <w:sz w:val="18"/>
                <w:szCs w:val="18"/>
                <w:lang w:eastAsia="es-PE"/>
              </w:rPr>
              <w:t>Parameter Varied</w:t>
            </w:r>
          </w:p>
        </w:tc>
        <w:tc>
          <w:tcPr>
            <w:tcW w:w="1048" w:type="pct"/>
            <w:tcBorders>
              <w:top w:val="single" w:sz="4" w:space="0" w:color="auto"/>
              <w:left w:val="nil"/>
              <w:bottom w:val="single" w:sz="4" w:space="0" w:color="auto"/>
              <w:right w:val="nil"/>
            </w:tcBorders>
            <w:vAlign w:val="center"/>
            <w:hideMark/>
          </w:tcPr>
          <w:p w14:paraId="6FFCE7AE" w14:textId="77777777" w:rsidR="000078CB" w:rsidRPr="008E0B3E" w:rsidRDefault="000078CB" w:rsidP="00055DE8">
            <w:pPr>
              <w:rPr>
                <w:b/>
                <w:bCs/>
                <w:color w:val="000000"/>
                <w:sz w:val="18"/>
                <w:szCs w:val="18"/>
                <w:lang w:eastAsia="es-PE"/>
              </w:rPr>
            </w:pPr>
            <w:r w:rsidRPr="008E0B3E">
              <w:rPr>
                <w:b/>
                <w:bCs/>
                <w:color w:val="000000"/>
                <w:sz w:val="18"/>
                <w:szCs w:val="18"/>
                <w:lang w:eastAsia="es-PE"/>
              </w:rPr>
              <w:t>Base Value</w:t>
            </w:r>
          </w:p>
        </w:tc>
        <w:tc>
          <w:tcPr>
            <w:tcW w:w="598" w:type="pct"/>
            <w:tcBorders>
              <w:top w:val="single" w:sz="4" w:space="0" w:color="auto"/>
              <w:left w:val="nil"/>
              <w:bottom w:val="single" w:sz="4" w:space="0" w:color="auto"/>
              <w:right w:val="nil"/>
            </w:tcBorders>
            <w:vAlign w:val="center"/>
            <w:hideMark/>
          </w:tcPr>
          <w:p w14:paraId="5450DF8B" w14:textId="77777777" w:rsidR="000078CB" w:rsidRPr="008E0B3E" w:rsidRDefault="000078CB" w:rsidP="00055DE8">
            <w:pPr>
              <w:rPr>
                <w:b/>
                <w:bCs/>
                <w:color w:val="000000"/>
                <w:sz w:val="18"/>
                <w:szCs w:val="18"/>
                <w:lang w:eastAsia="es-PE"/>
              </w:rPr>
            </w:pPr>
            <w:r w:rsidRPr="008E0B3E">
              <w:rPr>
                <w:b/>
                <w:bCs/>
                <w:color w:val="000000"/>
                <w:sz w:val="18"/>
                <w:szCs w:val="18"/>
                <w:lang w:eastAsia="es-PE"/>
              </w:rPr>
              <w:t>LCOE (USD/kWh)</w:t>
            </w:r>
          </w:p>
        </w:tc>
        <w:tc>
          <w:tcPr>
            <w:tcW w:w="773" w:type="pct"/>
            <w:tcBorders>
              <w:top w:val="single" w:sz="4" w:space="0" w:color="auto"/>
              <w:left w:val="nil"/>
              <w:bottom w:val="single" w:sz="4" w:space="0" w:color="auto"/>
              <w:right w:val="nil"/>
            </w:tcBorders>
            <w:vAlign w:val="center"/>
            <w:hideMark/>
          </w:tcPr>
          <w:p w14:paraId="3D9CAF8A" w14:textId="77777777" w:rsidR="000078CB" w:rsidRPr="008E0B3E" w:rsidRDefault="000078CB" w:rsidP="00055DE8">
            <w:pPr>
              <w:rPr>
                <w:b/>
                <w:bCs/>
                <w:color w:val="000000"/>
                <w:sz w:val="18"/>
                <w:szCs w:val="18"/>
                <w:lang w:eastAsia="es-PE"/>
              </w:rPr>
            </w:pPr>
            <w:r w:rsidRPr="008E0B3E">
              <w:rPr>
                <w:b/>
                <w:bCs/>
                <w:color w:val="000000"/>
                <w:sz w:val="18"/>
                <w:szCs w:val="18"/>
                <w:lang w:eastAsia="es-PE"/>
              </w:rPr>
              <w:t>LCOE Δ (%)</w:t>
            </w:r>
          </w:p>
        </w:tc>
        <w:tc>
          <w:tcPr>
            <w:tcW w:w="806" w:type="pct"/>
            <w:tcBorders>
              <w:top w:val="single" w:sz="4" w:space="0" w:color="auto"/>
              <w:left w:val="nil"/>
              <w:bottom w:val="single" w:sz="4" w:space="0" w:color="auto"/>
              <w:right w:val="nil"/>
            </w:tcBorders>
            <w:vAlign w:val="center"/>
            <w:hideMark/>
          </w:tcPr>
          <w:p w14:paraId="3F070505" w14:textId="77777777" w:rsidR="000078CB" w:rsidRPr="008E0B3E" w:rsidRDefault="000078CB" w:rsidP="00055DE8">
            <w:pPr>
              <w:rPr>
                <w:b/>
                <w:bCs/>
                <w:color w:val="000000"/>
                <w:sz w:val="18"/>
                <w:szCs w:val="18"/>
                <w:lang w:eastAsia="es-PE"/>
              </w:rPr>
            </w:pPr>
            <w:r w:rsidRPr="008E0B3E">
              <w:rPr>
                <w:b/>
                <w:bCs/>
                <w:color w:val="000000"/>
                <w:sz w:val="18"/>
                <w:szCs w:val="18"/>
                <w:lang w:eastAsia="es-PE"/>
              </w:rPr>
              <w:t>NPV (USD, 25 yr, 10%)</w:t>
            </w:r>
          </w:p>
        </w:tc>
        <w:tc>
          <w:tcPr>
            <w:tcW w:w="565" w:type="pct"/>
            <w:tcBorders>
              <w:top w:val="single" w:sz="4" w:space="0" w:color="auto"/>
              <w:left w:val="nil"/>
              <w:bottom w:val="single" w:sz="4" w:space="0" w:color="auto"/>
              <w:right w:val="nil"/>
            </w:tcBorders>
            <w:vAlign w:val="center"/>
            <w:hideMark/>
          </w:tcPr>
          <w:p w14:paraId="0B585A06" w14:textId="77777777" w:rsidR="000078CB" w:rsidRPr="008E0B3E" w:rsidRDefault="000078CB" w:rsidP="00055DE8">
            <w:pPr>
              <w:rPr>
                <w:b/>
                <w:bCs/>
                <w:color w:val="000000"/>
                <w:sz w:val="18"/>
                <w:szCs w:val="18"/>
                <w:lang w:eastAsia="es-PE"/>
              </w:rPr>
            </w:pPr>
            <w:r w:rsidRPr="008E0B3E">
              <w:rPr>
                <w:b/>
                <w:bCs/>
                <w:color w:val="000000"/>
                <w:sz w:val="18"/>
                <w:szCs w:val="18"/>
                <w:lang w:eastAsia="es-PE"/>
              </w:rPr>
              <w:t>NPV Δ (%)</w:t>
            </w:r>
          </w:p>
        </w:tc>
      </w:tr>
      <w:tr w:rsidR="008E0B3E" w:rsidRPr="008E0B3E" w14:paraId="767C50F6" w14:textId="77777777" w:rsidTr="00311EFF">
        <w:trPr>
          <w:trHeight w:val="290"/>
          <w:jc w:val="center"/>
        </w:trPr>
        <w:tc>
          <w:tcPr>
            <w:tcW w:w="1209" w:type="pct"/>
            <w:tcBorders>
              <w:top w:val="nil"/>
              <w:left w:val="nil"/>
              <w:bottom w:val="nil"/>
              <w:right w:val="nil"/>
            </w:tcBorders>
            <w:noWrap/>
            <w:vAlign w:val="center"/>
            <w:hideMark/>
          </w:tcPr>
          <w:p w14:paraId="3F467F0E" w14:textId="77777777" w:rsidR="000078CB" w:rsidRPr="00311EFF" w:rsidRDefault="000078CB" w:rsidP="00055DE8">
            <w:pPr>
              <w:rPr>
                <w:color w:val="000000"/>
                <w:sz w:val="20"/>
                <w:lang w:eastAsia="es-PE"/>
              </w:rPr>
            </w:pPr>
            <w:r w:rsidRPr="00311EFF">
              <w:rPr>
                <w:color w:val="000000"/>
                <w:sz w:val="20"/>
                <w:lang w:eastAsia="es-PE"/>
              </w:rPr>
              <w:t>Reference (base case)</w:t>
            </w:r>
          </w:p>
        </w:tc>
        <w:tc>
          <w:tcPr>
            <w:tcW w:w="1048" w:type="pct"/>
            <w:tcBorders>
              <w:top w:val="nil"/>
              <w:left w:val="nil"/>
              <w:bottom w:val="nil"/>
              <w:right w:val="nil"/>
            </w:tcBorders>
            <w:noWrap/>
            <w:vAlign w:val="center"/>
            <w:hideMark/>
          </w:tcPr>
          <w:p w14:paraId="0E8503DF" w14:textId="77777777" w:rsidR="000078CB" w:rsidRPr="00311EFF" w:rsidRDefault="000078CB" w:rsidP="00055DE8">
            <w:pPr>
              <w:rPr>
                <w:color w:val="000000"/>
                <w:sz w:val="20"/>
                <w:lang w:eastAsia="es-PE"/>
              </w:rPr>
            </w:pPr>
            <w:r w:rsidRPr="00311EFF">
              <w:rPr>
                <w:color w:val="000000"/>
                <w:sz w:val="20"/>
                <w:lang w:eastAsia="es-PE"/>
              </w:rPr>
              <w:t>1,480 USD/</w:t>
            </w:r>
            <w:proofErr w:type="spellStart"/>
            <w:r w:rsidRPr="00311EFF">
              <w:rPr>
                <w:color w:val="000000"/>
                <w:sz w:val="20"/>
                <w:lang w:eastAsia="es-PE"/>
              </w:rPr>
              <w:t>kWp</w:t>
            </w:r>
            <w:proofErr w:type="spellEnd"/>
          </w:p>
        </w:tc>
        <w:tc>
          <w:tcPr>
            <w:tcW w:w="598" w:type="pct"/>
            <w:tcBorders>
              <w:top w:val="nil"/>
              <w:left w:val="nil"/>
              <w:bottom w:val="nil"/>
              <w:right w:val="nil"/>
            </w:tcBorders>
            <w:noWrap/>
            <w:vAlign w:val="center"/>
            <w:hideMark/>
          </w:tcPr>
          <w:p w14:paraId="1FF235F0" w14:textId="77777777" w:rsidR="000078CB" w:rsidRPr="00311EFF" w:rsidRDefault="000078CB" w:rsidP="00055DE8">
            <w:pPr>
              <w:rPr>
                <w:color w:val="000000"/>
                <w:sz w:val="20"/>
                <w:lang w:eastAsia="es-PE"/>
              </w:rPr>
            </w:pPr>
            <w:r w:rsidRPr="00311EFF">
              <w:rPr>
                <w:color w:val="000000"/>
                <w:sz w:val="20"/>
                <w:lang w:eastAsia="es-PE"/>
              </w:rPr>
              <w:t>0.076</w:t>
            </w:r>
          </w:p>
        </w:tc>
        <w:tc>
          <w:tcPr>
            <w:tcW w:w="773" w:type="pct"/>
            <w:tcBorders>
              <w:top w:val="nil"/>
              <w:left w:val="nil"/>
              <w:bottom w:val="nil"/>
              <w:right w:val="nil"/>
            </w:tcBorders>
            <w:noWrap/>
            <w:vAlign w:val="center"/>
            <w:hideMark/>
          </w:tcPr>
          <w:p w14:paraId="2A0C0D4F" w14:textId="77777777" w:rsidR="000078CB" w:rsidRPr="00311EFF" w:rsidRDefault="000078CB" w:rsidP="00055DE8">
            <w:pPr>
              <w:rPr>
                <w:color w:val="000000"/>
                <w:sz w:val="20"/>
                <w:lang w:eastAsia="es-PE"/>
              </w:rPr>
            </w:pPr>
            <w:r w:rsidRPr="00311EFF">
              <w:rPr>
                <w:color w:val="000000"/>
                <w:sz w:val="20"/>
                <w:lang w:eastAsia="es-PE"/>
              </w:rPr>
              <w:t>–</w:t>
            </w:r>
          </w:p>
        </w:tc>
        <w:tc>
          <w:tcPr>
            <w:tcW w:w="806" w:type="pct"/>
            <w:tcBorders>
              <w:top w:val="nil"/>
              <w:left w:val="nil"/>
              <w:bottom w:val="nil"/>
              <w:right w:val="nil"/>
            </w:tcBorders>
            <w:noWrap/>
            <w:vAlign w:val="center"/>
            <w:hideMark/>
          </w:tcPr>
          <w:p w14:paraId="2B67505D" w14:textId="77777777" w:rsidR="000078CB" w:rsidRPr="00311EFF" w:rsidRDefault="000078CB" w:rsidP="00055DE8">
            <w:pPr>
              <w:rPr>
                <w:color w:val="000000"/>
                <w:sz w:val="20"/>
                <w:lang w:eastAsia="es-PE"/>
              </w:rPr>
            </w:pPr>
            <w:r w:rsidRPr="00311EFF">
              <w:rPr>
                <w:color w:val="000000"/>
                <w:sz w:val="20"/>
                <w:lang w:eastAsia="es-PE"/>
              </w:rPr>
              <w:t>54</w:t>
            </w:r>
          </w:p>
        </w:tc>
        <w:tc>
          <w:tcPr>
            <w:tcW w:w="565" w:type="pct"/>
            <w:tcBorders>
              <w:top w:val="nil"/>
              <w:left w:val="nil"/>
              <w:bottom w:val="nil"/>
              <w:right w:val="nil"/>
            </w:tcBorders>
            <w:noWrap/>
            <w:vAlign w:val="center"/>
            <w:hideMark/>
          </w:tcPr>
          <w:p w14:paraId="3582D042" w14:textId="77777777" w:rsidR="000078CB" w:rsidRPr="00311EFF" w:rsidRDefault="000078CB" w:rsidP="00055DE8">
            <w:pPr>
              <w:rPr>
                <w:color w:val="000000"/>
                <w:sz w:val="20"/>
                <w:lang w:eastAsia="es-PE"/>
              </w:rPr>
            </w:pPr>
            <w:r w:rsidRPr="00311EFF">
              <w:rPr>
                <w:color w:val="000000"/>
                <w:sz w:val="20"/>
                <w:lang w:eastAsia="es-PE"/>
              </w:rPr>
              <w:t>–</w:t>
            </w:r>
          </w:p>
        </w:tc>
      </w:tr>
      <w:tr w:rsidR="008E0B3E" w:rsidRPr="008E0B3E" w14:paraId="20386D53" w14:textId="77777777" w:rsidTr="00311EFF">
        <w:trPr>
          <w:trHeight w:val="290"/>
          <w:jc w:val="center"/>
        </w:trPr>
        <w:tc>
          <w:tcPr>
            <w:tcW w:w="1209" w:type="pct"/>
            <w:tcBorders>
              <w:top w:val="nil"/>
              <w:left w:val="nil"/>
              <w:bottom w:val="nil"/>
              <w:right w:val="nil"/>
            </w:tcBorders>
            <w:noWrap/>
            <w:vAlign w:val="center"/>
            <w:hideMark/>
          </w:tcPr>
          <w:p w14:paraId="1A3AD72B" w14:textId="77777777" w:rsidR="000078CB" w:rsidRPr="00311EFF" w:rsidRDefault="000078CB" w:rsidP="00055DE8">
            <w:pPr>
              <w:rPr>
                <w:color w:val="000000"/>
                <w:sz w:val="20"/>
                <w:lang w:eastAsia="es-PE"/>
              </w:rPr>
            </w:pPr>
            <w:r w:rsidRPr="00311EFF">
              <w:rPr>
                <w:color w:val="000000"/>
                <w:sz w:val="20"/>
                <w:lang w:eastAsia="es-PE"/>
              </w:rPr>
              <w:t>CAPEX –20%</w:t>
            </w:r>
          </w:p>
        </w:tc>
        <w:tc>
          <w:tcPr>
            <w:tcW w:w="1048" w:type="pct"/>
            <w:tcBorders>
              <w:top w:val="nil"/>
              <w:left w:val="nil"/>
              <w:bottom w:val="nil"/>
              <w:right w:val="nil"/>
            </w:tcBorders>
            <w:noWrap/>
            <w:vAlign w:val="center"/>
            <w:hideMark/>
          </w:tcPr>
          <w:p w14:paraId="5E5D5261" w14:textId="77777777" w:rsidR="000078CB" w:rsidRPr="00311EFF" w:rsidRDefault="000078CB" w:rsidP="00055DE8">
            <w:pPr>
              <w:rPr>
                <w:color w:val="000000"/>
                <w:sz w:val="20"/>
                <w:lang w:eastAsia="es-PE"/>
              </w:rPr>
            </w:pPr>
            <w:r w:rsidRPr="00311EFF">
              <w:rPr>
                <w:color w:val="000000"/>
                <w:sz w:val="20"/>
                <w:lang w:eastAsia="es-PE"/>
              </w:rPr>
              <w:t>1,184 USD/</w:t>
            </w:r>
            <w:proofErr w:type="spellStart"/>
            <w:r w:rsidRPr="00311EFF">
              <w:rPr>
                <w:color w:val="000000"/>
                <w:sz w:val="20"/>
                <w:lang w:eastAsia="es-PE"/>
              </w:rPr>
              <w:t>kWp</w:t>
            </w:r>
            <w:proofErr w:type="spellEnd"/>
          </w:p>
        </w:tc>
        <w:tc>
          <w:tcPr>
            <w:tcW w:w="598" w:type="pct"/>
            <w:tcBorders>
              <w:top w:val="nil"/>
              <w:left w:val="nil"/>
              <w:bottom w:val="nil"/>
              <w:right w:val="nil"/>
            </w:tcBorders>
            <w:noWrap/>
            <w:vAlign w:val="center"/>
            <w:hideMark/>
          </w:tcPr>
          <w:p w14:paraId="3D2E3133" w14:textId="77777777" w:rsidR="000078CB" w:rsidRPr="00311EFF" w:rsidRDefault="000078CB" w:rsidP="00055DE8">
            <w:pPr>
              <w:rPr>
                <w:color w:val="000000"/>
                <w:sz w:val="20"/>
                <w:lang w:eastAsia="es-PE"/>
              </w:rPr>
            </w:pPr>
            <w:r w:rsidRPr="00311EFF">
              <w:rPr>
                <w:color w:val="000000"/>
                <w:sz w:val="20"/>
                <w:lang w:eastAsia="es-PE"/>
              </w:rPr>
              <w:t>0.061</w:t>
            </w:r>
          </w:p>
        </w:tc>
        <w:tc>
          <w:tcPr>
            <w:tcW w:w="773" w:type="pct"/>
            <w:tcBorders>
              <w:top w:val="nil"/>
              <w:left w:val="nil"/>
              <w:bottom w:val="nil"/>
              <w:right w:val="nil"/>
            </w:tcBorders>
            <w:noWrap/>
            <w:vAlign w:val="center"/>
            <w:hideMark/>
          </w:tcPr>
          <w:p w14:paraId="302242D3" w14:textId="77777777" w:rsidR="000078CB" w:rsidRPr="00311EFF" w:rsidRDefault="000078CB" w:rsidP="00055DE8">
            <w:pPr>
              <w:rPr>
                <w:color w:val="000000"/>
                <w:sz w:val="20"/>
                <w:lang w:eastAsia="es-PE"/>
              </w:rPr>
            </w:pPr>
            <w:r w:rsidRPr="00311EFF">
              <w:rPr>
                <w:color w:val="000000"/>
                <w:sz w:val="20"/>
                <w:lang w:eastAsia="es-PE"/>
              </w:rPr>
              <w:t>-19%</w:t>
            </w:r>
          </w:p>
        </w:tc>
        <w:tc>
          <w:tcPr>
            <w:tcW w:w="806" w:type="pct"/>
            <w:tcBorders>
              <w:top w:val="nil"/>
              <w:left w:val="nil"/>
              <w:bottom w:val="nil"/>
              <w:right w:val="nil"/>
            </w:tcBorders>
            <w:noWrap/>
            <w:vAlign w:val="center"/>
            <w:hideMark/>
          </w:tcPr>
          <w:p w14:paraId="2D6A7591" w14:textId="77777777" w:rsidR="000078CB" w:rsidRPr="00311EFF" w:rsidRDefault="000078CB" w:rsidP="00055DE8">
            <w:pPr>
              <w:rPr>
                <w:color w:val="000000"/>
                <w:sz w:val="20"/>
                <w:lang w:eastAsia="es-PE"/>
              </w:rPr>
            </w:pPr>
            <w:r w:rsidRPr="00311EFF">
              <w:rPr>
                <w:color w:val="000000"/>
                <w:sz w:val="20"/>
                <w:lang w:eastAsia="es-PE"/>
              </w:rPr>
              <w:t>380</w:t>
            </w:r>
          </w:p>
        </w:tc>
        <w:tc>
          <w:tcPr>
            <w:tcW w:w="565" w:type="pct"/>
            <w:tcBorders>
              <w:top w:val="nil"/>
              <w:left w:val="nil"/>
              <w:bottom w:val="nil"/>
              <w:right w:val="nil"/>
            </w:tcBorders>
            <w:noWrap/>
            <w:vAlign w:val="center"/>
            <w:hideMark/>
          </w:tcPr>
          <w:p w14:paraId="682CF824" w14:textId="77777777" w:rsidR="000078CB" w:rsidRPr="00311EFF" w:rsidRDefault="000078CB" w:rsidP="00055DE8">
            <w:pPr>
              <w:rPr>
                <w:color w:val="000000"/>
                <w:sz w:val="20"/>
                <w:lang w:eastAsia="es-PE"/>
              </w:rPr>
            </w:pPr>
            <w:r w:rsidRPr="00311EFF">
              <w:rPr>
                <w:color w:val="000000"/>
                <w:sz w:val="20"/>
                <w:lang w:eastAsia="es-PE"/>
              </w:rPr>
              <w:t>+604%</w:t>
            </w:r>
          </w:p>
        </w:tc>
      </w:tr>
      <w:tr w:rsidR="008E0B3E" w:rsidRPr="008E0B3E" w14:paraId="16C385CA" w14:textId="77777777" w:rsidTr="00311EFF">
        <w:trPr>
          <w:trHeight w:val="290"/>
          <w:jc w:val="center"/>
        </w:trPr>
        <w:tc>
          <w:tcPr>
            <w:tcW w:w="1209" w:type="pct"/>
            <w:tcBorders>
              <w:top w:val="nil"/>
              <w:left w:val="nil"/>
              <w:bottom w:val="nil"/>
              <w:right w:val="nil"/>
            </w:tcBorders>
            <w:noWrap/>
            <w:vAlign w:val="center"/>
            <w:hideMark/>
          </w:tcPr>
          <w:p w14:paraId="2FC6C060" w14:textId="77777777" w:rsidR="000078CB" w:rsidRPr="00311EFF" w:rsidRDefault="000078CB" w:rsidP="00055DE8">
            <w:pPr>
              <w:rPr>
                <w:color w:val="000000"/>
                <w:sz w:val="20"/>
                <w:lang w:eastAsia="es-PE"/>
              </w:rPr>
            </w:pPr>
            <w:r w:rsidRPr="00311EFF">
              <w:rPr>
                <w:color w:val="000000"/>
                <w:sz w:val="20"/>
                <w:lang w:eastAsia="es-PE"/>
              </w:rPr>
              <w:t>CAPEX +20%</w:t>
            </w:r>
          </w:p>
        </w:tc>
        <w:tc>
          <w:tcPr>
            <w:tcW w:w="1048" w:type="pct"/>
            <w:tcBorders>
              <w:top w:val="nil"/>
              <w:left w:val="nil"/>
              <w:bottom w:val="nil"/>
              <w:right w:val="nil"/>
            </w:tcBorders>
            <w:noWrap/>
            <w:vAlign w:val="center"/>
            <w:hideMark/>
          </w:tcPr>
          <w:p w14:paraId="76CEF7B1" w14:textId="77777777" w:rsidR="000078CB" w:rsidRPr="00311EFF" w:rsidRDefault="000078CB" w:rsidP="00055DE8">
            <w:pPr>
              <w:rPr>
                <w:color w:val="000000"/>
                <w:sz w:val="20"/>
                <w:lang w:eastAsia="es-PE"/>
              </w:rPr>
            </w:pPr>
            <w:r w:rsidRPr="00311EFF">
              <w:rPr>
                <w:color w:val="000000"/>
                <w:sz w:val="20"/>
                <w:lang w:eastAsia="es-PE"/>
              </w:rPr>
              <w:t>1,776 USD/</w:t>
            </w:r>
            <w:proofErr w:type="spellStart"/>
            <w:r w:rsidRPr="00311EFF">
              <w:rPr>
                <w:color w:val="000000"/>
                <w:sz w:val="20"/>
                <w:lang w:eastAsia="es-PE"/>
              </w:rPr>
              <w:t>kWp</w:t>
            </w:r>
            <w:proofErr w:type="spellEnd"/>
          </w:p>
        </w:tc>
        <w:tc>
          <w:tcPr>
            <w:tcW w:w="598" w:type="pct"/>
            <w:tcBorders>
              <w:top w:val="nil"/>
              <w:left w:val="nil"/>
              <w:bottom w:val="nil"/>
              <w:right w:val="nil"/>
            </w:tcBorders>
            <w:noWrap/>
            <w:vAlign w:val="center"/>
            <w:hideMark/>
          </w:tcPr>
          <w:p w14:paraId="7D0132D0" w14:textId="77777777" w:rsidR="000078CB" w:rsidRPr="00311EFF" w:rsidRDefault="000078CB" w:rsidP="00055DE8">
            <w:pPr>
              <w:rPr>
                <w:color w:val="000000"/>
                <w:sz w:val="20"/>
                <w:lang w:eastAsia="es-PE"/>
              </w:rPr>
            </w:pPr>
            <w:r w:rsidRPr="00311EFF">
              <w:rPr>
                <w:color w:val="000000"/>
                <w:sz w:val="20"/>
                <w:lang w:eastAsia="es-PE"/>
              </w:rPr>
              <w:t>0.091</w:t>
            </w:r>
          </w:p>
        </w:tc>
        <w:tc>
          <w:tcPr>
            <w:tcW w:w="773" w:type="pct"/>
            <w:tcBorders>
              <w:top w:val="nil"/>
              <w:left w:val="nil"/>
              <w:bottom w:val="nil"/>
              <w:right w:val="nil"/>
            </w:tcBorders>
            <w:noWrap/>
            <w:vAlign w:val="center"/>
            <w:hideMark/>
          </w:tcPr>
          <w:p w14:paraId="32075CF6" w14:textId="77777777" w:rsidR="000078CB" w:rsidRPr="00311EFF" w:rsidRDefault="000078CB" w:rsidP="00055DE8">
            <w:pPr>
              <w:rPr>
                <w:color w:val="000000"/>
                <w:sz w:val="20"/>
                <w:lang w:eastAsia="es-PE"/>
              </w:rPr>
            </w:pPr>
            <w:r w:rsidRPr="00311EFF">
              <w:rPr>
                <w:color w:val="000000"/>
                <w:sz w:val="20"/>
                <w:lang w:eastAsia="es-PE"/>
              </w:rPr>
              <w:t>+20%</w:t>
            </w:r>
          </w:p>
        </w:tc>
        <w:tc>
          <w:tcPr>
            <w:tcW w:w="806" w:type="pct"/>
            <w:tcBorders>
              <w:top w:val="nil"/>
              <w:left w:val="nil"/>
              <w:bottom w:val="nil"/>
              <w:right w:val="nil"/>
            </w:tcBorders>
            <w:noWrap/>
            <w:vAlign w:val="center"/>
            <w:hideMark/>
          </w:tcPr>
          <w:p w14:paraId="5F860588" w14:textId="77777777" w:rsidR="000078CB" w:rsidRPr="00311EFF" w:rsidRDefault="000078CB" w:rsidP="00055DE8">
            <w:pPr>
              <w:rPr>
                <w:color w:val="000000"/>
                <w:sz w:val="20"/>
                <w:lang w:eastAsia="es-PE"/>
              </w:rPr>
            </w:pPr>
            <w:r w:rsidRPr="00311EFF">
              <w:rPr>
                <w:color w:val="000000"/>
                <w:sz w:val="20"/>
                <w:lang w:eastAsia="es-PE"/>
              </w:rPr>
              <w:t>-312</w:t>
            </w:r>
          </w:p>
        </w:tc>
        <w:tc>
          <w:tcPr>
            <w:tcW w:w="565" w:type="pct"/>
            <w:tcBorders>
              <w:top w:val="nil"/>
              <w:left w:val="nil"/>
              <w:bottom w:val="nil"/>
              <w:right w:val="nil"/>
            </w:tcBorders>
            <w:noWrap/>
            <w:vAlign w:val="center"/>
            <w:hideMark/>
          </w:tcPr>
          <w:p w14:paraId="338F2D24" w14:textId="77777777" w:rsidR="000078CB" w:rsidRPr="00311EFF" w:rsidRDefault="000078CB" w:rsidP="00055DE8">
            <w:pPr>
              <w:rPr>
                <w:color w:val="000000"/>
                <w:sz w:val="20"/>
                <w:lang w:eastAsia="es-PE"/>
              </w:rPr>
            </w:pPr>
            <w:r w:rsidRPr="00311EFF">
              <w:rPr>
                <w:color w:val="000000"/>
                <w:sz w:val="20"/>
                <w:lang w:eastAsia="es-PE"/>
              </w:rPr>
              <w:t>-677%</w:t>
            </w:r>
          </w:p>
        </w:tc>
      </w:tr>
      <w:tr w:rsidR="008E0B3E" w:rsidRPr="008E0B3E" w14:paraId="378BB14B" w14:textId="77777777" w:rsidTr="00311EFF">
        <w:trPr>
          <w:trHeight w:val="290"/>
          <w:jc w:val="center"/>
        </w:trPr>
        <w:tc>
          <w:tcPr>
            <w:tcW w:w="1209" w:type="pct"/>
            <w:tcBorders>
              <w:top w:val="nil"/>
              <w:left w:val="nil"/>
              <w:bottom w:val="nil"/>
              <w:right w:val="nil"/>
            </w:tcBorders>
            <w:noWrap/>
            <w:vAlign w:val="center"/>
            <w:hideMark/>
          </w:tcPr>
          <w:p w14:paraId="65F04356" w14:textId="77777777" w:rsidR="000078CB" w:rsidRPr="00311EFF" w:rsidRDefault="000078CB" w:rsidP="00055DE8">
            <w:pPr>
              <w:rPr>
                <w:color w:val="000000"/>
                <w:sz w:val="20"/>
                <w:lang w:eastAsia="es-PE"/>
              </w:rPr>
            </w:pPr>
            <w:r w:rsidRPr="00311EFF">
              <w:rPr>
                <w:color w:val="000000"/>
                <w:sz w:val="20"/>
                <w:lang w:eastAsia="es-PE"/>
              </w:rPr>
              <w:t>OPEX –20%</w:t>
            </w:r>
          </w:p>
        </w:tc>
        <w:tc>
          <w:tcPr>
            <w:tcW w:w="1048" w:type="pct"/>
            <w:tcBorders>
              <w:top w:val="nil"/>
              <w:left w:val="nil"/>
              <w:bottom w:val="nil"/>
              <w:right w:val="nil"/>
            </w:tcBorders>
            <w:noWrap/>
            <w:vAlign w:val="center"/>
            <w:hideMark/>
          </w:tcPr>
          <w:p w14:paraId="4D5439D8" w14:textId="77777777" w:rsidR="000078CB" w:rsidRPr="00311EFF" w:rsidRDefault="000078CB" w:rsidP="00055DE8">
            <w:pPr>
              <w:rPr>
                <w:color w:val="000000"/>
                <w:sz w:val="20"/>
                <w:lang w:eastAsia="es-PE"/>
              </w:rPr>
            </w:pPr>
            <w:r w:rsidRPr="00311EFF">
              <w:rPr>
                <w:color w:val="000000"/>
                <w:sz w:val="20"/>
                <w:lang w:eastAsia="es-PE"/>
              </w:rPr>
              <w:t>2.4% CAPEX/yr</w:t>
            </w:r>
          </w:p>
        </w:tc>
        <w:tc>
          <w:tcPr>
            <w:tcW w:w="598" w:type="pct"/>
            <w:tcBorders>
              <w:top w:val="nil"/>
              <w:left w:val="nil"/>
              <w:bottom w:val="nil"/>
              <w:right w:val="nil"/>
            </w:tcBorders>
            <w:noWrap/>
            <w:vAlign w:val="center"/>
            <w:hideMark/>
          </w:tcPr>
          <w:p w14:paraId="333BFA1F" w14:textId="77777777" w:rsidR="000078CB" w:rsidRPr="00311EFF" w:rsidRDefault="000078CB" w:rsidP="00055DE8">
            <w:pPr>
              <w:rPr>
                <w:color w:val="000000"/>
                <w:sz w:val="20"/>
                <w:lang w:eastAsia="es-PE"/>
              </w:rPr>
            </w:pPr>
            <w:r w:rsidRPr="00311EFF">
              <w:rPr>
                <w:color w:val="000000"/>
                <w:sz w:val="20"/>
                <w:lang w:eastAsia="es-PE"/>
              </w:rPr>
              <w:t>0.075</w:t>
            </w:r>
          </w:p>
        </w:tc>
        <w:tc>
          <w:tcPr>
            <w:tcW w:w="773" w:type="pct"/>
            <w:tcBorders>
              <w:top w:val="nil"/>
              <w:left w:val="nil"/>
              <w:bottom w:val="nil"/>
              <w:right w:val="nil"/>
            </w:tcBorders>
            <w:noWrap/>
            <w:vAlign w:val="center"/>
            <w:hideMark/>
          </w:tcPr>
          <w:p w14:paraId="1EF74B42" w14:textId="77777777" w:rsidR="000078CB" w:rsidRPr="00311EFF" w:rsidRDefault="000078CB" w:rsidP="00055DE8">
            <w:pPr>
              <w:rPr>
                <w:color w:val="000000"/>
                <w:sz w:val="20"/>
                <w:lang w:eastAsia="es-PE"/>
              </w:rPr>
            </w:pPr>
            <w:r w:rsidRPr="00311EFF">
              <w:rPr>
                <w:color w:val="000000"/>
                <w:sz w:val="20"/>
                <w:lang w:eastAsia="es-PE"/>
              </w:rPr>
              <w:t>-1%</w:t>
            </w:r>
          </w:p>
        </w:tc>
        <w:tc>
          <w:tcPr>
            <w:tcW w:w="806" w:type="pct"/>
            <w:tcBorders>
              <w:top w:val="nil"/>
              <w:left w:val="nil"/>
              <w:bottom w:val="nil"/>
              <w:right w:val="nil"/>
            </w:tcBorders>
            <w:noWrap/>
            <w:vAlign w:val="center"/>
            <w:hideMark/>
          </w:tcPr>
          <w:p w14:paraId="100EEE35" w14:textId="77777777" w:rsidR="000078CB" w:rsidRPr="00311EFF" w:rsidRDefault="000078CB" w:rsidP="00055DE8">
            <w:pPr>
              <w:rPr>
                <w:color w:val="000000"/>
                <w:sz w:val="20"/>
                <w:lang w:eastAsia="es-PE"/>
              </w:rPr>
            </w:pPr>
            <w:r w:rsidRPr="00311EFF">
              <w:rPr>
                <w:color w:val="000000"/>
                <w:sz w:val="20"/>
                <w:lang w:eastAsia="es-PE"/>
              </w:rPr>
              <w:t>62</w:t>
            </w:r>
          </w:p>
        </w:tc>
        <w:tc>
          <w:tcPr>
            <w:tcW w:w="565" w:type="pct"/>
            <w:tcBorders>
              <w:top w:val="nil"/>
              <w:left w:val="nil"/>
              <w:bottom w:val="nil"/>
              <w:right w:val="nil"/>
            </w:tcBorders>
            <w:noWrap/>
            <w:vAlign w:val="center"/>
            <w:hideMark/>
          </w:tcPr>
          <w:p w14:paraId="27D528D1" w14:textId="77777777" w:rsidR="000078CB" w:rsidRPr="00311EFF" w:rsidRDefault="000078CB" w:rsidP="00055DE8">
            <w:pPr>
              <w:rPr>
                <w:color w:val="000000"/>
                <w:sz w:val="20"/>
                <w:lang w:eastAsia="es-PE"/>
              </w:rPr>
            </w:pPr>
            <w:r w:rsidRPr="00311EFF">
              <w:rPr>
                <w:color w:val="000000"/>
                <w:sz w:val="20"/>
                <w:lang w:eastAsia="es-PE"/>
              </w:rPr>
              <w:t>+15%</w:t>
            </w:r>
          </w:p>
        </w:tc>
      </w:tr>
      <w:tr w:rsidR="008E0B3E" w:rsidRPr="008E0B3E" w14:paraId="7A66F1F3" w14:textId="77777777" w:rsidTr="00311EFF">
        <w:trPr>
          <w:trHeight w:val="290"/>
          <w:jc w:val="center"/>
        </w:trPr>
        <w:tc>
          <w:tcPr>
            <w:tcW w:w="1209" w:type="pct"/>
            <w:tcBorders>
              <w:top w:val="nil"/>
              <w:left w:val="nil"/>
              <w:bottom w:val="nil"/>
              <w:right w:val="nil"/>
            </w:tcBorders>
            <w:noWrap/>
            <w:vAlign w:val="center"/>
            <w:hideMark/>
          </w:tcPr>
          <w:p w14:paraId="051D5C26" w14:textId="77777777" w:rsidR="000078CB" w:rsidRPr="00311EFF" w:rsidRDefault="000078CB" w:rsidP="00055DE8">
            <w:pPr>
              <w:rPr>
                <w:color w:val="000000"/>
                <w:sz w:val="20"/>
                <w:lang w:eastAsia="es-PE"/>
              </w:rPr>
            </w:pPr>
            <w:r w:rsidRPr="00311EFF">
              <w:rPr>
                <w:color w:val="000000"/>
                <w:sz w:val="20"/>
                <w:lang w:eastAsia="es-PE"/>
              </w:rPr>
              <w:t>OPEX +20%</w:t>
            </w:r>
          </w:p>
        </w:tc>
        <w:tc>
          <w:tcPr>
            <w:tcW w:w="1048" w:type="pct"/>
            <w:tcBorders>
              <w:top w:val="nil"/>
              <w:left w:val="nil"/>
              <w:bottom w:val="nil"/>
              <w:right w:val="nil"/>
            </w:tcBorders>
            <w:noWrap/>
            <w:vAlign w:val="center"/>
            <w:hideMark/>
          </w:tcPr>
          <w:p w14:paraId="5264BF5F" w14:textId="77777777" w:rsidR="000078CB" w:rsidRPr="00311EFF" w:rsidRDefault="000078CB" w:rsidP="00055DE8">
            <w:pPr>
              <w:rPr>
                <w:color w:val="000000"/>
                <w:sz w:val="20"/>
                <w:lang w:eastAsia="es-PE"/>
              </w:rPr>
            </w:pPr>
            <w:r w:rsidRPr="00311EFF">
              <w:rPr>
                <w:color w:val="000000"/>
                <w:sz w:val="20"/>
                <w:lang w:eastAsia="es-PE"/>
              </w:rPr>
              <w:t>3.6% CAPEX/yr</w:t>
            </w:r>
          </w:p>
        </w:tc>
        <w:tc>
          <w:tcPr>
            <w:tcW w:w="598" w:type="pct"/>
            <w:tcBorders>
              <w:top w:val="nil"/>
              <w:left w:val="nil"/>
              <w:bottom w:val="nil"/>
              <w:right w:val="nil"/>
            </w:tcBorders>
            <w:noWrap/>
            <w:vAlign w:val="center"/>
            <w:hideMark/>
          </w:tcPr>
          <w:p w14:paraId="7E0E87BC" w14:textId="77777777" w:rsidR="000078CB" w:rsidRPr="00311EFF" w:rsidRDefault="000078CB" w:rsidP="00055DE8">
            <w:pPr>
              <w:rPr>
                <w:color w:val="000000"/>
                <w:sz w:val="20"/>
                <w:lang w:eastAsia="es-PE"/>
              </w:rPr>
            </w:pPr>
            <w:r w:rsidRPr="00311EFF">
              <w:rPr>
                <w:color w:val="000000"/>
                <w:sz w:val="20"/>
                <w:lang w:eastAsia="es-PE"/>
              </w:rPr>
              <w:t>0.077</w:t>
            </w:r>
          </w:p>
        </w:tc>
        <w:tc>
          <w:tcPr>
            <w:tcW w:w="773" w:type="pct"/>
            <w:tcBorders>
              <w:top w:val="nil"/>
              <w:left w:val="nil"/>
              <w:bottom w:val="nil"/>
              <w:right w:val="nil"/>
            </w:tcBorders>
            <w:noWrap/>
            <w:vAlign w:val="center"/>
            <w:hideMark/>
          </w:tcPr>
          <w:p w14:paraId="0E7A2A8A" w14:textId="77777777" w:rsidR="000078CB" w:rsidRPr="00311EFF" w:rsidRDefault="000078CB" w:rsidP="00055DE8">
            <w:pPr>
              <w:rPr>
                <w:color w:val="000000"/>
                <w:sz w:val="20"/>
                <w:lang w:eastAsia="es-PE"/>
              </w:rPr>
            </w:pPr>
            <w:r w:rsidRPr="00311EFF">
              <w:rPr>
                <w:color w:val="000000"/>
                <w:sz w:val="20"/>
                <w:lang w:eastAsia="es-PE"/>
              </w:rPr>
              <w:t>+1%</w:t>
            </w:r>
          </w:p>
        </w:tc>
        <w:tc>
          <w:tcPr>
            <w:tcW w:w="806" w:type="pct"/>
            <w:tcBorders>
              <w:top w:val="nil"/>
              <w:left w:val="nil"/>
              <w:bottom w:val="nil"/>
              <w:right w:val="nil"/>
            </w:tcBorders>
            <w:noWrap/>
            <w:vAlign w:val="center"/>
            <w:hideMark/>
          </w:tcPr>
          <w:p w14:paraId="7FBEB1B1" w14:textId="77777777" w:rsidR="000078CB" w:rsidRPr="00311EFF" w:rsidRDefault="000078CB" w:rsidP="00055DE8">
            <w:pPr>
              <w:rPr>
                <w:color w:val="000000"/>
                <w:sz w:val="20"/>
                <w:lang w:eastAsia="es-PE"/>
              </w:rPr>
            </w:pPr>
            <w:r w:rsidRPr="00311EFF">
              <w:rPr>
                <w:color w:val="000000"/>
                <w:sz w:val="20"/>
                <w:lang w:eastAsia="es-PE"/>
              </w:rPr>
              <w:t>46</w:t>
            </w:r>
          </w:p>
        </w:tc>
        <w:tc>
          <w:tcPr>
            <w:tcW w:w="565" w:type="pct"/>
            <w:tcBorders>
              <w:top w:val="nil"/>
              <w:left w:val="nil"/>
              <w:bottom w:val="nil"/>
              <w:right w:val="nil"/>
            </w:tcBorders>
            <w:noWrap/>
            <w:vAlign w:val="center"/>
            <w:hideMark/>
          </w:tcPr>
          <w:p w14:paraId="51B3D108" w14:textId="77777777" w:rsidR="000078CB" w:rsidRPr="00311EFF" w:rsidRDefault="000078CB" w:rsidP="00055DE8">
            <w:pPr>
              <w:rPr>
                <w:color w:val="000000"/>
                <w:sz w:val="20"/>
                <w:lang w:eastAsia="es-PE"/>
              </w:rPr>
            </w:pPr>
            <w:r w:rsidRPr="00311EFF">
              <w:rPr>
                <w:color w:val="000000"/>
                <w:sz w:val="20"/>
                <w:lang w:eastAsia="es-PE"/>
              </w:rPr>
              <w:t>-15%</w:t>
            </w:r>
          </w:p>
        </w:tc>
      </w:tr>
      <w:tr w:rsidR="008E0B3E" w:rsidRPr="008E0B3E" w14:paraId="3462E0E3" w14:textId="77777777" w:rsidTr="00311EFF">
        <w:trPr>
          <w:trHeight w:val="290"/>
          <w:jc w:val="center"/>
        </w:trPr>
        <w:tc>
          <w:tcPr>
            <w:tcW w:w="1209" w:type="pct"/>
            <w:tcBorders>
              <w:top w:val="nil"/>
              <w:left w:val="nil"/>
              <w:bottom w:val="nil"/>
              <w:right w:val="nil"/>
            </w:tcBorders>
            <w:noWrap/>
            <w:vAlign w:val="center"/>
            <w:hideMark/>
          </w:tcPr>
          <w:p w14:paraId="5A5CF382" w14:textId="77777777" w:rsidR="000078CB" w:rsidRPr="00311EFF" w:rsidRDefault="000078CB" w:rsidP="00055DE8">
            <w:pPr>
              <w:rPr>
                <w:color w:val="000000"/>
                <w:sz w:val="20"/>
                <w:lang w:eastAsia="es-PE"/>
              </w:rPr>
            </w:pPr>
            <w:r w:rsidRPr="00311EFF">
              <w:rPr>
                <w:color w:val="000000"/>
                <w:sz w:val="20"/>
                <w:lang w:eastAsia="es-PE"/>
              </w:rPr>
              <w:t>Energy price –20%</w:t>
            </w:r>
          </w:p>
        </w:tc>
        <w:tc>
          <w:tcPr>
            <w:tcW w:w="1048" w:type="pct"/>
            <w:tcBorders>
              <w:top w:val="nil"/>
              <w:left w:val="nil"/>
              <w:bottom w:val="nil"/>
              <w:right w:val="nil"/>
            </w:tcBorders>
            <w:noWrap/>
            <w:vAlign w:val="center"/>
            <w:hideMark/>
          </w:tcPr>
          <w:p w14:paraId="3AF6A25C" w14:textId="77777777" w:rsidR="000078CB" w:rsidRPr="00311EFF" w:rsidRDefault="000078CB" w:rsidP="00055DE8">
            <w:pPr>
              <w:rPr>
                <w:color w:val="000000"/>
                <w:sz w:val="20"/>
                <w:lang w:eastAsia="es-PE"/>
              </w:rPr>
            </w:pPr>
            <w:r w:rsidRPr="00311EFF">
              <w:rPr>
                <w:color w:val="000000"/>
                <w:sz w:val="20"/>
                <w:lang w:eastAsia="es-PE"/>
              </w:rPr>
              <w:t>0.214 USD/kWh</w:t>
            </w:r>
          </w:p>
        </w:tc>
        <w:tc>
          <w:tcPr>
            <w:tcW w:w="598" w:type="pct"/>
            <w:tcBorders>
              <w:top w:val="nil"/>
              <w:left w:val="nil"/>
              <w:bottom w:val="nil"/>
              <w:right w:val="nil"/>
            </w:tcBorders>
            <w:noWrap/>
            <w:vAlign w:val="center"/>
            <w:hideMark/>
          </w:tcPr>
          <w:p w14:paraId="22BF7EFD" w14:textId="77777777" w:rsidR="000078CB" w:rsidRPr="00311EFF" w:rsidRDefault="000078CB" w:rsidP="00055DE8">
            <w:pPr>
              <w:rPr>
                <w:color w:val="000000"/>
                <w:sz w:val="20"/>
                <w:lang w:eastAsia="es-PE"/>
              </w:rPr>
            </w:pPr>
            <w:r w:rsidRPr="00311EFF">
              <w:rPr>
                <w:color w:val="000000"/>
                <w:sz w:val="20"/>
                <w:lang w:eastAsia="es-PE"/>
              </w:rPr>
              <w:t>0.076</w:t>
            </w:r>
          </w:p>
        </w:tc>
        <w:tc>
          <w:tcPr>
            <w:tcW w:w="773" w:type="pct"/>
            <w:tcBorders>
              <w:top w:val="nil"/>
              <w:left w:val="nil"/>
              <w:bottom w:val="nil"/>
              <w:right w:val="nil"/>
            </w:tcBorders>
            <w:noWrap/>
            <w:vAlign w:val="center"/>
            <w:hideMark/>
          </w:tcPr>
          <w:p w14:paraId="2777620A" w14:textId="77777777" w:rsidR="000078CB" w:rsidRPr="00311EFF" w:rsidRDefault="000078CB" w:rsidP="00055DE8">
            <w:pPr>
              <w:rPr>
                <w:color w:val="000000"/>
                <w:sz w:val="20"/>
                <w:lang w:eastAsia="es-PE"/>
              </w:rPr>
            </w:pPr>
            <w:r w:rsidRPr="00311EFF">
              <w:rPr>
                <w:color w:val="000000"/>
                <w:sz w:val="20"/>
                <w:lang w:eastAsia="es-PE"/>
              </w:rPr>
              <w:t>≈0</w:t>
            </w:r>
          </w:p>
        </w:tc>
        <w:tc>
          <w:tcPr>
            <w:tcW w:w="806" w:type="pct"/>
            <w:tcBorders>
              <w:top w:val="nil"/>
              <w:left w:val="nil"/>
              <w:bottom w:val="nil"/>
              <w:right w:val="nil"/>
            </w:tcBorders>
            <w:noWrap/>
            <w:vAlign w:val="center"/>
            <w:hideMark/>
          </w:tcPr>
          <w:p w14:paraId="29F8E0F7" w14:textId="77777777" w:rsidR="000078CB" w:rsidRPr="00311EFF" w:rsidRDefault="000078CB" w:rsidP="00055DE8">
            <w:pPr>
              <w:rPr>
                <w:color w:val="000000"/>
                <w:sz w:val="20"/>
                <w:lang w:eastAsia="es-PE"/>
              </w:rPr>
            </w:pPr>
            <w:r w:rsidRPr="00311EFF">
              <w:rPr>
                <w:color w:val="000000"/>
                <w:sz w:val="20"/>
                <w:lang w:eastAsia="es-PE"/>
              </w:rPr>
              <w:t>-321</w:t>
            </w:r>
          </w:p>
        </w:tc>
        <w:tc>
          <w:tcPr>
            <w:tcW w:w="565" w:type="pct"/>
            <w:tcBorders>
              <w:top w:val="nil"/>
              <w:left w:val="nil"/>
              <w:bottom w:val="nil"/>
              <w:right w:val="nil"/>
            </w:tcBorders>
            <w:noWrap/>
            <w:vAlign w:val="center"/>
            <w:hideMark/>
          </w:tcPr>
          <w:p w14:paraId="4BDB3A92" w14:textId="77777777" w:rsidR="000078CB" w:rsidRPr="00311EFF" w:rsidRDefault="000078CB" w:rsidP="00055DE8">
            <w:pPr>
              <w:rPr>
                <w:color w:val="000000"/>
                <w:sz w:val="20"/>
                <w:lang w:eastAsia="es-PE"/>
              </w:rPr>
            </w:pPr>
            <w:r w:rsidRPr="00311EFF">
              <w:rPr>
                <w:color w:val="000000"/>
                <w:sz w:val="20"/>
                <w:lang w:eastAsia="es-PE"/>
              </w:rPr>
              <w:t>-695%</w:t>
            </w:r>
          </w:p>
        </w:tc>
      </w:tr>
      <w:tr w:rsidR="008E0B3E" w:rsidRPr="008E0B3E" w14:paraId="661DC554" w14:textId="77777777" w:rsidTr="00311EFF">
        <w:trPr>
          <w:trHeight w:val="290"/>
          <w:jc w:val="center"/>
        </w:trPr>
        <w:tc>
          <w:tcPr>
            <w:tcW w:w="1209" w:type="pct"/>
            <w:tcBorders>
              <w:top w:val="nil"/>
              <w:left w:val="nil"/>
              <w:bottom w:val="nil"/>
              <w:right w:val="nil"/>
            </w:tcBorders>
            <w:noWrap/>
            <w:vAlign w:val="center"/>
            <w:hideMark/>
          </w:tcPr>
          <w:p w14:paraId="505A22E1" w14:textId="77777777" w:rsidR="000078CB" w:rsidRPr="00311EFF" w:rsidRDefault="000078CB" w:rsidP="00055DE8">
            <w:pPr>
              <w:rPr>
                <w:color w:val="000000"/>
                <w:sz w:val="20"/>
                <w:lang w:eastAsia="es-PE"/>
              </w:rPr>
            </w:pPr>
            <w:r w:rsidRPr="00311EFF">
              <w:rPr>
                <w:color w:val="000000"/>
                <w:sz w:val="20"/>
                <w:lang w:eastAsia="es-PE"/>
              </w:rPr>
              <w:t>Energy price +20%</w:t>
            </w:r>
          </w:p>
        </w:tc>
        <w:tc>
          <w:tcPr>
            <w:tcW w:w="1048" w:type="pct"/>
            <w:tcBorders>
              <w:top w:val="nil"/>
              <w:left w:val="nil"/>
              <w:bottom w:val="nil"/>
              <w:right w:val="nil"/>
            </w:tcBorders>
            <w:noWrap/>
            <w:vAlign w:val="center"/>
            <w:hideMark/>
          </w:tcPr>
          <w:p w14:paraId="2CF8F758" w14:textId="77777777" w:rsidR="000078CB" w:rsidRPr="00311EFF" w:rsidRDefault="000078CB" w:rsidP="00055DE8">
            <w:pPr>
              <w:rPr>
                <w:color w:val="000000"/>
                <w:sz w:val="20"/>
                <w:lang w:eastAsia="es-PE"/>
              </w:rPr>
            </w:pPr>
            <w:r w:rsidRPr="00311EFF">
              <w:rPr>
                <w:color w:val="000000"/>
                <w:sz w:val="20"/>
                <w:lang w:eastAsia="es-PE"/>
              </w:rPr>
              <w:t>0.320 USD/kWh</w:t>
            </w:r>
          </w:p>
        </w:tc>
        <w:tc>
          <w:tcPr>
            <w:tcW w:w="598" w:type="pct"/>
            <w:tcBorders>
              <w:top w:val="nil"/>
              <w:left w:val="nil"/>
              <w:bottom w:val="nil"/>
              <w:right w:val="nil"/>
            </w:tcBorders>
            <w:noWrap/>
            <w:vAlign w:val="center"/>
            <w:hideMark/>
          </w:tcPr>
          <w:p w14:paraId="6635AA22" w14:textId="77777777" w:rsidR="000078CB" w:rsidRPr="00311EFF" w:rsidRDefault="000078CB" w:rsidP="00055DE8">
            <w:pPr>
              <w:rPr>
                <w:color w:val="000000"/>
                <w:sz w:val="20"/>
                <w:lang w:eastAsia="es-PE"/>
              </w:rPr>
            </w:pPr>
            <w:r w:rsidRPr="00311EFF">
              <w:rPr>
                <w:color w:val="000000"/>
                <w:sz w:val="20"/>
                <w:lang w:eastAsia="es-PE"/>
              </w:rPr>
              <w:t>0.076</w:t>
            </w:r>
          </w:p>
        </w:tc>
        <w:tc>
          <w:tcPr>
            <w:tcW w:w="773" w:type="pct"/>
            <w:tcBorders>
              <w:top w:val="nil"/>
              <w:left w:val="nil"/>
              <w:bottom w:val="nil"/>
              <w:right w:val="nil"/>
            </w:tcBorders>
            <w:noWrap/>
            <w:vAlign w:val="center"/>
            <w:hideMark/>
          </w:tcPr>
          <w:p w14:paraId="33CCB8EA" w14:textId="77777777" w:rsidR="000078CB" w:rsidRPr="00311EFF" w:rsidRDefault="000078CB" w:rsidP="00055DE8">
            <w:pPr>
              <w:rPr>
                <w:color w:val="000000"/>
                <w:sz w:val="20"/>
                <w:lang w:eastAsia="es-PE"/>
              </w:rPr>
            </w:pPr>
            <w:r w:rsidRPr="00311EFF">
              <w:rPr>
                <w:color w:val="000000"/>
                <w:sz w:val="20"/>
                <w:lang w:eastAsia="es-PE"/>
              </w:rPr>
              <w:t>≈0</w:t>
            </w:r>
          </w:p>
        </w:tc>
        <w:tc>
          <w:tcPr>
            <w:tcW w:w="806" w:type="pct"/>
            <w:tcBorders>
              <w:top w:val="nil"/>
              <w:left w:val="nil"/>
              <w:bottom w:val="nil"/>
              <w:right w:val="nil"/>
            </w:tcBorders>
            <w:noWrap/>
            <w:vAlign w:val="center"/>
            <w:hideMark/>
          </w:tcPr>
          <w:p w14:paraId="4FDEA553" w14:textId="77777777" w:rsidR="000078CB" w:rsidRPr="00311EFF" w:rsidRDefault="000078CB" w:rsidP="00055DE8">
            <w:pPr>
              <w:rPr>
                <w:color w:val="000000"/>
                <w:sz w:val="20"/>
                <w:lang w:eastAsia="es-PE"/>
              </w:rPr>
            </w:pPr>
            <w:r w:rsidRPr="00311EFF">
              <w:rPr>
                <w:color w:val="000000"/>
                <w:sz w:val="20"/>
                <w:lang w:eastAsia="es-PE"/>
              </w:rPr>
              <w:t>337</w:t>
            </w:r>
          </w:p>
        </w:tc>
        <w:tc>
          <w:tcPr>
            <w:tcW w:w="565" w:type="pct"/>
            <w:tcBorders>
              <w:top w:val="nil"/>
              <w:left w:val="nil"/>
              <w:bottom w:val="nil"/>
              <w:right w:val="nil"/>
            </w:tcBorders>
            <w:noWrap/>
            <w:vAlign w:val="center"/>
            <w:hideMark/>
          </w:tcPr>
          <w:p w14:paraId="2B794376" w14:textId="77777777" w:rsidR="000078CB" w:rsidRPr="00311EFF" w:rsidRDefault="000078CB" w:rsidP="00055DE8">
            <w:pPr>
              <w:rPr>
                <w:color w:val="000000"/>
                <w:sz w:val="20"/>
                <w:lang w:eastAsia="es-PE"/>
              </w:rPr>
            </w:pPr>
            <w:r w:rsidRPr="00311EFF">
              <w:rPr>
                <w:color w:val="000000"/>
                <w:sz w:val="20"/>
                <w:lang w:eastAsia="es-PE"/>
              </w:rPr>
              <w:t>+524%</w:t>
            </w:r>
          </w:p>
        </w:tc>
      </w:tr>
      <w:tr w:rsidR="008E0B3E" w:rsidRPr="008E0B3E" w14:paraId="1617D983" w14:textId="77777777" w:rsidTr="00311EFF">
        <w:trPr>
          <w:trHeight w:val="290"/>
          <w:jc w:val="center"/>
        </w:trPr>
        <w:tc>
          <w:tcPr>
            <w:tcW w:w="1209" w:type="pct"/>
            <w:tcBorders>
              <w:top w:val="nil"/>
              <w:left w:val="nil"/>
              <w:bottom w:val="nil"/>
              <w:right w:val="nil"/>
            </w:tcBorders>
            <w:noWrap/>
            <w:vAlign w:val="center"/>
            <w:hideMark/>
          </w:tcPr>
          <w:p w14:paraId="1F2821F3" w14:textId="77777777" w:rsidR="000078CB" w:rsidRPr="00311EFF" w:rsidRDefault="000078CB" w:rsidP="00055DE8">
            <w:pPr>
              <w:rPr>
                <w:color w:val="000000"/>
                <w:sz w:val="20"/>
                <w:lang w:eastAsia="es-PE"/>
              </w:rPr>
            </w:pPr>
            <w:r w:rsidRPr="00311EFF">
              <w:rPr>
                <w:color w:val="000000"/>
                <w:sz w:val="20"/>
                <w:lang w:eastAsia="es-PE"/>
              </w:rPr>
              <w:t>Discount rate –2% (8%)</w:t>
            </w:r>
          </w:p>
        </w:tc>
        <w:tc>
          <w:tcPr>
            <w:tcW w:w="1048" w:type="pct"/>
            <w:tcBorders>
              <w:top w:val="nil"/>
              <w:left w:val="nil"/>
              <w:bottom w:val="nil"/>
              <w:right w:val="nil"/>
            </w:tcBorders>
            <w:noWrap/>
            <w:vAlign w:val="center"/>
            <w:hideMark/>
          </w:tcPr>
          <w:p w14:paraId="61AB3979" w14:textId="77777777" w:rsidR="000078CB" w:rsidRPr="00311EFF" w:rsidRDefault="000078CB" w:rsidP="00055DE8">
            <w:pPr>
              <w:rPr>
                <w:color w:val="000000"/>
                <w:sz w:val="20"/>
                <w:lang w:eastAsia="es-PE"/>
              </w:rPr>
            </w:pPr>
            <w:r w:rsidRPr="00311EFF">
              <w:rPr>
                <w:color w:val="000000"/>
                <w:sz w:val="20"/>
                <w:lang w:eastAsia="es-PE"/>
              </w:rPr>
              <w:t>–</w:t>
            </w:r>
          </w:p>
        </w:tc>
        <w:tc>
          <w:tcPr>
            <w:tcW w:w="598" w:type="pct"/>
            <w:tcBorders>
              <w:top w:val="nil"/>
              <w:left w:val="nil"/>
              <w:bottom w:val="nil"/>
              <w:right w:val="nil"/>
            </w:tcBorders>
            <w:noWrap/>
            <w:vAlign w:val="center"/>
            <w:hideMark/>
          </w:tcPr>
          <w:p w14:paraId="00C8BAC4" w14:textId="77777777" w:rsidR="000078CB" w:rsidRPr="00311EFF" w:rsidRDefault="000078CB" w:rsidP="00055DE8">
            <w:pPr>
              <w:rPr>
                <w:color w:val="000000"/>
                <w:sz w:val="20"/>
                <w:lang w:eastAsia="es-PE"/>
              </w:rPr>
            </w:pPr>
            <w:r w:rsidRPr="00311EFF">
              <w:rPr>
                <w:color w:val="000000"/>
                <w:sz w:val="20"/>
                <w:lang w:eastAsia="es-PE"/>
              </w:rPr>
              <w:t>0.075</w:t>
            </w:r>
          </w:p>
        </w:tc>
        <w:tc>
          <w:tcPr>
            <w:tcW w:w="773" w:type="pct"/>
            <w:tcBorders>
              <w:top w:val="nil"/>
              <w:left w:val="nil"/>
              <w:bottom w:val="nil"/>
              <w:right w:val="nil"/>
            </w:tcBorders>
            <w:noWrap/>
            <w:vAlign w:val="center"/>
            <w:hideMark/>
          </w:tcPr>
          <w:p w14:paraId="2FB1A295" w14:textId="77777777" w:rsidR="000078CB" w:rsidRPr="00311EFF" w:rsidRDefault="000078CB" w:rsidP="00055DE8">
            <w:pPr>
              <w:rPr>
                <w:color w:val="000000"/>
                <w:sz w:val="20"/>
                <w:lang w:eastAsia="es-PE"/>
              </w:rPr>
            </w:pPr>
            <w:r w:rsidRPr="00311EFF">
              <w:rPr>
                <w:color w:val="000000"/>
                <w:sz w:val="20"/>
                <w:lang w:eastAsia="es-PE"/>
              </w:rPr>
              <w:t>-1%</w:t>
            </w:r>
          </w:p>
        </w:tc>
        <w:tc>
          <w:tcPr>
            <w:tcW w:w="806" w:type="pct"/>
            <w:tcBorders>
              <w:top w:val="nil"/>
              <w:left w:val="nil"/>
              <w:bottom w:val="nil"/>
              <w:right w:val="nil"/>
            </w:tcBorders>
            <w:noWrap/>
            <w:vAlign w:val="center"/>
            <w:hideMark/>
          </w:tcPr>
          <w:p w14:paraId="4CB6FC81" w14:textId="77777777" w:rsidR="000078CB" w:rsidRPr="00311EFF" w:rsidRDefault="000078CB" w:rsidP="00055DE8">
            <w:pPr>
              <w:rPr>
                <w:color w:val="000000"/>
                <w:sz w:val="20"/>
                <w:lang w:eastAsia="es-PE"/>
              </w:rPr>
            </w:pPr>
            <w:r w:rsidRPr="00311EFF">
              <w:rPr>
                <w:color w:val="000000"/>
                <w:sz w:val="20"/>
                <w:lang w:eastAsia="es-PE"/>
              </w:rPr>
              <w:t>164</w:t>
            </w:r>
          </w:p>
        </w:tc>
        <w:tc>
          <w:tcPr>
            <w:tcW w:w="565" w:type="pct"/>
            <w:tcBorders>
              <w:top w:val="nil"/>
              <w:left w:val="nil"/>
              <w:bottom w:val="nil"/>
              <w:right w:val="nil"/>
            </w:tcBorders>
            <w:noWrap/>
            <w:vAlign w:val="center"/>
            <w:hideMark/>
          </w:tcPr>
          <w:p w14:paraId="2301C60E" w14:textId="77777777" w:rsidR="000078CB" w:rsidRPr="00311EFF" w:rsidRDefault="000078CB" w:rsidP="00055DE8">
            <w:pPr>
              <w:rPr>
                <w:color w:val="000000"/>
                <w:sz w:val="20"/>
                <w:lang w:eastAsia="es-PE"/>
              </w:rPr>
            </w:pPr>
            <w:r w:rsidRPr="00311EFF">
              <w:rPr>
                <w:color w:val="000000"/>
                <w:sz w:val="20"/>
                <w:lang w:eastAsia="es-PE"/>
              </w:rPr>
              <w:t>+204%</w:t>
            </w:r>
          </w:p>
        </w:tc>
      </w:tr>
      <w:tr w:rsidR="008E0B3E" w:rsidRPr="008E0B3E" w14:paraId="6CBEEFEC" w14:textId="77777777" w:rsidTr="00311EFF">
        <w:trPr>
          <w:trHeight w:val="290"/>
          <w:jc w:val="center"/>
        </w:trPr>
        <w:tc>
          <w:tcPr>
            <w:tcW w:w="1209" w:type="pct"/>
            <w:tcBorders>
              <w:top w:val="nil"/>
              <w:left w:val="nil"/>
              <w:bottom w:val="single" w:sz="4" w:space="0" w:color="auto"/>
              <w:right w:val="nil"/>
            </w:tcBorders>
            <w:noWrap/>
            <w:vAlign w:val="center"/>
            <w:hideMark/>
          </w:tcPr>
          <w:p w14:paraId="2C002293" w14:textId="77777777" w:rsidR="000078CB" w:rsidRPr="00311EFF" w:rsidRDefault="000078CB" w:rsidP="00055DE8">
            <w:pPr>
              <w:rPr>
                <w:color w:val="000000"/>
                <w:sz w:val="20"/>
                <w:lang w:eastAsia="es-PE"/>
              </w:rPr>
            </w:pPr>
            <w:r w:rsidRPr="00311EFF">
              <w:rPr>
                <w:color w:val="000000"/>
                <w:sz w:val="20"/>
                <w:lang w:eastAsia="es-PE"/>
              </w:rPr>
              <w:t>Discount rate +2% (12%)</w:t>
            </w:r>
          </w:p>
        </w:tc>
        <w:tc>
          <w:tcPr>
            <w:tcW w:w="1048" w:type="pct"/>
            <w:tcBorders>
              <w:top w:val="nil"/>
              <w:left w:val="nil"/>
              <w:bottom w:val="single" w:sz="4" w:space="0" w:color="auto"/>
              <w:right w:val="nil"/>
            </w:tcBorders>
            <w:noWrap/>
            <w:vAlign w:val="center"/>
            <w:hideMark/>
          </w:tcPr>
          <w:p w14:paraId="1C3B2CC8" w14:textId="77777777" w:rsidR="000078CB" w:rsidRPr="00311EFF" w:rsidRDefault="000078CB" w:rsidP="00055DE8">
            <w:pPr>
              <w:rPr>
                <w:color w:val="000000"/>
                <w:sz w:val="20"/>
                <w:lang w:eastAsia="es-PE"/>
              </w:rPr>
            </w:pPr>
            <w:r w:rsidRPr="00311EFF">
              <w:rPr>
                <w:color w:val="000000"/>
                <w:sz w:val="20"/>
                <w:lang w:eastAsia="es-PE"/>
              </w:rPr>
              <w:t>–</w:t>
            </w:r>
          </w:p>
        </w:tc>
        <w:tc>
          <w:tcPr>
            <w:tcW w:w="598" w:type="pct"/>
            <w:tcBorders>
              <w:top w:val="nil"/>
              <w:left w:val="nil"/>
              <w:bottom w:val="single" w:sz="4" w:space="0" w:color="auto"/>
              <w:right w:val="nil"/>
            </w:tcBorders>
            <w:noWrap/>
            <w:vAlign w:val="center"/>
            <w:hideMark/>
          </w:tcPr>
          <w:p w14:paraId="2531C428" w14:textId="77777777" w:rsidR="000078CB" w:rsidRPr="00311EFF" w:rsidRDefault="000078CB" w:rsidP="00055DE8">
            <w:pPr>
              <w:rPr>
                <w:color w:val="000000"/>
                <w:sz w:val="20"/>
                <w:lang w:eastAsia="es-PE"/>
              </w:rPr>
            </w:pPr>
            <w:r w:rsidRPr="00311EFF">
              <w:rPr>
                <w:color w:val="000000"/>
                <w:sz w:val="20"/>
                <w:lang w:eastAsia="es-PE"/>
              </w:rPr>
              <w:t>0.077</w:t>
            </w:r>
          </w:p>
        </w:tc>
        <w:tc>
          <w:tcPr>
            <w:tcW w:w="773" w:type="pct"/>
            <w:tcBorders>
              <w:top w:val="nil"/>
              <w:left w:val="nil"/>
              <w:bottom w:val="single" w:sz="4" w:space="0" w:color="auto"/>
              <w:right w:val="nil"/>
            </w:tcBorders>
            <w:noWrap/>
            <w:vAlign w:val="center"/>
            <w:hideMark/>
          </w:tcPr>
          <w:p w14:paraId="013F01A9" w14:textId="77777777" w:rsidR="000078CB" w:rsidRPr="00311EFF" w:rsidRDefault="000078CB" w:rsidP="00055DE8">
            <w:pPr>
              <w:rPr>
                <w:color w:val="000000"/>
                <w:sz w:val="20"/>
                <w:lang w:eastAsia="es-PE"/>
              </w:rPr>
            </w:pPr>
            <w:r w:rsidRPr="00311EFF">
              <w:rPr>
                <w:color w:val="000000"/>
                <w:sz w:val="20"/>
                <w:lang w:eastAsia="es-PE"/>
              </w:rPr>
              <w:t>+1%</w:t>
            </w:r>
          </w:p>
        </w:tc>
        <w:tc>
          <w:tcPr>
            <w:tcW w:w="806" w:type="pct"/>
            <w:tcBorders>
              <w:top w:val="nil"/>
              <w:left w:val="nil"/>
              <w:bottom w:val="single" w:sz="4" w:space="0" w:color="auto"/>
              <w:right w:val="nil"/>
            </w:tcBorders>
            <w:noWrap/>
            <w:vAlign w:val="center"/>
            <w:hideMark/>
          </w:tcPr>
          <w:p w14:paraId="692F5CAD" w14:textId="77777777" w:rsidR="000078CB" w:rsidRPr="00311EFF" w:rsidRDefault="000078CB" w:rsidP="00055DE8">
            <w:pPr>
              <w:rPr>
                <w:color w:val="000000"/>
                <w:sz w:val="20"/>
                <w:lang w:eastAsia="es-PE"/>
              </w:rPr>
            </w:pPr>
            <w:r w:rsidRPr="00311EFF">
              <w:rPr>
                <w:color w:val="000000"/>
                <w:sz w:val="20"/>
                <w:lang w:eastAsia="es-PE"/>
              </w:rPr>
              <w:t>-172</w:t>
            </w:r>
          </w:p>
        </w:tc>
        <w:tc>
          <w:tcPr>
            <w:tcW w:w="565" w:type="pct"/>
            <w:tcBorders>
              <w:top w:val="nil"/>
              <w:left w:val="nil"/>
              <w:bottom w:val="single" w:sz="4" w:space="0" w:color="auto"/>
              <w:right w:val="nil"/>
            </w:tcBorders>
            <w:noWrap/>
            <w:vAlign w:val="center"/>
            <w:hideMark/>
          </w:tcPr>
          <w:p w14:paraId="59034019" w14:textId="77777777" w:rsidR="000078CB" w:rsidRPr="00311EFF" w:rsidRDefault="000078CB" w:rsidP="00055DE8">
            <w:pPr>
              <w:rPr>
                <w:color w:val="000000"/>
                <w:sz w:val="20"/>
                <w:lang w:eastAsia="es-PE"/>
              </w:rPr>
            </w:pPr>
            <w:r w:rsidRPr="00311EFF">
              <w:rPr>
                <w:color w:val="000000"/>
                <w:sz w:val="20"/>
                <w:lang w:eastAsia="es-PE"/>
              </w:rPr>
              <w:t>-419%</w:t>
            </w:r>
          </w:p>
        </w:tc>
      </w:tr>
    </w:tbl>
    <w:p w14:paraId="55E64C17" w14:textId="77777777" w:rsidR="00624141" w:rsidRDefault="00624141" w:rsidP="000722B3">
      <w:pPr>
        <w:pStyle w:val="Paragraph"/>
      </w:pPr>
    </w:p>
    <w:p w14:paraId="221752DA" w14:textId="515C1D8B" w:rsidR="000722B3" w:rsidRPr="00FF09BD" w:rsidRDefault="000722B3" w:rsidP="000722B3">
      <w:pPr>
        <w:pStyle w:val="Paragraph"/>
      </w:pPr>
      <w:r w:rsidRPr="00FF09BD">
        <w:t xml:space="preserve">The results obtained in this study confirm that the implementation of single-axis solar tracking in residential photovoltaic systems significantly increases annual energy generation and specific yield, compared to fixed configurations. In the case analyzed, the system with </w:t>
      </w:r>
      <w:proofErr w:type="gramStart"/>
      <w:r w:rsidR="00FF09BD" w:rsidRPr="00FF09BD">
        <w:t>tracker</w:t>
      </w:r>
      <w:proofErr w:type="gramEnd"/>
      <w:r w:rsidR="00FF09BD">
        <w:t xml:space="preserve"> </w:t>
      </w:r>
      <w:r w:rsidRPr="00FF09BD">
        <w:t xml:space="preserve">achieved a 43% gain in annual production, in line with the literature for subtropical areas. However, from an economic perspective, the profitability of the tracking system did not show a proportional improvement to the energy increase. Despite obtaining a lower LCOE (0.076 vs. 0.091 USD/kWh), the NPV and IRR remained close to those of the fixed system, mainly due to the higher initial investment cost and the limited value of the surplus energy exported in the absence of </w:t>
      </w:r>
      <w:proofErr w:type="gramStart"/>
      <w:r w:rsidRPr="00FF09BD">
        <w:t>full net metering</w:t>
      </w:r>
      <w:proofErr w:type="gramEnd"/>
      <w:r w:rsidRPr="00FF09BD">
        <w:t>. This aspect reduces the economic impact of the additional energy, placing the investment close to the break-even point under current tariff conditions.</w:t>
      </w:r>
    </w:p>
    <w:p w14:paraId="73D23A6D" w14:textId="77777777" w:rsidR="000722B3" w:rsidRPr="00FF09BD" w:rsidRDefault="000722B3" w:rsidP="000722B3">
      <w:pPr>
        <w:pStyle w:val="Paragraph"/>
      </w:pPr>
      <w:r w:rsidRPr="00FF09BD">
        <w:t>The sensitivity analysis highlights that CAPEX and energy prices are the most decisive factors for the viability of the system: reductions in investment costs or increases in electricity tariffs can make the investment very profitable, while increases in CAPEX or decreases in energy prices can make it unviable. In contrast, operating and maintenance costs, as well as the energy consumption of the tracker, have a marginal effect on the economic indicators.</w:t>
      </w:r>
    </w:p>
    <w:p w14:paraId="3AD7B1E6" w14:textId="42B36EC8" w:rsidR="00145445" w:rsidRPr="00145445" w:rsidRDefault="000722B3" w:rsidP="000722B3">
      <w:pPr>
        <w:pStyle w:val="Paragraph"/>
        <w:rPr>
          <w:lang w:val="es-PE"/>
        </w:rPr>
      </w:pPr>
      <w:r w:rsidRPr="00FF09BD">
        <w:t>Finally, it is important to consider that tracking systems require more maintenance and are more mechanically complex, factors that may influence the decision of residential users, who prioritize simplicity and reliability</w:t>
      </w:r>
      <w:r w:rsidRPr="000722B3">
        <w:rPr>
          <w:lang w:val="es-PE"/>
        </w:rPr>
        <w:t>.</w:t>
      </w:r>
    </w:p>
    <w:p w14:paraId="238F91B4" w14:textId="53B6DE65" w:rsidR="00D87E2A" w:rsidRDefault="008C78F5" w:rsidP="00D87E2A">
      <w:pPr>
        <w:pStyle w:val="Heading1"/>
        <w:rPr>
          <w:b w:val="0"/>
          <w:caps w:val="0"/>
          <w:sz w:val="20"/>
        </w:rPr>
      </w:pPr>
      <w:r>
        <w:rPr>
          <w:rFonts w:asciiTheme="majorBidi" w:hAnsiTheme="majorBidi" w:cstheme="majorBidi"/>
          <w:caps w:val="0"/>
        </w:rPr>
        <w:t>CONCLUSION</w:t>
      </w:r>
    </w:p>
    <w:p w14:paraId="380697A3" w14:textId="77777777" w:rsidR="006B5500" w:rsidRPr="00DE267C" w:rsidRDefault="006B5500" w:rsidP="006B5500">
      <w:pPr>
        <w:pStyle w:val="Paragraph"/>
        <w:rPr>
          <w:rFonts w:asciiTheme="majorBidi" w:hAnsiTheme="majorBidi" w:cstheme="majorBidi"/>
        </w:rPr>
      </w:pPr>
      <w:r w:rsidRPr="00DE267C">
        <w:rPr>
          <w:rFonts w:asciiTheme="majorBidi" w:hAnsiTheme="majorBidi" w:cstheme="majorBidi"/>
        </w:rPr>
        <w:t>This study analyzed and compared the technical and economic performance of residential photovoltaic systems with fixed structures and single-axis solar tracking under the climatic and market conditions of Lima, Peru. The incorporation of solar tracking increased annual energy production by 43% compared to the fixed system, achieving specific yields of 1,826 and 1,274 kWh/</w:t>
      </w:r>
      <w:proofErr w:type="spellStart"/>
      <w:r w:rsidRPr="00DE267C">
        <w:rPr>
          <w:rFonts w:asciiTheme="majorBidi" w:hAnsiTheme="majorBidi" w:cstheme="majorBidi"/>
        </w:rPr>
        <w:t>kWp·year</w:t>
      </w:r>
      <w:proofErr w:type="spellEnd"/>
      <w:r w:rsidRPr="00DE267C">
        <w:rPr>
          <w:rFonts w:asciiTheme="majorBidi" w:hAnsiTheme="majorBidi" w:cstheme="majorBidi"/>
        </w:rPr>
        <w:t>, respectively.</w:t>
      </w:r>
    </w:p>
    <w:p w14:paraId="6FF408E0" w14:textId="77777777" w:rsidR="006B5500" w:rsidRPr="00DE267C" w:rsidRDefault="006B5500" w:rsidP="006B5500">
      <w:pPr>
        <w:pStyle w:val="Paragraph"/>
        <w:rPr>
          <w:rFonts w:asciiTheme="majorBidi" w:hAnsiTheme="majorBidi" w:cstheme="majorBidi"/>
        </w:rPr>
      </w:pPr>
      <w:r w:rsidRPr="00DE267C">
        <w:rPr>
          <w:rFonts w:asciiTheme="majorBidi" w:hAnsiTheme="majorBidi" w:cstheme="majorBidi"/>
        </w:rPr>
        <w:t>Despite this notable energy gain, the economic indicators (LCOE, NPV, IRR, and Payback Period) showed marginal improvements for the tracking system, mainly due to its higher initial investment cost (CAPEX) and the limited economic value of surplus energy exported under the current tariff scheme. The sensitivity analysis showed that the economic viability of both systems depends largely on the investment cost and the price of electricity.</w:t>
      </w:r>
    </w:p>
    <w:p w14:paraId="25CCB548" w14:textId="1C1FD608" w:rsidR="00E71B2E" w:rsidRPr="00802E5A" w:rsidRDefault="006B5500" w:rsidP="006B5500">
      <w:pPr>
        <w:pStyle w:val="Paragraph"/>
        <w:rPr>
          <w:rFonts w:asciiTheme="majorBidi" w:hAnsiTheme="majorBidi" w:cstheme="majorBidi"/>
          <w:u w:val="single"/>
          <w:lang w:val="es-PE"/>
        </w:rPr>
      </w:pPr>
      <w:r w:rsidRPr="00DE267C">
        <w:rPr>
          <w:rFonts w:asciiTheme="majorBidi" w:hAnsiTheme="majorBidi" w:cstheme="majorBidi"/>
        </w:rPr>
        <w:t>The results highlight that solar tracking maximizes resource utilization and annual production. However, its economic attractiveness in the residential sector depends on local electricity prices, the existence of incentives, and surplus compensation policies</w:t>
      </w:r>
      <w:r w:rsidR="00E71B2E" w:rsidRPr="00E71B2E">
        <w:rPr>
          <w:rFonts w:asciiTheme="majorBidi" w:hAnsiTheme="majorBidi" w:cstheme="majorBidi"/>
          <w:lang w:val="es-PE"/>
        </w:rPr>
        <w:t>.</w:t>
      </w:r>
    </w:p>
    <w:p w14:paraId="7691B80C" w14:textId="7E0800B7" w:rsidR="00613B4D" w:rsidRPr="00075EA6" w:rsidRDefault="008C78F5" w:rsidP="00613B4D">
      <w:pPr>
        <w:pStyle w:val="Heading1"/>
      </w:pPr>
      <w:r w:rsidRPr="00075EA6">
        <w:rPr>
          <w:rFonts w:asciiTheme="majorBidi" w:hAnsiTheme="majorBidi" w:cstheme="majorBidi"/>
          <w:caps w:val="0"/>
        </w:rPr>
        <w:t>ACKNOWLEDGMENTS</w:t>
      </w:r>
    </w:p>
    <w:p w14:paraId="4F4EA3E3" w14:textId="69F6E74D" w:rsidR="000B3A2D" w:rsidRPr="00075EA6" w:rsidRDefault="0018589B" w:rsidP="000B3A2D">
      <w:pPr>
        <w:pStyle w:val="Paragraph"/>
        <w:rPr>
          <w:rFonts w:asciiTheme="majorBidi" w:hAnsiTheme="majorBidi" w:cstheme="majorBidi"/>
        </w:rPr>
      </w:pPr>
      <w:r w:rsidRPr="0018589B">
        <w:rPr>
          <w:rFonts w:asciiTheme="majorBidi" w:hAnsiTheme="majorBidi" w:cstheme="majorBidi"/>
        </w:rPr>
        <w:t>The authors gratefully acknowledge the support provided in part by Universidad Privada del Norte (UPN) for the development of this research</w:t>
      </w:r>
      <w:r w:rsidR="005E71ED">
        <w:rPr>
          <w:rFonts w:asciiTheme="majorBidi" w:hAnsiTheme="majorBidi" w:cstheme="majorBidi"/>
        </w:rPr>
        <w:t>.</w:t>
      </w:r>
    </w:p>
    <w:p w14:paraId="74D4F45E" w14:textId="55F81DCE" w:rsidR="00613B4D" w:rsidRPr="00594665" w:rsidRDefault="008C78F5" w:rsidP="00594665">
      <w:pPr>
        <w:pStyle w:val="Heading1"/>
        <w:rPr>
          <w:rFonts w:asciiTheme="majorBidi" w:hAnsiTheme="majorBidi" w:cstheme="majorBidi"/>
        </w:rPr>
      </w:pPr>
      <w:r w:rsidRPr="00075EA6">
        <w:rPr>
          <w:rFonts w:asciiTheme="majorBidi" w:hAnsiTheme="majorBidi" w:cstheme="majorBidi"/>
          <w:caps w:val="0"/>
        </w:rPr>
        <w:lastRenderedPageBreak/>
        <w:t>REFERENCES</w:t>
      </w:r>
    </w:p>
    <w:p w14:paraId="02199D69" w14:textId="77777777" w:rsidR="008D36B9" w:rsidRDefault="008D36B9" w:rsidP="008D36B9">
      <w:pPr>
        <w:pStyle w:val="Reference"/>
      </w:pPr>
      <w:r>
        <w:t>Y.K. Hwang and Á. Sánchez Díez, Renew. Sustain. Energy Rev. 198, 114431 (2024).</w:t>
      </w:r>
    </w:p>
    <w:p w14:paraId="2BB864EA" w14:textId="77777777" w:rsidR="008D36B9" w:rsidRDefault="008D36B9" w:rsidP="008D36B9">
      <w:pPr>
        <w:pStyle w:val="Reference"/>
      </w:pPr>
      <w:r>
        <w:t xml:space="preserve">A.R. Amelia, Y.M. Irwan, I. </w:t>
      </w:r>
      <w:proofErr w:type="spellStart"/>
      <w:r>
        <w:t>Safwati</w:t>
      </w:r>
      <w:proofErr w:type="spellEnd"/>
      <w:r>
        <w:t>, W.Z. Leow, M.H. Mat, and M.S.A. Rahim, IOP Conf. Ser. Mater. Sci. Eng. 767, 012052 (2020).</w:t>
      </w:r>
    </w:p>
    <w:p w14:paraId="5C043F72" w14:textId="77777777" w:rsidR="008D36B9" w:rsidRDefault="008D36B9" w:rsidP="008D36B9">
      <w:pPr>
        <w:pStyle w:val="Reference"/>
      </w:pPr>
      <w:r>
        <w:t xml:space="preserve">M.A.M. Ramli, H.R.E.H. </w:t>
      </w:r>
      <w:proofErr w:type="spellStart"/>
      <w:r>
        <w:t>Bouchekara</w:t>
      </w:r>
      <w:proofErr w:type="spellEnd"/>
      <w:r>
        <w:t>, and A.S. Alghamdi, Renew. Energy 121, 400 (2018).</w:t>
      </w:r>
    </w:p>
    <w:p w14:paraId="2A02F279" w14:textId="77777777" w:rsidR="008D36B9" w:rsidRDefault="008D36B9" w:rsidP="008D36B9">
      <w:pPr>
        <w:pStyle w:val="Reference"/>
      </w:pPr>
      <w:r>
        <w:t>J. de D. Yáñez-Ávila and E.F. Camacho, Sol. Energy 284, 113066 (2024).</w:t>
      </w:r>
    </w:p>
    <w:p w14:paraId="4E1CE1AD" w14:textId="77777777" w:rsidR="008D36B9" w:rsidRDefault="008D36B9" w:rsidP="008D36B9">
      <w:pPr>
        <w:pStyle w:val="Reference"/>
      </w:pPr>
      <w:r>
        <w:t>J.C. Quispe, A.E. Obispo, and F.J. Alcantara, Clean Technol. Environ. Policy 26, 1415 (2024).</w:t>
      </w:r>
    </w:p>
    <w:p w14:paraId="450A7BE5" w14:textId="77777777" w:rsidR="008D36B9" w:rsidRDefault="008D36B9" w:rsidP="008D36B9">
      <w:pPr>
        <w:pStyle w:val="Reference"/>
      </w:pPr>
      <w:r>
        <w:t xml:space="preserve">H. </w:t>
      </w:r>
      <w:proofErr w:type="spellStart"/>
      <w:r>
        <w:t>Campodónico</w:t>
      </w:r>
      <w:proofErr w:type="spellEnd"/>
      <w:r>
        <w:t xml:space="preserve"> and C. Carrera, Energy Policy 171, 113261 (2022).</w:t>
      </w:r>
    </w:p>
    <w:p w14:paraId="3E3FD60F" w14:textId="77777777" w:rsidR="008D36B9" w:rsidRDefault="008D36B9" w:rsidP="008D36B9">
      <w:pPr>
        <w:pStyle w:val="Reference"/>
      </w:pPr>
      <w:r>
        <w:t>U.S. Department of Energy, NSRDB: National Solar Radiation Database (2022).</w:t>
      </w:r>
    </w:p>
    <w:p w14:paraId="3203DD6F" w14:textId="77777777" w:rsidR="008D36B9" w:rsidRDefault="008D36B9" w:rsidP="008D36B9">
      <w:pPr>
        <w:pStyle w:val="Reference"/>
      </w:pPr>
      <w:r>
        <w:t>E. Zarate-Perez and R. Sebastián, Manage. Environ. Qual., in press (2025).</w:t>
      </w:r>
    </w:p>
    <w:p w14:paraId="3DAC1AF2" w14:textId="77777777" w:rsidR="008D36B9" w:rsidRDefault="008D36B9" w:rsidP="008D36B9">
      <w:pPr>
        <w:pStyle w:val="Reference"/>
      </w:pPr>
      <w:r>
        <w:t xml:space="preserve">A. </w:t>
      </w:r>
      <w:proofErr w:type="spellStart"/>
      <w:r>
        <w:t>Dolara</w:t>
      </w:r>
      <w:proofErr w:type="spellEnd"/>
      <w:r>
        <w:t xml:space="preserve">, F. </w:t>
      </w:r>
      <w:proofErr w:type="spellStart"/>
      <w:r>
        <w:t>Grimaccia</w:t>
      </w:r>
      <w:proofErr w:type="spellEnd"/>
      <w:r>
        <w:t xml:space="preserve">, S. Leva, M. </w:t>
      </w:r>
      <w:proofErr w:type="spellStart"/>
      <w:r>
        <w:t>Mussetta</w:t>
      </w:r>
      <w:proofErr w:type="spellEnd"/>
      <w:r>
        <w:t xml:space="preserve">, R. Faranda, and M. Gualdoni, IEEE J. </w:t>
      </w:r>
      <w:proofErr w:type="spellStart"/>
      <w:r>
        <w:t>Photovolt</w:t>
      </w:r>
      <w:proofErr w:type="spellEnd"/>
      <w:r>
        <w:t>. 2, 524 (2012).</w:t>
      </w:r>
    </w:p>
    <w:p w14:paraId="62416702" w14:textId="118F3334" w:rsidR="008D36B9" w:rsidRPr="00F56790" w:rsidRDefault="008D36B9" w:rsidP="008D36B9">
      <w:pPr>
        <w:pStyle w:val="Reference"/>
      </w:pPr>
      <w:r>
        <w:t>E. Zarate-Perez and R. Sebastián, Energy Rep. 8, 653 (2022).</w:t>
      </w:r>
    </w:p>
    <w:sectPr w:rsidR="008D36B9" w:rsidRPr="00F56790" w:rsidSect="0008005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75100DF"/>
    <w:multiLevelType w:val="hybridMultilevel"/>
    <w:tmpl w:val="0D780252"/>
    <w:lvl w:ilvl="0" w:tplc="5B9C05CE">
      <w:start w:val="3"/>
      <w:numFmt w:val="bullet"/>
      <w:lvlText w:val="—"/>
      <w:lvlJc w:val="left"/>
      <w:pPr>
        <w:ind w:left="1004" w:hanging="360"/>
      </w:pPr>
      <w:rPr>
        <w:rFonts w:ascii="Verdana" w:eastAsia="Times New Roman" w:hAnsi="Verdana"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3D0CAC"/>
    <w:multiLevelType w:val="hybridMultilevel"/>
    <w:tmpl w:val="BC849FA4"/>
    <w:lvl w:ilvl="0" w:tplc="5B9C05CE">
      <w:start w:val="3"/>
      <w:numFmt w:val="bullet"/>
      <w:lvlText w:val="—"/>
      <w:lvlJc w:val="left"/>
      <w:pPr>
        <w:ind w:left="1004" w:hanging="360"/>
      </w:pPr>
      <w:rPr>
        <w:rFonts w:ascii="Verdana" w:eastAsia="Times New Roman" w:hAnsi="Verdana"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728C45C2"/>
    <w:multiLevelType w:val="hybridMultilevel"/>
    <w:tmpl w:val="CCC401AE"/>
    <w:lvl w:ilvl="0" w:tplc="5B9C05CE">
      <w:start w:val="3"/>
      <w:numFmt w:val="bullet"/>
      <w:lvlText w:val="—"/>
      <w:lvlJc w:val="left"/>
      <w:pPr>
        <w:ind w:left="1004" w:hanging="360"/>
      </w:pPr>
      <w:rPr>
        <w:rFonts w:ascii="Verdana" w:eastAsia="Times New Roman" w:hAnsi="Verdana"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735B2E01"/>
    <w:multiLevelType w:val="hybridMultilevel"/>
    <w:tmpl w:val="26F6ED62"/>
    <w:lvl w:ilvl="0" w:tplc="5B9C05CE">
      <w:start w:val="3"/>
      <w:numFmt w:val="bullet"/>
      <w:lvlText w:val="—"/>
      <w:lvlJc w:val="left"/>
      <w:pPr>
        <w:ind w:left="1004" w:hanging="360"/>
      </w:pPr>
      <w:rPr>
        <w:rFonts w:ascii="Verdana" w:eastAsia="Times New Roman" w:hAnsi="Verdana"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726029251">
    <w:abstractNumId w:val="3"/>
  </w:num>
  <w:num w:numId="2" w16cid:durableId="136382022">
    <w:abstractNumId w:val="2"/>
  </w:num>
  <w:num w:numId="3" w16cid:durableId="1289776494">
    <w:abstractNumId w:val="7"/>
  </w:num>
  <w:num w:numId="4" w16cid:durableId="715660419">
    <w:abstractNumId w:val="1"/>
  </w:num>
  <w:num w:numId="5" w16cid:durableId="1844859544">
    <w:abstractNumId w:val="4"/>
  </w:num>
  <w:num w:numId="6" w16cid:durableId="634917064">
    <w:abstractNumId w:val="5"/>
  </w:num>
  <w:num w:numId="7" w16cid:durableId="1751466724">
    <w:abstractNumId w:val="6"/>
  </w:num>
  <w:num w:numId="8" w16cid:durableId="192584497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08BA"/>
    <w:rsid w:val="00003D7C"/>
    <w:rsid w:val="00005F03"/>
    <w:rsid w:val="000078CB"/>
    <w:rsid w:val="00014140"/>
    <w:rsid w:val="00015D50"/>
    <w:rsid w:val="0001769E"/>
    <w:rsid w:val="00027428"/>
    <w:rsid w:val="00031EC9"/>
    <w:rsid w:val="0003649A"/>
    <w:rsid w:val="000376C8"/>
    <w:rsid w:val="0004695C"/>
    <w:rsid w:val="00052A2F"/>
    <w:rsid w:val="00057AB8"/>
    <w:rsid w:val="00066FED"/>
    <w:rsid w:val="000677C0"/>
    <w:rsid w:val="00070487"/>
    <w:rsid w:val="000706B5"/>
    <w:rsid w:val="000722B3"/>
    <w:rsid w:val="00073EE9"/>
    <w:rsid w:val="00075EA6"/>
    <w:rsid w:val="0007709F"/>
    <w:rsid w:val="00080051"/>
    <w:rsid w:val="0008013A"/>
    <w:rsid w:val="00086F62"/>
    <w:rsid w:val="00090674"/>
    <w:rsid w:val="0009320B"/>
    <w:rsid w:val="00096AE0"/>
    <w:rsid w:val="000B1B74"/>
    <w:rsid w:val="000B3A2D"/>
    <w:rsid w:val="000B49C0"/>
    <w:rsid w:val="000D135C"/>
    <w:rsid w:val="000E382F"/>
    <w:rsid w:val="000E75CD"/>
    <w:rsid w:val="001036BA"/>
    <w:rsid w:val="001058FB"/>
    <w:rsid w:val="00110DD2"/>
    <w:rsid w:val="001146DC"/>
    <w:rsid w:val="00114AB1"/>
    <w:rsid w:val="001230FF"/>
    <w:rsid w:val="0012613B"/>
    <w:rsid w:val="00127891"/>
    <w:rsid w:val="00130BD7"/>
    <w:rsid w:val="00133E8C"/>
    <w:rsid w:val="00136CC2"/>
    <w:rsid w:val="00145445"/>
    <w:rsid w:val="00155B67"/>
    <w:rsid w:val="001562AF"/>
    <w:rsid w:val="001571DD"/>
    <w:rsid w:val="00161569"/>
    <w:rsid w:val="00161A5B"/>
    <w:rsid w:val="0016385D"/>
    <w:rsid w:val="0016782F"/>
    <w:rsid w:val="00177740"/>
    <w:rsid w:val="00184B50"/>
    <w:rsid w:val="0018589B"/>
    <w:rsid w:val="001937E9"/>
    <w:rsid w:val="001964E5"/>
    <w:rsid w:val="001B263B"/>
    <w:rsid w:val="001B28CD"/>
    <w:rsid w:val="001B476A"/>
    <w:rsid w:val="001B799F"/>
    <w:rsid w:val="001C0BC5"/>
    <w:rsid w:val="001C764F"/>
    <w:rsid w:val="001C7BB3"/>
    <w:rsid w:val="001D469C"/>
    <w:rsid w:val="0021619E"/>
    <w:rsid w:val="002179CC"/>
    <w:rsid w:val="0022440C"/>
    <w:rsid w:val="0023171B"/>
    <w:rsid w:val="00236BFC"/>
    <w:rsid w:val="00237437"/>
    <w:rsid w:val="002463C3"/>
    <w:rsid w:val="00247825"/>
    <w:rsid w:val="002502FD"/>
    <w:rsid w:val="0025781E"/>
    <w:rsid w:val="002743C2"/>
    <w:rsid w:val="00274622"/>
    <w:rsid w:val="002747AE"/>
    <w:rsid w:val="002806AC"/>
    <w:rsid w:val="00284B9F"/>
    <w:rsid w:val="00285D24"/>
    <w:rsid w:val="00290390"/>
    <w:rsid w:val="00291095"/>
    <w:rsid w:val="002915D3"/>
    <w:rsid w:val="002924DB"/>
    <w:rsid w:val="00292867"/>
    <w:rsid w:val="002941DA"/>
    <w:rsid w:val="00294C2A"/>
    <w:rsid w:val="002B01DC"/>
    <w:rsid w:val="002B43DA"/>
    <w:rsid w:val="002B5648"/>
    <w:rsid w:val="002C08C7"/>
    <w:rsid w:val="002C67B3"/>
    <w:rsid w:val="002E0749"/>
    <w:rsid w:val="002E3C35"/>
    <w:rsid w:val="002F338C"/>
    <w:rsid w:val="002F5298"/>
    <w:rsid w:val="00311EFF"/>
    <w:rsid w:val="003235C8"/>
    <w:rsid w:val="00326AE0"/>
    <w:rsid w:val="00330DC8"/>
    <w:rsid w:val="00334E42"/>
    <w:rsid w:val="00337E4F"/>
    <w:rsid w:val="00340C36"/>
    <w:rsid w:val="00346A9D"/>
    <w:rsid w:val="0035748D"/>
    <w:rsid w:val="0037523E"/>
    <w:rsid w:val="00391F93"/>
    <w:rsid w:val="0039376F"/>
    <w:rsid w:val="003A287B"/>
    <w:rsid w:val="003A5C85"/>
    <w:rsid w:val="003A61B1"/>
    <w:rsid w:val="003B0050"/>
    <w:rsid w:val="003B1CA5"/>
    <w:rsid w:val="003D6312"/>
    <w:rsid w:val="003E7C74"/>
    <w:rsid w:val="003F1326"/>
    <w:rsid w:val="003F31C6"/>
    <w:rsid w:val="0040225B"/>
    <w:rsid w:val="0040239A"/>
    <w:rsid w:val="00402DA2"/>
    <w:rsid w:val="004246CE"/>
    <w:rsid w:val="00424A79"/>
    <w:rsid w:val="00425AC2"/>
    <w:rsid w:val="0044277E"/>
    <w:rsid w:val="0044771F"/>
    <w:rsid w:val="00466366"/>
    <w:rsid w:val="00467944"/>
    <w:rsid w:val="00470E5A"/>
    <w:rsid w:val="00472B1B"/>
    <w:rsid w:val="00475498"/>
    <w:rsid w:val="004823CA"/>
    <w:rsid w:val="00494345"/>
    <w:rsid w:val="0049435B"/>
    <w:rsid w:val="004A026D"/>
    <w:rsid w:val="004A1061"/>
    <w:rsid w:val="004A3FE3"/>
    <w:rsid w:val="004B151D"/>
    <w:rsid w:val="004B3FA8"/>
    <w:rsid w:val="004B420F"/>
    <w:rsid w:val="004C2E9A"/>
    <w:rsid w:val="004C5113"/>
    <w:rsid w:val="004C7243"/>
    <w:rsid w:val="004E21DE"/>
    <w:rsid w:val="004E2E78"/>
    <w:rsid w:val="004E3C57"/>
    <w:rsid w:val="004E3CB2"/>
    <w:rsid w:val="004E7138"/>
    <w:rsid w:val="004F1665"/>
    <w:rsid w:val="004F7B73"/>
    <w:rsid w:val="00503CD5"/>
    <w:rsid w:val="0050734D"/>
    <w:rsid w:val="00514691"/>
    <w:rsid w:val="00525813"/>
    <w:rsid w:val="00527C52"/>
    <w:rsid w:val="0053513F"/>
    <w:rsid w:val="00536BAE"/>
    <w:rsid w:val="00537A37"/>
    <w:rsid w:val="00540DCB"/>
    <w:rsid w:val="00542770"/>
    <w:rsid w:val="00562AD7"/>
    <w:rsid w:val="00562EC1"/>
    <w:rsid w:val="00563C3E"/>
    <w:rsid w:val="005665F5"/>
    <w:rsid w:val="00574405"/>
    <w:rsid w:val="005854B0"/>
    <w:rsid w:val="0058675E"/>
    <w:rsid w:val="00591EC7"/>
    <w:rsid w:val="00594665"/>
    <w:rsid w:val="005A0E21"/>
    <w:rsid w:val="005B3A34"/>
    <w:rsid w:val="005B4A83"/>
    <w:rsid w:val="005B5B92"/>
    <w:rsid w:val="005C72D9"/>
    <w:rsid w:val="005D0A59"/>
    <w:rsid w:val="005D49AF"/>
    <w:rsid w:val="005E14AB"/>
    <w:rsid w:val="005E415C"/>
    <w:rsid w:val="005E43DD"/>
    <w:rsid w:val="005E71ED"/>
    <w:rsid w:val="005E7946"/>
    <w:rsid w:val="005F7475"/>
    <w:rsid w:val="006065BC"/>
    <w:rsid w:val="00611299"/>
    <w:rsid w:val="00612D48"/>
    <w:rsid w:val="00613B4D"/>
    <w:rsid w:val="00616365"/>
    <w:rsid w:val="00616F3B"/>
    <w:rsid w:val="00624141"/>
    <w:rsid w:val="006249A7"/>
    <w:rsid w:val="00631850"/>
    <w:rsid w:val="0064225B"/>
    <w:rsid w:val="006440ED"/>
    <w:rsid w:val="00665AE9"/>
    <w:rsid w:val="00666759"/>
    <w:rsid w:val="00666B45"/>
    <w:rsid w:val="006724F1"/>
    <w:rsid w:val="006763F9"/>
    <w:rsid w:val="00677987"/>
    <w:rsid w:val="00683E83"/>
    <w:rsid w:val="00687DB5"/>
    <w:rsid w:val="00687FEA"/>
    <w:rsid w:val="006949BC"/>
    <w:rsid w:val="006976CA"/>
    <w:rsid w:val="006B5500"/>
    <w:rsid w:val="006B5A4F"/>
    <w:rsid w:val="006C295B"/>
    <w:rsid w:val="006D1229"/>
    <w:rsid w:val="006D372F"/>
    <w:rsid w:val="006D7A18"/>
    <w:rsid w:val="006E4474"/>
    <w:rsid w:val="00701388"/>
    <w:rsid w:val="00707CF6"/>
    <w:rsid w:val="00711209"/>
    <w:rsid w:val="00716988"/>
    <w:rsid w:val="00723B7F"/>
    <w:rsid w:val="00723E3F"/>
    <w:rsid w:val="00725861"/>
    <w:rsid w:val="00726826"/>
    <w:rsid w:val="0073393A"/>
    <w:rsid w:val="0073539D"/>
    <w:rsid w:val="007433AA"/>
    <w:rsid w:val="0074585B"/>
    <w:rsid w:val="00750730"/>
    <w:rsid w:val="007541DC"/>
    <w:rsid w:val="00767B8A"/>
    <w:rsid w:val="00775481"/>
    <w:rsid w:val="0078459E"/>
    <w:rsid w:val="007905B6"/>
    <w:rsid w:val="00790DA5"/>
    <w:rsid w:val="00793C3D"/>
    <w:rsid w:val="00794C8E"/>
    <w:rsid w:val="007A233B"/>
    <w:rsid w:val="007B17BD"/>
    <w:rsid w:val="007B4863"/>
    <w:rsid w:val="007C1519"/>
    <w:rsid w:val="007C65E6"/>
    <w:rsid w:val="007D406B"/>
    <w:rsid w:val="007D4407"/>
    <w:rsid w:val="007E1CA3"/>
    <w:rsid w:val="007E6D96"/>
    <w:rsid w:val="007F1737"/>
    <w:rsid w:val="007F5066"/>
    <w:rsid w:val="007F7D60"/>
    <w:rsid w:val="00802E5A"/>
    <w:rsid w:val="00812D62"/>
    <w:rsid w:val="00812F29"/>
    <w:rsid w:val="00816467"/>
    <w:rsid w:val="00821713"/>
    <w:rsid w:val="00827050"/>
    <w:rsid w:val="0083278B"/>
    <w:rsid w:val="00833549"/>
    <w:rsid w:val="00834538"/>
    <w:rsid w:val="0084174C"/>
    <w:rsid w:val="00845FA4"/>
    <w:rsid w:val="00850E89"/>
    <w:rsid w:val="00861E86"/>
    <w:rsid w:val="008819A5"/>
    <w:rsid w:val="008930E4"/>
    <w:rsid w:val="00893821"/>
    <w:rsid w:val="00896637"/>
    <w:rsid w:val="008A7B9C"/>
    <w:rsid w:val="008B39FA"/>
    <w:rsid w:val="008B4239"/>
    <w:rsid w:val="008B4754"/>
    <w:rsid w:val="008C6CD4"/>
    <w:rsid w:val="008C7601"/>
    <w:rsid w:val="008C78F5"/>
    <w:rsid w:val="008D36B9"/>
    <w:rsid w:val="008D590B"/>
    <w:rsid w:val="008E02C3"/>
    <w:rsid w:val="008E0B3E"/>
    <w:rsid w:val="008E6A7A"/>
    <w:rsid w:val="008F07A9"/>
    <w:rsid w:val="008F1038"/>
    <w:rsid w:val="008F640A"/>
    <w:rsid w:val="008F7046"/>
    <w:rsid w:val="008F70C8"/>
    <w:rsid w:val="009005FC"/>
    <w:rsid w:val="00922E5A"/>
    <w:rsid w:val="009239BC"/>
    <w:rsid w:val="00942542"/>
    <w:rsid w:val="00943315"/>
    <w:rsid w:val="00945F3C"/>
    <w:rsid w:val="00946C27"/>
    <w:rsid w:val="00954E6D"/>
    <w:rsid w:val="009747E5"/>
    <w:rsid w:val="009A4F3D"/>
    <w:rsid w:val="009A51CE"/>
    <w:rsid w:val="009B16B1"/>
    <w:rsid w:val="009B696B"/>
    <w:rsid w:val="009B7671"/>
    <w:rsid w:val="009C3C59"/>
    <w:rsid w:val="009C7365"/>
    <w:rsid w:val="009E5BA1"/>
    <w:rsid w:val="009F056E"/>
    <w:rsid w:val="00A06A1A"/>
    <w:rsid w:val="00A12123"/>
    <w:rsid w:val="00A144E2"/>
    <w:rsid w:val="00A179AD"/>
    <w:rsid w:val="00A23EB4"/>
    <w:rsid w:val="00A24F3D"/>
    <w:rsid w:val="00A26DCD"/>
    <w:rsid w:val="00A27543"/>
    <w:rsid w:val="00A27824"/>
    <w:rsid w:val="00A314BB"/>
    <w:rsid w:val="00A32B7D"/>
    <w:rsid w:val="00A33D51"/>
    <w:rsid w:val="00A44D44"/>
    <w:rsid w:val="00A5596B"/>
    <w:rsid w:val="00A646B3"/>
    <w:rsid w:val="00A6739B"/>
    <w:rsid w:val="00A70EF2"/>
    <w:rsid w:val="00A72B74"/>
    <w:rsid w:val="00A7772D"/>
    <w:rsid w:val="00A84899"/>
    <w:rsid w:val="00A90413"/>
    <w:rsid w:val="00AA314C"/>
    <w:rsid w:val="00AA3D97"/>
    <w:rsid w:val="00AA728C"/>
    <w:rsid w:val="00AA756C"/>
    <w:rsid w:val="00AB0A9C"/>
    <w:rsid w:val="00AB700E"/>
    <w:rsid w:val="00AB7119"/>
    <w:rsid w:val="00AC0FDD"/>
    <w:rsid w:val="00AC6FAB"/>
    <w:rsid w:val="00AD5855"/>
    <w:rsid w:val="00AD74F9"/>
    <w:rsid w:val="00AE7500"/>
    <w:rsid w:val="00AE7F87"/>
    <w:rsid w:val="00AF0A16"/>
    <w:rsid w:val="00AF3542"/>
    <w:rsid w:val="00AF5ABE"/>
    <w:rsid w:val="00AF66C6"/>
    <w:rsid w:val="00B00415"/>
    <w:rsid w:val="00B03C2A"/>
    <w:rsid w:val="00B05FC7"/>
    <w:rsid w:val="00B0655D"/>
    <w:rsid w:val="00B1000D"/>
    <w:rsid w:val="00B10134"/>
    <w:rsid w:val="00B15B90"/>
    <w:rsid w:val="00B16BFE"/>
    <w:rsid w:val="00B275F3"/>
    <w:rsid w:val="00B27A9A"/>
    <w:rsid w:val="00B472DC"/>
    <w:rsid w:val="00B500E5"/>
    <w:rsid w:val="00B54D24"/>
    <w:rsid w:val="00B80AC8"/>
    <w:rsid w:val="00B8234E"/>
    <w:rsid w:val="00B8303F"/>
    <w:rsid w:val="00BA11ED"/>
    <w:rsid w:val="00BA39BB"/>
    <w:rsid w:val="00BA3B3D"/>
    <w:rsid w:val="00BB7EEA"/>
    <w:rsid w:val="00BC399A"/>
    <w:rsid w:val="00BC4365"/>
    <w:rsid w:val="00BD1909"/>
    <w:rsid w:val="00BE22A4"/>
    <w:rsid w:val="00BE25BB"/>
    <w:rsid w:val="00BE5E16"/>
    <w:rsid w:val="00BE5FD1"/>
    <w:rsid w:val="00BE6E39"/>
    <w:rsid w:val="00BF431D"/>
    <w:rsid w:val="00C0327D"/>
    <w:rsid w:val="00C0372B"/>
    <w:rsid w:val="00C05650"/>
    <w:rsid w:val="00C05D5D"/>
    <w:rsid w:val="00C05F07"/>
    <w:rsid w:val="00C064EB"/>
    <w:rsid w:val="00C06E05"/>
    <w:rsid w:val="00C14B14"/>
    <w:rsid w:val="00C17370"/>
    <w:rsid w:val="00C2054D"/>
    <w:rsid w:val="00C252EB"/>
    <w:rsid w:val="00C26EC0"/>
    <w:rsid w:val="00C5179E"/>
    <w:rsid w:val="00C56C77"/>
    <w:rsid w:val="00C84923"/>
    <w:rsid w:val="00C963D5"/>
    <w:rsid w:val="00CA1780"/>
    <w:rsid w:val="00CB7B3E"/>
    <w:rsid w:val="00CC02CC"/>
    <w:rsid w:val="00CC3324"/>
    <w:rsid w:val="00CC739D"/>
    <w:rsid w:val="00D04468"/>
    <w:rsid w:val="00D26431"/>
    <w:rsid w:val="00D30640"/>
    <w:rsid w:val="00D35052"/>
    <w:rsid w:val="00D36257"/>
    <w:rsid w:val="00D4687E"/>
    <w:rsid w:val="00D50ED0"/>
    <w:rsid w:val="00D53A12"/>
    <w:rsid w:val="00D55B4B"/>
    <w:rsid w:val="00D561D9"/>
    <w:rsid w:val="00D6097D"/>
    <w:rsid w:val="00D61C25"/>
    <w:rsid w:val="00D82B62"/>
    <w:rsid w:val="00D87E2A"/>
    <w:rsid w:val="00D94BAD"/>
    <w:rsid w:val="00DA6935"/>
    <w:rsid w:val="00DB0C43"/>
    <w:rsid w:val="00DB1613"/>
    <w:rsid w:val="00DD2745"/>
    <w:rsid w:val="00DE267C"/>
    <w:rsid w:val="00DE3354"/>
    <w:rsid w:val="00DE41A9"/>
    <w:rsid w:val="00DE47D6"/>
    <w:rsid w:val="00DF37CA"/>
    <w:rsid w:val="00DF7DCD"/>
    <w:rsid w:val="00DF7EBD"/>
    <w:rsid w:val="00E1354D"/>
    <w:rsid w:val="00E2535D"/>
    <w:rsid w:val="00E303B2"/>
    <w:rsid w:val="00E3150E"/>
    <w:rsid w:val="00E37454"/>
    <w:rsid w:val="00E415D7"/>
    <w:rsid w:val="00E42A5F"/>
    <w:rsid w:val="00E43E7C"/>
    <w:rsid w:val="00E45041"/>
    <w:rsid w:val="00E50883"/>
    <w:rsid w:val="00E50B7D"/>
    <w:rsid w:val="00E52053"/>
    <w:rsid w:val="00E53BF5"/>
    <w:rsid w:val="00E56DDD"/>
    <w:rsid w:val="00E57226"/>
    <w:rsid w:val="00E71B2E"/>
    <w:rsid w:val="00E83C81"/>
    <w:rsid w:val="00E902F4"/>
    <w:rsid w:val="00E904A1"/>
    <w:rsid w:val="00E9609E"/>
    <w:rsid w:val="00EB0A28"/>
    <w:rsid w:val="00EB1F0E"/>
    <w:rsid w:val="00EB7D28"/>
    <w:rsid w:val="00EC0D0C"/>
    <w:rsid w:val="00EC2D7A"/>
    <w:rsid w:val="00ED307B"/>
    <w:rsid w:val="00ED4A2C"/>
    <w:rsid w:val="00EE17B7"/>
    <w:rsid w:val="00EF25CC"/>
    <w:rsid w:val="00EF59D6"/>
    <w:rsid w:val="00EF6940"/>
    <w:rsid w:val="00F13CFF"/>
    <w:rsid w:val="00F2044A"/>
    <w:rsid w:val="00F20BFC"/>
    <w:rsid w:val="00F24D5F"/>
    <w:rsid w:val="00F25000"/>
    <w:rsid w:val="00F31A36"/>
    <w:rsid w:val="00F33C77"/>
    <w:rsid w:val="00F5071B"/>
    <w:rsid w:val="00F56790"/>
    <w:rsid w:val="00F573F9"/>
    <w:rsid w:val="00F577F4"/>
    <w:rsid w:val="00F65C2A"/>
    <w:rsid w:val="00F674CA"/>
    <w:rsid w:val="00F726C3"/>
    <w:rsid w:val="00F75F30"/>
    <w:rsid w:val="00F820CA"/>
    <w:rsid w:val="00F8554C"/>
    <w:rsid w:val="00F93456"/>
    <w:rsid w:val="00F95F82"/>
    <w:rsid w:val="00F97A90"/>
    <w:rsid w:val="00FA32A2"/>
    <w:rsid w:val="00FA32AE"/>
    <w:rsid w:val="00FC2F35"/>
    <w:rsid w:val="00FC3FD7"/>
    <w:rsid w:val="00FD1E82"/>
    <w:rsid w:val="00FD1FC6"/>
    <w:rsid w:val="00FE34E4"/>
    <w:rsid w:val="00FE5869"/>
    <w:rsid w:val="00FF09BD"/>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Cuerpo">
    <w:name w:val="Cuerpo"/>
    <w:basedOn w:val="Paragraph"/>
    <w:link w:val="CuerpoCar"/>
    <w:qFormat/>
    <w:rsid w:val="00C05D5D"/>
  </w:style>
  <w:style w:type="character" w:customStyle="1" w:styleId="ParagraphCar">
    <w:name w:val="Paragraph Car"/>
    <w:basedOn w:val="DefaultParagraphFont"/>
    <w:link w:val="Paragraph"/>
    <w:rsid w:val="00C05D5D"/>
    <w:rPr>
      <w:lang w:val="en-US" w:eastAsia="en-US"/>
    </w:rPr>
  </w:style>
  <w:style w:type="character" w:customStyle="1" w:styleId="CuerpoCar">
    <w:name w:val="Cuerpo Car"/>
    <w:basedOn w:val="ParagraphCar"/>
    <w:link w:val="Cuerpo"/>
    <w:rsid w:val="00C05D5D"/>
    <w:rPr>
      <w:lang w:val="en-US" w:eastAsia="en-US"/>
    </w:rPr>
  </w:style>
  <w:style w:type="paragraph" w:customStyle="1" w:styleId="tablecaption0">
    <w:name w:val="tablecaption"/>
    <w:basedOn w:val="Normal"/>
    <w:next w:val="Normal"/>
    <w:rsid w:val="00E43E7C"/>
    <w:pPr>
      <w:keepNext/>
      <w:keepLines/>
      <w:overflowPunct w:val="0"/>
      <w:autoSpaceDE w:val="0"/>
      <w:autoSpaceDN w:val="0"/>
      <w:adjustRightInd w:val="0"/>
      <w:spacing w:before="240" w:after="120" w:line="220" w:lineRule="atLeast"/>
      <w:jc w:val="center"/>
      <w:textAlignment w:val="baseline"/>
    </w:pPr>
    <w:rPr>
      <w:sz w:val="18"/>
    </w:rPr>
  </w:style>
  <w:style w:type="paragraph" w:customStyle="1" w:styleId="Formato">
    <w:name w:val="Formato"/>
    <w:basedOn w:val="Normal"/>
    <w:link w:val="FormatoCar"/>
    <w:qFormat/>
    <w:rsid w:val="00E303B2"/>
    <w:pPr>
      <w:overflowPunct w:val="0"/>
      <w:autoSpaceDE w:val="0"/>
      <w:autoSpaceDN w:val="0"/>
      <w:adjustRightInd w:val="0"/>
      <w:ind w:firstLine="284"/>
      <w:jc w:val="both"/>
      <w:textAlignment w:val="baseline"/>
    </w:pPr>
    <w:rPr>
      <w:sz w:val="20"/>
      <w:lang w:val="es-PE" w:eastAsia="es-PE"/>
    </w:rPr>
  </w:style>
  <w:style w:type="character" w:customStyle="1" w:styleId="FormatoCar">
    <w:name w:val="Formato Car"/>
    <w:basedOn w:val="DefaultParagraphFont"/>
    <w:link w:val="Formato"/>
    <w:rsid w:val="00E303B2"/>
    <w:rPr>
      <w:lang w:val="es-PE" w:eastAsia="es-PE"/>
    </w:rPr>
  </w:style>
  <w:style w:type="character" w:styleId="PlaceholderText">
    <w:name w:val="Placeholder Text"/>
    <w:basedOn w:val="DefaultParagraphFont"/>
    <w:uiPriority w:val="99"/>
    <w:semiHidden/>
    <w:rsid w:val="00DE47D6"/>
    <w:rPr>
      <w:color w:val="666666"/>
    </w:rPr>
  </w:style>
  <w:style w:type="paragraph" w:customStyle="1" w:styleId="Estilo1">
    <w:name w:val="Estilo1"/>
    <w:basedOn w:val="Paragraph"/>
    <w:link w:val="Estilo1Car"/>
    <w:qFormat/>
    <w:rsid w:val="00BE25BB"/>
  </w:style>
  <w:style w:type="character" w:customStyle="1" w:styleId="Estilo1Car">
    <w:name w:val="Estilo1 Car"/>
    <w:basedOn w:val="ParagraphCar"/>
    <w:link w:val="Estilo1"/>
    <w:rsid w:val="00BE25BB"/>
    <w:rPr>
      <w:lang w:val="en-US" w:eastAsia="en-US"/>
    </w:rPr>
  </w:style>
  <w:style w:type="paragraph" w:customStyle="1" w:styleId="Texto1">
    <w:name w:val="Texto 1"/>
    <w:basedOn w:val="Paragraph"/>
    <w:link w:val="Texto1Car"/>
    <w:qFormat/>
    <w:rsid w:val="009C3C59"/>
  </w:style>
  <w:style w:type="character" w:customStyle="1" w:styleId="Texto1Car">
    <w:name w:val="Texto 1 Car"/>
    <w:basedOn w:val="ParagraphCar"/>
    <w:link w:val="Texto1"/>
    <w:rsid w:val="009C3C5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16">
      <w:marLeft w:val="0"/>
      <w:marRight w:val="0"/>
      <w:marTop w:val="0"/>
      <w:marBottom w:val="0"/>
      <w:divBdr>
        <w:top w:val="none" w:sz="0" w:space="0" w:color="auto"/>
        <w:left w:val="none" w:sz="0" w:space="0" w:color="auto"/>
        <w:bottom w:val="none" w:sz="0" w:space="0" w:color="auto"/>
        <w:right w:val="none" w:sz="0" w:space="0" w:color="auto"/>
      </w:divBdr>
    </w:div>
    <w:div w:id="110974105">
      <w:marLeft w:val="0"/>
      <w:marRight w:val="0"/>
      <w:marTop w:val="0"/>
      <w:marBottom w:val="0"/>
      <w:divBdr>
        <w:top w:val="none" w:sz="0" w:space="0" w:color="auto"/>
        <w:left w:val="none" w:sz="0" w:space="0" w:color="auto"/>
        <w:bottom w:val="none" w:sz="0" w:space="0" w:color="auto"/>
        <w:right w:val="none" w:sz="0" w:space="0" w:color="auto"/>
      </w:divBdr>
    </w:div>
    <w:div w:id="123741030">
      <w:marLeft w:val="640"/>
      <w:marRight w:val="0"/>
      <w:marTop w:val="0"/>
      <w:marBottom w:val="0"/>
      <w:divBdr>
        <w:top w:val="none" w:sz="0" w:space="0" w:color="auto"/>
        <w:left w:val="none" w:sz="0" w:space="0" w:color="auto"/>
        <w:bottom w:val="none" w:sz="0" w:space="0" w:color="auto"/>
        <w:right w:val="none" w:sz="0" w:space="0" w:color="auto"/>
      </w:divBdr>
    </w:div>
    <w:div w:id="131095454">
      <w:marLeft w:val="640"/>
      <w:marRight w:val="0"/>
      <w:marTop w:val="0"/>
      <w:marBottom w:val="0"/>
      <w:divBdr>
        <w:top w:val="none" w:sz="0" w:space="0" w:color="auto"/>
        <w:left w:val="none" w:sz="0" w:space="0" w:color="auto"/>
        <w:bottom w:val="none" w:sz="0" w:space="0" w:color="auto"/>
        <w:right w:val="none" w:sz="0" w:space="0" w:color="auto"/>
      </w:divBdr>
    </w:div>
    <w:div w:id="139032394">
      <w:marLeft w:val="0"/>
      <w:marRight w:val="0"/>
      <w:marTop w:val="0"/>
      <w:marBottom w:val="0"/>
      <w:divBdr>
        <w:top w:val="none" w:sz="0" w:space="0" w:color="auto"/>
        <w:left w:val="none" w:sz="0" w:space="0" w:color="auto"/>
        <w:bottom w:val="none" w:sz="0" w:space="0" w:color="auto"/>
        <w:right w:val="none" w:sz="0" w:space="0" w:color="auto"/>
      </w:divBdr>
    </w:div>
    <w:div w:id="151339488">
      <w:marLeft w:val="0"/>
      <w:marRight w:val="0"/>
      <w:marTop w:val="0"/>
      <w:marBottom w:val="0"/>
      <w:divBdr>
        <w:top w:val="none" w:sz="0" w:space="0" w:color="auto"/>
        <w:left w:val="none" w:sz="0" w:space="0" w:color="auto"/>
        <w:bottom w:val="none" w:sz="0" w:space="0" w:color="auto"/>
        <w:right w:val="none" w:sz="0" w:space="0" w:color="auto"/>
      </w:divBdr>
    </w:div>
    <w:div w:id="168760718">
      <w:marLeft w:val="0"/>
      <w:marRight w:val="0"/>
      <w:marTop w:val="0"/>
      <w:marBottom w:val="0"/>
      <w:divBdr>
        <w:top w:val="none" w:sz="0" w:space="0" w:color="auto"/>
        <w:left w:val="none" w:sz="0" w:space="0" w:color="auto"/>
        <w:bottom w:val="none" w:sz="0" w:space="0" w:color="auto"/>
        <w:right w:val="none" w:sz="0" w:space="0" w:color="auto"/>
      </w:divBdr>
    </w:div>
    <w:div w:id="314259829">
      <w:marLeft w:val="0"/>
      <w:marRight w:val="0"/>
      <w:marTop w:val="0"/>
      <w:marBottom w:val="0"/>
      <w:divBdr>
        <w:top w:val="none" w:sz="0" w:space="0" w:color="auto"/>
        <w:left w:val="none" w:sz="0" w:space="0" w:color="auto"/>
        <w:bottom w:val="none" w:sz="0" w:space="0" w:color="auto"/>
        <w:right w:val="none" w:sz="0" w:space="0" w:color="auto"/>
      </w:divBdr>
    </w:div>
    <w:div w:id="365448570">
      <w:marLeft w:val="640"/>
      <w:marRight w:val="0"/>
      <w:marTop w:val="0"/>
      <w:marBottom w:val="0"/>
      <w:divBdr>
        <w:top w:val="none" w:sz="0" w:space="0" w:color="auto"/>
        <w:left w:val="none" w:sz="0" w:space="0" w:color="auto"/>
        <w:bottom w:val="none" w:sz="0" w:space="0" w:color="auto"/>
        <w:right w:val="none" w:sz="0" w:space="0" w:color="auto"/>
      </w:divBdr>
    </w:div>
    <w:div w:id="400566350">
      <w:marLeft w:val="640"/>
      <w:marRight w:val="0"/>
      <w:marTop w:val="0"/>
      <w:marBottom w:val="0"/>
      <w:divBdr>
        <w:top w:val="none" w:sz="0" w:space="0" w:color="auto"/>
        <w:left w:val="none" w:sz="0" w:space="0" w:color="auto"/>
        <w:bottom w:val="none" w:sz="0" w:space="0" w:color="auto"/>
        <w:right w:val="none" w:sz="0" w:space="0" w:color="auto"/>
      </w:divBdr>
    </w:div>
    <w:div w:id="406150059">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618337734">
      <w:marLeft w:val="640"/>
      <w:marRight w:val="0"/>
      <w:marTop w:val="0"/>
      <w:marBottom w:val="0"/>
      <w:divBdr>
        <w:top w:val="none" w:sz="0" w:space="0" w:color="auto"/>
        <w:left w:val="none" w:sz="0" w:space="0" w:color="auto"/>
        <w:bottom w:val="none" w:sz="0" w:space="0" w:color="auto"/>
        <w:right w:val="none" w:sz="0" w:space="0" w:color="auto"/>
      </w:divBdr>
    </w:div>
    <w:div w:id="723215833">
      <w:marLeft w:val="640"/>
      <w:marRight w:val="0"/>
      <w:marTop w:val="0"/>
      <w:marBottom w:val="0"/>
      <w:divBdr>
        <w:top w:val="none" w:sz="0" w:space="0" w:color="auto"/>
        <w:left w:val="none" w:sz="0" w:space="0" w:color="auto"/>
        <w:bottom w:val="none" w:sz="0" w:space="0" w:color="auto"/>
        <w:right w:val="none" w:sz="0" w:space="0" w:color="auto"/>
      </w:divBdr>
    </w:div>
    <w:div w:id="745999275">
      <w:marLeft w:val="640"/>
      <w:marRight w:val="0"/>
      <w:marTop w:val="0"/>
      <w:marBottom w:val="0"/>
      <w:divBdr>
        <w:top w:val="none" w:sz="0" w:space="0" w:color="auto"/>
        <w:left w:val="none" w:sz="0" w:space="0" w:color="auto"/>
        <w:bottom w:val="none" w:sz="0" w:space="0" w:color="auto"/>
        <w:right w:val="none" w:sz="0" w:space="0" w:color="auto"/>
      </w:divBdr>
    </w:div>
    <w:div w:id="746197027">
      <w:marLeft w:val="0"/>
      <w:marRight w:val="0"/>
      <w:marTop w:val="0"/>
      <w:marBottom w:val="0"/>
      <w:divBdr>
        <w:top w:val="none" w:sz="0" w:space="0" w:color="auto"/>
        <w:left w:val="none" w:sz="0" w:space="0" w:color="auto"/>
        <w:bottom w:val="none" w:sz="0" w:space="0" w:color="auto"/>
        <w:right w:val="none" w:sz="0" w:space="0" w:color="auto"/>
      </w:divBdr>
    </w:div>
    <w:div w:id="781850465">
      <w:marLeft w:val="0"/>
      <w:marRight w:val="0"/>
      <w:marTop w:val="0"/>
      <w:marBottom w:val="0"/>
      <w:divBdr>
        <w:top w:val="none" w:sz="0" w:space="0" w:color="auto"/>
        <w:left w:val="none" w:sz="0" w:space="0" w:color="auto"/>
        <w:bottom w:val="none" w:sz="0" w:space="0" w:color="auto"/>
        <w:right w:val="none" w:sz="0" w:space="0" w:color="auto"/>
      </w:divBdr>
    </w:div>
    <w:div w:id="853571523">
      <w:marLeft w:val="0"/>
      <w:marRight w:val="0"/>
      <w:marTop w:val="0"/>
      <w:marBottom w:val="0"/>
      <w:divBdr>
        <w:top w:val="none" w:sz="0" w:space="0" w:color="auto"/>
        <w:left w:val="none" w:sz="0" w:space="0" w:color="auto"/>
        <w:bottom w:val="none" w:sz="0" w:space="0" w:color="auto"/>
        <w:right w:val="none" w:sz="0" w:space="0" w:color="auto"/>
      </w:divBdr>
    </w:div>
    <w:div w:id="886645033">
      <w:marLeft w:val="640"/>
      <w:marRight w:val="0"/>
      <w:marTop w:val="0"/>
      <w:marBottom w:val="0"/>
      <w:divBdr>
        <w:top w:val="none" w:sz="0" w:space="0" w:color="auto"/>
        <w:left w:val="none" w:sz="0" w:space="0" w:color="auto"/>
        <w:bottom w:val="none" w:sz="0" w:space="0" w:color="auto"/>
        <w:right w:val="none" w:sz="0" w:space="0" w:color="auto"/>
      </w:divBdr>
    </w:div>
    <w:div w:id="995453307">
      <w:marLeft w:val="640"/>
      <w:marRight w:val="0"/>
      <w:marTop w:val="0"/>
      <w:marBottom w:val="0"/>
      <w:divBdr>
        <w:top w:val="none" w:sz="0" w:space="0" w:color="auto"/>
        <w:left w:val="none" w:sz="0" w:space="0" w:color="auto"/>
        <w:bottom w:val="none" w:sz="0" w:space="0" w:color="auto"/>
        <w:right w:val="none" w:sz="0" w:space="0" w:color="auto"/>
      </w:divBdr>
    </w:div>
    <w:div w:id="1042054049">
      <w:marLeft w:val="0"/>
      <w:marRight w:val="0"/>
      <w:marTop w:val="0"/>
      <w:marBottom w:val="0"/>
      <w:divBdr>
        <w:top w:val="none" w:sz="0" w:space="0" w:color="auto"/>
        <w:left w:val="none" w:sz="0" w:space="0" w:color="auto"/>
        <w:bottom w:val="none" w:sz="0" w:space="0" w:color="auto"/>
        <w:right w:val="none" w:sz="0" w:space="0" w:color="auto"/>
      </w:divBdr>
    </w:div>
    <w:div w:id="1114834317">
      <w:marLeft w:val="0"/>
      <w:marRight w:val="0"/>
      <w:marTop w:val="0"/>
      <w:marBottom w:val="0"/>
      <w:divBdr>
        <w:top w:val="none" w:sz="0" w:space="0" w:color="auto"/>
        <w:left w:val="none" w:sz="0" w:space="0" w:color="auto"/>
        <w:bottom w:val="none" w:sz="0" w:space="0" w:color="auto"/>
        <w:right w:val="none" w:sz="0" w:space="0" w:color="auto"/>
      </w:divBdr>
    </w:div>
    <w:div w:id="1189832700">
      <w:marLeft w:val="640"/>
      <w:marRight w:val="0"/>
      <w:marTop w:val="0"/>
      <w:marBottom w:val="0"/>
      <w:divBdr>
        <w:top w:val="none" w:sz="0" w:space="0" w:color="auto"/>
        <w:left w:val="none" w:sz="0" w:space="0" w:color="auto"/>
        <w:bottom w:val="none" w:sz="0" w:space="0" w:color="auto"/>
        <w:right w:val="none" w:sz="0" w:space="0" w:color="auto"/>
      </w:divBdr>
    </w:div>
    <w:div w:id="1198852323">
      <w:marLeft w:val="0"/>
      <w:marRight w:val="0"/>
      <w:marTop w:val="0"/>
      <w:marBottom w:val="0"/>
      <w:divBdr>
        <w:top w:val="none" w:sz="0" w:space="0" w:color="auto"/>
        <w:left w:val="none" w:sz="0" w:space="0" w:color="auto"/>
        <w:bottom w:val="none" w:sz="0" w:space="0" w:color="auto"/>
        <w:right w:val="none" w:sz="0" w:space="0" w:color="auto"/>
      </w:divBdr>
    </w:div>
    <w:div w:id="1239560916">
      <w:marLeft w:val="640"/>
      <w:marRight w:val="0"/>
      <w:marTop w:val="0"/>
      <w:marBottom w:val="0"/>
      <w:divBdr>
        <w:top w:val="none" w:sz="0" w:space="0" w:color="auto"/>
        <w:left w:val="none" w:sz="0" w:space="0" w:color="auto"/>
        <w:bottom w:val="none" w:sz="0" w:space="0" w:color="auto"/>
        <w:right w:val="none" w:sz="0" w:space="0" w:color="auto"/>
      </w:divBdr>
    </w:div>
    <w:div w:id="1247180700">
      <w:marLeft w:val="640"/>
      <w:marRight w:val="0"/>
      <w:marTop w:val="0"/>
      <w:marBottom w:val="0"/>
      <w:divBdr>
        <w:top w:val="none" w:sz="0" w:space="0" w:color="auto"/>
        <w:left w:val="none" w:sz="0" w:space="0" w:color="auto"/>
        <w:bottom w:val="none" w:sz="0" w:space="0" w:color="auto"/>
        <w:right w:val="none" w:sz="0" w:space="0" w:color="auto"/>
      </w:divBdr>
    </w:div>
    <w:div w:id="1253705670">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8562747">
      <w:marLeft w:val="64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40424865">
      <w:marLeft w:val="640"/>
      <w:marRight w:val="0"/>
      <w:marTop w:val="0"/>
      <w:marBottom w:val="0"/>
      <w:divBdr>
        <w:top w:val="none" w:sz="0" w:space="0" w:color="auto"/>
        <w:left w:val="none" w:sz="0" w:space="0" w:color="auto"/>
        <w:bottom w:val="none" w:sz="0" w:space="0" w:color="auto"/>
        <w:right w:val="none" w:sz="0" w:space="0" w:color="auto"/>
      </w:divBdr>
    </w:div>
    <w:div w:id="1349864546">
      <w:marLeft w:val="0"/>
      <w:marRight w:val="0"/>
      <w:marTop w:val="0"/>
      <w:marBottom w:val="0"/>
      <w:divBdr>
        <w:top w:val="none" w:sz="0" w:space="0" w:color="auto"/>
        <w:left w:val="none" w:sz="0" w:space="0" w:color="auto"/>
        <w:bottom w:val="none" w:sz="0" w:space="0" w:color="auto"/>
        <w:right w:val="none" w:sz="0" w:space="0" w:color="auto"/>
      </w:divBdr>
    </w:div>
    <w:div w:id="1448423805">
      <w:marLeft w:val="640"/>
      <w:marRight w:val="0"/>
      <w:marTop w:val="0"/>
      <w:marBottom w:val="0"/>
      <w:divBdr>
        <w:top w:val="none" w:sz="0" w:space="0" w:color="auto"/>
        <w:left w:val="none" w:sz="0" w:space="0" w:color="auto"/>
        <w:bottom w:val="none" w:sz="0" w:space="0" w:color="auto"/>
        <w:right w:val="none" w:sz="0" w:space="0" w:color="auto"/>
      </w:divBdr>
    </w:div>
    <w:div w:id="1606961202">
      <w:marLeft w:val="640"/>
      <w:marRight w:val="0"/>
      <w:marTop w:val="0"/>
      <w:marBottom w:val="0"/>
      <w:divBdr>
        <w:top w:val="none" w:sz="0" w:space="0" w:color="auto"/>
        <w:left w:val="none" w:sz="0" w:space="0" w:color="auto"/>
        <w:bottom w:val="none" w:sz="0" w:space="0" w:color="auto"/>
        <w:right w:val="none" w:sz="0" w:space="0" w:color="auto"/>
      </w:divBdr>
    </w:div>
    <w:div w:id="1611745452">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5830402">
      <w:marLeft w:val="640"/>
      <w:marRight w:val="0"/>
      <w:marTop w:val="0"/>
      <w:marBottom w:val="0"/>
      <w:divBdr>
        <w:top w:val="none" w:sz="0" w:space="0" w:color="auto"/>
        <w:left w:val="none" w:sz="0" w:space="0" w:color="auto"/>
        <w:bottom w:val="none" w:sz="0" w:space="0" w:color="auto"/>
        <w:right w:val="none" w:sz="0" w:space="0" w:color="auto"/>
      </w:divBdr>
    </w:div>
    <w:div w:id="1739329422">
      <w:marLeft w:val="0"/>
      <w:marRight w:val="0"/>
      <w:marTop w:val="0"/>
      <w:marBottom w:val="0"/>
      <w:divBdr>
        <w:top w:val="none" w:sz="0" w:space="0" w:color="auto"/>
        <w:left w:val="none" w:sz="0" w:space="0" w:color="auto"/>
        <w:bottom w:val="none" w:sz="0" w:space="0" w:color="auto"/>
        <w:right w:val="none" w:sz="0" w:space="0" w:color="auto"/>
      </w:divBdr>
    </w:div>
    <w:div w:id="1762675272">
      <w:marLeft w:val="640"/>
      <w:marRight w:val="0"/>
      <w:marTop w:val="0"/>
      <w:marBottom w:val="0"/>
      <w:divBdr>
        <w:top w:val="none" w:sz="0" w:space="0" w:color="auto"/>
        <w:left w:val="none" w:sz="0" w:space="0" w:color="auto"/>
        <w:bottom w:val="none" w:sz="0" w:space="0" w:color="auto"/>
        <w:right w:val="none" w:sz="0" w:space="0" w:color="auto"/>
      </w:divBdr>
    </w:div>
    <w:div w:id="1922988641">
      <w:marLeft w:val="640"/>
      <w:marRight w:val="0"/>
      <w:marTop w:val="0"/>
      <w:marBottom w:val="0"/>
      <w:divBdr>
        <w:top w:val="none" w:sz="0" w:space="0" w:color="auto"/>
        <w:left w:val="none" w:sz="0" w:space="0" w:color="auto"/>
        <w:bottom w:val="none" w:sz="0" w:space="0" w:color="auto"/>
        <w:right w:val="none" w:sz="0" w:space="0" w:color="auto"/>
      </w:divBdr>
    </w:div>
    <w:div w:id="1999797772">
      <w:marLeft w:val="0"/>
      <w:marRight w:val="0"/>
      <w:marTop w:val="0"/>
      <w:marBottom w:val="0"/>
      <w:divBdr>
        <w:top w:val="none" w:sz="0" w:space="0" w:color="auto"/>
        <w:left w:val="none" w:sz="0" w:space="0" w:color="auto"/>
        <w:bottom w:val="none" w:sz="0" w:space="0" w:color="auto"/>
        <w:right w:val="none" w:sz="0" w:space="0" w:color="auto"/>
      </w:divBdr>
    </w:div>
    <w:div w:id="2042516381">
      <w:marLeft w:val="0"/>
      <w:marRight w:val="0"/>
      <w:marTop w:val="0"/>
      <w:marBottom w:val="0"/>
      <w:divBdr>
        <w:top w:val="none" w:sz="0" w:space="0" w:color="auto"/>
        <w:left w:val="none" w:sz="0" w:space="0" w:color="auto"/>
        <w:bottom w:val="none" w:sz="0" w:space="0" w:color="auto"/>
        <w:right w:val="none" w:sz="0" w:space="0" w:color="auto"/>
      </w:divBdr>
    </w:div>
    <w:div w:id="213833636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AA27AE-35AA-4EA1-A6D1-A7932102116B}"/>
      </w:docPartPr>
      <w:docPartBody>
        <w:p w:rsidR="002D30B9" w:rsidRDefault="00726A14">
          <w:r w:rsidRPr="00096CC3">
            <w:rPr>
              <w:rStyle w:val="PlaceholderText"/>
            </w:rPr>
            <w:t>Haga clic o pulse aquí para escribir texto.</w:t>
          </w:r>
        </w:p>
      </w:docPartBody>
    </w:docPart>
    <w:docPart>
      <w:docPartPr>
        <w:name w:val="DB96E70EA53846CB84C9C8FDFD9FDB9F"/>
        <w:category>
          <w:name w:val="General"/>
          <w:gallery w:val="placeholder"/>
        </w:category>
        <w:types>
          <w:type w:val="bbPlcHdr"/>
        </w:types>
        <w:behaviors>
          <w:behavior w:val="content"/>
        </w:behaviors>
        <w:guid w:val="{76FFC29A-CD60-4C48-B3AA-BA49DCF675B5}"/>
      </w:docPartPr>
      <w:docPartBody>
        <w:p w:rsidR="00000000" w:rsidRDefault="001E1DB6" w:rsidP="001E1DB6">
          <w:pPr>
            <w:pStyle w:val="DB96E70EA53846CB84C9C8FDFD9FDB9F"/>
          </w:pPr>
          <w:r w:rsidRPr="00096CC3">
            <w:rPr>
              <w:rStyle w:val="PlaceholderText"/>
            </w:rPr>
            <w:t>Haga clic o pulse aquí para escribir texto.</w:t>
          </w:r>
        </w:p>
      </w:docPartBody>
    </w:docPart>
    <w:docPart>
      <w:docPartPr>
        <w:name w:val="E664CDC36D5349109B64206042D00803"/>
        <w:category>
          <w:name w:val="General"/>
          <w:gallery w:val="placeholder"/>
        </w:category>
        <w:types>
          <w:type w:val="bbPlcHdr"/>
        </w:types>
        <w:behaviors>
          <w:behavior w:val="content"/>
        </w:behaviors>
        <w:guid w:val="{DAB4D6E7-8AE4-469A-9BA6-E57B26086B18}"/>
      </w:docPartPr>
      <w:docPartBody>
        <w:p w:rsidR="00000000" w:rsidRDefault="001E1DB6" w:rsidP="001E1DB6">
          <w:pPr>
            <w:pStyle w:val="E664CDC36D5349109B64206042D00803"/>
          </w:pPr>
          <w:r w:rsidRPr="00096CC3">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14"/>
    <w:rsid w:val="0004695C"/>
    <w:rsid w:val="001E1DB6"/>
    <w:rsid w:val="002D30B9"/>
    <w:rsid w:val="00356BBF"/>
    <w:rsid w:val="0041081A"/>
    <w:rsid w:val="00451469"/>
    <w:rsid w:val="0058675E"/>
    <w:rsid w:val="00612D48"/>
    <w:rsid w:val="00726A14"/>
    <w:rsid w:val="00900D0C"/>
    <w:rsid w:val="00954E6D"/>
    <w:rsid w:val="00962B54"/>
    <w:rsid w:val="009A2B7C"/>
    <w:rsid w:val="00A12123"/>
    <w:rsid w:val="00A44D44"/>
    <w:rsid w:val="00AB493C"/>
    <w:rsid w:val="00B15B90"/>
    <w:rsid w:val="00BE6E39"/>
    <w:rsid w:val="00D561D9"/>
    <w:rsid w:val="00DD2B6C"/>
    <w:rsid w:val="00E1354D"/>
    <w:rsid w:val="00E76F28"/>
    <w:rsid w:val="00ED307B"/>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DB6"/>
    <w:rPr>
      <w:color w:val="666666"/>
    </w:rPr>
  </w:style>
  <w:style w:type="paragraph" w:customStyle="1" w:styleId="DB96E70EA53846CB84C9C8FDFD9FDB9F">
    <w:name w:val="DB96E70EA53846CB84C9C8FDFD9FDB9F"/>
    <w:rsid w:val="001E1DB6"/>
    <w:rPr>
      <w:lang w:val="en-US" w:eastAsia="en-US"/>
    </w:rPr>
  </w:style>
  <w:style w:type="paragraph" w:customStyle="1" w:styleId="E664CDC36D5349109B64206042D00803">
    <w:name w:val="E664CDC36D5349109B64206042D00803"/>
    <w:rsid w:val="001E1DB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874BF7-F1B8-49E0-8B1B-57E07FB660DA}">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3265685436"/>
    <we:property name="MENDELEY_CITATIONS" value="[{&quot;citationID&quot;:&quot;MENDELEY_CITATION_3068e21c-6cfd-4069-9c02-90928ebb4b7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&quot;,&quot;citationItems&quot;:[{&quot;id&quot;:&quot;36c4ee83-6f6e-3644-b8db-8515ab825cb1&quot;,&quot;itemData&quot;:{&quot;type&quot;:&quot;article-journal&quot;,&quot;id&quot;:&quot;36c4ee83-6f6e-3644-b8db-8515ab825cb1&quot;,&quot;title&quot;:&quot;Renewable energy transition and green growth nexus in Latin America&quot;,&quot;author&quot;:[{&quot;family&quot;:&quot;Hwang&quot;,&quot;given&quot;:&quot;Young Kyu&quot;,&quot;parse-names&quot;:false,&quot;dropping-particle&quot;:&quot;&quot;,&quot;non-dropping-particle&quot;:&quot;&quot;},{&quot;family&quot;:&quot;Sánchez Díez&quot;,&quot;given&quot;:&quot;Ángeles&quot;,&quot;parse-names&quot;:false,&quot;dropping-particle&quot;:&quot;&quot;,&quot;non-dropping-particle&quot;:&quot;&quot;}],&quot;container-title&quot;:&quot;Renewable and Sustainable Energy Reviews&quot;,&quot;accessed&quot;:{&quot;date-parts&quot;:[[2025,10,16]]},&quot;DOI&quot;:&quot;10.1016/J.RSER.2024.114431&quot;,&quot;ISSN&quot;:&quot;1364-0321&quot;,&quot;URL&quot;:&quot;https://www.sciencedirect.com/science/article/pii/S1364032124001540&quot;,&quot;issued&quot;:{&quot;date-parts&quot;:[[2024,7,1]]},&quot;page&quot;:&quot;114431&quot;,&quot;abstract&quot;:&quot;The prevailing economic growth model prioritizing economic is no longer valid due to a great need for a sustainable and balanced growth model encompassing both economic expansion and environmental sustainability and the natural resource conservation, which is important to explaining carbon neutrality and the sustainable development goals. The impact of renewable energy transition on green economic growth is examined in this study by a rigorous econometric anlysis of the panel data of the fourteen Latin American countries from 2003 to 2020 with special focuses on: identifying the primary mechanisms by which renewable energy transition affects green economic growth, assessing the heterogeneous effects of renewable energy transition considering geographical location and natural resources dependency, and evaluating the spatial spillover effects of renewable energy transition on green economic growth. The results of this study confirm that the transition to renewable energy significantly boosts green economic growth; but its effect differs significantly by country's geographical location, fossil fuel dependence, and mineral resource dependence. This study also identifies five mediating variables between renewable energy transition and green growth: capital investment, dependency on hydropower in electricity generation, residential electricity consumption per capita, human capital, and the creation of formal jobs. Lastly, a negative spatial spillover effect of renewable energy transition is found in the Latin American region.&quot;,&quot;publisher&quot;:&quot;Pergamon&quot;,&quot;volume&quot;:&quot;198&quot;,&quot;container-title-short&quot;:&quot;&quot;},&quot;isTemporary&quot;:false}]},{&quot;citationID&quot;:&quot;MENDELEY_CITATION_0dd59c94-2197-4de0-b2b7-ccdddefb7bc1&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&quot;,&quot;citationItems&quot;:[{&quot;id&quot;:&quot;5a07f158-13a2-34d8-a0b8-2bc5ef6878a3&quot;,&quot;itemData&quot;:{&quot;type&quot;:&quot;article-journal&quot;,&quot;id&quot;:&quot;5a07f158-13a2-34d8-a0b8-2bc5ef6878a3&quot;,&quot;title&quot;:&quot;Technologies of solar tracking systems: A review&quot;,&quot;author&quot;:[{&quot;family&quot;:&quot;Amelia&quot;,&quot;given&quot;:&quot;A. R.&quot;,&quot;parse-names&quot;:false,&quot;dropping-particle&quot;:&quot;&quot;,&quot;non-dropping-particle&quot;:&quot;&quot;},{&quot;family&quot;:&quot;Irwan&quot;,&quot;given&quot;:&quot;Y. M.&quot;,&quot;parse-names&quot;:false,&quot;dropping-particle&quot;:&quot;&quot;,&quot;non-dropping-particle&quot;:&quot;&quot;},{&quot;family&quot;:&quot;Safwati&quot;,&quot;given&quot;:&quot;I.&quot;,&quot;parse-names&quot;:false,&quot;dropping-particle&quot;:&quot;&quot;,&quot;non-dropping-particle&quot;:&quot;&quot;},{&quot;family&quot;:&quot;Leow&quot;,&quot;given&quot;:&quot;W. Z.&quot;,&quot;parse-names&quot;:false,&quot;dropping-particle&quot;:&quot;&quot;,&quot;non-dropping-particle&quot;:&quot;&quot;},{&quot;family&quot;:&quot;Mat&quot;,&quot;given&quot;:&quot;M. H.&quot;,&quot;parse-names&quot;:false,&quot;dropping-particle&quot;:&quot;&quot;,&quot;non-dropping-particle&quot;:&quot;&quot;},{&quot;family&quot;:&quot;Rahim&quot;,&quot;given&quot;:&quot;Mohd Shukor Abdul&quot;,&quot;parse-names&quot;:false,&quot;dropping-particle&quot;:&quot;&quot;,&quot;non-dropping-particle&quot;:&quot;&quot;}],&quot;container-title&quot;:&quot;IOP Conference Series: Materials Science and Engineering&quot;,&quot;container-title-short&quot;:&quot;IOP Conf Ser Mater Sci Eng&quot;,&quot;accessed&quot;:{&quot;date-parts&quot;:[[2025,8,23]]},&quot;DOI&quot;:&quot;10.1088/1757-899X/767/1/012052&quot;,&quot;ISSN&quot;:&quot;1757-899X&quot;,&quot;URL&quot;:&quot;https://iopscience.iop.org/article/10.1088/1757-899X/767/1/012052&quot;,&quot;issued&quot;:{&quot;date-parts&quot;:[[2020,2,1]]},&quot;page&quot;:&quot;012052&quot;,&quot;abstract&quot;:&quot;Solar energy is abundantly in nature and sustainable energy resources around the world. The main challenge with the solar field is less amount of sun energy captured by using photovoltaic (PV) systems. The great performance of the PV systems can be achieved if the panel is kept perpendicular to the direction of the radiations of sun. Hence, solar tracker system is the method to keep the optimum position of the PV panel for always perpendicular to the solar radiation. This paper aims to review on various technologies of solar tracking to determine the best PV panel orientation. The various types of technologies of solar tracking system have been discussed which includes passive solar tracker, active solar tracker and chronological tracker system. The movement degrees of solar tracking system also have been addressed which consisting single-axis solar tracking system and dual-axis solar tracking system. This paper is also overviews the tracking techniques performance, construction, performance, advantages, and disadvantages of existing solar tracking system. The limitations of solar tracking systems are also highlighted for future action improvement. Through this research studies, the most favorable solar tracking system was identified as active solar tracker with the dual axis rotation.&quot;,&quot;publisher&quot;:&quot;IOP Publishing&quot;,&quot;issue&quot;:&quot;1&quot;,&quot;volume&quot;:&quot;767&quot;},&quot;isTemporary&quot;:false},{&quot;id&quot;:&quot;5251626a-8a9a-34d6-a67a-6d6790624270&quot;,&quot;itemData&quot;:{&quot;type&quot;:&quot;article-journal&quot;,&quot;id&quot;:&quot;5251626a-8a9a-34d6-a67a-6d6790624270&quot;,&quot;title&quot;:&quot;Optimal sizing of PV/wind/diesel hybrid microgrid system using multi-objective self-adaptive differential evolution algorithm&quot;,&quot;author&quot;:[{&quot;family&quot;:&quot;Ramli&quot;,&quot;given&quot;:&quot;M A M&quot;,&quot;parse-names&quot;:false,&quot;dropping-particle&quot;:&quot;&quot;,&quot;non-dropping-particle&quot;:&quot;&quot;},{&quot;family&quot;:&quot;Bouchekara&quot;,&quot;given&quot;:&quot;H.R.E.H.&quot;,&quot;parse-names&quot;:false,&quot;dropping-particle&quot;:&quot;&quot;,&quot;non-dropping-particle&quot;:&quot;&quot;},{&quot;family&quot;:&quot;Alghamdi&quot;,&quot;given&quot;:&quot;A S&quot;,&quot;parse-names&quot;:false,&quot;dropping-particle&quot;:&quot;&quot;,&quot;non-dropping-particle&quot;:&quot;&quot;}],&quot;container-title&quot;:&quot;Renewable Energy&quot;,&quot;container-title-short&quot;:&quot;Renew Energy&quot;,&quot;DOI&quot;:&quot;10.1016/j.renene.2018.01.058&quot;,&quot;ISSN&quot;:&quot;09601481 (ISSN)&quot;,&quot;URL&quot;:&quot;https://www.scopus.com/inward/record.uri?eid=2-s2.0-85042882244&amp;doi=10.1016%2fj.renene.2018.01.058&amp;partnerID=40&amp;md5=db619ce1786d98b0a1c4814827e36905&quot;,&quot;issued&quot;:{&quot;date-parts&quot;:[[2018]]},&quot;page&quot;:&quot;400-411&quot;,&quot;language&quot;:&quot;English&quot;,&quot;abstract&quot;:&quot;Microgrid systems, such as solar photovoltaic (PV) power and wind energy, integrated with diesel generators are promising energy supplies and are economically feasible for current and future use in relation to increased demands for energy and depletion of conventional sources. It is thus important to optimize the size of hybrid microgrid system (HMS) components, including storage, to determine system cost and reliability. In this paper, optimal sizing of a PV/wind/diesel HMS with battery storage is conducted using the Multi-Objective Self-Adaptive Differential Evolution (MOSaDE) algorithm for the city of Yanbu, Saudi Arabia. Using the multi-objective optimization approach, the objectives are treated simultaneously and independently, thereby leading to a reduction in computational time. One of the main criteria to consider when designing and optimizing the HMS is the energy management strategy, which is required to coordinate the different units comprising the HMS. The multi-objective optimization approach is then used to analyze the Loss of Power Supply Probability (LPSP), the Cost of Electricity (COE), and the Renewable Factor (RF) in relation to HMS cost and reliability and is tested using three case studies involving differing house numbers. Results verify its application in optimizing the HMS and in its practical implementation. In addition, optimization results using the proposed approach provided a set of design solutions for the HMS, which will assist researchers and practitioners in selecting the optimal HMS configuration. Moreover, it is important to select optimally sized HMS components to ensure that all load demands are met at the minimum energy cost and high reliability. © 2018 Elsevier Ltd&quot;,&quot;publisher&quot;:&quot;Elsevier Ltd&quot;,&quot;volume&quot;:&quot;121&quot;},&quot;isTemporary&quot;:false},{&quot;id&quot;:&quot;38b2ae98-7425-3052-8e0f-2d85d5fe5378&quot;,&quot;itemData&quot;:{&quot;type&quot;:&quot;article-journal&quot;,&quot;id&quot;:&quot;38b2ae98-7425-3052-8e0f-2d85d5fe5378&quot;,&quot;title&quot;:&quot;Adaptive solar tracking system for pyrheliometers&quot;,&quot;author&quot;:[{&quot;family&quot;:&quot;Yáñez-Ávila&quot;,&quot;given&quot;:&quot;Juan de Dios&quot;,&quot;parse-names&quot;:false,&quot;dropping-particle&quot;:&quot;&quot;,&quot;non-dropping-particle&quot;:&quot;&quot;},{&quot;family&quot;:&quot;Camacho&quot;,&quot;given&quot;:&quot;Eduardo F.&quot;,&quot;parse-names&quot;:false,&quot;dropping-particle&quot;:&quot;&quot;,&quot;non-dropping-particle&quot;:&quot;&quot;}],&quot;container-title&quot;:&quot;Solar Energy&quot;,&quot;accessed&quot;:{&quot;date-parts&quot;:[[2025,10,3]]},&quot;DOI&quot;:&quot;10.1016/J.SOLENER.2024.113066&quot;,&quot;ISSN&quot;:&quot;0038-092X&quot;,&quot;URL&quot;:&quot;https://www.sciencedirect.com/science/article/abs/pii/S0038092X24007618?casa_token=sa4GNUq6HhEAAAAA:uqbWrVmWenPBlFZqoKFJa47DkJK6dstuAbjF5uhUb0JYVfNeQ9nw6A4z2ZouD_D0PLpXcA3Hffvr&quot;,&quot;issued&quot;:{&quot;date-parts&quot;:[[2024,12,1]]},&quot;page&quot;:&quot;113066&quot;,&quot;abstract&quot;:&quot;In this article, an adaptative two-axis solar tracker is developed. The system uses a self-calibration strategy and algorithm that, without the need for additional sensors, automates the solar pointing and tracking process for a pyrheliometer, thus avoiding a significant portion of the manual installation process and the need for error correction by an operator.&quot;,&quot;publisher&quot;:&quot;Pergamon&quot;,&quot;volume&quot;:&quot;284&quot;,&quot;container-title-short&quot;:&quot;&quot;},&quot;isTemporary&quot;:false}]},{&quot;citationID&quot;:&quot;MENDELEY_CITATION_c27d66ae-686c-4fb6-bad0-fbd76ef0943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&quot;,&quot;citationItems&quot;:[{&quot;id&quot;:&quot;539a4151-dd51-3dd8-a5f5-f58d4e0e0980&quot;,&quot;itemData&quot;:{&quot;type&quot;:&quot;article-journal&quot;,&quot;id&quot;:&quot;539a4151-dd51-3dd8-a5f5-f58d4e0e0980&quot;,&quot;title&quot;:&quot;Economic feasibility assessment of microgrids with renewable energy sources in Peruvian rural areas&quot;,&quot;author&quot;:[{&quot;family&quot;:&quot;Quispe&quot;,&quot;given&quot;:&quot;Juan Carlos&quot;,&quot;parse-names&quot;:false,&quot;dropping-particle&quot;:&quot;&quot;,&quot;non-dropping-particle&quot;:&quot;&quot;},{&quot;family&quot;:&quot;Obispo&quot;,&quot;given&quot;:&quot;Angel E.&quot;,&quot;parse-names&quot;:false,&quot;dropping-particle&quot;:&quot;&quot;,&quot;non-dropping-particle&quot;:&quot;&quot;},{&quot;family&quot;:&quot;Alcantara&quot;,&quot;given&quot;:&quot;Francisco Javier&quot;,&quot;parse-names&quot;:false,&quot;dropping-particle&quot;:&quot;&quot;,&quot;non-dropping-particle&quot;:&quot;&quot;}],&quot;container-title&quot;:&quot;Clean Technologies and Environmental Policy&quot;,&quot;container-title-short&quot;:&quot;Clean Technol Environ Policy&quot;,&quot;accessed&quot;:{&quot;date-parts&quot;:[[2025,10,16]]},&quot;DOI&quot;:&quot;10.1007/S10098-023-02463-W/METRICS&quot;,&quot;ISSN&quot;:&quot;16189558&quot;,&quot;URL&quot;:&quot;https://link.springer.com/article/10.1007/s10098-023-02463-w&quot;,&quot;issued&quot;:{&quot;date-parts&quot;:[[2024,5,1]]},&quot;page&quot;:&quot;1415-1438&quot;,&quot;abstract&quot;:&quot;Electrification of Peru's rural areas is an issue of vital importance for economic growth. However, these areas still have poor quality electricity service or operate in a stand-alone mode with high cost of energy. To address this problem, one of the most promising strategies proposes the use of renewable energy technologies through the implementation of electrical microgrids (MGs). In this context, this research develops the analysis of 37 cases of rural villages throughout Peru in order to obtain the optimal MG design and the most feasible areas for its implementation, considering the associated costs, geographic location and load characteristics. For this purpose, an optimization process is carried out using HOMER Pro software with the aim of sizing the MG with the minimum net present cost and cost of energy. Then, an iterative process is developed in MATLAB software to map cost values, renewable contribution, emissions, the energy charge and the annual savings in the utility bill. This analysis considers five scenarios base on a grid-connected MG (with sensitivity values of grid sellback price) and an off-grid MG system. The results show the geographic distribution of all the annual utility saving bill. For the grid-connected MG condition, it presents a profit in the range of $107.08 to $368.2 compared to loads connected to the grid; while for the off-grid MG condition, it presents a profit in the range of $1269 to $4976 in comparison with loads connected to a diesel generator. Graphical abstract: (Figure presented.).&quot;,&quot;publisher&quot;:&quot;Springer Science and Business Media Deutschland GmbH&quot;,&quot;issue&quot;:&quot;5&quot;,&quot;volume&quot;:&quot;26&quot;},&quot;isTemporary&quot;:false}]},{&quot;citationID&quot;:&quot;MENDELEY_CITATION_d4450230-c1b2-4444-a73b-8bc4e2513d8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&quot;,&quot;citationItems&quot;:[{&quot;id&quot;:&quot;859d13ae-fe84-3586-bb0d-5f6adf9ad728&quot;,&quot;itemData&quot;:{&quot;type&quot;:&quot;article-journal&quot;,&quot;id&quot;:&quot;859d13ae-fe84-3586-bb0d-5f6adf9ad728&quot;,&quot;title&quot;:&quot;Energy transition and renewable energies: Challenges for Peru&quot;,&quot;author&quot;:[{&quot;family&quot;:&quot;Campodónico&quot;,&quot;given&quot;:&quot;Humberto&quot;,&quot;parse-names&quot;:false,&quot;dropping-particle&quot;:&quot;&quot;,&quot;non-dropping-particle&quot;:&quot;&quot;},{&quot;family&quot;:&quot;Carrera&quot;,&quot;given&quot;:&quot;César&quot;,&quot;parse-names&quot;:false,&quot;dropping-particle&quot;:&quot;&quot;,&quot;non-dropping-particle&quot;:&quot;&quot;}],&quot;container-title&quot;:&quot;Energy Policy&quot;,&quot;container-title-short&quot;:&quot;Energy Policy&quot;,&quot;accessed&quot;:{&quot;date-parts&quot;:[[2025,10,16]]},&quot;DOI&quot;:&quot;10.1016/J.ENPOL.2022.113261&quot;,&quot;ISSN&quot;:&quot;0301-4215&quot;,&quot;URL&quot;:&quot;https://www.sciencedirect.com/science/article/abs/pii/S0301421522004803?casa_token=3v8Rx2X1DwgAAAAA:qO_3xEwvHcD-LAqDZcqvPB1mjOpVgk72JDHdyhcY8sZxbQjJTIwCRVvjACM2w9uw8l_8pByH2w&quot;,&quot;issued&quot;:{&quot;date-parts&quot;:[[2022,12,1]]},&quot;page&quot;:&quot;113261&quot;,&quot;abstract&quot;:&quot;Peru currently presents serious challenges in the promotion and production of renewable energies, making it difficult to fulfill its commitments to reduce greenhouse gas emissions within the framework of the United Nations Climate Change initiatives. Peru has a high renewable energy potential with various sources: solar, wind, geothermal, biomass and hydroelectric. However, after twelve years of having promulgated a law to promote the development of power plants that use renewable energy resources through auctions, only about 5% of current electricity generation comes from renewable sources and the auctions are suspended. This article will analyze the causes of the difficulties that Peru presents to achieve a change of the energy matrix in electricity towards renewable energies, among which: lower economic growth, excess installed capacity, deficiencies in the regulatory framework and the need to changes that lead to a new institutional framework. It is essential to build a new consensus between the government, companies, and civil society to achieve the objectives of climate change in Peru.&quot;,&quot;publisher&quot;:&quot;Elsevier&quot;,&quot;volume&quot;:&quot;171&quot;},&quot;isTemporary&quot;:false}]},{&quot;citationID&quot;:&quot;MENDELEY_CITATION_107cec9c-a707-4e04-84a1-793deb44908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&quot;,&quot;citationItems&quot;:[{&quot;id&quot;:&quot;a2c2e1dc-9bc2-3778-be3c-697b72fe0510&quot;,&quot;itemData&quot;:{&quot;type&quot;:&quot;report&quot;,&quot;id&quot;:&quot;a2c2e1dc-9bc2-3778-be3c-697b72fe0510&quot;,&quot;title&quot;:&quot;NSRDB: National Solar Radiation Database&quot;,&quot;author&quot;:[{&quot;family&quot;:&quot;U.S. Department of Energy&quot;,&quot;given&quot;:&quot;&quot;,&quot;parse-names&quot;:false,&quot;dropping-particle&quot;:&quot;&quot;,&quot;non-dropping-particle&quot;:&quot;&quot;}],&quot;issued&quot;:{&quot;date-parts&quot;:[[2022]]},&quot;container-title-short&quot;:&quot;&quot;},&quot;isTemporary&quot;:false}]},{&quot;citationID&quot;:&quot;MENDELEY_CITATION_3ee829f6-0872-4ff5-927b-294c884d2c1d&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&quot;,&quot;citationItems&quot;:[{&quot;id&quot;:&quot;dfe198d9-f176-35c6-89db-c733f3ea5789&quot;,&quot;itemData&quot;:{&quot;type&quot;:&quot;article-journal&quot;,&quot;id&quot;:&quot;dfe198d9-f176-35c6-89db-c733f3ea5789&quot;,&quot;title&quot;:&quot;Optimizing the sizing of residential microgrids using a genetic algorithm as a decision support model&quot;,&quot;author&quot;:[{&quot;family&quot;:&quot;Zarate-Perez&quot;,&quot;given&quot;:&quot;Eliseo&quot;,&quot;parse-names&quot;:false,&quot;dropping-particle&quot;:&quot;&quot;,&quot;non-dropping-particle&quot;:&quot;&quot;},{&quot;family&quot;:&quot;Sebastián&quot;,&quot;given&quot;:&quot;Rafael&quot;,&quot;parse-names&quot;:false,&quot;dropping-particle&quot;:&quot;&quot;,&quot;non-dropping-particle&quot;:&quot;&quot;}],&quot;container-title&quot;:&quot;Management of Environmental Quality&quot;,&quot;accessed&quot;:{&quot;date-parts&quot;:[[2025,5,17]]},&quot;DOI&quot;:&quot;10.1108/MEQ-01-2025-0043/FULL/XML&quot;,&quot;ISSN&quot;:&quot;17586119&quot;,&quot;issued&quot;:{&quot;date-parts&quot;:[[2025]]},&quot;abstract&quot;:&quot;Purpose: This study evaluates the performance of genetic algorithms (GAs) in optimizing the sizing of wind photovoltaic systems with battery energy storage systems (BESS). The objective is to determine whether GAs can balance generation and storage, improve system autonomy, reduce operating costs and meet residential energy demand in real-world environments. Design/methodology/approach: A genetic algorithm was used as a multi-objective optimization tool to determine the optimal sizing of solar panels, wind turbines and BESS. The model considers energy demand, climate variability and resource intermittency. Metrics such as autonomy, total costs and total energy deficit (TED) were evaluated. The results were compared with the exhaustive search to validate the effectiveness of the GA. Findings: The GA identified an optimal configuration with a TED of 3.76%, an autonomy of 96.24% and an efficiency of 95% and a total cost of USD 7,500. In contrast, the exhaustive search achieved a TED of 4.3%, a range of 95.7% and an efficiency of 90% at a cost of USD 8,000. Although both methods ensure optimal performance, GA stands out for its computational efficiency and ability to balance multiple targets. Originality/value: This study not only highlights the usefulness of GAs for designing hybrid microgrids that address renewable resource intermittency and economic viability but also contributes to the sustainable development goal by promoting sustainable and affordable solutions for residential communities.&quot;,&quot;publisher&quot;:&quot;Emerald Publishing&quot;,&quot;issue&quot;:&quot;ahead-of-print&quot;,&quot;volume&quot;:&quot;ahead-of-print&quot;,&quot;container-title-short&quot;:&quot;&quot;},&quot;isTemporary&quot;:false}]},{&quot;citationID&quot;:&quot;MENDELEY_CITATION_cbf6dbe9-ad52-4f98-8b84-86c838f2895d&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&quot;,&quot;citationItems&quot;:[{&quot;id&quot;:&quot;94c8692c-a17d-36c4-893e-20feb778adba&quot;,&quot;itemData&quot;:{&quot;type&quot;:&quot;article-journal&quot;,&quot;id&quot;:&quot;94c8692c-a17d-36c4-893e-20feb778adba&quot;,&quot;title&quot;:&quot;Performance analysis of a single-axis tracking PV system&quot;,&quot;author&quot;:[{&quot;family&quot;:&quot;Dolara&quot;,&quot;given&quot;:&quot;Alberto&quot;,&quot;parse-names&quot;:false,&quot;dropping-particle&quot;:&quot;&quot;,&quot;non-dropping-particle&quot;:&quot;&quot;},{&quot;family&quot;:&quot;Grimaccia&quot;,&quot;given&quot;:&quot;Francesco&quot;,&quot;parse-names&quot;:false,&quot;dropping-particle&quot;:&quot;&quot;,&quot;non-dropping-particle&quot;:&quot;&quot;},{&quot;family&quot;:&quot;Leva&quot;,&quot;given&quot;:&quot;Sonia&quot;,&quot;parse-names&quot;:false,&quot;dropping-particle&quot;:&quot;&quot;,&quot;non-dropping-particle&quot;:&quot;&quot;},{&quot;family&quot;:&quot;Mussetta&quot;,&quot;given&quot;:&quot;Marco&quot;,&quot;parse-names&quot;:false,&quot;dropping-particle&quot;:&quot;&quot;,&quot;non-dropping-particle&quot;:&quot;&quot;},{&quot;family&quot;:&quot;Faranda&quot;,&quot;given&quot;:&quot;Roberto&quot;,&quot;parse-names&quot;:false,&quot;dropping-particle&quot;:&quot;&quot;,&quot;non-dropping-particle&quot;:&quot;&quot;},{&quot;family&quot;:&quot;Gualdoni&quot;,&quot;given&quot;:&quot;Moris&quot;,&quot;parse-names&quot;:false,&quot;dropping-particle&quot;:&quot;&quot;,&quot;non-dropping-particle&quot;:&quot;&quot;}],&quot;container-title&quot;:&quot;IEEE Journal of Photovoltaics&quot;,&quot;container-title-short&quot;:&quot;IEEE J Photovolt&quot;,&quot;accessed&quot;:{&quot;date-parts&quot;:[[2025,8,23]]},&quot;DOI&quot;:&quot;10.1109/JPHOTOV.2012.2202876&quot;,&quot;ISSN&quot;:&quot;21563381&quot;,&quot;issued&quot;:{&quot;date-parts&quot;:[[2012]]},&quot;page&quot;:&quot;524-531&quot;,&quot;abstract&quot;:&quot;In this paper a performance analysis of a photovoltaic (PV) tracking system is conducted, to study its efficiency based on experimental results of a specific power plant. A single-axis system is analyzed, taking into account different indexes to better characterize the overall system performance. Experimental data have been collected by an on-site monitoring system over a period of one year, bringing some final considerations and comparative results on PV-system efficiency. © 2012 IEEE.&quot;,&quot;issue&quot;:&quot;4&quot;,&quot;volume&quot;:&quot;2&quot;},&quot;isTemporary&quot;:false}]},{&quot;citationID&quot;:&quot;MENDELEY_CITATION_a7a2b8f9-93d6-47fb-937a-6fde858a519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&quot;,&quot;citationItems&quot;:[{&quot;id&quot;:&quot;353451e4-1ceb-33ae-8fd3-cc77c8a495e4&quot;,&quot;itemData&quot;:{&quot;type&quot;:&quot;article-journal&quot;,&quot;id&quot;:&quot;353451e4-1ceb-33ae-8fd3-cc77c8a495e4&quot;,&quot;title&quot;:&quot;Autonomy evaluation model for a photovoltaic residential microgrid with a battery storage system&quot;,&quot;author&quot;:[{&quot;family&quot;:&quot;Zarate-Perez&quot;,&quot;given&quot;:&quot;Eliseo&quot;,&quot;parse-names&quot;:false,&quot;dropping-particle&quot;:&quot;&quot;,&quot;non-dropping-particle&quot;:&quot;&quot;},{&quot;family&quot;:&quot;Sebastián&quot;,&quot;given&quot;:&quot;Rafael&quot;,&quot;parse-names&quot;:false,&quot;dropping-particle&quot;:&quot;&quot;,&quot;non-dropping-particle&quot;:&quot;&quot;}],&quot;container-title&quot;:&quot;Energy Reports&quot;,&quot;DOI&quot;:&quot;10.1016/J.EGYR.2022.07.085&quot;,&quot;ISSN&quot;:&quot;2352-4847&quot;,&quot;issued&quot;:{&quot;date-parts&quot;:[[2022,11]]},&quot;page&quot;:&quot;653-664&quot;,&quot;publisher&quot;:&quot;Elsevier&quot;,&quot;volume&quot;:&quot;8&quot;,&quot;container-title-short&quot;:&quot;&quot;},&quot;isTemporary&quot;:false}]}]"/>
    <we:property name="MENDELEY_CITATIONS_LOCALE_CODE" value="&quot;en-US&quot;"/>
    <we:property name="MENDELEY_CITATIONS_STYLE" value="{&quot;id&quot;:&quot;https://www.zotero.org/styles/aip-advances&quot;,&quot;title&quot;:&quot;AIP Advan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73</TotalTime>
  <Pages>1</Pages>
  <Words>2763</Words>
  <Characters>15754</Characters>
  <Application>Microsoft Office Word</Application>
  <DocSecurity>0</DocSecurity>
  <Lines>366</Lines>
  <Paragraphs>272</Paragraphs>
  <ScaleCrop>false</ScaleCrop>
  <Company>PPI</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36</cp:revision>
  <cp:lastPrinted>2025-10-18T05:33:00Z</cp:lastPrinted>
  <dcterms:created xsi:type="dcterms:W3CDTF">2025-10-22T17:38:00Z</dcterms:created>
  <dcterms:modified xsi:type="dcterms:W3CDTF">2025-12-06T16:41:00Z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