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63F91AEF" w:rsidR="0016385D" w:rsidRPr="00075EA6" w:rsidRDefault="006323C5" w:rsidP="00D30640">
      <w:pPr>
        <w:pStyle w:val="PaperTitle"/>
        <w:spacing w:before="0"/>
        <w:rPr>
          <w:b w:val="0"/>
          <w:bCs/>
          <w:sz w:val="24"/>
          <w:szCs w:val="24"/>
        </w:rPr>
      </w:pPr>
      <w:r w:rsidRPr="006323C5">
        <w:rPr>
          <w:bCs/>
        </w:rPr>
        <w:t xml:space="preserve">A Deep Learning Approach for Short-Term Solar Irradiance Forecasting using </w:t>
      </w:r>
      <w:r w:rsidR="009636C1">
        <w:rPr>
          <w:bCs/>
        </w:rPr>
        <w:t xml:space="preserve">Maximal Overlap Discrete </w:t>
      </w:r>
      <w:r w:rsidRPr="006323C5">
        <w:rPr>
          <w:bCs/>
        </w:rPr>
        <w:t xml:space="preserve">Wavelet Packet </w:t>
      </w:r>
      <w:r w:rsidR="009636C1">
        <w:rPr>
          <w:bCs/>
        </w:rPr>
        <w:t>Transform</w:t>
      </w:r>
      <w:r w:rsidRPr="006323C5">
        <w:rPr>
          <w:bCs/>
        </w:rPr>
        <w:t xml:space="preserve"> and Hybrid CNN-LSTM-MLP Networks</w:t>
      </w:r>
      <w:r>
        <w:rPr>
          <w:bCs/>
        </w:rPr>
        <w:t xml:space="preserve"> </w:t>
      </w:r>
    </w:p>
    <w:p w14:paraId="548D96A3" w14:textId="426231A3" w:rsidR="00C14B14" w:rsidRPr="006D1F31" w:rsidRDefault="00595FEE" w:rsidP="00595FEE">
      <w:pPr>
        <w:pStyle w:val="AuthorName"/>
        <w:rPr>
          <w:bCs/>
        </w:rPr>
      </w:pPr>
      <w:r>
        <w:t>Zahiir Coya</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w:t>
      </w:r>
      <w:r w:rsidRPr="00595FEE">
        <w:rPr>
          <w:bCs/>
        </w:rPr>
        <w:t>Abdel Khoodaruth</w:t>
      </w:r>
      <w:r>
        <w:rPr>
          <w:vertAlign w:val="superscript"/>
        </w:rPr>
        <w:t>1</w:t>
      </w:r>
      <w:r>
        <w:t>,</w:t>
      </w:r>
      <w:r w:rsidRPr="00595FEE">
        <w:t xml:space="preserve"> </w:t>
      </w:r>
      <w:r w:rsidRPr="00595FEE">
        <w:rPr>
          <w:bCs/>
        </w:rPr>
        <w:t>Harry Ramenah</w:t>
      </w:r>
      <w:r>
        <w:rPr>
          <w:vertAlign w:val="superscript"/>
        </w:rPr>
        <w:t>2</w:t>
      </w:r>
      <w:r>
        <w:t>,</w:t>
      </w:r>
      <w:r w:rsidRPr="00595FEE">
        <w:t xml:space="preserve"> </w:t>
      </w:r>
      <w:r w:rsidRPr="00595FEE">
        <w:rPr>
          <w:bCs/>
        </w:rPr>
        <w:t>Vishwamitra Oree</w:t>
      </w:r>
      <w:r>
        <w:rPr>
          <w:vertAlign w:val="superscript"/>
        </w:rPr>
        <w:t>3</w:t>
      </w:r>
      <w:r w:rsidR="006D1F31">
        <w:t xml:space="preserve">, </w:t>
      </w:r>
      <w:r w:rsidRPr="00595FEE">
        <w:rPr>
          <w:bCs/>
        </w:rPr>
        <w:t>Anshu Prakash Murdan</w:t>
      </w:r>
      <w:r w:rsidR="00BE7FCE">
        <w:rPr>
          <w:vertAlign w:val="superscript"/>
        </w:rPr>
        <w:t>3</w:t>
      </w:r>
      <w:r w:rsidR="006D1F31">
        <w:t xml:space="preserve"> and</w:t>
      </w:r>
      <w:r w:rsidR="006D1F31" w:rsidRPr="006D1F31">
        <w:rPr>
          <w:bCs/>
        </w:rPr>
        <w:t xml:space="preserve"> </w:t>
      </w:r>
      <w:r w:rsidR="006D1F31">
        <w:rPr>
          <w:bCs/>
        </w:rPr>
        <w:t>Camel</w:t>
      </w:r>
      <w:r w:rsidR="006D1F31" w:rsidRPr="00595FEE">
        <w:rPr>
          <w:bCs/>
        </w:rPr>
        <w:t xml:space="preserve"> </w:t>
      </w:r>
      <w:r w:rsidR="006D1F31">
        <w:rPr>
          <w:bCs/>
        </w:rPr>
        <w:t>Tanougast</w:t>
      </w:r>
      <w:r w:rsidR="006D1F31">
        <w:rPr>
          <w:vertAlign w:val="superscript"/>
        </w:rPr>
        <w:t>2</w:t>
      </w:r>
    </w:p>
    <w:p w14:paraId="028637E4" w14:textId="0507F75B" w:rsidR="00BE7FCE" w:rsidRPr="005362E6" w:rsidRDefault="00027428" w:rsidP="00BE7FCE">
      <w:pPr>
        <w:pStyle w:val="AuthorAffiliation"/>
        <w:rPr>
          <w:bCs/>
          <w:iCs/>
        </w:rPr>
      </w:pPr>
      <w:r w:rsidRPr="005362E6">
        <w:rPr>
          <w:i w:val="0"/>
          <w:iCs/>
          <w:vertAlign w:val="superscript"/>
        </w:rPr>
        <w:t>1</w:t>
      </w:r>
      <w:r w:rsidR="00BE7FCE" w:rsidRPr="005362E6">
        <w:rPr>
          <w:bCs/>
          <w:iCs/>
        </w:rPr>
        <w:t>Mechanical and Production Engineering Department, University of Mauritius</w:t>
      </w:r>
      <w:r w:rsidR="00D9628D">
        <w:rPr>
          <w:bCs/>
          <w:iCs/>
        </w:rPr>
        <w:t>.</w:t>
      </w:r>
    </w:p>
    <w:p w14:paraId="0F62BA99" w14:textId="462FB52C" w:rsidR="00BE7FCE" w:rsidRPr="005362E6" w:rsidRDefault="00C14B14" w:rsidP="00BE7FCE">
      <w:pPr>
        <w:pStyle w:val="AuthorAffiliation"/>
        <w:rPr>
          <w:bCs/>
          <w:iCs/>
          <w:lang w:val="fr-FR"/>
        </w:rPr>
      </w:pPr>
      <w:r w:rsidRPr="005362E6">
        <w:rPr>
          <w:i w:val="0"/>
          <w:iCs/>
          <w:vertAlign w:val="superscript"/>
          <w:lang w:val="fr-FR"/>
        </w:rPr>
        <w:t>2</w:t>
      </w:r>
      <w:r w:rsidR="00BE7FCE" w:rsidRPr="005362E6">
        <w:rPr>
          <w:bCs/>
          <w:iCs/>
          <w:lang w:val="fr-FR"/>
        </w:rPr>
        <w:t xml:space="preserve">LGIPM, Université de Lorraine, </w:t>
      </w:r>
      <w:r w:rsidR="00BE7FCE" w:rsidRPr="005362E6">
        <w:rPr>
          <w:bCs/>
          <w:lang w:val="fr-FR"/>
        </w:rPr>
        <w:t xml:space="preserve">Metz, </w:t>
      </w:r>
      <w:r w:rsidR="00C56704">
        <w:rPr>
          <w:bCs/>
          <w:lang w:val="fr-FR"/>
        </w:rPr>
        <w:t>France.</w:t>
      </w:r>
    </w:p>
    <w:p w14:paraId="29BEBE97" w14:textId="2F4640C3" w:rsidR="00BE7FCE" w:rsidRPr="005362E6" w:rsidRDefault="00C14B14" w:rsidP="00BE7FCE">
      <w:pPr>
        <w:pStyle w:val="AuthorAffiliation"/>
        <w:rPr>
          <w:bCs/>
          <w:iCs/>
        </w:rPr>
      </w:pPr>
      <w:r w:rsidRPr="005362E6">
        <w:rPr>
          <w:i w:val="0"/>
          <w:iCs/>
          <w:vertAlign w:val="superscript"/>
        </w:rPr>
        <w:t>3</w:t>
      </w:r>
      <w:r w:rsidR="00BE7FCE" w:rsidRPr="005362E6">
        <w:rPr>
          <w:bCs/>
          <w:iCs/>
        </w:rPr>
        <w:t>Department of Electrical and Electronic Engineering, University of Mauritius</w:t>
      </w:r>
      <w:r w:rsidR="00C56704">
        <w:rPr>
          <w:bCs/>
          <w:iCs/>
        </w:rPr>
        <w:t>.</w:t>
      </w:r>
    </w:p>
    <w:p w14:paraId="3EAF16AE" w14:textId="6C34D7DE" w:rsidR="00BE7FCE" w:rsidRPr="005362E6" w:rsidRDefault="00BE7FCE" w:rsidP="00BE7FCE">
      <w:pPr>
        <w:pStyle w:val="AuthorAffiliation"/>
        <w:rPr>
          <w:iCs/>
          <w:vertAlign w:val="superscript"/>
        </w:rPr>
      </w:pPr>
    </w:p>
    <w:p w14:paraId="5E05E235" w14:textId="0B4C6C2C" w:rsidR="003A5C85" w:rsidRPr="005362E6" w:rsidRDefault="00003D7C">
      <w:pPr>
        <w:pStyle w:val="AuthorEmail"/>
        <w:rPr>
          <w:i/>
          <w:iCs/>
        </w:rPr>
      </w:pPr>
      <w:r w:rsidRPr="005362E6">
        <w:rPr>
          <w:i/>
          <w:iCs/>
          <w:vertAlign w:val="superscript"/>
        </w:rPr>
        <w:t>a)</w:t>
      </w:r>
      <w:r w:rsidRPr="005362E6">
        <w:rPr>
          <w:i/>
          <w:iCs/>
        </w:rPr>
        <w:t xml:space="preserve"> Corresponding</w:t>
      </w:r>
      <w:r w:rsidR="004E3CB2" w:rsidRPr="005362E6">
        <w:rPr>
          <w:i/>
          <w:iCs/>
        </w:rPr>
        <w:t xml:space="preserve"> author: </w:t>
      </w:r>
      <w:r w:rsidR="00BE7FCE" w:rsidRPr="005362E6">
        <w:rPr>
          <w:bCs/>
          <w:i/>
          <w:iCs/>
        </w:rPr>
        <w:t>muhammad.coya2@umail.uom.ac.mu</w:t>
      </w:r>
    </w:p>
    <w:p w14:paraId="6318CB98" w14:textId="6D5D43E1" w:rsidR="00693571" w:rsidRDefault="0016385D" w:rsidP="00693571">
      <w:pPr>
        <w:pStyle w:val="Abstract"/>
      </w:pPr>
      <w:r w:rsidRPr="00075EA6">
        <w:rPr>
          <w:b/>
          <w:bCs/>
        </w:rPr>
        <w:t>Abstract.</w:t>
      </w:r>
      <w:r w:rsidRPr="00075EA6">
        <w:t xml:space="preserve"> </w:t>
      </w:r>
      <w:r w:rsidR="00B566FD" w:rsidRPr="00B566FD">
        <w:t>The intermittency of solar energy poses threats to the integration of photovoltaic (PV) systems into th</w:t>
      </w:r>
      <w:r w:rsidR="00BA7E4E">
        <w:t>e power grid. This necessitates</w:t>
      </w:r>
      <w:r w:rsidR="00B566FD" w:rsidRPr="00B566FD">
        <w:t xml:space="preserve"> highly accurate short-term forecasting models to stabilize and secure grid operation. This paper introduces a novel hierarchical model combining Maximal Overlap Discrete Wavelet Packet Transform (MODWPT) with a hybrid 1D-CNN-LSTM-MLP network for 15-minute-ahead </w:t>
      </w:r>
      <w:r w:rsidR="00581C14">
        <w:t xml:space="preserve">solar irradiance </w:t>
      </w:r>
      <w:r w:rsidR="00B566FD" w:rsidRPr="00B566FD">
        <w:t>forecasting. The MODWPT decomposes the original time-series into eight sub-series, which are then processed by a 1D-Convolutional Neural Network (CNN) to extracts local, high-frequency features, a Long Short-Term Memory (LSTM) network then captures temporal dependencies, and finally a Multi-Layer Perceptron (MLP) performs the final non-linear regression. The proposed model is evaluated against two hybrid deep learning models namely, MODWPT-LSTM-MLP and MODWPT-LSTM using a two-year dataset</w:t>
      </w:r>
      <w:r w:rsidR="005E357F">
        <w:t xml:space="preserve"> from Mauritius</w:t>
      </w:r>
      <w:r w:rsidR="00B566FD" w:rsidRPr="00B566FD">
        <w:t>. The proposed model achieves a superior performance with MAE of 5.95, RMSE of 7.75, and MBE of -1.66. A detailed hourly analysis confirms its robustness during forenoon and afternoon periods, demonstrating that hierarchical feature extraction is essential for accurate solar forecasting.</w:t>
      </w:r>
    </w:p>
    <w:p w14:paraId="253ABF76" w14:textId="7FFE007B" w:rsidR="00693571" w:rsidRPr="00693571" w:rsidRDefault="00693571" w:rsidP="00693571">
      <w:pPr>
        <w:pStyle w:val="Abstract"/>
      </w:pPr>
      <w:r w:rsidRPr="00B41BE6">
        <w:rPr>
          <w:b/>
        </w:rPr>
        <w:t>Keywords</w:t>
      </w:r>
      <w:r w:rsidR="00B41BE6">
        <w:rPr>
          <w:b/>
        </w:rPr>
        <w:t>:</w:t>
      </w:r>
      <w:r>
        <w:t xml:space="preserve"> </w:t>
      </w:r>
      <w:r w:rsidR="00E51F3E">
        <w:t>Solar Irradiance;</w:t>
      </w:r>
      <w:r w:rsidR="00E51F3E" w:rsidRPr="00E51F3E">
        <w:t xml:space="preserve"> </w:t>
      </w:r>
      <w:r w:rsidR="00844C6E">
        <w:t>F</w:t>
      </w:r>
      <w:r w:rsidR="00E51F3E" w:rsidRPr="00E51F3E">
        <w:t>o</w:t>
      </w:r>
      <w:r w:rsidR="00CC0E8B">
        <w:t>recasting;</w:t>
      </w:r>
      <w:r w:rsidR="00844C6E">
        <w:t xml:space="preserve"> W</w:t>
      </w:r>
      <w:r w:rsidR="00E51F3E">
        <w:t>avelet</w:t>
      </w:r>
      <w:r w:rsidR="005E357F">
        <w:t xml:space="preserve"> Transform</w:t>
      </w:r>
      <w:r w:rsidR="00CC0E8B">
        <w:t>;</w:t>
      </w:r>
      <w:r w:rsidR="00E51F3E">
        <w:t xml:space="preserve"> </w:t>
      </w:r>
      <w:r w:rsidR="00844C6E">
        <w:t>D</w:t>
      </w:r>
      <w:r w:rsidR="00C93C7F">
        <w:t>eep L</w:t>
      </w:r>
      <w:r w:rsidR="00844C6E">
        <w:t>earning</w:t>
      </w:r>
      <w:r w:rsidR="00CC0E8B">
        <w:t>.</w:t>
      </w:r>
      <w:r w:rsidR="00E51F3E" w:rsidRPr="00E51F3E">
        <w:t xml:space="preserve"> </w:t>
      </w:r>
    </w:p>
    <w:p w14:paraId="5240E3FB" w14:textId="06603FD8" w:rsidR="003A287B" w:rsidRPr="00075EA6" w:rsidRDefault="00BD4DEF" w:rsidP="00003D7C">
      <w:pPr>
        <w:pStyle w:val="Heading1"/>
        <w:rPr>
          <w:b w:val="0"/>
          <w:caps w:val="0"/>
          <w:sz w:val="20"/>
        </w:rPr>
      </w:pPr>
      <w:r>
        <w:t>INTRODUCTION</w:t>
      </w:r>
    </w:p>
    <w:p w14:paraId="39ADD5C8" w14:textId="77777777" w:rsidR="00871710" w:rsidRPr="00871710" w:rsidRDefault="00871710" w:rsidP="00871710">
      <w:pPr>
        <w:pStyle w:val="Paragraph"/>
      </w:pPr>
      <w:r w:rsidRPr="00871710">
        <w:t>Over the years, the rising oil prices, the ongoing depletion of fossil fuels, and mounting environmental concerns have significantly increased the use of PV power systems. Nevertheless, the intermittent character of solar energy threatens the stability, reliability, operational planning, and economic advantages of the electric grid [1]. Therefore, predicting PV power output and end-user demand are essential for foreseeing the demand from end-users and optimize the utilization of available energy resources [2]. Forecasting methods allow the management of the intermittent nature of solar energy and facilitates the integration of PV system into power grids. </w:t>
      </w:r>
    </w:p>
    <w:p w14:paraId="5CEF1A65" w14:textId="77777777" w:rsidR="00871710" w:rsidRPr="00871710" w:rsidRDefault="00871710" w:rsidP="00871710">
      <w:pPr>
        <w:pStyle w:val="Paragraph"/>
      </w:pPr>
    </w:p>
    <w:p w14:paraId="1BE48128" w14:textId="68549D56" w:rsidR="00871710" w:rsidRPr="00871710" w:rsidRDefault="00871710" w:rsidP="00516E58">
      <w:pPr>
        <w:pStyle w:val="Paragraph"/>
      </w:pPr>
      <w:r w:rsidRPr="00871710">
        <w:t xml:space="preserve">Forecasting </w:t>
      </w:r>
      <w:r w:rsidR="00C071CA">
        <w:t>methods</w:t>
      </w:r>
      <w:r w:rsidRPr="00871710">
        <w:t xml:space="preserve"> are commonly divided into two categories. The direct forecasting </w:t>
      </w:r>
      <w:r w:rsidR="00C071CA">
        <w:t>approach which</w:t>
      </w:r>
      <w:r w:rsidRPr="00871710">
        <w:t xml:space="preserve"> predict PV power directly. In contrast, the indirect forecasting methods focus on the forecasting of solar irradiance. With data privacy policies limiting access to historical PV data of solar energy firms, solar irradiance prediction appears more attractive [3]. Models that predict solar irradiance can be classified into four main categories namely empirical approaches, models based on imagery, statistical models, and Artificial intelligence (AI) techniques. </w:t>
      </w:r>
    </w:p>
    <w:p w14:paraId="283B9DD8" w14:textId="77777777" w:rsidR="00871710" w:rsidRPr="00871710" w:rsidRDefault="00871710" w:rsidP="00871710">
      <w:pPr>
        <w:pStyle w:val="Paragraph"/>
      </w:pPr>
    </w:p>
    <w:p w14:paraId="122337CC" w14:textId="6D580A6D" w:rsidR="00871710" w:rsidRPr="00871710" w:rsidRDefault="00871710" w:rsidP="00871710">
      <w:pPr>
        <w:pStyle w:val="Paragraph"/>
      </w:pPr>
      <w:r w:rsidRPr="00871710">
        <w:t xml:space="preserve">Empirical models </w:t>
      </w:r>
      <w:r w:rsidR="00C071CA">
        <w:t>employ</w:t>
      </w:r>
      <w:r w:rsidRPr="00871710">
        <w:t xml:space="preserve"> </w:t>
      </w:r>
      <w:r w:rsidR="00C071CA" w:rsidRPr="00871710">
        <w:t xml:space="preserve">meteorological </w:t>
      </w:r>
      <w:r w:rsidRPr="00871710">
        <w:t xml:space="preserve">and </w:t>
      </w:r>
      <w:r w:rsidR="00C071CA" w:rsidRPr="00871710">
        <w:t xml:space="preserve">geographical </w:t>
      </w:r>
      <w:r w:rsidRPr="00871710">
        <w:t xml:space="preserve">data to forecast </w:t>
      </w:r>
      <w:r w:rsidR="0061437C">
        <w:t xml:space="preserve">Global </w:t>
      </w:r>
      <w:r w:rsidR="00DC547C">
        <w:t>Horizontal</w:t>
      </w:r>
      <w:r w:rsidR="0061437C">
        <w:t xml:space="preserve"> Irradiance (</w:t>
      </w:r>
      <w:r w:rsidRPr="00871710">
        <w:t>GHI</w:t>
      </w:r>
      <w:r w:rsidR="0061437C">
        <w:t>)</w:t>
      </w:r>
      <w:r w:rsidRPr="00871710">
        <w:t xml:space="preserve">, resulting in temperature-based, cloudiness based, sunshine-based, and hybrid models. In general, empirical models </w:t>
      </w:r>
      <w:r w:rsidR="00C071CA">
        <w:t xml:space="preserve">generally </w:t>
      </w:r>
      <w:r w:rsidR="00473426">
        <w:t xml:space="preserve">do not require </w:t>
      </w:r>
      <w:r w:rsidR="005114CC">
        <w:t xml:space="preserve">a </w:t>
      </w:r>
      <w:r w:rsidR="00473426" w:rsidRPr="00473426">
        <w:t xml:space="preserve">large amount of </w:t>
      </w:r>
      <w:r w:rsidR="00691A25">
        <w:t>historical</w:t>
      </w:r>
      <w:r w:rsidR="00473426" w:rsidRPr="00473426">
        <w:t xml:space="preserve"> data, </w:t>
      </w:r>
      <w:r w:rsidR="00473426">
        <w:t>however, t</w:t>
      </w:r>
      <w:r w:rsidR="00473426" w:rsidRPr="00473426">
        <w:t xml:space="preserve">heir accuracy depends on the availability of weather forecast data </w:t>
      </w:r>
      <w:r w:rsidR="003F64B4">
        <w:t xml:space="preserve">[4], </w:t>
      </w:r>
      <w:r w:rsidR="00C0798F">
        <w:t>and</w:t>
      </w:r>
      <w:r w:rsidR="003F64B4">
        <w:t xml:space="preserve"> </w:t>
      </w:r>
      <w:r w:rsidRPr="00871710">
        <w:t xml:space="preserve">high computational costs </w:t>
      </w:r>
      <w:r w:rsidR="00C0798F">
        <w:t>with</w:t>
      </w:r>
      <w:r w:rsidRPr="00871710">
        <w:t xml:space="preserve"> limited applicability</w:t>
      </w:r>
      <w:r w:rsidR="003F64B4">
        <w:t xml:space="preserve"> for short-term GHI forecasts [</w:t>
      </w:r>
      <w:r w:rsidRPr="00871710">
        <w:t>5].</w:t>
      </w:r>
    </w:p>
    <w:p w14:paraId="6C2035CB" w14:textId="77777777" w:rsidR="00871710" w:rsidRPr="00871710" w:rsidRDefault="00871710" w:rsidP="00871710">
      <w:pPr>
        <w:pStyle w:val="Paragraph"/>
      </w:pPr>
    </w:p>
    <w:p w14:paraId="707911CD" w14:textId="4B3DB040" w:rsidR="00871710" w:rsidRPr="00871710" w:rsidRDefault="00871710" w:rsidP="003F64B4">
      <w:pPr>
        <w:pStyle w:val="Paragraph"/>
      </w:pPr>
      <w:r w:rsidRPr="00871710">
        <w:t xml:space="preserve">Image-Based models employ sky camera or satellite images to forecast GHI and are highly effective for large area predictions [6]. </w:t>
      </w:r>
      <w:r w:rsidR="009F53C6">
        <w:t>T</w:t>
      </w:r>
      <w:r w:rsidRPr="00871710">
        <w:t>heir high t</w:t>
      </w:r>
      <w:r w:rsidR="009F53C6">
        <w:t xml:space="preserve">emporal and spatial resolution </w:t>
      </w:r>
      <w:r w:rsidRPr="00871710">
        <w:t xml:space="preserve">provide important information on the movement of clouds. </w:t>
      </w:r>
      <w:r w:rsidRPr="00871710">
        <w:lastRenderedPageBreak/>
        <w:t>However, limited image availability, high costs for imaging equipment, and the complexity of image processing reduce the widespread adoption of satell</w:t>
      </w:r>
      <w:r w:rsidR="00422E04">
        <w:t>ite image-based GHI prediction</w:t>
      </w:r>
      <w:r w:rsidRPr="00871710">
        <w:t xml:space="preserve"> [7]. Statistical methods try to establish mathematical relationships based on predic</w:t>
      </w:r>
      <w:r w:rsidR="003F64B4">
        <w:t xml:space="preserve">tors to forecast future values. </w:t>
      </w:r>
      <w:r w:rsidRPr="00871710">
        <w:t>However, non-stationarities in solar irradiance data caused by factors like cloud cover and seasonal variation can reduce the accuracy of these model</w:t>
      </w:r>
      <w:r w:rsidR="00422E04">
        <w:t>s in capturing nonlinear trends</w:t>
      </w:r>
      <w:r w:rsidRPr="00871710">
        <w:t xml:space="preserve"> [8]. </w:t>
      </w:r>
      <w:r w:rsidR="00A77302" w:rsidRPr="003A058E">
        <w:t xml:space="preserve">Some statistical methods include ARMA, ARIMA, exponential smoothing and even the Johansen VECM model as presented in </w:t>
      </w:r>
      <w:r w:rsidR="00A77302" w:rsidRPr="0034214B">
        <w:t>[</w:t>
      </w:r>
      <w:r w:rsidR="003A058E" w:rsidRPr="0034214B">
        <w:t>9</w:t>
      </w:r>
      <w:r w:rsidR="00A77302" w:rsidRPr="003A058E">
        <w:t>]</w:t>
      </w:r>
      <w:r w:rsidR="003A058E" w:rsidRPr="003A058E">
        <w:t xml:space="preserve"> which deal</w:t>
      </w:r>
      <w:r w:rsidR="00DA7E97" w:rsidRPr="003A058E">
        <w:t xml:space="preserve"> with non-stationarity and causality properties</w:t>
      </w:r>
      <w:r w:rsidR="00A77302" w:rsidRPr="003A058E">
        <w:t>.</w:t>
      </w:r>
    </w:p>
    <w:p w14:paraId="6FACE5BF" w14:textId="77777777" w:rsidR="00871710" w:rsidRPr="00871710" w:rsidRDefault="00871710" w:rsidP="00871710">
      <w:pPr>
        <w:pStyle w:val="Paragraph"/>
      </w:pPr>
    </w:p>
    <w:p w14:paraId="56F6CF64" w14:textId="0957A2D3" w:rsidR="00871710" w:rsidRPr="00871710" w:rsidRDefault="00871710" w:rsidP="00871710">
      <w:pPr>
        <w:pStyle w:val="Paragraph"/>
      </w:pPr>
      <w:r w:rsidRPr="00871710">
        <w:t>Artificial intelligence techniques suc</w:t>
      </w:r>
      <w:r w:rsidR="00C0798F">
        <w:t>h as Machine Learning (ML) and Deep L</w:t>
      </w:r>
      <w:r w:rsidRPr="00871710">
        <w:t>earning (DL) models are extensively used in solar irradiance prediction and often outperformed the statistical approaches and physica</w:t>
      </w:r>
      <w:r w:rsidR="007E08DF">
        <w:t>l methods</w:t>
      </w:r>
      <w:r w:rsidRPr="00871710">
        <w:t xml:space="preserve"> [</w:t>
      </w:r>
      <w:r w:rsidR="0034214B">
        <w:t>10</w:t>
      </w:r>
      <w:r w:rsidRPr="00871710">
        <w:t xml:space="preserve">]. Nonetheless, ML </w:t>
      </w:r>
      <w:r w:rsidR="005114CC">
        <w:t xml:space="preserve">models </w:t>
      </w:r>
      <w:r w:rsidRPr="00871710">
        <w:t>are limited due to their dependence on personal experience and</w:t>
      </w:r>
      <w:r w:rsidR="007E08DF">
        <w:t xml:space="preserve"> prior knowledge on the problem </w:t>
      </w:r>
      <w:r w:rsidRPr="00871710">
        <w:t>[</w:t>
      </w:r>
      <w:r w:rsidR="0034214B">
        <w:t>11</w:t>
      </w:r>
      <w:r w:rsidRPr="00871710">
        <w:t>], their limited generalization capab</w:t>
      </w:r>
      <w:r w:rsidR="007E08DF">
        <w:t>ilities</w:t>
      </w:r>
      <w:r w:rsidRPr="00871710">
        <w:t xml:space="preserve"> [</w:t>
      </w:r>
      <w:r w:rsidR="0034214B">
        <w:t>12</w:t>
      </w:r>
      <w:r w:rsidRPr="00871710">
        <w:t>] and their instability, high computational cost, and non-convergence of parameters when handling large data set with complicated and high</w:t>
      </w:r>
      <w:r>
        <w:t xml:space="preserve"> </w:t>
      </w:r>
      <w:r w:rsidR="007E08DF">
        <w:t>dimensional data</w:t>
      </w:r>
      <w:r w:rsidR="00DB08A3">
        <w:t xml:space="preserve"> [</w:t>
      </w:r>
      <w:r w:rsidR="0034214B">
        <w:t>13</w:t>
      </w:r>
      <w:r w:rsidRPr="00871710">
        <w:t>]. On the other hand, DL models demonstrate strengths in three main areas, namely automatic feature extraction with little or no underlying knowledge and expertise, robust generalization capability, and ability to dea</w:t>
      </w:r>
      <w:r w:rsidR="007E08DF">
        <w:t xml:space="preserve">l with a large training dataset </w:t>
      </w:r>
      <w:r w:rsidRPr="00871710">
        <w:t>[</w:t>
      </w:r>
      <w:r w:rsidR="0034214B">
        <w:t>14</w:t>
      </w:r>
      <w:r w:rsidRPr="00871710">
        <w:t>]. This has prompted researchers to shift their focus more on DL architectures.</w:t>
      </w:r>
      <w:r w:rsidR="00BA21B8">
        <w:t xml:space="preserve"> For instance, study </w:t>
      </w:r>
      <w:r w:rsidR="00BA21B8" w:rsidRPr="00EE7DA8">
        <w:t>[</w:t>
      </w:r>
      <w:r w:rsidR="0034214B">
        <w:t>15</w:t>
      </w:r>
      <w:r w:rsidR="00BA21B8" w:rsidRPr="00EE7DA8">
        <w:t>]</w:t>
      </w:r>
      <w:r w:rsidR="00BA21B8">
        <w:t xml:space="preserve"> </w:t>
      </w:r>
      <w:r w:rsidR="00BA21B8" w:rsidRPr="00BA21B8">
        <w:t xml:space="preserve">highlight the growing </w:t>
      </w:r>
      <w:r w:rsidR="00BA21B8">
        <w:t>reliance on</w:t>
      </w:r>
      <w:r w:rsidR="00BA21B8" w:rsidRPr="00BA21B8">
        <w:t xml:space="preserve"> hybrid </w:t>
      </w:r>
      <w:r w:rsidR="00D36427">
        <w:t>DL</w:t>
      </w:r>
      <w:r w:rsidR="00BA21B8" w:rsidRPr="00BA21B8">
        <w:t xml:space="preserve"> approaches, particularly those combining </w:t>
      </w:r>
      <w:r w:rsidR="00BA21B8">
        <w:t xml:space="preserve">data </w:t>
      </w:r>
      <w:r w:rsidR="00BA21B8" w:rsidRPr="00BA21B8">
        <w:t>preprocessing techniques</w:t>
      </w:r>
      <w:r w:rsidR="00BA21B8">
        <w:t xml:space="preserve"> </w:t>
      </w:r>
      <w:r w:rsidR="00BA21B8" w:rsidRPr="00BA21B8">
        <w:t xml:space="preserve">with </w:t>
      </w:r>
      <w:r w:rsidR="00BA21B8">
        <w:t>DL models.</w:t>
      </w:r>
    </w:p>
    <w:p w14:paraId="557F04AC" w14:textId="77777777" w:rsidR="00871710" w:rsidRPr="00871710" w:rsidRDefault="00871710" w:rsidP="00871710">
      <w:pPr>
        <w:pStyle w:val="Paragraph"/>
      </w:pPr>
    </w:p>
    <w:p w14:paraId="04E3100E" w14:textId="63B784B8" w:rsidR="00871710" w:rsidRPr="00871710" w:rsidRDefault="00286CDB" w:rsidP="00871710">
      <w:pPr>
        <w:pStyle w:val="Paragraph"/>
      </w:pPr>
      <w:r>
        <w:t xml:space="preserve">In this </w:t>
      </w:r>
      <w:r w:rsidR="005114CC">
        <w:t>context</w:t>
      </w:r>
      <w:r>
        <w:t>, the current study</w:t>
      </w:r>
      <w:r w:rsidR="00871710" w:rsidRPr="00871710">
        <w:t xml:space="preserve"> </w:t>
      </w:r>
      <w:r>
        <w:t>developed</w:t>
      </w:r>
      <w:r w:rsidR="00871710" w:rsidRPr="00871710">
        <w:t xml:space="preserve"> a </w:t>
      </w:r>
      <w:r>
        <w:t xml:space="preserve">hybrid </w:t>
      </w:r>
      <w:r w:rsidR="00871710" w:rsidRPr="00871710">
        <w:t xml:space="preserve">method grounded on the coupling of wavelet packet </w:t>
      </w:r>
      <w:r w:rsidR="003D56AD">
        <w:t>transform</w:t>
      </w:r>
      <w:r w:rsidR="00871710" w:rsidRPr="00871710">
        <w:t xml:space="preserve"> (</w:t>
      </w:r>
      <w:r w:rsidR="003D56AD">
        <w:t>WPT</w:t>
      </w:r>
      <w:r w:rsidR="00871710" w:rsidRPr="00871710">
        <w:t xml:space="preserve">) and several DL algorithms for the short term solar irradiance forecasting. </w:t>
      </w:r>
      <w:r w:rsidR="00285F4C">
        <w:t xml:space="preserve">Maximal overlap discrete </w:t>
      </w:r>
      <w:r w:rsidR="00285F4C" w:rsidRPr="00871710">
        <w:t xml:space="preserve">wavelet packet </w:t>
      </w:r>
      <w:r w:rsidR="00285F4C" w:rsidRPr="00285F4C">
        <w:t>transform (</w:t>
      </w:r>
      <w:r w:rsidR="00581300" w:rsidRPr="00285F4C">
        <w:t>MO</w:t>
      </w:r>
      <w:r w:rsidR="003D56AD" w:rsidRPr="00285F4C">
        <w:t>DWPT</w:t>
      </w:r>
      <w:r w:rsidR="00285F4C" w:rsidRPr="00285F4C">
        <w:t>)</w:t>
      </w:r>
      <w:r w:rsidR="00871710" w:rsidRPr="00285F4C">
        <w:t xml:space="preserve"> is employed to decompose the irradiance time-series into multiple subseries which are then fed into different</w:t>
      </w:r>
      <w:r w:rsidR="00871710" w:rsidRPr="00871710">
        <w:t xml:space="preserve"> networks comprising of 1D Convolutional Neural Network (CNN), Long Short-Term Memory (LSTM) and multi-layer perceptron (MLP). The outputs are then reconstructed to furnish the final 15 minutes ahead solar irradiance prediction. This study compares the</w:t>
      </w:r>
      <w:r w:rsidR="006C6AA0">
        <w:t xml:space="preserve"> forecasting</w:t>
      </w:r>
      <w:r w:rsidR="00871710" w:rsidRPr="00871710">
        <w:t xml:space="preserve"> performance of three hybrid models namely the </w:t>
      </w:r>
      <w:r w:rsidR="00581300">
        <w:t>MO</w:t>
      </w:r>
      <w:r w:rsidR="004B606C">
        <w:t>D</w:t>
      </w:r>
      <w:r w:rsidR="003D56AD">
        <w:t>WPT</w:t>
      </w:r>
      <w:r w:rsidR="00871710" w:rsidRPr="00871710">
        <w:t xml:space="preserve">-CNN-LSTM-MLP, </w:t>
      </w:r>
      <w:r w:rsidR="00581300">
        <w:t>MO</w:t>
      </w:r>
      <w:r w:rsidR="004B606C">
        <w:t>D</w:t>
      </w:r>
      <w:r w:rsidR="003D56AD">
        <w:t>WPT</w:t>
      </w:r>
      <w:r w:rsidR="00871710" w:rsidRPr="00871710">
        <w:t xml:space="preserve">-LSTM-MLP and the </w:t>
      </w:r>
      <w:r w:rsidR="00581300">
        <w:t>MO</w:t>
      </w:r>
      <w:r w:rsidR="004B606C">
        <w:t>D</w:t>
      </w:r>
      <w:r w:rsidR="003D56AD">
        <w:t>WPT</w:t>
      </w:r>
      <w:r w:rsidR="00871710" w:rsidRPr="00871710">
        <w:t xml:space="preserve">-LSTM detailed in section </w:t>
      </w:r>
      <w:r w:rsidR="00384A64">
        <w:t>3</w:t>
      </w:r>
      <w:r w:rsidR="00871710" w:rsidRPr="00871710">
        <w:t>.</w:t>
      </w:r>
    </w:p>
    <w:p w14:paraId="15EBAD33" w14:textId="77777777" w:rsidR="00871710" w:rsidRPr="00871710" w:rsidRDefault="00871710" w:rsidP="00871710">
      <w:pPr>
        <w:pStyle w:val="Paragraph"/>
      </w:pPr>
    </w:p>
    <w:p w14:paraId="45C5A549" w14:textId="06442A43" w:rsidR="00AF13C9" w:rsidRDefault="00871710" w:rsidP="00AF13C9">
      <w:pPr>
        <w:pStyle w:val="Paragraph"/>
      </w:pPr>
      <w:r w:rsidRPr="00871710">
        <w:t xml:space="preserve">The next section describes the tools employed for data gathering and cleaning. Section </w:t>
      </w:r>
      <w:r w:rsidR="00384A64">
        <w:t>3</w:t>
      </w:r>
      <w:r w:rsidRPr="00871710">
        <w:t xml:space="preserve"> elaborates on the proposed forecasting models. Section </w:t>
      </w:r>
      <w:r w:rsidR="00384A64">
        <w:t>4</w:t>
      </w:r>
      <w:r w:rsidRPr="00871710">
        <w:t xml:space="preserve"> details the performance metric employed in this study. In Section </w:t>
      </w:r>
      <w:r w:rsidR="00A66494">
        <w:t>5</w:t>
      </w:r>
      <w:r w:rsidRPr="00871710">
        <w:t xml:space="preserve">, the forecasts of each models are compared and discussed using relevant metrics and plots. Finally, concluding comments are given in Section </w:t>
      </w:r>
      <w:r w:rsidR="00384A64">
        <w:t>6</w:t>
      </w:r>
      <w:r w:rsidRPr="00871710">
        <w:t>.</w:t>
      </w:r>
    </w:p>
    <w:p w14:paraId="485D1E56" w14:textId="67617DA3" w:rsidR="00AF13C9" w:rsidRPr="00075EA6" w:rsidRDefault="00AF13C9" w:rsidP="00AF13C9">
      <w:pPr>
        <w:pStyle w:val="Heading1"/>
        <w:rPr>
          <w:b w:val="0"/>
          <w:caps w:val="0"/>
          <w:sz w:val="20"/>
        </w:rPr>
      </w:pPr>
      <w:r w:rsidRPr="00AF13C9">
        <w:t xml:space="preserve">Data gathering and cleaning </w:t>
      </w:r>
    </w:p>
    <w:p w14:paraId="76C43A46" w14:textId="733F2B9D" w:rsidR="00921EF2" w:rsidRDefault="00AF13C9" w:rsidP="00866DBA">
      <w:pPr>
        <w:pStyle w:val="Paragraph"/>
      </w:pPr>
      <w:r w:rsidRPr="00AF13C9">
        <w:t>The experimental setup comprises of a 20 kWp grid-tied PV system found on the roof of the University of Mauritius Library, with coordinates 20° 14' 6'' S and 57° 29' 49'' E. The PV panels are installed on a stationary frame that is inclined at 20 degrees and faces north. A thermopile SMP3 pyranometer with a spectral range of 300 to 2800nm is set up on the mounting structure to measure incident solar irradiance, while a PT100 sensor with a temperature range of -50 to 100°C measures PV module temperature. The structure also includes a WS600 allin-one weather sensor that measures ambient air temperature, the direction and speed of wind, relative humidity, and air pressure. All measured data is stored to the internal memory of a GL240 data logger and meets EN 61</w:t>
      </w:r>
      <w:r w:rsidR="00866DBA">
        <w:t xml:space="preserve">326-1 Class A specifications. </w:t>
      </w:r>
      <w:r w:rsidRPr="00AF13C9">
        <w:t>The dataset spans over more than two years, beginning in July 2019 and ending in September 2021. The recorded data is filtered to exclude missing data and data collected between 4:30 p.m and 7:30 a.m were disregarded. </w:t>
      </w:r>
    </w:p>
    <w:p w14:paraId="0CBB51E6" w14:textId="1E3455D0" w:rsidR="0076667B" w:rsidRPr="00075EA6" w:rsidRDefault="0076667B" w:rsidP="0076667B">
      <w:pPr>
        <w:pStyle w:val="Heading1"/>
        <w:rPr>
          <w:b w:val="0"/>
          <w:caps w:val="0"/>
          <w:sz w:val="20"/>
        </w:rPr>
      </w:pPr>
      <w:r w:rsidRPr="0076667B">
        <w:t>The proposed forecasting frameworks</w:t>
      </w:r>
    </w:p>
    <w:p w14:paraId="78F5A2A8" w14:textId="77777777" w:rsidR="00C136A1" w:rsidRDefault="0076667B" w:rsidP="00FC318F">
      <w:pPr>
        <w:pStyle w:val="Paragraph"/>
      </w:pPr>
      <w:r w:rsidRPr="0076667B">
        <w:t xml:space="preserve">This study proposes three forecasting frameworks namely the </w:t>
      </w:r>
      <w:r w:rsidR="00B80AB0">
        <w:t>MO</w:t>
      </w:r>
      <w:r w:rsidR="003D56AD">
        <w:t>DWPT</w:t>
      </w:r>
      <w:r w:rsidRPr="0076667B">
        <w:t xml:space="preserve">-CNN-LSTM-MLP, </w:t>
      </w:r>
      <w:r w:rsidR="00B80AB0">
        <w:t>MO</w:t>
      </w:r>
      <w:r w:rsidR="003D56AD">
        <w:t>DWPT</w:t>
      </w:r>
      <w:r w:rsidRPr="0076667B">
        <w:t xml:space="preserve">-LSTM-MLP and the </w:t>
      </w:r>
      <w:r w:rsidR="00B80AB0">
        <w:t>MO</w:t>
      </w:r>
      <w:r w:rsidR="003D56AD">
        <w:t>DWPT</w:t>
      </w:r>
      <w:r w:rsidRPr="0076667B">
        <w:t>-LSTM. All models employ LSTM, implying its necessity for modeling time dependencies. </w:t>
      </w:r>
    </w:p>
    <w:p w14:paraId="46E4FDC6" w14:textId="57FB71D4" w:rsidR="0076667B" w:rsidRDefault="0076667B" w:rsidP="00B9181C">
      <w:pPr>
        <w:pStyle w:val="Paragraph"/>
      </w:pPr>
      <w:r w:rsidRPr="0076667B">
        <w:t xml:space="preserve">The framework </w:t>
      </w:r>
      <w:r w:rsidR="008B6BBC">
        <w:t>of MODWPT</w:t>
      </w:r>
      <w:r w:rsidR="008B6BBC" w:rsidRPr="0076667B">
        <w:t xml:space="preserve">-CNN-LSTM-MLP </w:t>
      </w:r>
      <w:r w:rsidRPr="0076667B">
        <w:t>is detailed</w:t>
      </w:r>
      <w:r w:rsidR="00FC318F">
        <w:t xml:space="preserve"> as follows.</w:t>
      </w:r>
      <w:r w:rsidRPr="0076667B">
        <w:t> </w:t>
      </w:r>
      <w:r w:rsidR="00FC318F" w:rsidRPr="00FC318F">
        <w:t xml:space="preserve">The current study employs only </w:t>
      </w:r>
      <w:r w:rsidR="00FF04FD">
        <w:t>GHI</w:t>
      </w:r>
      <w:r w:rsidR="00813DAE">
        <w:t xml:space="preserve"> time series data</w:t>
      </w:r>
      <w:r w:rsidR="00FC318F" w:rsidRPr="00FC318F">
        <w:t xml:space="preserve">. 80% of the total dataset was </w:t>
      </w:r>
      <w:r w:rsidR="002F66F8">
        <w:t>employed</w:t>
      </w:r>
      <w:r w:rsidR="00FC318F" w:rsidRPr="00FC318F">
        <w:t xml:space="preserve"> for training </w:t>
      </w:r>
      <w:r w:rsidR="002F66F8">
        <w:t>and</w:t>
      </w:r>
      <w:r w:rsidR="00FC318F" w:rsidRPr="00FC318F">
        <w:t xml:space="preserve"> the testing data comprises of 20% remaining data. The solar irradiance data is split into eight sub-series using</w:t>
      </w:r>
      <w:r w:rsidR="002F42A4">
        <w:t xml:space="preserve"> MODWPT through</w:t>
      </w:r>
      <w:r w:rsidR="00FC318F" w:rsidRPr="00FC318F">
        <w:t xml:space="preserve"> the time based à trous filter algorithm [</w:t>
      </w:r>
      <w:r w:rsidR="0034214B">
        <w:t>16</w:t>
      </w:r>
      <w:r w:rsidR="00FC318F" w:rsidRPr="00FC318F">
        <w:t>]. Each subseries</w:t>
      </w:r>
      <w:r w:rsidR="00D45084">
        <w:t xml:space="preserve"> after being standardized</w:t>
      </w:r>
      <w:r w:rsidR="00FC318F" w:rsidRPr="00FC318F">
        <w:t xml:space="preserve"> is served as input to train a hybrid </w:t>
      </w:r>
      <w:r w:rsidR="002F42A4">
        <w:t>DL</w:t>
      </w:r>
      <w:r w:rsidR="00FC318F" w:rsidRPr="00FC318F">
        <w:t xml:space="preserve"> model. The latter </w:t>
      </w:r>
      <w:r w:rsidR="002F42A4">
        <w:t>DL</w:t>
      </w:r>
      <w:r w:rsidR="00FC318F" w:rsidRPr="00FC318F">
        <w:t xml:space="preserve"> architecture employs 1D-CNN layer with 128 filters of size 5. After convolution, the output is then transferred to LSTM layers</w:t>
      </w:r>
      <w:r w:rsidR="003A0E68">
        <w:t xml:space="preserve"> with batch size 32</w:t>
      </w:r>
      <w:r w:rsidR="00FC318F" w:rsidRPr="00FC318F">
        <w:t>. The optimizer employed was Adam and dropout layers</w:t>
      </w:r>
      <w:r w:rsidR="003A0E68">
        <w:t xml:space="preserve"> with rate 0.2</w:t>
      </w:r>
      <w:r w:rsidR="00FC318F" w:rsidRPr="00FC318F">
        <w:t xml:space="preserve"> were applied to prevent overfitting. Finally, the MLP layers consisted to 3 fully connected layers with 20, 10 and 5 neurons, respectively. Learning process took around 200 epochs to be</w:t>
      </w:r>
      <w:r w:rsidR="002F42A4">
        <w:t>come</w:t>
      </w:r>
      <w:r w:rsidR="00FC318F" w:rsidRPr="00FC318F">
        <w:t xml:space="preserve"> stable. The outputs of each of the networks are then reconstructed </w:t>
      </w:r>
      <w:r w:rsidR="00FC318F" w:rsidRPr="00FC318F">
        <w:lastRenderedPageBreak/>
        <w:t>to obtain a final solar irradiance prediction.</w:t>
      </w:r>
      <w:r w:rsidR="00B9181C">
        <w:t xml:space="preserve"> Figure 1 shows the forecasting framework of MODWPT</w:t>
      </w:r>
      <w:r w:rsidR="00B9181C" w:rsidRPr="0076667B">
        <w:t>-CNN-LSTM-MLP</w:t>
      </w:r>
      <w:r w:rsidR="00B9181C">
        <w:t>.</w:t>
      </w:r>
    </w:p>
    <w:p w14:paraId="20812696" w14:textId="77777777" w:rsidR="00693571" w:rsidRDefault="00693571" w:rsidP="000A27BA">
      <w:pPr>
        <w:pStyle w:val="Paragraph"/>
        <w:ind w:firstLine="0"/>
      </w:pPr>
    </w:p>
    <w:p w14:paraId="232BF7FC" w14:textId="7617A0D9" w:rsidR="00E94606" w:rsidRDefault="00E94606" w:rsidP="00E94606">
      <w:pPr>
        <w:pStyle w:val="Paragraph"/>
        <w:jc w:val="center"/>
      </w:pPr>
      <w:r>
        <w:rPr>
          <w:noProof/>
          <w:lang w:val="fr-FR" w:eastAsia="fr-FR"/>
        </w:rPr>
        <w:drawing>
          <wp:inline distT="0" distB="0" distL="0" distR="0" wp14:anchorId="57EC8AD5" wp14:editId="5522A6C6">
            <wp:extent cx="2840945" cy="4678680"/>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1942" cy="4729729"/>
                    </a:xfrm>
                    <a:prstGeom prst="rect">
                      <a:avLst/>
                    </a:prstGeom>
                  </pic:spPr>
                </pic:pic>
              </a:graphicData>
            </a:graphic>
          </wp:inline>
        </w:drawing>
      </w:r>
    </w:p>
    <w:p w14:paraId="2004D099" w14:textId="03BFE558" w:rsidR="004F5CD6" w:rsidRPr="000A27BA" w:rsidRDefault="00E94606" w:rsidP="004F5CD6">
      <w:pPr>
        <w:pStyle w:val="Paragraph"/>
        <w:jc w:val="center"/>
        <w:rPr>
          <w:sz w:val="18"/>
          <w:szCs w:val="18"/>
        </w:rPr>
      </w:pPr>
      <w:r w:rsidRPr="000A27BA">
        <w:rPr>
          <w:b/>
          <w:caps/>
          <w:sz w:val="18"/>
          <w:szCs w:val="18"/>
        </w:rPr>
        <w:t>Figure 1.</w:t>
      </w:r>
      <w:r w:rsidRPr="000A27BA">
        <w:rPr>
          <w:sz w:val="18"/>
          <w:szCs w:val="18"/>
        </w:rPr>
        <w:t xml:space="preserve"> Forecasting framework of MODWPT-CNN-LSTM-MLP</w:t>
      </w:r>
    </w:p>
    <w:p w14:paraId="6F3FF244" w14:textId="4ECA3821" w:rsidR="0076667B" w:rsidRPr="0076667B" w:rsidRDefault="003D56AD" w:rsidP="0076667B">
      <w:pPr>
        <w:pStyle w:val="Heading2"/>
      </w:pPr>
      <w:r>
        <w:t xml:space="preserve">Maximal </w:t>
      </w:r>
      <w:r w:rsidR="000A27BA">
        <w:t>O</w:t>
      </w:r>
      <w:r w:rsidR="000A27BA" w:rsidRPr="00516E58">
        <w:t>verlap</w:t>
      </w:r>
      <w:r w:rsidR="000A27BA">
        <w:t xml:space="preserve"> Discrete</w:t>
      </w:r>
      <w:r w:rsidR="000A27BA" w:rsidRPr="00516E58">
        <w:t xml:space="preserve"> </w:t>
      </w:r>
      <w:r w:rsidR="000A27BA">
        <w:t>W</w:t>
      </w:r>
      <w:r w:rsidR="000A27BA" w:rsidRPr="0076667B">
        <w:t xml:space="preserve">avelet Packet </w:t>
      </w:r>
      <w:r w:rsidR="000A27BA">
        <w:t>Transform</w:t>
      </w:r>
    </w:p>
    <w:p w14:paraId="033E1DD5" w14:textId="22D50803" w:rsidR="0076667B" w:rsidRPr="00DE115D" w:rsidRDefault="00996F9E" w:rsidP="00D31A86">
      <w:pPr>
        <w:pStyle w:val="Paragraph"/>
      </w:pPr>
      <w:r>
        <w:t>WPT</w:t>
      </w:r>
      <w:r w:rsidR="00DE115D">
        <w:t xml:space="preserve"> is a special </w:t>
      </w:r>
      <w:r w:rsidR="00E8361F">
        <w:t>var</w:t>
      </w:r>
      <w:r w:rsidR="00ED3530">
        <w:t>iant</w:t>
      </w:r>
      <w:r w:rsidR="00DE115D">
        <w:t xml:space="preserve"> of wavelet transform </w:t>
      </w:r>
      <w:r w:rsidR="00ED3530">
        <w:t>that</w:t>
      </w:r>
      <w:r w:rsidR="00DE115D" w:rsidRPr="00DE115D">
        <w:t xml:space="preserve"> </w:t>
      </w:r>
      <w:r w:rsidR="0076667B" w:rsidRPr="00DE115D">
        <w:t>refrains from discarding any high-frequency information, resulting in an improved and rigorous signal proces</w:t>
      </w:r>
      <w:r w:rsidR="00422E04" w:rsidRPr="00DE115D">
        <w:t xml:space="preserve">sing </w:t>
      </w:r>
      <w:r w:rsidR="0076667B" w:rsidRPr="00DE115D">
        <w:t>[</w:t>
      </w:r>
      <w:r w:rsidR="0034214B">
        <w:t>17</w:t>
      </w:r>
      <w:r w:rsidR="0076667B" w:rsidRPr="00DE115D">
        <w:t xml:space="preserve">]. </w:t>
      </w:r>
      <w:r w:rsidR="00D31A86" w:rsidRPr="003A7086">
        <w:t>MODWPT</w:t>
      </w:r>
      <w:r w:rsidR="00D31A86">
        <w:t xml:space="preserve"> </w:t>
      </w:r>
      <w:r w:rsidR="00D31A86" w:rsidRPr="003A7086">
        <w:t xml:space="preserve">is a special type of WPT </w:t>
      </w:r>
      <w:r w:rsidR="00D31A86">
        <w:t>which is non-decimated, thus</w:t>
      </w:r>
      <w:r w:rsidR="00D31A86" w:rsidRPr="003A7086">
        <w:t xml:space="preserve"> ensuring that each level of decomposition retains the same number of wavelet coefficients. Additionally, MODWPT conserves energy </w:t>
      </w:r>
      <w:r w:rsidR="00D31A86">
        <w:t>of the signal. E</w:t>
      </w:r>
      <w:r w:rsidR="00E0724E">
        <w:t xml:space="preserve">quations (1), </w:t>
      </w:r>
      <w:r w:rsidR="005D1E48">
        <w:t>(2)</w:t>
      </w:r>
      <w:r w:rsidR="00E0724E">
        <w:t xml:space="preserve"> and (3)</w:t>
      </w:r>
      <w:r w:rsidR="00A60540">
        <w:t xml:space="preserve"> are employed</w:t>
      </w:r>
      <w:r w:rsidR="005D1E48" w:rsidRPr="005D1E48">
        <w:t xml:space="preserve">, where </w:t>
      </w:r>
      <m:oMath>
        <m:r>
          <w:rPr>
            <w:rFonts w:ascii="Cambria Math" w:hAnsi="Cambria Math"/>
          </w:rPr>
          <m:t>u</m:t>
        </m:r>
      </m:oMath>
      <w:r w:rsidR="005D1E48" w:rsidRPr="005D1E48">
        <w:t xml:space="preserve"> represents the wavelet packet, </w:t>
      </w:r>
      <m:oMath>
        <m:r>
          <w:rPr>
            <w:rFonts w:ascii="Cambria Math" w:hAnsi="Cambria Math"/>
          </w:rPr>
          <m:t>h</m:t>
        </m:r>
      </m:oMath>
      <w:r w:rsidR="005D1E48" w:rsidRPr="005D1E48">
        <w:t xml:space="preserve"> symbolize the low-pass filter, </w:t>
      </w:r>
      <m:oMath>
        <m:r>
          <w:rPr>
            <w:rFonts w:ascii="Cambria Math" w:hAnsi="Cambria Math"/>
          </w:rPr>
          <m:t>g</m:t>
        </m:r>
      </m:oMath>
      <w:r w:rsidR="005D1E48" w:rsidRPr="005D1E48">
        <w:t xml:space="preserve"> represent the high-pass filter</w:t>
      </w:r>
      <w:r w:rsidR="00E0724E">
        <w:t xml:space="preserve"> and </w:t>
      </w:r>
      <m:oMath>
        <m:r>
          <w:rPr>
            <w:rFonts w:ascii="Cambria Math" w:hAnsi="Cambria Math"/>
          </w:rPr>
          <m:t>k∈Z</m:t>
        </m:r>
      </m:oMath>
      <w:r w:rsidR="00E0724E">
        <w:t xml:space="preserve"> being the depth.</w:t>
      </w:r>
      <w:r w:rsidR="00E0724E">
        <w:rPr>
          <w:sz w:val="24"/>
        </w:rPr>
        <w:t xml:space="preserve"> </w:t>
      </w:r>
      <w:r w:rsidR="00A60540" w:rsidRPr="00A60540">
        <w:t xml:space="preserve">The algorithm for implementing MODWPT’s is available in </w:t>
      </w:r>
      <w:r w:rsidR="00A60540">
        <w:t>[</w:t>
      </w:r>
      <w:r w:rsidR="0034214B">
        <w:t>18</w:t>
      </w:r>
      <w:r w:rsidR="00A60540">
        <w:t xml:space="preserve">] </w:t>
      </w:r>
      <w:r w:rsidR="00A60540" w:rsidRPr="00A60540">
        <w:t>and</w:t>
      </w:r>
      <w:r w:rsidR="00A60540">
        <w:t xml:space="preserve"> [</w:t>
      </w:r>
      <w:r w:rsidR="0034214B">
        <w:t>19</w:t>
      </w:r>
      <w:r w:rsidR="00A60540">
        <w:t>]</w:t>
      </w:r>
      <w:r w:rsidR="00A60540" w:rsidRPr="00A60540">
        <w:t>.</w:t>
      </w:r>
    </w:p>
    <w:p w14:paraId="010B2310" w14:textId="77777777" w:rsidR="0076667B" w:rsidRPr="00842C66" w:rsidRDefault="0076667B" w:rsidP="0076667B">
      <w:pPr>
        <w:pStyle w:val="Paragraph"/>
        <w:rPr>
          <w:highlight w:val="yellow"/>
        </w:rPr>
      </w:pPr>
    </w:p>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8"/>
        <w:gridCol w:w="453"/>
      </w:tblGrid>
      <w:tr w:rsidR="00361B87" w:rsidRPr="008F43AF" w14:paraId="20CC9F73" w14:textId="77777777" w:rsidTr="00E0724E">
        <w:trPr>
          <w:jc w:val="center"/>
        </w:trPr>
        <w:tc>
          <w:tcPr>
            <w:tcW w:w="8898" w:type="dxa"/>
          </w:tcPr>
          <w:p w14:paraId="049C9043" w14:textId="65FA7639" w:rsidR="00361B87" w:rsidRPr="00E869E3" w:rsidRDefault="00000000" w:rsidP="0013242F">
            <w:pPr>
              <w:spacing w:line="360" w:lineRule="auto"/>
              <w:jc w:val="both"/>
              <w:rPr>
                <w:i/>
                <w:sz w:val="20"/>
              </w:rPr>
            </w:pPr>
            <m:oMathPara>
              <m:oMath>
                <m:sSub>
                  <m:sSubPr>
                    <m:ctrlPr>
                      <w:rPr>
                        <w:rFonts w:ascii="Cambria Math" w:hAnsi="Cambria Math"/>
                        <w:i/>
                        <w:sz w:val="20"/>
                      </w:rPr>
                    </m:ctrlPr>
                  </m:sSubPr>
                  <m:e>
                    <m:r>
                      <w:rPr>
                        <w:rFonts w:ascii="Cambria Math" w:hAnsi="Cambria Math"/>
                        <w:sz w:val="20"/>
                      </w:rPr>
                      <m:t>u</m:t>
                    </m:r>
                  </m:e>
                  <m:sub>
                    <m:r>
                      <w:rPr>
                        <w:rFonts w:ascii="Cambria Math" w:hAnsi="Cambria Math"/>
                        <w:sz w:val="20"/>
                      </w:rPr>
                      <m:t>2n</m:t>
                    </m:r>
                  </m:sub>
                </m:sSub>
                <m:d>
                  <m:dPr>
                    <m:ctrlPr>
                      <w:rPr>
                        <w:rFonts w:ascii="Cambria Math" w:hAnsi="Cambria Math"/>
                        <w:i/>
                        <w:sz w:val="20"/>
                      </w:rPr>
                    </m:ctrlPr>
                  </m:dPr>
                  <m:e>
                    <m:r>
                      <w:rPr>
                        <w:rFonts w:ascii="Cambria Math" w:hAnsi="Cambria Math"/>
                        <w:sz w:val="20"/>
                      </w:rPr>
                      <m:t>t</m:t>
                    </m:r>
                  </m:e>
                </m: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 xml:space="preserve">2 </m:t>
                    </m:r>
                  </m:e>
                </m:rad>
                <m:r>
                  <w:rPr>
                    <w:rFonts w:ascii="Cambria Math" w:hAnsi="Cambria Math"/>
                    <w:sz w:val="20"/>
                  </w:rPr>
                  <m:t xml:space="preserve"> </m:t>
                </m:r>
                <m:nary>
                  <m:naryPr>
                    <m:chr m:val="∑"/>
                    <m:limLoc m:val="subSup"/>
                    <m:supHide m:val="1"/>
                    <m:ctrlPr>
                      <w:rPr>
                        <w:rFonts w:ascii="Cambria Math" w:hAnsi="Cambria Math"/>
                        <w:i/>
                        <w:sz w:val="20"/>
                      </w:rPr>
                    </m:ctrlPr>
                  </m:naryPr>
                  <m:sub>
                    <m:r>
                      <w:rPr>
                        <w:rFonts w:ascii="Cambria Math" w:hAnsi="Cambria Math"/>
                        <w:sz w:val="20"/>
                      </w:rPr>
                      <m:t>k</m:t>
                    </m:r>
                  </m:sub>
                  <m:sup/>
                  <m:e>
                    <m:sSub>
                      <m:sSubPr>
                        <m:ctrlPr>
                          <w:rPr>
                            <w:rFonts w:ascii="Cambria Math" w:hAnsi="Cambria Math"/>
                            <w:i/>
                            <w:sz w:val="20"/>
                          </w:rPr>
                        </m:ctrlPr>
                      </m:sSubPr>
                      <m:e>
                        <m:r>
                          <w:rPr>
                            <w:rFonts w:ascii="Cambria Math" w:hAnsi="Cambria Math"/>
                            <w:sz w:val="20"/>
                          </w:rPr>
                          <m:t>h</m:t>
                        </m:r>
                      </m:e>
                      <m:sub>
                        <m:r>
                          <w:rPr>
                            <w:rFonts w:ascii="Cambria Math" w:hAnsi="Cambria Math"/>
                            <w:sz w:val="20"/>
                          </w:rPr>
                          <m:t>k</m:t>
                        </m:r>
                      </m:sub>
                    </m:sSub>
                    <m:r>
                      <w:rPr>
                        <w:rFonts w:ascii="Cambria Math" w:hAnsi="Cambria Math"/>
                        <w:sz w:val="20"/>
                      </w:rPr>
                      <m:t>u(2t-k)</m:t>
                    </m:r>
                  </m:e>
                </m:nary>
              </m:oMath>
            </m:oMathPara>
          </w:p>
        </w:tc>
        <w:tc>
          <w:tcPr>
            <w:tcW w:w="453" w:type="dxa"/>
          </w:tcPr>
          <w:p w14:paraId="74D16996" w14:textId="4B479BAB" w:rsidR="00361B87" w:rsidRPr="008F43AF" w:rsidRDefault="00361B87" w:rsidP="0063115B">
            <w:pPr>
              <w:spacing w:line="360" w:lineRule="auto"/>
              <w:rPr>
                <w:sz w:val="20"/>
              </w:rPr>
            </w:pPr>
            <w:r>
              <w:rPr>
                <w:sz w:val="20"/>
              </w:rPr>
              <w:t>(1</w:t>
            </w:r>
            <w:r w:rsidRPr="008F43AF">
              <w:rPr>
                <w:sz w:val="20"/>
              </w:rPr>
              <w:t>)</w:t>
            </w:r>
          </w:p>
        </w:tc>
      </w:tr>
      <w:tr w:rsidR="00361B87" w:rsidRPr="008F43AF" w14:paraId="206F98D3" w14:textId="77777777" w:rsidTr="00E0724E">
        <w:tblPrEx>
          <w:jc w:val="left"/>
        </w:tblPrEx>
        <w:tc>
          <w:tcPr>
            <w:tcW w:w="8898" w:type="dxa"/>
          </w:tcPr>
          <w:p w14:paraId="650DBBD8" w14:textId="282B1643" w:rsidR="00361B87" w:rsidRPr="00E869E3" w:rsidRDefault="00000000" w:rsidP="0013242F">
            <w:pPr>
              <w:spacing w:line="360" w:lineRule="auto"/>
              <w:jc w:val="both"/>
              <w:rPr>
                <w:i/>
                <w:sz w:val="20"/>
              </w:rPr>
            </w:pPr>
            <m:oMathPara>
              <m:oMath>
                <m:sSub>
                  <m:sSubPr>
                    <m:ctrlPr>
                      <w:rPr>
                        <w:rFonts w:ascii="Cambria Math" w:hAnsi="Cambria Math"/>
                        <w:i/>
                        <w:sz w:val="20"/>
                      </w:rPr>
                    </m:ctrlPr>
                  </m:sSubPr>
                  <m:e>
                    <m:r>
                      <w:rPr>
                        <w:rFonts w:ascii="Cambria Math" w:hAnsi="Cambria Math"/>
                        <w:sz w:val="20"/>
                      </w:rPr>
                      <m:t>u</m:t>
                    </m:r>
                  </m:e>
                  <m:sub>
                    <m:r>
                      <w:rPr>
                        <w:rFonts w:ascii="Cambria Math" w:hAnsi="Cambria Math"/>
                        <w:sz w:val="20"/>
                      </w:rPr>
                      <m:t>2n+1</m:t>
                    </m:r>
                  </m:sub>
                </m:sSub>
                <m:d>
                  <m:dPr>
                    <m:ctrlPr>
                      <w:rPr>
                        <w:rFonts w:ascii="Cambria Math" w:hAnsi="Cambria Math"/>
                        <w:i/>
                        <w:sz w:val="20"/>
                      </w:rPr>
                    </m:ctrlPr>
                  </m:dPr>
                  <m:e>
                    <m:r>
                      <w:rPr>
                        <w:rFonts w:ascii="Cambria Math" w:hAnsi="Cambria Math"/>
                        <w:sz w:val="20"/>
                      </w:rPr>
                      <m:t>t</m:t>
                    </m:r>
                  </m:e>
                </m: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 xml:space="preserve">2 </m:t>
                    </m:r>
                  </m:e>
                </m:rad>
                <m:r>
                  <w:rPr>
                    <w:rFonts w:ascii="Cambria Math" w:hAnsi="Cambria Math"/>
                    <w:sz w:val="20"/>
                  </w:rPr>
                  <m:t xml:space="preserve"> </m:t>
                </m:r>
                <m:nary>
                  <m:naryPr>
                    <m:chr m:val="∑"/>
                    <m:limLoc m:val="subSup"/>
                    <m:supHide m:val="1"/>
                    <m:ctrlPr>
                      <w:rPr>
                        <w:rFonts w:ascii="Cambria Math" w:hAnsi="Cambria Math"/>
                        <w:i/>
                        <w:sz w:val="20"/>
                      </w:rPr>
                    </m:ctrlPr>
                  </m:naryPr>
                  <m:sub>
                    <m:r>
                      <w:rPr>
                        <w:rFonts w:ascii="Cambria Math" w:hAnsi="Cambria Math"/>
                        <w:sz w:val="20"/>
                      </w:rPr>
                      <m:t>k</m:t>
                    </m:r>
                  </m:sub>
                  <m:sup/>
                  <m:e>
                    <m:sSub>
                      <m:sSubPr>
                        <m:ctrlPr>
                          <w:rPr>
                            <w:rFonts w:ascii="Cambria Math" w:hAnsi="Cambria Math"/>
                            <w:i/>
                            <w:sz w:val="20"/>
                          </w:rPr>
                        </m:ctrlPr>
                      </m:sSubPr>
                      <m:e>
                        <m:r>
                          <w:rPr>
                            <w:rFonts w:ascii="Cambria Math" w:hAnsi="Cambria Math"/>
                            <w:sz w:val="20"/>
                          </w:rPr>
                          <m:t>g</m:t>
                        </m:r>
                      </m:e>
                      <m:sub>
                        <m:r>
                          <w:rPr>
                            <w:rFonts w:ascii="Cambria Math" w:hAnsi="Cambria Math"/>
                            <w:sz w:val="20"/>
                          </w:rPr>
                          <m:t>k</m:t>
                        </m:r>
                      </m:sub>
                    </m:sSub>
                    <m:r>
                      <w:rPr>
                        <w:rFonts w:ascii="Cambria Math" w:hAnsi="Cambria Math"/>
                        <w:sz w:val="20"/>
                      </w:rPr>
                      <m:t>u(2t-k)</m:t>
                    </m:r>
                  </m:e>
                </m:nary>
              </m:oMath>
            </m:oMathPara>
          </w:p>
        </w:tc>
        <w:tc>
          <w:tcPr>
            <w:tcW w:w="453" w:type="dxa"/>
          </w:tcPr>
          <w:p w14:paraId="30E370EA" w14:textId="152BCDC2" w:rsidR="00361B87" w:rsidRPr="008F43AF" w:rsidRDefault="00361B87" w:rsidP="0063115B">
            <w:pPr>
              <w:spacing w:line="360" w:lineRule="auto"/>
              <w:rPr>
                <w:sz w:val="20"/>
              </w:rPr>
            </w:pPr>
            <w:r>
              <w:rPr>
                <w:sz w:val="20"/>
              </w:rPr>
              <w:t>(2</w:t>
            </w:r>
            <w:r w:rsidRPr="008F43AF">
              <w:rPr>
                <w:sz w:val="20"/>
              </w:rPr>
              <w:t>)</w:t>
            </w:r>
          </w:p>
        </w:tc>
      </w:tr>
      <w:tr w:rsidR="00BA7E4E" w:rsidRPr="008F43AF" w14:paraId="77BB5EDD" w14:textId="77777777" w:rsidTr="00E0724E">
        <w:tblPrEx>
          <w:jc w:val="left"/>
        </w:tblPrEx>
        <w:tc>
          <w:tcPr>
            <w:tcW w:w="8898" w:type="dxa"/>
          </w:tcPr>
          <w:p w14:paraId="58ED0A25" w14:textId="66B82372" w:rsidR="00BA7E4E" w:rsidRDefault="00000000" w:rsidP="002108B4">
            <w:pPr>
              <w:spacing w:line="360" w:lineRule="auto"/>
              <w:jc w:val="both"/>
              <w:rPr>
                <w:sz w:val="20"/>
              </w:rPr>
            </w:pPr>
            <m:oMathPara>
              <m:oMath>
                <m:sSub>
                  <m:sSubPr>
                    <m:ctrlPr>
                      <w:rPr>
                        <w:rFonts w:ascii="Cambria Math" w:hAnsi="Cambria Math"/>
                        <w:i/>
                        <w:sz w:val="20"/>
                      </w:rPr>
                    </m:ctrlPr>
                  </m:sSubPr>
                  <m:e>
                    <m:r>
                      <w:rPr>
                        <w:rFonts w:ascii="Cambria Math" w:hAnsi="Cambria Math"/>
                        <w:sz w:val="20"/>
                      </w:rPr>
                      <m:t>u</m:t>
                    </m:r>
                  </m:e>
                  <m:sub>
                    <m:r>
                      <w:rPr>
                        <w:rFonts w:ascii="Cambria Math" w:hAnsi="Cambria Math"/>
                        <w:sz w:val="20"/>
                      </w:rPr>
                      <m:t>n</m:t>
                    </m:r>
                  </m:sub>
                </m:sSub>
                <m:r>
                  <w:rPr>
                    <w:rFonts w:ascii="Cambria Math" w:hAnsi="Cambria Math"/>
                    <w:sz w:val="20"/>
                  </w:rPr>
                  <m:t xml:space="preserve">=2 </m:t>
                </m:r>
                <m:nary>
                  <m:naryPr>
                    <m:chr m:val="∑"/>
                    <m:limLoc m:val="subSup"/>
                    <m:supHide m:val="1"/>
                    <m:ctrlPr>
                      <w:rPr>
                        <w:rFonts w:ascii="Cambria Math" w:hAnsi="Cambria Math"/>
                        <w:i/>
                        <w:sz w:val="20"/>
                      </w:rPr>
                    </m:ctrlPr>
                  </m:naryPr>
                  <m:sub>
                    <m:r>
                      <w:rPr>
                        <w:rFonts w:ascii="Cambria Math" w:hAnsi="Cambria Math"/>
                        <w:sz w:val="20"/>
                      </w:rPr>
                      <m:t>k</m:t>
                    </m:r>
                  </m:sub>
                  <m:sup/>
                  <m:e>
                    <m:r>
                      <w:rPr>
                        <w:rFonts w:ascii="Cambria Math" w:hAnsi="Cambria Math"/>
                        <w:sz w:val="20"/>
                      </w:rPr>
                      <m:t>h(t-2k)</m:t>
                    </m:r>
                    <m:sSub>
                      <m:sSubPr>
                        <m:ctrlPr>
                          <w:rPr>
                            <w:rFonts w:ascii="Cambria Math" w:hAnsi="Cambria Math"/>
                            <w:i/>
                            <w:sz w:val="20"/>
                          </w:rPr>
                        </m:ctrlPr>
                      </m:sSubPr>
                      <m:e>
                        <m:r>
                          <w:rPr>
                            <w:rFonts w:ascii="Cambria Math" w:hAnsi="Cambria Math"/>
                            <w:sz w:val="20"/>
                          </w:rPr>
                          <m:t>u</m:t>
                        </m:r>
                      </m:e>
                      <m:sub>
                        <m:r>
                          <w:rPr>
                            <w:rFonts w:ascii="Cambria Math" w:hAnsi="Cambria Math"/>
                            <w:sz w:val="20"/>
                          </w:rPr>
                          <m:t>n</m:t>
                        </m:r>
                      </m:sub>
                    </m:sSub>
                    <m:r>
                      <w:rPr>
                        <w:rFonts w:ascii="Cambria Math" w:hAnsi="Cambria Math"/>
                        <w:sz w:val="20"/>
                      </w:rPr>
                      <m:t>(k)</m:t>
                    </m:r>
                  </m:e>
                </m:nary>
                <m:r>
                  <w:rPr>
                    <w:rFonts w:ascii="Cambria Math" w:hAnsi="Cambria Math"/>
                    <w:sz w:val="20"/>
                  </w:rPr>
                  <m:t xml:space="preserve">+2 </m:t>
                </m:r>
                <m:nary>
                  <m:naryPr>
                    <m:chr m:val="∑"/>
                    <m:limLoc m:val="subSup"/>
                    <m:supHide m:val="1"/>
                    <m:ctrlPr>
                      <w:rPr>
                        <w:rFonts w:ascii="Cambria Math" w:hAnsi="Cambria Math"/>
                        <w:i/>
                        <w:sz w:val="20"/>
                      </w:rPr>
                    </m:ctrlPr>
                  </m:naryPr>
                  <m:sub>
                    <m:r>
                      <w:rPr>
                        <w:rFonts w:ascii="Cambria Math" w:hAnsi="Cambria Math"/>
                        <w:sz w:val="20"/>
                      </w:rPr>
                      <m:t>k</m:t>
                    </m:r>
                  </m:sub>
                  <m:sup/>
                  <m:e>
                    <m:r>
                      <w:rPr>
                        <w:rFonts w:ascii="Cambria Math" w:hAnsi="Cambria Math"/>
                        <w:sz w:val="20"/>
                      </w:rPr>
                      <m:t>g(t-2k)</m:t>
                    </m:r>
                    <m:sSub>
                      <m:sSubPr>
                        <m:ctrlPr>
                          <w:rPr>
                            <w:rFonts w:ascii="Cambria Math" w:hAnsi="Cambria Math"/>
                            <w:i/>
                            <w:sz w:val="20"/>
                          </w:rPr>
                        </m:ctrlPr>
                      </m:sSubPr>
                      <m:e>
                        <m:r>
                          <w:rPr>
                            <w:rFonts w:ascii="Cambria Math" w:hAnsi="Cambria Math"/>
                            <w:sz w:val="20"/>
                          </w:rPr>
                          <m:t>u</m:t>
                        </m:r>
                      </m:e>
                      <m:sub>
                        <m:r>
                          <w:rPr>
                            <w:rFonts w:ascii="Cambria Math" w:hAnsi="Cambria Math"/>
                            <w:sz w:val="20"/>
                          </w:rPr>
                          <m:t>2n+1</m:t>
                        </m:r>
                      </m:sub>
                    </m:sSub>
                    <m:r>
                      <w:rPr>
                        <w:rFonts w:ascii="Cambria Math" w:hAnsi="Cambria Math"/>
                        <w:sz w:val="20"/>
                      </w:rPr>
                      <m:t>(k)</m:t>
                    </m:r>
                  </m:e>
                </m:nary>
              </m:oMath>
            </m:oMathPara>
          </w:p>
        </w:tc>
        <w:tc>
          <w:tcPr>
            <w:tcW w:w="453" w:type="dxa"/>
          </w:tcPr>
          <w:p w14:paraId="18AB1E70" w14:textId="7CDDD1EB" w:rsidR="00BA7E4E" w:rsidRDefault="00BA7E4E" w:rsidP="00BA7E4E">
            <w:pPr>
              <w:spacing w:line="360" w:lineRule="auto"/>
              <w:rPr>
                <w:sz w:val="20"/>
              </w:rPr>
            </w:pPr>
            <w:r>
              <w:rPr>
                <w:sz w:val="20"/>
              </w:rPr>
              <w:t>(</w:t>
            </w:r>
            <w:r w:rsidR="00E0724E">
              <w:rPr>
                <w:sz w:val="20"/>
              </w:rPr>
              <w:t>3</w:t>
            </w:r>
            <w:r w:rsidRPr="008F43AF">
              <w:rPr>
                <w:sz w:val="20"/>
              </w:rPr>
              <w:t>)</w:t>
            </w:r>
          </w:p>
        </w:tc>
      </w:tr>
    </w:tbl>
    <w:p w14:paraId="76A63BF7" w14:textId="103920D1" w:rsidR="0076667B" w:rsidRPr="0076667B" w:rsidRDefault="00BE7FCE" w:rsidP="0076667B">
      <w:pPr>
        <w:pStyle w:val="Heading2"/>
      </w:pPr>
      <w:r>
        <w:lastRenderedPageBreak/>
        <w:t>1D-</w:t>
      </w:r>
      <w:r w:rsidR="0076667B" w:rsidRPr="0076667B">
        <w:t xml:space="preserve">Convolutional </w:t>
      </w:r>
      <w:r w:rsidR="000A27BA" w:rsidRPr="0076667B">
        <w:t xml:space="preserve">Neural Network </w:t>
      </w:r>
      <w:r w:rsidR="0076667B" w:rsidRPr="0076667B">
        <w:t>(1D-CNN)</w:t>
      </w:r>
    </w:p>
    <w:p w14:paraId="3EDEE0E5" w14:textId="188ACCAA" w:rsidR="0076667B" w:rsidRPr="0076667B" w:rsidRDefault="00CD5B12" w:rsidP="0076667B">
      <w:pPr>
        <w:pStyle w:val="Paragraph"/>
      </w:pPr>
      <w:r w:rsidRPr="00CD5B12">
        <w:t xml:space="preserve">The CNN </w:t>
      </w:r>
      <w:r w:rsidR="009D3924">
        <w:t>consists</w:t>
      </w:r>
      <w:r w:rsidRPr="00CD5B12">
        <w:t xml:space="preserve"> of various layers and deals fundamentally with images as input. In this study a 1D-CNN is employed to deal with time series data. The first layer which is the 1D-convolutional layer which extract local feature from the input through a convolutional operation and subsequently applying a non-linear activation function to generate the output feature maps. Then a pooling layer is then employed </w:t>
      </w:r>
      <w:r w:rsidR="00F728D0">
        <w:t>for</w:t>
      </w:r>
      <w:r w:rsidRPr="00CD5B12">
        <w:t xml:space="preserve"> dimension</w:t>
      </w:r>
      <w:r w:rsidR="00F728D0">
        <w:t>ality reduction</w:t>
      </w:r>
      <w:r w:rsidRPr="00CD5B12">
        <w:t>. Finally, a fully connected layer perform a non-linear mapping to produce the final output.</w:t>
      </w:r>
      <w:r w:rsidR="0076667B" w:rsidRPr="0076667B">
        <w:t> </w:t>
      </w:r>
    </w:p>
    <w:p w14:paraId="076695AD" w14:textId="0856C791" w:rsidR="0076667B" w:rsidRPr="0076667B" w:rsidRDefault="0076667B" w:rsidP="0076667B">
      <w:pPr>
        <w:pStyle w:val="Heading2"/>
      </w:pPr>
      <w:r w:rsidRPr="0076667B">
        <w:t>Long</w:t>
      </w:r>
      <w:r w:rsidR="000A27BA" w:rsidRPr="0076667B">
        <w:t xml:space="preserve">-Short Term Memory Neural Network </w:t>
      </w:r>
      <w:r w:rsidRPr="0076667B">
        <w:t>(LSTM) </w:t>
      </w:r>
    </w:p>
    <w:p w14:paraId="3F337EA0" w14:textId="07756D5B" w:rsidR="0076667B" w:rsidRPr="0076667B" w:rsidRDefault="003D6E99" w:rsidP="0076667B">
      <w:pPr>
        <w:pStyle w:val="Paragraph"/>
      </w:pPr>
      <w:r w:rsidRPr="003D6E99">
        <w:t>LSTM is a variant of the Recurrent Neural Network (RNN)</w:t>
      </w:r>
      <w:r w:rsidR="00E868F9">
        <w:t xml:space="preserve"> which was</w:t>
      </w:r>
      <w:r w:rsidRPr="003D6E99">
        <w:t xml:space="preserve"> </w:t>
      </w:r>
      <w:r w:rsidR="00E868F9" w:rsidRPr="003D6E99">
        <w:t xml:space="preserve">designed to overcome the vanishing and exploding gradient problems </w:t>
      </w:r>
      <w:r w:rsidRPr="003D6E99">
        <w:t>[</w:t>
      </w:r>
      <w:r w:rsidR="0034214B">
        <w:t>20</w:t>
      </w:r>
      <w:r w:rsidRPr="003D6E99">
        <w:t xml:space="preserve">]. This is achieved through a gating mechanism, comprising an input gate, a forget gate, and an output gate, which </w:t>
      </w:r>
      <w:r w:rsidR="00E868F9">
        <w:t>regulates</w:t>
      </w:r>
      <w:r w:rsidRPr="003D6E99">
        <w:t xml:space="preserve"> the flow of </w:t>
      </w:r>
      <w:r w:rsidR="00E868F9">
        <w:t>data</w:t>
      </w:r>
      <w:r w:rsidRPr="003D6E99">
        <w:t xml:space="preserve"> within a memory cell. This </w:t>
      </w:r>
      <w:r w:rsidR="00E868F9">
        <w:t>allows</w:t>
      </w:r>
      <w:r w:rsidRPr="003D6E99">
        <w:t xml:space="preserve"> the LSTM to selectively retain </w:t>
      </w:r>
      <w:r w:rsidR="00E868F9">
        <w:t>key</w:t>
      </w:r>
      <w:r w:rsidRPr="003D6E99">
        <w:t xml:space="preserve"> information over </w:t>
      </w:r>
      <w:r w:rsidR="00172F1D">
        <w:t>time</w:t>
      </w:r>
      <w:r w:rsidRPr="003D6E99">
        <w:t xml:space="preserve">, thereby effectively modeling long-range dependencies in temporal data </w:t>
      </w:r>
      <w:r w:rsidR="00172F1D">
        <w:t xml:space="preserve">while maintaining </w:t>
      </w:r>
      <w:r w:rsidR="00172F1D" w:rsidRPr="00172F1D">
        <w:t xml:space="preserve">a constant error rate </w:t>
      </w:r>
      <w:r w:rsidRPr="003D6E99">
        <w:t>[</w:t>
      </w:r>
      <w:r w:rsidR="0034214B">
        <w:t>21</w:t>
      </w:r>
      <w:r w:rsidRPr="003D6E99">
        <w:t>].</w:t>
      </w:r>
      <w:r>
        <w:t xml:space="preserve"> </w:t>
      </w:r>
    </w:p>
    <w:p w14:paraId="358DA820" w14:textId="789B81CA" w:rsidR="0076667B" w:rsidRPr="0076667B" w:rsidRDefault="0076667B" w:rsidP="0076667B">
      <w:pPr>
        <w:pStyle w:val="Heading2"/>
      </w:pPr>
      <w:r w:rsidRPr="0076667B">
        <w:t>Multi</w:t>
      </w:r>
      <w:r w:rsidR="000A27BA" w:rsidRPr="0076667B">
        <w:t xml:space="preserve">-Layer Perceptron </w:t>
      </w:r>
      <w:r w:rsidRPr="0076667B">
        <w:t>(MLP)</w:t>
      </w:r>
    </w:p>
    <w:p w14:paraId="08F2F825" w14:textId="1B9722AE" w:rsidR="0076667B" w:rsidRDefault="00FD07BC" w:rsidP="0076667B">
      <w:pPr>
        <w:pStyle w:val="Paragraph"/>
      </w:pPr>
      <w:r w:rsidRPr="00FD07BC">
        <w:t>MLP is a feedforwar</w:t>
      </w:r>
      <w:r w:rsidR="003E469E">
        <w:t>d artificial neural network</w:t>
      </w:r>
      <w:r w:rsidRPr="00FD07BC">
        <w:t xml:space="preserve"> consisting of one or more hidden layers. MLP is a strong tool that serves as a function approximator connecting the input and output, allowing non-linear modeling of complicated problems that are beyond the capacity of a single layer neural network. However, when increasing the number of nodes, the network wi</w:t>
      </w:r>
      <w:r w:rsidR="003E469E">
        <w:t>ll be more likely to overfit [</w:t>
      </w:r>
      <w:r w:rsidR="0034214B">
        <w:t>22</w:t>
      </w:r>
      <w:r w:rsidRPr="00FD07BC">
        <w:t>].</w:t>
      </w:r>
      <w:r w:rsidR="0076667B" w:rsidRPr="0076667B">
        <w:t> </w:t>
      </w:r>
    </w:p>
    <w:p w14:paraId="06D21744" w14:textId="6F212731" w:rsidR="0076667B" w:rsidRPr="0076667B" w:rsidRDefault="0076667B" w:rsidP="0076667B">
      <w:pPr>
        <w:pStyle w:val="Heading1"/>
      </w:pPr>
      <w:r w:rsidRPr="0076667B">
        <w:t>Performance Evaluation</w:t>
      </w:r>
    </w:p>
    <w:p w14:paraId="0B5801F5" w14:textId="63483B39" w:rsidR="0076667B" w:rsidRPr="0076667B" w:rsidRDefault="001C252E" w:rsidP="0076667B">
      <w:pPr>
        <w:pStyle w:val="Paragraph"/>
      </w:pPr>
      <w:r>
        <w:t>Mean Absolute Error</w:t>
      </w:r>
      <w:r w:rsidR="0076667B" w:rsidRPr="0076667B">
        <w:t xml:space="preserve"> (MAE</w:t>
      </w:r>
      <w:r>
        <w:t>)</w:t>
      </w:r>
      <w:r w:rsidR="0076667B" w:rsidRPr="0076667B">
        <w:t xml:space="preserve">, </w:t>
      </w:r>
      <w:r>
        <w:t>Mean Bias Error</w:t>
      </w:r>
      <w:r w:rsidRPr="0076667B">
        <w:t xml:space="preserve"> </w:t>
      </w:r>
      <w:r>
        <w:t>(</w:t>
      </w:r>
      <w:r w:rsidR="0076667B" w:rsidRPr="0076667B">
        <w:t>MBE</w:t>
      </w:r>
      <w:r>
        <w:t>)</w:t>
      </w:r>
      <w:r w:rsidR="0076667B" w:rsidRPr="0076667B">
        <w:t xml:space="preserve">, </w:t>
      </w:r>
      <w:r>
        <w:t>Root Mean Square Error (</w:t>
      </w:r>
      <w:r w:rsidR="0076667B" w:rsidRPr="0076667B">
        <w:t>RMSE) and the coefficient of determination (R²) are employed</w:t>
      </w:r>
      <w:r>
        <w:t xml:space="preserve"> t</w:t>
      </w:r>
      <w:r w:rsidRPr="0076667B">
        <w:t>o evaluate performance of the models</w:t>
      </w:r>
      <w:r w:rsidR="0076667B" w:rsidRPr="0076667B">
        <w:t xml:space="preserve">. These statistics measure the accuracy of the solar irradiance forecasts against the actual recorded data. </w:t>
      </w:r>
      <w:r w:rsidR="008639FC">
        <w:t>With</w:t>
      </w:r>
      <m:oMath>
        <m:r>
          <w:rPr>
            <w:rFonts w:ascii="Cambria Math" w:hAnsi="Cambria Math"/>
          </w:rPr>
          <m:t xml:space="preserve"> y</m:t>
        </m:r>
      </m:oMath>
      <w:r w:rsidR="008639FC" w:rsidRPr="008639FC">
        <w:t xml:space="preserve"> </w:t>
      </w:r>
      <w:r w:rsidR="008639FC">
        <w:t>being</w:t>
      </w:r>
      <w:r w:rsidR="008639FC" w:rsidRPr="008639FC">
        <w:t xml:space="preserve"> the actual </w:t>
      </w:r>
      <w:r w:rsidR="008639FC">
        <w:t>irradiance</w:t>
      </w:r>
      <w:r w:rsidR="008639FC" w:rsidRPr="008639FC">
        <w:t xml:space="preserve"> data and </w:t>
      </w:r>
      <m:oMath>
        <m:acc>
          <m:accPr>
            <m:ctrlPr>
              <w:rPr>
                <w:rFonts w:ascii="Cambria Math" w:hAnsi="Cambria Math"/>
                <w:i/>
              </w:rPr>
            </m:ctrlPr>
          </m:accPr>
          <m:e>
            <m:r>
              <w:rPr>
                <w:rFonts w:ascii="Cambria Math" w:hAnsi="Cambria Math"/>
              </w:rPr>
              <m:t>y</m:t>
            </m:r>
          </m:e>
        </m:acc>
      </m:oMath>
      <w:r w:rsidR="008639FC" w:rsidRPr="008639FC">
        <w:t xml:space="preserve"> is the </w:t>
      </w:r>
      <w:r w:rsidR="008639FC">
        <w:t xml:space="preserve">predicted irradiance, the </w:t>
      </w:r>
      <w:r w:rsidR="0076667B" w:rsidRPr="0076667B">
        <w:t>metrics are computed as follows: </w:t>
      </w:r>
    </w:p>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8"/>
        <w:gridCol w:w="453"/>
      </w:tblGrid>
      <w:tr w:rsidR="008F43AF" w:rsidRPr="00E869E3" w14:paraId="09394B51" w14:textId="77777777" w:rsidTr="008F43AF">
        <w:trPr>
          <w:jc w:val="center"/>
        </w:trPr>
        <w:tc>
          <w:tcPr>
            <w:tcW w:w="8898" w:type="dxa"/>
          </w:tcPr>
          <w:p w14:paraId="22C97D87" w14:textId="77777777" w:rsidR="008F43AF" w:rsidRPr="00E869E3" w:rsidRDefault="008F43AF" w:rsidP="00285F4C">
            <w:pPr>
              <w:spacing w:line="360" w:lineRule="auto"/>
              <w:jc w:val="both"/>
              <w:rPr>
                <w:i/>
                <w:sz w:val="20"/>
              </w:rPr>
            </w:pPr>
            <m:oMathPara>
              <m:oMath>
                <m:r>
                  <w:rPr>
                    <w:rFonts w:ascii="Cambria Math" w:hAnsi="Cambria Math"/>
                    <w:sz w:val="20"/>
                  </w:rPr>
                  <m:t xml:space="preserve">MAE= </m:t>
                </m:r>
                <m:f>
                  <m:fPr>
                    <m:ctrlPr>
                      <w:rPr>
                        <w:rFonts w:ascii="Cambria Math" w:hAnsi="Cambria Math"/>
                        <w:i/>
                        <w:sz w:val="20"/>
                      </w:rPr>
                    </m:ctrlPr>
                  </m:fPr>
                  <m:num>
                    <m:r>
                      <w:rPr>
                        <w:rFonts w:ascii="Cambria Math" w:hAnsi="Cambria Math"/>
                        <w:sz w:val="20"/>
                      </w:rPr>
                      <m:t>1</m:t>
                    </m:r>
                  </m:num>
                  <m:den>
                    <m:r>
                      <w:rPr>
                        <w:rFonts w:ascii="Cambria Math" w:hAnsi="Cambria Math"/>
                        <w:sz w:val="20"/>
                      </w:rPr>
                      <m:t>N</m:t>
                    </m:r>
                  </m:den>
                </m:f>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N</m:t>
                    </m:r>
                  </m:sup>
                  <m:e>
                    <m:d>
                      <m:dPr>
                        <m:begChr m:val="|"/>
                        <m:endChr m:val="|"/>
                        <m:ctrlPr>
                          <w:rPr>
                            <w:rFonts w:ascii="Cambria Math" w:hAnsi="Cambria Math"/>
                            <w:i/>
                            <w:sz w:val="20"/>
                          </w:rPr>
                        </m:ctrlPr>
                      </m:dPr>
                      <m:e>
                        <m:r>
                          <w:rPr>
                            <w:rFonts w:ascii="Cambria Math" w:hAnsi="Cambria Math"/>
                            <w:sz w:val="20"/>
                          </w:rPr>
                          <m:t>y-</m:t>
                        </m:r>
                        <m:acc>
                          <m:accPr>
                            <m:ctrlPr>
                              <w:rPr>
                                <w:rFonts w:ascii="Cambria Math" w:hAnsi="Cambria Math"/>
                                <w:i/>
                                <w:sz w:val="20"/>
                              </w:rPr>
                            </m:ctrlPr>
                          </m:accPr>
                          <m:e>
                            <m:r>
                              <w:rPr>
                                <w:rFonts w:ascii="Cambria Math" w:hAnsi="Cambria Math"/>
                                <w:sz w:val="20"/>
                              </w:rPr>
                              <m:t>y</m:t>
                            </m:r>
                          </m:e>
                        </m:acc>
                      </m:e>
                    </m:d>
                  </m:e>
                </m:nary>
              </m:oMath>
            </m:oMathPara>
          </w:p>
        </w:tc>
        <w:tc>
          <w:tcPr>
            <w:tcW w:w="453" w:type="dxa"/>
          </w:tcPr>
          <w:p w14:paraId="26E1744B" w14:textId="77777777" w:rsidR="008F43AF" w:rsidRPr="00E869E3" w:rsidRDefault="008F43AF" w:rsidP="00285F4C">
            <w:pPr>
              <w:spacing w:line="360" w:lineRule="auto"/>
              <w:rPr>
                <w:i/>
                <w:sz w:val="20"/>
              </w:rPr>
            </w:pPr>
          </w:p>
          <w:p w14:paraId="32372954" w14:textId="71CD2BD9" w:rsidR="008F43AF" w:rsidRPr="008F43AF" w:rsidRDefault="0072248D" w:rsidP="00285F4C">
            <w:pPr>
              <w:spacing w:line="360" w:lineRule="auto"/>
              <w:rPr>
                <w:sz w:val="20"/>
              </w:rPr>
            </w:pPr>
            <w:r>
              <w:rPr>
                <w:sz w:val="20"/>
              </w:rPr>
              <w:t>(4</w:t>
            </w:r>
            <w:r w:rsidR="008F43AF" w:rsidRPr="008F43AF">
              <w:rPr>
                <w:sz w:val="20"/>
              </w:rPr>
              <w:t>)</w:t>
            </w:r>
          </w:p>
        </w:tc>
      </w:tr>
      <w:tr w:rsidR="008F43AF" w:rsidRPr="00E869E3" w14:paraId="75395787" w14:textId="77777777" w:rsidTr="008F43AF">
        <w:tblPrEx>
          <w:jc w:val="left"/>
        </w:tblPrEx>
        <w:tc>
          <w:tcPr>
            <w:tcW w:w="8898" w:type="dxa"/>
          </w:tcPr>
          <w:p w14:paraId="6E1B66AF" w14:textId="1E53FAEE" w:rsidR="008F43AF" w:rsidRPr="00E869E3" w:rsidRDefault="008F43AF" w:rsidP="008F43AF">
            <w:pPr>
              <w:spacing w:line="360" w:lineRule="auto"/>
              <w:jc w:val="both"/>
              <w:rPr>
                <w:i/>
                <w:sz w:val="20"/>
              </w:rPr>
            </w:pPr>
            <m:oMathPara>
              <m:oMath>
                <m:r>
                  <w:rPr>
                    <w:rFonts w:ascii="Cambria Math" w:hAnsi="Cambria Math"/>
                    <w:sz w:val="20"/>
                  </w:rPr>
                  <m:t xml:space="preserve">MBE= </m:t>
                </m:r>
                <m:f>
                  <m:fPr>
                    <m:ctrlPr>
                      <w:rPr>
                        <w:rFonts w:ascii="Cambria Math" w:hAnsi="Cambria Math"/>
                        <w:i/>
                        <w:sz w:val="20"/>
                      </w:rPr>
                    </m:ctrlPr>
                  </m:fPr>
                  <m:num>
                    <m:r>
                      <w:rPr>
                        <w:rFonts w:ascii="Cambria Math" w:hAnsi="Cambria Math"/>
                        <w:sz w:val="20"/>
                      </w:rPr>
                      <m:t>1</m:t>
                    </m:r>
                  </m:num>
                  <m:den>
                    <m:r>
                      <w:rPr>
                        <w:rFonts w:ascii="Cambria Math" w:hAnsi="Cambria Math"/>
                        <w:sz w:val="20"/>
                      </w:rPr>
                      <m:t>N</m:t>
                    </m:r>
                  </m:den>
                </m:f>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N</m:t>
                    </m:r>
                  </m:sup>
                  <m:e>
                    <m:r>
                      <w:rPr>
                        <w:rFonts w:ascii="Cambria Math" w:hAnsi="Cambria Math"/>
                        <w:sz w:val="20"/>
                      </w:rPr>
                      <m:t>(y-</m:t>
                    </m:r>
                    <m:acc>
                      <m:accPr>
                        <m:ctrlPr>
                          <w:rPr>
                            <w:rFonts w:ascii="Cambria Math" w:hAnsi="Cambria Math"/>
                            <w:i/>
                            <w:sz w:val="20"/>
                          </w:rPr>
                        </m:ctrlPr>
                      </m:accPr>
                      <m:e>
                        <m:r>
                          <w:rPr>
                            <w:rFonts w:ascii="Cambria Math" w:hAnsi="Cambria Math"/>
                            <w:sz w:val="20"/>
                          </w:rPr>
                          <m:t>y</m:t>
                        </m:r>
                      </m:e>
                    </m:acc>
                    <m:r>
                      <w:rPr>
                        <w:rFonts w:ascii="Cambria Math" w:hAnsi="Cambria Math"/>
                        <w:sz w:val="20"/>
                      </w:rPr>
                      <m:t>)</m:t>
                    </m:r>
                  </m:e>
                </m:nary>
              </m:oMath>
            </m:oMathPara>
          </w:p>
        </w:tc>
        <w:tc>
          <w:tcPr>
            <w:tcW w:w="453" w:type="dxa"/>
          </w:tcPr>
          <w:p w14:paraId="2C3F4335" w14:textId="77777777" w:rsidR="008F43AF" w:rsidRPr="00E869E3" w:rsidRDefault="008F43AF" w:rsidP="00285F4C">
            <w:pPr>
              <w:spacing w:line="360" w:lineRule="auto"/>
              <w:rPr>
                <w:i/>
                <w:sz w:val="20"/>
              </w:rPr>
            </w:pPr>
          </w:p>
          <w:p w14:paraId="12021702" w14:textId="72C89C55" w:rsidR="008F43AF" w:rsidRPr="008F43AF" w:rsidRDefault="0072248D" w:rsidP="00285F4C">
            <w:pPr>
              <w:spacing w:line="360" w:lineRule="auto"/>
              <w:rPr>
                <w:sz w:val="20"/>
              </w:rPr>
            </w:pPr>
            <w:r>
              <w:rPr>
                <w:sz w:val="20"/>
              </w:rPr>
              <w:t>(5</w:t>
            </w:r>
            <w:r w:rsidR="008F43AF" w:rsidRPr="008F43AF">
              <w:rPr>
                <w:sz w:val="20"/>
              </w:rPr>
              <w:t>)</w:t>
            </w:r>
          </w:p>
        </w:tc>
      </w:tr>
      <w:tr w:rsidR="008F43AF" w:rsidRPr="00E869E3" w14:paraId="16E9CB46" w14:textId="77777777" w:rsidTr="008F43AF">
        <w:tblPrEx>
          <w:jc w:val="left"/>
        </w:tblPrEx>
        <w:tc>
          <w:tcPr>
            <w:tcW w:w="8898" w:type="dxa"/>
          </w:tcPr>
          <w:p w14:paraId="748994D3" w14:textId="1BD8828C" w:rsidR="008F43AF" w:rsidRDefault="008F43AF" w:rsidP="008F43AF">
            <w:pPr>
              <w:spacing w:line="360" w:lineRule="auto"/>
              <w:jc w:val="both"/>
              <w:rPr>
                <w:sz w:val="20"/>
              </w:rPr>
            </w:pPr>
            <m:oMathPara>
              <m:oMath>
                <m:r>
                  <w:rPr>
                    <w:rFonts w:ascii="Cambria Math" w:hAnsi="Cambria Math"/>
                    <w:sz w:val="20"/>
                  </w:rPr>
                  <m:t xml:space="preserve">RMSE= </m:t>
                </m:r>
                <m:rad>
                  <m:radPr>
                    <m:degHide m:val="1"/>
                    <m:ctrlPr>
                      <w:rPr>
                        <w:rFonts w:ascii="Cambria Math" w:hAnsi="Cambria Math"/>
                        <w:i/>
                        <w:sz w:val="20"/>
                      </w:rPr>
                    </m:ctrlPr>
                  </m:radPr>
                  <m:deg/>
                  <m:e>
                    <m:f>
                      <m:fPr>
                        <m:ctrlPr>
                          <w:rPr>
                            <w:rFonts w:ascii="Cambria Math" w:hAnsi="Cambria Math"/>
                            <w:i/>
                            <w:sz w:val="20"/>
                          </w:rPr>
                        </m:ctrlPr>
                      </m:fPr>
                      <m:num>
                        <m:r>
                          <w:rPr>
                            <w:rFonts w:ascii="Cambria Math" w:hAnsi="Cambria Math"/>
                            <w:sz w:val="20"/>
                          </w:rPr>
                          <m:t>1</m:t>
                        </m:r>
                      </m:num>
                      <m:den>
                        <m:r>
                          <w:rPr>
                            <w:rFonts w:ascii="Cambria Math" w:hAnsi="Cambria Math"/>
                            <w:sz w:val="20"/>
                          </w:rPr>
                          <m:t>N</m:t>
                        </m:r>
                      </m:den>
                    </m:f>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N</m:t>
                        </m:r>
                      </m:sup>
                      <m:e>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y-</m:t>
                                </m:r>
                                <m:acc>
                                  <m:accPr>
                                    <m:ctrlPr>
                                      <w:rPr>
                                        <w:rFonts w:ascii="Cambria Math" w:hAnsi="Cambria Math"/>
                                        <w:i/>
                                        <w:sz w:val="20"/>
                                      </w:rPr>
                                    </m:ctrlPr>
                                  </m:accPr>
                                  <m:e>
                                    <m:r>
                                      <w:rPr>
                                        <w:rFonts w:ascii="Cambria Math" w:hAnsi="Cambria Math"/>
                                        <w:sz w:val="20"/>
                                      </w:rPr>
                                      <m:t>y</m:t>
                                    </m:r>
                                  </m:e>
                                </m:acc>
                              </m:e>
                            </m:d>
                          </m:e>
                          <m:sup>
                            <m:r>
                              <w:rPr>
                                <w:rFonts w:ascii="Cambria Math" w:hAnsi="Cambria Math"/>
                                <w:sz w:val="20"/>
                              </w:rPr>
                              <m:t>2</m:t>
                            </m:r>
                          </m:sup>
                        </m:sSup>
                      </m:e>
                    </m:nary>
                  </m:e>
                </m:rad>
              </m:oMath>
            </m:oMathPara>
          </w:p>
        </w:tc>
        <w:tc>
          <w:tcPr>
            <w:tcW w:w="453" w:type="dxa"/>
          </w:tcPr>
          <w:p w14:paraId="5C14F85E" w14:textId="77777777" w:rsidR="008F43AF" w:rsidRPr="00E869E3" w:rsidRDefault="008F43AF" w:rsidP="008F43AF">
            <w:pPr>
              <w:spacing w:line="360" w:lineRule="auto"/>
              <w:rPr>
                <w:i/>
                <w:sz w:val="20"/>
              </w:rPr>
            </w:pPr>
          </w:p>
          <w:p w14:paraId="5D1F5AC3" w14:textId="3F0C2722" w:rsidR="008F43AF" w:rsidRPr="00E869E3" w:rsidRDefault="0072248D" w:rsidP="008F43AF">
            <w:pPr>
              <w:spacing w:line="360" w:lineRule="auto"/>
              <w:rPr>
                <w:i/>
                <w:sz w:val="20"/>
              </w:rPr>
            </w:pPr>
            <w:r>
              <w:rPr>
                <w:sz w:val="20"/>
              </w:rPr>
              <w:t>(6</w:t>
            </w:r>
            <w:r w:rsidR="008F43AF" w:rsidRPr="008F43AF">
              <w:rPr>
                <w:sz w:val="20"/>
              </w:rPr>
              <w:t>)</w:t>
            </w:r>
          </w:p>
        </w:tc>
      </w:tr>
      <w:tr w:rsidR="008F43AF" w:rsidRPr="00E869E3" w14:paraId="7FA1D1DB" w14:textId="77777777" w:rsidTr="008F43AF">
        <w:tblPrEx>
          <w:jc w:val="left"/>
        </w:tblPrEx>
        <w:tc>
          <w:tcPr>
            <w:tcW w:w="8898" w:type="dxa"/>
          </w:tcPr>
          <w:p w14:paraId="500B94D7" w14:textId="46CCFB00" w:rsidR="008F43AF" w:rsidRDefault="00000000" w:rsidP="008F43AF">
            <w:pPr>
              <w:spacing w:line="360" w:lineRule="auto"/>
              <w:jc w:val="both"/>
              <w:rPr>
                <w:sz w:val="20"/>
              </w:rPr>
            </w:pPr>
            <m:oMathPara>
              <m:oMath>
                <m:sSup>
                  <m:sSupPr>
                    <m:ctrlPr>
                      <w:rPr>
                        <w:rFonts w:ascii="Cambria Math" w:eastAsiaTheme="minorEastAsia" w:hAnsi="Cambria Math"/>
                        <w:i/>
                        <w:sz w:val="20"/>
                      </w:rPr>
                    </m:ctrlPr>
                  </m:sSupPr>
                  <m:e>
                    <m:r>
                      <w:rPr>
                        <w:rFonts w:ascii="Cambria Math" w:eastAsiaTheme="minorEastAsia" w:hAnsi="Cambria Math"/>
                        <w:sz w:val="20"/>
                      </w:rPr>
                      <m:t>R</m:t>
                    </m:r>
                  </m:e>
                  <m:sup>
                    <m:r>
                      <w:rPr>
                        <w:rFonts w:ascii="Cambria Math" w:eastAsiaTheme="minorEastAsia" w:hAnsi="Cambria Math"/>
                        <w:sz w:val="20"/>
                      </w:rPr>
                      <m:t>2</m:t>
                    </m:r>
                  </m:sup>
                </m:sSup>
                <m:r>
                  <w:rPr>
                    <w:rFonts w:ascii="Cambria Math" w:eastAsiaTheme="minorEastAsia" w:hAnsi="Cambria Math"/>
                    <w:sz w:val="20"/>
                  </w:rPr>
                  <m:t>=1-</m:t>
                </m:r>
                <m:f>
                  <m:fPr>
                    <m:ctrlPr>
                      <w:rPr>
                        <w:rFonts w:ascii="Cambria Math" w:eastAsiaTheme="minorEastAsia" w:hAnsi="Cambria Math"/>
                        <w:i/>
                        <w:sz w:val="20"/>
                      </w:rPr>
                    </m:ctrlPr>
                  </m:fPr>
                  <m:num>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N</m:t>
                        </m:r>
                      </m:sup>
                      <m:e>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y-</m:t>
                                </m:r>
                                <m:acc>
                                  <m:accPr>
                                    <m:ctrlPr>
                                      <w:rPr>
                                        <w:rFonts w:ascii="Cambria Math" w:hAnsi="Cambria Math"/>
                                        <w:i/>
                                        <w:sz w:val="20"/>
                                      </w:rPr>
                                    </m:ctrlPr>
                                  </m:accPr>
                                  <m:e>
                                    <m:r>
                                      <w:rPr>
                                        <w:rFonts w:ascii="Cambria Math" w:hAnsi="Cambria Math"/>
                                        <w:sz w:val="20"/>
                                      </w:rPr>
                                      <m:t>y</m:t>
                                    </m:r>
                                  </m:e>
                                </m:acc>
                              </m:e>
                            </m:d>
                          </m:e>
                          <m:sup>
                            <m:r>
                              <w:rPr>
                                <w:rFonts w:ascii="Cambria Math" w:hAnsi="Cambria Math"/>
                                <w:sz w:val="20"/>
                              </w:rPr>
                              <m:t>2</m:t>
                            </m:r>
                          </m:sup>
                        </m:sSup>
                      </m:e>
                    </m:nary>
                  </m:num>
                  <m:den>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N</m:t>
                        </m:r>
                      </m:sup>
                      <m:e>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y-</m:t>
                                </m:r>
                                <m:acc>
                                  <m:accPr>
                                    <m:chr m:val="̅"/>
                                    <m:ctrlPr>
                                      <w:rPr>
                                        <w:rFonts w:ascii="Cambria Math" w:hAnsi="Cambria Math"/>
                                        <w:i/>
                                        <w:sz w:val="20"/>
                                      </w:rPr>
                                    </m:ctrlPr>
                                  </m:accPr>
                                  <m:e>
                                    <m:r>
                                      <w:rPr>
                                        <w:rFonts w:ascii="Cambria Math" w:hAnsi="Cambria Math"/>
                                        <w:sz w:val="20"/>
                                      </w:rPr>
                                      <m:t>y</m:t>
                                    </m:r>
                                  </m:e>
                                </m:acc>
                              </m:e>
                            </m:d>
                          </m:e>
                          <m:sup>
                            <m:r>
                              <w:rPr>
                                <w:rFonts w:ascii="Cambria Math" w:hAnsi="Cambria Math"/>
                                <w:sz w:val="20"/>
                              </w:rPr>
                              <m:t>2</m:t>
                            </m:r>
                          </m:sup>
                        </m:sSup>
                      </m:e>
                    </m:nary>
                  </m:den>
                </m:f>
              </m:oMath>
            </m:oMathPara>
          </w:p>
        </w:tc>
        <w:tc>
          <w:tcPr>
            <w:tcW w:w="453" w:type="dxa"/>
            <w:vAlign w:val="center"/>
          </w:tcPr>
          <w:p w14:paraId="6759EB39" w14:textId="0295EFD9" w:rsidR="008F43AF" w:rsidRPr="00E869E3" w:rsidRDefault="008F43AF" w:rsidP="008F43AF">
            <w:pPr>
              <w:spacing w:line="360" w:lineRule="auto"/>
              <w:rPr>
                <w:i/>
                <w:sz w:val="20"/>
              </w:rPr>
            </w:pPr>
            <w:r w:rsidRPr="008F43AF">
              <w:rPr>
                <w:sz w:val="20"/>
              </w:rPr>
              <w:t>(</w:t>
            </w:r>
            <w:r w:rsidR="0072248D">
              <w:rPr>
                <w:sz w:val="20"/>
              </w:rPr>
              <w:t>7</w:t>
            </w:r>
            <w:r w:rsidRPr="008F43AF">
              <w:rPr>
                <w:sz w:val="20"/>
              </w:rPr>
              <w:t>)</w:t>
            </w:r>
          </w:p>
        </w:tc>
      </w:tr>
    </w:tbl>
    <w:p w14:paraId="11D9424B" w14:textId="77777777" w:rsidR="00BC7E3B" w:rsidRPr="00BC7E3B" w:rsidRDefault="00BC7E3B" w:rsidP="00BC7E3B">
      <w:pPr>
        <w:pStyle w:val="Heading1"/>
      </w:pPr>
      <w:r w:rsidRPr="00BC7E3B">
        <w:t>ANALYSIS OF RESULTS</w:t>
      </w:r>
    </w:p>
    <w:p w14:paraId="15E74788" w14:textId="2E7F504B" w:rsidR="00BC7E3B" w:rsidRDefault="00BC7E3B" w:rsidP="00BC7E3B">
      <w:pPr>
        <w:pStyle w:val="Paragraph"/>
      </w:pPr>
      <w:r w:rsidRPr="00BC7E3B">
        <w:t>This section provides a detailed analysis of the performance of t</w:t>
      </w:r>
      <w:r w:rsidR="009D1F99">
        <w:t>he three hybrid models namely,</w:t>
      </w:r>
      <w:r w:rsidRPr="00BC7E3B">
        <w:t xml:space="preserve"> </w:t>
      </w:r>
      <w:r w:rsidR="00581300">
        <w:t>MO</w:t>
      </w:r>
      <w:r w:rsidR="003D56AD">
        <w:t>D</w:t>
      </w:r>
      <w:r w:rsidR="00285F4C">
        <w:t>WPT</w:t>
      </w:r>
      <w:r w:rsidRPr="00BC7E3B">
        <w:t xml:space="preserve">-CNN-LSTM-MLP, </w:t>
      </w:r>
      <w:r w:rsidR="00581300">
        <w:t>MO</w:t>
      </w:r>
      <w:r w:rsidR="003D56AD">
        <w:t>D</w:t>
      </w:r>
      <w:r w:rsidR="00285F4C">
        <w:t>WPT</w:t>
      </w:r>
      <w:r w:rsidRPr="00BC7E3B">
        <w:t xml:space="preserve">-LSTM-MLP, and </w:t>
      </w:r>
      <w:r w:rsidR="00581300">
        <w:t>MO</w:t>
      </w:r>
      <w:r w:rsidR="003D56AD">
        <w:t>D</w:t>
      </w:r>
      <w:r w:rsidR="00285F4C">
        <w:t>WPT</w:t>
      </w:r>
      <w:r w:rsidRPr="00BC7E3B">
        <w:t>-LSTM for 15-minute-ah</w:t>
      </w:r>
      <w:r w:rsidR="009D1F99">
        <w:t>ead solar irradiance forecasting</w:t>
      </w:r>
      <w:r w:rsidRPr="00BC7E3B">
        <w:t>. The analysis is conducted both on an overall basis and across different hourly intervals.</w:t>
      </w:r>
    </w:p>
    <w:p w14:paraId="79C4A074" w14:textId="77777777" w:rsidR="000500CA" w:rsidRPr="00BC7E3B" w:rsidRDefault="000500CA" w:rsidP="000500CA">
      <w:pPr>
        <w:pStyle w:val="Paragraph"/>
        <w:ind w:firstLine="0"/>
      </w:pPr>
      <w:r>
        <w:t>Table 1</w:t>
      </w:r>
      <w:r w:rsidRPr="00BC7E3B">
        <w:t xml:space="preserve"> displays the</w:t>
      </w:r>
      <w:r>
        <w:t xml:space="preserve"> overall</w:t>
      </w:r>
      <w:r w:rsidRPr="00BC7E3B">
        <w:t xml:space="preserve"> performance evaluation for the models. It can be seen that the </w:t>
      </w:r>
      <w:r>
        <w:t>MODWPT</w:t>
      </w:r>
      <w:r w:rsidRPr="00BC7E3B">
        <w:t xml:space="preserve">-CNN-LSTM-MLP show a superior performance, achieving </w:t>
      </w:r>
      <w:r>
        <w:t>the highest R</w:t>
      </w:r>
      <w:r w:rsidRPr="00E335B6">
        <w:rPr>
          <w:vertAlign w:val="superscript"/>
        </w:rPr>
        <w:t>2</w:t>
      </w:r>
      <w:r>
        <w:t xml:space="preserve"> of 0.9989 along with </w:t>
      </w:r>
      <w:r w:rsidRPr="00BC7E3B">
        <w:t xml:space="preserve">the lowest MAE of 5.95, RMSE of 7.75, and an MBE close to zero at -1.66. This indicates that, on average, its forecasts are unbiased. Further, the second-best model is the </w:t>
      </w:r>
      <w:r>
        <w:t>MODWPT</w:t>
      </w:r>
      <w:r w:rsidRPr="00BC7E3B">
        <w:t>-LSTM-MLP, with significantly higher MAE of 9.98, RMSE of 12.78</w:t>
      </w:r>
      <w:r>
        <w:t>, R</w:t>
      </w:r>
      <w:r w:rsidRPr="00E335B6">
        <w:rPr>
          <w:vertAlign w:val="superscript"/>
        </w:rPr>
        <w:t>2</w:t>
      </w:r>
      <w:r>
        <w:t xml:space="preserve"> of 0.9978</w:t>
      </w:r>
      <w:r w:rsidRPr="00BC7E3B">
        <w:t xml:space="preserve"> and an MBE of 3.69</w:t>
      </w:r>
      <w:r>
        <w:t>, which indicates an overestimation on average</w:t>
      </w:r>
      <w:r w:rsidRPr="00BC7E3B">
        <w:t xml:space="preserve">. Finally, the </w:t>
      </w:r>
      <w:r>
        <w:t>MODWPT</w:t>
      </w:r>
      <w:r w:rsidRPr="00BC7E3B">
        <w:t xml:space="preserve">-LSTM is the least accurate </w:t>
      </w:r>
      <w:r w:rsidRPr="00BC7E3B">
        <w:lastRenderedPageBreak/>
        <w:t>model with an MAE of 13.02, RMSE of 16.17</w:t>
      </w:r>
      <w:r>
        <w:t>, R</w:t>
      </w:r>
      <w:r w:rsidRPr="00E335B6">
        <w:rPr>
          <w:vertAlign w:val="superscript"/>
        </w:rPr>
        <w:t>2</w:t>
      </w:r>
      <w:r>
        <w:t xml:space="preserve"> of 0.9975</w:t>
      </w:r>
      <w:r w:rsidRPr="00BC7E3B">
        <w:t xml:space="preserve"> and an MBE of -9.14</w:t>
      </w:r>
      <w:r>
        <w:t>, implying a strong underestimation of the irradiance</w:t>
      </w:r>
      <w:r w:rsidRPr="00BC7E3B">
        <w:t>.</w:t>
      </w:r>
      <w:r>
        <w:t xml:space="preserve"> </w:t>
      </w:r>
      <w:r w:rsidRPr="00920EC5">
        <w:t>The plot illustrated in figure 2 evidence</w:t>
      </w:r>
      <w:r>
        <w:t>s</w:t>
      </w:r>
      <w:r w:rsidRPr="00920EC5">
        <w:t xml:space="preserve"> </w:t>
      </w:r>
      <w:r>
        <w:t xml:space="preserve">the superior forecasting </w:t>
      </w:r>
      <w:r w:rsidRPr="00920EC5">
        <w:t>performance of the MODWPT-CNN-LSTM-MLP as it accurately follows the true irradiance pattern compared to MODWPT-LSTM-MLP and MODWPT-CNN-LSTM models which consistently underestimates peak irradiance values.</w:t>
      </w:r>
      <w:r>
        <w:t xml:space="preserve"> </w:t>
      </w:r>
    </w:p>
    <w:tbl>
      <w:tblPr>
        <w:tblW w:w="8363" w:type="dxa"/>
        <w:jc w:val="center"/>
        <w:tblBorders>
          <w:bottom w:val="single" w:sz="4" w:space="0" w:color="auto"/>
        </w:tblBorders>
        <w:tblLayout w:type="fixed"/>
        <w:tblLook w:val="0000" w:firstRow="0" w:lastRow="0" w:firstColumn="0" w:lastColumn="0" w:noHBand="0" w:noVBand="0"/>
      </w:tblPr>
      <w:tblGrid>
        <w:gridCol w:w="1843"/>
        <w:gridCol w:w="2552"/>
        <w:gridCol w:w="2126"/>
        <w:gridCol w:w="1842"/>
      </w:tblGrid>
      <w:tr w:rsidR="00E849B5" w:rsidRPr="00075EA6" w14:paraId="63C5AFC6" w14:textId="77777777" w:rsidTr="00476E14">
        <w:trPr>
          <w:cantSplit/>
          <w:trHeight w:val="371"/>
          <w:jc w:val="center"/>
        </w:trPr>
        <w:tc>
          <w:tcPr>
            <w:tcW w:w="8363" w:type="dxa"/>
            <w:gridSpan w:val="4"/>
            <w:tcBorders>
              <w:bottom w:val="nil"/>
            </w:tcBorders>
          </w:tcPr>
          <w:p w14:paraId="05F359B9" w14:textId="6E8C03EF" w:rsidR="00E849B5" w:rsidRPr="00075EA6" w:rsidRDefault="00E849B5" w:rsidP="00E849B5">
            <w:pPr>
              <w:pStyle w:val="TableCaption"/>
            </w:pPr>
            <w:r w:rsidRPr="00075EA6">
              <w:rPr>
                <w:b/>
              </w:rPr>
              <w:t xml:space="preserve">TABLE 1. </w:t>
            </w:r>
            <w:r w:rsidRPr="00A650C1">
              <w:t>Performance Evaluation</w:t>
            </w:r>
          </w:p>
        </w:tc>
      </w:tr>
      <w:tr w:rsidR="00E849B5" w:rsidRPr="00075EA6" w14:paraId="6AEBC660" w14:textId="77777777" w:rsidTr="004C0860">
        <w:trPr>
          <w:cantSplit/>
          <w:trHeight w:val="272"/>
          <w:jc w:val="center"/>
        </w:trPr>
        <w:tc>
          <w:tcPr>
            <w:tcW w:w="1843" w:type="dxa"/>
            <w:tcBorders>
              <w:top w:val="single" w:sz="4" w:space="0" w:color="auto"/>
              <w:bottom w:val="single" w:sz="4" w:space="0" w:color="auto"/>
            </w:tcBorders>
            <w:vAlign w:val="center"/>
          </w:tcPr>
          <w:p w14:paraId="31F52728" w14:textId="699BE846" w:rsidR="00E849B5" w:rsidRPr="00075EA6" w:rsidRDefault="00E849B5" w:rsidP="00E849B5">
            <w:pPr>
              <w:jc w:val="center"/>
            </w:pPr>
            <w:r>
              <w:rPr>
                <w:b/>
                <w:sz w:val="18"/>
                <w:szCs w:val="18"/>
              </w:rPr>
              <w:t>Performance Metric</w:t>
            </w:r>
          </w:p>
        </w:tc>
        <w:tc>
          <w:tcPr>
            <w:tcW w:w="2552" w:type="dxa"/>
            <w:tcBorders>
              <w:top w:val="single" w:sz="4" w:space="0" w:color="auto"/>
              <w:bottom w:val="single" w:sz="4" w:space="0" w:color="auto"/>
            </w:tcBorders>
            <w:vAlign w:val="center"/>
          </w:tcPr>
          <w:p w14:paraId="24EBF669" w14:textId="29AFAA06" w:rsidR="00E849B5" w:rsidRPr="00075EA6" w:rsidRDefault="004C0860" w:rsidP="004C0860">
            <w:pPr>
              <w:jc w:val="center"/>
              <w:rPr>
                <w:b/>
                <w:sz w:val="18"/>
                <w:szCs w:val="18"/>
              </w:rPr>
            </w:pPr>
            <w:r>
              <w:rPr>
                <w:b/>
                <w:sz w:val="18"/>
                <w:szCs w:val="18"/>
              </w:rPr>
              <w:t xml:space="preserve">MODWPT-CNN-LSTM-MLP </w:t>
            </w:r>
          </w:p>
        </w:tc>
        <w:tc>
          <w:tcPr>
            <w:tcW w:w="2126" w:type="dxa"/>
            <w:tcBorders>
              <w:top w:val="single" w:sz="4" w:space="0" w:color="auto"/>
              <w:bottom w:val="single" w:sz="4" w:space="0" w:color="auto"/>
            </w:tcBorders>
            <w:vAlign w:val="center"/>
          </w:tcPr>
          <w:p w14:paraId="629C9C62" w14:textId="01AFD52F" w:rsidR="00E849B5" w:rsidRPr="00075EA6" w:rsidRDefault="00285F4C" w:rsidP="00E849B5">
            <w:pPr>
              <w:jc w:val="center"/>
              <w:rPr>
                <w:b/>
                <w:sz w:val="18"/>
                <w:szCs w:val="18"/>
              </w:rPr>
            </w:pPr>
            <w:r>
              <w:rPr>
                <w:b/>
                <w:sz w:val="18"/>
                <w:szCs w:val="18"/>
              </w:rPr>
              <w:t>MODWPT</w:t>
            </w:r>
            <w:r w:rsidR="00E849B5">
              <w:rPr>
                <w:b/>
                <w:sz w:val="18"/>
                <w:szCs w:val="18"/>
              </w:rPr>
              <w:t>-LSTM-MLP</w:t>
            </w:r>
          </w:p>
        </w:tc>
        <w:tc>
          <w:tcPr>
            <w:tcW w:w="1842" w:type="dxa"/>
            <w:tcBorders>
              <w:top w:val="single" w:sz="4" w:space="0" w:color="auto"/>
              <w:bottom w:val="single" w:sz="4" w:space="0" w:color="auto"/>
            </w:tcBorders>
            <w:vAlign w:val="center"/>
          </w:tcPr>
          <w:p w14:paraId="0B58DB8F" w14:textId="531A7CFF" w:rsidR="00E849B5" w:rsidRPr="00075EA6" w:rsidRDefault="004C0860" w:rsidP="00E849B5">
            <w:pPr>
              <w:jc w:val="center"/>
              <w:rPr>
                <w:b/>
                <w:sz w:val="18"/>
                <w:szCs w:val="18"/>
              </w:rPr>
            </w:pPr>
            <w:r>
              <w:rPr>
                <w:b/>
                <w:sz w:val="18"/>
                <w:szCs w:val="18"/>
              </w:rPr>
              <w:t>MODWPT-LSTM</w:t>
            </w:r>
          </w:p>
        </w:tc>
      </w:tr>
      <w:tr w:rsidR="00E849B5" w:rsidRPr="005A0E21" w14:paraId="3F3AFB90" w14:textId="77777777" w:rsidTr="004C0860">
        <w:trPr>
          <w:cantSplit/>
          <w:jc w:val="center"/>
        </w:trPr>
        <w:tc>
          <w:tcPr>
            <w:tcW w:w="1843" w:type="dxa"/>
            <w:tcBorders>
              <w:top w:val="nil"/>
            </w:tcBorders>
          </w:tcPr>
          <w:p w14:paraId="72265160" w14:textId="6456F74C" w:rsidR="00E849B5" w:rsidRPr="00190B66" w:rsidRDefault="00E849B5" w:rsidP="00E849B5">
            <w:pPr>
              <w:pStyle w:val="Paragraph"/>
              <w:jc w:val="center"/>
            </w:pPr>
            <w:r w:rsidRPr="00190B66">
              <w:t>MAE</w:t>
            </w:r>
            <w:r w:rsidR="00237FF3">
              <w:t xml:space="preserve"> (W/m</w:t>
            </w:r>
            <w:r w:rsidR="00237FF3" w:rsidRPr="00237FF3">
              <w:rPr>
                <w:vertAlign w:val="superscript"/>
              </w:rPr>
              <w:t>2</w:t>
            </w:r>
            <w:r w:rsidR="00237FF3">
              <w:t>)</w:t>
            </w:r>
          </w:p>
        </w:tc>
        <w:tc>
          <w:tcPr>
            <w:tcW w:w="2552" w:type="dxa"/>
            <w:tcBorders>
              <w:top w:val="nil"/>
            </w:tcBorders>
          </w:tcPr>
          <w:p w14:paraId="430CBD7F" w14:textId="6D4BCA0B" w:rsidR="00E849B5" w:rsidRPr="00190B66" w:rsidRDefault="00E849B5" w:rsidP="00E849B5">
            <w:pPr>
              <w:jc w:val="center"/>
              <w:rPr>
                <w:sz w:val="20"/>
              </w:rPr>
            </w:pPr>
            <w:r w:rsidRPr="00190B66">
              <w:rPr>
                <w:sz w:val="20"/>
              </w:rPr>
              <w:t>5.951063334</w:t>
            </w:r>
          </w:p>
        </w:tc>
        <w:tc>
          <w:tcPr>
            <w:tcW w:w="2126" w:type="dxa"/>
            <w:tcBorders>
              <w:top w:val="nil"/>
            </w:tcBorders>
          </w:tcPr>
          <w:p w14:paraId="7F42CBEB" w14:textId="13AEE0BB" w:rsidR="00E849B5" w:rsidRPr="00190B66" w:rsidRDefault="00E849B5" w:rsidP="00E849B5">
            <w:pPr>
              <w:jc w:val="center"/>
              <w:rPr>
                <w:sz w:val="20"/>
              </w:rPr>
            </w:pPr>
            <w:r w:rsidRPr="00190B66">
              <w:rPr>
                <w:sz w:val="20"/>
              </w:rPr>
              <w:t>9.978115223</w:t>
            </w:r>
          </w:p>
        </w:tc>
        <w:tc>
          <w:tcPr>
            <w:tcW w:w="1842" w:type="dxa"/>
            <w:tcBorders>
              <w:top w:val="nil"/>
            </w:tcBorders>
          </w:tcPr>
          <w:p w14:paraId="5ACE8115" w14:textId="37E59675" w:rsidR="00E849B5" w:rsidRPr="00190B66" w:rsidRDefault="00E849B5" w:rsidP="00E849B5">
            <w:pPr>
              <w:jc w:val="center"/>
              <w:rPr>
                <w:sz w:val="20"/>
              </w:rPr>
            </w:pPr>
            <w:r w:rsidRPr="00190B66">
              <w:rPr>
                <w:sz w:val="20"/>
              </w:rPr>
              <w:t>13.02104386</w:t>
            </w:r>
          </w:p>
        </w:tc>
      </w:tr>
      <w:tr w:rsidR="00E849B5" w:rsidRPr="005A0E21" w14:paraId="37D3B6CD" w14:textId="77777777" w:rsidTr="004C0860">
        <w:trPr>
          <w:cantSplit/>
          <w:jc w:val="center"/>
        </w:trPr>
        <w:tc>
          <w:tcPr>
            <w:tcW w:w="1843" w:type="dxa"/>
          </w:tcPr>
          <w:p w14:paraId="54D1A398" w14:textId="0225FBE5" w:rsidR="00E849B5" w:rsidRPr="00190B66" w:rsidRDefault="00E849B5" w:rsidP="00E849B5">
            <w:pPr>
              <w:pStyle w:val="Paragraph"/>
              <w:jc w:val="center"/>
            </w:pPr>
            <w:r w:rsidRPr="00190B66">
              <w:t>RMSE</w:t>
            </w:r>
            <w:r w:rsidR="00237FF3">
              <w:t xml:space="preserve"> (W/m</w:t>
            </w:r>
            <w:r w:rsidR="00237FF3" w:rsidRPr="00237FF3">
              <w:rPr>
                <w:vertAlign w:val="superscript"/>
              </w:rPr>
              <w:t>2</w:t>
            </w:r>
            <w:r w:rsidR="00237FF3">
              <w:t>)</w:t>
            </w:r>
          </w:p>
        </w:tc>
        <w:tc>
          <w:tcPr>
            <w:tcW w:w="2552" w:type="dxa"/>
          </w:tcPr>
          <w:p w14:paraId="097DE7B9" w14:textId="45823833" w:rsidR="00E849B5" w:rsidRPr="00190B66" w:rsidRDefault="00E849B5" w:rsidP="00E849B5">
            <w:pPr>
              <w:jc w:val="center"/>
              <w:rPr>
                <w:sz w:val="20"/>
              </w:rPr>
            </w:pPr>
            <w:r w:rsidRPr="00190B66">
              <w:rPr>
                <w:sz w:val="20"/>
              </w:rPr>
              <w:t>7.749654096</w:t>
            </w:r>
          </w:p>
        </w:tc>
        <w:tc>
          <w:tcPr>
            <w:tcW w:w="2126" w:type="dxa"/>
          </w:tcPr>
          <w:p w14:paraId="55DBE33B" w14:textId="7BB11BFD" w:rsidR="00E849B5" w:rsidRPr="00190B66" w:rsidRDefault="00E849B5" w:rsidP="00E849B5">
            <w:pPr>
              <w:jc w:val="center"/>
              <w:rPr>
                <w:sz w:val="20"/>
              </w:rPr>
            </w:pPr>
            <w:r w:rsidRPr="00190B66">
              <w:rPr>
                <w:sz w:val="20"/>
              </w:rPr>
              <w:t>12.78287611</w:t>
            </w:r>
          </w:p>
        </w:tc>
        <w:tc>
          <w:tcPr>
            <w:tcW w:w="1842" w:type="dxa"/>
          </w:tcPr>
          <w:p w14:paraId="3E2F4E18" w14:textId="0E46AAED" w:rsidR="00E849B5" w:rsidRPr="00190B66" w:rsidRDefault="00E849B5" w:rsidP="00E849B5">
            <w:pPr>
              <w:jc w:val="center"/>
              <w:rPr>
                <w:sz w:val="20"/>
              </w:rPr>
            </w:pPr>
            <w:r w:rsidRPr="00190B66">
              <w:rPr>
                <w:sz w:val="20"/>
              </w:rPr>
              <w:t>16.17027821</w:t>
            </w:r>
          </w:p>
        </w:tc>
      </w:tr>
      <w:tr w:rsidR="00E849B5" w:rsidRPr="005A0E21" w14:paraId="086531FF" w14:textId="77777777" w:rsidTr="004C0860">
        <w:trPr>
          <w:cantSplit/>
          <w:trHeight w:val="237"/>
          <w:jc w:val="center"/>
        </w:trPr>
        <w:tc>
          <w:tcPr>
            <w:tcW w:w="1843" w:type="dxa"/>
          </w:tcPr>
          <w:p w14:paraId="5018A645" w14:textId="76F96183" w:rsidR="00E849B5" w:rsidRPr="00190B66" w:rsidRDefault="00E849B5" w:rsidP="00E849B5">
            <w:pPr>
              <w:pStyle w:val="Paragraph"/>
              <w:jc w:val="center"/>
            </w:pPr>
            <w:r w:rsidRPr="00190B66">
              <w:t>MBE</w:t>
            </w:r>
            <w:r w:rsidR="00237FF3">
              <w:t xml:space="preserve"> (W/m</w:t>
            </w:r>
            <w:r w:rsidR="00237FF3" w:rsidRPr="00237FF3">
              <w:rPr>
                <w:vertAlign w:val="superscript"/>
              </w:rPr>
              <w:t>2</w:t>
            </w:r>
            <w:r w:rsidR="00237FF3">
              <w:t>)</w:t>
            </w:r>
          </w:p>
        </w:tc>
        <w:tc>
          <w:tcPr>
            <w:tcW w:w="2552" w:type="dxa"/>
          </w:tcPr>
          <w:p w14:paraId="5CAF9010" w14:textId="59DFB8CF" w:rsidR="00E849B5" w:rsidRPr="00190B66" w:rsidRDefault="00E849B5" w:rsidP="00E849B5">
            <w:pPr>
              <w:jc w:val="center"/>
              <w:rPr>
                <w:sz w:val="20"/>
              </w:rPr>
            </w:pPr>
            <w:r w:rsidRPr="00190B66">
              <w:rPr>
                <w:sz w:val="20"/>
              </w:rPr>
              <w:t>-1.660809669</w:t>
            </w:r>
          </w:p>
        </w:tc>
        <w:tc>
          <w:tcPr>
            <w:tcW w:w="2126" w:type="dxa"/>
          </w:tcPr>
          <w:p w14:paraId="4B158D96" w14:textId="000AF2A5" w:rsidR="00E849B5" w:rsidRPr="00190B66" w:rsidRDefault="00E849B5" w:rsidP="00E849B5">
            <w:pPr>
              <w:jc w:val="center"/>
              <w:rPr>
                <w:sz w:val="20"/>
              </w:rPr>
            </w:pPr>
            <w:r w:rsidRPr="00190B66">
              <w:rPr>
                <w:sz w:val="20"/>
              </w:rPr>
              <w:t>3.694430628</w:t>
            </w:r>
          </w:p>
        </w:tc>
        <w:tc>
          <w:tcPr>
            <w:tcW w:w="1842" w:type="dxa"/>
          </w:tcPr>
          <w:p w14:paraId="56369E56" w14:textId="329B24BC" w:rsidR="00E849B5" w:rsidRPr="00190B66" w:rsidRDefault="00E849B5" w:rsidP="00E849B5">
            <w:pPr>
              <w:jc w:val="center"/>
              <w:rPr>
                <w:sz w:val="20"/>
              </w:rPr>
            </w:pPr>
            <w:r w:rsidRPr="00190B66">
              <w:rPr>
                <w:sz w:val="20"/>
              </w:rPr>
              <w:t>-9.139853482</w:t>
            </w:r>
          </w:p>
        </w:tc>
      </w:tr>
      <w:tr w:rsidR="00E849B5" w:rsidRPr="005A0E21" w14:paraId="026E3E01" w14:textId="77777777" w:rsidTr="004C0860">
        <w:trPr>
          <w:cantSplit/>
          <w:trHeight w:val="237"/>
          <w:jc w:val="center"/>
        </w:trPr>
        <w:tc>
          <w:tcPr>
            <w:tcW w:w="1843" w:type="dxa"/>
          </w:tcPr>
          <w:p w14:paraId="45DD1641" w14:textId="2F075996" w:rsidR="00E849B5" w:rsidRPr="00190B66" w:rsidRDefault="00E849B5" w:rsidP="00E849B5">
            <w:pPr>
              <w:pStyle w:val="Paragraph"/>
              <w:jc w:val="center"/>
            </w:pPr>
            <w:r w:rsidRPr="00190B66">
              <w:t>R</w:t>
            </w:r>
            <w:r w:rsidRPr="00190B66">
              <w:rPr>
                <w:vertAlign w:val="superscript"/>
              </w:rPr>
              <w:t>2</w:t>
            </w:r>
          </w:p>
        </w:tc>
        <w:tc>
          <w:tcPr>
            <w:tcW w:w="2552" w:type="dxa"/>
          </w:tcPr>
          <w:p w14:paraId="4DABA3EA" w14:textId="04DD0250" w:rsidR="00E849B5" w:rsidRPr="00190B66" w:rsidRDefault="00E849B5" w:rsidP="00E849B5">
            <w:pPr>
              <w:jc w:val="center"/>
              <w:rPr>
                <w:sz w:val="20"/>
              </w:rPr>
            </w:pPr>
            <w:r w:rsidRPr="00190B66">
              <w:rPr>
                <w:sz w:val="20"/>
              </w:rPr>
              <w:t>0.9989</w:t>
            </w:r>
          </w:p>
        </w:tc>
        <w:tc>
          <w:tcPr>
            <w:tcW w:w="2126" w:type="dxa"/>
          </w:tcPr>
          <w:p w14:paraId="4CBC1BDA" w14:textId="2DAE6B84" w:rsidR="00E849B5" w:rsidRPr="00190B66" w:rsidRDefault="00E849B5" w:rsidP="00E849B5">
            <w:pPr>
              <w:jc w:val="center"/>
              <w:rPr>
                <w:sz w:val="20"/>
              </w:rPr>
            </w:pPr>
            <w:r w:rsidRPr="00190B66">
              <w:rPr>
                <w:sz w:val="20"/>
              </w:rPr>
              <w:t>0.9978</w:t>
            </w:r>
          </w:p>
        </w:tc>
        <w:tc>
          <w:tcPr>
            <w:tcW w:w="1842" w:type="dxa"/>
          </w:tcPr>
          <w:p w14:paraId="67855DD9" w14:textId="175F6020" w:rsidR="00E849B5" w:rsidRPr="00190B66" w:rsidRDefault="00E849B5" w:rsidP="00E849B5">
            <w:pPr>
              <w:jc w:val="center"/>
              <w:rPr>
                <w:sz w:val="20"/>
              </w:rPr>
            </w:pPr>
            <w:r w:rsidRPr="00190B66">
              <w:rPr>
                <w:sz w:val="20"/>
              </w:rPr>
              <w:t>0.9975</w:t>
            </w:r>
          </w:p>
        </w:tc>
      </w:tr>
    </w:tbl>
    <w:p w14:paraId="540E81C7" w14:textId="291DE1A0" w:rsidR="00BC7E3B" w:rsidRPr="00BC7E3B" w:rsidRDefault="00BC7E3B" w:rsidP="00BC7E3B">
      <w:pPr>
        <w:pStyle w:val="Paragraph"/>
        <w:ind w:firstLine="0"/>
      </w:pPr>
    </w:p>
    <w:p w14:paraId="416D3E07" w14:textId="3D4D6FB3" w:rsidR="00BC7E3B" w:rsidRPr="00BC7E3B" w:rsidRDefault="00BC7E3B" w:rsidP="00BC7E3B">
      <w:pPr>
        <w:pStyle w:val="Paragraph"/>
      </w:pPr>
    </w:p>
    <w:p w14:paraId="43AD21BE" w14:textId="6793CC54" w:rsidR="00BC7E3B" w:rsidRPr="00BC7E3B" w:rsidRDefault="00082282" w:rsidP="00BC7E3B">
      <w:pPr>
        <w:pStyle w:val="Paragraph"/>
      </w:pPr>
      <w:r>
        <w:t>T</w:t>
      </w:r>
      <w:r w:rsidR="00BC7E3B" w:rsidRPr="00BC7E3B">
        <w:t xml:space="preserve">he </w:t>
      </w:r>
      <w:r w:rsidR="00CF64FD">
        <w:t>MODWPT</w:t>
      </w:r>
      <w:r w:rsidR="00CF64FD" w:rsidRPr="00BC7E3B">
        <w:t xml:space="preserve"> </w:t>
      </w:r>
      <w:r w:rsidR="00BC7E3B" w:rsidRPr="00BC7E3B">
        <w:t xml:space="preserve">allows the separation of the various high and low frequencies within the solar irradiance time series, making training process easier for the networks. </w:t>
      </w:r>
      <w:r>
        <w:t>T</w:t>
      </w:r>
      <w:r w:rsidR="00BC7E3B" w:rsidRPr="00BC7E3B">
        <w:t xml:space="preserve">he advantage of a multi-level, hierarchical feature extraction process can be seen by the progressive improvement from </w:t>
      </w:r>
      <w:r w:rsidR="00285F4C">
        <w:t>MODWPT</w:t>
      </w:r>
      <w:r w:rsidR="00BC7E3B" w:rsidRPr="00BC7E3B">
        <w:t xml:space="preserve">-LSTM to </w:t>
      </w:r>
      <w:r w:rsidR="00285F4C">
        <w:t>MODWPT</w:t>
      </w:r>
      <w:r w:rsidR="00BC7E3B" w:rsidRPr="00BC7E3B">
        <w:t xml:space="preserve">-LSTM-MLP and finally to </w:t>
      </w:r>
      <w:r w:rsidR="00285F4C">
        <w:t>MODWPT</w:t>
      </w:r>
      <w:r w:rsidR="00BC7E3B" w:rsidRPr="00BC7E3B">
        <w:t>-CNN-LSTM-MLP. The above also demonstrate</w:t>
      </w:r>
      <w:r w:rsidR="004A7F0D">
        <w:t>s</w:t>
      </w:r>
      <w:r w:rsidR="00BC7E3B" w:rsidRPr="00BC7E3B">
        <w:t xml:space="preserve"> that the inclusion of the 1D-CNN layers, significantly increase the accuracy of forecasts. The 1D-CNN layer effectively extracts local, high-frequency patterns from the </w:t>
      </w:r>
      <w:r w:rsidR="00285F4C">
        <w:t>MODWPT</w:t>
      </w:r>
      <w:r w:rsidR="00285F4C" w:rsidRPr="00BC7E3B">
        <w:t xml:space="preserve"> </w:t>
      </w:r>
      <w:r w:rsidR="00BC7E3B" w:rsidRPr="00BC7E3B">
        <w:t xml:space="preserve">coefficients, creating a more refine and informative feature map for the LSTM. Without this 1D-CNN filter, the LSTM is burdened with less informative data, leading to higher bias and error as observed by the higher MAE and RMSE of </w:t>
      </w:r>
      <w:r w:rsidR="00285F4C">
        <w:t>MODWPT</w:t>
      </w:r>
      <w:r w:rsidR="00BC7E3B" w:rsidRPr="00BC7E3B">
        <w:t xml:space="preserve">-LSTM to </w:t>
      </w:r>
      <w:r w:rsidR="00285F4C">
        <w:t>MODWPT</w:t>
      </w:r>
      <w:r w:rsidR="00BC7E3B" w:rsidRPr="00BC7E3B">
        <w:t>-LSTM-MLP.</w:t>
      </w:r>
    </w:p>
    <w:p w14:paraId="14DCB584" w14:textId="4A9543F4" w:rsidR="000C5C76" w:rsidRDefault="000C5C76" w:rsidP="00F74020">
      <w:pPr>
        <w:pStyle w:val="Paragraph"/>
        <w:jc w:val="center"/>
      </w:pPr>
    </w:p>
    <w:p w14:paraId="7BC76355" w14:textId="13CB79A9" w:rsidR="000C5C76" w:rsidRDefault="000C5C76" w:rsidP="00BC7E3B">
      <w:pPr>
        <w:pStyle w:val="Paragraph"/>
      </w:pPr>
    </w:p>
    <w:p w14:paraId="0006FE46" w14:textId="04D9AB3B" w:rsidR="000C5C76" w:rsidRDefault="000C5C76" w:rsidP="000C5C76">
      <w:pPr>
        <w:pStyle w:val="Paragraph"/>
        <w:jc w:val="center"/>
      </w:pPr>
      <w:r>
        <w:rPr>
          <w:noProof/>
          <w:lang w:val="fr-FR" w:eastAsia="fr-FR"/>
        </w:rPr>
        <w:drawing>
          <wp:inline distT="0" distB="0" distL="0" distR="0" wp14:anchorId="22DADADF" wp14:editId="0B8EF94E">
            <wp:extent cx="5724525" cy="385572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5732775" cy="3861277"/>
                    </a:xfrm>
                    <a:prstGeom prst="rect">
                      <a:avLst/>
                    </a:prstGeom>
                  </pic:spPr>
                </pic:pic>
              </a:graphicData>
            </a:graphic>
          </wp:inline>
        </w:drawing>
      </w:r>
    </w:p>
    <w:p w14:paraId="36D9166E" w14:textId="73E9B88C" w:rsidR="000C5C76" w:rsidRDefault="00446C2F" w:rsidP="000C5C76">
      <w:pPr>
        <w:pStyle w:val="Paragraph"/>
        <w:jc w:val="center"/>
      </w:pPr>
      <w:r>
        <w:rPr>
          <w:b/>
          <w:caps/>
        </w:rPr>
        <w:t>Figure 2</w:t>
      </w:r>
      <w:r w:rsidR="000C5C76">
        <w:rPr>
          <w:b/>
          <w:caps/>
        </w:rPr>
        <w:t>.</w:t>
      </w:r>
      <w:r w:rsidR="000C5C76">
        <w:t xml:space="preserve"> </w:t>
      </w:r>
      <w:r w:rsidR="000C5C76" w:rsidRPr="000C5C76">
        <w:rPr>
          <w:sz w:val="18"/>
          <w:szCs w:val="16"/>
        </w:rPr>
        <w:t>Performance on 8</w:t>
      </w:r>
      <w:r w:rsidR="000C5C76" w:rsidRPr="000C5C76">
        <w:rPr>
          <w:sz w:val="18"/>
          <w:szCs w:val="16"/>
          <w:vertAlign w:val="superscript"/>
        </w:rPr>
        <w:t>th</w:t>
      </w:r>
      <w:r w:rsidR="000C5C76" w:rsidRPr="000C5C76">
        <w:rPr>
          <w:sz w:val="18"/>
          <w:szCs w:val="16"/>
        </w:rPr>
        <w:t xml:space="preserve"> Nov 2019</w:t>
      </w:r>
    </w:p>
    <w:p w14:paraId="2D8AAE7B" w14:textId="77777777" w:rsidR="000C5C76" w:rsidRPr="00BC7E3B" w:rsidRDefault="000C5C76" w:rsidP="00BC7E3B">
      <w:pPr>
        <w:pStyle w:val="Paragraph"/>
      </w:pPr>
    </w:p>
    <w:p w14:paraId="1DEEF32F" w14:textId="645C0DBE" w:rsidR="000500CA" w:rsidRDefault="000500CA" w:rsidP="000500CA">
      <w:pPr>
        <w:pStyle w:val="Paragraph"/>
      </w:pPr>
      <w:r w:rsidRPr="00BC7E3B">
        <w:t xml:space="preserve">A granular analysis of the hourly performance shed light on the </w:t>
      </w:r>
      <w:r w:rsidR="00B55C21" w:rsidRPr="00BC7E3B">
        <w:t>fluctuating forecast</w:t>
      </w:r>
      <w:r w:rsidRPr="00BC7E3B">
        <w:t xml:space="preserve"> performances of all models throughout the day. </w:t>
      </w:r>
      <w:r>
        <w:t xml:space="preserve">Figure 3 illustrates the </w:t>
      </w:r>
      <w:r>
        <w:rPr>
          <w:iCs/>
        </w:rPr>
        <w:t>h</w:t>
      </w:r>
      <w:r w:rsidRPr="00FA679B">
        <w:rPr>
          <w:iCs/>
        </w:rPr>
        <w:t>ourly per</w:t>
      </w:r>
      <w:r>
        <w:rPr>
          <w:iCs/>
        </w:rPr>
        <w:t>formance analysis in terms of MAE, RMSE and MBE of the three models.</w:t>
      </w:r>
    </w:p>
    <w:p w14:paraId="326B901E" w14:textId="442DCC4E" w:rsidR="008C0DF9" w:rsidRDefault="008C0DF9" w:rsidP="00BC7E3B">
      <w:pPr>
        <w:pStyle w:val="Paragraph"/>
      </w:pPr>
    </w:p>
    <w:p w14:paraId="2C03B769" w14:textId="25A00047" w:rsidR="00BC7E3B" w:rsidRPr="008C0DF9" w:rsidRDefault="008C0DF9" w:rsidP="008C0DF9">
      <w:pPr>
        <w:tabs>
          <w:tab w:val="left" w:pos="1905"/>
        </w:tabs>
      </w:pPr>
      <w:r>
        <w:lastRenderedPageBreak/>
        <w:tab/>
      </w:r>
    </w:p>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678"/>
      </w:tblGrid>
      <w:tr w:rsidR="00BA294E" w14:paraId="291B8662" w14:textId="77777777" w:rsidTr="000948E6">
        <w:trPr>
          <w:trHeight w:val="4101"/>
        </w:trPr>
        <w:tc>
          <w:tcPr>
            <w:tcW w:w="4820" w:type="dxa"/>
          </w:tcPr>
          <w:p w14:paraId="11A731B1" w14:textId="404C809B" w:rsidR="00673EFE" w:rsidRDefault="000759E5" w:rsidP="00702E3E">
            <w:pPr>
              <w:pStyle w:val="Paragraph"/>
              <w:ind w:firstLine="0"/>
              <w:jc w:val="center"/>
            </w:pPr>
            <w:r>
              <w:rPr>
                <w:noProof/>
                <w:lang w:val="fr-FR" w:eastAsia="fr-FR"/>
              </w:rPr>
              <w:drawing>
                <wp:inline distT="0" distB="0" distL="0" distR="0" wp14:anchorId="51EE87C9" wp14:editId="74CF6DD5">
                  <wp:extent cx="2950210" cy="2484408"/>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contrast="-40000"/>
                                    </a14:imgEffect>
                                  </a14:imgLayer>
                                </a14:imgProps>
                              </a:ext>
                            </a:extLst>
                          </a:blip>
                          <a:stretch>
                            <a:fillRect/>
                          </a:stretch>
                        </pic:blipFill>
                        <pic:spPr>
                          <a:xfrm>
                            <a:off x="0" y="0"/>
                            <a:ext cx="2954961" cy="2488408"/>
                          </a:xfrm>
                          <a:prstGeom prst="rect">
                            <a:avLst/>
                          </a:prstGeom>
                        </pic:spPr>
                      </pic:pic>
                    </a:graphicData>
                  </a:graphic>
                </wp:inline>
              </w:drawing>
            </w:r>
          </w:p>
        </w:tc>
        <w:tc>
          <w:tcPr>
            <w:tcW w:w="4678" w:type="dxa"/>
          </w:tcPr>
          <w:p w14:paraId="562A2007" w14:textId="79E1CAF3" w:rsidR="00673EFE" w:rsidRDefault="000759E5" w:rsidP="00702E3E">
            <w:pPr>
              <w:pStyle w:val="Paragraph"/>
              <w:ind w:firstLine="0"/>
              <w:jc w:val="center"/>
            </w:pPr>
            <w:r>
              <w:rPr>
                <w:noProof/>
                <w:lang w:val="fr-FR" w:eastAsia="fr-FR"/>
              </w:rPr>
              <w:drawing>
                <wp:inline distT="0" distB="0" distL="0" distR="0" wp14:anchorId="6633C61C" wp14:editId="738B1189">
                  <wp:extent cx="2820622" cy="24841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contrast="-40000"/>
                                    </a14:imgEffect>
                                  </a14:imgLayer>
                                </a14:imgProps>
                              </a:ext>
                            </a:extLst>
                          </a:blip>
                          <a:stretch>
                            <a:fillRect/>
                          </a:stretch>
                        </pic:blipFill>
                        <pic:spPr>
                          <a:xfrm>
                            <a:off x="0" y="0"/>
                            <a:ext cx="2842763" cy="2503619"/>
                          </a:xfrm>
                          <a:prstGeom prst="rect">
                            <a:avLst/>
                          </a:prstGeom>
                        </pic:spPr>
                      </pic:pic>
                    </a:graphicData>
                  </a:graphic>
                </wp:inline>
              </w:drawing>
            </w:r>
          </w:p>
        </w:tc>
      </w:tr>
      <w:tr w:rsidR="00BA294E" w14:paraId="7F796B83" w14:textId="77777777" w:rsidTr="000948E6">
        <w:trPr>
          <w:trHeight w:val="291"/>
        </w:trPr>
        <w:tc>
          <w:tcPr>
            <w:tcW w:w="4820" w:type="dxa"/>
          </w:tcPr>
          <w:p w14:paraId="1FFF2F47" w14:textId="77777777" w:rsidR="00673EFE" w:rsidRDefault="00673EFE" w:rsidP="00702E3E">
            <w:pPr>
              <w:pStyle w:val="Paragraph"/>
              <w:ind w:firstLine="0"/>
              <w:jc w:val="center"/>
            </w:pPr>
            <w:r>
              <w:t>(a)</w:t>
            </w:r>
          </w:p>
        </w:tc>
        <w:tc>
          <w:tcPr>
            <w:tcW w:w="4678" w:type="dxa"/>
          </w:tcPr>
          <w:p w14:paraId="1BC569D2" w14:textId="77777777" w:rsidR="00673EFE" w:rsidRDefault="00673EFE" w:rsidP="00702E3E">
            <w:pPr>
              <w:pStyle w:val="Paragraph"/>
              <w:ind w:firstLine="0"/>
              <w:jc w:val="center"/>
            </w:pPr>
            <w:r>
              <w:t>(b)</w:t>
            </w:r>
          </w:p>
        </w:tc>
      </w:tr>
      <w:tr w:rsidR="00673EFE" w14:paraId="05EC231C" w14:textId="77777777" w:rsidTr="000948E6">
        <w:trPr>
          <w:trHeight w:val="3803"/>
        </w:trPr>
        <w:tc>
          <w:tcPr>
            <w:tcW w:w="9498" w:type="dxa"/>
            <w:gridSpan w:val="2"/>
          </w:tcPr>
          <w:p w14:paraId="155F5928" w14:textId="4E809D7E" w:rsidR="00673EFE" w:rsidRDefault="000759E5" w:rsidP="00702E3E">
            <w:pPr>
              <w:pStyle w:val="Paragraph"/>
              <w:ind w:firstLine="0"/>
              <w:jc w:val="center"/>
            </w:pPr>
            <w:r>
              <w:rPr>
                <w:noProof/>
                <w:lang w:val="fr-FR" w:eastAsia="fr-FR"/>
              </w:rPr>
              <w:drawing>
                <wp:inline distT="0" distB="0" distL="0" distR="0" wp14:anchorId="3726D5C6" wp14:editId="63437B6A">
                  <wp:extent cx="2941608" cy="2379980"/>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harpenSoften amount="50000"/>
                                    </a14:imgEffect>
                                    <a14:imgEffect>
                                      <a14:brightnessContrast contrast="-40000"/>
                                    </a14:imgEffect>
                                  </a14:imgLayer>
                                </a14:imgProps>
                              </a:ext>
                            </a:extLst>
                          </a:blip>
                          <a:stretch>
                            <a:fillRect/>
                          </a:stretch>
                        </pic:blipFill>
                        <pic:spPr>
                          <a:xfrm>
                            <a:off x="0" y="0"/>
                            <a:ext cx="2945981" cy="2383518"/>
                          </a:xfrm>
                          <a:prstGeom prst="rect">
                            <a:avLst/>
                          </a:prstGeom>
                        </pic:spPr>
                      </pic:pic>
                    </a:graphicData>
                  </a:graphic>
                </wp:inline>
              </w:drawing>
            </w:r>
          </w:p>
        </w:tc>
      </w:tr>
      <w:tr w:rsidR="00673EFE" w14:paraId="51E35501" w14:textId="77777777" w:rsidTr="000948E6">
        <w:trPr>
          <w:trHeight w:val="291"/>
        </w:trPr>
        <w:tc>
          <w:tcPr>
            <w:tcW w:w="9498" w:type="dxa"/>
            <w:gridSpan w:val="2"/>
          </w:tcPr>
          <w:p w14:paraId="434F3CFC" w14:textId="308A9930" w:rsidR="00673EFE" w:rsidRDefault="00673EFE" w:rsidP="00702E3E">
            <w:pPr>
              <w:pStyle w:val="Paragraph"/>
              <w:ind w:firstLine="0"/>
              <w:jc w:val="center"/>
            </w:pPr>
            <w:r>
              <w:t>(c)</w:t>
            </w:r>
          </w:p>
        </w:tc>
      </w:tr>
    </w:tbl>
    <w:p w14:paraId="13572806" w14:textId="2C12A023" w:rsidR="00673EFE" w:rsidRPr="001423D2" w:rsidRDefault="000759E5" w:rsidP="001423D2">
      <w:pPr>
        <w:pStyle w:val="Paragraph"/>
        <w:jc w:val="center"/>
        <w:rPr>
          <w:sz w:val="18"/>
          <w:szCs w:val="18"/>
        </w:rPr>
      </w:pPr>
      <w:r w:rsidRPr="001423D2">
        <w:rPr>
          <w:b/>
          <w:caps/>
          <w:sz w:val="18"/>
          <w:szCs w:val="18"/>
        </w:rPr>
        <w:t xml:space="preserve">Figure </w:t>
      </w:r>
      <w:r w:rsidR="00446C2F" w:rsidRPr="001423D2">
        <w:rPr>
          <w:b/>
          <w:caps/>
          <w:sz w:val="18"/>
          <w:szCs w:val="18"/>
        </w:rPr>
        <w:t>3</w:t>
      </w:r>
      <w:r w:rsidRPr="001423D2">
        <w:rPr>
          <w:b/>
          <w:caps/>
          <w:sz w:val="18"/>
          <w:szCs w:val="18"/>
        </w:rPr>
        <w:t>.</w:t>
      </w:r>
      <w:r w:rsidRPr="001423D2">
        <w:rPr>
          <w:sz w:val="18"/>
          <w:szCs w:val="18"/>
        </w:rPr>
        <w:t xml:space="preserve"> </w:t>
      </w:r>
      <w:r w:rsidR="00FA679B" w:rsidRPr="001423D2">
        <w:rPr>
          <w:iCs/>
          <w:sz w:val="18"/>
          <w:szCs w:val="18"/>
        </w:rPr>
        <w:t>Hourly per</w:t>
      </w:r>
      <w:r w:rsidR="00C754CB" w:rsidRPr="001423D2">
        <w:rPr>
          <w:iCs/>
          <w:sz w:val="18"/>
          <w:szCs w:val="18"/>
        </w:rPr>
        <w:t>formance analysis in terms of (a) MAE, (b) RMSE and (c) MBE of the three models</w:t>
      </w:r>
    </w:p>
    <w:p w14:paraId="260257EA" w14:textId="77777777" w:rsidR="00673EFE" w:rsidRPr="00BC7E3B" w:rsidRDefault="00673EFE" w:rsidP="00BC7E3B">
      <w:pPr>
        <w:pStyle w:val="Paragraph"/>
      </w:pPr>
    </w:p>
    <w:p w14:paraId="292C992C" w14:textId="0A4C4551" w:rsidR="00BC7E3B" w:rsidRPr="00BC7E3B" w:rsidRDefault="00BC7E3B" w:rsidP="008C7A00">
      <w:pPr>
        <w:pStyle w:val="Paragraph"/>
      </w:pPr>
      <w:r w:rsidRPr="00BC7E3B">
        <w:t xml:space="preserve">During the early morning till noon, solar irradiance rises until it becomes stable. This period showcases the best performance for all models, particularly for the </w:t>
      </w:r>
      <w:r w:rsidR="00285F4C">
        <w:t>MODWPT</w:t>
      </w:r>
      <w:r w:rsidRPr="00BC7E3B">
        <w:t xml:space="preserve">-CNN-LSTM-MLP model. The latter model's MAE remains lowest, ranging from 4.98 to 5.27, whilst its RMSE is below 6.79. The MBE of </w:t>
      </w:r>
      <w:r w:rsidR="00285F4C">
        <w:t>MODWPT</w:t>
      </w:r>
      <w:r w:rsidRPr="00BC7E3B">
        <w:t>-CNN-LSTM-MLP during this period of time is slightly positive, indicating on average a minor overestimation of irradiance.</w:t>
      </w:r>
      <w:r w:rsidR="008C7A00">
        <w:t xml:space="preserve"> </w:t>
      </w:r>
      <w:r w:rsidRPr="00BC7E3B">
        <w:t xml:space="preserve">On the other hand, the </w:t>
      </w:r>
      <w:r w:rsidR="00285F4C">
        <w:t>MODWPT</w:t>
      </w:r>
      <w:r w:rsidRPr="00BC7E3B">
        <w:t xml:space="preserve">-LSTM-MLP model shows a significantly larger positive MBE, with values exceeding 10. This suggest the MLP layer in the latter model may be learning an overly aggressive rising trend, without the 1D CNN </w:t>
      </w:r>
      <w:r w:rsidR="00182FBD" w:rsidRPr="00BC7E3B">
        <w:t>layer</w:t>
      </w:r>
      <w:r w:rsidR="00182FBD">
        <w:t>,</w:t>
      </w:r>
      <w:r w:rsidR="00182FBD" w:rsidRPr="00182FBD">
        <w:rPr>
          <w:rFonts w:ascii="Segoe UI" w:hAnsi="Segoe UI" w:cs="Segoe UI"/>
          <w:color w:val="0F1115"/>
          <w:sz w:val="24"/>
          <w:shd w:val="clear" w:color="auto" w:fill="FFFFFF"/>
        </w:rPr>
        <w:t xml:space="preserve"> </w:t>
      </w:r>
      <w:r w:rsidR="00182FBD" w:rsidRPr="00182FBD">
        <w:t>causing it to overshoot the actual irradiance</w:t>
      </w:r>
      <w:r w:rsidR="00182FBD">
        <w:t>.</w:t>
      </w:r>
      <w:r>
        <w:t xml:space="preserve"> </w:t>
      </w:r>
      <w:r w:rsidRPr="00BC7E3B">
        <w:t xml:space="preserve">Regarding the </w:t>
      </w:r>
      <w:r w:rsidR="00285F4C">
        <w:t>MODWPT</w:t>
      </w:r>
      <w:r w:rsidRPr="00BC7E3B">
        <w:t>-LSTM, a negative MBE is observed implying that the latter model consistently underestimates irradiance and is therefore unable to fully capture the increasing trend during this period of time.</w:t>
      </w:r>
      <w:r w:rsidR="00346246">
        <w:t xml:space="preserve"> </w:t>
      </w:r>
    </w:p>
    <w:p w14:paraId="064F5386" w14:textId="62D26DDE" w:rsidR="00BC7E3B" w:rsidRDefault="00BC7E3B" w:rsidP="00726DC2">
      <w:pPr>
        <w:pStyle w:val="Paragraph"/>
      </w:pPr>
      <w:r w:rsidRPr="00BC7E3B">
        <w:t xml:space="preserve">From noon onwards, </w:t>
      </w:r>
      <w:r w:rsidR="00C64F04">
        <w:t xml:space="preserve">the tropical island of Mauritius faces </w:t>
      </w:r>
      <w:r w:rsidR="00C64F04" w:rsidRPr="00BC7E3B">
        <w:t>increase</w:t>
      </w:r>
      <w:r w:rsidR="00074FF8">
        <w:t>d atmospheric instabilities</w:t>
      </w:r>
      <w:r w:rsidR="00C64F04">
        <w:t xml:space="preserve"> such</w:t>
      </w:r>
      <w:r w:rsidR="00C64F04" w:rsidRPr="00BC7E3B">
        <w:t xml:space="preserve"> </w:t>
      </w:r>
      <w:r w:rsidR="00C64F04" w:rsidRPr="00C64F04">
        <w:t>cloud cover, convectional rain amongst others</w:t>
      </w:r>
      <w:r w:rsidR="00C64F04">
        <w:t xml:space="preserve">, </w:t>
      </w:r>
      <w:r w:rsidR="00ED1C66">
        <w:t>inducing higher solar heterogeneity</w:t>
      </w:r>
      <w:r w:rsidRPr="00C64F04">
        <w:t>.</w:t>
      </w:r>
      <w:r w:rsidRPr="00BC7E3B">
        <w:t xml:space="preserve"> Even the </w:t>
      </w:r>
      <w:r w:rsidR="00285F4C">
        <w:t>MODWPT</w:t>
      </w:r>
      <w:r w:rsidRPr="00BC7E3B">
        <w:t>-CNN-LSTM-MLP model experiences a slight drop forecasting performance, with its</w:t>
      </w:r>
      <w:r w:rsidR="003C1D17">
        <w:t xml:space="preserve"> MAE and</w:t>
      </w:r>
      <w:r w:rsidRPr="00BC7E3B">
        <w:t xml:space="preserve"> RMSE peaking around 13:00-14:00. It can be also noted through the MBE that the model slightly underestimates irradiance when cloud cover, convectional rain or other transient phenomena occur. Even though, </w:t>
      </w:r>
      <w:r w:rsidR="00285F4C">
        <w:t>MODWPT</w:t>
      </w:r>
      <w:r w:rsidRPr="00BC7E3B">
        <w:t>-CNN-LSTM-MLP shows a slight drop in performance, its forecast errors are substantially lower than the other two models, demonstrating its robustness to volatility</w:t>
      </w:r>
      <w:r w:rsidR="00723D3E">
        <w:t xml:space="preserve">. </w:t>
      </w:r>
      <w:r w:rsidR="006A4006" w:rsidRPr="006A4006">
        <w:t xml:space="preserve">This is due to the ability of the CNN in identifying the localized, high-frequency signatures in the wavelet data corresponding to </w:t>
      </w:r>
      <w:r w:rsidR="006A4006" w:rsidRPr="006A4006">
        <w:lastRenderedPageBreak/>
        <w:t xml:space="preserve">cloud passage. </w:t>
      </w:r>
      <w:r w:rsidRPr="00BC7E3B">
        <w:t xml:space="preserve">In contrast, the </w:t>
      </w:r>
      <w:r w:rsidR="00285F4C">
        <w:t>MODWPT</w:t>
      </w:r>
      <w:r w:rsidRPr="00BC7E3B">
        <w:t xml:space="preserve">-LSTM-MLP model shows an increase in performance with lower MAE and RMSE decrease and an MBE approaching zero compared to the forenoon. </w:t>
      </w:r>
      <w:r w:rsidR="007B649A" w:rsidRPr="00726DC2">
        <w:t>However,</w:t>
      </w:r>
      <w:r w:rsidR="00726DC2" w:rsidRPr="00726DC2">
        <w:t xml:space="preserve"> it fails to effectively capture critical dynamics as the CNN-based model, as evide</w:t>
      </w:r>
      <w:r w:rsidR="00726DC2">
        <w:t>nced by its higher MAE and RMSE</w:t>
      </w:r>
      <w:r w:rsidRPr="00BC7E3B">
        <w:t>.</w:t>
      </w:r>
      <w:r>
        <w:t xml:space="preserve"> </w:t>
      </w:r>
      <w:r w:rsidRPr="00BC7E3B">
        <w:t xml:space="preserve">The performance of the </w:t>
      </w:r>
      <w:r w:rsidR="00285F4C">
        <w:t>MODWPT</w:t>
      </w:r>
      <w:r w:rsidRPr="00BC7E3B">
        <w:t xml:space="preserve">-LSTM model deteriorates further </w:t>
      </w:r>
      <w:r w:rsidR="003C1D17">
        <w:t xml:space="preserve">when faced with volatile data </w:t>
      </w:r>
      <w:r w:rsidRPr="00BC7E3B">
        <w:t>during the afternoon</w:t>
      </w:r>
      <w:r w:rsidR="003C1D17">
        <w:t>.</w:t>
      </w:r>
      <w:r w:rsidRPr="00BC7E3B">
        <w:t xml:space="preserve"> </w:t>
      </w:r>
      <w:r w:rsidR="003C1D17">
        <w:t xml:space="preserve">It shows </w:t>
      </w:r>
      <w:r w:rsidRPr="00BC7E3B">
        <w:t xml:space="preserve">the highest MAE and RMSE and a </w:t>
      </w:r>
      <w:r w:rsidR="003C1D17">
        <w:t xml:space="preserve">strong </w:t>
      </w:r>
      <w:r w:rsidRPr="00BC7E3B">
        <w:t>negative MBE. The latter network fails to predict irradiance fluctuation caused by cloud cover</w:t>
      </w:r>
      <w:r w:rsidR="003C1D17">
        <w:t xml:space="preserve"> amongst others</w:t>
      </w:r>
      <w:r w:rsidRPr="00BC7E3B">
        <w:t>.</w:t>
      </w:r>
      <w:r w:rsidR="006A4006">
        <w:t xml:space="preserve"> This suggest</w:t>
      </w:r>
      <w:r w:rsidR="00074FF8">
        <w:t>s</w:t>
      </w:r>
      <w:r w:rsidR="006A4006">
        <w:t xml:space="preserve"> that the LSTM alone </w:t>
      </w:r>
      <w:r w:rsidR="006A4006" w:rsidRPr="00346246">
        <w:t>struggles with the high-frequency components, even after wavelet decomposition.</w:t>
      </w:r>
    </w:p>
    <w:p w14:paraId="5E9AB4AB" w14:textId="77777777" w:rsidR="00BC7E3B" w:rsidRPr="00BC7E3B" w:rsidRDefault="00BC7E3B" w:rsidP="00BC7E3B">
      <w:pPr>
        <w:pStyle w:val="Heading1"/>
      </w:pPr>
      <w:r w:rsidRPr="00BC7E3B">
        <w:t>CONCLUSION</w:t>
      </w:r>
    </w:p>
    <w:p w14:paraId="01D5FFDF" w14:textId="1221B91B" w:rsidR="00BC7E3B" w:rsidRPr="00BC7E3B" w:rsidRDefault="00BC7E3B" w:rsidP="00B55C21">
      <w:pPr>
        <w:pStyle w:val="Paragraph"/>
      </w:pPr>
      <w:r w:rsidRPr="00BC7E3B">
        <w:t xml:space="preserve">In this paper, three hybrid models namely the </w:t>
      </w:r>
      <w:r w:rsidR="00285F4C">
        <w:t>MODWPT</w:t>
      </w:r>
      <w:r w:rsidRPr="00BC7E3B">
        <w:t xml:space="preserve">-CNN-LSTM-MLP, </w:t>
      </w:r>
      <w:r w:rsidR="00285F4C">
        <w:t>MODWPT</w:t>
      </w:r>
      <w:r w:rsidRPr="00BC7E3B">
        <w:t xml:space="preserve">-LSTM-MLP and the </w:t>
      </w:r>
      <w:r w:rsidR="00285F4C">
        <w:t>MODWPT</w:t>
      </w:r>
      <w:r w:rsidRPr="00BC7E3B">
        <w:t>-LSTM are developed for the 15 minutes ahead solar irradiance forecasting. The key contributions of the presen</w:t>
      </w:r>
      <w:r w:rsidR="006E528D">
        <w:t>t research are summarized below.</w:t>
      </w:r>
      <w:r w:rsidRPr="00BC7E3B">
        <w:t xml:space="preserve"> The </w:t>
      </w:r>
      <w:r w:rsidR="00285F4C">
        <w:t>MODWPT</w:t>
      </w:r>
      <w:r w:rsidRPr="00BC7E3B">
        <w:t>-CNN-LSTM-MLP outperforms all the other models with lowest values of MAE, RMSE</w:t>
      </w:r>
      <w:r w:rsidR="00532BDE">
        <w:t>, R</w:t>
      </w:r>
      <w:r w:rsidR="00532BDE" w:rsidRPr="00532BDE">
        <w:rPr>
          <w:vertAlign w:val="superscript"/>
        </w:rPr>
        <w:t>2</w:t>
      </w:r>
      <w:r w:rsidRPr="00BC7E3B">
        <w:t xml:space="preserve"> and an MBE close to zero. </w:t>
      </w:r>
      <w:r w:rsidR="00D959F9">
        <w:t>A</w:t>
      </w:r>
      <w:r w:rsidRPr="00BC7E3B">
        <w:t xml:space="preserve"> progressive improvement of a multi-level, hierarchical feature extraction process can be observed from </w:t>
      </w:r>
      <w:r w:rsidR="00285F4C">
        <w:t>MODWPT</w:t>
      </w:r>
      <w:r w:rsidRPr="00BC7E3B">
        <w:t xml:space="preserve">-LSTM to </w:t>
      </w:r>
      <w:r w:rsidR="00285F4C">
        <w:t>MODWPT</w:t>
      </w:r>
      <w:r w:rsidRPr="00BC7E3B">
        <w:t xml:space="preserve">-LSTM-MLP and finally to </w:t>
      </w:r>
      <w:r w:rsidR="00285F4C">
        <w:t>MODWPT</w:t>
      </w:r>
      <w:r w:rsidRPr="00BC7E3B">
        <w:t xml:space="preserve">-CNN-LSTM-MLP. All models employ LSTM which is essential for modeling time dependencies. Nevertheless, its effectiveness is dependent on the quality of the input features it receives. Hence the inclusion of the 1D-CNN layers which extract patterns from the </w:t>
      </w:r>
      <w:r w:rsidR="00CF64FD">
        <w:t xml:space="preserve">MODWPT </w:t>
      </w:r>
      <w:r w:rsidRPr="00BC7E3B">
        <w:t xml:space="preserve">coefficients, creating a more refine and informative feature map for the LSTM. Networks without the 1D-CNN filter, like the </w:t>
      </w:r>
      <w:r w:rsidR="00CF64FD">
        <w:t>MODWPT</w:t>
      </w:r>
      <w:r w:rsidRPr="00BC7E3B">
        <w:t xml:space="preserve">-LSTM and </w:t>
      </w:r>
      <w:r w:rsidR="00CF64FD">
        <w:t>MODWPT</w:t>
      </w:r>
      <w:r w:rsidRPr="00BC7E3B">
        <w:t>-LSTM-MLP yield in higher MAE and RMSE values.</w:t>
      </w:r>
      <w:r w:rsidR="0044386B">
        <w:t xml:space="preserve"> </w:t>
      </w:r>
      <w:r w:rsidRPr="00BC7E3B">
        <w:t xml:space="preserve">A granular analysis of the hourly performance revealed that during the forenoon, all models showed their best performance, especially the </w:t>
      </w:r>
      <w:r w:rsidR="00CF64FD">
        <w:t>MODWPT</w:t>
      </w:r>
      <w:r w:rsidRPr="00BC7E3B">
        <w:t>-CNN-LSTM-MLP with the lowest MAE ranging from 4.98 to 5.27, whilst its RMSE is below 6.79. However, during the afternoon session coincides with peak solar heating, which often triggers convectional rain and cloud formation, resulting in solar irradiance variability. The latter variability</w:t>
      </w:r>
      <w:r w:rsidR="00714834">
        <w:t xml:space="preserve"> slightly</w:t>
      </w:r>
      <w:r w:rsidRPr="00BC7E3B">
        <w:t xml:space="preserve"> impacts the performance of the </w:t>
      </w:r>
      <w:r w:rsidR="00CF64FD">
        <w:t>MODWPT</w:t>
      </w:r>
      <w:r w:rsidRPr="00BC7E3B">
        <w:t xml:space="preserve">-CNN-LSTM-MLP as seen on the rise in MAE and RMSE values. Surprisingly, the </w:t>
      </w:r>
      <w:r w:rsidR="00CF64FD">
        <w:t>MODWPT</w:t>
      </w:r>
      <w:r w:rsidRPr="00BC7E3B">
        <w:t>-LSTM-MLP network showed some adaption to this afternoon variability with lower MAE and RMSE, though not as effectively as the CNN-based model.</w:t>
      </w:r>
    </w:p>
    <w:p w14:paraId="5A73B264" w14:textId="30D7C3F3" w:rsidR="003E7C74" w:rsidRPr="00075EA6" w:rsidRDefault="00BC7E3B" w:rsidP="00BE12E3">
      <w:pPr>
        <w:pStyle w:val="Paragraph"/>
      </w:pPr>
      <w:r w:rsidRPr="00BC7E3B">
        <w:t xml:space="preserve">This paper presents an accurate hybrid solar irradiance forecasting model namely the </w:t>
      </w:r>
      <w:r w:rsidR="00CF64FD">
        <w:t>MODWPT</w:t>
      </w:r>
      <w:r w:rsidRPr="00BC7E3B">
        <w:t>-CNN-LSTM-MLP which can help reduce the impact of the intermittent nature of solar energy and therefore improves the stability and reliability of the PV system. The proposed model can help increases the penetration level of the PV system and to promote the integration of PV power into power grids</w:t>
      </w:r>
      <w:r w:rsidR="00BE12E3">
        <w:t>.</w:t>
      </w:r>
      <w:r w:rsidR="00776D10">
        <w:t xml:space="preserve"> Future studies can be geared towards the performance evaluation of the proposed model for </w:t>
      </w:r>
      <w:r w:rsidR="0055125B">
        <w:t>longer</w:t>
      </w:r>
      <w:r w:rsidR="00776D10">
        <w:t xml:space="preserve"> forecasting horizon</w:t>
      </w:r>
      <w:r w:rsidR="0055125B">
        <w:t>s</w:t>
      </w:r>
      <w:r w:rsidR="00776D10">
        <w:t xml:space="preserve"> and a comparison to other class of forecaster</w:t>
      </w:r>
      <w:r w:rsidR="0055125B">
        <w:t>s</w:t>
      </w:r>
      <w:r w:rsidR="00776D10">
        <w:t xml:space="preserve"> like t</w:t>
      </w:r>
      <w:r w:rsidR="00781A1F">
        <w:t xml:space="preserve">he statistical Johansen VECM </w:t>
      </w:r>
      <w:r w:rsidR="0006657E">
        <w:t xml:space="preserve">and other </w:t>
      </w:r>
      <w:r w:rsidR="00781A1F">
        <w:t>empirical</w:t>
      </w:r>
      <w:r w:rsidR="0006657E">
        <w:t xml:space="preserve"> models</w:t>
      </w:r>
      <w:r w:rsidR="00776D10">
        <w:t xml:space="preserve">. </w:t>
      </w:r>
    </w:p>
    <w:p w14:paraId="7691B80C" w14:textId="262B2E04" w:rsidR="00613B4D" w:rsidRPr="00075EA6" w:rsidRDefault="0016385D" w:rsidP="00613B4D">
      <w:pPr>
        <w:pStyle w:val="Heading1"/>
      </w:pPr>
      <w:r w:rsidRPr="00075EA6">
        <w:rPr>
          <w:rFonts w:asciiTheme="majorBidi" w:hAnsiTheme="majorBidi" w:cstheme="majorBidi"/>
        </w:rPr>
        <w:t>Acknowledgments</w:t>
      </w:r>
    </w:p>
    <w:p w14:paraId="21378B6A" w14:textId="28892DB8" w:rsidR="00641143" w:rsidRPr="00075EA6" w:rsidRDefault="000607E3" w:rsidP="00C76A61">
      <w:pPr>
        <w:pStyle w:val="Paragraph"/>
        <w:rPr>
          <w:rFonts w:asciiTheme="majorBidi" w:hAnsiTheme="majorBidi" w:cstheme="majorBidi"/>
        </w:rPr>
      </w:pPr>
      <w:r>
        <w:t xml:space="preserve">This work has been conducted under the HEC (Higher Education Commission Mauritius) MPhil/PhD scholarship. </w:t>
      </w:r>
      <w:r w:rsidR="00C76A61">
        <w:t>The authors wish to thank Miss Rawsiya Khadaroo for her help and support.</w:t>
      </w:r>
    </w:p>
    <w:p w14:paraId="74D4F45E" w14:textId="2DFB1298" w:rsidR="00613B4D" w:rsidRPr="00581300" w:rsidRDefault="0016385D" w:rsidP="00581300">
      <w:pPr>
        <w:pStyle w:val="Heading1"/>
        <w:rPr>
          <w:b w:val="0"/>
          <w:caps w:val="0"/>
          <w:sz w:val="20"/>
        </w:rPr>
      </w:pPr>
      <w:r w:rsidRPr="00075EA6">
        <w:rPr>
          <w:rFonts w:asciiTheme="majorBidi" w:hAnsiTheme="majorBidi" w:cstheme="majorBidi"/>
        </w:rPr>
        <w:t>References</w:t>
      </w:r>
    </w:p>
    <w:p w14:paraId="260226A1" w14:textId="77777777" w:rsidR="00886E2C" w:rsidRPr="00886E2C" w:rsidRDefault="00886E2C" w:rsidP="00886E2C">
      <w:pPr>
        <w:pStyle w:val="Reference"/>
      </w:pPr>
      <w:r w:rsidRPr="00886E2C">
        <w:t>S. Sobri, S. Koohi-Kamali, and N. A. Rahim, </w:t>
      </w:r>
      <w:r w:rsidRPr="00886E2C">
        <w:rPr>
          <w:rStyle w:val="Emphasis"/>
          <w:color w:val="0F1115"/>
        </w:rPr>
        <w:t>Energy Convers. Manage.</w:t>
      </w:r>
      <w:r w:rsidRPr="00886E2C">
        <w:t> </w:t>
      </w:r>
      <w:r w:rsidRPr="00886E2C">
        <w:rPr>
          <w:rStyle w:val="Strong"/>
          <w:color w:val="0F1115"/>
        </w:rPr>
        <w:t>156</w:t>
      </w:r>
      <w:r w:rsidRPr="00886E2C">
        <w:t>, 459 (2018).</w:t>
      </w:r>
    </w:p>
    <w:p w14:paraId="3488DE3B" w14:textId="77777777" w:rsidR="00886E2C" w:rsidRPr="00886E2C" w:rsidRDefault="00886E2C" w:rsidP="00886E2C">
      <w:pPr>
        <w:pStyle w:val="Reference"/>
      </w:pPr>
      <w:r w:rsidRPr="00886E2C">
        <w:t>M. Pushpavalli, D. Dhanya, M. Kulkarni, R. J. Jasmine, B. Umarani, M. RamprasadReddy, and A. Rajaram, </w:t>
      </w:r>
      <w:r w:rsidRPr="00886E2C">
        <w:rPr>
          <w:rStyle w:val="Emphasis"/>
          <w:color w:val="0F1115"/>
        </w:rPr>
        <w:t>Electr. Power Compon. Syst.</w:t>
      </w:r>
      <w:r w:rsidRPr="00886E2C">
        <w:t> </w:t>
      </w:r>
      <w:r w:rsidRPr="00886E2C">
        <w:rPr>
          <w:rStyle w:val="Strong"/>
          <w:color w:val="0F1115"/>
        </w:rPr>
        <w:t>52</w:t>
      </w:r>
      <w:r w:rsidRPr="00886E2C">
        <w:t>, 1 (2024).</w:t>
      </w:r>
    </w:p>
    <w:p w14:paraId="01C25FE5" w14:textId="77777777" w:rsidR="00886E2C" w:rsidRPr="00886E2C" w:rsidRDefault="00886E2C" w:rsidP="00886E2C">
      <w:pPr>
        <w:pStyle w:val="Reference"/>
      </w:pPr>
      <w:r w:rsidRPr="00886E2C">
        <w:t>P. Kumari and D. Toshniwal, </w:t>
      </w:r>
      <w:r w:rsidRPr="00886E2C">
        <w:rPr>
          <w:rStyle w:val="Emphasis"/>
          <w:color w:val="0F1115"/>
        </w:rPr>
        <w:t>J. Clean. Prod.</w:t>
      </w:r>
      <w:r w:rsidRPr="00886E2C">
        <w:t> </w:t>
      </w:r>
      <w:r w:rsidRPr="00886E2C">
        <w:rPr>
          <w:rStyle w:val="Strong"/>
          <w:color w:val="0F1115"/>
        </w:rPr>
        <w:t>318</w:t>
      </w:r>
      <w:r w:rsidRPr="00886E2C">
        <w:t>, 128566 (2021).</w:t>
      </w:r>
    </w:p>
    <w:p w14:paraId="18E588DE" w14:textId="77777777" w:rsidR="00886E2C" w:rsidRPr="00886E2C" w:rsidRDefault="00886E2C" w:rsidP="00886E2C">
      <w:pPr>
        <w:pStyle w:val="Reference"/>
      </w:pPr>
      <w:r w:rsidRPr="00886E2C">
        <w:t>E. Chodakowska, J. Nazarko, Ł. Nazarko, and H. S. Rabayah, </w:t>
      </w:r>
      <w:r w:rsidRPr="00886E2C">
        <w:rPr>
          <w:rStyle w:val="Emphasis"/>
          <w:color w:val="0F1115"/>
        </w:rPr>
        <w:t>Energies</w:t>
      </w:r>
      <w:r w:rsidRPr="00886E2C">
        <w:t> </w:t>
      </w:r>
      <w:r w:rsidRPr="00886E2C">
        <w:rPr>
          <w:rStyle w:val="Strong"/>
          <w:color w:val="0F1115"/>
        </w:rPr>
        <w:t>17</w:t>
      </w:r>
      <w:r w:rsidRPr="00886E2C">
        <w:t>, 3156 (2024).</w:t>
      </w:r>
    </w:p>
    <w:p w14:paraId="38C07ABA" w14:textId="77777777" w:rsidR="00886E2C" w:rsidRPr="00886E2C" w:rsidRDefault="00886E2C" w:rsidP="00886E2C">
      <w:pPr>
        <w:pStyle w:val="Reference"/>
      </w:pPr>
      <w:r w:rsidRPr="00886E2C">
        <w:t>A. E. Gürel, Ü. Ağbulut, H. Bakır, A. Ergün, and G. Yıldız, </w:t>
      </w:r>
      <w:r w:rsidRPr="00886E2C">
        <w:rPr>
          <w:rStyle w:val="Emphasis"/>
          <w:color w:val="0F1115"/>
        </w:rPr>
        <w:t>Heliyon</w:t>
      </w:r>
      <w:r w:rsidRPr="00886E2C">
        <w:t> </w:t>
      </w:r>
      <w:r w:rsidRPr="00886E2C">
        <w:rPr>
          <w:rStyle w:val="Strong"/>
          <w:color w:val="0F1115"/>
        </w:rPr>
        <w:t>9</w:t>
      </w:r>
      <w:r w:rsidRPr="00886E2C">
        <w:t>, e13214 (2023).</w:t>
      </w:r>
    </w:p>
    <w:p w14:paraId="4B310664" w14:textId="77777777" w:rsidR="00886E2C" w:rsidRPr="00886E2C" w:rsidRDefault="00886E2C" w:rsidP="00886E2C">
      <w:pPr>
        <w:pStyle w:val="Reference"/>
      </w:pPr>
      <w:r w:rsidRPr="00886E2C">
        <w:t>C. M. Travieso-González, F. Cabrera-Quintero, A. Pinan-Roescher, and S. Celada-Bernal, </w:t>
      </w:r>
      <w:r w:rsidRPr="00886E2C">
        <w:rPr>
          <w:rStyle w:val="Emphasis"/>
          <w:color w:val="0F1115"/>
        </w:rPr>
        <w:t>Appl. Sci.</w:t>
      </w:r>
      <w:r w:rsidRPr="00886E2C">
        <w:t> </w:t>
      </w:r>
      <w:r w:rsidRPr="00886E2C">
        <w:rPr>
          <w:rStyle w:val="Strong"/>
          <w:color w:val="0F1115"/>
        </w:rPr>
        <w:t>14</w:t>
      </w:r>
      <w:r w:rsidRPr="00886E2C">
        <w:t>, 5605 (2024).</w:t>
      </w:r>
    </w:p>
    <w:p w14:paraId="32CEF57B" w14:textId="77777777" w:rsidR="00886E2C" w:rsidRPr="00886E2C" w:rsidRDefault="00886E2C" w:rsidP="00886E2C">
      <w:pPr>
        <w:pStyle w:val="Reference"/>
      </w:pPr>
      <w:r w:rsidRPr="00886E2C">
        <w:rPr>
          <w:lang w:val="fr-FR"/>
        </w:rPr>
        <w:t>L. Nonnenmacher and C. F. M. Coimbra, </w:t>
      </w:r>
      <w:r w:rsidRPr="00886E2C">
        <w:rPr>
          <w:rStyle w:val="Emphasis"/>
          <w:color w:val="0F1115"/>
          <w:lang w:val="fr-FR"/>
        </w:rPr>
        <w:t xml:space="preserve">Sol. </w:t>
      </w:r>
      <w:r w:rsidRPr="00886E2C">
        <w:rPr>
          <w:rStyle w:val="Emphasis"/>
          <w:color w:val="0F1115"/>
        </w:rPr>
        <w:t>Energy</w:t>
      </w:r>
      <w:r w:rsidRPr="00886E2C">
        <w:t> </w:t>
      </w:r>
      <w:r w:rsidRPr="00886E2C">
        <w:rPr>
          <w:rStyle w:val="Strong"/>
          <w:color w:val="0F1115"/>
        </w:rPr>
        <w:t>108</w:t>
      </w:r>
      <w:r w:rsidRPr="00886E2C">
        <w:t>, 447 (2014).</w:t>
      </w:r>
    </w:p>
    <w:p w14:paraId="48AC50A4" w14:textId="14A538A1" w:rsidR="00886E2C" w:rsidRPr="00886E2C" w:rsidRDefault="00886E2C" w:rsidP="00886E2C">
      <w:pPr>
        <w:pStyle w:val="Reference"/>
      </w:pPr>
      <w:r w:rsidRPr="00886E2C">
        <w:t xml:space="preserve">Occhipinti, G., “Impacts of stochastic fluctuations on marine biogeochemical processes,” Ph.D. thesis, University of Trieste, </w:t>
      </w:r>
      <w:r w:rsidR="00255574">
        <w:t>(</w:t>
      </w:r>
      <w:r w:rsidRPr="00886E2C">
        <w:t>2024</w:t>
      </w:r>
      <w:r w:rsidR="00255574">
        <w:t>)</w:t>
      </w:r>
      <w:r w:rsidRPr="00886E2C">
        <w:t>.</w:t>
      </w:r>
    </w:p>
    <w:p w14:paraId="159E7F12" w14:textId="77777777" w:rsidR="00886E2C" w:rsidRPr="00886E2C" w:rsidRDefault="00886E2C" w:rsidP="00886E2C">
      <w:pPr>
        <w:pStyle w:val="Reference"/>
      </w:pPr>
      <w:r w:rsidRPr="00886E2C">
        <w:t>Z. Coya, A. Khoodaruth, H. Ramenah, V. Oree, A. P. Murdan, and M. Bessafi, "Comparing the Johansen VECM model to an AI hybrid model for the short term photovoltaic power forecasting," in </w:t>
      </w:r>
      <w:r w:rsidRPr="00886E2C">
        <w:rPr>
          <w:rStyle w:val="Emphasis"/>
          <w:color w:val="0F1115"/>
        </w:rPr>
        <w:t>1st International Conference on Smart Energy Systems and Artificial Intelligence (SESAI)</w:t>
      </w:r>
      <w:r w:rsidRPr="00886E2C">
        <w:t> (IEEE, 2024) pp. 1–6.</w:t>
      </w:r>
    </w:p>
    <w:p w14:paraId="7C7D80B2" w14:textId="77777777" w:rsidR="00886E2C" w:rsidRPr="00886E2C" w:rsidRDefault="00886E2C" w:rsidP="00886E2C">
      <w:pPr>
        <w:pStyle w:val="Reference"/>
      </w:pPr>
      <w:r w:rsidRPr="00886E2C">
        <w:rPr>
          <w:lang w:val="fr-FR"/>
        </w:rPr>
        <w:t>O. O. Apeh and N. I. Nwulu, </w:t>
      </w:r>
      <w:r w:rsidRPr="00886E2C">
        <w:rPr>
          <w:rStyle w:val="Emphasis"/>
          <w:color w:val="0F1115"/>
          <w:lang w:val="fr-FR"/>
        </w:rPr>
        <w:t xml:space="preserve">J. Environ. </w:t>
      </w:r>
      <w:r w:rsidRPr="00886E2C">
        <w:rPr>
          <w:rStyle w:val="Emphasis"/>
          <w:color w:val="0F1115"/>
        </w:rPr>
        <w:t>Earth Sci.</w:t>
      </w:r>
      <w:r w:rsidRPr="00886E2C">
        <w:t> </w:t>
      </w:r>
      <w:r w:rsidRPr="00886E2C">
        <w:rPr>
          <w:rStyle w:val="Strong"/>
          <w:color w:val="0F1115"/>
        </w:rPr>
        <w:t>7</w:t>
      </w:r>
      <w:r w:rsidRPr="00886E2C">
        <w:t>, (2025).</w:t>
      </w:r>
    </w:p>
    <w:p w14:paraId="75BF1E7A" w14:textId="77777777" w:rsidR="00886E2C" w:rsidRPr="00886E2C" w:rsidRDefault="00886E2C" w:rsidP="00886E2C">
      <w:pPr>
        <w:pStyle w:val="Reference"/>
      </w:pPr>
      <w:r w:rsidRPr="00886E2C">
        <w:lastRenderedPageBreak/>
        <w:t>M. Khodayar, J. Wang, and M. Manthouri, </w:t>
      </w:r>
      <w:r w:rsidRPr="00886E2C">
        <w:rPr>
          <w:rStyle w:val="Emphasis"/>
          <w:color w:val="0F1115"/>
        </w:rPr>
        <w:t>IEEE Trans. Smart Grid</w:t>
      </w:r>
      <w:r w:rsidRPr="00886E2C">
        <w:t> </w:t>
      </w:r>
      <w:r w:rsidRPr="00886E2C">
        <w:rPr>
          <w:rStyle w:val="Strong"/>
          <w:color w:val="0F1115"/>
        </w:rPr>
        <w:t>10</w:t>
      </w:r>
      <w:r w:rsidRPr="00886E2C">
        <w:t>, 3974 (2018).</w:t>
      </w:r>
    </w:p>
    <w:p w14:paraId="40012B3A" w14:textId="77777777" w:rsidR="00886E2C" w:rsidRPr="00886E2C" w:rsidRDefault="00886E2C" w:rsidP="00886E2C">
      <w:pPr>
        <w:pStyle w:val="Reference"/>
      </w:pPr>
      <w:r w:rsidRPr="00886E2C">
        <w:t>W. Ye, G. Zheng, X. Cao, Y. Ma, and A. Zhang, arXiv:2402.12715 (2024).</w:t>
      </w:r>
    </w:p>
    <w:p w14:paraId="07E4221F" w14:textId="77777777" w:rsidR="00886E2C" w:rsidRPr="00886E2C" w:rsidRDefault="00886E2C" w:rsidP="00886E2C">
      <w:pPr>
        <w:pStyle w:val="Reference"/>
      </w:pPr>
      <w:r w:rsidRPr="00886E2C">
        <w:t>H. Wang, Z. Lei, X. Zhang, B. Zhou, and J. Peng, </w:t>
      </w:r>
      <w:r w:rsidRPr="00886E2C">
        <w:rPr>
          <w:rStyle w:val="Emphasis"/>
          <w:color w:val="0F1115"/>
        </w:rPr>
        <w:t>Energy Convers. Manage.</w:t>
      </w:r>
      <w:r w:rsidRPr="00886E2C">
        <w:t> </w:t>
      </w:r>
      <w:r w:rsidRPr="00886E2C">
        <w:rPr>
          <w:rStyle w:val="Strong"/>
          <w:color w:val="0F1115"/>
        </w:rPr>
        <w:t>198</w:t>
      </w:r>
      <w:r w:rsidRPr="00886E2C">
        <w:t>, 111799 (2019).</w:t>
      </w:r>
    </w:p>
    <w:p w14:paraId="55FDAEC4" w14:textId="77777777" w:rsidR="00886E2C" w:rsidRPr="00886E2C" w:rsidRDefault="00886E2C" w:rsidP="00886E2C">
      <w:pPr>
        <w:pStyle w:val="Reference"/>
      </w:pPr>
      <w:r w:rsidRPr="00886E2C">
        <w:t>K. Kawaguchi, Y. Bengio, and L. P. Kaelbling, "Generalization in deep learning," in </w:t>
      </w:r>
      <w:r w:rsidRPr="00886E2C">
        <w:rPr>
          <w:rStyle w:val="Emphasis"/>
          <w:color w:val="0F1115"/>
        </w:rPr>
        <w:t>Mathematical Aspects of Deep Learning</w:t>
      </w:r>
      <w:r w:rsidRPr="00886E2C">
        <w:t>, edited by P. Grohs (Cambridge University Press, United Kingdom, 2022) pp. 112–148.</w:t>
      </w:r>
    </w:p>
    <w:p w14:paraId="00267531" w14:textId="77777777" w:rsidR="00886E2C" w:rsidRPr="00886E2C" w:rsidRDefault="00886E2C" w:rsidP="00886E2C">
      <w:pPr>
        <w:pStyle w:val="Reference"/>
      </w:pPr>
      <w:r w:rsidRPr="00886E2C">
        <w:t>Z. Coya, A. Khoodaruth, H. Ramenah, V. Oree, A. P. Murdan, and M. Bessafi, "Deep learning models in photovoltaic power forecasting: a review," in </w:t>
      </w:r>
      <w:r w:rsidRPr="00886E2C">
        <w:rPr>
          <w:rStyle w:val="Emphasis"/>
          <w:color w:val="0F1115"/>
        </w:rPr>
        <w:t>1st International Conference on Smart Energy Systems and Artificial Intelligence (SESAI)</w:t>
      </w:r>
      <w:r w:rsidRPr="00886E2C">
        <w:t> (IEEE, 2024) pp. 1–9.</w:t>
      </w:r>
    </w:p>
    <w:p w14:paraId="5E6A8010" w14:textId="77777777" w:rsidR="00886E2C" w:rsidRPr="00886E2C" w:rsidRDefault="00886E2C" w:rsidP="00886E2C">
      <w:pPr>
        <w:pStyle w:val="Reference"/>
      </w:pPr>
      <w:r w:rsidRPr="00886E2C">
        <w:t>B. L. Zhang, R. Coggins, M. A. Jabri, D. Dersch, and B. Flower, </w:t>
      </w:r>
      <w:r w:rsidRPr="00886E2C">
        <w:rPr>
          <w:rStyle w:val="Emphasis"/>
          <w:color w:val="0F1115"/>
        </w:rPr>
        <w:t>IEEE Trans. Neural Netw.</w:t>
      </w:r>
      <w:r w:rsidRPr="00886E2C">
        <w:t> </w:t>
      </w:r>
      <w:r w:rsidRPr="00886E2C">
        <w:rPr>
          <w:rStyle w:val="Strong"/>
          <w:color w:val="0F1115"/>
        </w:rPr>
        <w:t>12</w:t>
      </w:r>
      <w:r w:rsidRPr="00886E2C">
        <w:t>, 765 (2001).</w:t>
      </w:r>
    </w:p>
    <w:p w14:paraId="36BFC68C" w14:textId="77777777" w:rsidR="00886E2C" w:rsidRPr="00886E2C" w:rsidRDefault="00886E2C" w:rsidP="00886E2C">
      <w:pPr>
        <w:pStyle w:val="Reference"/>
      </w:pPr>
      <w:r w:rsidRPr="00886E2C">
        <w:t>A. Hussain, T. A. M. Janjua, A. N. Malik, A. Najib, and S. A. Khan, </w:t>
      </w:r>
      <w:r w:rsidRPr="00886E2C">
        <w:rPr>
          <w:rStyle w:val="Emphasis"/>
          <w:color w:val="0F1115"/>
        </w:rPr>
        <w:t>Mech. Syst. Signal Process.</w:t>
      </w:r>
      <w:r w:rsidRPr="00886E2C">
        <w:t> </w:t>
      </w:r>
      <w:r w:rsidRPr="00886E2C">
        <w:rPr>
          <w:rStyle w:val="Strong"/>
          <w:color w:val="0F1115"/>
        </w:rPr>
        <w:t>212</w:t>
      </w:r>
      <w:r w:rsidRPr="00886E2C">
        <w:t>, 111326 (2024).</w:t>
      </w:r>
    </w:p>
    <w:p w14:paraId="7630BDD3" w14:textId="77777777" w:rsidR="00886E2C" w:rsidRPr="00886E2C" w:rsidRDefault="00886E2C" w:rsidP="00886E2C">
      <w:pPr>
        <w:pStyle w:val="Reference"/>
      </w:pPr>
      <w:r w:rsidRPr="00886E2C">
        <w:t>A. T. Walden and A. C. Cristan, </w:t>
      </w:r>
      <w:r w:rsidRPr="00886E2C">
        <w:rPr>
          <w:rStyle w:val="Emphasis"/>
          <w:color w:val="0F1115"/>
        </w:rPr>
        <w:t>Proc. R. Soc. London, Ser. A</w:t>
      </w:r>
      <w:r w:rsidRPr="00886E2C">
        <w:t> </w:t>
      </w:r>
      <w:r w:rsidRPr="00886E2C">
        <w:rPr>
          <w:rStyle w:val="Strong"/>
          <w:color w:val="0F1115"/>
        </w:rPr>
        <w:t>454</w:t>
      </w:r>
      <w:r w:rsidRPr="00886E2C">
        <w:t>, 2243 (1998).</w:t>
      </w:r>
    </w:p>
    <w:p w14:paraId="46EF471B" w14:textId="363BCA24" w:rsidR="00886E2C" w:rsidRPr="00886E2C" w:rsidRDefault="00886E2C" w:rsidP="00886E2C">
      <w:pPr>
        <w:pStyle w:val="Reference"/>
      </w:pPr>
      <w:r w:rsidRPr="00886E2C">
        <w:t>D. B. Percival and A. T. Walden, </w:t>
      </w:r>
      <w:r w:rsidRPr="00886E2C">
        <w:rPr>
          <w:rStyle w:val="Emphasis"/>
          <w:color w:val="0F1115"/>
        </w:rPr>
        <w:t>Wavelet Methods for Time Series Analysis</w:t>
      </w:r>
      <w:r w:rsidRPr="00886E2C">
        <w:t> </w:t>
      </w:r>
      <w:r w:rsidR="00255574" w:rsidRPr="00255574">
        <w:rPr>
          <w:i/>
        </w:rPr>
        <w:t>Vol. 4</w:t>
      </w:r>
      <w:r w:rsidR="00255574" w:rsidRPr="00886E2C">
        <w:t xml:space="preserve"> </w:t>
      </w:r>
      <w:r w:rsidRPr="00886E2C">
        <w:t>(Cambridge Uni</w:t>
      </w:r>
      <w:r w:rsidR="00255574">
        <w:t>versity Press, Cambridge, 2000)</w:t>
      </w:r>
      <w:r w:rsidRPr="00886E2C">
        <w:t>.</w:t>
      </w:r>
    </w:p>
    <w:p w14:paraId="6487AF99" w14:textId="77777777" w:rsidR="00886E2C" w:rsidRPr="00886E2C" w:rsidRDefault="00886E2C" w:rsidP="00886E2C">
      <w:pPr>
        <w:pStyle w:val="Reference"/>
      </w:pPr>
      <w:r w:rsidRPr="00886E2C">
        <w:t>I. D. Mienye, T. G. Swart, and G. Obaido, </w:t>
      </w:r>
      <w:r w:rsidRPr="00886E2C">
        <w:rPr>
          <w:rStyle w:val="Emphasis"/>
          <w:color w:val="0F1115"/>
        </w:rPr>
        <w:t>Information</w:t>
      </w:r>
      <w:r w:rsidRPr="00886E2C">
        <w:t> </w:t>
      </w:r>
      <w:r w:rsidRPr="00886E2C">
        <w:rPr>
          <w:rStyle w:val="Strong"/>
          <w:color w:val="0F1115"/>
        </w:rPr>
        <w:t>15</w:t>
      </w:r>
      <w:r w:rsidRPr="00886E2C">
        <w:t>, 517 (2024).</w:t>
      </w:r>
    </w:p>
    <w:p w14:paraId="446863CA" w14:textId="77777777" w:rsidR="00886E2C" w:rsidRPr="00886E2C" w:rsidRDefault="00886E2C" w:rsidP="00886E2C">
      <w:pPr>
        <w:pStyle w:val="Reference"/>
      </w:pPr>
      <w:r w:rsidRPr="00886E2C">
        <w:t>S. Hochreiter, Y. Bengio, P. Frasconi, and J. Schmidhuber, "Gradient flow in recurrent nets: the difficulty of learning long-term dependencies," in </w:t>
      </w:r>
      <w:r w:rsidRPr="00886E2C">
        <w:rPr>
          <w:rStyle w:val="Emphasis"/>
          <w:color w:val="0F1115"/>
        </w:rPr>
        <w:t>A Field Guide to Dynamical Recurrent Networks</w:t>
      </w:r>
      <w:r w:rsidRPr="00886E2C">
        <w:t>, edited by J. F. Kolen and S. C. Kremer (Wiley-IEEE, 2001) pp. 237–243.</w:t>
      </w:r>
    </w:p>
    <w:p w14:paraId="7181A2D9" w14:textId="73C902BD" w:rsidR="00641143" w:rsidRPr="00886E2C" w:rsidRDefault="00886E2C" w:rsidP="00886E2C">
      <w:pPr>
        <w:pStyle w:val="Reference"/>
      </w:pPr>
      <w:r w:rsidRPr="00886E2C">
        <w:t>D. T. Bui, V. H. Nhu, and N. D. Hoang, </w:t>
      </w:r>
      <w:r w:rsidRPr="00886E2C">
        <w:rPr>
          <w:rStyle w:val="Emphasis"/>
          <w:color w:val="0F1115"/>
        </w:rPr>
        <w:t>Adv. Eng. Inform.</w:t>
      </w:r>
      <w:r w:rsidRPr="00886E2C">
        <w:t> </w:t>
      </w:r>
      <w:r w:rsidRPr="00886E2C">
        <w:rPr>
          <w:rStyle w:val="Strong"/>
          <w:color w:val="0F1115"/>
        </w:rPr>
        <w:t>38</w:t>
      </w:r>
      <w:r w:rsidRPr="00886E2C">
        <w:t>, 593 (2018).</w:t>
      </w:r>
    </w:p>
    <w:p w14:paraId="5550BBD1" w14:textId="6E40944B" w:rsidR="00641143" w:rsidRDefault="00641143" w:rsidP="00886E2C">
      <w:pPr>
        <w:pStyle w:val="Reference"/>
        <w:numPr>
          <w:ilvl w:val="0"/>
          <w:numId w:val="0"/>
        </w:numPr>
        <w:ind w:left="426"/>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AC37EC">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E5628DDA"/>
    <w:lvl w:ilvl="0" w:tplc="58A06FA8">
      <w:start w:val="1"/>
      <w:numFmt w:val="decimal"/>
      <w:pStyle w:val="Reference"/>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E663A0"/>
    <w:multiLevelType w:val="multilevel"/>
    <w:tmpl w:val="8FD2106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722562946">
    <w:abstractNumId w:val="16"/>
  </w:num>
  <w:num w:numId="2" w16cid:durableId="895624352">
    <w:abstractNumId w:val="3"/>
  </w:num>
  <w:num w:numId="3" w16cid:durableId="1132359344">
    <w:abstractNumId w:val="12"/>
  </w:num>
  <w:num w:numId="4" w16cid:durableId="1629161562">
    <w:abstractNumId w:val="7"/>
  </w:num>
  <w:num w:numId="5" w16cid:durableId="106782295">
    <w:abstractNumId w:val="11"/>
  </w:num>
  <w:num w:numId="6" w16cid:durableId="363331860">
    <w:abstractNumId w:val="4"/>
  </w:num>
  <w:num w:numId="7" w16cid:durableId="377245297">
    <w:abstractNumId w:val="6"/>
  </w:num>
  <w:num w:numId="8" w16cid:durableId="695279822">
    <w:abstractNumId w:val="1"/>
  </w:num>
  <w:num w:numId="9" w16cid:durableId="1632394065">
    <w:abstractNumId w:val="14"/>
  </w:num>
  <w:num w:numId="10" w16cid:durableId="1927768357">
    <w:abstractNumId w:val="9"/>
  </w:num>
  <w:num w:numId="11" w16cid:durableId="710616690">
    <w:abstractNumId w:val="13"/>
  </w:num>
  <w:num w:numId="12" w16cid:durableId="841045557">
    <w:abstractNumId w:val="10"/>
  </w:num>
  <w:num w:numId="13" w16cid:durableId="677346732">
    <w:abstractNumId w:val="5"/>
  </w:num>
  <w:num w:numId="14" w16cid:durableId="525564637">
    <w:abstractNumId w:val="14"/>
  </w:num>
  <w:num w:numId="15" w16cid:durableId="125784488">
    <w:abstractNumId w:val="8"/>
  </w:num>
  <w:num w:numId="16" w16cid:durableId="734282546">
    <w:abstractNumId w:val="5"/>
  </w:num>
  <w:num w:numId="17" w16cid:durableId="817653053">
    <w:abstractNumId w:val="5"/>
  </w:num>
  <w:num w:numId="18" w16cid:durableId="304774375">
    <w:abstractNumId w:val="5"/>
  </w:num>
  <w:num w:numId="19" w16cid:durableId="1250190733">
    <w:abstractNumId w:val="5"/>
  </w:num>
  <w:num w:numId="20" w16cid:durableId="1615215025">
    <w:abstractNumId w:val="5"/>
  </w:num>
  <w:num w:numId="21" w16cid:durableId="1020622880">
    <w:abstractNumId w:val="5"/>
  </w:num>
  <w:num w:numId="22" w16cid:durableId="1819377144">
    <w:abstractNumId w:val="5"/>
  </w:num>
  <w:num w:numId="23" w16cid:durableId="1851404154">
    <w:abstractNumId w:val="5"/>
  </w:num>
  <w:num w:numId="24" w16cid:durableId="951208590">
    <w:abstractNumId w:val="5"/>
  </w:num>
  <w:num w:numId="25" w16cid:durableId="890504303">
    <w:abstractNumId w:val="5"/>
  </w:num>
  <w:num w:numId="26" w16cid:durableId="486409520">
    <w:abstractNumId w:val="5"/>
  </w:num>
  <w:num w:numId="27" w16cid:durableId="117915347">
    <w:abstractNumId w:val="5"/>
  </w:num>
  <w:num w:numId="28" w16cid:durableId="797991959">
    <w:abstractNumId w:val="5"/>
  </w:num>
  <w:num w:numId="29" w16cid:durableId="1148401461">
    <w:abstractNumId w:val="11"/>
  </w:num>
  <w:num w:numId="30" w16cid:durableId="178156727">
    <w:abstractNumId w:val="11"/>
  </w:num>
  <w:num w:numId="31" w16cid:durableId="1145586285">
    <w:abstractNumId w:val="11"/>
    <w:lvlOverride w:ilvl="0">
      <w:startOverride w:val="1"/>
    </w:lvlOverride>
  </w:num>
  <w:num w:numId="32" w16cid:durableId="1733459382">
    <w:abstractNumId w:val="11"/>
  </w:num>
  <w:num w:numId="33" w16cid:durableId="446850607">
    <w:abstractNumId w:val="11"/>
    <w:lvlOverride w:ilvl="0">
      <w:startOverride w:val="1"/>
    </w:lvlOverride>
  </w:num>
  <w:num w:numId="34" w16cid:durableId="1480266184">
    <w:abstractNumId w:val="11"/>
    <w:lvlOverride w:ilvl="0">
      <w:startOverride w:val="1"/>
    </w:lvlOverride>
  </w:num>
  <w:num w:numId="35" w16cid:durableId="1779374876">
    <w:abstractNumId w:val="12"/>
    <w:lvlOverride w:ilvl="0">
      <w:startOverride w:val="1"/>
    </w:lvlOverride>
  </w:num>
  <w:num w:numId="36" w16cid:durableId="1738823892">
    <w:abstractNumId w:val="12"/>
  </w:num>
  <w:num w:numId="37" w16cid:durableId="87311708">
    <w:abstractNumId w:val="12"/>
    <w:lvlOverride w:ilvl="0">
      <w:startOverride w:val="1"/>
    </w:lvlOverride>
  </w:num>
  <w:num w:numId="38" w16cid:durableId="2033454142">
    <w:abstractNumId w:val="12"/>
  </w:num>
  <w:num w:numId="39" w16cid:durableId="733429275">
    <w:abstractNumId w:val="12"/>
    <w:lvlOverride w:ilvl="0">
      <w:startOverride w:val="1"/>
    </w:lvlOverride>
  </w:num>
  <w:num w:numId="40" w16cid:durableId="1413309665">
    <w:abstractNumId w:val="12"/>
    <w:lvlOverride w:ilvl="0">
      <w:startOverride w:val="1"/>
    </w:lvlOverride>
  </w:num>
  <w:num w:numId="41" w16cid:durableId="1481190252">
    <w:abstractNumId w:val="12"/>
    <w:lvlOverride w:ilvl="0">
      <w:startOverride w:val="1"/>
    </w:lvlOverride>
  </w:num>
  <w:num w:numId="42" w16cid:durableId="1851330717">
    <w:abstractNumId w:val="12"/>
  </w:num>
  <w:num w:numId="43" w16cid:durableId="1790120301">
    <w:abstractNumId w:val="12"/>
  </w:num>
  <w:num w:numId="44" w16cid:durableId="1919900519">
    <w:abstractNumId w:val="2"/>
  </w:num>
  <w:num w:numId="45" w16cid:durableId="1427383198">
    <w:abstractNumId w:val="0"/>
  </w:num>
  <w:num w:numId="46" w16cid:durableId="1560701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15FA9"/>
    <w:rsid w:val="00026947"/>
    <w:rsid w:val="00027428"/>
    <w:rsid w:val="00031EC9"/>
    <w:rsid w:val="000500CA"/>
    <w:rsid w:val="000607E3"/>
    <w:rsid w:val="0006657E"/>
    <w:rsid w:val="00066FED"/>
    <w:rsid w:val="00074FF8"/>
    <w:rsid w:val="000759E5"/>
    <w:rsid w:val="00075EA6"/>
    <w:rsid w:val="0007709F"/>
    <w:rsid w:val="00082282"/>
    <w:rsid w:val="00086F62"/>
    <w:rsid w:val="00090674"/>
    <w:rsid w:val="0009320B"/>
    <w:rsid w:val="000948E6"/>
    <w:rsid w:val="00096AE0"/>
    <w:rsid w:val="000A27BA"/>
    <w:rsid w:val="000B1B74"/>
    <w:rsid w:val="000B3A2D"/>
    <w:rsid w:val="000B49C0"/>
    <w:rsid w:val="000C5C76"/>
    <w:rsid w:val="000D01F6"/>
    <w:rsid w:val="000D6C1D"/>
    <w:rsid w:val="000E382F"/>
    <w:rsid w:val="000E75CD"/>
    <w:rsid w:val="001036BA"/>
    <w:rsid w:val="001146DC"/>
    <w:rsid w:val="00114AB1"/>
    <w:rsid w:val="001230FF"/>
    <w:rsid w:val="00130BD7"/>
    <w:rsid w:val="001423D2"/>
    <w:rsid w:val="001509A9"/>
    <w:rsid w:val="00155B67"/>
    <w:rsid w:val="001562AF"/>
    <w:rsid w:val="00161A5B"/>
    <w:rsid w:val="0016385D"/>
    <w:rsid w:val="0016782F"/>
    <w:rsid w:val="00172F1D"/>
    <w:rsid w:val="00177147"/>
    <w:rsid w:val="0018042B"/>
    <w:rsid w:val="00182FBD"/>
    <w:rsid w:val="00190B66"/>
    <w:rsid w:val="001937E9"/>
    <w:rsid w:val="001964E5"/>
    <w:rsid w:val="001B263B"/>
    <w:rsid w:val="001B2A51"/>
    <w:rsid w:val="001B476A"/>
    <w:rsid w:val="001B636C"/>
    <w:rsid w:val="001C252E"/>
    <w:rsid w:val="001C764F"/>
    <w:rsid w:val="001C7BB3"/>
    <w:rsid w:val="001D28D2"/>
    <w:rsid w:val="001D469C"/>
    <w:rsid w:val="001F3F93"/>
    <w:rsid w:val="00204310"/>
    <w:rsid w:val="002108B4"/>
    <w:rsid w:val="0021619E"/>
    <w:rsid w:val="00221603"/>
    <w:rsid w:val="0023171B"/>
    <w:rsid w:val="00236BFC"/>
    <w:rsid w:val="00237437"/>
    <w:rsid w:val="00237FF3"/>
    <w:rsid w:val="002442E3"/>
    <w:rsid w:val="002502FD"/>
    <w:rsid w:val="00255574"/>
    <w:rsid w:val="00273E29"/>
    <w:rsid w:val="00274622"/>
    <w:rsid w:val="00285D24"/>
    <w:rsid w:val="00285F4C"/>
    <w:rsid w:val="00286CDB"/>
    <w:rsid w:val="00290390"/>
    <w:rsid w:val="002915D3"/>
    <w:rsid w:val="002924DB"/>
    <w:rsid w:val="002941DA"/>
    <w:rsid w:val="002B5648"/>
    <w:rsid w:val="002E3C35"/>
    <w:rsid w:val="002F42A4"/>
    <w:rsid w:val="002F5298"/>
    <w:rsid w:val="002F66F8"/>
    <w:rsid w:val="002F6FAD"/>
    <w:rsid w:val="003030F4"/>
    <w:rsid w:val="00305C5A"/>
    <w:rsid w:val="00313263"/>
    <w:rsid w:val="00315DC3"/>
    <w:rsid w:val="00321B19"/>
    <w:rsid w:val="00324841"/>
    <w:rsid w:val="00326AE0"/>
    <w:rsid w:val="00337E4F"/>
    <w:rsid w:val="00340C36"/>
    <w:rsid w:val="0034214B"/>
    <w:rsid w:val="00346246"/>
    <w:rsid w:val="00346501"/>
    <w:rsid w:val="00346A9D"/>
    <w:rsid w:val="00347970"/>
    <w:rsid w:val="00361B87"/>
    <w:rsid w:val="00384A64"/>
    <w:rsid w:val="0039376F"/>
    <w:rsid w:val="003A058E"/>
    <w:rsid w:val="003A0E68"/>
    <w:rsid w:val="003A287B"/>
    <w:rsid w:val="003A2FE7"/>
    <w:rsid w:val="003A5C85"/>
    <w:rsid w:val="003A61B1"/>
    <w:rsid w:val="003A7086"/>
    <w:rsid w:val="003B0050"/>
    <w:rsid w:val="003B1D14"/>
    <w:rsid w:val="003B4DA7"/>
    <w:rsid w:val="003C139D"/>
    <w:rsid w:val="003C1D17"/>
    <w:rsid w:val="003D56AD"/>
    <w:rsid w:val="003D6312"/>
    <w:rsid w:val="003D6E99"/>
    <w:rsid w:val="003E469E"/>
    <w:rsid w:val="003E7C74"/>
    <w:rsid w:val="003F1187"/>
    <w:rsid w:val="003F31C6"/>
    <w:rsid w:val="003F397D"/>
    <w:rsid w:val="003F64B4"/>
    <w:rsid w:val="0040225B"/>
    <w:rsid w:val="00402DA2"/>
    <w:rsid w:val="00422E04"/>
    <w:rsid w:val="00425AC2"/>
    <w:rsid w:val="0044386B"/>
    <w:rsid w:val="00446C2F"/>
    <w:rsid w:val="0044771F"/>
    <w:rsid w:val="00473426"/>
    <w:rsid w:val="00476E14"/>
    <w:rsid w:val="004A5B30"/>
    <w:rsid w:val="004A71D8"/>
    <w:rsid w:val="004A7F0D"/>
    <w:rsid w:val="004B13DC"/>
    <w:rsid w:val="004B151D"/>
    <w:rsid w:val="004B606C"/>
    <w:rsid w:val="004C0860"/>
    <w:rsid w:val="004C4A50"/>
    <w:rsid w:val="004C7243"/>
    <w:rsid w:val="004E21DE"/>
    <w:rsid w:val="004E3C57"/>
    <w:rsid w:val="004E3CB2"/>
    <w:rsid w:val="004E725B"/>
    <w:rsid w:val="004F5CD6"/>
    <w:rsid w:val="005114CC"/>
    <w:rsid w:val="00516E58"/>
    <w:rsid w:val="00525813"/>
    <w:rsid w:val="00532BDE"/>
    <w:rsid w:val="0053513F"/>
    <w:rsid w:val="005362E6"/>
    <w:rsid w:val="005504C8"/>
    <w:rsid w:val="0055125B"/>
    <w:rsid w:val="00564F9F"/>
    <w:rsid w:val="00574405"/>
    <w:rsid w:val="00581300"/>
    <w:rsid w:val="00581C14"/>
    <w:rsid w:val="005854B0"/>
    <w:rsid w:val="0058675E"/>
    <w:rsid w:val="00595FEE"/>
    <w:rsid w:val="005A0E21"/>
    <w:rsid w:val="005B3A34"/>
    <w:rsid w:val="005C0A57"/>
    <w:rsid w:val="005C5B44"/>
    <w:rsid w:val="005D1E48"/>
    <w:rsid w:val="005D49AF"/>
    <w:rsid w:val="005E357F"/>
    <w:rsid w:val="005E415C"/>
    <w:rsid w:val="005E71ED"/>
    <w:rsid w:val="005E7946"/>
    <w:rsid w:val="005F7475"/>
    <w:rsid w:val="00611299"/>
    <w:rsid w:val="00613B4D"/>
    <w:rsid w:val="0061437C"/>
    <w:rsid w:val="00616365"/>
    <w:rsid w:val="00616F3B"/>
    <w:rsid w:val="006249A7"/>
    <w:rsid w:val="00625FD9"/>
    <w:rsid w:val="0063115B"/>
    <w:rsid w:val="006323C5"/>
    <w:rsid w:val="00633FE4"/>
    <w:rsid w:val="00641143"/>
    <w:rsid w:val="0064225B"/>
    <w:rsid w:val="00673EFE"/>
    <w:rsid w:val="00674F22"/>
    <w:rsid w:val="006763F9"/>
    <w:rsid w:val="00687BA2"/>
    <w:rsid w:val="00691A25"/>
    <w:rsid w:val="00693571"/>
    <w:rsid w:val="006949BC"/>
    <w:rsid w:val="006A4006"/>
    <w:rsid w:val="006C1D9B"/>
    <w:rsid w:val="006C6AA0"/>
    <w:rsid w:val="006C6EFF"/>
    <w:rsid w:val="006D1229"/>
    <w:rsid w:val="006D1F31"/>
    <w:rsid w:val="006D372F"/>
    <w:rsid w:val="006D7A18"/>
    <w:rsid w:val="006E4474"/>
    <w:rsid w:val="006E528D"/>
    <w:rsid w:val="006F05EC"/>
    <w:rsid w:val="006F1131"/>
    <w:rsid w:val="006F242E"/>
    <w:rsid w:val="00701388"/>
    <w:rsid w:val="00714834"/>
    <w:rsid w:val="0072248D"/>
    <w:rsid w:val="00723B7F"/>
    <w:rsid w:val="00723D3E"/>
    <w:rsid w:val="00724775"/>
    <w:rsid w:val="00725861"/>
    <w:rsid w:val="00726DC2"/>
    <w:rsid w:val="0073393A"/>
    <w:rsid w:val="0073539D"/>
    <w:rsid w:val="00740E51"/>
    <w:rsid w:val="0076667B"/>
    <w:rsid w:val="00767B8A"/>
    <w:rsid w:val="00775481"/>
    <w:rsid w:val="00775CA6"/>
    <w:rsid w:val="00776D10"/>
    <w:rsid w:val="00780084"/>
    <w:rsid w:val="0078146B"/>
    <w:rsid w:val="00781A1F"/>
    <w:rsid w:val="0079518F"/>
    <w:rsid w:val="007A233B"/>
    <w:rsid w:val="007B4863"/>
    <w:rsid w:val="007B649A"/>
    <w:rsid w:val="007C65E6"/>
    <w:rsid w:val="007D406B"/>
    <w:rsid w:val="007D4407"/>
    <w:rsid w:val="007E08DF"/>
    <w:rsid w:val="007E1CA3"/>
    <w:rsid w:val="007E7750"/>
    <w:rsid w:val="007F464C"/>
    <w:rsid w:val="008121C8"/>
    <w:rsid w:val="00812D62"/>
    <w:rsid w:val="00812F29"/>
    <w:rsid w:val="00813DAE"/>
    <w:rsid w:val="00821713"/>
    <w:rsid w:val="00823D44"/>
    <w:rsid w:val="00827050"/>
    <w:rsid w:val="0083278B"/>
    <w:rsid w:val="008333AB"/>
    <w:rsid w:val="00834538"/>
    <w:rsid w:val="00836402"/>
    <w:rsid w:val="00842C66"/>
    <w:rsid w:val="00844C6E"/>
    <w:rsid w:val="00850345"/>
    <w:rsid w:val="00850E89"/>
    <w:rsid w:val="00855BA9"/>
    <w:rsid w:val="00861A58"/>
    <w:rsid w:val="008639FC"/>
    <w:rsid w:val="0086500E"/>
    <w:rsid w:val="00866DBA"/>
    <w:rsid w:val="00871710"/>
    <w:rsid w:val="00886E2C"/>
    <w:rsid w:val="008930E4"/>
    <w:rsid w:val="00893821"/>
    <w:rsid w:val="008A330E"/>
    <w:rsid w:val="008A7B9C"/>
    <w:rsid w:val="008B2137"/>
    <w:rsid w:val="008B39FA"/>
    <w:rsid w:val="008B4754"/>
    <w:rsid w:val="008B6BBC"/>
    <w:rsid w:val="008C0DF9"/>
    <w:rsid w:val="008C7A00"/>
    <w:rsid w:val="008D3EC5"/>
    <w:rsid w:val="008E6A7A"/>
    <w:rsid w:val="008F1038"/>
    <w:rsid w:val="008F43AF"/>
    <w:rsid w:val="008F44DF"/>
    <w:rsid w:val="008F7046"/>
    <w:rsid w:val="009005FC"/>
    <w:rsid w:val="00920EC5"/>
    <w:rsid w:val="00921EF2"/>
    <w:rsid w:val="00922E5A"/>
    <w:rsid w:val="00942E9C"/>
    <w:rsid w:val="00943315"/>
    <w:rsid w:val="009455F8"/>
    <w:rsid w:val="00946C27"/>
    <w:rsid w:val="009633B5"/>
    <w:rsid w:val="009636C1"/>
    <w:rsid w:val="009673BE"/>
    <w:rsid w:val="0098023E"/>
    <w:rsid w:val="00984464"/>
    <w:rsid w:val="00993989"/>
    <w:rsid w:val="00996F9E"/>
    <w:rsid w:val="009A4F3D"/>
    <w:rsid w:val="009A7CC5"/>
    <w:rsid w:val="009B696B"/>
    <w:rsid w:val="009B7671"/>
    <w:rsid w:val="009C4872"/>
    <w:rsid w:val="009D1F99"/>
    <w:rsid w:val="009D3924"/>
    <w:rsid w:val="009D6CFB"/>
    <w:rsid w:val="009E08EF"/>
    <w:rsid w:val="009E5BA1"/>
    <w:rsid w:val="009F056E"/>
    <w:rsid w:val="009F53C6"/>
    <w:rsid w:val="00A05CCB"/>
    <w:rsid w:val="00A11E6B"/>
    <w:rsid w:val="00A203A8"/>
    <w:rsid w:val="00A24F3D"/>
    <w:rsid w:val="00A25698"/>
    <w:rsid w:val="00A26DCD"/>
    <w:rsid w:val="00A314BB"/>
    <w:rsid w:val="00A32B7D"/>
    <w:rsid w:val="00A5596B"/>
    <w:rsid w:val="00A60540"/>
    <w:rsid w:val="00A646B3"/>
    <w:rsid w:val="00A650C1"/>
    <w:rsid w:val="00A66494"/>
    <w:rsid w:val="00A6739B"/>
    <w:rsid w:val="00A738F1"/>
    <w:rsid w:val="00A73C8F"/>
    <w:rsid w:val="00A77302"/>
    <w:rsid w:val="00A8789E"/>
    <w:rsid w:val="00A90413"/>
    <w:rsid w:val="00A93D10"/>
    <w:rsid w:val="00AA43BB"/>
    <w:rsid w:val="00AA728C"/>
    <w:rsid w:val="00AA768B"/>
    <w:rsid w:val="00AB0A9C"/>
    <w:rsid w:val="00AB7119"/>
    <w:rsid w:val="00AC37EC"/>
    <w:rsid w:val="00AD5855"/>
    <w:rsid w:val="00AE7500"/>
    <w:rsid w:val="00AE7F87"/>
    <w:rsid w:val="00AF13C9"/>
    <w:rsid w:val="00AF3542"/>
    <w:rsid w:val="00AF5ABE"/>
    <w:rsid w:val="00B00415"/>
    <w:rsid w:val="00B03C2A"/>
    <w:rsid w:val="00B05B88"/>
    <w:rsid w:val="00B1000D"/>
    <w:rsid w:val="00B10134"/>
    <w:rsid w:val="00B11733"/>
    <w:rsid w:val="00B15B90"/>
    <w:rsid w:val="00B16BFE"/>
    <w:rsid w:val="00B41BE6"/>
    <w:rsid w:val="00B500E5"/>
    <w:rsid w:val="00B55C21"/>
    <w:rsid w:val="00B566FD"/>
    <w:rsid w:val="00B623B2"/>
    <w:rsid w:val="00B80AB0"/>
    <w:rsid w:val="00B9058F"/>
    <w:rsid w:val="00B9181C"/>
    <w:rsid w:val="00B95E63"/>
    <w:rsid w:val="00BA21B8"/>
    <w:rsid w:val="00BA294E"/>
    <w:rsid w:val="00BA39BB"/>
    <w:rsid w:val="00BA3B3D"/>
    <w:rsid w:val="00BA7E4E"/>
    <w:rsid w:val="00BB5E6B"/>
    <w:rsid w:val="00BB7EEA"/>
    <w:rsid w:val="00BC6624"/>
    <w:rsid w:val="00BC7E3B"/>
    <w:rsid w:val="00BD1909"/>
    <w:rsid w:val="00BD4B75"/>
    <w:rsid w:val="00BD4DEF"/>
    <w:rsid w:val="00BD609B"/>
    <w:rsid w:val="00BE12E3"/>
    <w:rsid w:val="00BE5E16"/>
    <w:rsid w:val="00BE5FD1"/>
    <w:rsid w:val="00BE7FCE"/>
    <w:rsid w:val="00C06E05"/>
    <w:rsid w:val="00C071CA"/>
    <w:rsid w:val="00C0798F"/>
    <w:rsid w:val="00C136A1"/>
    <w:rsid w:val="00C14B14"/>
    <w:rsid w:val="00C17370"/>
    <w:rsid w:val="00C2054D"/>
    <w:rsid w:val="00C252EB"/>
    <w:rsid w:val="00C26EC0"/>
    <w:rsid w:val="00C335FE"/>
    <w:rsid w:val="00C3429D"/>
    <w:rsid w:val="00C4434C"/>
    <w:rsid w:val="00C56704"/>
    <w:rsid w:val="00C56C77"/>
    <w:rsid w:val="00C62B95"/>
    <w:rsid w:val="00C64F04"/>
    <w:rsid w:val="00C754CB"/>
    <w:rsid w:val="00C76A61"/>
    <w:rsid w:val="00C84923"/>
    <w:rsid w:val="00C85F94"/>
    <w:rsid w:val="00C90AAF"/>
    <w:rsid w:val="00C9112B"/>
    <w:rsid w:val="00C91A49"/>
    <w:rsid w:val="00C93C7F"/>
    <w:rsid w:val="00CB7B3E"/>
    <w:rsid w:val="00CC0E8B"/>
    <w:rsid w:val="00CC54E7"/>
    <w:rsid w:val="00CC739D"/>
    <w:rsid w:val="00CD5B12"/>
    <w:rsid w:val="00CE3166"/>
    <w:rsid w:val="00CF0BE2"/>
    <w:rsid w:val="00CF5FDB"/>
    <w:rsid w:val="00CF64FD"/>
    <w:rsid w:val="00D02961"/>
    <w:rsid w:val="00D04468"/>
    <w:rsid w:val="00D24A8D"/>
    <w:rsid w:val="00D30640"/>
    <w:rsid w:val="00D31A86"/>
    <w:rsid w:val="00D36257"/>
    <w:rsid w:val="00D36427"/>
    <w:rsid w:val="00D435B0"/>
    <w:rsid w:val="00D45084"/>
    <w:rsid w:val="00D4687E"/>
    <w:rsid w:val="00D53A12"/>
    <w:rsid w:val="00D72152"/>
    <w:rsid w:val="00D87E2A"/>
    <w:rsid w:val="00D93772"/>
    <w:rsid w:val="00D959F9"/>
    <w:rsid w:val="00D9628D"/>
    <w:rsid w:val="00DA7E97"/>
    <w:rsid w:val="00DB08A3"/>
    <w:rsid w:val="00DB0C43"/>
    <w:rsid w:val="00DC547C"/>
    <w:rsid w:val="00DC670F"/>
    <w:rsid w:val="00DE115D"/>
    <w:rsid w:val="00DE3354"/>
    <w:rsid w:val="00DF7DCD"/>
    <w:rsid w:val="00E03373"/>
    <w:rsid w:val="00E0724E"/>
    <w:rsid w:val="00E15CAA"/>
    <w:rsid w:val="00E335B6"/>
    <w:rsid w:val="00E335F3"/>
    <w:rsid w:val="00E428AF"/>
    <w:rsid w:val="00E50B7D"/>
    <w:rsid w:val="00E51F3E"/>
    <w:rsid w:val="00E7238B"/>
    <w:rsid w:val="00E75CE6"/>
    <w:rsid w:val="00E8361F"/>
    <w:rsid w:val="00E849B5"/>
    <w:rsid w:val="00E868F9"/>
    <w:rsid w:val="00E904A1"/>
    <w:rsid w:val="00E94606"/>
    <w:rsid w:val="00EB7D28"/>
    <w:rsid w:val="00EC0ADB"/>
    <w:rsid w:val="00EC0D0C"/>
    <w:rsid w:val="00ED1C66"/>
    <w:rsid w:val="00ED24F1"/>
    <w:rsid w:val="00ED3530"/>
    <w:rsid w:val="00ED4A2C"/>
    <w:rsid w:val="00EE7DA8"/>
    <w:rsid w:val="00EF68AF"/>
    <w:rsid w:val="00EF6940"/>
    <w:rsid w:val="00EF7DDD"/>
    <w:rsid w:val="00F1109E"/>
    <w:rsid w:val="00F1203B"/>
    <w:rsid w:val="00F178DC"/>
    <w:rsid w:val="00F2044A"/>
    <w:rsid w:val="00F20BFC"/>
    <w:rsid w:val="00F24D5F"/>
    <w:rsid w:val="00F726C3"/>
    <w:rsid w:val="00F728D0"/>
    <w:rsid w:val="00F74020"/>
    <w:rsid w:val="00F820CA"/>
    <w:rsid w:val="00F8554C"/>
    <w:rsid w:val="00F95F82"/>
    <w:rsid w:val="00F97A90"/>
    <w:rsid w:val="00FA679B"/>
    <w:rsid w:val="00FB17BC"/>
    <w:rsid w:val="00FC2F35"/>
    <w:rsid w:val="00FC318F"/>
    <w:rsid w:val="00FC3267"/>
    <w:rsid w:val="00FC3FD7"/>
    <w:rsid w:val="00FD07BC"/>
    <w:rsid w:val="00FD1FC6"/>
    <w:rsid w:val="00FE5869"/>
    <w:rsid w:val="00FF04FD"/>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odyText">
    <w:name w:val="Body Text"/>
    <w:basedOn w:val="Normal"/>
    <w:link w:val="BodyTextChar"/>
    <w:semiHidden/>
    <w:unhideWhenUsed/>
    <w:rsid w:val="00BE7FCE"/>
    <w:pPr>
      <w:spacing w:after="120"/>
    </w:pPr>
  </w:style>
  <w:style w:type="character" w:customStyle="1" w:styleId="BodyTextChar">
    <w:name w:val="Body Text Char"/>
    <w:basedOn w:val="DefaultParagraphFont"/>
    <w:link w:val="BodyText"/>
    <w:semiHidden/>
    <w:rsid w:val="00BE7FCE"/>
    <w:rPr>
      <w:sz w:val="24"/>
      <w:lang w:val="en-US" w:eastAsia="en-US"/>
    </w:rPr>
  </w:style>
  <w:style w:type="paragraph" w:customStyle="1" w:styleId="ds-markdown-paragraph">
    <w:name w:val="ds-markdown-paragraph"/>
    <w:basedOn w:val="Normal"/>
    <w:rsid w:val="00886E2C"/>
    <w:pPr>
      <w:spacing w:before="100" w:beforeAutospacing="1" w:after="100" w:afterAutospacing="1"/>
    </w:pPr>
    <w:rPr>
      <w:szCs w:val="24"/>
    </w:rPr>
  </w:style>
  <w:style w:type="paragraph" w:customStyle="1" w:styleId="tablecolsubhead">
    <w:name w:val="table col subhead"/>
    <w:basedOn w:val="Normal"/>
    <w:rsid w:val="00886E2C"/>
    <w:pPr>
      <w:jc w:val="center"/>
    </w:pPr>
    <w:rPr>
      <w:rFonts w:eastAsia="SimSun"/>
      <w:b/>
      <w:bCs/>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microsoft.com/office/2007/relationships/hdphoto" Target="media/hdphoto4.wdp"/><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hdphoto" Target="media/hdphoto1.wdp"/><Relationship Id="rId5" Type="http://schemas.openxmlformats.org/officeDocument/2006/relationships/numbering" Target="numbering.xml"/><Relationship Id="rId15" Type="http://schemas.microsoft.com/office/2007/relationships/hdphoto" Target="media/hdphoto3.wdp"/><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3DEA0-BCB1-4076-BA51-F17C73715EC3}">
  <ds:schemaRefs>
    <ds:schemaRef ds:uri="http://schemas.openxmlformats.org/officeDocument/2006/bibliography"/>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17</TotalTime>
  <Pages>8</Pages>
  <Words>3287</Words>
  <Characters>18842</Characters>
  <Application>Microsoft Office Word</Application>
  <DocSecurity>0</DocSecurity>
  <Lines>295</Lines>
  <Paragraphs>107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19</cp:revision>
  <cp:lastPrinted>2011-03-03T08:29:00Z</cp:lastPrinted>
  <dcterms:created xsi:type="dcterms:W3CDTF">2025-11-16T12:10:00Z</dcterms:created>
  <dcterms:modified xsi:type="dcterms:W3CDTF">2025-12-06T17:58:00Z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