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4448" w14:textId="3F8D009B" w:rsidR="009C4773" w:rsidRPr="00075EA6" w:rsidRDefault="00211C9D" w:rsidP="009C4773">
      <w:pPr>
        <w:pStyle w:val="PaperTitle"/>
        <w:spacing w:before="0"/>
        <w:rPr>
          <w:b w:val="0"/>
          <w:bCs/>
          <w:sz w:val="24"/>
          <w:szCs w:val="24"/>
        </w:rPr>
      </w:pPr>
      <w:bookmarkStart w:id="0" w:name="_Hlk214383119"/>
      <w:r w:rsidRPr="00211C9D">
        <w:t>Synthesis, Identification, and Cytotoxic Assay of Some Complexes with Naproxen</w:t>
      </w:r>
    </w:p>
    <w:p w14:paraId="75804C01" w14:textId="5847B30A" w:rsidR="009C4773" w:rsidRDefault="00211C9D" w:rsidP="009C4773">
      <w:pPr>
        <w:pStyle w:val="AuthorName"/>
        <w:rPr>
          <w:sz w:val="20"/>
          <w:lang w:val="en-GB" w:eastAsia="en-GB"/>
        </w:rPr>
      </w:pPr>
      <w:r w:rsidRPr="00211C9D">
        <w:t>Zinah N. Mahmood</w:t>
      </w:r>
      <w:r w:rsidR="009C4773" w:rsidRPr="2F830975">
        <w:rPr>
          <w:vertAlign w:val="superscript"/>
        </w:rPr>
        <w:t>1, a)</w:t>
      </w:r>
    </w:p>
    <w:bookmarkEnd w:id="0"/>
    <w:p w14:paraId="3ACD7F74" w14:textId="452AC2A6" w:rsidR="009C4773" w:rsidRPr="00075EA6" w:rsidRDefault="009C4773" w:rsidP="00A33FF8">
      <w:pPr>
        <w:pStyle w:val="AuthorAffiliation"/>
      </w:pPr>
      <w:r w:rsidRPr="00075EA6">
        <w:rPr>
          <w:i w:val="0"/>
          <w:iCs/>
          <w:vertAlign w:val="superscript"/>
        </w:rPr>
        <w:t>1</w:t>
      </w:r>
      <w:r w:rsidR="00A33FF8" w:rsidRPr="00A33FF8">
        <w:t>Ministry of Education, Baghdad, Iraq.</w:t>
      </w:r>
    </w:p>
    <w:p w14:paraId="161F8871" w14:textId="3B5508D0" w:rsidR="009C4773" w:rsidRPr="00075EA6" w:rsidRDefault="009C4773" w:rsidP="00A33FF8">
      <w:pPr>
        <w:pStyle w:val="AuthorAffiliation"/>
      </w:pPr>
      <w:r w:rsidRPr="00075EA6">
        <w:br/>
      </w:r>
      <w:r w:rsidRPr="00075EA6">
        <w:rPr>
          <w:szCs w:val="28"/>
          <w:vertAlign w:val="superscript"/>
        </w:rPr>
        <w:t>a)</w:t>
      </w:r>
      <w:r w:rsidRPr="00075EA6">
        <w:t xml:space="preserve"> Corresponding author: </w:t>
      </w:r>
      <w:r w:rsidR="00A33FF8" w:rsidRPr="00A33FF8">
        <w:t>zinahnazeh@gmail.com</w:t>
      </w:r>
    </w:p>
    <w:p w14:paraId="1F581729" w14:textId="77777777" w:rsidR="00F11ABE" w:rsidRDefault="009C4773" w:rsidP="00F11ABE">
      <w:pPr>
        <w:pStyle w:val="Abstract"/>
        <w:rPr>
          <w:rFonts w:asciiTheme="majorBidi" w:hAnsiTheme="majorBidi" w:cstheme="majorBidi"/>
          <w:szCs w:val="18"/>
        </w:rPr>
      </w:pPr>
      <w:r w:rsidRPr="00075EA6">
        <w:rPr>
          <w:b/>
          <w:bCs/>
        </w:rPr>
        <w:t>Abstract.</w:t>
      </w:r>
      <w:r w:rsidRPr="00075EA6">
        <w:t xml:space="preserve"> </w:t>
      </w:r>
      <w:r w:rsidR="00C04B82" w:rsidRPr="003F0412">
        <w:rPr>
          <w:rFonts w:asciiTheme="majorBidi" w:hAnsiTheme="majorBidi" w:cstheme="majorBidi"/>
          <w:szCs w:val="18"/>
        </w:rPr>
        <w:t>The naproxen ligand was employed to build several complexes via its interaction with metal ions (</w:t>
      </w:r>
      <w:proofErr w:type="gramStart"/>
      <w:r w:rsidR="00C04B82" w:rsidRPr="003F0412">
        <w:rPr>
          <w:rFonts w:asciiTheme="majorBidi" w:hAnsiTheme="majorBidi" w:cstheme="majorBidi"/>
          <w:szCs w:val="18"/>
        </w:rPr>
        <w:t>Co(</w:t>
      </w:r>
      <w:proofErr w:type="gramEnd"/>
      <w:r w:rsidR="00C04B82" w:rsidRPr="003F0412">
        <w:rPr>
          <w:rFonts w:asciiTheme="majorBidi" w:hAnsiTheme="majorBidi" w:cstheme="majorBidi"/>
          <w:szCs w:val="18"/>
        </w:rPr>
        <w:t xml:space="preserve">II) and </w:t>
      </w:r>
      <w:proofErr w:type="gramStart"/>
      <w:r w:rsidR="00C04B82" w:rsidRPr="003F0412">
        <w:rPr>
          <w:rFonts w:asciiTheme="majorBidi" w:hAnsiTheme="majorBidi" w:cstheme="majorBidi"/>
          <w:szCs w:val="18"/>
        </w:rPr>
        <w:t>Zn(</w:t>
      </w:r>
      <w:proofErr w:type="gramEnd"/>
      <w:r w:rsidR="00C04B82" w:rsidRPr="003F0412">
        <w:rPr>
          <w:rFonts w:asciiTheme="majorBidi" w:hAnsiTheme="majorBidi" w:cstheme="majorBidi"/>
          <w:szCs w:val="18"/>
        </w:rPr>
        <w:t xml:space="preserve">II)).  The structures of these novel compounds were examined in both solid and solution phases utilizing several spectroscopic techniques, including UV-Vis, FTIR, and elemental studies, all performed at room temperature.  The naproxen complexes coordinate with metal ions through the carbonyl oxygen of their carboxyl groups.  The chemical formulae of the produced complexes reveal that the </w:t>
      </w:r>
      <w:proofErr w:type="spellStart"/>
      <w:r w:rsidR="00C04B82" w:rsidRPr="003F0412">
        <w:rPr>
          <w:rFonts w:asciiTheme="majorBidi" w:hAnsiTheme="majorBidi" w:cstheme="majorBidi"/>
          <w:szCs w:val="18"/>
        </w:rPr>
        <w:t>CoL</w:t>
      </w:r>
      <w:proofErr w:type="spellEnd"/>
      <w:r w:rsidR="00C04B82" w:rsidRPr="003F0412">
        <w:rPr>
          <w:rFonts w:asciiTheme="majorBidi" w:hAnsiTheme="majorBidi" w:cstheme="majorBidi"/>
          <w:szCs w:val="18"/>
        </w:rPr>
        <w:t xml:space="preserve"> complex has octahedral geometry, whereas the </w:t>
      </w:r>
      <w:proofErr w:type="spellStart"/>
      <w:r w:rsidR="00C04B82" w:rsidRPr="003F0412">
        <w:rPr>
          <w:rFonts w:asciiTheme="majorBidi" w:hAnsiTheme="majorBidi" w:cstheme="majorBidi"/>
          <w:szCs w:val="18"/>
        </w:rPr>
        <w:t>ZnL</w:t>
      </w:r>
      <w:proofErr w:type="spellEnd"/>
      <w:r w:rsidR="00C04B82" w:rsidRPr="003F0412">
        <w:rPr>
          <w:rFonts w:asciiTheme="majorBidi" w:hAnsiTheme="majorBidi" w:cstheme="majorBidi"/>
          <w:szCs w:val="18"/>
        </w:rPr>
        <w:t xml:space="preserve"> complex indicates tetrahedral geometry.  The cytotoxicity and viability of MDA231 cell lines results demonstrated substantial inhibition rates for all ligands and their metal complexes at different dosages, in comparison to cisplatin, which acted as the positive control.</w:t>
      </w:r>
    </w:p>
    <w:p w14:paraId="5289C2DA" w14:textId="67F0E397" w:rsidR="002C3425" w:rsidRDefault="002163DC" w:rsidP="00F11ABE">
      <w:pPr>
        <w:pStyle w:val="Abstract"/>
        <w:rPr>
          <w:rFonts w:asciiTheme="majorBidi" w:hAnsiTheme="majorBidi" w:cstheme="majorBidi"/>
          <w:szCs w:val="18"/>
        </w:rPr>
      </w:pPr>
      <w:r w:rsidRPr="00313D0C">
        <w:rPr>
          <w:rFonts w:asciiTheme="majorBidi" w:hAnsiTheme="majorBidi" w:cstheme="majorBidi"/>
          <w:b/>
          <w:bCs/>
          <w:szCs w:val="18"/>
        </w:rPr>
        <w:t>Keywords:</w:t>
      </w:r>
      <w:r w:rsidRPr="00313D0C">
        <w:rPr>
          <w:rFonts w:asciiTheme="majorBidi" w:hAnsiTheme="majorBidi" w:cstheme="majorBidi"/>
          <w:szCs w:val="18"/>
        </w:rPr>
        <w:t xml:space="preserve"> Spectr</w:t>
      </w:r>
      <w:r w:rsidR="00441F8C" w:rsidRPr="00313D0C">
        <w:rPr>
          <w:rFonts w:asciiTheme="majorBidi" w:hAnsiTheme="majorBidi" w:cstheme="majorBidi"/>
          <w:szCs w:val="18"/>
        </w:rPr>
        <w:t xml:space="preserve">oscopic, </w:t>
      </w:r>
      <w:r w:rsidR="00BC536C">
        <w:rPr>
          <w:rFonts w:asciiTheme="majorBidi" w:hAnsiTheme="majorBidi" w:cstheme="majorBidi"/>
          <w:szCs w:val="18"/>
        </w:rPr>
        <w:t>B</w:t>
      </w:r>
      <w:r w:rsidR="00441F8C" w:rsidRPr="00313D0C">
        <w:rPr>
          <w:rFonts w:asciiTheme="majorBidi" w:hAnsiTheme="majorBidi" w:cstheme="majorBidi"/>
          <w:szCs w:val="18"/>
        </w:rPr>
        <w:t xml:space="preserve">identate, </w:t>
      </w:r>
      <w:r w:rsidR="00BC536C">
        <w:rPr>
          <w:rFonts w:asciiTheme="majorBidi" w:hAnsiTheme="majorBidi" w:cstheme="majorBidi"/>
          <w:szCs w:val="18"/>
        </w:rPr>
        <w:t>C</w:t>
      </w:r>
      <w:r w:rsidR="00A27537" w:rsidRPr="00313D0C">
        <w:rPr>
          <w:rFonts w:asciiTheme="majorBidi" w:hAnsiTheme="majorBidi" w:cstheme="majorBidi"/>
          <w:szCs w:val="18"/>
        </w:rPr>
        <w:t xml:space="preserve">omplexes, </w:t>
      </w:r>
      <w:r w:rsidR="00C04B82">
        <w:rPr>
          <w:rFonts w:asciiTheme="majorBidi" w:hAnsiTheme="majorBidi" w:cstheme="majorBidi"/>
          <w:szCs w:val="18"/>
        </w:rPr>
        <w:t>Schiff bases</w:t>
      </w:r>
      <w:r w:rsidR="00C04B82" w:rsidRPr="00313D0C">
        <w:rPr>
          <w:rFonts w:asciiTheme="majorBidi" w:hAnsiTheme="majorBidi" w:cstheme="majorBidi"/>
          <w:szCs w:val="18"/>
        </w:rPr>
        <w:t xml:space="preserve">, and </w:t>
      </w:r>
      <w:r w:rsidR="00BC536C">
        <w:rPr>
          <w:rFonts w:asciiTheme="majorBidi" w:hAnsiTheme="majorBidi" w:cstheme="majorBidi"/>
          <w:szCs w:val="18"/>
        </w:rPr>
        <w:t>T</w:t>
      </w:r>
      <w:r w:rsidR="00A27537" w:rsidRPr="00313D0C">
        <w:rPr>
          <w:rFonts w:asciiTheme="majorBidi" w:hAnsiTheme="majorBidi" w:cstheme="majorBidi"/>
          <w:szCs w:val="18"/>
        </w:rPr>
        <w:t>ransition metal</w:t>
      </w:r>
      <w:r w:rsidR="00C04B82">
        <w:rPr>
          <w:rFonts w:asciiTheme="majorBidi" w:hAnsiTheme="majorBidi" w:cstheme="majorBidi"/>
          <w:szCs w:val="18"/>
        </w:rPr>
        <w:t>.</w:t>
      </w:r>
      <w:r w:rsidR="00A27537" w:rsidRPr="00313D0C">
        <w:rPr>
          <w:rFonts w:asciiTheme="majorBidi" w:hAnsiTheme="majorBidi" w:cstheme="majorBidi"/>
          <w:szCs w:val="18"/>
        </w:rPr>
        <w:t xml:space="preserve"> </w:t>
      </w:r>
    </w:p>
    <w:p w14:paraId="006D6EBB" w14:textId="77777777" w:rsidR="002C3425" w:rsidRPr="00313D0C" w:rsidRDefault="00C04B82" w:rsidP="009838E9">
      <w:pPr>
        <w:pStyle w:val="NoSpacing"/>
        <w:bidi w:val="0"/>
        <w:spacing w:before="240" w:after="240"/>
        <w:jc w:val="center"/>
        <w:rPr>
          <w:rFonts w:asciiTheme="majorBidi" w:hAnsiTheme="majorBidi" w:cstheme="majorBidi"/>
          <w:b/>
          <w:bCs/>
          <w:sz w:val="24"/>
          <w:szCs w:val="24"/>
        </w:rPr>
      </w:pPr>
      <w:r>
        <w:rPr>
          <w:rFonts w:asciiTheme="majorBidi" w:hAnsiTheme="majorBidi" w:cstheme="majorBidi"/>
          <w:b/>
          <w:bCs/>
          <w:sz w:val="24"/>
          <w:szCs w:val="24"/>
        </w:rPr>
        <w:t xml:space="preserve">INTRODUCTION </w:t>
      </w:r>
    </w:p>
    <w:p w14:paraId="4445C0EC" w14:textId="77777777" w:rsidR="002867D5" w:rsidRDefault="00184EA0" w:rsidP="006B16A8">
      <w:pPr>
        <w:jc w:val="both"/>
      </w:pPr>
      <w:r w:rsidRPr="00313D0C">
        <w:rPr>
          <w:rFonts w:asciiTheme="majorBidi" w:hAnsiTheme="majorBidi" w:cstheme="majorBidi"/>
          <w:sz w:val="20"/>
          <w:szCs w:val="20"/>
        </w:rPr>
        <w:t xml:space="preserve">     </w:t>
      </w:r>
      <w:r w:rsidR="00822D5E" w:rsidRPr="00313D0C">
        <w:rPr>
          <w:rFonts w:asciiTheme="majorBidi" w:hAnsiTheme="majorBidi" w:cstheme="majorBidi"/>
          <w:sz w:val="20"/>
          <w:szCs w:val="20"/>
        </w:rPr>
        <w:t xml:space="preserve">Naproxen is a nonsteroidal anti-inflammatory analgesic commonly used in the clinical management of arthritis and for treating both chronic and acute pain conditions, including </w:t>
      </w:r>
      <w:r w:rsidR="009838E9" w:rsidRPr="00313D0C">
        <w:rPr>
          <w:rFonts w:asciiTheme="majorBidi" w:hAnsiTheme="majorBidi" w:cstheme="majorBidi"/>
          <w:sz w:val="20"/>
          <w:szCs w:val="20"/>
        </w:rPr>
        <w:t>osteoarthritis [</w:t>
      </w:r>
      <w:r w:rsidR="00822D5E" w:rsidRPr="00313D0C">
        <w:rPr>
          <w:rFonts w:asciiTheme="majorBidi" w:hAnsiTheme="majorBidi" w:cstheme="majorBidi"/>
          <w:sz w:val="20"/>
          <w:szCs w:val="20"/>
        </w:rPr>
        <w:t xml:space="preserve">1-3]. However, a significant occurrence of gastrointestinal ulcers limits its efficacy. When taken orally, naproxen crystallizes and adheres to the digestive mucus due to its acidic properties and limited solubility. The gradual breakdown process may cause damage to the gastric walls [4]. Compounds containing naproxen amide demonstrate reliable anti-inflammatory effects [5]. Additionally, amide derivatives of naproxen, such as naproxen </w:t>
      </w:r>
      <w:proofErr w:type="spellStart"/>
      <w:r w:rsidR="00822D5E" w:rsidRPr="00313D0C">
        <w:rPr>
          <w:rFonts w:asciiTheme="majorBidi" w:hAnsiTheme="majorBidi" w:cstheme="majorBidi"/>
          <w:sz w:val="20"/>
          <w:szCs w:val="20"/>
        </w:rPr>
        <w:t>glycolamide</w:t>
      </w:r>
      <w:proofErr w:type="spellEnd"/>
      <w:r w:rsidR="00822D5E" w:rsidRPr="00313D0C">
        <w:rPr>
          <w:rFonts w:asciiTheme="majorBidi" w:hAnsiTheme="majorBidi" w:cstheme="majorBidi"/>
          <w:sz w:val="20"/>
          <w:szCs w:val="20"/>
        </w:rPr>
        <w:t xml:space="preserve">, have shown anti-inflammatory properties with significantly reduced gastrointestinal injury compared to the parent compound [6]. The interaction of a medication with a metal element can either enhance or diminish its efficacy; in some instances, the resulting complex may exhibit effects that are not present in the original substance [7]. The use of metal complexes alongside conventional pharmaceuticals as therapeutic agents for various disorders has been extensively studied in the field of therapeutics [8]. The carboxylate functional group contains four lone pairs of electrons on its two oxygen atoms, which are available for metal-ligand chelation. This chelation enhances the inhibitory efficacy for specific substrates [9]. Additionally, the transition metal complexes formed from these pharmaceuticals exhibit greater efficacy compared to their individual ligands [10]. The distinct modes of action of metal complexes in drug development provide an alternative strategy for innovative drug delivery methods [5]. The interaction between a medication and a </w:t>
      </w:r>
      <w:proofErr w:type="spellStart"/>
      <w:r w:rsidR="00822D5E" w:rsidRPr="00313D0C">
        <w:rPr>
          <w:rFonts w:asciiTheme="majorBidi" w:hAnsiTheme="majorBidi" w:cstheme="majorBidi"/>
          <w:sz w:val="20"/>
          <w:szCs w:val="20"/>
        </w:rPr>
        <w:t>metalloelement</w:t>
      </w:r>
      <w:proofErr w:type="spellEnd"/>
      <w:r w:rsidR="00822D5E" w:rsidRPr="00313D0C">
        <w:rPr>
          <w:rFonts w:asciiTheme="majorBidi" w:hAnsiTheme="majorBidi" w:cstheme="majorBidi"/>
          <w:sz w:val="20"/>
          <w:szCs w:val="20"/>
        </w:rPr>
        <w:t xml:space="preserve"> can either enhance or diminish its efficacy; in some instances, the resulting complex may display activity that the original substance lacks [9]. </w:t>
      </w:r>
      <w:r w:rsidR="00822D5E" w:rsidRPr="00313D0C">
        <w:rPr>
          <w:rFonts w:ascii="Times New Roman" w:eastAsia="Times New Roman" w:hAnsi="Times New Roman" w:cs="Times New Roman"/>
          <w:sz w:val="20"/>
          <w:szCs w:val="20"/>
        </w:rPr>
        <w:t>This research intends to create transition metal complexes of Naproxen Fig. (1)</w:t>
      </w:r>
      <w:r w:rsidR="00822D5E" w:rsidRPr="00313D0C">
        <w:rPr>
          <w:rFonts w:asciiTheme="majorBidi" w:hAnsiTheme="majorBidi" w:cstheme="majorBidi"/>
          <w:sz w:val="20"/>
          <w:szCs w:val="20"/>
        </w:rPr>
        <w:t xml:space="preserve">, investigate the synthesis and characteristics of </w:t>
      </w:r>
      <w:proofErr w:type="gramStart"/>
      <w:r w:rsidR="00822D5E" w:rsidRPr="00313D0C">
        <w:rPr>
          <w:rFonts w:asciiTheme="majorBidi" w:hAnsiTheme="majorBidi" w:cstheme="majorBidi"/>
          <w:sz w:val="20"/>
          <w:szCs w:val="20"/>
        </w:rPr>
        <w:t>Co(</w:t>
      </w:r>
      <w:proofErr w:type="gramEnd"/>
      <w:r w:rsidR="00822D5E" w:rsidRPr="00313D0C">
        <w:rPr>
          <w:rFonts w:asciiTheme="majorBidi" w:hAnsiTheme="majorBidi" w:cstheme="majorBidi"/>
          <w:sz w:val="20"/>
          <w:szCs w:val="20"/>
        </w:rPr>
        <w:t xml:space="preserve">II) and </w:t>
      </w:r>
      <w:proofErr w:type="gramStart"/>
      <w:r w:rsidR="00822D5E" w:rsidRPr="00313D0C">
        <w:rPr>
          <w:rFonts w:asciiTheme="majorBidi" w:hAnsiTheme="majorBidi" w:cstheme="majorBidi"/>
          <w:sz w:val="20"/>
          <w:szCs w:val="20"/>
        </w:rPr>
        <w:t>Zn(</w:t>
      </w:r>
      <w:proofErr w:type="gramEnd"/>
      <w:r w:rsidR="00822D5E" w:rsidRPr="00313D0C">
        <w:rPr>
          <w:rFonts w:asciiTheme="majorBidi" w:hAnsiTheme="majorBidi" w:cstheme="majorBidi"/>
          <w:sz w:val="20"/>
          <w:szCs w:val="20"/>
        </w:rPr>
        <w:t>II), and determine their geometric structures using various physical methods.</w:t>
      </w:r>
      <w:r w:rsidR="002867D5" w:rsidRPr="002867D5">
        <w:t xml:space="preserve"> </w:t>
      </w:r>
    </w:p>
    <w:p w14:paraId="41A749BC" w14:textId="77777777" w:rsidR="002867D5" w:rsidRDefault="002867D5" w:rsidP="002867D5">
      <w:pPr>
        <w:spacing w:after="0"/>
        <w:jc w:val="center"/>
      </w:pPr>
      <w:r>
        <w:object w:dxaOrig="2434" w:dyaOrig="1207" w14:anchorId="01C65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85.8pt" o:ole="">
            <v:imagedata r:id="rId5" o:title=""/>
          </v:shape>
          <o:OLEObject Type="Embed" ProgID="ChemDraw.Document.6.0" ShapeID="_x0000_i1025" DrawAspect="Content" ObjectID="_1826553440" r:id="rId6"/>
        </w:object>
      </w:r>
    </w:p>
    <w:p w14:paraId="282D7E2E" w14:textId="16E09B02" w:rsidR="00A03B73" w:rsidRPr="002867D5" w:rsidRDefault="00481358" w:rsidP="002867D5">
      <w:pPr>
        <w:jc w:val="center"/>
        <w:rPr>
          <w:rFonts w:ascii="Times New Roman" w:eastAsia="Times New Roman" w:hAnsi="Times New Roman" w:cs="Times New Roman"/>
          <w:sz w:val="20"/>
          <w:szCs w:val="20"/>
        </w:rPr>
      </w:pPr>
      <w:r w:rsidRPr="00122AEA">
        <w:rPr>
          <w:rFonts w:asciiTheme="majorBidi" w:hAnsiTheme="majorBidi" w:cstheme="majorBidi"/>
          <w:b/>
          <w:bCs/>
          <w:sz w:val="18"/>
          <w:szCs w:val="18"/>
        </w:rPr>
        <w:t>F</w:t>
      </w:r>
      <w:r w:rsidR="00313D0C" w:rsidRPr="00122AEA">
        <w:rPr>
          <w:rFonts w:asciiTheme="majorBidi" w:hAnsiTheme="majorBidi" w:cstheme="majorBidi"/>
          <w:b/>
          <w:bCs/>
          <w:sz w:val="18"/>
          <w:szCs w:val="18"/>
        </w:rPr>
        <w:t>IGURE 1.</w:t>
      </w:r>
      <w:r w:rsidRPr="00964420">
        <w:rPr>
          <w:rFonts w:asciiTheme="majorBidi" w:hAnsiTheme="majorBidi" w:cstheme="majorBidi"/>
          <w:sz w:val="18"/>
          <w:szCs w:val="18"/>
        </w:rPr>
        <w:t xml:space="preserve"> The </w:t>
      </w:r>
      <w:r w:rsidR="00313D0C" w:rsidRPr="00964420">
        <w:rPr>
          <w:rFonts w:asciiTheme="majorBidi" w:hAnsiTheme="majorBidi" w:cstheme="majorBidi"/>
          <w:sz w:val="18"/>
          <w:szCs w:val="18"/>
        </w:rPr>
        <w:t>I</w:t>
      </w:r>
      <w:r w:rsidRPr="00964420">
        <w:rPr>
          <w:rFonts w:asciiTheme="majorBidi" w:hAnsiTheme="majorBidi" w:cstheme="majorBidi"/>
          <w:sz w:val="18"/>
          <w:szCs w:val="18"/>
        </w:rPr>
        <w:t>llustrating of Naproxen</w:t>
      </w:r>
    </w:p>
    <w:p w14:paraId="001DEAFB" w14:textId="77777777" w:rsidR="006D6936" w:rsidRPr="00313D0C" w:rsidRDefault="00E66E90" w:rsidP="009838E9">
      <w:pPr>
        <w:pStyle w:val="NoSpacing"/>
        <w:bidi w:val="0"/>
        <w:spacing w:before="240" w:after="240"/>
        <w:jc w:val="center"/>
        <w:rPr>
          <w:rFonts w:asciiTheme="majorBidi" w:hAnsiTheme="majorBidi" w:cstheme="majorBidi"/>
          <w:b/>
          <w:bCs/>
          <w:sz w:val="24"/>
          <w:szCs w:val="24"/>
        </w:rPr>
      </w:pPr>
      <w:r>
        <w:rPr>
          <w:rFonts w:asciiTheme="majorBidi" w:hAnsiTheme="majorBidi" w:cstheme="majorBidi"/>
          <w:b/>
          <w:bCs/>
          <w:sz w:val="24"/>
          <w:szCs w:val="24"/>
        </w:rPr>
        <w:lastRenderedPageBreak/>
        <w:t>MATERIAL AND METHODS</w:t>
      </w:r>
    </w:p>
    <w:p w14:paraId="16CC512A" w14:textId="155F932C" w:rsidR="00313D0C" w:rsidRDefault="00822D5E" w:rsidP="00196365">
      <w:pPr>
        <w:pStyle w:val="NoSpacing"/>
        <w:bidi w:val="0"/>
        <w:ind w:firstLine="284"/>
        <w:jc w:val="both"/>
        <w:rPr>
          <w:rFonts w:asciiTheme="majorBidi" w:hAnsiTheme="majorBidi" w:cstheme="majorBidi"/>
          <w:sz w:val="20"/>
          <w:szCs w:val="20"/>
        </w:rPr>
      </w:pPr>
      <w:r w:rsidRPr="00313D0C">
        <w:rPr>
          <w:rFonts w:asciiTheme="majorBidi" w:hAnsiTheme="majorBidi" w:cstheme="majorBidi"/>
          <w:sz w:val="20"/>
          <w:szCs w:val="20"/>
        </w:rPr>
        <w:t xml:space="preserve">Naproxen, analytical-grade metal chlorides, and </w:t>
      </w:r>
      <w:r w:rsidR="000E58F7" w:rsidRPr="00313D0C">
        <w:rPr>
          <w:rFonts w:asciiTheme="majorBidi" w:eastAsia="Times New Roman" w:hAnsiTheme="majorBidi" w:cstheme="majorBidi"/>
          <w:sz w:val="20"/>
          <w:szCs w:val="20"/>
        </w:rPr>
        <w:t>Solvents were ob</w:t>
      </w:r>
      <w:r w:rsidR="001A26FB" w:rsidRPr="00313D0C">
        <w:rPr>
          <w:rFonts w:asciiTheme="majorBidi" w:eastAsia="Times New Roman" w:hAnsiTheme="majorBidi" w:cstheme="majorBidi"/>
          <w:sz w:val="20"/>
          <w:szCs w:val="20"/>
        </w:rPr>
        <w:t>tained from Merck (</w:t>
      </w:r>
      <w:proofErr w:type="spellStart"/>
      <w:r w:rsidR="001A26FB" w:rsidRPr="00313D0C">
        <w:rPr>
          <w:rFonts w:asciiTheme="majorBidi" w:eastAsia="Times New Roman" w:hAnsiTheme="majorBidi" w:cstheme="majorBidi"/>
          <w:sz w:val="20"/>
          <w:szCs w:val="20"/>
        </w:rPr>
        <w:t>Schnelldorf</w:t>
      </w:r>
      <w:proofErr w:type="spellEnd"/>
      <w:r w:rsidRPr="00313D0C">
        <w:rPr>
          <w:rFonts w:asciiTheme="majorBidi" w:hAnsiTheme="majorBidi" w:cstheme="majorBidi"/>
          <w:sz w:val="20"/>
          <w:szCs w:val="20"/>
        </w:rPr>
        <w:t xml:space="preserve">, Germany).   All chemicals included in this investigation exhibit the highest analytical purity.  The products were analyzed using CHNS elemental analysis, ultraviolet-visible (UV-Vis) spectroscopy, Fourier transform infrared (FTIR) spectroscopy, and melting point assessment.  CHNS microanalytical data were obtained using the Euro EA3000 and AA-680 Shimadzu Atomic Absorption Spectroscopy instruments.  The FTIR spectra of the synthesized compounds were obtained using a </w:t>
      </w:r>
      <w:proofErr w:type="spellStart"/>
      <w:r w:rsidRPr="00313D0C">
        <w:rPr>
          <w:rFonts w:asciiTheme="majorBidi" w:hAnsiTheme="majorBidi" w:cstheme="majorBidi"/>
          <w:sz w:val="20"/>
          <w:szCs w:val="20"/>
        </w:rPr>
        <w:t>CsI</w:t>
      </w:r>
      <w:proofErr w:type="spellEnd"/>
      <w:r w:rsidRPr="00313D0C">
        <w:rPr>
          <w:rFonts w:asciiTheme="majorBidi" w:hAnsiTheme="majorBidi" w:cstheme="majorBidi"/>
          <w:sz w:val="20"/>
          <w:szCs w:val="20"/>
        </w:rPr>
        <w:t xml:space="preserve"> disc with Shimadzu and Perkin Elmer FTIR spectrometers.  The electronic spectra of the ligands and their complexes in solution were obtained using a UV-Vis 1800 PC Shimadzu Spectrophotometer.</w:t>
      </w:r>
    </w:p>
    <w:p w14:paraId="375271A8" w14:textId="77777777" w:rsidR="00964420" w:rsidRPr="006B16A8" w:rsidRDefault="00964420" w:rsidP="00964420">
      <w:pPr>
        <w:pStyle w:val="NoSpacing"/>
        <w:bidi w:val="0"/>
        <w:jc w:val="both"/>
        <w:rPr>
          <w:rFonts w:asciiTheme="majorBidi" w:hAnsiTheme="majorBidi" w:cstheme="majorBidi"/>
          <w:sz w:val="20"/>
          <w:szCs w:val="20"/>
        </w:rPr>
      </w:pPr>
    </w:p>
    <w:p w14:paraId="70DF011E" w14:textId="77777777" w:rsidR="004E5091" w:rsidRPr="00313D0C" w:rsidRDefault="00E66E90" w:rsidP="009838E9">
      <w:pPr>
        <w:pStyle w:val="NoSpacing"/>
        <w:bidi w:val="0"/>
        <w:spacing w:before="240" w:after="240"/>
        <w:jc w:val="center"/>
        <w:rPr>
          <w:rFonts w:asciiTheme="majorBidi" w:hAnsiTheme="majorBidi" w:cstheme="majorBidi"/>
          <w:b/>
          <w:bCs/>
          <w:sz w:val="24"/>
          <w:szCs w:val="24"/>
        </w:rPr>
      </w:pPr>
      <w:r>
        <w:rPr>
          <w:rFonts w:asciiTheme="majorBidi" w:hAnsiTheme="majorBidi" w:cstheme="majorBidi"/>
          <w:b/>
          <w:bCs/>
          <w:sz w:val="24"/>
          <w:szCs w:val="24"/>
        </w:rPr>
        <w:t xml:space="preserve">SYNTHESIS OF SODIUM SALT OF NAPROXEN </w:t>
      </w:r>
    </w:p>
    <w:p w14:paraId="363ACC11" w14:textId="2E019A16" w:rsidR="00313D0C" w:rsidRDefault="000E58F7" w:rsidP="00196365">
      <w:pPr>
        <w:pStyle w:val="NoSpacing"/>
        <w:bidi w:val="0"/>
        <w:ind w:firstLine="284"/>
        <w:jc w:val="both"/>
        <w:rPr>
          <w:rFonts w:asciiTheme="majorBidi" w:hAnsiTheme="majorBidi" w:cstheme="majorBidi"/>
          <w:sz w:val="20"/>
          <w:szCs w:val="20"/>
        </w:rPr>
      </w:pPr>
      <w:r w:rsidRPr="00313D0C">
        <w:rPr>
          <w:rFonts w:asciiTheme="majorBidi" w:hAnsiTheme="majorBidi" w:cstheme="majorBidi"/>
          <w:sz w:val="20"/>
          <w:szCs w:val="20"/>
        </w:rPr>
        <w:t xml:space="preserve">0.82 g (1 mmol) of naproxen (ligand) was dissolved in anhydrous ethanol while continuously stirring until the solid was completely dissolved. An incremental addition of 0.183 g (1 mmol) of </w:t>
      </w:r>
      <w:proofErr w:type="spellStart"/>
      <w:r w:rsidRPr="00313D0C">
        <w:rPr>
          <w:rFonts w:asciiTheme="majorBidi" w:hAnsiTheme="majorBidi" w:cstheme="majorBidi"/>
          <w:sz w:val="20"/>
          <w:szCs w:val="20"/>
        </w:rPr>
        <w:t>NaHCO</w:t>
      </w:r>
      <w:proofErr w:type="spellEnd"/>
      <w:r w:rsidRPr="00313D0C">
        <w:rPr>
          <w:rFonts w:asciiTheme="majorBidi" w:hAnsiTheme="majorBidi" w:cstheme="majorBidi"/>
          <w:sz w:val="20"/>
          <w:szCs w:val="20"/>
        </w:rPr>
        <w:t xml:space="preserve">₃, which was dissolved in deionized water, was made to the solution. The reaction mixture was stirred at ambient temperature for one hour, then placed in a water bath to evaporate until a crystalline layer formed. Upon cooling, a white precipitate </w:t>
      </w:r>
      <w:proofErr w:type="gramStart"/>
      <w:r w:rsidRPr="00313D0C">
        <w:rPr>
          <w:rFonts w:asciiTheme="majorBidi" w:hAnsiTheme="majorBidi" w:cstheme="majorBidi"/>
          <w:sz w:val="20"/>
          <w:szCs w:val="20"/>
        </w:rPr>
        <w:t>appeared[</w:t>
      </w:r>
      <w:proofErr w:type="gramEnd"/>
      <w:r w:rsidRPr="00313D0C">
        <w:rPr>
          <w:rFonts w:asciiTheme="majorBidi" w:hAnsiTheme="majorBidi" w:cstheme="majorBidi"/>
          <w:sz w:val="20"/>
          <w:szCs w:val="20"/>
        </w:rPr>
        <w:t>8].</w:t>
      </w:r>
    </w:p>
    <w:p w14:paraId="08B37EDF" w14:textId="77777777" w:rsidR="00964420" w:rsidRPr="00313D0C" w:rsidRDefault="00964420" w:rsidP="00964420">
      <w:pPr>
        <w:pStyle w:val="NoSpacing"/>
        <w:bidi w:val="0"/>
        <w:jc w:val="both"/>
        <w:rPr>
          <w:rFonts w:asciiTheme="majorBidi" w:hAnsiTheme="majorBidi" w:cstheme="majorBidi"/>
          <w:sz w:val="20"/>
          <w:szCs w:val="20"/>
        </w:rPr>
      </w:pPr>
    </w:p>
    <w:p w14:paraId="6916EA8E" w14:textId="77777777" w:rsidR="006D6936" w:rsidRPr="009838E9" w:rsidRDefault="00E66E90" w:rsidP="009838E9">
      <w:pPr>
        <w:pStyle w:val="NoSpacing"/>
        <w:bidi w:val="0"/>
        <w:spacing w:before="240" w:after="240"/>
        <w:jc w:val="center"/>
        <w:rPr>
          <w:rFonts w:asciiTheme="majorBidi" w:hAnsiTheme="majorBidi" w:cstheme="majorBidi"/>
          <w:b/>
          <w:bCs/>
          <w:sz w:val="24"/>
          <w:szCs w:val="24"/>
        </w:rPr>
      </w:pPr>
      <w:r>
        <w:rPr>
          <w:rFonts w:asciiTheme="majorBidi" w:hAnsiTheme="majorBidi" w:cstheme="majorBidi"/>
          <w:b/>
          <w:bCs/>
          <w:sz w:val="24"/>
          <w:szCs w:val="24"/>
        </w:rPr>
        <w:t>SYNTHESIS OF METAL COMPLEXES</w:t>
      </w:r>
    </w:p>
    <w:p w14:paraId="2F31369C" w14:textId="32E409C9" w:rsidR="000E58F7" w:rsidRPr="00313D0C" w:rsidRDefault="000E58F7" w:rsidP="00196365">
      <w:pPr>
        <w:pStyle w:val="NoSpacing"/>
        <w:bidi w:val="0"/>
        <w:ind w:firstLine="284"/>
        <w:jc w:val="both"/>
        <w:rPr>
          <w:rFonts w:asciiTheme="majorBidi" w:hAnsiTheme="majorBidi" w:cstheme="majorBidi"/>
          <w:sz w:val="20"/>
          <w:szCs w:val="20"/>
        </w:rPr>
      </w:pPr>
      <w:r w:rsidRPr="00313D0C">
        <w:rPr>
          <w:rFonts w:asciiTheme="majorBidi" w:hAnsiTheme="majorBidi" w:cstheme="majorBidi"/>
          <w:sz w:val="20"/>
          <w:szCs w:val="20"/>
        </w:rPr>
        <w:t xml:space="preserve">A solution of sodium salt of naproxen (1 mmol) was prepared in ethanol in a round-bottom flask and stirred for 15 minutes. Equimolar amounts of metal chlorides, </w:t>
      </w:r>
      <w:proofErr w:type="spellStart"/>
      <w:r w:rsidRPr="00313D0C">
        <w:rPr>
          <w:rFonts w:asciiTheme="majorBidi" w:hAnsiTheme="majorBidi" w:cstheme="majorBidi"/>
          <w:sz w:val="20"/>
          <w:szCs w:val="20"/>
        </w:rPr>
        <w:t>CoCl</w:t>
      </w:r>
      <w:proofErr w:type="spellEnd"/>
      <w:r w:rsidRPr="00313D0C">
        <w:rPr>
          <w:rFonts w:asciiTheme="majorBidi" w:hAnsiTheme="majorBidi" w:cstheme="majorBidi"/>
          <w:sz w:val="20"/>
          <w:szCs w:val="20"/>
        </w:rPr>
        <w:t xml:space="preserve">₂·2H₂O (0.237 g) and </w:t>
      </w:r>
      <w:proofErr w:type="spellStart"/>
      <w:r w:rsidRPr="00313D0C">
        <w:rPr>
          <w:rFonts w:asciiTheme="majorBidi" w:hAnsiTheme="majorBidi" w:cstheme="majorBidi"/>
          <w:sz w:val="20"/>
          <w:szCs w:val="20"/>
        </w:rPr>
        <w:t>ZnCl</w:t>
      </w:r>
      <w:proofErr w:type="spellEnd"/>
      <w:r w:rsidRPr="00313D0C">
        <w:rPr>
          <w:rFonts w:asciiTheme="majorBidi" w:hAnsiTheme="majorBidi" w:cstheme="majorBidi"/>
          <w:sz w:val="20"/>
          <w:szCs w:val="20"/>
        </w:rPr>
        <w:t xml:space="preserve">₂ (0.137 g) (1.0 mmol each), were then added to 10 mL of ethanol. The mixture underwent reflux with continuous agitation for three hours [11]. </w:t>
      </w:r>
      <w:r w:rsidR="001A58BD" w:rsidRPr="00313D0C">
        <w:rPr>
          <w:rFonts w:asciiTheme="majorBidi" w:hAnsiTheme="majorBidi" w:cstheme="majorBidi"/>
          <w:sz w:val="20"/>
          <w:szCs w:val="20"/>
        </w:rPr>
        <w:t>The complexes that resulted were isolated from the solution</w:t>
      </w:r>
      <w:r w:rsidRPr="00313D0C">
        <w:rPr>
          <w:rFonts w:asciiTheme="majorBidi" w:hAnsiTheme="majorBidi" w:cstheme="majorBidi"/>
          <w:sz w:val="20"/>
          <w:szCs w:val="20"/>
        </w:rPr>
        <w:t>, washed with ethanol, and dried in a desiccator.</w:t>
      </w:r>
    </w:p>
    <w:p w14:paraId="0E08BD2A" w14:textId="1E800ED7" w:rsidR="001D0243" w:rsidRPr="00313D0C" w:rsidRDefault="00A65EC5" w:rsidP="00FB7D91">
      <w:pPr>
        <w:pStyle w:val="NoSpacing"/>
        <w:bidi w:val="0"/>
        <w:jc w:val="right"/>
        <w:rPr>
          <w:rFonts w:asciiTheme="majorBidi" w:hAnsiTheme="majorBidi" w:cstheme="majorBidi"/>
          <w:sz w:val="20"/>
          <w:szCs w:val="20"/>
        </w:rPr>
      </w:pPr>
      <w:r w:rsidRPr="00313D0C">
        <w:rPr>
          <w:rFonts w:asciiTheme="majorBidi" w:hAnsiTheme="majorBidi" w:cstheme="majorBidi"/>
          <w:sz w:val="20"/>
          <w:szCs w:val="20"/>
        </w:rPr>
        <w:t>Nap + NaHCO</w:t>
      </w:r>
      <w:r w:rsidRPr="00313D0C">
        <w:rPr>
          <w:rFonts w:asciiTheme="majorBidi" w:hAnsiTheme="majorBidi" w:cstheme="majorBidi"/>
          <w:sz w:val="20"/>
          <w:szCs w:val="20"/>
          <w:vertAlign w:val="subscript"/>
        </w:rPr>
        <w:t xml:space="preserve">3 </w:t>
      </w:r>
      <w:r w:rsidR="002C07CC" w:rsidRPr="00313D0C">
        <w:rPr>
          <w:rFonts w:asciiTheme="majorBidi" w:hAnsiTheme="majorBidi" w:cstheme="majorBidi"/>
          <w:sz w:val="20"/>
          <w:szCs w:val="20"/>
        </w:rPr>
        <w:t xml:space="preserve">   </w:t>
      </w:r>
      <w:proofErr w:type="gramStart"/>
      <w:r w:rsidR="002C07CC" w:rsidRPr="00313D0C">
        <w:rPr>
          <w:rFonts w:asciiTheme="majorBidi" w:hAnsiTheme="majorBidi" w:cstheme="majorBidi"/>
          <w:sz w:val="20"/>
          <w:szCs w:val="20"/>
        </w:rPr>
        <w:t>→  Na</w:t>
      </w:r>
      <w:r w:rsidRPr="00313D0C">
        <w:rPr>
          <w:rFonts w:asciiTheme="majorBidi" w:hAnsiTheme="majorBidi" w:cstheme="majorBidi"/>
          <w:sz w:val="20"/>
          <w:szCs w:val="20"/>
        </w:rPr>
        <w:t>Nap</w:t>
      </w:r>
      <w:proofErr w:type="gramEnd"/>
      <w:r w:rsidRPr="00313D0C">
        <w:rPr>
          <w:rFonts w:asciiTheme="majorBidi" w:hAnsiTheme="majorBidi" w:cstheme="majorBidi"/>
          <w:sz w:val="20"/>
          <w:szCs w:val="20"/>
        </w:rPr>
        <w:t xml:space="preserve">  + </w:t>
      </w:r>
      <w:proofErr w:type="gramStart"/>
      <w:r w:rsidRPr="00313D0C">
        <w:rPr>
          <w:rFonts w:asciiTheme="majorBidi" w:hAnsiTheme="majorBidi" w:cstheme="majorBidi"/>
          <w:sz w:val="20"/>
          <w:szCs w:val="20"/>
        </w:rPr>
        <w:t>H</w:t>
      </w:r>
      <w:r w:rsidRPr="00313D0C">
        <w:rPr>
          <w:rFonts w:asciiTheme="majorBidi" w:hAnsiTheme="majorBidi" w:cstheme="majorBidi"/>
          <w:sz w:val="20"/>
          <w:szCs w:val="20"/>
          <w:vertAlign w:val="subscript"/>
        </w:rPr>
        <w:t>2</w:t>
      </w:r>
      <w:r w:rsidRPr="00313D0C">
        <w:rPr>
          <w:rFonts w:asciiTheme="majorBidi" w:hAnsiTheme="majorBidi" w:cstheme="majorBidi"/>
          <w:sz w:val="20"/>
          <w:szCs w:val="20"/>
        </w:rPr>
        <w:t xml:space="preserve">O  </w:t>
      </w:r>
      <w:r w:rsidR="001D0243" w:rsidRPr="00313D0C">
        <w:rPr>
          <w:rFonts w:asciiTheme="majorBidi" w:hAnsiTheme="majorBidi" w:cstheme="majorBidi"/>
          <w:sz w:val="20"/>
          <w:szCs w:val="20"/>
        </w:rPr>
        <w:t>+</w:t>
      </w:r>
      <w:proofErr w:type="gramEnd"/>
      <w:r w:rsidRPr="00313D0C">
        <w:rPr>
          <w:rFonts w:asciiTheme="majorBidi" w:hAnsiTheme="majorBidi" w:cstheme="majorBidi"/>
          <w:sz w:val="20"/>
          <w:szCs w:val="20"/>
        </w:rPr>
        <w:t xml:space="preserve">  CO</w:t>
      </w:r>
      <w:r w:rsidRPr="00313D0C">
        <w:rPr>
          <w:rFonts w:asciiTheme="majorBidi" w:hAnsiTheme="majorBidi" w:cstheme="majorBidi"/>
          <w:sz w:val="20"/>
          <w:szCs w:val="20"/>
          <w:vertAlign w:val="subscript"/>
        </w:rPr>
        <w:t>2</w:t>
      </w:r>
      <w:r w:rsidR="00FB7D91">
        <w:rPr>
          <w:rFonts w:asciiTheme="majorBidi" w:hAnsiTheme="majorBidi" w:cstheme="majorBidi"/>
          <w:sz w:val="20"/>
          <w:szCs w:val="20"/>
          <w:vertAlign w:val="subscript"/>
        </w:rPr>
        <w:t xml:space="preserve"> </w:t>
      </w:r>
      <w:r w:rsidR="00FB7D91">
        <w:rPr>
          <w:rFonts w:asciiTheme="majorBidi" w:hAnsiTheme="majorBidi" w:cstheme="majorBidi"/>
          <w:sz w:val="20"/>
          <w:szCs w:val="20"/>
        </w:rPr>
        <w:t xml:space="preserve">                                                </w:t>
      </w:r>
      <w:proofErr w:type="gramStart"/>
      <w:r w:rsidR="00FB7D91">
        <w:rPr>
          <w:rFonts w:asciiTheme="majorBidi" w:hAnsiTheme="majorBidi" w:cstheme="majorBidi"/>
          <w:sz w:val="20"/>
          <w:szCs w:val="20"/>
        </w:rPr>
        <w:t xml:space="preserve">   </w:t>
      </w:r>
      <w:r w:rsidR="00FB7D91" w:rsidRPr="00FB7D91">
        <w:rPr>
          <w:rFonts w:asciiTheme="majorBidi" w:hAnsiTheme="majorBidi" w:cstheme="majorBidi"/>
          <w:sz w:val="20"/>
          <w:szCs w:val="20"/>
        </w:rPr>
        <w:t>(</w:t>
      </w:r>
      <w:proofErr w:type="gramEnd"/>
      <w:r w:rsidR="00FB7D91" w:rsidRPr="00FB7D91">
        <w:rPr>
          <w:rFonts w:asciiTheme="majorBidi" w:hAnsiTheme="majorBidi" w:cstheme="majorBidi"/>
          <w:sz w:val="20"/>
          <w:szCs w:val="20"/>
        </w:rPr>
        <w:t>1)</w:t>
      </w:r>
    </w:p>
    <w:p w14:paraId="004DBA78" w14:textId="5328028D" w:rsidR="002C07CC" w:rsidRDefault="00A65EC5" w:rsidP="00FB7D91">
      <w:pPr>
        <w:pStyle w:val="NoSpacing"/>
        <w:bidi w:val="0"/>
        <w:jc w:val="right"/>
        <w:rPr>
          <w:rFonts w:asciiTheme="majorBidi" w:hAnsiTheme="majorBidi" w:cstheme="majorBidi"/>
          <w:sz w:val="20"/>
          <w:szCs w:val="20"/>
        </w:rPr>
      </w:pPr>
      <w:proofErr w:type="gramStart"/>
      <w:r w:rsidRPr="00313D0C">
        <w:rPr>
          <w:rFonts w:asciiTheme="majorBidi" w:hAnsiTheme="majorBidi" w:cstheme="majorBidi"/>
          <w:sz w:val="20"/>
          <w:szCs w:val="20"/>
        </w:rPr>
        <w:t xml:space="preserve">NaNap  </w:t>
      </w:r>
      <w:r w:rsidR="001D0243" w:rsidRPr="00313D0C">
        <w:rPr>
          <w:rFonts w:asciiTheme="majorBidi" w:hAnsiTheme="majorBidi" w:cstheme="majorBidi"/>
          <w:sz w:val="20"/>
          <w:szCs w:val="20"/>
        </w:rPr>
        <w:t>+</w:t>
      </w:r>
      <w:proofErr w:type="gramEnd"/>
      <w:r w:rsidRPr="00313D0C">
        <w:rPr>
          <w:rFonts w:asciiTheme="majorBidi" w:hAnsiTheme="majorBidi" w:cstheme="majorBidi"/>
          <w:sz w:val="20"/>
          <w:szCs w:val="20"/>
        </w:rPr>
        <w:t xml:space="preserve">  </w:t>
      </w:r>
      <w:proofErr w:type="spellStart"/>
      <w:proofErr w:type="gramStart"/>
      <w:r w:rsidRPr="00313D0C">
        <w:rPr>
          <w:rFonts w:asciiTheme="majorBidi" w:hAnsiTheme="majorBidi" w:cstheme="majorBidi"/>
          <w:sz w:val="20"/>
          <w:szCs w:val="20"/>
        </w:rPr>
        <w:t>MCl</w:t>
      </w:r>
      <w:r w:rsidRPr="00313D0C">
        <w:rPr>
          <w:rFonts w:asciiTheme="majorBidi" w:hAnsiTheme="majorBidi" w:cstheme="majorBidi"/>
          <w:sz w:val="20"/>
          <w:szCs w:val="20"/>
          <w:vertAlign w:val="subscript"/>
        </w:rPr>
        <w:t>x</w:t>
      </w:r>
      <w:proofErr w:type="spellEnd"/>
      <w:r w:rsidRPr="00313D0C">
        <w:rPr>
          <w:rFonts w:asciiTheme="majorBidi" w:hAnsiTheme="majorBidi" w:cstheme="majorBidi"/>
          <w:sz w:val="20"/>
          <w:szCs w:val="20"/>
          <w:vertAlign w:val="subscript"/>
        </w:rPr>
        <w:t xml:space="preserve"> </w:t>
      </w:r>
      <w:r w:rsidR="001D0243" w:rsidRPr="00313D0C">
        <w:rPr>
          <w:rFonts w:asciiTheme="majorBidi" w:hAnsiTheme="majorBidi" w:cstheme="majorBidi"/>
          <w:sz w:val="20"/>
          <w:szCs w:val="20"/>
        </w:rPr>
        <w:t>.</w:t>
      </w:r>
      <w:proofErr w:type="gramEnd"/>
      <w:r w:rsidRPr="00313D0C">
        <w:rPr>
          <w:rFonts w:asciiTheme="majorBidi" w:hAnsiTheme="majorBidi" w:cstheme="majorBidi"/>
          <w:sz w:val="20"/>
          <w:szCs w:val="20"/>
        </w:rPr>
        <w:t xml:space="preserve"> nH</w:t>
      </w:r>
      <w:r w:rsidRPr="00313D0C">
        <w:rPr>
          <w:rFonts w:asciiTheme="majorBidi" w:hAnsiTheme="majorBidi" w:cstheme="majorBidi"/>
          <w:sz w:val="20"/>
          <w:szCs w:val="20"/>
          <w:vertAlign w:val="subscript"/>
        </w:rPr>
        <w:t>2</w:t>
      </w:r>
      <w:proofErr w:type="gramStart"/>
      <w:r w:rsidRPr="00313D0C">
        <w:rPr>
          <w:rFonts w:asciiTheme="majorBidi" w:hAnsiTheme="majorBidi" w:cstheme="majorBidi"/>
          <w:sz w:val="20"/>
          <w:szCs w:val="20"/>
        </w:rPr>
        <w:t xml:space="preserve">O  </w:t>
      </w:r>
      <w:r w:rsidR="001D0243" w:rsidRPr="00313D0C">
        <w:rPr>
          <w:rFonts w:asciiTheme="majorBidi" w:hAnsiTheme="majorBidi" w:cstheme="majorBidi"/>
          <w:sz w:val="20"/>
          <w:szCs w:val="20"/>
        </w:rPr>
        <w:t>→</w:t>
      </w:r>
      <w:proofErr w:type="gramEnd"/>
      <w:r w:rsidR="001D0243" w:rsidRPr="00313D0C">
        <w:rPr>
          <w:rFonts w:asciiTheme="majorBidi" w:hAnsiTheme="majorBidi" w:cstheme="majorBidi"/>
          <w:sz w:val="20"/>
          <w:szCs w:val="20"/>
        </w:rPr>
        <w:t xml:space="preserve"> (</w:t>
      </w:r>
      <w:r w:rsidRPr="00313D0C">
        <w:rPr>
          <w:rFonts w:asciiTheme="majorBidi" w:hAnsiTheme="majorBidi" w:cstheme="majorBidi"/>
          <w:sz w:val="20"/>
          <w:szCs w:val="20"/>
        </w:rPr>
        <w:t>Nap</w:t>
      </w:r>
      <w:r w:rsidR="001D0243" w:rsidRPr="00313D0C">
        <w:rPr>
          <w:rFonts w:asciiTheme="majorBidi" w:hAnsiTheme="majorBidi" w:cstheme="majorBidi"/>
          <w:sz w:val="20"/>
          <w:szCs w:val="20"/>
        </w:rPr>
        <w:t>)</w:t>
      </w:r>
      <w:proofErr w:type="spellStart"/>
      <w:proofErr w:type="gramStart"/>
      <w:r w:rsidRPr="00313D0C">
        <w:rPr>
          <w:rFonts w:asciiTheme="majorBidi" w:hAnsiTheme="majorBidi" w:cstheme="majorBidi"/>
          <w:sz w:val="20"/>
          <w:szCs w:val="20"/>
        </w:rPr>
        <w:t>Cl</w:t>
      </w:r>
      <w:r w:rsidRPr="00313D0C">
        <w:rPr>
          <w:rFonts w:asciiTheme="majorBidi" w:hAnsiTheme="majorBidi" w:cstheme="majorBidi"/>
          <w:sz w:val="20"/>
          <w:szCs w:val="20"/>
          <w:vertAlign w:val="subscript"/>
        </w:rPr>
        <w:t>x</w:t>
      </w:r>
      <w:proofErr w:type="spellEnd"/>
      <w:r w:rsidR="001D0243" w:rsidRPr="00313D0C">
        <w:rPr>
          <w:rFonts w:asciiTheme="majorBidi" w:hAnsiTheme="majorBidi" w:cstheme="majorBidi"/>
          <w:sz w:val="20"/>
          <w:szCs w:val="20"/>
        </w:rPr>
        <w:t xml:space="preserve"> .</w:t>
      </w:r>
      <w:r w:rsidRPr="00313D0C">
        <w:rPr>
          <w:rFonts w:asciiTheme="majorBidi" w:hAnsiTheme="majorBidi" w:cstheme="majorBidi"/>
          <w:sz w:val="20"/>
          <w:szCs w:val="20"/>
        </w:rPr>
        <w:t>nH</w:t>
      </w:r>
      <w:proofErr w:type="gramEnd"/>
      <w:r w:rsidRPr="00313D0C">
        <w:rPr>
          <w:rFonts w:asciiTheme="majorBidi" w:hAnsiTheme="majorBidi" w:cstheme="majorBidi"/>
          <w:sz w:val="20"/>
          <w:szCs w:val="20"/>
          <w:vertAlign w:val="subscript"/>
        </w:rPr>
        <w:t>2</w:t>
      </w:r>
      <w:proofErr w:type="gramStart"/>
      <w:r w:rsidRPr="00313D0C">
        <w:rPr>
          <w:rFonts w:asciiTheme="majorBidi" w:hAnsiTheme="majorBidi" w:cstheme="majorBidi"/>
          <w:sz w:val="20"/>
          <w:szCs w:val="20"/>
        </w:rPr>
        <w:t xml:space="preserve">O  </w:t>
      </w:r>
      <w:r w:rsidR="001D0243" w:rsidRPr="00313D0C">
        <w:rPr>
          <w:rFonts w:asciiTheme="majorBidi" w:hAnsiTheme="majorBidi" w:cstheme="majorBidi"/>
          <w:sz w:val="20"/>
          <w:szCs w:val="20"/>
        </w:rPr>
        <w:t>+</w:t>
      </w:r>
      <w:proofErr w:type="gramEnd"/>
      <w:r w:rsidR="001D0243" w:rsidRPr="00313D0C">
        <w:rPr>
          <w:rFonts w:asciiTheme="majorBidi" w:hAnsiTheme="majorBidi" w:cstheme="majorBidi"/>
          <w:sz w:val="20"/>
          <w:szCs w:val="20"/>
        </w:rPr>
        <w:t xml:space="preserve"> </w:t>
      </w:r>
      <w:r w:rsidRPr="00313D0C">
        <w:rPr>
          <w:rFonts w:asciiTheme="majorBidi" w:hAnsiTheme="majorBidi" w:cstheme="majorBidi"/>
          <w:sz w:val="20"/>
          <w:szCs w:val="20"/>
        </w:rPr>
        <w:t>NaCl</w:t>
      </w:r>
      <w:r w:rsidR="00FB7D91">
        <w:rPr>
          <w:rFonts w:asciiTheme="majorBidi" w:hAnsiTheme="majorBidi" w:cstheme="majorBidi"/>
          <w:sz w:val="20"/>
          <w:szCs w:val="20"/>
        </w:rPr>
        <w:t xml:space="preserve">                                           </w:t>
      </w:r>
      <w:proofErr w:type="gramStart"/>
      <w:r w:rsidR="00FB7D91">
        <w:rPr>
          <w:rFonts w:asciiTheme="majorBidi" w:hAnsiTheme="majorBidi" w:cstheme="majorBidi"/>
          <w:sz w:val="20"/>
          <w:szCs w:val="20"/>
        </w:rPr>
        <w:t xml:space="preserve">   (</w:t>
      </w:r>
      <w:proofErr w:type="gramEnd"/>
      <w:r w:rsidR="00FB7D91">
        <w:rPr>
          <w:rFonts w:asciiTheme="majorBidi" w:hAnsiTheme="majorBidi" w:cstheme="majorBidi"/>
          <w:sz w:val="20"/>
          <w:szCs w:val="20"/>
        </w:rPr>
        <w:t>2)</w:t>
      </w:r>
    </w:p>
    <w:p w14:paraId="69AA7426" w14:textId="77777777" w:rsidR="00A03B73" w:rsidRPr="00313D0C" w:rsidRDefault="00E66E90" w:rsidP="009838E9">
      <w:pPr>
        <w:pStyle w:val="NoSpacing"/>
        <w:bidi w:val="0"/>
        <w:spacing w:before="240" w:after="240"/>
        <w:jc w:val="center"/>
        <w:rPr>
          <w:rFonts w:asciiTheme="majorBidi" w:hAnsiTheme="majorBidi" w:cstheme="majorBidi"/>
          <w:b/>
          <w:bCs/>
          <w:sz w:val="24"/>
          <w:szCs w:val="24"/>
        </w:rPr>
      </w:pPr>
      <w:r>
        <w:rPr>
          <w:rFonts w:asciiTheme="majorBidi" w:hAnsiTheme="majorBidi" w:cstheme="majorBidi"/>
          <w:b/>
          <w:bCs/>
          <w:sz w:val="24"/>
          <w:szCs w:val="24"/>
        </w:rPr>
        <w:t>CYTOTOXIC ASSAY</w:t>
      </w:r>
    </w:p>
    <w:p w14:paraId="4B36C359" w14:textId="05CD8F15" w:rsidR="002C07CC" w:rsidRPr="00313D0C" w:rsidRDefault="001A26FB" w:rsidP="00196365">
      <w:pPr>
        <w:pStyle w:val="NoSpacing"/>
        <w:bidi w:val="0"/>
        <w:ind w:firstLine="284"/>
        <w:jc w:val="both"/>
        <w:rPr>
          <w:rFonts w:asciiTheme="majorBidi" w:hAnsiTheme="majorBidi" w:cstheme="majorBidi"/>
          <w:sz w:val="20"/>
          <w:szCs w:val="20"/>
        </w:rPr>
      </w:pPr>
      <w:r w:rsidRPr="00313D0C">
        <w:rPr>
          <w:rFonts w:asciiTheme="majorBidi" w:hAnsiTheme="majorBidi" w:cstheme="majorBidi"/>
          <w:sz w:val="20"/>
          <w:szCs w:val="20"/>
        </w:rPr>
        <w:t xml:space="preserve">A colorimetric method was employed to evaluate the cytotoxicity of the compounds via the 3-(4,5-dimethylthiazole-2-yl)-2,5-biphenyl tetrazolium bromide (MTT) assay [12,13]. The MDA-231 cell lines utilized in this work were acquired from the Biotechnology Center at Al-Nahrain University. </w:t>
      </w:r>
      <w:r w:rsidR="001A58BD" w:rsidRPr="00313D0C">
        <w:rPr>
          <w:rFonts w:asciiTheme="majorBidi" w:hAnsiTheme="majorBidi" w:cstheme="majorBidi"/>
          <w:sz w:val="20"/>
          <w:szCs w:val="20"/>
        </w:rPr>
        <w:t>The cells were cultured in Minimum Essential Medium (MEM) that was supplemented with 10% fetal bovine serum, 100 U/ml of penicillin, and 100 mg/ml of streptomycin. This was done in a humidified incubator set at 37°C with 5% CO₂.</w:t>
      </w:r>
      <w:r w:rsidRPr="00313D0C">
        <w:rPr>
          <w:rFonts w:asciiTheme="majorBidi" w:hAnsiTheme="majorBidi" w:cstheme="majorBidi"/>
          <w:sz w:val="20"/>
          <w:szCs w:val="20"/>
        </w:rPr>
        <w:t xml:space="preserve"> The cells were relocated to 96-well microtiter plates. After exposure to multiple concentrations of the compounds and a positive control (cis-Pt) at doses of 400, 200, 100, 50, and 25 µg/ml for 48 hours, the cells were rinsed once with phosphate-buffered saline (PBS). </w:t>
      </w:r>
      <w:r w:rsidR="001A58BD" w:rsidRPr="00313D0C">
        <w:rPr>
          <w:rFonts w:asciiTheme="majorBidi" w:hAnsiTheme="majorBidi" w:cstheme="majorBidi"/>
          <w:sz w:val="20"/>
          <w:szCs w:val="20"/>
        </w:rPr>
        <w:t xml:space="preserve">Subsequently, 100 µl of serum-free media containing 5 mg/ml of MTT was added to each well. The absorbance of the resulting mixture was measured at a wavelength of 620 nm. </w:t>
      </w:r>
      <w:r w:rsidRPr="00313D0C">
        <w:rPr>
          <w:rFonts w:asciiTheme="majorBidi" w:hAnsiTheme="majorBidi" w:cstheme="majorBidi"/>
          <w:sz w:val="20"/>
          <w:szCs w:val="20"/>
        </w:rPr>
        <w:t>The Statistical Analysis System (SAS, 2012) Version 9.1 was utilized to assess the impact of varying dosages on the inhibition rate. The Least Significant Difference (LSD) test, originating from One-Way Analysis of Variance (ANOVA), was employed to discern significant differences among means.</w:t>
      </w:r>
    </w:p>
    <w:p w14:paraId="52E30FAB" w14:textId="77777777" w:rsidR="001D0243" w:rsidRPr="00313D0C" w:rsidRDefault="00E66E90" w:rsidP="009838E9">
      <w:pPr>
        <w:pStyle w:val="NoSpacing"/>
        <w:bidi w:val="0"/>
        <w:spacing w:before="240" w:after="240"/>
        <w:jc w:val="center"/>
        <w:rPr>
          <w:rFonts w:asciiTheme="majorBidi" w:hAnsiTheme="majorBidi" w:cstheme="majorBidi"/>
          <w:b/>
          <w:bCs/>
          <w:sz w:val="24"/>
          <w:szCs w:val="24"/>
        </w:rPr>
      </w:pPr>
      <w:r>
        <w:rPr>
          <w:rFonts w:asciiTheme="majorBidi" w:hAnsiTheme="majorBidi" w:cstheme="majorBidi"/>
          <w:b/>
          <w:bCs/>
          <w:sz w:val="24"/>
          <w:szCs w:val="24"/>
        </w:rPr>
        <w:t xml:space="preserve">RESULT AND DISCUSSION </w:t>
      </w:r>
    </w:p>
    <w:p w14:paraId="6E6C537D" w14:textId="77777777" w:rsidR="002867D5" w:rsidRDefault="001A26FB" w:rsidP="002867D5">
      <w:pPr>
        <w:pStyle w:val="NoSpacing"/>
        <w:bidi w:val="0"/>
        <w:jc w:val="both"/>
        <w:rPr>
          <w:rFonts w:asciiTheme="majorBidi" w:hAnsiTheme="majorBidi" w:cstheme="majorBidi"/>
          <w:sz w:val="20"/>
          <w:szCs w:val="20"/>
        </w:rPr>
      </w:pPr>
      <w:r w:rsidRPr="00313D0C">
        <w:rPr>
          <w:rFonts w:asciiTheme="majorBidi" w:hAnsiTheme="majorBidi" w:cstheme="majorBidi"/>
          <w:sz w:val="20"/>
          <w:szCs w:val="20"/>
        </w:rPr>
        <w:t>The resulting compounds were stable, colorful powders that maintained their properties for an extended period in the open atmosphere. Table (1) summarizes the analytical data for the ligands and their complexes, as well as some physical characteristics.</w:t>
      </w:r>
    </w:p>
    <w:p w14:paraId="69148444" w14:textId="77777777" w:rsidR="00950A52" w:rsidRDefault="00950A52" w:rsidP="00950A52">
      <w:pPr>
        <w:pStyle w:val="NoSpacing"/>
        <w:bidi w:val="0"/>
        <w:jc w:val="both"/>
        <w:rPr>
          <w:rFonts w:asciiTheme="majorBidi" w:hAnsiTheme="majorBidi" w:cstheme="majorBidi"/>
          <w:sz w:val="20"/>
          <w:szCs w:val="20"/>
        </w:rPr>
      </w:pPr>
    </w:p>
    <w:p w14:paraId="1539E608" w14:textId="693A8743" w:rsidR="00950A52" w:rsidRDefault="002867D5" w:rsidP="00950A52">
      <w:pPr>
        <w:pStyle w:val="NoSpacing"/>
        <w:bidi w:val="0"/>
        <w:jc w:val="center"/>
        <w:rPr>
          <w:rFonts w:asciiTheme="majorBidi" w:hAnsiTheme="majorBidi" w:cstheme="majorBidi"/>
          <w:sz w:val="18"/>
          <w:szCs w:val="18"/>
          <w:lang w:bidi="ar-IQ"/>
        </w:rPr>
      </w:pPr>
      <w:r w:rsidRPr="002867D5">
        <w:rPr>
          <w:rFonts w:asciiTheme="majorBidi" w:hAnsiTheme="majorBidi" w:cstheme="majorBidi"/>
          <w:b/>
          <w:bCs/>
          <w:sz w:val="18"/>
          <w:szCs w:val="18"/>
          <w:lang w:bidi="ar-IQ"/>
        </w:rPr>
        <w:t xml:space="preserve"> </w:t>
      </w:r>
      <w:r w:rsidRPr="00346F06">
        <w:rPr>
          <w:rFonts w:asciiTheme="majorBidi" w:hAnsiTheme="majorBidi" w:cstheme="majorBidi"/>
          <w:b/>
          <w:bCs/>
          <w:sz w:val="18"/>
          <w:szCs w:val="18"/>
          <w:lang w:bidi="ar-IQ"/>
        </w:rPr>
        <w:t xml:space="preserve">TABLE 1. </w:t>
      </w:r>
      <w:r w:rsidRPr="009C055D">
        <w:rPr>
          <w:rFonts w:asciiTheme="majorBidi" w:hAnsiTheme="majorBidi" w:cstheme="majorBidi"/>
          <w:sz w:val="18"/>
          <w:szCs w:val="18"/>
          <w:lang w:bidi="ar-IQ"/>
        </w:rPr>
        <w:t>Physical Properties for Ligand and Metal Complexes</w:t>
      </w:r>
    </w:p>
    <w:tbl>
      <w:tblPr>
        <w:tblStyle w:val="PlainTable2"/>
        <w:tblpPr w:leftFromText="180" w:rightFromText="180" w:vertAnchor="text" w:horzAnchor="margin" w:tblpY="254"/>
        <w:tblW w:w="9365" w:type="dxa"/>
        <w:tblLayout w:type="fixed"/>
        <w:tblLook w:val="0600" w:firstRow="0" w:lastRow="0" w:firstColumn="0" w:lastColumn="0" w:noHBand="1" w:noVBand="1"/>
      </w:tblPr>
      <w:tblGrid>
        <w:gridCol w:w="805"/>
        <w:gridCol w:w="720"/>
        <w:gridCol w:w="900"/>
        <w:gridCol w:w="900"/>
        <w:gridCol w:w="820"/>
        <w:gridCol w:w="895"/>
        <w:gridCol w:w="900"/>
        <w:gridCol w:w="810"/>
        <w:gridCol w:w="810"/>
        <w:gridCol w:w="1805"/>
      </w:tblGrid>
      <w:tr w:rsidR="00950A52" w:rsidRPr="00346F06" w14:paraId="5E24AFF2" w14:textId="77777777" w:rsidTr="00220174">
        <w:trPr>
          <w:trHeight w:val="360"/>
        </w:trPr>
        <w:tc>
          <w:tcPr>
            <w:tcW w:w="805" w:type="dxa"/>
            <w:vMerge w:val="restart"/>
            <w:vAlign w:val="center"/>
          </w:tcPr>
          <w:p w14:paraId="27E87C1D" w14:textId="77777777" w:rsidR="00950A52" w:rsidRPr="005679A9" w:rsidRDefault="00950A52" w:rsidP="00220174">
            <w:pPr>
              <w:pStyle w:val="NoSpacing"/>
              <w:bidi w:val="0"/>
              <w:rPr>
                <w:rFonts w:asciiTheme="majorBidi" w:hAnsiTheme="majorBidi" w:cstheme="majorBidi"/>
                <w:b/>
                <w:bCs/>
                <w:sz w:val="18"/>
                <w:szCs w:val="18"/>
                <w:lang w:bidi="ar-IQ"/>
              </w:rPr>
            </w:pPr>
            <w:r w:rsidRPr="005679A9">
              <w:rPr>
                <w:rFonts w:asciiTheme="majorBidi" w:hAnsiTheme="majorBidi" w:cstheme="majorBidi"/>
                <w:b/>
                <w:bCs/>
                <w:sz w:val="18"/>
                <w:szCs w:val="18"/>
                <w:lang w:bidi="ar-IQ"/>
              </w:rPr>
              <w:t>Comp.</w:t>
            </w:r>
          </w:p>
        </w:tc>
        <w:tc>
          <w:tcPr>
            <w:tcW w:w="720" w:type="dxa"/>
            <w:vMerge w:val="restart"/>
            <w:vAlign w:val="center"/>
          </w:tcPr>
          <w:p w14:paraId="1CEE1E3B" w14:textId="77777777" w:rsidR="00950A52" w:rsidRPr="005679A9" w:rsidRDefault="00950A52" w:rsidP="00220174">
            <w:pPr>
              <w:pStyle w:val="NoSpacing"/>
              <w:bidi w:val="0"/>
              <w:rPr>
                <w:rFonts w:asciiTheme="majorBidi" w:hAnsiTheme="majorBidi" w:cstheme="majorBidi"/>
                <w:b/>
                <w:bCs/>
                <w:sz w:val="18"/>
                <w:szCs w:val="18"/>
              </w:rPr>
            </w:pPr>
            <w:r w:rsidRPr="005679A9">
              <w:rPr>
                <w:rFonts w:asciiTheme="majorBidi" w:hAnsiTheme="majorBidi" w:cstheme="majorBidi"/>
                <w:b/>
                <w:bCs/>
                <w:sz w:val="18"/>
                <w:szCs w:val="18"/>
              </w:rPr>
              <w:t>Color</w:t>
            </w:r>
          </w:p>
        </w:tc>
        <w:tc>
          <w:tcPr>
            <w:tcW w:w="900" w:type="dxa"/>
            <w:vMerge w:val="restart"/>
            <w:vAlign w:val="center"/>
          </w:tcPr>
          <w:p w14:paraId="760A9206" w14:textId="77777777" w:rsidR="00950A52" w:rsidRPr="005679A9" w:rsidRDefault="00950A52" w:rsidP="00220174">
            <w:pPr>
              <w:pStyle w:val="NoSpacing"/>
              <w:bidi w:val="0"/>
              <w:rPr>
                <w:rFonts w:asciiTheme="majorBidi" w:hAnsiTheme="majorBidi" w:cstheme="majorBidi"/>
                <w:b/>
                <w:bCs/>
                <w:sz w:val="18"/>
                <w:szCs w:val="18"/>
                <w:lang w:bidi="ar-IQ"/>
              </w:rPr>
            </w:pPr>
            <w:proofErr w:type="spellStart"/>
            <w:r w:rsidRPr="005679A9">
              <w:rPr>
                <w:rFonts w:asciiTheme="majorBidi" w:hAnsiTheme="majorBidi" w:cstheme="majorBidi"/>
                <w:b/>
                <w:bCs/>
                <w:sz w:val="18"/>
                <w:szCs w:val="18"/>
                <w:lang w:bidi="ar-IQ"/>
              </w:rPr>
              <w:t>M.Wt</w:t>
            </w:r>
            <w:proofErr w:type="spellEnd"/>
          </w:p>
          <w:p w14:paraId="0E90F328" w14:textId="77777777" w:rsidR="00950A52" w:rsidRPr="005679A9" w:rsidRDefault="00950A52" w:rsidP="00220174">
            <w:pPr>
              <w:pStyle w:val="NoSpacing"/>
              <w:bidi w:val="0"/>
              <w:rPr>
                <w:rFonts w:asciiTheme="majorBidi" w:hAnsiTheme="majorBidi" w:cstheme="majorBidi"/>
                <w:b/>
                <w:bCs/>
                <w:sz w:val="18"/>
                <w:szCs w:val="18"/>
                <w:lang w:bidi="ar-IQ"/>
              </w:rPr>
            </w:pPr>
            <w:r w:rsidRPr="005679A9">
              <w:rPr>
                <w:rFonts w:asciiTheme="majorBidi" w:hAnsiTheme="majorBidi" w:cstheme="majorBidi"/>
                <w:b/>
                <w:bCs/>
                <w:sz w:val="18"/>
                <w:szCs w:val="18"/>
                <w:lang w:bidi="ar-IQ"/>
              </w:rPr>
              <w:t>g/mol</w:t>
            </w:r>
          </w:p>
        </w:tc>
        <w:tc>
          <w:tcPr>
            <w:tcW w:w="900" w:type="dxa"/>
            <w:vMerge w:val="restart"/>
            <w:vAlign w:val="center"/>
          </w:tcPr>
          <w:p w14:paraId="69CD0C7C" w14:textId="77777777" w:rsidR="00950A52" w:rsidRPr="005679A9" w:rsidRDefault="00950A52" w:rsidP="00220174">
            <w:pPr>
              <w:pStyle w:val="NoSpacing"/>
              <w:bidi w:val="0"/>
              <w:rPr>
                <w:rFonts w:asciiTheme="majorBidi" w:hAnsiTheme="majorBidi" w:cstheme="majorBidi"/>
                <w:b/>
                <w:bCs/>
                <w:sz w:val="18"/>
                <w:szCs w:val="18"/>
              </w:rPr>
            </w:pPr>
            <w:r w:rsidRPr="005679A9">
              <w:rPr>
                <w:rFonts w:asciiTheme="majorBidi" w:hAnsiTheme="majorBidi" w:cstheme="majorBidi"/>
                <w:b/>
                <w:bCs/>
                <w:sz w:val="18"/>
                <w:szCs w:val="18"/>
              </w:rPr>
              <w:t>m.p</w:t>
            </w:r>
            <w:r w:rsidRPr="005679A9">
              <w:rPr>
                <w:rFonts w:asciiTheme="majorBidi" w:hAnsiTheme="majorBidi" w:cstheme="majorBidi"/>
                <w:b/>
                <w:bCs/>
                <w:sz w:val="18"/>
                <w:szCs w:val="18"/>
                <w:vertAlign w:val="superscript"/>
              </w:rPr>
              <w:t>0</w:t>
            </w:r>
            <w:r w:rsidRPr="005679A9">
              <w:rPr>
                <w:rFonts w:asciiTheme="majorBidi" w:hAnsiTheme="majorBidi" w:cstheme="majorBidi"/>
                <w:b/>
                <w:bCs/>
                <w:sz w:val="18"/>
                <w:szCs w:val="18"/>
              </w:rPr>
              <w:t>C</w:t>
            </w:r>
          </w:p>
          <w:p w14:paraId="7A64F1C5" w14:textId="77777777" w:rsidR="00950A52" w:rsidRPr="005679A9" w:rsidRDefault="00950A52" w:rsidP="00220174">
            <w:pPr>
              <w:pStyle w:val="NoSpacing"/>
              <w:bidi w:val="0"/>
              <w:rPr>
                <w:rFonts w:asciiTheme="majorBidi" w:hAnsiTheme="majorBidi" w:cstheme="majorBidi"/>
                <w:b/>
                <w:bCs/>
                <w:sz w:val="18"/>
                <w:szCs w:val="18"/>
              </w:rPr>
            </w:pPr>
          </w:p>
        </w:tc>
        <w:tc>
          <w:tcPr>
            <w:tcW w:w="820" w:type="dxa"/>
            <w:vMerge w:val="restart"/>
            <w:vAlign w:val="center"/>
          </w:tcPr>
          <w:p w14:paraId="0D9C1505" w14:textId="77777777" w:rsidR="00950A52" w:rsidRPr="005679A9" w:rsidRDefault="00950A52" w:rsidP="00220174">
            <w:pPr>
              <w:pStyle w:val="NoSpacing"/>
              <w:bidi w:val="0"/>
              <w:rPr>
                <w:rFonts w:asciiTheme="majorBidi" w:hAnsiTheme="majorBidi" w:cstheme="majorBidi"/>
                <w:b/>
                <w:bCs/>
                <w:sz w:val="18"/>
                <w:szCs w:val="18"/>
              </w:rPr>
            </w:pPr>
            <w:r w:rsidRPr="005679A9">
              <w:rPr>
                <w:rFonts w:asciiTheme="majorBidi" w:hAnsiTheme="majorBidi" w:cstheme="majorBidi"/>
                <w:b/>
                <w:bCs/>
                <w:sz w:val="18"/>
                <w:szCs w:val="18"/>
              </w:rPr>
              <w:t>Yield %</w:t>
            </w:r>
          </w:p>
        </w:tc>
        <w:tc>
          <w:tcPr>
            <w:tcW w:w="895" w:type="dxa"/>
            <w:vMerge w:val="restart"/>
            <w:tcBorders>
              <w:top w:val="single" w:sz="4" w:space="0" w:color="7F7F7F" w:themeColor="text1" w:themeTint="80"/>
              <w:bottom w:val="nil"/>
            </w:tcBorders>
            <w:vAlign w:val="center"/>
          </w:tcPr>
          <w:p w14:paraId="37DF1D6F" w14:textId="77777777" w:rsidR="00950A52" w:rsidRPr="005679A9" w:rsidRDefault="00950A52" w:rsidP="00220174">
            <w:pPr>
              <w:pStyle w:val="NoSpacing"/>
              <w:bidi w:val="0"/>
              <w:rPr>
                <w:rFonts w:asciiTheme="majorBidi" w:hAnsiTheme="majorBidi" w:cstheme="majorBidi"/>
                <w:b/>
                <w:bCs/>
                <w:sz w:val="18"/>
                <w:szCs w:val="18"/>
              </w:rPr>
            </w:pPr>
            <w:r w:rsidRPr="005679A9">
              <w:rPr>
                <w:rFonts w:asciiTheme="majorBidi" w:hAnsiTheme="majorBidi" w:cstheme="majorBidi"/>
                <w:b/>
                <w:bCs/>
                <w:sz w:val="18"/>
                <w:szCs w:val="18"/>
              </w:rPr>
              <w:t>Molar ratio (</w:t>
            </w:r>
            <w:proofErr w:type="gramStart"/>
            <w:r w:rsidRPr="005679A9">
              <w:rPr>
                <w:rFonts w:asciiTheme="majorBidi" w:hAnsiTheme="majorBidi" w:cstheme="majorBidi"/>
                <w:b/>
                <w:bCs/>
                <w:sz w:val="18"/>
                <w:szCs w:val="18"/>
              </w:rPr>
              <w:t>M:L</w:t>
            </w:r>
            <w:proofErr w:type="gramEnd"/>
            <w:r w:rsidRPr="005679A9">
              <w:rPr>
                <w:rFonts w:asciiTheme="majorBidi" w:hAnsiTheme="majorBidi" w:cstheme="majorBidi"/>
                <w:b/>
                <w:bCs/>
                <w:sz w:val="18"/>
                <w:szCs w:val="18"/>
              </w:rPr>
              <w:t>)</w:t>
            </w:r>
          </w:p>
        </w:tc>
        <w:tc>
          <w:tcPr>
            <w:tcW w:w="2520" w:type="dxa"/>
            <w:gridSpan w:val="3"/>
            <w:tcBorders>
              <w:top w:val="single" w:sz="4" w:space="0" w:color="7F7F7F" w:themeColor="text1" w:themeTint="80"/>
              <w:bottom w:val="nil"/>
            </w:tcBorders>
            <w:vAlign w:val="center"/>
          </w:tcPr>
          <w:p w14:paraId="05790325" w14:textId="77777777" w:rsidR="00950A52" w:rsidRPr="005679A9" w:rsidRDefault="00950A52" w:rsidP="00220174">
            <w:pPr>
              <w:pStyle w:val="NoSpacing"/>
              <w:bidi w:val="0"/>
              <w:rPr>
                <w:rFonts w:asciiTheme="majorBidi" w:hAnsiTheme="majorBidi" w:cstheme="majorBidi"/>
                <w:b/>
                <w:bCs/>
                <w:sz w:val="18"/>
                <w:szCs w:val="18"/>
              </w:rPr>
            </w:pPr>
            <w:r w:rsidRPr="005679A9">
              <w:rPr>
                <w:rFonts w:asciiTheme="majorBidi" w:hAnsiTheme="majorBidi" w:cstheme="majorBidi"/>
                <w:b/>
                <w:bCs/>
                <w:sz w:val="18"/>
                <w:szCs w:val="18"/>
              </w:rPr>
              <w:t>Analysis (%)</w:t>
            </w:r>
          </w:p>
          <w:p w14:paraId="0E7A516D" w14:textId="77777777" w:rsidR="00950A52" w:rsidRPr="005679A9" w:rsidRDefault="00950A52" w:rsidP="00220174">
            <w:pPr>
              <w:pStyle w:val="NoSpacing"/>
              <w:bidi w:val="0"/>
              <w:rPr>
                <w:rFonts w:asciiTheme="majorBidi" w:hAnsiTheme="majorBidi" w:cstheme="majorBidi"/>
                <w:b/>
                <w:bCs/>
                <w:sz w:val="18"/>
                <w:szCs w:val="18"/>
              </w:rPr>
            </w:pPr>
            <w:r w:rsidRPr="005679A9">
              <w:rPr>
                <w:rFonts w:asciiTheme="majorBidi" w:hAnsiTheme="majorBidi" w:cstheme="majorBidi"/>
                <w:b/>
                <w:bCs/>
                <w:sz w:val="18"/>
                <w:szCs w:val="18"/>
              </w:rPr>
              <w:t>calculated (found)</w:t>
            </w:r>
          </w:p>
        </w:tc>
        <w:tc>
          <w:tcPr>
            <w:tcW w:w="1805" w:type="dxa"/>
            <w:vMerge w:val="restart"/>
            <w:tcBorders>
              <w:top w:val="single" w:sz="4" w:space="0" w:color="7F7F7F" w:themeColor="text1" w:themeTint="80"/>
              <w:bottom w:val="single" w:sz="4" w:space="0" w:color="auto"/>
            </w:tcBorders>
            <w:vAlign w:val="center"/>
          </w:tcPr>
          <w:p w14:paraId="059271CE" w14:textId="77777777" w:rsidR="00950A52" w:rsidRPr="005679A9" w:rsidRDefault="00950A52" w:rsidP="00220174">
            <w:pPr>
              <w:pStyle w:val="NoSpacing"/>
              <w:bidi w:val="0"/>
              <w:rPr>
                <w:rFonts w:asciiTheme="majorBidi" w:hAnsiTheme="majorBidi" w:cstheme="majorBidi"/>
                <w:b/>
                <w:bCs/>
                <w:sz w:val="18"/>
                <w:szCs w:val="18"/>
              </w:rPr>
            </w:pPr>
            <w:r w:rsidRPr="005679A9">
              <w:rPr>
                <w:rFonts w:asciiTheme="majorBidi" w:hAnsiTheme="majorBidi" w:cstheme="majorBidi"/>
                <w:b/>
                <w:bCs/>
                <w:sz w:val="18"/>
                <w:szCs w:val="18"/>
              </w:rPr>
              <w:t>Compound</w:t>
            </w:r>
          </w:p>
        </w:tc>
      </w:tr>
      <w:tr w:rsidR="00950A52" w:rsidRPr="00346F06" w14:paraId="24AE383D" w14:textId="77777777" w:rsidTr="00220174">
        <w:trPr>
          <w:trHeight w:val="210"/>
        </w:trPr>
        <w:tc>
          <w:tcPr>
            <w:tcW w:w="805" w:type="dxa"/>
            <w:vMerge/>
            <w:vAlign w:val="center"/>
          </w:tcPr>
          <w:p w14:paraId="407EB506" w14:textId="77777777" w:rsidR="00950A52" w:rsidRPr="00346F06" w:rsidRDefault="00950A52" w:rsidP="00220174">
            <w:pPr>
              <w:pStyle w:val="NoSpacing"/>
              <w:bidi w:val="0"/>
              <w:rPr>
                <w:rFonts w:asciiTheme="majorBidi" w:hAnsiTheme="majorBidi" w:cstheme="majorBidi"/>
                <w:sz w:val="18"/>
                <w:szCs w:val="18"/>
                <w:lang w:bidi="ar-IQ"/>
              </w:rPr>
            </w:pPr>
          </w:p>
        </w:tc>
        <w:tc>
          <w:tcPr>
            <w:tcW w:w="720" w:type="dxa"/>
            <w:vMerge/>
            <w:vAlign w:val="center"/>
          </w:tcPr>
          <w:p w14:paraId="57F3866A" w14:textId="77777777" w:rsidR="00950A52" w:rsidRPr="00346F06" w:rsidRDefault="00950A52" w:rsidP="00220174">
            <w:pPr>
              <w:pStyle w:val="NoSpacing"/>
              <w:bidi w:val="0"/>
              <w:rPr>
                <w:rFonts w:asciiTheme="majorBidi" w:hAnsiTheme="majorBidi" w:cstheme="majorBidi"/>
                <w:sz w:val="18"/>
                <w:szCs w:val="18"/>
              </w:rPr>
            </w:pPr>
          </w:p>
        </w:tc>
        <w:tc>
          <w:tcPr>
            <w:tcW w:w="900" w:type="dxa"/>
            <w:vMerge/>
            <w:vAlign w:val="center"/>
          </w:tcPr>
          <w:p w14:paraId="3478652E" w14:textId="77777777" w:rsidR="00950A52" w:rsidRPr="00346F06" w:rsidRDefault="00950A52" w:rsidP="00220174">
            <w:pPr>
              <w:pStyle w:val="NoSpacing"/>
              <w:bidi w:val="0"/>
              <w:rPr>
                <w:rFonts w:asciiTheme="majorBidi" w:hAnsiTheme="majorBidi" w:cstheme="majorBidi"/>
                <w:sz w:val="18"/>
                <w:szCs w:val="18"/>
                <w:lang w:bidi="ar-IQ"/>
              </w:rPr>
            </w:pPr>
          </w:p>
        </w:tc>
        <w:tc>
          <w:tcPr>
            <w:tcW w:w="900" w:type="dxa"/>
            <w:vMerge/>
            <w:vAlign w:val="center"/>
          </w:tcPr>
          <w:p w14:paraId="09CE52EE" w14:textId="77777777" w:rsidR="00950A52" w:rsidRPr="00346F06" w:rsidRDefault="00950A52" w:rsidP="00220174">
            <w:pPr>
              <w:pStyle w:val="NoSpacing"/>
              <w:bidi w:val="0"/>
              <w:rPr>
                <w:rFonts w:asciiTheme="majorBidi" w:hAnsiTheme="majorBidi" w:cstheme="majorBidi"/>
                <w:sz w:val="18"/>
                <w:szCs w:val="18"/>
              </w:rPr>
            </w:pPr>
          </w:p>
        </w:tc>
        <w:tc>
          <w:tcPr>
            <w:tcW w:w="820" w:type="dxa"/>
            <w:vMerge/>
            <w:vAlign w:val="center"/>
          </w:tcPr>
          <w:p w14:paraId="4B50374C" w14:textId="77777777" w:rsidR="00950A52" w:rsidRPr="00346F06" w:rsidRDefault="00950A52" w:rsidP="00220174">
            <w:pPr>
              <w:pStyle w:val="NoSpacing"/>
              <w:bidi w:val="0"/>
              <w:rPr>
                <w:rFonts w:asciiTheme="majorBidi" w:hAnsiTheme="majorBidi" w:cstheme="majorBidi"/>
                <w:sz w:val="18"/>
                <w:szCs w:val="18"/>
              </w:rPr>
            </w:pPr>
          </w:p>
        </w:tc>
        <w:tc>
          <w:tcPr>
            <w:tcW w:w="895" w:type="dxa"/>
            <w:vMerge/>
            <w:tcBorders>
              <w:top w:val="nil"/>
              <w:bottom w:val="single" w:sz="4" w:space="0" w:color="auto"/>
            </w:tcBorders>
            <w:vAlign w:val="center"/>
          </w:tcPr>
          <w:p w14:paraId="5F663959" w14:textId="77777777" w:rsidR="00950A52" w:rsidRPr="00346F06" w:rsidRDefault="00950A52" w:rsidP="00220174">
            <w:pPr>
              <w:pStyle w:val="NoSpacing"/>
              <w:bidi w:val="0"/>
              <w:rPr>
                <w:rFonts w:asciiTheme="majorBidi" w:hAnsiTheme="majorBidi" w:cstheme="majorBidi"/>
                <w:sz w:val="18"/>
                <w:szCs w:val="18"/>
                <w:lang w:bidi="ar-IQ"/>
              </w:rPr>
            </w:pPr>
          </w:p>
        </w:tc>
        <w:tc>
          <w:tcPr>
            <w:tcW w:w="900" w:type="dxa"/>
            <w:tcBorders>
              <w:top w:val="nil"/>
              <w:bottom w:val="single" w:sz="4" w:space="0" w:color="auto"/>
            </w:tcBorders>
            <w:vAlign w:val="center"/>
          </w:tcPr>
          <w:p w14:paraId="6FB2E3E5" w14:textId="77777777" w:rsidR="00950A52" w:rsidRPr="00346F06" w:rsidRDefault="00950A52" w:rsidP="00220174">
            <w:pPr>
              <w:pStyle w:val="NoSpacing"/>
              <w:bidi w:val="0"/>
              <w:rPr>
                <w:rFonts w:asciiTheme="majorBidi" w:eastAsiaTheme="majorEastAsia" w:hAnsiTheme="majorBidi" w:cstheme="majorBidi"/>
                <w:sz w:val="18"/>
                <w:szCs w:val="18"/>
              </w:rPr>
            </w:pPr>
            <w:r w:rsidRPr="00346F06">
              <w:rPr>
                <w:rFonts w:asciiTheme="majorBidi" w:eastAsiaTheme="majorEastAsia" w:hAnsiTheme="majorBidi" w:cstheme="majorBidi"/>
                <w:sz w:val="18"/>
                <w:szCs w:val="18"/>
              </w:rPr>
              <w:t>C%</w:t>
            </w:r>
          </w:p>
        </w:tc>
        <w:tc>
          <w:tcPr>
            <w:tcW w:w="810" w:type="dxa"/>
            <w:tcBorders>
              <w:top w:val="nil"/>
              <w:bottom w:val="single" w:sz="4" w:space="0" w:color="auto"/>
            </w:tcBorders>
            <w:vAlign w:val="center"/>
          </w:tcPr>
          <w:p w14:paraId="3CDDBCDB" w14:textId="77777777" w:rsidR="00950A52" w:rsidRPr="00346F06" w:rsidRDefault="00950A52" w:rsidP="00220174">
            <w:pPr>
              <w:pStyle w:val="NoSpacing"/>
              <w:bidi w:val="0"/>
              <w:rPr>
                <w:rFonts w:asciiTheme="majorBidi" w:eastAsiaTheme="majorEastAsia" w:hAnsiTheme="majorBidi" w:cstheme="majorBidi"/>
                <w:sz w:val="18"/>
                <w:szCs w:val="18"/>
              </w:rPr>
            </w:pPr>
            <w:r w:rsidRPr="00346F06">
              <w:rPr>
                <w:rFonts w:asciiTheme="majorBidi" w:eastAsiaTheme="majorEastAsia" w:hAnsiTheme="majorBidi" w:cstheme="majorBidi"/>
                <w:sz w:val="18"/>
                <w:szCs w:val="18"/>
              </w:rPr>
              <w:t>H%</w:t>
            </w:r>
          </w:p>
        </w:tc>
        <w:tc>
          <w:tcPr>
            <w:tcW w:w="810" w:type="dxa"/>
            <w:tcBorders>
              <w:top w:val="nil"/>
              <w:bottom w:val="single" w:sz="4" w:space="0" w:color="auto"/>
            </w:tcBorders>
            <w:vAlign w:val="center"/>
          </w:tcPr>
          <w:p w14:paraId="21A2F05B" w14:textId="77777777" w:rsidR="00950A52" w:rsidRPr="00346F06" w:rsidRDefault="00950A52" w:rsidP="00220174">
            <w:pPr>
              <w:pStyle w:val="NoSpacing"/>
              <w:bidi w:val="0"/>
              <w:rPr>
                <w:rFonts w:asciiTheme="majorBidi" w:eastAsiaTheme="majorEastAsia" w:hAnsiTheme="majorBidi" w:cstheme="majorBidi"/>
                <w:sz w:val="18"/>
                <w:szCs w:val="18"/>
              </w:rPr>
            </w:pPr>
            <w:r w:rsidRPr="00346F06">
              <w:rPr>
                <w:rFonts w:asciiTheme="majorBidi" w:eastAsiaTheme="majorEastAsia" w:hAnsiTheme="majorBidi" w:cstheme="majorBidi"/>
                <w:sz w:val="18"/>
                <w:szCs w:val="18"/>
              </w:rPr>
              <w:t>M%</w:t>
            </w:r>
          </w:p>
        </w:tc>
        <w:tc>
          <w:tcPr>
            <w:tcW w:w="1805" w:type="dxa"/>
            <w:vMerge/>
            <w:tcBorders>
              <w:top w:val="nil"/>
              <w:bottom w:val="single" w:sz="4" w:space="0" w:color="auto"/>
            </w:tcBorders>
            <w:vAlign w:val="center"/>
          </w:tcPr>
          <w:p w14:paraId="02EBA1E3" w14:textId="77777777" w:rsidR="00950A52" w:rsidRPr="00346F06" w:rsidRDefault="00950A52" w:rsidP="00220174">
            <w:pPr>
              <w:pStyle w:val="NoSpacing"/>
              <w:bidi w:val="0"/>
              <w:rPr>
                <w:rFonts w:asciiTheme="majorBidi" w:hAnsiTheme="majorBidi" w:cstheme="majorBidi"/>
                <w:sz w:val="18"/>
                <w:szCs w:val="18"/>
              </w:rPr>
            </w:pPr>
          </w:p>
        </w:tc>
      </w:tr>
      <w:tr w:rsidR="00950A52" w:rsidRPr="00346F06" w14:paraId="1F69B548" w14:textId="77777777" w:rsidTr="00220174">
        <w:trPr>
          <w:trHeight w:val="244"/>
        </w:trPr>
        <w:tc>
          <w:tcPr>
            <w:tcW w:w="805" w:type="dxa"/>
            <w:tcBorders>
              <w:top w:val="single" w:sz="4" w:space="0" w:color="auto"/>
            </w:tcBorders>
            <w:vAlign w:val="center"/>
          </w:tcPr>
          <w:p w14:paraId="4AB04D89" w14:textId="77777777" w:rsidR="00950A52" w:rsidRPr="00346F06" w:rsidRDefault="00950A52" w:rsidP="00220174">
            <w:pPr>
              <w:pStyle w:val="NoSpacing"/>
              <w:bidi w:val="0"/>
              <w:rPr>
                <w:rFonts w:asciiTheme="majorBidi" w:hAnsiTheme="majorBidi" w:cstheme="majorBidi"/>
                <w:sz w:val="18"/>
                <w:szCs w:val="18"/>
                <w:rtl/>
                <w:lang w:bidi="ar-IQ"/>
              </w:rPr>
            </w:pPr>
            <w:r w:rsidRPr="00346F06">
              <w:rPr>
                <w:rFonts w:asciiTheme="majorBidi" w:hAnsiTheme="majorBidi" w:cstheme="majorBidi"/>
                <w:sz w:val="18"/>
                <w:szCs w:val="18"/>
                <w:lang w:bidi="ar-IQ"/>
              </w:rPr>
              <w:t>L</w:t>
            </w:r>
          </w:p>
        </w:tc>
        <w:tc>
          <w:tcPr>
            <w:tcW w:w="720" w:type="dxa"/>
            <w:tcBorders>
              <w:top w:val="single" w:sz="4" w:space="0" w:color="auto"/>
            </w:tcBorders>
            <w:vAlign w:val="center"/>
          </w:tcPr>
          <w:p w14:paraId="689B5549" w14:textId="77777777" w:rsidR="00950A52" w:rsidRPr="00346F06" w:rsidRDefault="00950A52" w:rsidP="00220174">
            <w:pPr>
              <w:pStyle w:val="NoSpacing"/>
              <w:bidi w:val="0"/>
              <w:rPr>
                <w:rFonts w:asciiTheme="majorBidi" w:hAnsiTheme="majorBidi" w:cstheme="majorBidi"/>
                <w:sz w:val="18"/>
                <w:szCs w:val="18"/>
                <w:lang w:bidi="ar-IQ"/>
              </w:rPr>
            </w:pPr>
            <w:r w:rsidRPr="00346F06">
              <w:rPr>
                <w:rFonts w:asciiTheme="majorBidi" w:hAnsiTheme="majorBidi" w:cstheme="majorBidi"/>
                <w:sz w:val="18"/>
                <w:szCs w:val="18"/>
                <w:lang w:bidi="ar-IQ"/>
              </w:rPr>
              <w:t>White</w:t>
            </w:r>
          </w:p>
        </w:tc>
        <w:tc>
          <w:tcPr>
            <w:tcW w:w="900" w:type="dxa"/>
            <w:tcBorders>
              <w:top w:val="single" w:sz="4" w:space="0" w:color="auto"/>
            </w:tcBorders>
            <w:vAlign w:val="center"/>
          </w:tcPr>
          <w:p w14:paraId="2A23CD87" w14:textId="77777777" w:rsidR="00950A52" w:rsidRPr="00346F06" w:rsidRDefault="00950A52" w:rsidP="00220174">
            <w:pPr>
              <w:pStyle w:val="NoSpacing"/>
              <w:bidi w:val="0"/>
              <w:rPr>
                <w:rFonts w:asciiTheme="majorBidi" w:hAnsiTheme="majorBidi" w:cstheme="majorBidi"/>
                <w:sz w:val="18"/>
                <w:szCs w:val="18"/>
                <w:lang w:bidi="ar-IQ"/>
              </w:rPr>
            </w:pPr>
            <w:r w:rsidRPr="00346F06">
              <w:rPr>
                <w:rFonts w:asciiTheme="majorBidi" w:hAnsiTheme="majorBidi" w:cstheme="majorBidi"/>
                <w:sz w:val="18"/>
                <w:szCs w:val="18"/>
                <w:lang w:bidi="ar-IQ"/>
              </w:rPr>
              <w:t>230.263</w:t>
            </w:r>
          </w:p>
        </w:tc>
        <w:tc>
          <w:tcPr>
            <w:tcW w:w="900" w:type="dxa"/>
            <w:tcBorders>
              <w:top w:val="single" w:sz="4" w:space="0" w:color="auto"/>
            </w:tcBorders>
            <w:vAlign w:val="center"/>
          </w:tcPr>
          <w:p w14:paraId="3A907F1F"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153-155</w:t>
            </w:r>
          </w:p>
        </w:tc>
        <w:tc>
          <w:tcPr>
            <w:tcW w:w="820" w:type="dxa"/>
            <w:tcBorders>
              <w:top w:val="single" w:sz="4" w:space="0" w:color="auto"/>
            </w:tcBorders>
            <w:vAlign w:val="center"/>
          </w:tcPr>
          <w:p w14:paraId="5469A240"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w:t>
            </w:r>
          </w:p>
        </w:tc>
        <w:tc>
          <w:tcPr>
            <w:tcW w:w="895" w:type="dxa"/>
            <w:tcBorders>
              <w:top w:val="single" w:sz="4" w:space="0" w:color="auto"/>
            </w:tcBorders>
            <w:vAlign w:val="center"/>
          </w:tcPr>
          <w:p w14:paraId="738250DB" w14:textId="77777777" w:rsidR="00950A52" w:rsidRPr="00346F06" w:rsidRDefault="00950A52" w:rsidP="00220174">
            <w:pPr>
              <w:pStyle w:val="NoSpacing"/>
              <w:bidi w:val="0"/>
              <w:rPr>
                <w:rFonts w:asciiTheme="majorBidi" w:hAnsiTheme="majorBidi" w:cstheme="majorBidi"/>
                <w:sz w:val="18"/>
                <w:szCs w:val="18"/>
                <w:lang w:bidi="ar-IQ"/>
              </w:rPr>
            </w:pPr>
            <w:r w:rsidRPr="00346F06">
              <w:rPr>
                <w:rFonts w:asciiTheme="majorBidi" w:hAnsiTheme="majorBidi" w:cstheme="majorBidi"/>
                <w:sz w:val="18"/>
                <w:szCs w:val="18"/>
                <w:rtl/>
              </w:rPr>
              <w:t>---</w:t>
            </w:r>
          </w:p>
        </w:tc>
        <w:tc>
          <w:tcPr>
            <w:tcW w:w="900" w:type="dxa"/>
            <w:tcBorders>
              <w:top w:val="single" w:sz="4" w:space="0" w:color="auto"/>
            </w:tcBorders>
            <w:vAlign w:val="center"/>
          </w:tcPr>
          <w:p w14:paraId="6964D911" w14:textId="77777777" w:rsidR="00950A52" w:rsidRPr="00346F06" w:rsidRDefault="00950A52" w:rsidP="00220174">
            <w:pPr>
              <w:pStyle w:val="NoSpacing"/>
              <w:bidi w:val="0"/>
              <w:rPr>
                <w:rFonts w:asciiTheme="majorBidi" w:hAnsiTheme="majorBidi" w:cstheme="majorBidi"/>
                <w:sz w:val="18"/>
                <w:szCs w:val="18"/>
                <w:lang w:bidi="ar-IQ"/>
              </w:rPr>
            </w:pPr>
            <w:r w:rsidRPr="00346F06">
              <w:rPr>
                <w:rFonts w:asciiTheme="majorBidi" w:hAnsiTheme="majorBidi" w:cstheme="majorBidi"/>
                <w:sz w:val="18"/>
                <w:szCs w:val="18"/>
                <w:lang w:bidi="ar-IQ"/>
              </w:rPr>
              <w:t>66.98</w:t>
            </w:r>
          </w:p>
          <w:p w14:paraId="5CE85696" w14:textId="77777777" w:rsidR="00950A52" w:rsidRPr="00346F06" w:rsidRDefault="00950A52" w:rsidP="00220174">
            <w:pPr>
              <w:pStyle w:val="NoSpacing"/>
              <w:bidi w:val="0"/>
              <w:rPr>
                <w:rFonts w:asciiTheme="majorBidi" w:hAnsiTheme="majorBidi" w:cstheme="majorBidi"/>
                <w:sz w:val="18"/>
                <w:szCs w:val="18"/>
                <w:lang w:bidi="ar-IQ"/>
              </w:rPr>
            </w:pPr>
            <w:r w:rsidRPr="00346F06">
              <w:rPr>
                <w:rFonts w:asciiTheme="majorBidi" w:hAnsiTheme="majorBidi" w:cstheme="majorBidi"/>
                <w:sz w:val="18"/>
                <w:szCs w:val="18"/>
                <w:lang w:bidi="ar-IQ"/>
              </w:rPr>
              <w:lastRenderedPageBreak/>
              <w:t>(66.70)</w:t>
            </w:r>
          </w:p>
        </w:tc>
        <w:tc>
          <w:tcPr>
            <w:tcW w:w="810" w:type="dxa"/>
            <w:tcBorders>
              <w:top w:val="single" w:sz="4" w:space="0" w:color="auto"/>
            </w:tcBorders>
            <w:vAlign w:val="center"/>
          </w:tcPr>
          <w:p w14:paraId="584EAA88" w14:textId="77777777" w:rsidR="00950A52" w:rsidRPr="00346F06" w:rsidRDefault="00950A52" w:rsidP="00220174">
            <w:pPr>
              <w:pStyle w:val="NoSpacing"/>
              <w:bidi w:val="0"/>
              <w:rPr>
                <w:rFonts w:asciiTheme="majorBidi" w:hAnsiTheme="majorBidi" w:cstheme="majorBidi"/>
                <w:sz w:val="18"/>
                <w:szCs w:val="18"/>
                <w:lang w:bidi="ar-IQ"/>
              </w:rPr>
            </w:pPr>
            <w:r w:rsidRPr="00346F06">
              <w:rPr>
                <w:rFonts w:asciiTheme="majorBidi" w:hAnsiTheme="majorBidi" w:cstheme="majorBidi"/>
                <w:sz w:val="18"/>
                <w:szCs w:val="18"/>
                <w:lang w:bidi="ar-IQ"/>
              </w:rPr>
              <w:lastRenderedPageBreak/>
              <w:t>5.18</w:t>
            </w:r>
          </w:p>
          <w:p w14:paraId="5CF10EC7" w14:textId="77777777" w:rsidR="00950A52" w:rsidRPr="00346F06" w:rsidRDefault="00950A52" w:rsidP="00220174">
            <w:pPr>
              <w:pStyle w:val="NoSpacing"/>
              <w:bidi w:val="0"/>
              <w:rPr>
                <w:rFonts w:asciiTheme="majorBidi" w:hAnsiTheme="majorBidi" w:cstheme="majorBidi"/>
                <w:sz w:val="18"/>
                <w:szCs w:val="18"/>
                <w:lang w:bidi="ar-IQ"/>
              </w:rPr>
            </w:pPr>
            <w:r w:rsidRPr="00346F06">
              <w:rPr>
                <w:rFonts w:asciiTheme="majorBidi" w:hAnsiTheme="majorBidi" w:cstheme="majorBidi"/>
                <w:sz w:val="18"/>
                <w:szCs w:val="18"/>
                <w:lang w:bidi="ar-IQ"/>
              </w:rPr>
              <w:lastRenderedPageBreak/>
              <w:t>(5.06)</w:t>
            </w:r>
          </w:p>
        </w:tc>
        <w:tc>
          <w:tcPr>
            <w:tcW w:w="810" w:type="dxa"/>
            <w:tcBorders>
              <w:top w:val="single" w:sz="4" w:space="0" w:color="auto"/>
            </w:tcBorders>
            <w:vAlign w:val="center"/>
          </w:tcPr>
          <w:p w14:paraId="26D0CD4C" w14:textId="77777777" w:rsidR="00950A52" w:rsidRPr="00346F06" w:rsidRDefault="00950A52" w:rsidP="00220174">
            <w:pPr>
              <w:pStyle w:val="NoSpacing"/>
              <w:bidi w:val="0"/>
              <w:rPr>
                <w:rFonts w:asciiTheme="majorBidi" w:hAnsiTheme="majorBidi" w:cstheme="majorBidi"/>
                <w:sz w:val="18"/>
                <w:szCs w:val="18"/>
                <w:lang w:bidi="ar-IQ"/>
              </w:rPr>
            </w:pPr>
            <w:r w:rsidRPr="00346F06">
              <w:rPr>
                <w:rFonts w:asciiTheme="majorBidi" w:hAnsiTheme="majorBidi" w:cstheme="majorBidi"/>
                <w:sz w:val="18"/>
                <w:szCs w:val="18"/>
                <w:lang w:bidi="ar-IQ"/>
              </w:rPr>
              <w:lastRenderedPageBreak/>
              <w:t>-----</w:t>
            </w:r>
          </w:p>
        </w:tc>
        <w:tc>
          <w:tcPr>
            <w:tcW w:w="1805" w:type="dxa"/>
            <w:tcBorders>
              <w:top w:val="single" w:sz="4" w:space="0" w:color="auto"/>
            </w:tcBorders>
            <w:vAlign w:val="center"/>
          </w:tcPr>
          <w:p w14:paraId="3360B0C1" w14:textId="77777777" w:rsidR="00950A52" w:rsidRPr="00346F06" w:rsidRDefault="00950A52" w:rsidP="00220174">
            <w:pPr>
              <w:pStyle w:val="NoSpacing"/>
              <w:bidi w:val="0"/>
              <w:rPr>
                <w:rFonts w:asciiTheme="majorBidi" w:hAnsiTheme="majorBidi" w:cstheme="majorBidi"/>
                <w:sz w:val="18"/>
                <w:szCs w:val="18"/>
                <w:lang w:bidi="ar-IQ"/>
              </w:rPr>
            </w:pPr>
            <w:r w:rsidRPr="00346F06">
              <w:rPr>
                <w:rFonts w:asciiTheme="majorBidi" w:hAnsiTheme="majorBidi" w:cstheme="majorBidi"/>
                <w:sz w:val="18"/>
                <w:szCs w:val="18"/>
                <w:lang w:bidi="ar-IQ"/>
              </w:rPr>
              <w:t>C</w:t>
            </w:r>
            <w:r w:rsidRPr="00346F06">
              <w:rPr>
                <w:rFonts w:asciiTheme="majorBidi" w:hAnsiTheme="majorBidi" w:cstheme="majorBidi"/>
                <w:sz w:val="18"/>
                <w:szCs w:val="18"/>
                <w:vertAlign w:val="subscript"/>
                <w:lang w:bidi="ar-IQ"/>
              </w:rPr>
              <w:t>14</w:t>
            </w:r>
            <w:r w:rsidRPr="00346F06">
              <w:rPr>
                <w:rFonts w:asciiTheme="majorBidi" w:hAnsiTheme="majorBidi" w:cstheme="majorBidi"/>
                <w:sz w:val="18"/>
                <w:szCs w:val="18"/>
                <w:lang w:bidi="ar-IQ"/>
              </w:rPr>
              <w:t>H</w:t>
            </w:r>
            <w:r w:rsidRPr="00346F06">
              <w:rPr>
                <w:rFonts w:asciiTheme="majorBidi" w:hAnsiTheme="majorBidi" w:cstheme="majorBidi"/>
                <w:sz w:val="18"/>
                <w:szCs w:val="18"/>
                <w:vertAlign w:val="subscript"/>
                <w:lang w:bidi="ar-IQ"/>
              </w:rPr>
              <w:t>13</w:t>
            </w:r>
            <w:r w:rsidRPr="00346F06">
              <w:rPr>
                <w:rFonts w:asciiTheme="majorBidi" w:hAnsiTheme="majorBidi" w:cstheme="majorBidi"/>
                <w:sz w:val="18"/>
                <w:szCs w:val="18"/>
                <w:lang w:bidi="ar-IQ"/>
              </w:rPr>
              <w:t>O</w:t>
            </w:r>
            <w:r w:rsidRPr="00346F06">
              <w:rPr>
                <w:rFonts w:asciiTheme="majorBidi" w:hAnsiTheme="majorBidi" w:cstheme="majorBidi"/>
                <w:sz w:val="18"/>
                <w:szCs w:val="18"/>
                <w:vertAlign w:val="subscript"/>
                <w:lang w:bidi="ar-IQ"/>
              </w:rPr>
              <w:t>3</w:t>
            </w:r>
          </w:p>
        </w:tc>
      </w:tr>
      <w:tr w:rsidR="00950A52" w:rsidRPr="00346F06" w14:paraId="294C7839" w14:textId="77777777" w:rsidTr="00220174">
        <w:trPr>
          <w:trHeight w:val="361"/>
        </w:trPr>
        <w:tc>
          <w:tcPr>
            <w:tcW w:w="805" w:type="dxa"/>
            <w:vAlign w:val="center"/>
          </w:tcPr>
          <w:p w14:paraId="355C447A" w14:textId="77777777" w:rsidR="00950A52" w:rsidRPr="00346F06" w:rsidRDefault="00950A52" w:rsidP="00220174">
            <w:pPr>
              <w:pStyle w:val="NoSpacing"/>
              <w:bidi w:val="0"/>
              <w:rPr>
                <w:rFonts w:asciiTheme="majorBidi" w:hAnsiTheme="majorBidi" w:cstheme="majorBidi"/>
                <w:sz w:val="18"/>
                <w:szCs w:val="18"/>
                <w:rtl/>
                <w:lang w:bidi="ar-IQ"/>
              </w:rPr>
            </w:pPr>
            <w:proofErr w:type="spellStart"/>
            <w:r w:rsidRPr="00346F06">
              <w:rPr>
                <w:rFonts w:asciiTheme="majorBidi" w:hAnsiTheme="majorBidi" w:cstheme="majorBidi"/>
                <w:sz w:val="18"/>
                <w:szCs w:val="18"/>
                <w:lang w:bidi="ar-IQ"/>
              </w:rPr>
              <w:t>CoL</w:t>
            </w:r>
            <w:proofErr w:type="spellEnd"/>
          </w:p>
        </w:tc>
        <w:tc>
          <w:tcPr>
            <w:tcW w:w="720" w:type="dxa"/>
            <w:vAlign w:val="center"/>
          </w:tcPr>
          <w:p w14:paraId="2FBBD470"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Light red</w:t>
            </w:r>
          </w:p>
        </w:tc>
        <w:tc>
          <w:tcPr>
            <w:tcW w:w="900" w:type="dxa"/>
            <w:vAlign w:val="center"/>
          </w:tcPr>
          <w:p w14:paraId="53D1978A" w14:textId="77777777" w:rsidR="00950A52" w:rsidRPr="00346F06" w:rsidRDefault="00950A52" w:rsidP="00220174">
            <w:pPr>
              <w:pStyle w:val="NoSpacing"/>
              <w:bidi w:val="0"/>
              <w:rPr>
                <w:rFonts w:asciiTheme="majorBidi" w:hAnsiTheme="majorBidi" w:cstheme="majorBidi"/>
                <w:sz w:val="18"/>
                <w:szCs w:val="18"/>
                <w:lang w:bidi="ar-IQ"/>
              </w:rPr>
            </w:pPr>
            <w:r w:rsidRPr="00346F06">
              <w:rPr>
                <w:rFonts w:asciiTheme="majorBidi" w:hAnsiTheme="majorBidi" w:cstheme="majorBidi"/>
                <w:sz w:val="18"/>
                <w:szCs w:val="18"/>
                <w:lang w:bidi="ar-IQ"/>
              </w:rPr>
              <w:t>553.450</w:t>
            </w:r>
          </w:p>
        </w:tc>
        <w:tc>
          <w:tcPr>
            <w:tcW w:w="900" w:type="dxa"/>
            <w:vAlign w:val="center"/>
          </w:tcPr>
          <w:p w14:paraId="2AAF7495" w14:textId="77777777" w:rsidR="00950A52" w:rsidRPr="00346F06" w:rsidRDefault="00950A52" w:rsidP="00220174">
            <w:pPr>
              <w:pStyle w:val="NoSpacing"/>
              <w:bidi w:val="0"/>
              <w:rPr>
                <w:rFonts w:asciiTheme="majorBidi" w:hAnsiTheme="majorBidi" w:cstheme="majorBidi"/>
                <w:sz w:val="18"/>
                <w:szCs w:val="18"/>
                <w:lang w:bidi="ar-IQ"/>
              </w:rPr>
            </w:pPr>
            <w:r w:rsidRPr="00346F06">
              <w:rPr>
                <w:rFonts w:asciiTheme="majorBidi" w:hAnsiTheme="majorBidi" w:cstheme="majorBidi"/>
                <w:sz w:val="18"/>
                <w:szCs w:val="18"/>
              </w:rPr>
              <w:t>245-247</w:t>
            </w:r>
          </w:p>
        </w:tc>
        <w:tc>
          <w:tcPr>
            <w:tcW w:w="820" w:type="dxa"/>
            <w:vAlign w:val="center"/>
          </w:tcPr>
          <w:p w14:paraId="28183DBD"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66.8</w:t>
            </w:r>
          </w:p>
        </w:tc>
        <w:tc>
          <w:tcPr>
            <w:tcW w:w="895" w:type="dxa"/>
            <w:vAlign w:val="center"/>
          </w:tcPr>
          <w:p w14:paraId="45054BAF"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1:2</w:t>
            </w:r>
          </w:p>
        </w:tc>
        <w:tc>
          <w:tcPr>
            <w:tcW w:w="900" w:type="dxa"/>
            <w:vAlign w:val="center"/>
          </w:tcPr>
          <w:p w14:paraId="7735521C"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51.60</w:t>
            </w:r>
          </w:p>
          <w:p w14:paraId="539BFEB2"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(52.65)</w:t>
            </w:r>
          </w:p>
        </w:tc>
        <w:tc>
          <w:tcPr>
            <w:tcW w:w="810" w:type="dxa"/>
            <w:vAlign w:val="center"/>
          </w:tcPr>
          <w:p w14:paraId="2286DCB1"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3.66</w:t>
            </w:r>
          </w:p>
          <w:p w14:paraId="2ACD269A"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(3.82)</w:t>
            </w:r>
          </w:p>
        </w:tc>
        <w:tc>
          <w:tcPr>
            <w:tcW w:w="810" w:type="dxa"/>
            <w:vAlign w:val="center"/>
          </w:tcPr>
          <w:p w14:paraId="1B4EB38B"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16.33</w:t>
            </w:r>
          </w:p>
          <w:p w14:paraId="354AADEB"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(16.06)</w:t>
            </w:r>
          </w:p>
        </w:tc>
        <w:tc>
          <w:tcPr>
            <w:tcW w:w="1805" w:type="dxa"/>
            <w:vAlign w:val="center"/>
          </w:tcPr>
          <w:p w14:paraId="0CFEE2B9"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lang w:bidi="ar-IQ"/>
              </w:rPr>
              <w:t>C</w:t>
            </w:r>
            <w:r w:rsidRPr="00346F06">
              <w:rPr>
                <w:rFonts w:asciiTheme="majorBidi" w:hAnsiTheme="majorBidi" w:cstheme="majorBidi"/>
                <w:sz w:val="18"/>
                <w:szCs w:val="18"/>
                <w:vertAlign w:val="subscript"/>
                <w:lang w:bidi="ar-IQ"/>
              </w:rPr>
              <w:t>24</w:t>
            </w:r>
            <w:r w:rsidRPr="00346F06">
              <w:rPr>
                <w:rFonts w:asciiTheme="majorBidi" w:hAnsiTheme="majorBidi" w:cstheme="majorBidi"/>
                <w:sz w:val="18"/>
                <w:szCs w:val="18"/>
                <w:lang w:bidi="ar-IQ"/>
              </w:rPr>
              <w:t>H</w:t>
            </w:r>
            <w:r w:rsidRPr="00346F06">
              <w:rPr>
                <w:rFonts w:asciiTheme="majorBidi" w:hAnsiTheme="majorBidi" w:cstheme="majorBidi"/>
                <w:sz w:val="18"/>
                <w:szCs w:val="18"/>
                <w:vertAlign w:val="subscript"/>
                <w:lang w:bidi="ar-IQ"/>
              </w:rPr>
              <w:t>30</w:t>
            </w:r>
            <w:r w:rsidRPr="00346F06">
              <w:rPr>
                <w:rFonts w:asciiTheme="majorBidi" w:hAnsiTheme="majorBidi" w:cstheme="majorBidi"/>
                <w:sz w:val="18"/>
                <w:szCs w:val="18"/>
                <w:lang w:bidi="ar-IQ"/>
              </w:rPr>
              <w:t>O</w:t>
            </w:r>
            <w:r w:rsidRPr="00346F06">
              <w:rPr>
                <w:rFonts w:asciiTheme="majorBidi" w:hAnsiTheme="majorBidi" w:cstheme="majorBidi"/>
                <w:sz w:val="18"/>
                <w:szCs w:val="18"/>
                <w:vertAlign w:val="subscript"/>
                <w:lang w:bidi="ar-IQ"/>
              </w:rPr>
              <w:t>8</w:t>
            </w:r>
            <w:r w:rsidRPr="00346F06">
              <w:rPr>
                <w:rFonts w:asciiTheme="majorBidi" w:hAnsiTheme="majorBidi" w:cstheme="majorBidi"/>
                <w:sz w:val="18"/>
                <w:szCs w:val="18"/>
                <w:lang w:bidi="ar-IQ"/>
              </w:rPr>
              <w:t>Co</w:t>
            </w:r>
          </w:p>
        </w:tc>
      </w:tr>
      <w:tr w:rsidR="00950A52" w:rsidRPr="00346F06" w14:paraId="5F2456AC" w14:textId="77777777" w:rsidTr="00220174">
        <w:trPr>
          <w:trHeight w:val="360"/>
        </w:trPr>
        <w:tc>
          <w:tcPr>
            <w:tcW w:w="805" w:type="dxa"/>
            <w:vAlign w:val="center"/>
          </w:tcPr>
          <w:p w14:paraId="75ACF234" w14:textId="77777777" w:rsidR="00950A52" w:rsidRPr="00346F06" w:rsidRDefault="00950A52" w:rsidP="00220174">
            <w:pPr>
              <w:pStyle w:val="NoSpacing"/>
              <w:bidi w:val="0"/>
              <w:rPr>
                <w:rFonts w:asciiTheme="majorBidi" w:hAnsiTheme="majorBidi" w:cstheme="majorBidi"/>
                <w:sz w:val="18"/>
                <w:szCs w:val="18"/>
                <w:rtl/>
                <w:lang w:bidi="ar-IQ"/>
              </w:rPr>
            </w:pPr>
            <w:proofErr w:type="spellStart"/>
            <w:r w:rsidRPr="00346F06">
              <w:rPr>
                <w:rFonts w:asciiTheme="majorBidi" w:hAnsiTheme="majorBidi" w:cstheme="majorBidi"/>
                <w:sz w:val="18"/>
                <w:szCs w:val="18"/>
                <w:lang w:bidi="ar-IQ"/>
              </w:rPr>
              <w:t>ZnL</w:t>
            </w:r>
            <w:proofErr w:type="spellEnd"/>
          </w:p>
        </w:tc>
        <w:tc>
          <w:tcPr>
            <w:tcW w:w="720" w:type="dxa"/>
            <w:vAlign w:val="center"/>
          </w:tcPr>
          <w:p w14:paraId="06D4AA62"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White</w:t>
            </w:r>
          </w:p>
        </w:tc>
        <w:tc>
          <w:tcPr>
            <w:tcW w:w="900" w:type="dxa"/>
            <w:vAlign w:val="center"/>
          </w:tcPr>
          <w:p w14:paraId="27991DE3"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559.900</w:t>
            </w:r>
          </w:p>
        </w:tc>
        <w:tc>
          <w:tcPr>
            <w:tcW w:w="900" w:type="dxa"/>
            <w:vAlign w:val="center"/>
          </w:tcPr>
          <w:p w14:paraId="381C4E5B"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226-228</w:t>
            </w:r>
          </w:p>
        </w:tc>
        <w:tc>
          <w:tcPr>
            <w:tcW w:w="820" w:type="dxa"/>
            <w:vAlign w:val="center"/>
          </w:tcPr>
          <w:p w14:paraId="30F6B813"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77.6</w:t>
            </w:r>
          </w:p>
        </w:tc>
        <w:tc>
          <w:tcPr>
            <w:tcW w:w="895" w:type="dxa"/>
            <w:vAlign w:val="center"/>
          </w:tcPr>
          <w:p w14:paraId="04008187"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1:2</w:t>
            </w:r>
          </w:p>
        </w:tc>
        <w:tc>
          <w:tcPr>
            <w:tcW w:w="900" w:type="dxa"/>
            <w:vAlign w:val="center"/>
          </w:tcPr>
          <w:p w14:paraId="2275DC9B"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51.03</w:t>
            </w:r>
          </w:p>
          <w:p w14:paraId="1E9CE181"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(51.2)</w:t>
            </w:r>
          </w:p>
        </w:tc>
        <w:tc>
          <w:tcPr>
            <w:tcW w:w="810" w:type="dxa"/>
            <w:vAlign w:val="center"/>
          </w:tcPr>
          <w:p w14:paraId="0383D860"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4.34</w:t>
            </w:r>
          </w:p>
          <w:p w14:paraId="74108B6D"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(4.79)</w:t>
            </w:r>
          </w:p>
        </w:tc>
        <w:tc>
          <w:tcPr>
            <w:tcW w:w="810" w:type="dxa"/>
            <w:vAlign w:val="center"/>
          </w:tcPr>
          <w:p w14:paraId="39C1C969"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19.77</w:t>
            </w:r>
          </w:p>
          <w:p w14:paraId="5A58A1E0"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rPr>
              <w:t>(19.85)</w:t>
            </w:r>
          </w:p>
        </w:tc>
        <w:tc>
          <w:tcPr>
            <w:tcW w:w="1805" w:type="dxa"/>
            <w:vAlign w:val="center"/>
          </w:tcPr>
          <w:p w14:paraId="1546FB53" w14:textId="77777777" w:rsidR="00950A52" w:rsidRPr="00346F06" w:rsidRDefault="00950A52" w:rsidP="00220174">
            <w:pPr>
              <w:pStyle w:val="NoSpacing"/>
              <w:bidi w:val="0"/>
              <w:rPr>
                <w:rFonts w:asciiTheme="majorBidi" w:hAnsiTheme="majorBidi" w:cstheme="majorBidi"/>
                <w:sz w:val="18"/>
                <w:szCs w:val="18"/>
              </w:rPr>
            </w:pPr>
            <w:r w:rsidRPr="00346F06">
              <w:rPr>
                <w:rFonts w:asciiTheme="majorBidi" w:hAnsiTheme="majorBidi" w:cstheme="majorBidi"/>
                <w:sz w:val="18"/>
                <w:szCs w:val="18"/>
                <w:lang w:bidi="ar-IQ"/>
              </w:rPr>
              <w:t>C</w:t>
            </w:r>
            <w:r w:rsidRPr="00346F06">
              <w:rPr>
                <w:rFonts w:asciiTheme="majorBidi" w:hAnsiTheme="majorBidi" w:cstheme="majorBidi"/>
                <w:sz w:val="18"/>
                <w:szCs w:val="18"/>
                <w:vertAlign w:val="subscript"/>
                <w:lang w:bidi="ar-IQ"/>
              </w:rPr>
              <w:t>24</w:t>
            </w:r>
            <w:r w:rsidRPr="00346F06">
              <w:rPr>
                <w:rFonts w:asciiTheme="majorBidi" w:hAnsiTheme="majorBidi" w:cstheme="majorBidi"/>
                <w:sz w:val="18"/>
                <w:szCs w:val="18"/>
                <w:lang w:bidi="ar-IQ"/>
              </w:rPr>
              <w:t>H</w:t>
            </w:r>
            <w:r w:rsidRPr="00346F06">
              <w:rPr>
                <w:rFonts w:asciiTheme="majorBidi" w:hAnsiTheme="majorBidi" w:cstheme="majorBidi"/>
                <w:sz w:val="18"/>
                <w:szCs w:val="18"/>
                <w:vertAlign w:val="subscript"/>
                <w:lang w:bidi="ar-IQ"/>
              </w:rPr>
              <w:t>30</w:t>
            </w:r>
            <w:r w:rsidRPr="00346F06">
              <w:rPr>
                <w:rFonts w:asciiTheme="majorBidi" w:hAnsiTheme="majorBidi" w:cstheme="majorBidi"/>
                <w:sz w:val="18"/>
                <w:szCs w:val="18"/>
                <w:lang w:bidi="ar-IQ"/>
              </w:rPr>
              <w:t>O</w:t>
            </w:r>
            <w:r w:rsidRPr="00346F06">
              <w:rPr>
                <w:rFonts w:asciiTheme="majorBidi" w:hAnsiTheme="majorBidi" w:cstheme="majorBidi"/>
                <w:sz w:val="18"/>
                <w:szCs w:val="18"/>
                <w:vertAlign w:val="subscript"/>
                <w:lang w:bidi="ar-IQ"/>
              </w:rPr>
              <w:t>8</w:t>
            </w:r>
            <w:r w:rsidRPr="00346F06">
              <w:rPr>
                <w:rFonts w:asciiTheme="majorBidi" w:hAnsiTheme="majorBidi" w:cstheme="majorBidi"/>
                <w:sz w:val="18"/>
                <w:szCs w:val="18"/>
                <w:lang w:bidi="ar-IQ"/>
              </w:rPr>
              <w:t>Zn</w:t>
            </w:r>
          </w:p>
        </w:tc>
      </w:tr>
    </w:tbl>
    <w:p w14:paraId="46619045" w14:textId="77777777" w:rsidR="00950A52" w:rsidRPr="00950A52" w:rsidRDefault="00950A52" w:rsidP="00950A52">
      <w:pPr>
        <w:pStyle w:val="NoSpacing"/>
        <w:bidi w:val="0"/>
        <w:jc w:val="center"/>
        <w:rPr>
          <w:rFonts w:asciiTheme="majorBidi" w:hAnsiTheme="majorBidi" w:cstheme="majorBidi"/>
          <w:sz w:val="18"/>
          <w:szCs w:val="18"/>
          <w:lang w:bidi="ar-IQ"/>
        </w:rPr>
      </w:pPr>
    </w:p>
    <w:p w14:paraId="24A10A67" w14:textId="77777777" w:rsidR="001D0243" w:rsidRPr="00313D0C" w:rsidRDefault="001D0243" w:rsidP="009838E9">
      <w:pPr>
        <w:pStyle w:val="NoSpacing"/>
        <w:bidi w:val="0"/>
        <w:spacing w:before="240" w:after="240"/>
        <w:jc w:val="center"/>
        <w:rPr>
          <w:rFonts w:asciiTheme="majorBidi" w:hAnsiTheme="majorBidi" w:cstheme="majorBidi"/>
          <w:b/>
          <w:bCs/>
          <w:sz w:val="24"/>
          <w:szCs w:val="24"/>
        </w:rPr>
      </w:pPr>
      <w:r w:rsidRPr="00313D0C">
        <w:rPr>
          <w:rFonts w:asciiTheme="majorBidi" w:hAnsiTheme="majorBidi" w:cstheme="majorBidi"/>
          <w:b/>
          <w:bCs/>
          <w:sz w:val="24"/>
          <w:szCs w:val="24"/>
        </w:rPr>
        <w:t xml:space="preserve">FT-IR </w:t>
      </w:r>
      <w:r w:rsidR="00BE171B" w:rsidRPr="00313D0C">
        <w:rPr>
          <w:rFonts w:asciiTheme="majorBidi" w:hAnsiTheme="majorBidi" w:cstheme="majorBidi"/>
          <w:b/>
          <w:bCs/>
          <w:sz w:val="24"/>
          <w:szCs w:val="24"/>
        </w:rPr>
        <w:t>S</w:t>
      </w:r>
      <w:r w:rsidR="00E66E90">
        <w:rPr>
          <w:rFonts w:asciiTheme="majorBidi" w:hAnsiTheme="majorBidi" w:cstheme="majorBidi"/>
          <w:b/>
          <w:bCs/>
          <w:sz w:val="24"/>
          <w:szCs w:val="24"/>
        </w:rPr>
        <w:t>PECTRA</w:t>
      </w:r>
    </w:p>
    <w:p w14:paraId="5118E0C4" w14:textId="7E4F4897" w:rsidR="00313D0C" w:rsidRDefault="00F152BF" w:rsidP="00196365">
      <w:pPr>
        <w:pStyle w:val="NoSpacing"/>
        <w:bidi w:val="0"/>
        <w:ind w:firstLine="284"/>
        <w:jc w:val="both"/>
        <w:rPr>
          <w:rFonts w:asciiTheme="majorBidi" w:hAnsiTheme="majorBidi" w:cstheme="majorBidi"/>
          <w:sz w:val="20"/>
          <w:szCs w:val="20"/>
        </w:rPr>
      </w:pPr>
      <w:r w:rsidRPr="00313D0C">
        <w:rPr>
          <w:rFonts w:asciiTheme="majorBidi" w:hAnsiTheme="majorBidi" w:cstheme="majorBidi"/>
          <w:sz w:val="20"/>
          <w:szCs w:val="20"/>
        </w:rPr>
        <w:t>The type of functional group attached to the metal ion can be inferred from the FTIR spectra. When compared to literature values, the distinctive frequencies of free ligands and their metal complexes have been readily assigned [9]. The infrared bands of L exhibited sharp and medium distinctive absorption bands at 1545 and 1409 cm⁻¹, representing the asymmetric and symmetric COO groups' respective stretching. The frequency change, Δ</w:t>
      </w:r>
      <w:r w:rsidRPr="00313D0C">
        <w:rPr>
          <w:rFonts w:ascii="Cambria Math" w:hAnsi="Cambria Math" w:cs="Cambria Math"/>
          <w:sz w:val="20"/>
          <w:szCs w:val="20"/>
        </w:rPr>
        <w:t>𝝂</w:t>
      </w:r>
      <w:r w:rsidRPr="00313D0C">
        <w:rPr>
          <w:rFonts w:asciiTheme="majorBidi" w:hAnsiTheme="majorBidi" w:cstheme="majorBidi"/>
          <w:sz w:val="20"/>
          <w:szCs w:val="20"/>
        </w:rPr>
        <w:t>, was measured at 136 cm⁻¹. When discussing the structure of the produced compounds, the infrared spectra of the complexes revealing Δ</w:t>
      </w:r>
      <w:proofErr w:type="gramStart"/>
      <w:r w:rsidRPr="00313D0C">
        <w:rPr>
          <w:rFonts w:ascii="Cambria Math" w:hAnsi="Cambria Math" w:cs="Cambria Math"/>
          <w:sz w:val="20"/>
          <w:szCs w:val="20"/>
        </w:rPr>
        <w:t>𝝂</w:t>
      </w:r>
      <w:r w:rsidRPr="00313D0C">
        <w:rPr>
          <w:rFonts w:asciiTheme="majorBidi" w:hAnsiTheme="majorBidi" w:cstheme="majorBidi"/>
          <w:sz w:val="20"/>
          <w:szCs w:val="20"/>
        </w:rPr>
        <w:t>(</w:t>
      </w:r>
      <w:proofErr w:type="gramEnd"/>
      <w:r w:rsidRPr="00313D0C">
        <w:rPr>
          <w:rFonts w:asciiTheme="majorBidi" w:hAnsiTheme="majorBidi" w:cstheme="majorBidi"/>
          <w:sz w:val="20"/>
          <w:szCs w:val="20"/>
        </w:rPr>
        <w:t xml:space="preserve">COO-) are particularly informative. The difference ∆ν (COO-) indicates bidentate coordination, with the ∆ν value being lower than that of the ionic compound [14], as noted in Table (2). The </w:t>
      </w:r>
      <w:proofErr w:type="spellStart"/>
      <w:r w:rsidRPr="00313D0C">
        <w:rPr>
          <w:rFonts w:asciiTheme="majorBidi" w:hAnsiTheme="majorBidi" w:cstheme="majorBidi"/>
          <w:sz w:val="20"/>
          <w:szCs w:val="20"/>
        </w:rPr>
        <w:t>νasym</w:t>
      </w:r>
      <w:proofErr w:type="spellEnd"/>
      <w:r w:rsidRPr="00313D0C">
        <w:rPr>
          <w:rFonts w:asciiTheme="majorBidi" w:hAnsiTheme="majorBidi" w:cstheme="majorBidi"/>
          <w:sz w:val="20"/>
          <w:szCs w:val="20"/>
        </w:rPr>
        <w:t xml:space="preserve"> (COO-) stretching appeared in the range of 1520 to 1525 cm⁻¹, while the vibrations in the range of 1389 to 1399 cm⁻¹ correspond to </w:t>
      </w:r>
      <w:proofErr w:type="spellStart"/>
      <w:r w:rsidRPr="00313D0C">
        <w:rPr>
          <w:rFonts w:asciiTheme="majorBidi" w:hAnsiTheme="majorBidi" w:cstheme="majorBidi"/>
          <w:sz w:val="20"/>
          <w:szCs w:val="20"/>
        </w:rPr>
        <w:t>νsym</w:t>
      </w:r>
      <w:proofErr w:type="spellEnd"/>
      <w:r w:rsidRPr="00313D0C">
        <w:rPr>
          <w:rFonts w:asciiTheme="majorBidi" w:hAnsiTheme="majorBidi" w:cstheme="majorBidi"/>
          <w:sz w:val="20"/>
          <w:szCs w:val="20"/>
        </w:rPr>
        <w:t xml:space="preserve"> (COO-). Additional indications of weak or new medium bands that appeared in the produced complexes were attributed to the v (M–O) in the range of 470 to 439 cm⁻¹. The presence of ethanol or water molecules in the vicinity, whether coordinated or not, is suggested by a broad peak that arises in the range of 3633 to 3625 cm⁻¹ [13–15]. Additional bands are listed in Table (2).</w:t>
      </w:r>
    </w:p>
    <w:p w14:paraId="4273A6C1" w14:textId="77777777" w:rsidR="003F0412" w:rsidRPr="00313D0C" w:rsidRDefault="003F0412" w:rsidP="003F0412">
      <w:pPr>
        <w:pStyle w:val="NoSpacing"/>
        <w:bidi w:val="0"/>
        <w:jc w:val="both"/>
        <w:rPr>
          <w:rFonts w:asciiTheme="majorBidi" w:hAnsiTheme="majorBidi" w:cstheme="majorBidi"/>
          <w:sz w:val="20"/>
          <w:szCs w:val="20"/>
        </w:rPr>
      </w:pPr>
    </w:p>
    <w:p w14:paraId="151F8781" w14:textId="0A97FDC6" w:rsidR="00964420" w:rsidRPr="009C055D" w:rsidRDefault="00313D0C" w:rsidP="009C055D">
      <w:pPr>
        <w:pStyle w:val="NoSpacing"/>
        <w:bidi w:val="0"/>
        <w:jc w:val="center"/>
        <w:rPr>
          <w:rFonts w:asciiTheme="majorBidi" w:hAnsiTheme="majorBidi" w:cstheme="majorBidi"/>
          <w:sz w:val="18"/>
          <w:szCs w:val="18"/>
        </w:rPr>
      </w:pPr>
      <w:r w:rsidRPr="0073237B">
        <w:rPr>
          <w:rFonts w:asciiTheme="majorBidi" w:hAnsiTheme="majorBidi" w:cstheme="majorBidi"/>
          <w:b/>
          <w:bCs/>
          <w:sz w:val="18"/>
          <w:szCs w:val="18"/>
        </w:rPr>
        <w:t>TABLE</w:t>
      </w:r>
      <w:r w:rsidR="001D0243" w:rsidRPr="0073237B">
        <w:rPr>
          <w:rFonts w:asciiTheme="majorBidi" w:hAnsiTheme="majorBidi" w:cstheme="majorBidi"/>
          <w:b/>
          <w:bCs/>
          <w:sz w:val="18"/>
          <w:szCs w:val="18"/>
        </w:rPr>
        <w:t xml:space="preserve"> 2</w:t>
      </w:r>
      <w:r w:rsidRPr="0073237B">
        <w:rPr>
          <w:rFonts w:asciiTheme="majorBidi" w:hAnsiTheme="majorBidi" w:cstheme="majorBidi"/>
          <w:b/>
          <w:bCs/>
          <w:sz w:val="18"/>
          <w:szCs w:val="18"/>
        </w:rPr>
        <w:t>.</w:t>
      </w:r>
      <w:r w:rsidR="001D0243" w:rsidRPr="0073237B">
        <w:rPr>
          <w:rFonts w:asciiTheme="majorBidi" w:hAnsiTheme="majorBidi" w:cstheme="majorBidi"/>
          <w:b/>
          <w:bCs/>
          <w:sz w:val="18"/>
          <w:szCs w:val="18"/>
        </w:rPr>
        <w:t xml:space="preserve"> </w:t>
      </w:r>
      <w:r w:rsidR="001D0243" w:rsidRPr="009C055D">
        <w:rPr>
          <w:rFonts w:asciiTheme="majorBidi" w:hAnsiTheme="majorBidi" w:cstheme="majorBidi"/>
          <w:sz w:val="18"/>
          <w:szCs w:val="18"/>
        </w:rPr>
        <w:t xml:space="preserve">FTIR Absorption </w:t>
      </w:r>
      <w:r w:rsidRPr="009C055D">
        <w:rPr>
          <w:rFonts w:asciiTheme="majorBidi" w:hAnsiTheme="majorBidi" w:cstheme="majorBidi"/>
          <w:sz w:val="18"/>
          <w:szCs w:val="18"/>
        </w:rPr>
        <w:t>for L</w:t>
      </w:r>
      <w:r w:rsidR="001D0243" w:rsidRPr="009C055D">
        <w:rPr>
          <w:rFonts w:asciiTheme="majorBidi" w:hAnsiTheme="majorBidi" w:cstheme="majorBidi"/>
          <w:sz w:val="18"/>
          <w:szCs w:val="18"/>
        </w:rPr>
        <w:t xml:space="preserve">igands and </w:t>
      </w:r>
      <w:r w:rsidR="00BE171B" w:rsidRPr="009C055D">
        <w:rPr>
          <w:rFonts w:asciiTheme="majorBidi" w:hAnsiTheme="majorBidi" w:cstheme="majorBidi"/>
          <w:sz w:val="18"/>
          <w:szCs w:val="18"/>
        </w:rPr>
        <w:t>M</w:t>
      </w:r>
      <w:r w:rsidR="001D0243" w:rsidRPr="009C055D">
        <w:rPr>
          <w:rFonts w:asciiTheme="majorBidi" w:hAnsiTheme="majorBidi" w:cstheme="majorBidi"/>
          <w:sz w:val="18"/>
          <w:szCs w:val="18"/>
        </w:rPr>
        <w:t xml:space="preserve">etal </w:t>
      </w:r>
      <w:r w:rsidR="00BE171B" w:rsidRPr="009C055D">
        <w:rPr>
          <w:rFonts w:asciiTheme="majorBidi" w:hAnsiTheme="majorBidi" w:cstheme="majorBidi"/>
          <w:sz w:val="18"/>
          <w:szCs w:val="18"/>
        </w:rPr>
        <w:t>C</w:t>
      </w:r>
      <w:r w:rsidR="001D0243" w:rsidRPr="009C055D">
        <w:rPr>
          <w:rFonts w:asciiTheme="majorBidi" w:hAnsiTheme="majorBidi" w:cstheme="majorBidi"/>
          <w:sz w:val="18"/>
          <w:szCs w:val="18"/>
        </w:rPr>
        <w:t>omplexes</w:t>
      </w:r>
    </w:p>
    <w:tbl>
      <w:tblPr>
        <w:tblStyle w:val="PlainTable2"/>
        <w:tblW w:w="8713" w:type="dxa"/>
        <w:tblInd w:w="450" w:type="dxa"/>
        <w:tblLook w:val="0620" w:firstRow="1" w:lastRow="0" w:firstColumn="0" w:lastColumn="0" w:noHBand="1" w:noVBand="1"/>
      </w:tblPr>
      <w:tblGrid>
        <w:gridCol w:w="2189"/>
        <w:gridCol w:w="2374"/>
        <w:gridCol w:w="1395"/>
        <w:gridCol w:w="1332"/>
        <w:gridCol w:w="1423"/>
      </w:tblGrid>
      <w:tr w:rsidR="00A66A28" w:rsidRPr="0073237B" w14:paraId="3CB331C0" w14:textId="77777777" w:rsidTr="009838E9">
        <w:trPr>
          <w:cnfStyle w:val="100000000000" w:firstRow="1" w:lastRow="0" w:firstColumn="0" w:lastColumn="0" w:oddVBand="0" w:evenVBand="0" w:oddHBand="0" w:evenHBand="0" w:firstRowFirstColumn="0" w:firstRowLastColumn="0" w:lastRowFirstColumn="0" w:lastRowLastColumn="0"/>
          <w:trHeight w:val="323"/>
        </w:trPr>
        <w:tc>
          <w:tcPr>
            <w:tcW w:w="2189" w:type="dxa"/>
          </w:tcPr>
          <w:p w14:paraId="759E25EB" w14:textId="77777777" w:rsidR="00A66A28" w:rsidRPr="0073237B" w:rsidRDefault="00A66A28" w:rsidP="00313D0C">
            <w:pPr>
              <w:pStyle w:val="NoSpacing"/>
              <w:bidi w:val="0"/>
              <w:jc w:val="both"/>
              <w:rPr>
                <w:rFonts w:asciiTheme="majorBidi" w:hAnsiTheme="majorBidi" w:cstheme="majorBidi"/>
                <w:sz w:val="18"/>
                <w:szCs w:val="18"/>
              </w:rPr>
            </w:pPr>
            <w:r w:rsidRPr="0073237B">
              <w:rPr>
                <w:rFonts w:asciiTheme="majorBidi" w:hAnsiTheme="majorBidi" w:cstheme="majorBidi"/>
                <w:sz w:val="18"/>
                <w:szCs w:val="18"/>
              </w:rPr>
              <w:t>Formal</w:t>
            </w:r>
          </w:p>
        </w:tc>
        <w:tc>
          <w:tcPr>
            <w:tcW w:w="2374" w:type="dxa"/>
          </w:tcPr>
          <w:p w14:paraId="4F21A234" w14:textId="77777777" w:rsidR="00A66A28" w:rsidRPr="0073237B" w:rsidRDefault="00A66A28" w:rsidP="00313D0C">
            <w:pPr>
              <w:pStyle w:val="NoSpacing"/>
              <w:bidi w:val="0"/>
              <w:jc w:val="both"/>
              <w:rPr>
                <w:rFonts w:asciiTheme="majorBidi" w:hAnsiTheme="majorBidi" w:cstheme="majorBidi"/>
                <w:sz w:val="18"/>
                <w:szCs w:val="18"/>
              </w:rPr>
            </w:pPr>
            <w:proofErr w:type="gramStart"/>
            <w:r w:rsidRPr="0073237B">
              <w:rPr>
                <w:rFonts w:asciiTheme="majorBidi" w:hAnsiTheme="majorBidi" w:cstheme="majorBidi"/>
                <w:sz w:val="18"/>
                <w:szCs w:val="18"/>
                <w:lang w:bidi="ar-IQ"/>
              </w:rPr>
              <w:t>ν  OH</w:t>
            </w:r>
            <w:proofErr w:type="gramEnd"/>
          </w:p>
        </w:tc>
        <w:tc>
          <w:tcPr>
            <w:tcW w:w="1395" w:type="dxa"/>
          </w:tcPr>
          <w:p w14:paraId="58588C37" w14:textId="77777777" w:rsidR="00A66A28" w:rsidRPr="0073237B" w:rsidRDefault="00A66A28" w:rsidP="00A66A28">
            <w:pPr>
              <w:pStyle w:val="NoSpacing"/>
              <w:bidi w:val="0"/>
              <w:jc w:val="both"/>
              <w:rPr>
                <w:rFonts w:asciiTheme="majorBidi" w:hAnsiTheme="majorBidi" w:cstheme="majorBidi"/>
                <w:sz w:val="18"/>
                <w:szCs w:val="18"/>
                <w:lang w:bidi="ar-IQ"/>
              </w:rPr>
            </w:pPr>
            <w:proofErr w:type="spellStart"/>
            <w:r w:rsidRPr="0073237B">
              <w:rPr>
                <w:rFonts w:asciiTheme="majorBidi" w:hAnsiTheme="majorBidi" w:cstheme="majorBidi"/>
                <w:sz w:val="18"/>
                <w:szCs w:val="18"/>
              </w:rPr>
              <w:t>νCOO</w:t>
            </w:r>
            <w:proofErr w:type="spellEnd"/>
            <w:r w:rsidRPr="0073237B">
              <w:rPr>
                <w:rFonts w:asciiTheme="majorBidi" w:hAnsiTheme="majorBidi" w:cstheme="majorBidi"/>
                <w:sz w:val="18"/>
                <w:szCs w:val="18"/>
                <w:vertAlign w:val="superscript"/>
              </w:rPr>
              <w:t>-</w:t>
            </w:r>
            <w:r w:rsidRPr="0073237B">
              <w:rPr>
                <w:rFonts w:asciiTheme="majorBidi" w:hAnsiTheme="majorBidi" w:cstheme="majorBidi"/>
                <w:sz w:val="18"/>
                <w:szCs w:val="18"/>
                <w:lang w:bidi="ar-IQ"/>
              </w:rPr>
              <w:t xml:space="preserve"> </w:t>
            </w:r>
            <w:r w:rsidRPr="0073237B">
              <w:rPr>
                <w:rFonts w:asciiTheme="majorBidi" w:hAnsiTheme="majorBidi" w:cstheme="majorBidi"/>
                <w:sz w:val="18"/>
                <w:szCs w:val="18"/>
                <w:vertAlign w:val="subscript"/>
                <w:lang w:bidi="ar-IQ"/>
              </w:rPr>
              <w:t>(</w:t>
            </w:r>
            <w:proofErr w:type="spellStart"/>
            <w:r w:rsidRPr="0073237B">
              <w:rPr>
                <w:rFonts w:asciiTheme="majorBidi" w:hAnsiTheme="majorBidi" w:cstheme="majorBidi"/>
                <w:sz w:val="18"/>
                <w:szCs w:val="18"/>
                <w:lang w:bidi="ar-IQ"/>
              </w:rPr>
              <w:t>asym</w:t>
            </w:r>
            <w:proofErr w:type="spellEnd"/>
            <w:r w:rsidRPr="0073237B">
              <w:rPr>
                <w:rFonts w:asciiTheme="majorBidi" w:hAnsiTheme="majorBidi" w:cstheme="majorBidi"/>
                <w:sz w:val="18"/>
                <w:szCs w:val="18"/>
                <w:lang w:bidi="ar-IQ"/>
              </w:rPr>
              <w:t>.)</w:t>
            </w:r>
          </w:p>
        </w:tc>
        <w:tc>
          <w:tcPr>
            <w:tcW w:w="1332" w:type="dxa"/>
          </w:tcPr>
          <w:p w14:paraId="58080653" w14:textId="77777777" w:rsidR="00A66A28" w:rsidRPr="0073237B" w:rsidRDefault="00A66A28" w:rsidP="00313D0C">
            <w:pPr>
              <w:pStyle w:val="NoSpacing"/>
              <w:bidi w:val="0"/>
              <w:jc w:val="both"/>
              <w:rPr>
                <w:rFonts w:asciiTheme="majorBidi" w:hAnsiTheme="majorBidi" w:cstheme="majorBidi"/>
                <w:b w:val="0"/>
                <w:bCs w:val="0"/>
                <w:sz w:val="18"/>
                <w:szCs w:val="18"/>
                <w:lang w:bidi="ar-IQ"/>
              </w:rPr>
            </w:pPr>
            <w:proofErr w:type="spellStart"/>
            <w:r w:rsidRPr="0073237B">
              <w:rPr>
                <w:rFonts w:asciiTheme="majorBidi" w:hAnsiTheme="majorBidi" w:cstheme="majorBidi"/>
                <w:sz w:val="18"/>
                <w:szCs w:val="18"/>
              </w:rPr>
              <w:t>νCOO</w:t>
            </w:r>
            <w:proofErr w:type="spellEnd"/>
            <w:r w:rsidRPr="0073237B">
              <w:rPr>
                <w:rFonts w:asciiTheme="majorBidi" w:hAnsiTheme="majorBidi" w:cstheme="majorBidi"/>
                <w:sz w:val="18"/>
                <w:szCs w:val="18"/>
                <w:vertAlign w:val="superscript"/>
              </w:rPr>
              <w:t>-</w:t>
            </w:r>
            <w:r w:rsidRPr="0073237B">
              <w:rPr>
                <w:rFonts w:asciiTheme="majorBidi" w:hAnsiTheme="majorBidi" w:cstheme="majorBidi"/>
                <w:sz w:val="18"/>
                <w:szCs w:val="18"/>
                <w:lang w:bidi="ar-IQ"/>
              </w:rPr>
              <w:t xml:space="preserve"> (sym.)</w:t>
            </w:r>
          </w:p>
        </w:tc>
        <w:tc>
          <w:tcPr>
            <w:tcW w:w="1423" w:type="dxa"/>
          </w:tcPr>
          <w:p w14:paraId="46E79104" w14:textId="77777777" w:rsidR="00A66A28" w:rsidRPr="0073237B" w:rsidRDefault="00A66A28" w:rsidP="00313D0C">
            <w:pPr>
              <w:pStyle w:val="NoSpacing"/>
              <w:bidi w:val="0"/>
              <w:jc w:val="both"/>
              <w:rPr>
                <w:rFonts w:asciiTheme="majorBidi" w:hAnsiTheme="majorBidi" w:cstheme="majorBidi"/>
                <w:sz w:val="18"/>
                <w:szCs w:val="18"/>
              </w:rPr>
            </w:pPr>
            <w:proofErr w:type="gramStart"/>
            <w:r w:rsidRPr="0073237B">
              <w:rPr>
                <w:rFonts w:asciiTheme="majorBidi" w:hAnsiTheme="majorBidi" w:cstheme="majorBidi"/>
                <w:sz w:val="18"/>
                <w:szCs w:val="18"/>
                <w:lang w:bidi="ar-IQ"/>
              </w:rPr>
              <w:t>ν  C</w:t>
            </w:r>
            <w:proofErr w:type="gramEnd"/>
            <w:r w:rsidRPr="0073237B">
              <w:rPr>
                <w:rFonts w:asciiTheme="majorBidi" w:hAnsiTheme="majorBidi" w:cstheme="majorBidi"/>
                <w:sz w:val="18"/>
                <w:szCs w:val="18"/>
                <w:lang w:bidi="ar-IQ"/>
              </w:rPr>
              <w:t>-H</w:t>
            </w:r>
          </w:p>
        </w:tc>
      </w:tr>
      <w:tr w:rsidR="00A66A28" w:rsidRPr="0073237B" w14:paraId="346803A2" w14:textId="77777777" w:rsidTr="009838E9">
        <w:trPr>
          <w:trHeight w:val="222"/>
        </w:trPr>
        <w:tc>
          <w:tcPr>
            <w:tcW w:w="2189" w:type="dxa"/>
          </w:tcPr>
          <w:p w14:paraId="418870C9" w14:textId="77777777" w:rsidR="00A66A28" w:rsidRPr="0073237B" w:rsidRDefault="00A66A28" w:rsidP="00313D0C">
            <w:pPr>
              <w:pStyle w:val="NoSpacing"/>
              <w:bidi w:val="0"/>
              <w:jc w:val="both"/>
              <w:rPr>
                <w:rFonts w:asciiTheme="majorBidi" w:hAnsiTheme="majorBidi" w:cstheme="majorBidi"/>
                <w:sz w:val="18"/>
                <w:szCs w:val="18"/>
              </w:rPr>
            </w:pPr>
            <w:r w:rsidRPr="0073237B">
              <w:rPr>
                <w:rFonts w:asciiTheme="majorBidi" w:hAnsiTheme="majorBidi" w:cstheme="majorBidi"/>
                <w:sz w:val="18"/>
                <w:szCs w:val="18"/>
              </w:rPr>
              <w:t>L</w:t>
            </w:r>
          </w:p>
        </w:tc>
        <w:tc>
          <w:tcPr>
            <w:tcW w:w="2374" w:type="dxa"/>
          </w:tcPr>
          <w:p w14:paraId="2A5BA749" w14:textId="77777777" w:rsidR="00A66A28" w:rsidRPr="0073237B" w:rsidRDefault="00A66A28" w:rsidP="00313D0C">
            <w:pPr>
              <w:pStyle w:val="NoSpacing"/>
              <w:bidi w:val="0"/>
              <w:jc w:val="both"/>
              <w:rPr>
                <w:rFonts w:asciiTheme="majorBidi" w:hAnsiTheme="majorBidi" w:cstheme="majorBidi"/>
                <w:sz w:val="18"/>
                <w:szCs w:val="18"/>
              </w:rPr>
            </w:pPr>
            <w:r w:rsidRPr="0073237B">
              <w:rPr>
                <w:rFonts w:asciiTheme="majorBidi" w:hAnsiTheme="majorBidi" w:cstheme="majorBidi"/>
                <w:sz w:val="18"/>
                <w:szCs w:val="18"/>
              </w:rPr>
              <w:t>3648</w:t>
            </w:r>
          </w:p>
        </w:tc>
        <w:tc>
          <w:tcPr>
            <w:tcW w:w="1395" w:type="dxa"/>
          </w:tcPr>
          <w:p w14:paraId="192D7450" w14:textId="77777777" w:rsidR="00A66A28" w:rsidRPr="0073237B" w:rsidRDefault="00A66A28" w:rsidP="00A66A28">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1545</w:t>
            </w:r>
          </w:p>
        </w:tc>
        <w:tc>
          <w:tcPr>
            <w:tcW w:w="1332" w:type="dxa"/>
          </w:tcPr>
          <w:p w14:paraId="7FD3DDE7" w14:textId="77777777" w:rsidR="00A66A28" w:rsidRPr="0073237B" w:rsidRDefault="00A66A28" w:rsidP="00A66A28">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1409</w:t>
            </w:r>
          </w:p>
        </w:tc>
        <w:tc>
          <w:tcPr>
            <w:tcW w:w="1423" w:type="dxa"/>
          </w:tcPr>
          <w:p w14:paraId="7DF4D3A3" w14:textId="77777777" w:rsidR="00A66A28" w:rsidRPr="0073237B" w:rsidRDefault="00A66A28"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3177</w:t>
            </w:r>
          </w:p>
        </w:tc>
      </w:tr>
      <w:tr w:rsidR="00A66A28" w:rsidRPr="0073237B" w14:paraId="50691701" w14:textId="77777777" w:rsidTr="009838E9">
        <w:trPr>
          <w:trHeight w:val="190"/>
        </w:trPr>
        <w:tc>
          <w:tcPr>
            <w:tcW w:w="2189" w:type="dxa"/>
          </w:tcPr>
          <w:p w14:paraId="15603B97" w14:textId="77777777" w:rsidR="00A66A28" w:rsidRPr="0073237B" w:rsidRDefault="00A66A28" w:rsidP="00313D0C">
            <w:pPr>
              <w:pStyle w:val="NoSpacing"/>
              <w:bidi w:val="0"/>
              <w:jc w:val="both"/>
              <w:rPr>
                <w:rFonts w:asciiTheme="majorBidi" w:hAnsiTheme="majorBidi" w:cstheme="majorBidi"/>
                <w:sz w:val="18"/>
                <w:szCs w:val="18"/>
              </w:rPr>
            </w:pPr>
            <w:proofErr w:type="spellStart"/>
            <w:r w:rsidRPr="0073237B">
              <w:rPr>
                <w:rFonts w:asciiTheme="majorBidi" w:hAnsiTheme="majorBidi" w:cstheme="majorBidi"/>
                <w:sz w:val="18"/>
                <w:szCs w:val="18"/>
                <w:lang w:bidi="ar-IQ"/>
              </w:rPr>
              <w:t>CoL</w:t>
            </w:r>
            <w:proofErr w:type="spellEnd"/>
          </w:p>
        </w:tc>
        <w:tc>
          <w:tcPr>
            <w:tcW w:w="2374" w:type="dxa"/>
          </w:tcPr>
          <w:p w14:paraId="27DACC40" w14:textId="77777777" w:rsidR="00A66A28" w:rsidRPr="0073237B" w:rsidRDefault="00A66A28" w:rsidP="00313D0C">
            <w:pPr>
              <w:pStyle w:val="NoSpacing"/>
              <w:bidi w:val="0"/>
              <w:jc w:val="both"/>
              <w:rPr>
                <w:rFonts w:asciiTheme="majorBidi" w:hAnsiTheme="majorBidi" w:cstheme="majorBidi"/>
                <w:sz w:val="18"/>
                <w:szCs w:val="18"/>
              </w:rPr>
            </w:pPr>
            <w:r w:rsidRPr="0073237B">
              <w:rPr>
                <w:rFonts w:asciiTheme="majorBidi" w:hAnsiTheme="majorBidi" w:cstheme="majorBidi"/>
                <w:sz w:val="18"/>
                <w:szCs w:val="18"/>
              </w:rPr>
              <w:t>3633</w:t>
            </w:r>
          </w:p>
        </w:tc>
        <w:tc>
          <w:tcPr>
            <w:tcW w:w="1395" w:type="dxa"/>
          </w:tcPr>
          <w:p w14:paraId="0FDA762A" w14:textId="77777777" w:rsidR="00A66A28" w:rsidRPr="0073237B" w:rsidRDefault="00A66A28" w:rsidP="00A66A28">
            <w:pPr>
              <w:pStyle w:val="NoSpacing"/>
              <w:bidi w:val="0"/>
              <w:jc w:val="both"/>
              <w:rPr>
                <w:rFonts w:asciiTheme="majorBidi" w:hAnsiTheme="majorBidi" w:cstheme="majorBidi"/>
                <w:sz w:val="18"/>
                <w:szCs w:val="18"/>
              </w:rPr>
            </w:pPr>
            <w:r w:rsidRPr="0073237B">
              <w:rPr>
                <w:rFonts w:asciiTheme="majorBidi" w:hAnsiTheme="majorBidi" w:cstheme="majorBidi"/>
                <w:sz w:val="18"/>
                <w:szCs w:val="18"/>
              </w:rPr>
              <w:t>1520</w:t>
            </w:r>
          </w:p>
        </w:tc>
        <w:tc>
          <w:tcPr>
            <w:tcW w:w="1332" w:type="dxa"/>
          </w:tcPr>
          <w:p w14:paraId="4AF3E49A" w14:textId="77777777" w:rsidR="00A66A28" w:rsidRPr="0073237B" w:rsidRDefault="00A66A28" w:rsidP="00A66A28">
            <w:pPr>
              <w:pStyle w:val="NoSpacing"/>
              <w:bidi w:val="0"/>
              <w:jc w:val="both"/>
              <w:rPr>
                <w:rFonts w:asciiTheme="majorBidi" w:hAnsiTheme="majorBidi" w:cstheme="majorBidi"/>
                <w:sz w:val="18"/>
                <w:szCs w:val="18"/>
              </w:rPr>
            </w:pPr>
            <w:r w:rsidRPr="0073237B">
              <w:rPr>
                <w:rFonts w:asciiTheme="majorBidi" w:hAnsiTheme="majorBidi" w:cstheme="majorBidi"/>
                <w:sz w:val="18"/>
                <w:szCs w:val="18"/>
              </w:rPr>
              <w:t>1389</w:t>
            </w:r>
          </w:p>
        </w:tc>
        <w:tc>
          <w:tcPr>
            <w:tcW w:w="1423" w:type="dxa"/>
          </w:tcPr>
          <w:p w14:paraId="0995BC65" w14:textId="77777777" w:rsidR="00A66A28" w:rsidRPr="0073237B" w:rsidRDefault="00A66A28"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rPr>
              <w:t>3156</w:t>
            </w:r>
          </w:p>
        </w:tc>
      </w:tr>
      <w:tr w:rsidR="00A66A28" w:rsidRPr="0073237B" w14:paraId="531D776E" w14:textId="77777777" w:rsidTr="009838E9">
        <w:trPr>
          <w:trHeight w:val="249"/>
        </w:trPr>
        <w:tc>
          <w:tcPr>
            <w:tcW w:w="2189" w:type="dxa"/>
          </w:tcPr>
          <w:p w14:paraId="6AA4508F" w14:textId="77777777" w:rsidR="00A66A28" w:rsidRPr="0073237B" w:rsidRDefault="00A66A28" w:rsidP="00313D0C">
            <w:pPr>
              <w:pStyle w:val="NoSpacing"/>
              <w:bidi w:val="0"/>
              <w:jc w:val="both"/>
              <w:rPr>
                <w:rFonts w:asciiTheme="majorBidi" w:hAnsiTheme="majorBidi" w:cstheme="majorBidi"/>
                <w:sz w:val="18"/>
                <w:szCs w:val="18"/>
              </w:rPr>
            </w:pPr>
            <w:proofErr w:type="spellStart"/>
            <w:r w:rsidRPr="0073237B">
              <w:rPr>
                <w:rFonts w:asciiTheme="majorBidi" w:hAnsiTheme="majorBidi" w:cstheme="majorBidi"/>
                <w:sz w:val="18"/>
                <w:szCs w:val="18"/>
                <w:lang w:bidi="ar-IQ"/>
              </w:rPr>
              <w:t>NiL</w:t>
            </w:r>
            <w:proofErr w:type="spellEnd"/>
          </w:p>
        </w:tc>
        <w:tc>
          <w:tcPr>
            <w:tcW w:w="2374" w:type="dxa"/>
          </w:tcPr>
          <w:p w14:paraId="3CB37DED" w14:textId="77777777" w:rsidR="00A66A28" w:rsidRPr="0073237B" w:rsidRDefault="00A66A28" w:rsidP="00313D0C">
            <w:pPr>
              <w:pStyle w:val="NoSpacing"/>
              <w:bidi w:val="0"/>
              <w:jc w:val="both"/>
              <w:rPr>
                <w:rFonts w:asciiTheme="majorBidi" w:hAnsiTheme="majorBidi" w:cstheme="majorBidi"/>
                <w:sz w:val="18"/>
                <w:szCs w:val="18"/>
              </w:rPr>
            </w:pPr>
            <w:r w:rsidRPr="0073237B">
              <w:rPr>
                <w:rFonts w:asciiTheme="majorBidi" w:hAnsiTheme="majorBidi" w:cstheme="majorBidi"/>
                <w:sz w:val="18"/>
                <w:szCs w:val="18"/>
                <w:lang w:bidi="ar-IQ"/>
              </w:rPr>
              <w:t>3625</w:t>
            </w:r>
          </w:p>
        </w:tc>
        <w:tc>
          <w:tcPr>
            <w:tcW w:w="1395" w:type="dxa"/>
          </w:tcPr>
          <w:p w14:paraId="4CF2D03A" w14:textId="77777777" w:rsidR="00A66A28" w:rsidRPr="0073237B" w:rsidRDefault="00A66A28" w:rsidP="00A66A28">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1525</w:t>
            </w:r>
          </w:p>
        </w:tc>
        <w:tc>
          <w:tcPr>
            <w:tcW w:w="1332" w:type="dxa"/>
          </w:tcPr>
          <w:p w14:paraId="1A2B26D3" w14:textId="77777777" w:rsidR="00A66A28" w:rsidRPr="0073237B" w:rsidRDefault="00A66A28" w:rsidP="00A66A28">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1399</w:t>
            </w:r>
          </w:p>
        </w:tc>
        <w:tc>
          <w:tcPr>
            <w:tcW w:w="1423" w:type="dxa"/>
          </w:tcPr>
          <w:p w14:paraId="047D39C2" w14:textId="77777777" w:rsidR="00A66A28" w:rsidRPr="0073237B" w:rsidRDefault="00A66A28" w:rsidP="00313D0C">
            <w:pPr>
              <w:pStyle w:val="NoSpacing"/>
              <w:bidi w:val="0"/>
              <w:jc w:val="both"/>
              <w:rPr>
                <w:rFonts w:asciiTheme="majorBidi" w:hAnsiTheme="majorBidi" w:cstheme="majorBidi"/>
                <w:sz w:val="18"/>
                <w:szCs w:val="18"/>
              </w:rPr>
            </w:pPr>
            <w:r w:rsidRPr="0073237B">
              <w:rPr>
                <w:rFonts w:asciiTheme="majorBidi" w:hAnsiTheme="majorBidi" w:cstheme="majorBidi"/>
                <w:sz w:val="18"/>
                <w:szCs w:val="18"/>
                <w:lang w:bidi="ar-IQ"/>
              </w:rPr>
              <w:t>3180</w:t>
            </w:r>
          </w:p>
        </w:tc>
      </w:tr>
    </w:tbl>
    <w:p w14:paraId="2C7B9A64" w14:textId="77777777" w:rsidR="00964420" w:rsidRDefault="00964420" w:rsidP="00E66E90">
      <w:pPr>
        <w:pStyle w:val="NoSpacing"/>
        <w:bidi w:val="0"/>
        <w:jc w:val="center"/>
        <w:rPr>
          <w:rFonts w:asciiTheme="majorBidi" w:hAnsiTheme="majorBidi" w:cstheme="majorBidi"/>
          <w:b/>
          <w:bCs/>
          <w:sz w:val="24"/>
          <w:szCs w:val="24"/>
        </w:rPr>
      </w:pPr>
    </w:p>
    <w:p w14:paraId="1CDEC998" w14:textId="77777777" w:rsidR="00E66E90" w:rsidRPr="00313D0C" w:rsidRDefault="00E66E90" w:rsidP="009838E9">
      <w:pPr>
        <w:pStyle w:val="NoSpacing"/>
        <w:bidi w:val="0"/>
        <w:spacing w:before="240" w:after="240"/>
        <w:jc w:val="center"/>
        <w:rPr>
          <w:rFonts w:asciiTheme="majorBidi" w:hAnsiTheme="majorBidi" w:cstheme="majorBidi"/>
          <w:b/>
          <w:bCs/>
          <w:sz w:val="24"/>
          <w:szCs w:val="24"/>
        </w:rPr>
      </w:pPr>
      <w:r>
        <w:rPr>
          <w:rFonts w:asciiTheme="majorBidi" w:hAnsiTheme="majorBidi" w:cstheme="majorBidi"/>
          <w:b/>
          <w:bCs/>
          <w:sz w:val="24"/>
          <w:szCs w:val="24"/>
        </w:rPr>
        <w:t>MAGNETIC MOMENTS, ELECTRONIC SPECTRAL DATA AND CONDUCTIVITY MEASUREMENTS</w:t>
      </w:r>
    </w:p>
    <w:p w14:paraId="29E888D6" w14:textId="53BBCCF4" w:rsidR="00F152BF" w:rsidRPr="00313D0C" w:rsidRDefault="00F152BF" w:rsidP="009C055D">
      <w:pPr>
        <w:pStyle w:val="NoSpacing"/>
        <w:bidi w:val="0"/>
        <w:ind w:firstLine="284"/>
        <w:jc w:val="both"/>
        <w:rPr>
          <w:rFonts w:asciiTheme="majorBidi" w:hAnsiTheme="majorBidi" w:cstheme="majorBidi"/>
          <w:sz w:val="20"/>
          <w:szCs w:val="20"/>
        </w:rPr>
      </w:pPr>
      <w:r w:rsidRPr="00313D0C">
        <w:rPr>
          <w:rFonts w:asciiTheme="majorBidi" w:hAnsiTheme="majorBidi" w:cstheme="majorBidi"/>
          <w:sz w:val="20"/>
          <w:szCs w:val="20"/>
        </w:rPr>
        <w:t xml:space="preserve">The electronic spectrum of the free ligand (L) displayed two primary absorption bands. The first band, arising from an </w:t>
      </w:r>
      <w:proofErr w:type="spellStart"/>
      <w:r w:rsidRPr="00313D0C">
        <w:rPr>
          <w:rFonts w:asciiTheme="majorBidi" w:hAnsiTheme="majorBidi" w:cstheme="majorBidi"/>
          <w:sz w:val="20"/>
          <w:szCs w:val="20"/>
        </w:rPr>
        <w:t>interligand</w:t>
      </w:r>
      <w:proofErr w:type="spellEnd"/>
      <w:r w:rsidRPr="00313D0C">
        <w:rPr>
          <w:rFonts w:asciiTheme="majorBidi" w:hAnsiTheme="majorBidi" w:cstheme="majorBidi"/>
          <w:sz w:val="20"/>
          <w:szCs w:val="20"/>
        </w:rPr>
        <w:t xml:space="preserve"> transition (π→π*) within the pi-system, was observed at 253 nm. The second band, associated with the (n→π*) electronic transition, occurred at 312 nm.</w:t>
      </w:r>
    </w:p>
    <w:p w14:paraId="58D6518F" w14:textId="77777777" w:rsidR="00F152BF" w:rsidRPr="00313D0C" w:rsidRDefault="00313D0C" w:rsidP="00313D0C">
      <w:pPr>
        <w:pStyle w:val="NoSpacing"/>
        <w:bidi w:val="0"/>
        <w:jc w:val="both"/>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     </w:t>
      </w:r>
      <w:proofErr w:type="spellStart"/>
      <w:r w:rsidR="00F152BF" w:rsidRPr="00313D0C">
        <w:rPr>
          <w:rFonts w:asciiTheme="majorBidi" w:eastAsia="Times New Roman" w:hAnsiTheme="majorBidi" w:cstheme="majorBidi"/>
          <w:sz w:val="20"/>
          <w:szCs w:val="20"/>
        </w:rPr>
        <w:t>CoL</w:t>
      </w:r>
      <w:proofErr w:type="spellEnd"/>
      <w:r w:rsidR="00F152BF" w:rsidRPr="00313D0C">
        <w:rPr>
          <w:rFonts w:asciiTheme="majorBidi" w:eastAsia="Times New Roman" w:hAnsiTheme="majorBidi" w:cstheme="majorBidi"/>
          <w:sz w:val="20"/>
          <w:szCs w:val="20"/>
        </w:rPr>
        <w:t xml:space="preserve">: The electronic spectra of the light red </w:t>
      </w:r>
      <w:proofErr w:type="gramStart"/>
      <w:r w:rsidR="00F152BF" w:rsidRPr="00313D0C">
        <w:rPr>
          <w:rFonts w:asciiTheme="majorBidi" w:eastAsia="Times New Roman" w:hAnsiTheme="majorBidi" w:cstheme="majorBidi"/>
          <w:sz w:val="20"/>
          <w:szCs w:val="20"/>
        </w:rPr>
        <w:t>Co(</w:t>
      </w:r>
      <w:proofErr w:type="gramEnd"/>
      <w:r w:rsidR="00F152BF" w:rsidRPr="00313D0C">
        <w:rPr>
          <w:rFonts w:asciiTheme="majorBidi" w:eastAsia="Times New Roman" w:hAnsiTheme="majorBidi" w:cstheme="majorBidi"/>
          <w:sz w:val="20"/>
          <w:szCs w:val="20"/>
        </w:rPr>
        <w:t>II) complex exhibit bands at 10256, 23777, and 18654 cm⁻¹. These bands are attributed to the transitions 4T1g→4T2g, 4T1g→4A2g(F), and 4T1g→4T1g, respectively [12]. This complex is characterized by an octahedral geometry [16].</w:t>
      </w:r>
    </w:p>
    <w:p w14:paraId="3103B04B" w14:textId="688DFD08" w:rsidR="00B13E1B" w:rsidRPr="00313D0C" w:rsidRDefault="00B13E1B" w:rsidP="009C055D">
      <w:pPr>
        <w:pStyle w:val="NoSpacing"/>
        <w:bidi w:val="0"/>
        <w:ind w:firstLine="284"/>
        <w:jc w:val="both"/>
        <w:rPr>
          <w:rFonts w:asciiTheme="majorBidi" w:eastAsia="Times New Roman" w:hAnsiTheme="majorBidi" w:cstheme="majorBidi"/>
          <w:sz w:val="20"/>
          <w:szCs w:val="20"/>
        </w:rPr>
      </w:pPr>
      <w:r w:rsidRPr="00313D0C">
        <w:rPr>
          <w:rFonts w:asciiTheme="majorBidi" w:eastAsia="Times New Roman" w:hAnsiTheme="majorBidi" w:cstheme="majorBidi"/>
          <w:sz w:val="20"/>
          <w:szCs w:val="20"/>
        </w:rPr>
        <w:t xml:space="preserve">The UV-Vis spectrum of the white </w:t>
      </w:r>
      <w:proofErr w:type="gramStart"/>
      <w:r w:rsidRPr="00313D0C">
        <w:rPr>
          <w:rFonts w:asciiTheme="majorBidi" w:eastAsia="Times New Roman" w:hAnsiTheme="majorBidi" w:cstheme="majorBidi"/>
          <w:sz w:val="20"/>
          <w:szCs w:val="20"/>
        </w:rPr>
        <w:t>Zn(</w:t>
      </w:r>
      <w:proofErr w:type="gramEnd"/>
      <w:r w:rsidRPr="00313D0C">
        <w:rPr>
          <w:rFonts w:asciiTheme="majorBidi" w:eastAsia="Times New Roman" w:hAnsiTheme="majorBidi" w:cstheme="majorBidi"/>
          <w:sz w:val="20"/>
          <w:szCs w:val="20"/>
        </w:rPr>
        <w:t xml:space="preserve">II) complex, </w:t>
      </w:r>
      <w:proofErr w:type="spellStart"/>
      <w:r w:rsidRPr="00313D0C">
        <w:rPr>
          <w:rFonts w:asciiTheme="majorBidi" w:eastAsia="Times New Roman" w:hAnsiTheme="majorBidi" w:cstheme="majorBidi"/>
          <w:sz w:val="20"/>
          <w:szCs w:val="20"/>
        </w:rPr>
        <w:t>ZnL</w:t>
      </w:r>
      <w:proofErr w:type="spellEnd"/>
      <w:r w:rsidRPr="00313D0C">
        <w:rPr>
          <w:rFonts w:asciiTheme="majorBidi" w:eastAsia="Times New Roman" w:hAnsiTheme="majorBidi" w:cstheme="majorBidi"/>
          <w:sz w:val="20"/>
          <w:szCs w:val="20"/>
        </w:rPr>
        <w:t>, indicates that it has a d10 electronic configuration [17, 18] and does not show any d-d transitions. The observed bands are attributed to internal ligand charge transfer [13, 14]. Conductivity studies of these synthesized compounds in DMF solvent at room temperature revealed that they are non-ionic. Based on spectroscopy methods and data analysis, a tetrahedral structure can be proposed for these compounds [19].</w:t>
      </w:r>
    </w:p>
    <w:p w14:paraId="0A6BD00A" w14:textId="77777777" w:rsidR="00E66E90" w:rsidRPr="00313D0C" w:rsidRDefault="00E66E90" w:rsidP="005C6C7C">
      <w:pPr>
        <w:pStyle w:val="NoSpacing"/>
        <w:bidi w:val="0"/>
        <w:spacing w:before="240" w:after="240"/>
        <w:jc w:val="center"/>
        <w:rPr>
          <w:rFonts w:asciiTheme="majorBidi" w:hAnsiTheme="majorBidi" w:cstheme="majorBidi"/>
          <w:b/>
          <w:bCs/>
          <w:sz w:val="24"/>
          <w:szCs w:val="24"/>
          <w:lang w:bidi="ar-IQ"/>
        </w:rPr>
      </w:pPr>
      <w:r>
        <w:rPr>
          <w:rFonts w:asciiTheme="majorBidi" w:hAnsiTheme="majorBidi" w:cstheme="majorBidi"/>
          <w:b/>
          <w:bCs/>
          <w:sz w:val="24"/>
          <w:szCs w:val="24"/>
          <w:lang w:bidi="ar-IQ"/>
        </w:rPr>
        <w:t>CYTOTOXIC ASSAY</w:t>
      </w:r>
    </w:p>
    <w:p w14:paraId="6518C774" w14:textId="6CC12C8D" w:rsidR="00B13E1B" w:rsidRPr="00313D0C" w:rsidRDefault="00B13E1B" w:rsidP="0026483E">
      <w:pPr>
        <w:pStyle w:val="NoSpacing"/>
        <w:bidi w:val="0"/>
        <w:ind w:firstLine="284"/>
        <w:jc w:val="both"/>
        <w:rPr>
          <w:rFonts w:asciiTheme="majorBidi" w:hAnsiTheme="majorBidi" w:cstheme="majorBidi"/>
          <w:sz w:val="20"/>
          <w:szCs w:val="20"/>
        </w:rPr>
      </w:pPr>
      <w:r w:rsidRPr="00313D0C">
        <w:rPr>
          <w:rFonts w:asciiTheme="majorBidi" w:hAnsiTheme="majorBidi" w:cstheme="majorBidi"/>
          <w:sz w:val="20"/>
          <w:szCs w:val="20"/>
        </w:rPr>
        <w:t xml:space="preserve">Breast cancer has emerged as a significant healthcare concern in recent decades due to its high death rate, substantial treatment costs, and widespread prevalence. </w:t>
      </w:r>
      <w:r w:rsidR="002831D5" w:rsidRPr="00313D0C">
        <w:rPr>
          <w:rFonts w:asciiTheme="majorBidi" w:hAnsiTheme="majorBidi" w:cstheme="majorBidi"/>
          <w:sz w:val="20"/>
          <w:szCs w:val="20"/>
        </w:rPr>
        <w:t>Treatment responses remain inadequate, despite the addition of numerous supplementary medications.</w:t>
      </w:r>
      <w:r w:rsidRPr="00313D0C">
        <w:rPr>
          <w:rFonts w:asciiTheme="majorBidi" w:hAnsiTheme="majorBidi" w:cstheme="majorBidi"/>
          <w:sz w:val="20"/>
          <w:szCs w:val="20"/>
        </w:rPr>
        <w:t xml:space="preserve"> Therefore, the development of more effective anticancer medications is essential. The primary goal of most research teams is to find an effective anticancer medication suitable for treating human cancers [20].</w:t>
      </w:r>
    </w:p>
    <w:p w14:paraId="02A89359" w14:textId="77777777" w:rsidR="00B13E1B" w:rsidRPr="00313D0C" w:rsidRDefault="00B13E1B" w:rsidP="0026483E">
      <w:pPr>
        <w:pStyle w:val="NoSpacing"/>
        <w:bidi w:val="0"/>
        <w:ind w:firstLine="284"/>
        <w:jc w:val="both"/>
        <w:rPr>
          <w:rFonts w:asciiTheme="majorBidi" w:eastAsia="Times New Roman" w:hAnsiTheme="majorBidi" w:cstheme="majorBidi"/>
          <w:sz w:val="20"/>
          <w:szCs w:val="20"/>
        </w:rPr>
      </w:pPr>
      <w:r w:rsidRPr="00313D0C">
        <w:rPr>
          <w:rFonts w:asciiTheme="majorBidi" w:eastAsia="Times New Roman" w:hAnsiTheme="majorBidi" w:cstheme="majorBidi"/>
          <w:sz w:val="20"/>
          <w:szCs w:val="20"/>
        </w:rPr>
        <w:t xml:space="preserve">In this study, the MTT test was utilized to evaluate the cytotoxicity and viability of MDA231 cell lines after 48 hours of exposure to different doses of chemicals (400, 200, 100, 50, and 25 µg/ml) (Table 3). The MTT assay results indicated significant inhibition rates for all ligands and their metal complexes at various dosages when compared to cisplatin, the positive control. A statistical analysis comparing the three ligands to the positive control (cisplatin) </w:t>
      </w:r>
      <w:r w:rsidRPr="00313D0C">
        <w:rPr>
          <w:rFonts w:asciiTheme="majorBidi" w:eastAsia="Times New Roman" w:hAnsiTheme="majorBidi" w:cstheme="majorBidi"/>
          <w:sz w:val="20"/>
          <w:szCs w:val="20"/>
        </w:rPr>
        <w:lastRenderedPageBreak/>
        <w:t>revealed a significant impact. To create dose-response curves, we employed linear regression analysis with a 95% confidence interval [21,22]. These curves demonstrated that inhibition rates decreased as concentrations diminished from high to low, with significant differences (P&lt;0.05) observed across all concentrations when compared to the ligand and positive control related to cisplatin.</w:t>
      </w:r>
    </w:p>
    <w:p w14:paraId="18296785" w14:textId="77777777" w:rsidR="00313D0C" w:rsidRDefault="00B13E1B" w:rsidP="0026483E">
      <w:pPr>
        <w:pStyle w:val="NoSpacing"/>
        <w:bidi w:val="0"/>
        <w:ind w:firstLine="284"/>
        <w:jc w:val="both"/>
        <w:rPr>
          <w:rFonts w:asciiTheme="majorBidi" w:eastAsia="Times New Roman" w:hAnsiTheme="majorBidi" w:cstheme="majorBidi"/>
          <w:sz w:val="20"/>
          <w:szCs w:val="20"/>
        </w:rPr>
      </w:pPr>
      <w:r w:rsidRPr="00313D0C">
        <w:rPr>
          <w:rFonts w:asciiTheme="majorBidi" w:eastAsia="Times New Roman" w:hAnsiTheme="majorBidi" w:cstheme="majorBidi"/>
          <w:sz w:val="20"/>
          <w:szCs w:val="20"/>
        </w:rPr>
        <w:t>The mechanism of action for the generated complexes remains unclear. The results of this investigation suggest that several factors, including metal size, charge distribution, geometric arrangement, bond type, polarity, metal oxidation state, and the arrangement of organic compound substitutions, may influence the pharmacological activity of these complexes.</w:t>
      </w:r>
    </w:p>
    <w:p w14:paraId="55DE0125" w14:textId="77777777" w:rsidR="005F4FD2" w:rsidRDefault="005F4FD2" w:rsidP="005F4FD2">
      <w:pPr>
        <w:pStyle w:val="NoSpacing"/>
        <w:bidi w:val="0"/>
        <w:jc w:val="both"/>
        <w:rPr>
          <w:rFonts w:asciiTheme="majorBidi" w:eastAsia="Times New Roman" w:hAnsiTheme="majorBidi" w:cstheme="majorBidi"/>
          <w:sz w:val="20"/>
          <w:szCs w:val="20"/>
        </w:rPr>
      </w:pPr>
    </w:p>
    <w:p w14:paraId="4836C6CC" w14:textId="03EF3B26" w:rsidR="00964420" w:rsidRPr="0073237B" w:rsidRDefault="00313D0C" w:rsidP="009C055D">
      <w:pPr>
        <w:pStyle w:val="NoSpacing"/>
        <w:bidi w:val="0"/>
        <w:jc w:val="center"/>
        <w:rPr>
          <w:rFonts w:asciiTheme="majorBidi" w:hAnsiTheme="majorBidi" w:cstheme="majorBidi"/>
          <w:b/>
          <w:bCs/>
          <w:sz w:val="18"/>
          <w:szCs w:val="18"/>
        </w:rPr>
      </w:pPr>
      <w:r w:rsidRPr="0073237B">
        <w:rPr>
          <w:rFonts w:asciiTheme="majorBidi" w:hAnsiTheme="majorBidi" w:cstheme="majorBidi"/>
          <w:b/>
          <w:bCs/>
          <w:sz w:val="18"/>
          <w:szCs w:val="18"/>
        </w:rPr>
        <w:t>TABLE</w:t>
      </w:r>
      <w:r w:rsidR="006C382A">
        <w:rPr>
          <w:rFonts w:asciiTheme="majorBidi" w:hAnsiTheme="majorBidi" w:cstheme="majorBidi"/>
          <w:b/>
          <w:bCs/>
          <w:sz w:val="18"/>
          <w:szCs w:val="18"/>
        </w:rPr>
        <w:t xml:space="preserve"> </w:t>
      </w:r>
      <w:r w:rsidRPr="0073237B">
        <w:rPr>
          <w:rFonts w:asciiTheme="majorBidi" w:hAnsiTheme="majorBidi" w:cstheme="majorBidi"/>
          <w:b/>
          <w:bCs/>
          <w:sz w:val="18"/>
          <w:szCs w:val="18"/>
        </w:rPr>
        <w:t xml:space="preserve">3. </w:t>
      </w:r>
      <w:r w:rsidRPr="009C055D">
        <w:rPr>
          <w:rFonts w:asciiTheme="majorBidi" w:hAnsiTheme="majorBidi" w:cstheme="majorBidi"/>
          <w:sz w:val="18"/>
          <w:szCs w:val="18"/>
        </w:rPr>
        <w:t>Effect of C</w:t>
      </w:r>
      <w:r w:rsidR="00A03B73" w:rsidRPr="009C055D">
        <w:rPr>
          <w:rFonts w:asciiTheme="majorBidi" w:hAnsiTheme="majorBidi" w:cstheme="majorBidi"/>
          <w:sz w:val="18"/>
          <w:szCs w:val="18"/>
        </w:rPr>
        <w:t xml:space="preserve">oncentration </w:t>
      </w:r>
      <w:proofErr w:type="gramStart"/>
      <w:r w:rsidR="00A03B73" w:rsidRPr="009C055D">
        <w:rPr>
          <w:rFonts w:asciiTheme="majorBidi" w:hAnsiTheme="majorBidi" w:cstheme="majorBidi"/>
          <w:sz w:val="18"/>
          <w:szCs w:val="18"/>
        </w:rPr>
        <w:t>in</w:t>
      </w:r>
      <w:proofErr w:type="gramEnd"/>
      <w:r w:rsidR="00A03B73" w:rsidRPr="009C055D">
        <w:rPr>
          <w:rFonts w:asciiTheme="majorBidi" w:hAnsiTheme="majorBidi" w:cstheme="majorBidi"/>
          <w:sz w:val="18"/>
          <w:szCs w:val="18"/>
        </w:rPr>
        <w:t xml:space="preserve"> Inhibition </w:t>
      </w:r>
      <w:r w:rsidRPr="009C055D">
        <w:rPr>
          <w:rFonts w:asciiTheme="majorBidi" w:hAnsiTheme="majorBidi" w:cstheme="majorBidi"/>
          <w:sz w:val="18"/>
          <w:szCs w:val="18"/>
        </w:rPr>
        <w:t>R</w:t>
      </w:r>
      <w:r w:rsidR="00A03B73" w:rsidRPr="009C055D">
        <w:rPr>
          <w:rFonts w:asciiTheme="majorBidi" w:hAnsiTheme="majorBidi" w:cstheme="majorBidi"/>
          <w:sz w:val="18"/>
          <w:szCs w:val="18"/>
        </w:rPr>
        <w:t>ate</w:t>
      </w:r>
    </w:p>
    <w:tbl>
      <w:tblPr>
        <w:tblStyle w:val="PlainTable2"/>
        <w:tblW w:w="8730" w:type="dxa"/>
        <w:tblInd w:w="180" w:type="dxa"/>
        <w:tblLook w:val="0620" w:firstRow="1" w:lastRow="0" w:firstColumn="0" w:lastColumn="0" w:noHBand="1" w:noVBand="1"/>
      </w:tblPr>
      <w:tblGrid>
        <w:gridCol w:w="990"/>
        <w:gridCol w:w="1710"/>
        <w:gridCol w:w="1890"/>
        <w:gridCol w:w="1710"/>
        <w:gridCol w:w="1623"/>
        <w:gridCol w:w="807"/>
      </w:tblGrid>
      <w:tr w:rsidR="00313D0C" w:rsidRPr="0073237B" w14:paraId="50C85B47" w14:textId="77777777" w:rsidTr="009838E9">
        <w:trPr>
          <w:cnfStyle w:val="100000000000" w:firstRow="1" w:lastRow="0" w:firstColumn="0" w:lastColumn="0" w:oddVBand="0" w:evenVBand="0" w:oddHBand="0" w:evenHBand="0" w:firstRowFirstColumn="0" w:firstRowLastColumn="0" w:lastRowFirstColumn="0" w:lastRowLastColumn="0"/>
        </w:trPr>
        <w:tc>
          <w:tcPr>
            <w:tcW w:w="990" w:type="dxa"/>
          </w:tcPr>
          <w:p w14:paraId="78755B5E"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 xml:space="preserve">Conc. </w:t>
            </w:r>
          </w:p>
        </w:tc>
        <w:tc>
          <w:tcPr>
            <w:tcW w:w="1710" w:type="dxa"/>
          </w:tcPr>
          <w:p w14:paraId="493F2E7E"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Cis pt</w:t>
            </w:r>
          </w:p>
        </w:tc>
        <w:tc>
          <w:tcPr>
            <w:tcW w:w="1890" w:type="dxa"/>
          </w:tcPr>
          <w:p w14:paraId="17E76FAB"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L</w:t>
            </w:r>
          </w:p>
        </w:tc>
        <w:tc>
          <w:tcPr>
            <w:tcW w:w="1710" w:type="dxa"/>
          </w:tcPr>
          <w:p w14:paraId="24B3A912" w14:textId="77777777" w:rsidR="00A03B73" w:rsidRPr="0073237B" w:rsidRDefault="00A03B73" w:rsidP="00313D0C">
            <w:pPr>
              <w:pStyle w:val="NoSpacing"/>
              <w:bidi w:val="0"/>
              <w:jc w:val="both"/>
              <w:rPr>
                <w:rFonts w:asciiTheme="majorBidi" w:hAnsiTheme="majorBidi" w:cstheme="majorBidi"/>
                <w:sz w:val="18"/>
                <w:szCs w:val="18"/>
                <w:lang w:bidi="ar-IQ"/>
              </w:rPr>
            </w:pPr>
            <w:proofErr w:type="spellStart"/>
            <w:r w:rsidRPr="0073237B">
              <w:rPr>
                <w:rFonts w:asciiTheme="majorBidi" w:hAnsiTheme="majorBidi" w:cstheme="majorBidi"/>
                <w:sz w:val="18"/>
                <w:szCs w:val="18"/>
                <w:lang w:bidi="ar-IQ"/>
              </w:rPr>
              <w:t>CoL</w:t>
            </w:r>
            <w:proofErr w:type="spellEnd"/>
          </w:p>
        </w:tc>
        <w:tc>
          <w:tcPr>
            <w:tcW w:w="1623" w:type="dxa"/>
          </w:tcPr>
          <w:p w14:paraId="1B69E8FD" w14:textId="77777777" w:rsidR="00A03B73" w:rsidRPr="0073237B" w:rsidRDefault="00A03B73" w:rsidP="00313D0C">
            <w:pPr>
              <w:pStyle w:val="NoSpacing"/>
              <w:bidi w:val="0"/>
              <w:jc w:val="both"/>
              <w:rPr>
                <w:rFonts w:asciiTheme="majorBidi" w:hAnsiTheme="majorBidi" w:cstheme="majorBidi"/>
                <w:sz w:val="18"/>
                <w:szCs w:val="18"/>
                <w:lang w:bidi="ar-IQ"/>
              </w:rPr>
            </w:pPr>
            <w:proofErr w:type="spellStart"/>
            <w:r w:rsidRPr="0073237B">
              <w:rPr>
                <w:rFonts w:asciiTheme="majorBidi" w:hAnsiTheme="majorBidi" w:cstheme="majorBidi"/>
                <w:sz w:val="18"/>
                <w:szCs w:val="18"/>
                <w:lang w:bidi="ar-IQ"/>
              </w:rPr>
              <w:t>ZnL</w:t>
            </w:r>
            <w:proofErr w:type="spellEnd"/>
          </w:p>
        </w:tc>
        <w:tc>
          <w:tcPr>
            <w:tcW w:w="807" w:type="dxa"/>
          </w:tcPr>
          <w:p w14:paraId="491BF665"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LSD value</w:t>
            </w:r>
          </w:p>
        </w:tc>
      </w:tr>
      <w:tr w:rsidR="00313D0C" w:rsidRPr="0073237B" w14:paraId="48EC53CB" w14:textId="77777777" w:rsidTr="009838E9">
        <w:tc>
          <w:tcPr>
            <w:tcW w:w="990" w:type="dxa"/>
          </w:tcPr>
          <w:p w14:paraId="3162A3C9"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400</w:t>
            </w:r>
          </w:p>
        </w:tc>
        <w:tc>
          <w:tcPr>
            <w:tcW w:w="1710" w:type="dxa"/>
          </w:tcPr>
          <w:p w14:paraId="30322C90"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 xml:space="preserve">73.78 ± 5.78 a    </w:t>
            </w:r>
            <w:proofErr w:type="spellStart"/>
            <w:r w:rsidRPr="0073237B">
              <w:rPr>
                <w:rFonts w:asciiTheme="majorBidi" w:hAnsiTheme="majorBidi" w:cstheme="majorBidi"/>
                <w:sz w:val="18"/>
                <w:szCs w:val="18"/>
                <w:lang w:bidi="ar-IQ"/>
              </w:rPr>
              <w:t>A</w:t>
            </w:r>
            <w:proofErr w:type="spellEnd"/>
          </w:p>
        </w:tc>
        <w:tc>
          <w:tcPr>
            <w:tcW w:w="1890" w:type="dxa"/>
          </w:tcPr>
          <w:p w14:paraId="0FE4624A" w14:textId="77777777" w:rsidR="00A03B73" w:rsidRPr="0073237B" w:rsidRDefault="00A03B73" w:rsidP="00852AA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60.00 ± 2.85 a    B</w:t>
            </w:r>
          </w:p>
        </w:tc>
        <w:tc>
          <w:tcPr>
            <w:tcW w:w="1710" w:type="dxa"/>
          </w:tcPr>
          <w:p w14:paraId="479B596B"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 xml:space="preserve">79.99 ± 4.52 a    </w:t>
            </w:r>
            <w:proofErr w:type="spellStart"/>
            <w:r w:rsidRPr="0073237B">
              <w:rPr>
                <w:rFonts w:asciiTheme="majorBidi" w:hAnsiTheme="majorBidi" w:cstheme="majorBidi"/>
                <w:sz w:val="18"/>
                <w:szCs w:val="18"/>
                <w:lang w:bidi="ar-IQ"/>
              </w:rPr>
              <w:t>A</w:t>
            </w:r>
            <w:proofErr w:type="spellEnd"/>
          </w:p>
        </w:tc>
        <w:tc>
          <w:tcPr>
            <w:tcW w:w="1623" w:type="dxa"/>
          </w:tcPr>
          <w:p w14:paraId="2DC241FA" w14:textId="77777777" w:rsidR="00A03B73" w:rsidRPr="0073237B" w:rsidRDefault="00A03B73" w:rsidP="00852AA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75.66 ± 5.16</w:t>
            </w:r>
            <w:r w:rsidR="00852AAC">
              <w:rPr>
                <w:rFonts w:asciiTheme="majorBidi" w:hAnsiTheme="majorBidi" w:cstheme="majorBidi"/>
                <w:sz w:val="18"/>
                <w:szCs w:val="18"/>
                <w:lang w:bidi="ar-IQ"/>
              </w:rPr>
              <w:t xml:space="preserve"> </w:t>
            </w:r>
            <w:r w:rsidRPr="0073237B">
              <w:rPr>
                <w:rFonts w:asciiTheme="majorBidi" w:hAnsiTheme="majorBidi" w:cstheme="majorBidi"/>
                <w:sz w:val="18"/>
                <w:szCs w:val="18"/>
                <w:lang w:bidi="ar-IQ"/>
              </w:rPr>
              <w:t xml:space="preserve">a    </w:t>
            </w:r>
            <w:proofErr w:type="spellStart"/>
            <w:r w:rsidRPr="0073237B">
              <w:rPr>
                <w:rFonts w:asciiTheme="majorBidi" w:hAnsiTheme="majorBidi" w:cstheme="majorBidi"/>
                <w:sz w:val="18"/>
                <w:szCs w:val="18"/>
                <w:lang w:bidi="ar-IQ"/>
              </w:rPr>
              <w:t>A</w:t>
            </w:r>
            <w:proofErr w:type="spellEnd"/>
          </w:p>
        </w:tc>
        <w:tc>
          <w:tcPr>
            <w:tcW w:w="807" w:type="dxa"/>
          </w:tcPr>
          <w:p w14:paraId="1069E113"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12.08 *</w:t>
            </w:r>
          </w:p>
        </w:tc>
      </w:tr>
      <w:tr w:rsidR="00313D0C" w:rsidRPr="0073237B" w14:paraId="3AFA05AD" w14:textId="77777777" w:rsidTr="009838E9">
        <w:tc>
          <w:tcPr>
            <w:tcW w:w="990" w:type="dxa"/>
          </w:tcPr>
          <w:p w14:paraId="2D576DEF"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200</w:t>
            </w:r>
          </w:p>
        </w:tc>
        <w:tc>
          <w:tcPr>
            <w:tcW w:w="1710" w:type="dxa"/>
          </w:tcPr>
          <w:p w14:paraId="0E2145D7"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61.91 ± 11.07 ab    A</w:t>
            </w:r>
          </w:p>
        </w:tc>
        <w:tc>
          <w:tcPr>
            <w:tcW w:w="1890" w:type="dxa"/>
          </w:tcPr>
          <w:p w14:paraId="2D80FEAE" w14:textId="77777777" w:rsidR="00A03B73" w:rsidRPr="0073237B" w:rsidRDefault="00A03B73" w:rsidP="00852AA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 xml:space="preserve">56.00 ± </w:t>
            </w:r>
            <w:proofErr w:type="gramStart"/>
            <w:r w:rsidRPr="0073237B">
              <w:rPr>
                <w:rFonts w:asciiTheme="majorBidi" w:hAnsiTheme="majorBidi" w:cstheme="majorBidi"/>
                <w:sz w:val="18"/>
                <w:szCs w:val="18"/>
                <w:lang w:bidi="ar-IQ"/>
              </w:rPr>
              <w:t xml:space="preserve">3.36 </w:t>
            </w:r>
            <w:r w:rsidR="00852AAC">
              <w:rPr>
                <w:rFonts w:asciiTheme="majorBidi" w:hAnsiTheme="majorBidi" w:cstheme="majorBidi"/>
                <w:sz w:val="18"/>
                <w:szCs w:val="18"/>
                <w:lang w:bidi="ar-IQ"/>
              </w:rPr>
              <w:t xml:space="preserve"> </w:t>
            </w:r>
            <w:r w:rsidRPr="0073237B">
              <w:rPr>
                <w:rFonts w:asciiTheme="majorBidi" w:hAnsiTheme="majorBidi" w:cstheme="majorBidi"/>
                <w:sz w:val="18"/>
                <w:szCs w:val="18"/>
                <w:lang w:bidi="ar-IQ"/>
              </w:rPr>
              <w:t>ab</w:t>
            </w:r>
            <w:proofErr w:type="gramEnd"/>
            <w:r w:rsidRPr="0073237B">
              <w:rPr>
                <w:rFonts w:asciiTheme="majorBidi" w:hAnsiTheme="majorBidi" w:cstheme="majorBidi"/>
                <w:sz w:val="18"/>
                <w:szCs w:val="18"/>
                <w:lang w:bidi="ar-IQ"/>
              </w:rPr>
              <w:t xml:space="preserve">    A</w:t>
            </w:r>
          </w:p>
        </w:tc>
        <w:tc>
          <w:tcPr>
            <w:tcW w:w="1710" w:type="dxa"/>
          </w:tcPr>
          <w:p w14:paraId="48B72E2E"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67.25 ± 4.70 b    A</w:t>
            </w:r>
          </w:p>
        </w:tc>
        <w:tc>
          <w:tcPr>
            <w:tcW w:w="1623" w:type="dxa"/>
          </w:tcPr>
          <w:p w14:paraId="367373CD" w14:textId="77777777" w:rsidR="00A03B73" w:rsidRPr="0073237B" w:rsidRDefault="00A03B73" w:rsidP="00852AA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64.01 ± 3.52 b    A</w:t>
            </w:r>
          </w:p>
        </w:tc>
        <w:tc>
          <w:tcPr>
            <w:tcW w:w="807" w:type="dxa"/>
          </w:tcPr>
          <w:p w14:paraId="062E5831"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9.461 NS</w:t>
            </w:r>
          </w:p>
        </w:tc>
      </w:tr>
      <w:tr w:rsidR="00313D0C" w:rsidRPr="0073237B" w14:paraId="3BEAF8C5" w14:textId="77777777" w:rsidTr="009838E9">
        <w:tc>
          <w:tcPr>
            <w:tcW w:w="990" w:type="dxa"/>
          </w:tcPr>
          <w:p w14:paraId="24B88854"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100</w:t>
            </w:r>
          </w:p>
        </w:tc>
        <w:tc>
          <w:tcPr>
            <w:tcW w:w="1710" w:type="dxa"/>
          </w:tcPr>
          <w:p w14:paraId="5652C71F"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 xml:space="preserve">51.00 ± 9.03 </w:t>
            </w:r>
            <w:proofErr w:type="spellStart"/>
            <w:r w:rsidRPr="0073237B">
              <w:rPr>
                <w:rFonts w:asciiTheme="majorBidi" w:hAnsiTheme="majorBidi" w:cstheme="majorBidi"/>
                <w:sz w:val="18"/>
                <w:szCs w:val="18"/>
                <w:lang w:bidi="ar-IQ"/>
              </w:rPr>
              <w:t>bc</w:t>
            </w:r>
            <w:proofErr w:type="spellEnd"/>
            <w:r w:rsidRPr="0073237B">
              <w:rPr>
                <w:rFonts w:asciiTheme="majorBidi" w:hAnsiTheme="majorBidi" w:cstheme="majorBidi"/>
                <w:sz w:val="18"/>
                <w:szCs w:val="18"/>
                <w:lang w:bidi="ar-IQ"/>
              </w:rPr>
              <w:t xml:space="preserve">    A</w:t>
            </w:r>
          </w:p>
        </w:tc>
        <w:tc>
          <w:tcPr>
            <w:tcW w:w="1890" w:type="dxa"/>
          </w:tcPr>
          <w:p w14:paraId="40ADCA7A" w14:textId="77777777" w:rsidR="00A03B73" w:rsidRPr="0073237B" w:rsidRDefault="00A03B73" w:rsidP="00852AA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50.78 ± 4.76 ab    A</w:t>
            </w:r>
          </w:p>
        </w:tc>
        <w:tc>
          <w:tcPr>
            <w:tcW w:w="1710" w:type="dxa"/>
          </w:tcPr>
          <w:p w14:paraId="663D7878"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46.99 ± 2.69 c    A</w:t>
            </w:r>
          </w:p>
        </w:tc>
        <w:tc>
          <w:tcPr>
            <w:tcW w:w="1623" w:type="dxa"/>
          </w:tcPr>
          <w:p w14:paraId="5F437EBD" w14:textId="77777777" w:rsidR="00A03B73" w:rsidRPr="0073237B" w:rsidRDefault="00A03B73" w:rsidP="00852AA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47.99 ± 5.47 c    A</w:t>
            </w:r>
          </w:p>
        </w:tc>
        <w:tc>
          <w:tcPr>
            <w:tcW w:w="807" w:type="dxa"/>
          </w:tcPr>
          <w:p w14:paraId="3B620F1F"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8.397 NS</w:t>
            </w:r>
          </w:p>
        </w:tc>
      </w:tr>
      <w:tr w:rsidR="00313D0C" w:rsidRPr="0073237B" w14:paraId="145F2DB3" w14:textId="77777777" w:rsidTr="009838E9">
        <w:tc>
          <w:tcPr>
            <w:tcW w:w="990" w:type="dxa"/>
          </w:tcPr>
          <w:p w14:paraId="4056759C"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50</w:t>
            </w:r>
          </w:p>
        </w:tc>
        <w:tc>
          <w:tcPr>
            <w:tcW w:w="1710" w:type="dxa"/>
          </w:tcPr>
          <w:p w14:paraId="4FEAA58E"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44.09 ± 8.44 cd    A</w:t>
            </w:r>
          </w:p>
        </w:tc>
        <w:tc>
          <w:tcPr>
            <w:tcW w:w="1890" w:type="dxa"/>
          </w:tcPr>
          <w:p w14:paraId="77DE2827" w14:textId="77777777" w:rsidR="00A03B73" w:rsidRPr="0073237B" w:rsidRDefault="00A03B73" w:rsidP="00852AA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47.90 ± 7.92 b    A</w:t>
            </w:r>
          </w:p>
        </w:tc>
        <w:tc>
          <w:tcPr>
            <w:tcW w:w="1710" w:type="dxa"/>
          </w:tcPr>
          <w:p w14:paraId="20B74BC4"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30.47 ± 4.75 d    B</w:t>
            </w:r>
          </w:p>
        </w:tc>
        <w:tc>
          <w:tcPr>
            <w:tcW w:w="1623" w:type="dxa"/>
          </w:tcPr>
          <w:p w14:paraId="32E271C0" w14:textId="77777777" w:rsidR="00A03B73" w:rsidRPr="0073237B" w:rsidRDefault="00A03B73" w:rsidP="00852AA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38.33 ± 4.03 d    B</w:t>
            </w:r>
          </w:p>
        </w:tc>
        <w:tc>
          <w:tcPr>
            <w:tcW w:w="807" w:type="dxa"/>
          </w:tcPr>
          <w:p w14:paraId="34329A88"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8.941 *</w:t>
            </w:r>
          </w:p>
        </w:tc>
      </w:tr>
      <w:tr w:rsidR="00313D0C" w:rsidRPr="0073237B" w14:paraId="5D93621C" w14:textId="77777777" w:rsidTr="009838E9">
        <w:tc>
          <w:tcPr>
            <w:tcW w:w="990" w:type="dxa"/>
          </w:tcPr>
          <w:p w14:paraId="2268DAC9"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25</w:t>
            </w:r>
          </w:p>
        </w:tc>
        <w:tc>
          <w:tcPr>
            <w:tcW w:w="1710" w:type="dxa"/>
          </w:tcPr>
          <w:p w14:paraId="2B9E11AF"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35.00 ± 8.57 d    AB</w:t>
            </w:r>
          </w:p>
        </w:tc>
        <w:tc>
          <w:tcPr>
            <w:tcW w:w="1890" w:type="dxa"/>
          </w:tcPr>
          <w:p w14:paraId="6A19370C" w14:textId="77777777" w:rsidR="00A03B73" w:rsidRPr="0073237B" w:rsidRDefault="00A03B73" w:rsidP="00852AA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36.13 ± 5.84 c    A</w:t>
            </w:r>
          </w:p>
        </w:tc>
        <w:tc>
          <w:tcPr>
            <w:tcW w:w="1710" w:type="dxa"/>
          </w:tcPr>
          <w:p w14:paraId="6461A458"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23.87 ± 2.73 d    C</w:t>
            </w:r>
          </w:p>
        </w:tc>
        <w:tc>
          <w:tcPr>
            <w:tcW w:w="1623" w:type="dxa"/>
          </w:tcPr>
          <w:p w14:paraId="10EAADC5" w14:textId="77777777" w:rsidR="00A03B73" w:rsidRPr="0073237B" w:rsidRDefault="00A03B73" w:rsidP="00852AA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25.98 ± 3.06 e    BC</w:t>
            </w:r>
          </w:p>
        </w:tc>
        <w:tc>
          <w:tcPr>
            <w:tcW w:w="807" w:type="dxa"/>
          </w:tcPr>
          <w:p w14:paraId="16192454"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8.026 *</w:t>
            </w:r>
          </w:p>
        </w:tc>
      </w:tr>
      <w:tr w:rsidR="00313D0C" w:rsidRPr="0073237B" w14:paraId="4E666C03" w14:textId="77777777" w:rsidTr="009838E9">
        <w:tc>
          <w:tcPr>
            <w:tcW w:w="990" w:type="dxa"/>
          </w:tcPr>
          <w:p w14:paraId="7A27C3D4"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LSD value</w:t>
            </w:r>
          </w:p>
        </w:tc>
        <w:tc>
          <w:tcPr>
            <w:tcW w:w="1710" w:type="dxa"/>
          </w:tcPr>
          <w:p w14:paraId="62909F4A"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15.913 *</w:t>
            </w:r>
          </w:p>
        </w:tc>
        <w:tc>
          <w:tcPr>
            <w:tcW w:w="1890" w:type="dxa"/>
          </w:tcPr>
          <w:p w14:paraId="613BBCB6"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9.595 *</w:t>
            </w:r>
          </w:p>
        </w:tc>
        <w:tc>
          <w:tcPr>
            <w:tcW w:w="1710" w:type="dxa"/>
          </w:tcPr>
          <w:p w14:paraId="4BC3825C"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7.275 *</w:t>
            </w:r>
          </w:p>
        </w:tc>
        <w:tc>
          <w:tcPr>
            <w:tcW w:w="1623" w:type="dxa"/>
          </w:tcPr>
          <w:p w14:paraId="266CE102"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7.922 *</w:t>
            </w:r>
          </w:p>
        </w:tc>
        <w:tc>
          <w:tcPr>
            <w:tcW w:w="807" w:type="dxa"/>
          </w:tcPr>
          <w:p w14:paraId="3A00DE8C" w14:textId="77777777" w:rsidR="00A03B73" w:rsidRPr="0073237B" w:rsidRDefault="00A03B73" w:rsidP="00313D0C">
            <w:pPr>
              <w:pStyle w:val="NoSpacing"/>
              <w:bidi w:val="0"/>
              <w:jc w:val="both"/>
              <w:rPr>
                <w:rFonts w:asciiTheme="majorBidi" w:hAnsiTheme="majorBidi" w:cstheme="majorBidi"/>
                <w:sz w:val="18"/>
                <w:szCs w:val="18"/>
                <w:lang w:bidi="ar-IQ"/>
              </w:rPr>
            </w:pPr>
            <w:r w:rsidRPr="0073237B">
              <w:rPr>
                <w:rFonts w:asciiTheme="majorBidi" w:hAnsiTheme="majorBidi" w:cstheme="majorBidi"/>
                <w:sz w:val="18"/>
                <w:szCs w:val="18"/>
                <w:lang w:bidi="ar-IQ"/>
              </w:rPr>
              <w:t>---</w:t>
            </w:r>
          </w:p>
        </w:tc>
      </w:tr>
      <w:tr w:rsidR="00313D0C" w:rsidRPr="0073237B" w14:paraId="2984F7D9" w14:textId="77777777" w:rsidTr="009838E9">
        <w:tc>
          <w:tcPr>
            <w:tcW w:w="8730" w:type="dxa"/>
            <w:gridSpan w:val="6"/>
          </w:tcPr>
          <w:p w14:paraId="4A4A900C" w14:textId="77777777" w:rsidR="00A03B73" w:rsidRPr="0073237B" w:rsidRDefault="00A03B73" w:rsidP="00313D0C">
            <w:pPr>
              <w:pStyle w:val="NoSpacing"/>
              <w:bidi w:val="0"/>
              <w:jc w:val="both"/>
              <w:rPr>
                <w:rFonts w:asciiTheme="majorBidi" w:hAnsiTheme="majorBidi" w:cstheme="majorBidi"/>
                <w:sz w:val="18"/>
                <w:szCs w:val="18"/>
              </w:rPr>
            </w:pPr>
            <w:r w:rsidRPr="0073237B">
              <w:rPr>
                <w:rFonts w:asciiTheme="majorBidi" w:hAnsiTheme="majorBidi" w:cstheme="majorBidi"/>
                <w:sz w:val="18"/>
                <w:szCs w:val="18"/>
              </w:rPr>
              <w:t xml:space="preserve">Means having with </w:t>
            </w:r>
            <w:proofErr w:type="gramStart"/>
            <w:r w:rsidRPr="0073237B">
              <w:rPr>
                <w:rFonts w:asciiTheme="majorBidi" w:hAnsiTheme="majorBidi" w:cstheme="majorBidi"/>
                <w:sz w:val="18"/>
                <w:szCs w:val="18"/>
              </w:rPr>
              <w:t>the different</w:t>
            </w:r>
            <w:proofErr w:type="gramEnd"/>
            <w:r w:rsidRPr="0073237B">
              <w:rPr>
                <w:rFonts w:asciiTheme="majorBidi" w:hAnsiTheme="majorBidi" w:cstheme="majorBidi"/>
                <w:sz w:val="18"/>
                <w:szCs w:val="18"/>
              </w:rPr>
              <w:t xml:space="preserve"> small letters in same column and big letters in row differed </w:t>
            </w:r>
            <w:proofErr w:type="gramStart"/>
            <w:r w:rsidRPr="0073237B">
              <w:rPr>
                <w:rFonts w:asciiTheme="majorBidi" w:hAnsiTheme="majorBidi" w:cstheme="majorBidi"/>
                <w:sz w:val="18"/>
                <w:szCs w:val="18"/>
              </w:rPr>
              <w:t>significantly</w:t>
            </w:r>
            <w:r w:rsidRPr="0073237B">
              <w:rPr>
                <w:rFonts w:asciiTheme="majorBidi" w:hAnsiTheme="majorBidi" w:cstheme="majorBidi"/>
                <w:sz w:val="18"/>
                <w:szCs w:val="18"/>
                <w:lang w:bidi="ar-IQ"/>
              </w:rPr>
              <w:t xml:space="preserve"> ,</w:t>
            </w:r>
            <w:proofErr w:type="gramEnd"/>
            <w:r w:rsidRPr="0073237B">
              <w:rPr>
                <w:rFonts w:asciiTheme="majorBidi" w:hAnsiTheme="majorBidi" w:cstheme="majorBidi"/>
                <w:sz w:val="18"/>
                <w:szCs w:val="18"/>
                <w:lang w:bidi="ar-IQ"/>
              </w:rPr>
              <w:t xml:space="preserve"> * (P&lt;0.05).</w:t>
            </w:r>
          </w:p>
        </w:tc>
      </w:tr>
    </w:tbl>
    <w:p w14:paraId="6D25115A" w14:textId="77777777" w:rsidR="002B5375" w:rsidRDefault="002B5375" w:rsidP="002B5375">
      <w:pPr>
        <w:pStyle w:val="NoSpacing"/>
        <w:bidi w:val="0"/>
        <w:jc w:val="center"/>
        <w:rPr>
          <w:rFonts w:asciiTheme="majorBidi" w:hAnsiTheme="majorBidi" w:cstheme="majorBidi"/>
          <w:b/>
          <w:bCs/>
          <w:sz w:val="24"/>
          <w:szCs w:val="24"/>
        </w:rPr>
      </w:pPr>
    </w:p>
    <w:p w14:paraId="42179B83" w14:textId="77777777" w:rsidR="00E66E90" w:rsidRPr="00313D0C" w:rsidRDefault="002B5375" w:rsidP="009838E9">
      <w:pPr>
        <w:pStyle w:val="NoSpacing"/>
        <w:bidi w:val="0"/>
        <w:spacing w:before="240" w:after="240"/>
        <w:jc w:val="center"/>
        <w:rPr>
          <w:rFonts w:asciiTheme="majorBidi" w:hAnsiTheme="majorBidi" w:cstheme="majorBidi"/>
          <w:b/>
          <w:bCs/>
          <w:sz w:val="24"/>
          <w:szCs w:val="24"/>
        </w:rPr>
      </w:pPr>
      <w:r>
        <w:rPr>
          <w:rFonts w:asciiTheme="majorBidi" w:hAnsiTheme="majorBidi" w:cstheme="majorBidi"/>
          <w:b/>
          <w:bCs/>
          <w:sz w:val="24"/>
          <w:szCs w:val="24"/>
        </w:rPr>
        <w:t>CON</w:t>
      </w:r>
      <w:r w:rsidR="00E66E90">
        <w:rPr>
          <w:rFonts w:asciiTheme="majorBidi" w:hAnsiTheme="majorBidi" w:cstheme="majorBidi"/>
          <w:b/>
          <w:bCs/>
          <w:sz w:val="24"/>
          <w:szCs w:val="24"/>
        </w:rPr>
        <w:t xml:space="preserve">CLUSION </w:t>
      </w:r>
    </w:p>
    <w:p w14:paraId="1EB5C722" w14:textId="0602F3DD" w:rsidR="001D0243" w:rsidRPr="00313D0C" w:rsidRDefault="00313D0C" w:rsidP="0026483E">
      <w:pPr>
        <w:pStyle w:val="NoSpacing"/>
        <w:bidi w:val="0"/>
        <w:ind w:firstLine="284"/>
        <w:jc w:val="both"/>
        <w:rPr>
          <w:rFonts w:asciiTheme="majorBidi" w:hAnsiTheme="majorBidi" w:cstheme="majorBidi"/>
          <w:sz w:val="20"/>
          <w:szCs w:val="20"/>
        </w:rPr>
      </w:pPr>
      <w:r>
        <w:rPr>
          <w:rFonts w:asciiTheme="majorBidi" w:hAnsiTheme="majorBidi" w:cstheme="majorBidi"/>
          <w:sz w:val="20"/>
          <w:szCs w:val="20"/>
        </w:rPr>
        <w:t xml:space="preserve"> </w:t>
      </w:r>
      <w:r w:rsidR="002831D5" w:rsidRPr="00313D0C">
        <w:rPr>
          <w:rFonts w:asciiTheme="majorBidi" w:hAnsiTheme="majorBidi" w:cstheme="majorBidi"/>
          <w:sz w:val="20"/>
          <w:szCs w:val="20"/>
        </w:rPr>
        <w:t>We created and characterized Nap complexes. The non-electrolytic nature of these complexes was demonstrated by their molar conductance in DMF solvent. The nap employs the carboxylate group to function as a bidentate ligand.</w:t>
      </w:r>
      <w:r w:rsidR="002831D5" w:rsidRPr="00313D0C">
        <w:rPr>
          <w:rFonts w:asciiTheme="majorBidi" w:hAnsiTheme="majorBidi" w:cstheme="majorBidi"/>
          <w:sz w:val="20"/>
          <w:szCs w:val="20"/>
          <w:rtl/>
        </w:rPr>
        <w:t xml:space="preserve"> </w:t>
      </w:r>
      <w:r w:rsidR="002831D5" w:rsidRPr="00313D0C">
        <w:rPr>
          <w:rFonts w:asciiTheme="majorBidi" w:hAnsiTheme="majorBidi" w:cstheme="majorBidi"/>
          <w:sz w:val="20"/>
          <w:szCs w:val="20"/>
        </w:rPr>
        <w:t xml:space="preserve">Predicted geometries include octahedral for the Co (II) complex, tetrahedral for the Zn (II) complex, and a monomer structure for all complexes. Furthermore, </w:t>
      </w:r>
      <w:proofErr w:type="gramStart"/>
      <w:r w:rsidR="002831D5" w:rsidRPr="00313D0C">
        <w:rPr>
          <w:rFonts w:asciiTheme="majorBidi" w:hAnsiTheme="majorBidi" w:cstheme="majorBidi"/>
          <w:sz w:val="20"/>
          <w:szCs w:val="20"/>
        </w:rPr>
        <w:t>The</w:t>
      </w:r>
      <w:proofErr w:type="gramEnd"/>
      <w:r w:rsidR="002831D5" w:rsidRPr="00313D0C">
        <w:rPr>
          <w:rFonts w:asciiTheme="majorBidi" w:hAnsiTheme="majorBidi" w:cstheme="majorBidi"/>
          <w:sz w:val="20"/>
          <w:szCs w:val="20"/>
        </w:rPr>
        <w:t xml:space="preserve"> complexes demonstrated high selectivity between malignant and healthy cell lines. The complexes also displayed significant cytotoxicity with a synergistic effect, despite both the drug and the complexes showing cytotoxic action on cancer cells. These findings suggest that the naproxen-containing complexes may represent a promising candidate for future in vivo anticancer application research.</w:t>
      </w:r>
    </w:p>
    <w:p w14:paraId="62FB800D" w14:textId="411A60C6" w:rsidR="002C3425" w:rsidRDefault="00BE171B" w:rsidP="009838E9">
      <w:pPr>
        <w:pStyle w:val="NoSpacing"/>
        <w:bidi w:val="0"/>
        <w:spacing w:before="240" w:after="240"/>
        <w:jc w:val="center"/>
        <w:rPr>
          <w:rFonts w:asciiTheme="majorBidi" w:hAnsiTheme="majorBidi" w:cstheme="majorBidi"/>
          <w:b/>
          <w:bCs/>
          <w:sz w:val="24"/>
          <w:szCs w:val="24"/>
        </w:rPr>
      </w:pPr>
      <w:r w:rsidRPr="00313D0C">
        <w:rPr>
          <w:rFonts w:asciiTheme="majorBidi" w:hAnsiTheme="majorBidi" w:cstheme="majorBidi"/>
          <w:b/>
          <w:bCs/>
          <w:sz w:val="24"/>
          <w:szCs w:val="24"/>
        </w:rPr>
        <w:t>R</w:t>
      </w:r>
      <w:r w:rsidR="00964420">
        <w:rPr>
          <w:rFonts w:asciiTheme="majorBidi" w:hAnsiTheme="majorBidi" w:cstheme="majorBidi"/>
          <w:b/>
          <w:bCs/>
          <w:sz w:val="24"/>
          <w:szCs w:val="24"/>
        </w:rPr>
        <w:t>EFERENCE</w:t>
      </w:r>
      <w:r w:rsidR="0026483E">
        <w:rPr>
          <w:rFonts w:asciiTheme="majorBidi" w:hAnsiTheme="majorBidi" w:cstheme="majorBidi"/>
          <w:b/>
          <w:bCs/>
          <w:sz w:val="24"/>
          <w:szCs w:val="24"/>
        </w:rPr>
        <w:t>S</w:t>
      </w:r>
    </w:p>
    <w:p w14:paraId="656C56D3" w14:textId="77777777" w:rsidR="00F000DA" w:rsidRPr="009838E9" w:rsidRDefault="00F000DA" w:rsidP="003763CC">
      <w:pPr>
        <w:numPr>
          <w:ilvl w:val="0"/>
          <w:numId w:val="8"/>
        </w:numPr>
        <w:spacing w:after="0"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M. S. Hasan, R. </w:t>
      </w:r>
      <w:proofErr w:type="spellStart"/>
      <w:r w:rsidRPr="009838E9">
        <w:rPr>
          <w:rFonts w:asciiTheme="majorBidi" w:eastAsia="Times New Roman" w:hAnsiTheme="majorBidi" w:cstheme="majorBidi"/>
          <w:sz w:val="18"/>
          <w:szCs w:val="18"/>
        </w:rPr>
        <w:t>Kayesh</w:t>
      </w:r>
      <w:proofErr w:type="spellEnd"/>
      <w:r w:rsidRPr="009838E9">
        <w:rPr>
          <w:rFonts w:asciiTheme="majorBidi" w:eastAsia="Times New Roman" w:hAnsiTheme="majorBidi" w:cstheme="majorBidi"/>
          <w:sz w:val="18"/>
          <w:szCs w:val="18"/>
        </w:rPr>
        <w:t xml:space="preserve">, F. Begum, and S. M. Rahman, "Transition metal complexes of naproxen: synthesis, characterization, forced degradation studies, and analytical method verification," J. Anal. Methods Chem. 2016, 3560695 (2016). </w:t>
      </w:r>
      <w:hyperlink r:id="rId7" w:tgtFrame="_blank" w:history="1">
        <w:r w:rsidRPr="009838E9">
          <w:rPr>
            <w:rFonts w:asciiTheme="majorBidi" w:eastAsia="Times New Roman" w:hAnsiTheme="majorBidi" w:cstheme="majorBidi"/>
            <w:sz w:val="18"/>
            <w:szCs w:val="18"/>
          </w:rPr>
          <w:t>https://doi.org/10.1155/2016/3560695</w:t>
        </w:r>
      </w:hyperlink>
    </w:p>
    <w:p w14:paraId="084BD045"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Z. Mirzaei-Kalar, A. A. Khandar, J. M. White, H. </w:t>
      </w:r>
      <w:proofErr w:type="spellStart"/>
      <w:r w:rsidRPr="009838E9">
        <w:rPr>
          <w:rFonts w:asciiTheme="majorBidi" w:eastAsia="Times New Roman" w:hAnsiTheme="majorBidi" w:cstheme="majorBidi"/>
          <w:sz w:val="18"/>
          <w:szCs w:val="18"/>
        </w:rPr>
        <w:t>Abolhasani</w:t>
      </w:r>
      <w:proofErr w:type="spellEnd"/>
      <w:r w:rsidRPr="009838E9">
        <w:rPr>
          <w:rFonts w:asciiTheme="majorBidi" w:eastAsia="Times New Roman" w:hAnsiTheme="majorBidi" w:cstheme="majorBidi"/>
          <w:sz w:val="18"/>
          <w:szCs w:val="18"/>
        </w:rPr>
        <w:t xml:space="preserve">, T. K. </w:t>
      </w:r>
      <w:proofErr w:type="spellStart"/>
      <w:r w:rsidRPr="009838E9">
        <w:rPr>
          <w:rFonts w:asciiTheme="majorBidi" w:eastAsia="Times New Roman" w:hAnsiTheme="majorBidi" w:cstheme="majorBidi"/>
          <w:sz w:val="18"/>
          <w:szCs w:val="18"/>
        </w:rPr>
        <w:t>Movahhed</w:t>
      </w:r>
      <w:proofErr w:type="spellEnd"/>
      <w:r w:rsidRPr="009838E9">
        <w:rPr>
          <w:rFonts w:asciiTheme="majorBidi" w:eastAsia="Times New Roman" w:hAnsiTheme="majorBidi" w:cstheme="majorBidi"/>
          <w:sz w:val="18"/>
          <w:szCs w:val="18"/>
        </w:rPr>
        <w:t xml:space="preserve">, S. P. Best, and A. </w:t>
      </w:r>
      <w:proofErr w:type="spellStart"/>
      <w:r w:rsidRPr="009838E9">
        <w:rPr>
          <w:rFonts w:asciiTheme="majorBidi" w:eastAsia="Times New Roman" w:hAnsiTheme="majorBidi" w:cstheme="majorBidi"/>
          <w:sz w:val="18"/>
          <w:szCs w:val="18"/>
        </w:rPr>
        <w:t>Jouyban</w:t>
      </w:r>
      <w:proofErr w:type="spellEnd"/>
      <w:r w:rsidRPr="009838E9">
        <w:rPr>
          <w:rFonts w:asciiTheme="majorBidi" w:eastAsia="Times New Roman" w:hAnsiTheme="majorBidi" w:cstheme="majorBidi"/>
          <w:sz w:val="18"/>
          <w:szCs w:val="18"/>
        </w:rPr>
        <w:t xml:space="preserve">, "Investigation of biological activity of nickel (II) complex with naproxen and 1,10-phenanthroline ligands," J. </w:t>
      </w:r>
      <w:proofErr w:type="spellStart"/>
      <w:r w:rsidRPr="009838E9">
        <w:rPr>
          <w:rFonts w:asciiTheme="majorBidi" w:eastAsia="Times New Roman" w:hAnsiTheme="majorBidi" w:cstheme="majorBidi"/>
          <w:sz w:val="18"/>
          <w:szCs w:val="18"/>
        </w:rPr>
        <w:t>Biomol</w:t>
      </w:r>
      <w:proofErr w:type="spellEnd"/>
      <w:r w:rsidRPr="009838E9">
        <w:rPr>
          <w:rFonts w:asciiTheme="majorBidi" w:eastAsia="Times New Roman" w:hAnsiTheme="majorBidi" w:cstheme="majorBidi"/>
          <w:sz w:val="18"/>
          <w:szCs w:val="18"/>
        </w:rPr>
        <w:t xml:space="preserve">. Struct. Dyn. 39, 6939 (2021). </w:t>
      </w:r>
      <w:hyperlink r:id="rId8" w:tgtFrame="_blank" w:history="1">
        <w:r w:rsidRPr="009838E9">
          <w:rPr>
            <w:rFonts w:asciiTheme="majorBidi" w:eastAsia="Times New Roman" w:hAnsiTheme="majorBidi" w:cstheme="majorBidi"/>
            <w:sz w:val="18"/>
            <w:szCs w:val="18"/>
          </w:rPr>
          <w:t>https://doi.org/10.1080/07391102.2021.1897189</w:t>
        </w:r>
      </w:hyperlink>
    </w:p>
    <w:p w14:paraId="5F81A4F5"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K. Xie, X. Y. Lu, H. Zhu, L. Y. Zhu, R. T. Li, and R. R. Ye, "Iridium (III) complexes conjugated with naproxen exhibit potent anti-tumor activities by inducing mitochondrial damage, modulating inflammation, and enhancing immunity," Dalton Trans. 53, 8772–8780 (2024). </w:t>
      </w:r>
      <w:hyperlink r:id="rId9" w:tgtFrame="_blank" w:history="1">
        <w:r w:rsidRPr="009838E9">
          <w:rPr>
            <w:rFonts w:asciiTheme="majorBidi" w:eastAsia="Times New Roman" w:hAnsiTheme="majorBidi" w:cstheme="majorBidi"/>
            <w:sz w:val="18"/>
            <w:szCs w:val="18"/>
          </w:rPr>
          <w:t>https://doi.org/10.1039/D4DT01073K</w:t>
        </w:r>
      </w:hyperlink>
    </w:p>
    <w:p w14:paraId="0BA22632"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J. Sharma, A. K. Singla, and S. Dhawan, "Zinc–naproxen complex: synthesis, physicochemical and biological evaluation," Int. J. Pharm. 260, 217–227 (2003). </w:t>
      </w:r>
      <w:hyperlink r:id="rId10" w:tgtFrame="_blank" w:history="1">
        <w:r w:rsidRPr="009838E9">
          <w:rPr>
            <w:rFonts w:asciiTheme="majorBidi" w:eastAsia="Times New Roman" w:hAnsiTheme="majorBidi" w:cstheme="majorBidi"/>
            <w:sz w:val="18"/>
            <w:szCs w:val="18"/>
          </w:rPr>
          <w:t>https://doi.org/10.1016/S0378-5173(03)00251-5</w:t>
        </w:r>
      </w:hyperlink>
    </w:p>
    <w:p w14:paraId="66A001D0"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N. </w:t>
      </w:r>
      <w:proofErr w:type="spellStart"/>
      <w:r w:rsidRPr="009838E9">
        <w:rPr>
          <w:rFonts w:asciiTheme="majorBidi" w:eastAsia="Times New Roman" w:hAnsiTheme="majorBidi" w:cstheme="majorBidi"/>
          <w:sz w:val="18"/>
          <w:szCs w:val="18"/>
        </w:rPr>
        <w:t>Nedeljković</w:t>
      </w:r>
      <w:proofErr w:type="spellEnd"/>
      <w:r w:rsidRPr="009838E9">
        <w:rPr>
          <w:rFonts w:asciiTheme="majorBidi" w:eastAsia="Times New Roman" w:hAnsiTheme="majorBidi" w:cstheme="majorBidi"/>
          <w:sz w:val="18"/>
          <w:szCs w:val="18"/>
        </w:rPr>
        <w:t xml:space="preserve">, et al., "Synthesis and investigation of anti-inflammatory activity of new thiourea derivatives of naproxen," Pharmaceutics 16, 666 (2023). </w:t>
      </w:r>
      <w:hyperlink r:id="rId11" w:tgtFrame="_blank" w:history="1">
        <w:r w:rsidRPr="009838E9">
          <w:rPr>
            <w:rFonts w:asciiTheme="majorBidi" w:eastAsia="Times New Roman" w:hAnsiTheme="majorBidi" w:cstheme="majorBidi"/>
            <w:sz w:val="18"/>
            <w:szCs w:val="18"/>
          </w:rPr>
          <w:t>https://doi.org/10.3390/ph16050666</w:t>
        </w:r>
      </w:hyperlink>
    </w:p>
    <w:p w14:paraId="23726480"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H. Y. Khan, S. Parveen, I. Yousuf, S. Tabassum, and F. Arjmand, "Metal complexes of NSAIDs as potent anti-tumor chemotherapeutics," Coord. Chem. Rev. 453, 214316 (2022). </w:t>
      </w:r>
      <w:hyperlink r:id="rId12" w:tgtFrame="_blank" w:history="1">
        <w:r w:rsidRPr="009838E9">
          <w:rPr>
            <w:rFonts w:asciiTheme="majorBidi" w:eastAsia="Times New Roman" w:hAnsiTheme="majorBidi" w:cstheme="majorBidi"/>
            <w:sz w:val="18"/>
            <w:szCs w:val="18"/>
          </w:rPr>
          <w:t>https://doi.org/10.1016/j.ccr.2021.214316</w:t>
        </w:r>
      </w:hyperlink>
    </w:p>
    <w:p w14:paraId="76865777"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R. Sohail, et al., "Effects of non-steroidal anti-inflammatory drugs (NSAIDs) and gastroprotective NSAIDs on the gastrointestinal tract: a narrative review," </w:t>
      </w:r>
      <w:proofErr w:type="spellStart"/>
      <w:r w:rsidRPr="009838E9">
        <w:rPr>
          <w:rFonts w:asciiTheme="majorBidi" w:eastAsia="Times New Roman" w:hAnsiTheme="majorBidi" w:cstheme="majorBidi"/>
          <w:sz w:val="18"/>
          <w:szCs w:val="18"/>
        </w:rPr>
        <w:t>Cureus</w:t>
      </w:r>
      <w:proofErr w:type="spellEnd"/>
      <w:r w:rsidRPr="009838E9">
        <w:rPr>
          <w:rFonts w:asciiTheme="majorBidi" w:eastAsia="Times New Roman" w:hAnsiTheme="majorBidi" w:cstheme="majorBidi"/>
          <w:sz w:val="18"/>
          <w:szCs w:val="18"/>
        </w:rPr>
        <w:t xml:space="preserve"> 15, e37080 (2023). </w:t>
      </w:r>
      <w:hyperlink r:id="rId13" w:tgtFrame="_blank" w:history="1">
        <w:r w:rsidRPr="009838E9">
          <w:rPr>
            <w:rFonts w:asciiTheme="majorBidi" w:eastAsia="Times New Roman" w:hAnsiTheme="majorBidi" w:cstheme="majorBidi"/>
            <w:sz w:val="18"/>
            <w:szCs w:val="18"/>
          </w:rPr>
          <w:t>https://doi.org/10.7759/cureus.37080</w:t>
        </w:r>
      </w:hyperlink>
    </w:p>
    <w:p w14:paraId="1AD66FB0"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M. S. Hasan and N. Das, "A detailed in vitro study of naproxen metal complexes in quest of new therapeutic possibilities," Alexandria J. Med. 53, 157–165 (2017). </w:t>
      </w:r>
      <w:hyperlink r:id="rId14" w:tgtFrame="_blank" w:history="1">
        <w:r w:rsidRPr="009838E9">
          <w:rPr>
            <w:rFonts w:asciiTheme="majorBidi" w:eastAsia="Times New Roman" w:hAnsiTheme="majorBidi" w:cstheme="majorBidi"/>
            <w:sz w:val="18"/>
            <w:szCs w:val="18"/>
          </w:rPr>
          <w:t>https://doi.org/10.1016/j.ajme.2016.06.003</w:t>
        </w:r>
      </w:hyperlink>
    </w:p>
    <w:p w14:paraId="2F87655E"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C. N. Banti, A. A. </w:t>
      </w:r>
      <w:proofErr w:type="spellStart"/>
      <w:r w:rsidRPr="009838E9">
        <w:rPr>
          <w:rFonts w:asciiTheme="majorBidi" w:eastAsia="Times New Roman" w:hAnsiTheme="majorBidi" w:cstheme="majorBidi"/>
          <w:sz w:val="18"/>
          <w:szCs w:val="18"/>
        </w:rPr>
        <w:t>Piperoudi</w:t>
      </w:r>
      <w:proofErr w:type="spellEnd"/>
      <w:r w:rsidRPr="009838E9">
        <w:rPr>
          <w:rFonts w:asciiTheme="majorBidi" w:eastAsia="Times New Roman" w:hAnsiTheme="majorBidi" w:cstheme="majorBidi"/>
          <w:sz w:val="18"/>
          <w:szCs w:val="18"/>
        </w:rPr>
        <w:t xml:space="preserve">, C. P. </w:t>
      </w:r>
      <w:proofErr w:type="spellStart"/>
      <w:r w:rsidRPr="009838E9">
        <w:rPr>
          <w:rFonts w:asciiTheme="majorBidi" w:eastAsia="Times New Roman" w:hAnsiTheme="majorBidi" w:cstheme="majorBidi"/>
          <w:sz w:val="18"/>
          <w:szCs w:val="18"/>
        </w:rPr>
        <w:t>Raptopoulou</w:t>
      </w:r>
      <w:proofErr w:type="spellEnd"/>
      <w:r w:rsidRPr="009838E9">
        <w:rPr>
          <w:rFonts w:asciiTheme="majorBidi" w:eastAsia="Times New Roman" w:hAnsiTheme="majorBidi" w:cstheme="majorBidi"/>
          <w:sz w:val="18"/>
          <w:szCs w:val="18"/>
        </w:rPr>
        <w:t xml:space="preserve">, V. </w:t>
      </w:r>
      <w:proofErr w:type="spellStart"/>
      <w:r w:rsidRPr="009838E9">
        <w:rPr>
          <w:rFonts w:asciiTheme="majorBidi" w:eastAsia="Times New Roman" w:hAnsiTheme="majorBidi" w:cstheme="majorBidi"/>
          <w:sz w:val="18"/>
          <w:szCs w:val="18"/>
        </w:rPr>
        <w:t>Psycharis</w:t>
      </w:r>
      <w:proofErr w:type="spellEnd"/>
      <w:r w:rsidRPr="009838E9">
        <w:rPr>
          <w:rFonts w:asciiTheme="majorBidi" w:eastAsia="Times New Roman" w:hAnsiTheme="majorBidi" w:cstheme="majorBidi"/>
          <w:sz w:val="18"/>
          <w:szCs w:val="18"/>
        </w:rPr>
        <w:t xml:space="preserve">, C. M. </w:t>
      </w:r>
      <w:proofErr w:type="spellStart"/>
      <w:r w:rsidRPr="009838E9">
        <w:rPr>
          <w:rFonts w:asciiTheme="majorBidi" w:eastAsia="Times New Roman" w:hAnsiTheme="majorBidi" w:cstheme="majorBidi"/>
          <w:sz w:val="18"/>
          <w:szCs w:val="18"/>
        </w:rPr>
        <w:t>Athanassopoulos</w:t>
      </w:r>
      <w:proofErr w:type="spellEnd"/>
      <w:r w:rsidRPr="009838E9">
        <w:rPr>
          <w:rFonts w:asciiTheme="majorBidi" w:eastAsia="Times New Roman" w:hAnsiTheme="majorBidi" w:cstheme="majorBidi"/>
          <w:sz w:val="18"/>
          <w:szCs w:val="18"/>
        </w:rPr>
        <w:t>, and S. K. Hadjikakou, "</w:t>
      </w:r>
      <w:proofErr w:type="spellStart"/>
      <w:r w:rsidRPr="009838E9">
        <w:rPr>
          <w:rFonts w:asciiTheme="majorBidi" w:eastAsia="Times New Roman" w:hAnsiTheme="majorBidi" w:cstheme="majorBidi"/>
          <w:sz w:val="18"/>
          <w:szCs w:val="18"/>
        </w:rPr>
        <w:t>Mitochondriotropic</w:t>
      </w:r>
      <w:proofErr w:type="spellEnd"/>
      <w:r w:rsidRPr="009838E9">
        <w:rPr>
          <w:rFonts w:asciiTheme="majorBidi" w:eastAsia="Times New Roman" w:hAnsiTheme="majorBidi" w:cstheme="majorBidi"/>
          <w:sz w:val="18"/>
          <w:szCs w:val="18"/>
        </w:rPr>
        <w:t xml:space="preserve"> agents conjugated with NSAIDs through metal ions against breast cancer cells," J. </w:t>
      </w:r>
      <w:proofErr w:type="spellStart"/>
      <w:r w:rsidRPr="009838E9">
        <w:rPr>
          <w:rFonts w:asciiTheme="majorBidi" w:eastAsia="Times New Roman" w:hAnsiTheme="majorBidi" w:cstheme="majorBidi"/>
          <w:sz w:val="18"/>
          <w:szCs w:val="18"/>
        </w:rPr>
        <w:t>Inorg</w:t>
      </w:r>
      <w:proofErr w:type="spellEnd"/>
      <w:r w:rsidRPr="009838E9">
        <w:rPr>
          <w:rFonts w:asciiTheme="majorBidi" w:eastAsia="Times New Roman" w:hAnsiTheme="majorBidi" w:cstheme="majorBidi"/>
          <w:sz w:val="18"/>
          <w:szCs w:val="18"/>
        </w:rPr>
        <w:t xml:space="preserve">. </w:t>
      </w:r>
      <w:proofErr w:type="spellStart"/>
      <w:r w:rsidRPr="009838E9">
        <w:rPr>
          <w:rFonts w:asciiTheme="majorBidi" w:eastAsia="Times New Roman" w:hAnsiTheme="majorBidi" w:cstheme="majorBidi"/>
          <w:sz w:val="18"/>
          <w:szCs w:val="18"/>
        </w:rPr>
        <w:t>Biochem</w:t>
      </w:r>
      <w:proofErr w:type="spellEnd"/>
      <w:r w:rsidRPr="009838E9">
        <w:rPr>
          <w:rFonts w:asciiTheme="majorBidi" w:eastAsia="Times New Roman" w:hAnsiTheme="majorBidi" w:cstheme="majorBidi"/>
          <w:sz w:val="18"/>
          <w:szCs w:val="18"/>
        </w:rPr>
        <w:t xml:space="preserve">. 250, 112420 (2024). </w:t>
      </w:r>
      <w:hyperlink r:id="rId15" w:tgtFrame="_blank" w:history="1">
        <w:r w:rsidRPr="009838E9">
          <w:rPr>
            <w:rFonts w:asciiTheme="majorBidi" w:eastAsia="Times New Roman" w:hAnsiTheme="majorBidi" w:cstheme="majorBidi"/>
            <w:sz w:val="18"/>
            <w:szCs w:val="18"/>
          </w:rPr>
          <w:t>https://doi.org/10.1016/j.jinorgbio.2024.112420</w:t>
        </w:r>
      </w:hyperlink>
    </w:p>
    <w:p w14:paraId="784883FD"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lastRenderedPageBreak/>
        <w:t xml:space="preserve">S. M. El-Megharbel, R. Z. Hamza, and M. S. Refat, "Synthesis, chemical identification, antioxidant capacities and immunological evaluation studies of a novel silver(I) </w:t>
      </w:r>
      <w:proofErr w:type="spellStart"/>
      <w:r w:rsidRPr="009838E9">
        <w:rPr>
          <w:rFonts w:asciiTheme="majorBidi" w:eastAsia="Times New Roman" w:hAnsiTheme="majorBidi" w:cstheme="majorBidi"/>
          <w:sz w:val="18"/>
          <w:szCs w:val="18"/>
        </w:rPr>
        <w:t>carbocysteine</w:t>
      </w:r>
      <w:proofErr w:type="spellEnd"/>
      <w:r w:rsidRPr="009838E9">
        <w:rPr>
          <w:rFonts w:asciiTheme="majorBidi" w:eastAsia="Times New Roman" w:hAnsiTheme="majorBidi" w:cstheme="majorBidi"/>
          <w:sz w:val="18"/>
          <w:szCs w:val="18"/>
        </w:rPr>
        <w:t xml:space="preserve"> complex," Chem. Biol. Interact. 220, 169–180 (2014). </w:t>
      </w:r>
      <w:hyperlink r:id="rId16" w:tgtFrame="_blank" w:history="1">
        <w:r w:rsidRPr="009838E9">
          <w:rPr>
            <w:rFonts w:asciiTheme="majorBidi" w:eastAsia="Times New Roman" w:hAnsiTheme="majorBidi" w:cstheme="majorBidi"/>
            <w:sz w:val="18"/>
            <w:szCs w:val="18"/>
          </w:rPr>
          <w:t>https://doi.org/10.1016/j.cbi.2014.06.024</w:t>
        </w:r>
      </w:hyperlink>
    </w:p>
    <w:p w14:paraId="10FC6DA2"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S. Yaqub, I.-U. Haq, S. Ali, B. Mirza, F. Ahmed, and S. Shahzadi, "Interaction of Naproxen with transition metals," J. Coord. Chem. 62, 3463–3470 (2009). </w:t>
      </w:r>
      <w:hyperlink r:id="rId17" w:tgtFrame="_blank" w:history="1">
        <w:r w:rsidRPr="009838E9">
          <w:rPr>
            <w:rFonts w:asciiTheme="majorBidi" w:eastAsia="Times New Roman" w:hAnsiTheme="majorBidi" w:cstheme="majorBidi"/>
            <w:sz w:val="18"/>
            <w:szCs w:val="18"/>
          </w:rPr>
          <w:t>https://doi.org/10.1080/00958970903100408</w:t>
        </w:r>
      </w:hyperlink>
    </w:p>
    <w:p w14:paraId="3F06A8E8"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P. Kumari, N. Agrawal, and S. Mujwar, "Pyrazole paradigms: unveiling synthetic pathways and unraveling anti-cancer potential," Med. Chem. 20, 799–817 (2024). </w:t>
      </w:r>
      <w:hyperlink r:id="rId18" w:tgtFrame="_blank" w:history="1">
        <w:r w:rsidRPr="009838E9">
          <w:rPr>
            <w:rFonts w:asciiTheme="majorBidi" w:eastAsia="Times New Roman" w:hAnsiTheme="majorBidi" w:cstheme="majorBidi"/>
            <w:sz w:val="18"/>
            <w:szCs w:val="18"/>
          </w:rPr>
          <w:t>https://doi.org/10.2174/1573406419666231231102444</w:t>
        </w:r>
      </w:hyperlink>
    </w:p>
    <w:p w14:paraId="7D8AA9F0"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S. K. Rastogi, V. C. Ciliberto, M. Z. Trevino, B. A. Campbell, and W. J. Brittain, "Green approach toward triazole forming reactions for developing anticancer drugs," Curr. Org. Synth. 21, 380–420 (2024). </w:t>
      </w:r>
      <w:hyperlink r:id="rId19" w:tgtFrame="_blank" w:history="1">
        <w:r w:rsidRPr="009838E9">
          <w:rPr>
            <w:rFonts w:asciiTheme="majorBidi" w:eastAsia="Times New Roman" w:hAnsiTheme="majorBidi" w:cstheme="majorBidi"/>
            <w:sz w:val="18"/>
            <w:szCs w:val="18"/>
          </w:rPr>
          <w:t>https://doi.org/10.2174/1570179419666230517142040</w:t>
        </w:r>
      </w:hyperlink>
    </w:p>
    <w:p w14:paraId="4BA65E56"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K. Nakamoto, Infrared and Raman Spectra of Inorganic and Coordination Compounds, 6th ed. (Wiley, New York, 2009). </w:t>
      </w:r>
      <w:hyperlink r:id="rId20" w:tgtFrame="_blank" w:history="1">
        <w:r w:rsidRPr="009838E9">
          <w:rPr>
            <w:rFonts w:asciiTheme="majorBidi" w:eastAsia="Times New Roman" w:hAnsiTheme="majorBidi" w:cstheme="majorBidi"/>
            <w:sz w:val="18"/>
            <w:szCs w:val="18"/>
          </w:rPr>
          <w:t>https://doi.org/10.1002/9780470405840</w:t>
        </w:r>
      </w:hyperlink>
    </w:p>
    <w:p w14:paraId="487DF6B6"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Q.-Q. Xiao, D. Liu, Y.-L. Wei, and G.-H. Cui, "Two new ternary </w:t>
      </w:r>
      <w:proofErr w:type="gramStart"/>
      <w:r w:rsidRPr="009838E9">
        <w:rPr>
          <w:rFonts w:asciiTheme="majorBidi" w:eastAsia="Times New Roman" w:hAnsiTheme="majorBidi" w:cstheme="majorBidi"/>
          <w:sz w:val="18"/>
          <w:szCs w:val="18"/>
        </w:rPr>
        <w:t>Mn(</w:t>
      </w:r>
      <w:proofErr w:type="gramEnd"/>
      <w:r w:rsidRPr="009838E9">
        <w:rPr>
          <w:rFonts w:asciiTheme="majorBidi" w:eastAsia="Times New Roman" w:hAnsiTheme="majorBidi" w:cstheme="majorBidi"/>
          <w:sz w:val="18"/>
          <w:szCs w:val="18"/>
        </w:rPr>
        <w:t xml:space="preserve">II) coordination polymers," J. Solid State Chem. 273, 67–74 (2019). </w:t>
      </w:r>
      <w:hyperlink r:id="rId21" w:tgtFrame="_blank" w:history="1">
        <w:r w:rsidRPr="009838E9">
          <w:rPr>
            <w:rFonts w:asciiTheme="majorBidi" w:eastAsia="Times New Roman" w:hAnsiTheme="majorBidi" w:cstheme="majorBidi"/>
            <w:sz w:val="18"/>
            <w:szCs w:val="18"/>
          </w:rPr>
          <w:t>https://doi.org/10.1016/j.jssc.2019.02.027</w:t>
        </w:r>
      </w:hyperlink>
    </w:p>
    <w:p w14:paraId="236E8C6B"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G. B. Deacon and R. J. Phillips, "Relationships between </w:t>
      </w:r>
      <w:proofErr w:type="spellStart"/>
      <w:r w:rsidRPr="009838E9">
        <w:rPr>
          <w:rFonts w:asciiTheme="majorBidi" w:eastAsia="Times New Roman" w:hAnsiTheme="majorBidi" w:cstheme="majorBidi"/>
          <w:sz w:val="18"/>
          <w:szCs w:val="18"/>
        </w:rPr>
        <w:t>carboxylato</w:t>
      </w:r>
      <w:proofErr w:type="spellEnd"/>
      <w:r w:rsidRPr="009838E9">
        <w:rPr>
          <w:rFonts w:asciiTheme="majorBidi" w:eastAsia="Times New Roman" w:hAnsiTheme="majorBidi" w:cstheme="majorBidi"/>
          <w:sz w:val="18"/>
          <w:szCs w:val="18"/>
        </w:rPr>
        <w:t xml:space="preserve"> complexes and IR stretching frequencies," Coord. Chem. Rev. 33, 227–250 (1980). </w:t>
      </w:r>
      <w:hyperlink r:id="rId22" w:tgtFrame="_blank" w:history="1">
        <w:r w:rsidRPr="009838E9">
          <w:rPr>
            <w:rFonts w:asciiTheme="majorBidi" w:eastAsia="Times New Roman" w:hAnsiTheme="majorBidi" w:cstheme="majorBidi"/>
            <w:sz w:val="18"/>
            <w:szCs w:val="18"/>
          </w:rPr>
          <w:t>https://doi.org/10.1016/S0010-8545(00)80455-5</w:t>
        </w:r>
      </w:hyperlink>
    </w:p>
    <w:p w14:paraId="630DB8B7"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A. Abebe, et al., "Mono and binuclear </w:t>
      </w:r>
      <w:proofErr w:type="gramStart"/>
      <w:r w:rsidRPr="009838E9">
        <w:rPr>
          <w:rFonts w:asciiTheme="majorBidi" w:eastAsia="Times New Roman" w:hAnsiTheme="majorBidi" w:cstheme="majorBidi"/>
          <w:sz w:val="18"/>
          <w:szCs w:val="18"/>
        </w:rPr>
        <w:t>cobalt(</w:t>
      </w:r>
      <w:proofErr w:type="gramEnd"/>
      <w:r w:rsidRPr="009838E9">
        <w:rPr>
          <w:rFonts w:asciiTheme="majorBidi" w:eastAsia="Times New Roman" w:hAnsiTheme="majorBidi" w:cstheme="majorBidi"/>
          <w:sz w:val="18"/>
          <w:szCs w:val="18"/>
        </w:rPr>
        <w:t xml:space="preserve">II) mixed ligand complexes," Future J. Pharm. Sci. 6, 1–9 (2020). </w:t>
      </w:r>
      <w:hyperlink r:id="rId23" w:tgtFrame="_blank" w:history="1">
        <w:r w:rsidRPr="009838E9">
          <w:rPr>
            <w:rFonts w:asciiTheme="majorBidi" w:eastAsia="Times New Roman" w:hAnsiTheme="majorBidi" w:cstheme="majorBidi"/>
            <w:sz w:val="18"/>
            <w:szCs w:val="18"/>
          </w:rPr>
          <w:t>https://doi.org/10.1186/s43094-020-00030-4</w:t>
        </w:r>
      </w:hyperlink>
    </w:p>
    <w:p w14:paraId="20742823"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F. S. Jaafar and M. F. Alias, "Chemistry of </w:t>
      </w:r>
      <w:proofErr w:type="spellStart"/>
      <w:r w:rsidRPr="009838E9">
        <w:rPr>
          <w:rFonts w:asciiTheme="majorBidi" w:eastAsia="Times New Roman" w:hAnsiTheme="majorBidi" w:cstheme="majorBidi"/>
          <w:sz w:val="18"/>
          <w:szCs w:val="18"/>
        </w:rPr>
        <w:t>metalloguanines</w:t>
      </w:r>
      <w:proofErr w:type="spellEnd"/>
      <w:r w:rsidRPr="009838E9">
        <w:rPr>
          <w:rFonts w:asciiTheme="majorBidi" w:eastAsia="Times New Roman" w:hAnsiTheme="majorBidi" w:cstheme="majorBidi"/>
          <w:sz w:val="18"/>
          <w:szCs w:val="18"/>
        </w:rPr>
        <w:t xml:space="preserve">: an overview of their synthesis routes and their implementations for the period 2000–2024," Karbala Int. J. Mod. Sci. 11, 12 (2025). </w:t>
      </w:r>
      <w:hyperlink r:id="rId24" w:tgtFrame="_blank" w:history="1">
        <w:r w:rsidRPr="009838E9">
          <w:rPr>
            <w:rFonts w:asciiTheme="majorBidi" w:eastAsia="Times New Roman" w:hAnsiTheme="majorBidi" w:cstheme="majorBidi"/>
            <w:sz w:val="18"/>
            <w:szCs w:val="18"/>
          </w:rPr>
          <w:t>https://doi.org/10.33640/2405-609X.3392</w:t>
        </w:r>
      </w:hyperlink>
    </w:p>
    <w:p w14:paraId="23349085"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Z. N. Mahmood, M. Alias, E. Yousif, S. Baqer, M. </w:t>
      </w:r>
      <w:proofErr w:type="spellStart"/>
      <w:r w:rsidRPr="009838E9">
        <w:rPr>
          <w:rFonts w:asciiTheme="majorBidi" w:eastAsia="Times New Roman" w:hAnsiTheme="majorBidi" w:cstheme="majorBidi"/>
          <w:sz w:val="18"/>
          <w:szCs w:val="18"/>
        </w:rPr>
        <w:t>Kadhom</w:t>
      </w:r>
      <w:proofErr w:type="spellEnd"/>
      <w:r w:rsidRPr="009838E9">
        <w:rPr>
          <w:rFonts w:asciiTheme="majorBidi" w:eastAsia="Times New Roman" w:hAnsiTheme="majorBidi" w:cstheme="majorBidi"/>
          <w:sz w:val="18"/>
          <w:szCs w:val="18"/>
        </w:rPr>
        <w:t xml:space="preserve">, D. Ahmed, A. Ahmed, A. Husain, M. Yusop, and A. Jawad, "Organo-metallic palladium complexes used for CO₂ storage and environmental remediation," Pollution 9, 693–701 (2023). </w:t>
      </w:r>
      <w:hyperlink r:id="rId25" w:tgtFrame="_blank" w:history="1">
        <w:r w:rsidRPr="009838E9">
          <w:rPr>
            <w:rFonts w:asciiTheme="majorBidi" w:eastAsia="Times New Roman" w:hAnsiTheme="majorBidi" w:cstheme="majorBidi"/>
            <w:sz w:val="18"/>
            <w:szCs w:val="18"/>
          </w:rPr>
          <w:t>https://doi.org/10.22059/POLL.2022.348855.1632I</w:t>
        </w:r>
      </w:hyperlink>
    </w:p>
    <w:p w14:paraId="329914EF"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J. H. </w:t>
      </w:r>
      <w:proofErr w:type="spellStart"/>
      <w:r w:rsidRPr="009838E9">
        <w:rPr>
          <w:rFonts w:asciiTheme="majorBidi" w:eastAsia="Times New Roman" w:hAnsiTheme="majorBidi" w:cstheme="majorBidi"/>
          <w:sz w:val="18"/>
          <w:szCs w:val="18"/>
        </w:rPr>
        <w:t>Abdulameer</w:t>
      </w:r>
      <w:proofErr w:type="spellEnd"/>
      <w:r w:rsidRPr="009838E9">
        <w:rPr>
          <w:rFonts w:asciiTheme="majorBidi" w:eastAsia="Times New Roman" w:hAnsiTheme="majorBidi" w:cstheme="majorBidi"/>
          <w:sz w:val="18"/>
          <w:szCs w:val="18"/>
        </w:rPr>
        <w:t xml:space="preserve"> and M. F. Alias, "Heavy metal complexes of 1,2,3-triazole derivative: synthesis, characterization, and cytotoxicity appraisal against breast cancer cell lines (MDA-MB-231)," Baghdad Sci. J. 19, 35 (2022). </w:t>
      </w:r>
      <w:hyperlink r:id="rId26" w:tgtFrame="_blank" w:history="1">
        <w:r w:rsidRPr="009838E9">
          <w:rPr>
            <w:rFonts w:asciiTheme="majorBidi" w:eastAsia="Times New Roman" w:hAnsiTheme="majorBidi" w:cstheme="majorBidi"/>
            <w:sz w:val="18"/>
            <w:szCs w:val="18"/>
          </w:rPr>
          <w:t>https://doi.org/10.21123/bsj.2022.7178</w:t>
        </w:r>
      </w:hyperlink>
    </w:p>
    <w:p w14:paraId="35C4EDC4" w14:textId="77777777" w:rsidR="00F000DA" w:rsidRPr="009838E9"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I. H. Ibraheem, A. S. Sadiq, M. Al-</w:t>
      </w:r>
      <w:proofErr w:type="spellStart"/>
      <w:r w:rsidRPr="009838E9">
        <w:rPr>
          <w:rFonts w:asciiTheme="majorBidi" w:eastAsia="Times New Roman" w:hAnsiTheme="majorBidi" w:cstheme="majorBidi"/>
          <w:sz w:val="18"/>
          <w:szCs w:val="18"/>
        </w:rPr>
        <w:t>Tameemi</w:t>
      </w:r>
      <w:proofErr w:type="spellEnd"/>
      <w:r w:rsidRPr="009838E9">
        <w:rPr>
          <w:rFonts w:asciiTheme="majorBidi" w:eastAsia="Times New Roman" w:hAnsiTheme="majorBidi" w:cstheme="majorBidi"/>
          <w:sz w:val="18"/>
          <w:szCs w:val="18"/>
        </w:rPr>
        <w:t xml:space="preserve">, and M. F. Alias, "Synthesis, spectral identification, antibacterial evaluation and theoretical study of Co, Fe, Rh and Pd complexes for 2-benzoylthiobenzimidazol," Baghdad Sci. J. 19, 27 (2022). </w:t>
      </w:r>
      <w:hyperlink r:id="rId27" w:tgtFrame="_blank" w:history="1">
        <w:r w:rsidRPr="009838E9">
          <w:rPr>
            <w:rFonts w:asciiTheme="majorBidi" w:eastAsia="Times New Roman" w:hAnsiTheme="majorBidi" w:cstheme="majorBidi"/>
            <w:sz w:val="18"/>
            <w:szCs w:val="18"/>
          </w:rPr>
          <w:t>https://doi.org/10.21123/bsj.2022.6704</w:t>
        </w:r>
      </w:hyperlink>
    </w:p>
    <w:p w14:paraId="4404F27D" w14:textId="5FD4D0A2" w:rsidR="008B0B75" w:rsidRPr="003763CC" w:rsidRDefault="00F000DA" w:rsidP="003763CC">
      <w:pPr>
        <w:numPr>
          <w:ilvl w:val="0"/>
          <w:numId w:val="8"/>
        </w:numPr>
        <w:tabs>
          <w:tab w:val="num" w:pos="426"/>
        </w:tabs>
        <w:spacing w:before="100" w:beforeAutospacing="1" w:after="100" w:afterAutospacing="1" w:line="240" w:lineRule="auto"/>
        <w:ind w:left="180" w:hanging="180"/>
        <w:jc w:val="both"/>
        <w:rPr>
          <w:rFonts w:asciiTheme="majorBidi" w:eastAsia="Times New Roman" w:hAnsiTheme="majorBidi" w:cstheme="majorBidi"/>
          <w:sz w:val="18"/>
          <w:szCs w:val="18"/>
        </w:rPr>
      </w:pPr>
      <w:r w:rsidRPr="009838E9">
        <w:rPr>
          <w:rFonts w:asciiTheme="majorBidi" w:eastAsia="Times New Roman" w:hAnsiTheme="majorBidi" w:cstheme="majorBidi"/>
          <w:sz w:val="18"/>
          <w:szCs w:val="18"/>
        </w:rPr>
        <w:t xml:space="preserve">A. S. Abu-Surrah, et al., "New </w:t>
      </w:r>
      <w:proofErr w:type="gramStart"/>
      <w:r w:rsidRPr="009838E9">
        <w:rPr>
          <w:rFonts w:asciiTheme="majorBidi" w:eastAsia="Times New Roman" w:hAnsiTheme="majorBidi" w:cstheme="majorBidi"/>
          <w:sz w:val="18"/>
          <w:szCs w:val="18"/>
        </w:rPr>
        <w:t>palladium(</w:t>
      </w:r>
      <w:proofErr w:type="gramEnd"/>
      <w:r w:rsidRPr="009838E9">
        <w:rPr>
          <w:rFonts w:asciiTheme="majorBidi" w:eastAsia="Times New Roman" w:hAnsiTheme="majorBidi" w:cstheme="majorBidi"/>
          <w:sz w:val="18"/>
          <w:szCs w:val="18"/>
        </w:rPr>
        <w:t xml:space="preserve">II) complexes bearing pyrazole-based Schiff base ligands," Eur. J. Med. Chem. 45, 471–475 (2010). </w:t>
      </w:r>
      <w:hyperlink r:id="rId28" w:tgtFrame="_blank" w:history="1">
        <w:r w:rsidRPr="009838E9">
          <w:rPr>
            <w:rFonts w:asciiTheme="majorBidi" w:eastAsia="Times New Roman" w:hAnsiTheme="majorBidi" w:cstheme="majorBidi"/>
            <w:sz w:val="18"/>
            <w:szCs w:val="18"/>
          </w:rPr>
          <w:t>https://doi.org/10.1016/j.ejmech.2009.10.029</w:t>
        </w:r>
      </w:hyperlink>
    </w:p>
    <w:sectPr w:rsidR="008B0B75" w:rsidRPr="003763CC" w:rsidSect="00423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CEC"/>
    <w:multiLevelType w:val="hybridMultilevel"/>
    <w:tmpl w:val="258A9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D0831"/>
    <w:multiLevelType w:val="multilevel"/>
    <w:tmpl w:val="F8DE21C4"/>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 w15:restartNumberingAfterBreak="0">
    <w:nsid w:val="13973A47"/>
    <w:multiLevelType w:val="hybridMultilevel"/>
    <w:tmpl w:val="C778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C33DF"/>
    <w:multiLevelType w:val="hybridMultilevel"/>
    <w:tmpl w:val="3A5891A4"/>
    <w:lvl w:ilvl="0" w:tplc="A3BCE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50FB1"/>
    <w:multiLevelType w:val="hybridMultilevel"/>
    <w:tmpl w:val="3500C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B69CC"/>
    <w:multiLevelType w:val="hybridMultilevel"/>
    <w:tmpl w:val="00DC7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4684B"/>
    <w:multiLevelType w:val="hybridMultilevel"/>
    <w:tmpl w:val="9B6AC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FB5CD1"/>
    <w:multiLevelType w:val="hybridMultilevel"/>
    <w:tmpl w:val="3A78980C"/>
    <w:lvl w:ilvl="0" w:tplc="6ECA9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98831">
    <w:abstractNumId w:val="7"/>
  </w:num>
  <w:num w:numId="2" w16cid:durableId="1345521864">
    <w:abstractNumId w:val="3"/>
  </w:num>
  <w:num w:numId="3" w16cid:durableId="1304118656">
    <w:abstractNumId w:val="2"/>
  </w:num>
  <w:num w:numId="4" w16cid:durableId="1366102476">
    <w:abstractNumId w:val="6"/>
  </w:num>
  <w:num w:numId="5" w16cid:durableId="1992903900">
    <w:abstractNumId w:val="5"/>
  </w:num>
  <w:num w:numId="6" w16cid:durableId="302390459">
    <w:abstractNumId w:val="4"/>
  </w:num>
  <w:num w:numId="7" w16cid:durableId="1643578090">
    <w:abstractNumId w:val="0"/>
  </w:num>
  <w:num w:numId="8" w16cid:durableId="2053572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B75"/>
    <w:rsid w:val="00016C46"/>
    <w:rsid w:val="000771DF"/>
    <w:rsid w:val="000E58F7"/>
    <w:rsid w:val="00115CD0"/>
    <w:rsid w:val="00122AEA"/>
    <w:rsid w:val="0017560A"/>
    <w:rsid w:val="00184EA0"/>
    <w:rsid w:val="00196365"/>
    <w:rsid w:val="001A26FB"/>
    <w:rsid w:val="001A58BD"/>
    <w:rsid w:val="001D0243"/>
    <w:rsid w:val="001E03F1"/>
    <w:rsid w:val="00204C48"/>
    <w:rsid w:val="00211C9D"/>
    <w:rsid w:val="002163DC"/>
    <w:rsid w:val="00226257"/>
    <w:rsid w:val="00241E65"/>
    <w:rsid w:val="00262E49"/>
    <w:rsid w:val="0026483E"/>
    <w:rsid w:val="002831D5"/>
    <w:rsid w:val="002867D5"/>
    <w:rsid w:val="002B5375"/>
    <w:rsid w:val="002C07CC"/>
    <w:rsid w:val="002C3425"/>
    <w:rsid w:val="002E5EEA"/>
    <w:rsid w:val="00313D0C"/>
    <w:rsid w:val="00335372"/>
    <w:rsid w:val="003763CC"/>
    <w:rsid w:val="003F0412"/>
    <w:rsid w:val="003F3AED"/>
    <w:rsid w:val="004232FF"/>
    <w:rsid w:val="00426737"/>
    <w:rsid w:val="004373A0"/>
    <w:rsid w:val="00441F8C"/>
    <w:rsid w:val="00446086"/>
    <w:rsid w:val="00454E4F"/>
    <w:rsid w:val="00462691"/>
    <w:rsid w:val="00467F3F"/>
    <w:rsid w:val="00473C0B"/>
    <w:rsid w:val="00481358"/>
    <w:rsid w:val="00496555"/>
    <w:rsid w:val="004E5091"/>
    <w:rsid w:val="005129B0"/>
    <w:rsid w:val="005170A6"/>
    <w:rsid w:val="0052698D"/>
    <w:rsid w:val="00530867"/>
    <w:rsid w:val="005679A9"/>
    <w:rsid w:val="00580E47"/>
    <w:rsid w:val="00583D34"/>
    <w:rsid w:val="0058675E"/>
    <w:rsid w:val="005A14FC"/>
    <w:rsid w:val="005B1ABF"/>
    <w:rsid w:val="005C43D8"/>
    <w:rsid w:val="005C6C7C"/>
    <w:rsid w:val="005F4FD2"/>
    <w:rsid w:val="005F6043"/>
    <w:rsid w:val="00684D84"/>
    <w:rsid w:val="006B16A8"/>
    <w:rsid w:val="006C34C4"/>
    <w:rsid w:val="006C382A"/>
    <w:rsid w:val="006C4C1C"/>
    <w:rsid w:val="006D6936"/>
    <w:rsid w:val="00720FFF"/>
    <w:rsid w:val="0073237B"/>
    <w:rsid w:val="007750A7"/>
    <w:rsid w:val="007D4F06"/>
    <w:rsid w:val="00802DCF"/>
    <w:rsid w:val="008066D0"/>
    <w:rsid w:val="00822D5E"/>
    <w:rsid w:val="00852AAC"/>
    <w:rsid w:val="008B0B75"/>
    <w:rsid w:val="009215B6"/>
    <w:rsid w:val="00935896"/>
    <w:rsid w:val="009358EC"/>
    <w:rsid w:val="00950A52"/>
    <w:rsid w:val="00964420"/>
    <w:rsid w:val="009838E9"/>
    <w:rsid w:val="009C055D"/>
    <w:rsid w:val="009C084C"/>
    <w:rsid w:val="009C4773"/>
    <w:rsid w:val="009D50A2"/>
    <w:rsid w:val="009F0385"/>
    <w:rsid w:val="00A03B73"/>
    <w:rsid w:val="00A20748"/>
    <w:rsid w:val="00A27537"/>
    <w:rsid w:val="00A31CB5"/>
    <w:rsid w:val="00A33FF8"/>
    <w:rsid w:val="00A50B28"/>
    <w:rsid w:val="00A65EC5"/>
    <w:rsid w:val="00A66A28"/>
    <w:rsid w:val="00A764EB"/>
    <w:rsid w:val="00A96A0C"/>
    <w:rsid w:val="00B13E1B"/>
    <w:rsid w:val="00B27E72"/>
    <w:rsid w:val="00B8671C"/>
    <w:rsid w:val="00BC536C"/>
    <w:rsid w:val="00BC717F"/>
    <w:rsid w:val="00BD63E1"/>
    <w:rsid w:val="00BE171B"/>
    <w:rsid w:val="00C04B82"/>
    <w:rsid w:val="00C11BB9"/>
    <w:rsid w:val="00C14FB3"/>
    <w:rsid w:val="00C5415B"/>
    <w:rsid w:val="00CB3731"/>
    <w:rsid w:val="00CC10A0"/>
    <w:rsid w:val="00CF06FF"/>
    <w:rsid w:val="00D01F23"/>
    <w:rsid w:val="00D839D1"/>
    <w:rsid w:val="00DB25DA"/>
    <w:rsid w:val="00E042A2"/>
    <w:rsid w:val="00E30F09"/>
    <w:rsid w:val="00E42D65"/>
    <w:rsid w:val="00E66AAE"/>
    <w:rsid w:val="00E66E90"/>
    <w:rsid w:val="00E86FF6"/>
    <w:rsid w:val="00E92F5B"/>
    <w:rsid w:val="00ED247E"/>
    <w:rsid w:val="00ED4C8E"/>
    <w:rsid w:val="00EE2AA9"/>
    <w:rsid w:val="00EF2FE5"/>
    <w:rsid w:val="00F000DA"/>
    <w:rsid w:val="00F11ABE"/>
    <w:rsid w:val="00F152BF"/>
    <w:rsid w:val="00F25BDD"/>
    <w:rsid w:val="00F50811"/>
    <w:rsid w:val="00F55252"/>
    <w:rsid w:val="00F65279"/>
    <w:rsid w:val="00FB7D91"/>
    <w:rsid w:val="00FF3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D646"/>
  <w15:chartTrackingRefBased/>
  <w15:docId w15:val="{0B69866F-CAD6-4A54-B88C-B4731B7F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7CC"/>
  </w:style>
  <w:style w:type="paragraph" w:styleId="Heading1">
    <w:name w:val="heading 1"/>
    <w:basedOn w:val="Normal"/>
    <w:next w:val="Normal"/>
    <w:link w:val="Heading1Char"/>
    <w:uiPriority w:val="9"/>
    <w:qFormat/>
    <w:rsid w:val="009C47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425"/>
    <w:pPr>
      <w:ind w:left="720"/>
      <w:contextualSpacing/>
    </w:pPr>
  </w:style>
  <w:style w:type="paragraph" w:customStyle="1" w:styleId="Default">
    <w:name w:val="Default"/>
    <w:rsid w:val="006D693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D0243"/>
    <w:pPr>
      <w:bidi/>
      <w:spacing w:after="0" w:line="240" w:lineRule="auto"/>
    </w:pPr>
  </w:style>
  <w:style w:type="table" w:styleId="LightGrid-Accent5">
    <w:name w:val="Light Grid Accent 5"/>
    <w:basedOn w:val="TableNormal"/>
    <w:uiPriority w:val="62"/>
    <w:rsid w:val="001D024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idTable4-Accent5">
    <w:name w:val="Grid Table 4 Accent 5"/>
    <w:basedOn w:val="TableNormal"/>
    <w:uiPriority w:val="49"/>
    <w:rsid w:val="00E86FF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2163DC"/>
    <w:rPr>
      <w:color w:val="0563C1" w:themeColor="hyperlink"/>
      <w:u w:val="single"/>
    </w:rPr>
  </w:style>
  <w:style w:type="paragraph" w:styleId="Header">
    <w:name w:val="header"/>
    <w:basedOn w:val="Normal"/>
    <w:link w:val="HeaderChar"/>
    <w:uiPriority w:val="99"/>
    <w:unhideWhenUsed/>
    <w:rsid w:val="00530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867"/>
  </w:style>
  <w:style w:type="table" w:styleId="LightList-Accent1">
    <w:name w:val="Light List Accent 1"/>
    <w:basedOn w:val="TableNormal"/>
    <w:uiPriority w:val="61"/>
    <w:rsid w:val="0053086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List-Accent11">
    <w:name w:val="Light List - Accent 11"/>
    <w:basedOn w:val="TableNormal"/>
    <w:uiPriority w:val="61"/>
    <w:rsid w:val="0053086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Grid">
    <w:name w:val="Table Grid"/>
    <w:basedOn w:val="TableNormal"/>
    <w:uiPriority w:val="39"/>
    <w:rsid w:val="005F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F60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0E58F7"/>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1A26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ED247E"/>
    <w:rPr>
      <w:b/>
      <w:bCs/>
    </w:rPr>
  </w:style>
  <w:style w:type="character" w:styleId="Emphasis">
    <w:name w:val="Emphasis"/>
    <w:basedOn w:val="DefaultParagraphFont"/>
    <w:uiPriority w:val="20"/>
    <w:qFormat/>
    <w:rsid w:val="00ED247E"/>
    <w:rPr>
      <w:i/>
      <w:iCs/>
    </w:rPr>
  </w:style>
  <w:style w:type="table" w:styleId="PlainTable1">
    <w:name w:val="Plain Table 1"/>
    <w:basedOn w:val="TableNormal"/>
    <w:uiPriority w:val="41"/>
    <w:rsid w:val="00A66A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83D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perTitle">
    <w:name w:val="Paper Title"/>
    <w:basedOn w:val="Normal"/>
    <w:next w:val="AuthorName"/>
    <w:rsid w:val="009C4773"/>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next w:val="AuthorAffiliation"/>
    <w:rsid w:val="009C4773"/>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Normal"/>
    <w:rsid w:val="009C4773"/>
    <w:pPr>
      <w:spacing w:after="0" w:line="240" w:lineRule="auto"/>
      <w:jc w:val="center"/>
    </w:pPr>
    <w:rPr>
      <w:rFonts w:ascii="Times New Roman" w:eastAsia="Times New Roman" w:hAnsi="Times New Roman" w:cs="Times New Roman"/>
      <w:i/>
      <w:sz w:val="20"/>
      <w:szCs w:val="20"/>
    </w:rPr>
  </w:style>
  <w:style w:type="paragraph" w:customStyle="1" w:styleId="Abstract">
    <w:name w:val="Abstract"/>
    <w:basedOn w:val="Normal"/>
    <w:next w:val="Heading1"/>
    <w:rsid w:val="009C4773"/>
    <w:pPr>
      <w:spacing w:before="360" w:after="360" w:line="240" w:lineRule="auto"/>
      <w:ind w:left="289" w:right="289"/>
      <w:jc w:val="both"/>
    </w:pPr>
    <w:rPr>
      <w:rFonts w:ascii="Times New Roman" w:eastAsia="Times New Roman" w:hAnsi="Times New Roman" w:cs="Times New Roman"/>
      <w:sz w:val="18"/>
      <w:szCs w:val="20"/>
    </w:rPr>
  </w:style>
  <w:style w:type="paragraph" w:customStyle="1" w:styleId="AuthorEmail">
    <w:name w:val="Author Email"/>
    <w:basedOn w:val="Normal"/>
    <w:qFormat/>
    <w:rsid w:val="009C4773"/>
    <w:pPr>
      <w:spacing w:after="0" w:line="240" w:lineRule="auto"/>
      <w:jc w:val="center"/>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9C4773"/>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FB7D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8564">
      <w:bodyDiv w:val="1"/>
      <w:marLeft w:val="0"/>
      <w:marRight w:val="0"/>
      <w:marTop w:val="0"/>
      <w:marBottom w:val="0"/>
      <w:divBdr>
        <w:top w:val="none" w:sz="0" w:space="0" w:color="auto"/>
        <w:left w:val="none" w:sz="0" w:space="0" w:color="auto"/>
        <w:bottom w:val="none" w:sz="0" w:space="0" w:color="auto"/>
        <w:right w:val="none" w:sz="0" w:space="0" w:color="auto"/>
      </w:divBdr>
    </w:div>
    <w:div w:id="86193186">
      <w:bodyDiv w:val="1"/>
      <w:marLeft w:val="0"/>
      <w:marRight w:val="0"/>
      <w:marTop w:val="0"/>
      <w:marBottom w:val="0"/>
      <w:divBdr>
        <w:top w:val="none" w:sz="0" w:space="0" w:color="auto"/>
        <w:left w:val="none" w:sz="0" w:space="0" w:color="auto"/>
        <w:bottom w:val="none" w:sz="0" w:space="0" w:color="auto"/>
        <w:right w:val="none" w:sz="0" w:space="0" w:color="auto"/>
      </w:divBdr>
    </w:div>
    <w:div w:id="495536012">
      <w:bodyDiv w:val="1"/>
      <w:marLeft w:val="0"/>
      <w:marRight w:val="0"/>
      <w:marTop w:val="0"/>
      <w:marBottom w:val="0"/>
      <w:divBdr>
        <w:top w:val="none" w:sz="0" w:space="0" w:color="auto"/>
        <w:left w:val="none" w:sz="0" w:space="0" w:color="auto"/>
        <w:bottom w:val="none" w:sz="0" w:space="0" w:color="auto"/>
        <w:right w:val="none" w:sz="0" w:space="0" w:color="auto"/>
      </w:divBdr>
    </w:div>
    <w:div w:id="632172934">
      <w:bodyDiv w:val="1"/>
      <w:marLeft w:val="0"/>
      <w:marRight w:val="0"/>
      <w:marTop w:val="0"/>
      <w:marBottom w:val="0"/>
      <w:divBdr>
        <w:top w:val="none" w:sz="0" w:space="0" w:color="auto"/>
        <w:left w:val="none" w:sz="0" w:space="0" w:color="auto"/>
        <w:bottom w:val="none" w:sz="0" w:space="0" w:color="auto"/>
        <w:right w:val="none" w:sz="0" w:space="0" w:color="auto"/>
      </w:divBdr>
    </w:div>
    <w:div w:id="659386315">
      <w:bodyDiv w:val="1"/>
      <w:marLeft w:val="0"/>
      <w:marRight w:val="0"/>
      <w:marTop w:val="0"/>
      <w:marBottom w:val="0"/>
      <w:divBdr>
        <w:top w:val="none" w:sz="0" w:space="0" w:color="auto"/>
        <w:left w:val="none" w:sz="0" w:space="0" w:color="auto"/>
        <w:bottom w:val="none" w:sz="0" w:space="0" w:color="auto"/>
        <w:right w:val="none" w:sz="0" w:space="0" w:color="auto"/>
      </w:divBdr>
    </w:div>
    <w:div w:id="823744321">
      <w:bodyDiv w:val="1"/>
      <w:marLeft w:val="0"/>
      <w:marRight w:val="0"/>
      <w:marTop w:val="0"/>
      <w:marBottom w:val="0"/>
      <w:divBdr>
        <w:top w:val="none" w:sz="0" w:space="0" w:color="auto"/>
        <w:left w:val="none" w:sz="0" w:space="0" w:color="auto"/>
        <w:bottom w:val="none" w:sz="0" w:space="0" w:color="auto"/>
        <w:right w:val="none" w:sz="0" w:space="0" w:color="auto"/>
      </w:divBdr>
    </w:div>
    <w:div w:id="847907881">
      <w:bodyDiv w:val="1"/>
      <w:marLeft w:val="0"/>
      <w:marRight w:val="0"/>
      <w:marTop w:val="0"/>
      <w:marBottom w:val="0"/>
      <w:divBdr>
        <w:top w:val="none" w:sz="0" w:space="0" w:color="auto"/>
        <w:left w:val="none" w:sz="0" w:space="0" w:color="auto"/>
        <w:bottom w:val="none" w:sz="0" w:space="0" w:color="auto"/>
        <w:right w:val="none" w:sz="0" w:space="0" w:color="auto"/>
      </w:divBdr>
    </w:div>
    <w:div w:id="900796410">
      <w:bodyDiv w:val="1"/>
      <w:marLeft w:val="0"/>
      <w:marRight w:val="0"/>
      <w:marTop w:val="0"/>
      <w:marBottom w:val="0"/>
      <w:divBdr>
        <w:top w:val="none" w:sz="0" w:space="0" w:color="auto"/>
        <w:left w:val="none" w:sz="0" w:space="0" w:color="auto"/>
        <w:bottom w:val="none" w:sz="0" w:space="0" w:color="auto"/>
        <w:right w:val="none" w:sz="0" w:space="0" w:color="auto"/>
      </w:divBdr>
    </w:div>
    <w:div w:id="963585702">
      <w:bodyDiv w:val="1"/>
      <w:marLeft w:val="0"/>
      <w:marRight w:val="0"/>
      <w:marTop w:val="0"/>
      <w:marBottom w:val="0"/>
      <w:divBdr>
        <w:top w:val="none" w:sz="0" w:space="0" w:color="auto"/>
        <w:left w:val="none" w:sz="0" w:space="0" w:color="auto"/>
        <w:bottom w:val="none" w:sz="0" w:space="0" w:color="auto"/>
        <w:right w:val="none" w:sz="0" w:space="0" w:color="auto"/>
      </w:divBdr>
    </w:div>
    <w:div w:id="966659864">
      <w:bodyDiv w:val="1"/>
      <w:marLeft w:val="0"/>
      <w:marRight w:val="0"/>
      <w:marTop w:val="0"/>
      <w:marBottom w:val="0"/>
      <w:divBdr>
        <w:top w:val="none" w:sz="0" w:space="0" w:color="auto"/>
        <w:left w:val="none" w:sz="0" w:space="0" w:color="auto"/>
        <w:bottom w:val="none" w:sz="0" w:space="0" w:color="auto"/>
        <w:right w:val="none" w:sz="0" w:space="0" w:color="auto"/>
      </w:divBdr>
    </w:div>
    <w:div w:id="1004016630">
      <w:bodyDiv w:val="1"/>
      <w:marLeft w:val="0"/>
      <w:marRight w:val="0"/>
      <w:marTop w:val="0"/>
      <w:marBottom w:val="0"/>
      <w:divBdr>
        <w:top w:val="none" w:sz="0" w:space="0" w:color="auto"/>
        <w:left w:val="none" w:sz="0" w:space="0" w:color="auto"/>
        <w:bottom w:val="none" w:sz="0" w:space="0" w:color="auto"/>
        <w:right w:val="none" w:sz="0" w:space="0" w:color="auto"/>
      </w:divBdr>
    </w:div>
    <w:div w:id="1088237323">
      <w:bodyDiv w:val="1"/>
      <w:marLeft w:val="0"/>
      <w:marRight w:val="0"/>
      <w:marTop w:val="0"/>
      <w:marBottom w:val="0"/>
      <w:divBdr>
        <w:top w:val="none" w:sz="0" w:space="0" w:color="auto"/>
        <w:left w:val="none" w:sz="0" w:space="0" w:color="auto"/>
        <w:bottom w:val="none" w:sz="0" w:space="0" w:color="auto"/>
        <w:right w:val="none" w:sz="0" w:space="0" w:color="auto"/>
      </w:divBdr>
    </w:div>
    <w:div w:id="1192691533">
      <w:bodyDiv w:val="1"/>
      <w:marLeft w:val="0"/>
      <w:marRight w:val="0"/>
      <w:marTop w:val="0"/>
      <w:marBottom w:val="0"/>
      <w:divBdr>
        <w:top w:val="none" w:sz="0" w:space="0" w:color="auto"/>
        <w:left w:val="none" w:sz="0" w:space="0" w:color="auto"/>
        <w:bottom w:val="none" w:sz="0" w:space="0" w:color="auto"/>
        <w:right w:val="none" w:sz="0" w:space="0" w:color="auto"/>
      </w:divBdr>
    </w:div>
    <w:div w:id="1725644233">
      <w:bodyDiv w:val="1"/>
      <w:marLeft w:val="0"/>
      <w:marRight w:val="0"/>
      <w:marTop w:val="0"/>
      <w:marBottom w:val="0"/>
      <w:divBdr>
        <w:top w:val="none" w:sz="0" w:space="0" w:color="auto"/>
        <w:left w:val="none" w:sz="0" w:space="0" w:color="auto"/>
        <w:bottom w:val="none" w:sz="0" w:space="0" w:color="auto"/>
        <w:right w:val="none" w:sz="0" w:space="0" w:color="auto"/>
      </w:divBdr>
    </w:div>
    <w:div w:id="1766417483">
      <w:bodyDiv w:val="1"/>
      <w:marLeft w:val="0"/>
      <w:marRight w:val="0"/>
      <w:marTop w:val="0"/>
      <w:marBottom w:val="0"/>
      <w:divBdr>
        <w:top w:val="none" w:sz="0" w:space="0" w:color="auto"/>
        <w:left w:val="none" w:sz="0" w:space="0" w:color="auto"/>
        <w:bottom w:val="none" w:sz="0" w:space="0" w:color="auto"/>
        <w:right w:val="none" w:sz="0" w:space="0" w:color="auto"/>
      </w:divBdr>
    </w:div>
    <w:div w:id="1815179206">
      <w:bodyDiv w:val="1"/>
      <w:marLeft w:val="0"/>
      <w:marRight w:val="0"/>
      <w:marTop w:val="0"/>
      <w:marBottom w:val="0"/>
      <w:divBdr>
        <w:top w:val="none" w:sz="0" w:space="0" w:color="auto"/>
        <w:left w:val="none" w:sz="0" w:space="0" w:color="auto"/>
        <w:bottom w:val="none" w:sz="0" w:space="0" w:color="auto"/>
        <w:right w:val="none" w:sz="0" w:space="0" w:color="auto"/>
      </w:divBdr>
    </w:div>
    <w:div w:id="1816608919">
      <w:bodyDiv w:val="1"/>
      <w:marLeft w:val="0"/>
      <w:marRight w:val="0"/>
      <w:marTop w:val="0"/>
      <w:marBottom w:val="0"/>
      <w:divBdr>
        <w:top w:val="none" w:sz="0" w:space="0" w:color="auto"/>
        <w:left w:val="none" w:sz="0" w:space="0" w:color="auto"/>
        <w:bottom w:val="none" w:sz="0" w:space="0" w:color="auto"/>
        <w:right w:val="none" w:sz="0" w:space="0" w:color="auto"/>
      </w:divBdr>
    </w:div>
    <w:div w:id="1981809615">
      <w:bodyDiv w:val="1"/>
      <w:marLeft w:val="0"/>
      <w:marRight w:val="0"/>
      <w:marTop w:val="0"/>
      <w:marBottom w:val="0"/>
      <w:divBdr>
        <w:top w:val="none" w:sz="0" w:space="0" w:color="auto"/>
        <w:left w:val="none" w:sz="0" w:space="0" w:color="auto"/>
        <w:bottom w:val="none" w:sz="0" w:space="0" w:color="auto"/>
        <w:right w:val="none" w:sz="0" w:space="0" w:color="auto"/>
      </w:divBdr>
    </w:div>
    <w:div w:id="21357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7391102.2021.1897189" TargetMode="External"/><Relationship Id="rId13" Type="http://schemas.openxmlformats.org/officeDocument/2006/relationships/hyperlink" Target="https://doi.org/10.7759/cureus.37080" TargetMode="External"/><Relationship Id="rId18" Type="http://schemas.openxmlformats.org/officeDocument/2006/relationships/hyperlink" Target="https://doi.org/10.2174/1573406419666231231102444" TargetMode="External"/><Relationship Id="rId26" Type="http://schemas.openxmlformats.org/officeDocument/2006/relationships/hyperlink" Target="https://doi.org/10.21123/bsj.2022.7178" TargetMode="External"/><Relationship Id="rId3" Type="http://schemas.openxmlformats.org/officeDocument/2006/relationships/settings" Target="settings.xml"/><Relationship Id="rId21" Type="http://schemas.openxmlformats.org/officeDocument/2006/relationships/hyperlink" Target="https://doi.org/10.1016/j.jssc.2019.02.027" TargetMode="External"/><Relationship Id="rId7" Type="http://schemas.openxmlformats.org/officeDocument/2006/relationships/hyperlink" Target="https://doi.org/10.1155/2016/3560695" TargetMode="External"/><Relationship Id="rId12" Type="http://schemas.openxmlformats.org/officeDocument/2006/relationships/hyperlink" Target="https://doi.org/10.1016/j.ccr.2021.214316" TargetMode="External"/><Relationship Id="rId17" Type="http://schemas.openxmlformats.org/officeDocument/2006/relationships/hyperlink" Target="https://doi.org/10.1080/00958970903100408" TargetMode="External"/><Relationship Id="rId25" Type="http://schemas.openxmlformats.org/officeDocument/2006/relationships/hyperlink" Target="https://doi.org/10.22059/POLL.2022.348855.1632I" TargetMode="External"/><Relationship Id="rId2" Type="http://schemas.openxmlformats.org/officeDocument/2006/relationships/styles" Target="styles.xml"/><Relationship Id="rId16" Type="http://schemas.openxmlformats.org/officeDocument/2006/relationships/hyperlink" Target="https://doi.org/10.1016/j.cbi.2014.06.024" TargetMode="External"/><Relationship Id="rId20" Type="http://schemas.openxmlformats.org/officeDocument/2006/relationships/hyperlink" Target="https://doi.org/10.1002/978047040584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doi.org/10.3390/ph16050666" TargetMode="External"/><Relationship Id="rId24" Type="http://schemas.openxmlformats.org/officeDocument/2006/relationships/hyperlink" Target="https://doi.org/10.33640/2405-609X.3392" TargetMode="External"/><Relationship Id="rId5" Type="http://schemas.openxmlformats.org/officeDocument/2006/relationships/image" Target="media/image1.emf"/><Relationship Id="rId15" Type="http://schemas.openxmlformats.org/officeDocument/2006/relationships/hyperlink" Target="https://doi.org/10.1016/j.jinorgbio.2024.112420" TargetMode="External"/><Relationship Id="rId23" Type="http://schemas.openxmlformats.org/officeDocument/2006/relationships/hyperlink" Target="https://doi.org/10.1186/s43094-020-00030-4" TargetMode="External"/><Relationship Id="rId28" Type="http://schemas.openxmlformats.org/officeDocument/2006/relationships/hyperlink" Target="https://doi.org/10.1016/j.ejmech.2009.10.029" TargetMode="External"/><Relationship Id="rId10" Type="http://schemas.openxmlformats.org/officeDocument/2006/relationships/hyperlink" Target="https://doi.org/10.1016/S0378-5173(03)00251-5" TargetMode="External"/><Relationship Id="rId19" Type="http://schemas.openxmlformats.org/officeDocument/2006/relationships/hyperlink" Target="https://doi.org/10.2174/1570179419666230517142040" TargetMode="External"/><Relationship Id="rId4" Type="http://schemas.openxmlformats.org/officeDocument/2006/relationships/webSettings" Target="webSettings.xml"/><Relationship Id="rId9" Type="http://schemas.openxmlformats.org/officeDocument/2006/relationships/hyperlink" Target="https://doi.org/10.1039/D4DT01073K" TargetMode="External"/><Relationship Id="rId14" Type="http://schemas.openxmlformats.org/officeDocument/2006/relationships/hyperlink" Target="https://doi.org/10.1016/j.ajme.2016.06.003" TargetMode="External"/><Relationship Id="rId22" Type="http://schemas.openxmlformats.org/officeDocument/2006/relationships/hyperlink" Target="https://doi.org/10.1016/S0010-8545(00)80455-5" TargetMode="External"/><Relationship Id="rId27" Type="http://schemas.openxmlformats.org/officeDocument/2006/relationships/hyperlink" Target="https://doi.org/10.21123/bsj.2022.670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5</Pages>
  <Words>2858</Words>
  <Characters>16752</Characters>
  <Application>Microsoft Office Word</Application>
  <DocSecurity>0</DocSecurity>
  <Lines>356</Lines>
  <Paragraphs>220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Chafic Salame</cp:lastModifiedBy>
  <cp:revision>43</cp:revision>
  <dcterms:created xsi:type="dcterms:W3CDTF">2025-09-12T10:55:00Z</dcterms:created>
  <dcterms:modified xsi:type="dcterms:W3CDTF">2025-12-06T18:11:00Z</dcterms:modified>
</cp:coreProperties>
</file>