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4133B" w14:textId="77777777" w:rsidR="00975CCD" w:rsidRDefault="00975CCD" w:rsidP="00AC7F81">
      <w:pPr>
        <w:spacing w:line="240" w:lineRule="auto"/>
        <w:jc w:val="center"/>
        <w:rPr>
          <w:b/>
          <w:sz w:val="36"/>
        </w:rPr>
      </w:pPr>
      <w:r w:rsidRPr="00975CCD">
        <w:rPr>
          <w:b/>
          <w:sz w:val="36"/>
        </w:rPr>
        <w:t xml:space="preserve">Molecular Detection and Genotyping of Giardia lamblia in Diarrheic Patients Using Nested PCR and RFLP-PCR by </w:t>
      </w:r>
      <w:proofErr w:type="spellStart"/>
      <w:r w:rsidRPr="00975CCD">
        <w:rPr>
          <w:b/>
          <w:sz w:val="36"/>
        </w:rPr>
        <w:t>gdh</w:t>
      </w:r>
      <w:proofErr w:type="spellEnd"/>
      <w:r w:rsidRPr="00975CCD">
        <w:rPr>
          <w:b/>
          <w:sz w:val="36"/>
        </w:rPr>
        <w:t xml:space="preserve"> Gene</w:t>
      </w:r>
    </w:p>
    <w:p w14:paraId="2B8BBEC9" w14:textId="239DE889" w:rsidR="00CF7B5D" w:rsidRDefault="00975CCD" w:rsidP="008B04DE">
      <w:pPr>
        <w:spacing w:line="240" w:lineRule="auto"/>
        <w:jc w:val="center"/>
        <w:rPr>
          <w:bCs/>
          <w:sz w:val="28"/>
          <w:szCs w:val="18"/>
          <w:rtl/>
        </w:rPr>
      </w:pPr>
      <w:r>
        <w:rPr>
          <w:bCs/>
          <w:sz w:val="28"/>
          <w:szCs w:val="18"/>
        </w:rPr>
        <w:t xml:space="preserve">Fatima Akram Abd </w:t>
      </w:r>
      <w:r w:rsidRPr="00975CCD">
        <w:rPr>
          <w:bCs/>
          <w:sz w:val="28"/>
          <w:szCs w:val="18"/>
        </w:rPr>
        <w:t>Ali</w:t>
      </w:r>
      <w:r w:rsidR="008B04DE">
        <w:rPr>
          <w:bCs/>
          <w:sz w:val="28"/>
          <w:szCs w:val="18"/>
        </w:rPr>
        <w:t xml:space="preserve"> </w:t>
      </w:r>
      <w:r w:rsidR="00CF7B5D" w:rsidRPr="00661AF6">
        <w:rPr>
          <w:bCs/>
          <w:sz w:val="28"/>
          <w:szCs w:val="18"/>
          <w:vertAlign w:val="superscript"/>
        </w:rPr>
        <w:t>1</w:t>
      </w:r>
      <w:r w:rsidR="008B04DE" w:rsidRPr="008B04DE">
        <w:rPr>
          <w:bCs/>
          <w:sz w:val="28"/>
          <w:szCs w:val="18"/>
          <w:vertAlign w:val="superscript"/>
        </w:rPr>
        <w:t>,</w:t>
      </w:r>
      <w:r w:rsidR="00CF7B5D" w:rsidRPr="008B04DE">
        <w:rPr>
          <w:bCs/>
          <w:sz w:val="28"/>
          <w:szCs w:val="18"/>
          <w:vertAlign w:val="superscript"/>
        </w:rPr>
        <w:t>a)</w:t>
      </w:r>
      <w:r w:rsidR="00CF7B5D" w:rsidRPr="00CF7B5D">
        <w:rPr>
          <w:bCs/>
          <w:sz w:val="28"/>
          <w:szCs w:val="18"/>
        </w:rPr>
        <w:t xml:space="preserve"> and </w:t>
      </w:r>
      <w:r w:rsidR="00AC7F81" w:rsidRPr="00AC7F81">
        <w:rPr>
          <w:bCs/>
          <w:sz w:val="28"/>
          <w:szCs w:val="18"/>
        </w:rPr>
        <w:t xml:space="preserve">Intisar Ghanim Abdulwahhab </w:t>
      </w:r>
      <w:r w:rsidR="008B04DE">
        <w:rPr>
          <w:bCs/>
          <w:sz w:val="28"/>
          <w:szCs w:val="18"/>
          <w:vertAlign w:val="superscript"/>
        </w:rPr>
        <w:t>1</w:t>
      </w:r>
      <w:r w:rsidR="008B04DE" w:rsidRPr="008B04DE">
        <w:rPr>
          <w:bCs/>
          <w:sz w:val="28"/>
          <w:szCs w:val="18"/>
          <w:vertAlign w:val="superscript"/>
        </w:rPr>
        <w:t>,</w:t>
      </w:r>
      <w:r w:rsidR="00CF7B5D" w:rsidRPr="008B04DE">
        <w:rPr>
          <w:bCs/>
          <w:sz w:val="28"/>
          <w:szCs w:val="18"/>
          <w:vertAlign w:val="superscript"/>
        </w:rPr>
        <w:t>b)</w:t>
      </w:r>
      <w:r w:rsidR="00CF7B5D" w:rsidRPr="00CF7B5D">
        <w:rPr>
          <w:bCs/>
          <w:sz w:val="28"/>
          <w:szCs w:val="18"/>
        </w:rPr>
        <w:t xml:space="preserve"> </w:t>
      </w:r>
    </w:p>
    <w:p w14:paraId="05C71BFD" w14:textId="0D9A3B19" w:rsidR="00AB1D3D" w:rsidRDefault="008B04DE" w:rsidP="00AC7F81">
      <w:pPr>
        <w:tabs>
          <w:tab w:val="left" w:pos="1062"/>
          <w:tab w:val="center" w:pos="4536"/>
        </w:tabs>
        <w:spacing w:line="240" w:lineRule="auto"/>
        <w:jc w:val="center"/>
        <w:rPr>
          <w:i/>
        </w:rPr>
      </w:pPr>
      <w:r w:rsidRPr="008B04DE">
        <w:rPr>
          <w:i/>
          <w:vertAlign w:val="superscript"/>
        </w:rPr>
        <w:t>1</w:t>
      </w:r>
      <w:r w:rsidR="00B41096">
        <w:rPr>
          <w:i/>
        </w:rPr>
        <w:t xml:space="preserve"> </w:t>
      </w:r>
      <w:r w:rsidR="00AC7F81" w:rsidRPr="00AC7F81">
        <w:rPr>
          <w:i/>
        </w:rPr>
        <w:t>Tikrit University, College of Education for women, Biology</w:t>
      </w:r>
      <w:r w:rsidR="0052733D">
        <w:rPr>
          <w:i/>
        </w:rPr>
        <w:t>,</w:t>
      </w:r>
      <w:r w:rsidRPr="008B04DE">
        <w:t xml:space="preserve"> </w:t>
      </w:r>
      <w:r w:rsidRPr="008B04DE">
        <w:rPr>
          <w:i/>
        </w:rPr>
        <w:t>Tikrit</w:t>
      </w:r>
      <w:r>
        <w:rPr>
          <w:i/>
        </w:rPr>
        <w:t>,</w:t>
      </w:r>
      <w:r w:rsidR="0052733D">
        <w:rPr>
          <w:i/>
        </w:rPr>
        <w:t xml:space="preserve"> Iraq</w:t>
      </w:r>
      <w:r w:rsidR="00D40B7B">
        <w:rPr>
          <w:i/>
        </w:rPr>
        <w:t>.</w:t>
      </w:r>
    </w:p>
    <w:p w14:paraId="5FD135E3" w14:textId="5E86B77F" w:rsidR="00E84C4E" w:rsidRPr="008B04DE" w:rsidRDefault="00AC7F81" w:rsidP="00975CCD">
      <w:pPr>
        <w:spacing w:line="240" w:lineRule="auto"/>
        <w:jc w:val="center"/>
        <w:rPr>
          <w:i/>
          <w:color w:val="000000" w:themeColor="text1"/>
        </w:rPr>
      </w:pPr>
      <w:hyperlink r:id="rId8" w:history="1">
        <w:r w:rsidRPr="008B04DE">
          <w:rPr>
            <w:rStyle w:val="Hyperlink"/>
            <w:i/>
            <w:color w:val="000000" w:themeColor="text1"/>
            <w:u w:val="none"/>
            <w:vertAlign w:val="superscript"/>
          </w:rPr>
          <w:t xml:space="preserve"> a)</w:t>
        </w:r>
        <w:r w:rsidRPr="008B04DE">
          <w:rPr>
            <w:rStyle w:val="Hyperlink"/>
            <w:i/>
            <w:color w:val="000000" w:themeColor="text1"/>
            <w:u w:val="none"/>
          </w:rPr>
          <w:t xml:space="preserve"> </w:t>
        </w:r>
      </w:hyperlink>
      <w:r w:rsidR="008B04DE" w:rsidRPr="008B04DE">
        <w:rPr>
          <w:i/>
          <w:iCs/>
          <w:color w:val="000000" w:themeColor="text1"/>
        </w:rPr>
        <w:t xml:space="preserve">corresponding author : </w:t>
      </w:r>
      <w:r w:rsidR="00975CCD" w:rsidRPr="008B04DE">
        <w:rPr>
          <w:rStyle w:val="Hyperlink"/>
          <w:i/>
          <w:iCs/>
          <w:color w:val="000000" w:themeColor="text1"/>
          <w:u w:val="none"/>
        </w:rPr>
        <w:t>fatima</w:t>
      </w:r>
      <w:r w:rsidR="00975CCD" w:rsidRPr="008B04DE">
        <w:rPr>
          <w:rStyle w:val="Hyperlink"/>
          <w:i/>
          <w:color w:val="000000" w:themeColor="text1"/>
          <w:u w:val="none"/>
        </w:rPr>
        <w:t xml:space="preserve">.abd131@st.tu.edu.iq </w:t>
      </w:r>
      <w:r w:rsidRPr="008B04DE">
        <w:rPr>
          <w:i/>
          <w:color w:val="000000" w:themeColor="text1"/>
        </w:rPr>
        <w:t xml:space="preserve"> </w:t>
      </w:r>
      <w:r w:rsidR="002D125E" w:rsidRPr="008B04DE">
        <w:rPr>
          <w:i/>
          <w:color w:val="000000" w:themeColor="text1"/>
        </w:rPr>
        <w:br/>
      </w:r>
      <w:hyperlink r:id="rId9" w:history="1">
        <w:r w:rsidR="002D125E" w:rsidRPr="008B04DE">
          <w:rPr>
            <w:rStyle w:val="Hyperlink"/>
            <w:i/>
            <w:color w:val="000000" w:themeColor="text1"/>
            <w:u w:val="none"/>
            <w:vertAlign w:val="superscript"/>
          </w:rPr>
          <w:t>b)</w:t>
        </w:r>
        <w:r w:rsidR="0052733D" w:rsidRPr="008B04DE">
          <w:rPr>
            <w:rStyle w:val="Hyperlink"/>
            <w:i/>
            <w:color w:val="000000" w:themeColor="text1"/>
            <w:u w:val="none"/>
          </w:rPr>
          <w:t xml:space="preserve"> </w:t>
        </w:r>
        <w:r w:rsidRPr="008B04DE">
          <w:rPr>
            <w:rStyle w:val="Hyperlink"/>
            <w:i/>
            <w:color w:val="000000" w:themeColor="text1"/>
            <w:u w:val="none"/>
          </w:rPr>
          <w:t xml:space="preserve">dr.en79@tu.edu.iq </w:t>
        </w:r>
      </w:hyperlink>
      <w:r w:rsidR="00723253" w:rsidRPr="008B04DE">
        <w:rPr>
          <w:i/>
          <w:color w:val="000000" w:themeColor="text1"/>
        </w:rPr>
        <w:t xml:space="preserve"> </w:t>
      </w:r>
    </w:p>
    <w:p w14:paraId="7CD41E5E" w14:textId="77777777" w:rsidR="00CA71C5" w:rsidRDefault="002D125E" w:rsidP="00975CCD">
      <w:pPr>
        <w:spacing w:line="240" w:lineRule="auto"/>
        <w:ind w:left="288" w:right="288"/>
        <w:jc w:val="both"/>
        <w:rPr>
          <w:bCs/>
          <w:sz w:val="18"/>
          <w:szCs w:val="20"/>
        </w:rPr>
      </w:pPr>
      <w:r w:rsidRPr="002E1748">
        <w:rPr>
          <w:b/>
          <w:sz w:val="18"/>
          <w:szCs w:val="20"/>
        </w:rPr>
        <w:t>Abstract.</w:t>
      </w:r>
      <w:r w:rsidR="00E650CC" w:rsidRPr="00E650CC">
        <w:rPr>
          <w:bCs/>
          <w:sz w:val="18"/>
          <w:szCs w:val="20"/>
        </w:rPr>
        <w:t xml:space="preserve"> </w:t>
      </w:r>
      <w:r w:rsidR="00975CCD" w:rsidRPr="00975CCD">
        <w:rPr>
          <w:bCs/>
          <w:sz w:val="18"/>
          <w:szCs w:val="20"/>
        </w:rPr>
        <w:t xml:space="preserve">This study was conducted to detect Giardia lamblia parasite and identify its genotypes based on the </w:t>
      </w:r>
      <w:proofErr w:type="spellStart"/>
      <w:r w:rsidR="00975CCD" w:rsidRPr="00975CCD">
        <w:rPr>
          <w:bCs/>
          <w:sz w:val="18"/>
          <w:szCs w:val="20"/>
        </w:rPr>
        <w:t>gdh</w:t>
      </w:r>
      <w:proofErr w:type="spellEnd"/>
      <w:r w:rsidR="00975CCD" w:rsidRPr="00975CCD">
        <w:rPr>
          <w:bCs/>
          <w:sz w:val="18"/>
          <w:szCs w:val="20"/>
        </w:rPr>
        <w:t xml:space="preserve"> gene using nested PCR and RFLP techniques. 100 stool samples were collected from patients with diarrhea, aged between 1 month and 41 years, during the period from October 2024 to July 2025. Microscopic examination revealed that (36%) of the samples were infected with the parasite. At the molecular level, DNA extraction was successful in 83 samples, of which 61 showed a primary amplification of (605 bp), and 51 samples showed a secondary amplification of (520 bp). RFLP analysis using </w:t>
      </w:r>
      <w:proofErr w:type="spellStart"/>
      <w:r w:rsidR="00975CCD" w:rsidRPr="00975CCD">
        <w:rPr>
          <w:bCs/>
          <w:sz w:val="18"/>
          <w:szCs w:val="20"/>
        </w:rPr>
        <w:t>RsaI</w:t>
      </w:r>
      <w:proofErr w:type="spellEnd"/>
      <w:r w:rsidR="00975CCD" w:rsidRPr="00975CCD">
        <w:rPr>
          <w:bCs/>
          <w:sz w:val="18"/>
          <w:szCs w:val="20"/>
        </w:rPr>
        <w:t xml:space="preserve"> enzyme revealed the presence of genotypes A and B, in addition to mixed infections. The prevalence of type B was 50.98%, followed by type A (39.21%), while mixed infections constituted (9.8%).</w:t>
      </w:r>
    </w:p>
    <w:p w14:paraId="0ED0450D" w14:textId="284B0B86" w:rsidR="0030573C" w:rsidRPr="00975CCD" w:rsidRDefault="0030573C" w:rsidP="00B402CB">
      <w:pPr>
        <w:spacing w:line="240" w:lineRule="auto"/>
        <w:ind w:left="288" w:right="288"/>
        <w:rPr>
          <w:bCs/>
          <w:sz w:val="18"/>
          <w:szCs w:val="20"/>
        </w:rPr>
      </w:pPr>
      <w:r w:rsidRPr="00615D26">
        <w:rPr>
          <w:b/>
          <w:bCs/>
          <w:sz w:val="18"/>
          <w:szCs w:val="18"/>
          <w:lang w:val="en-GB"/>
        </w:rPr>
        <w:t>Keywords:</w:t>
      </w:r>
      <w:r w:rsidR="0082636C" w:rsidRPr="00615D26">
        <w:rPr>
          <w:rFonts w:hint="cs"/>
          <w:sz w:val="18"/>
          <w:szCs w:val="18"/>
          <w:rtl/>
          <w:lang w:val="en-GB"/>
        </w:rPr>
        <w:t xml:space="preserve"> </w:t>
      </w:r>
      <w:r w:rsidR="009E20E3">
        <w:rPr>
          <w:rFonts w:hint="cs"/>
          <w:sz w:val="18"/>
          <w:szCs w:val="18"/>
          <w:rtl/>
          <w:lang w:val="en-GB"/>
        </w:rPr>
        <w:t xml:space="preserve"> </w:t>
      </w:r>
      <w:r w:rsidR="00975CCD" w:rsidRPr="00975CCD">
        <w:rPr>
          <w:sz w:val="18"/>
          <w:szCs w:val="18"/>
          <w:lang w:val="en-GB"/>
        </w:rPr>
        <w:t xml:space="preserve">Giardia lamblia, nested PCR, PCR genotyping, </w:t>
      </w:r>
      <w:proofErr w:type="spellStart"/>
      <w:r w:rsidR="00975CCD" w:rsidRPr="00975CCD">
        <w:rPr>
          <w:sz w:val="18"/>
          <w:szCs w:val="18"/>
          <w:lang w:val="en-GB"/>
        </w:rPr>
        <w:t>gdh</w:t>
      </w:r>
      <w:proofErr w:type="spellEnd"/>
      <w:r w:rsidR="00975CCD" w:rsidRPr="00975CCD">
        <w:rPr>
          <w:sz w:val="18"/>
          <w:szCs w:val="18"/>
          <w:lang w:val="en-GB"/>
        </w:rPr>
        <w:t xml:space="preserve"> gene, RFLP-PCR</w:t>
      </w:r>
    </w:p>
    <w:p w14:paraId="2C3C4FEE" w14:textId="77777777" w:rsidR="00887EA4" w:rsidRDefault="002D125E" w:rsidP="00DA4814">
      <w:pPr>
        <w:spacing w:line="240" w:lineRule="auto"/>
        <w:jc w:val="center"/>
      </w:pPr>
      <w:r>
        <w:rPr>
          <w:b/>
          <w:sz w:val="24"/>
        </w:rPr>
        <w:t>INTRODUCTION</w:t>
      </w:r>
    </w:p>
    <w:p w14:paraId="7EDEEA84" w14:textId="4B695CFC" w:rsidR="00E3123E" w:rsidRDefault="003B3E24" w:rsidP="00EF77E3">
      <w:pPr>
        <w:spacing w:line="240" w:lineRule="auto"/>
        <w:ind w:firstLine="284"/>
        <w:jc w:val="both"/>
      </w:pPr>
      <w:r w:rsidRPr="003B3E24">
        <w:t xml:space="preserve">Diarrhea is a significant health issue in the world, as the second cause of infectious diseases-related mortality </w:t>
      </w:r>
      <w:r w:rsidR="000235C2">
        <w:t>[1]</w:t>
      </w:r>
      <w:r w:rsidRPr="003B3E24">
        <w:t xml:space="preserve">. An illness caused by the parasite Giardia lamblia, or G. intestinalis or G. </w:t>
      </w:r>
      <w:proofErr w:type="spellStart"/>
      <w:r w:rsidRPr="003B3E24">
        <w:t>duodenalis</w:t>
      </w:r>
      <w:proofErr w:type="spellEnd"/>
      <w:r w:rsidRPr="003B3E24">
        <w:t xml:space="preserve">, with an annual estimated number of cases at 280 million </w:t>
      </w:r>
      <w:r w:rsidR="000235C2">
        <w:t>[2][3]</w:t>
      </w:r>
      <w:r w:rsidRPr="003B3E24">
        <w:t xml:space="preserve">. Children under five age, adults aged 30 to 40 are the most affected groups, and thousands of children have died of the disease in recent years </w:t>
      </w:r>
      <w:r w:rsidR="000235C2">
        <w:t>[4][5]</w:t>
      </w:r>
      <w:r w:rsidRPr="003B3E24">
        <w:t xml:space="preserve">. The most common way of infection is the ingestion of cysts that are resistant to chlorine, which is the primary source of infection through the ingestion of contaminated water and food </w:t>
      </w:r>
      <w:r w:rsidR="000235C2">
        <w:t>[6]</w:t>
      </w:r>
      <w:r w:rsidRPr="003B3E24">
        <w:t xml:space="preserve">. The infection can be asymptomatic or it can present diarrhea, bloating and abdominal pains. Sometimes it can lead to chronic complications (irritable bowel syndrome) or constant tiredness </w:t>
      </w:r>
      <w:r w:rsidR="000235C2">
        <w:t>[7]</w:t>
      </w:r>
      <w:r w:rsidRPr="003B3E24">
        <w:t xml:space="preserve">. Molecular methods like nested PCR have been found effective in diagnosis, not only with a high level of accuracy, but also by their capability to identify the parasite into eight genotypes (Assemblages A-H) by </w:t>
      </w:r>
      <w:proofErr w:type="spellStart"/>
      <w:r w:rsidRPr="003B3E24">
        <w:t>tpi</w:t>
      </w:r>
      <w:proofErr w:type="spellEnd"/>
      <w:r w:rsidRPr="003B3E24">
        <w:t xml:space="preserve">, </w:t>
      </w:r>
      <w:proofErr w:type="spellStart"/>
      <w:r w:rsidRPr="003B3E24">
        <w:t>gdh</w:t>
      </w:r>
      <w:proofErr w:type="spellEnd"/>
      <w:r w:rsidRPr="003B3E24">
        <w:t xml:space="preserve"> and 8 </w:t>
      </w:r>
      <w:proofErr w:type="spellStart"/>
      <w:r w:rsidRPr="003B3E24">
        <w:t>giardin</w:t>
      </w:r>
      <w:proofErr w:type="spellEnd"/>
      <w:r w:rsidRPr="003B3E24">
        <w:t xml:space="preserve"> genes </w:t>
      </w:r>
      <w:r w:rsidR="000235C2">
        <w:t>[8]</w:t>
      </w:r>
      <w:r w:rsidRPr="003B3E24">
        <w:t xml:space="preserve">. It has a high likelihood of being the simplest and effective laboratory marker because of the </w:t>
      </w:r>
      <w:proofErr w:type="spellStart"/>
      <w:r w:rsidRPr="003B3E24">
        <w:t>gdh</w:t>
      </w:r>
      <w:proofErr w:type="spellEnd"/>
      <w:r w:rsidRPr="003B3E24">
        <w:t xml:space="preserve"> gene, which can detect the parasite, and its associated genetic clusters </w:t>
      </w:r>
      <w:r w:rsidR="000235C2">
        <w:t>[9]</w:t>
      </w:r>
      <w:r w:rsidRPr="003B3E24">
        <w:t>.</w:t>
      </w:r>
    </w:p>
    <w:p w14:paraId="51CD562C" w14:textId="7B9E4A9E" w:rsidR="00975CCD" w:rsidRPr="0059504B" w:rsidRDefault="003B3E24" w:rsidP="00EF77E3">
      <w:pPr>
        <w:spacing w:line="240" w:lineRule="auto"/>
        <w:ind w:firstLine="284"/>
        <w:jc w:val="both"/>
      </w:pPr>
      <w:r w:rsidRPr="003B3E24">
        <w:t xml:space="preserve">Though the high burden of giardiasis is known worldwide, there is still a high issue with its exact molecular epidemiology especially in the local Iraqi population. Traditional diagnostics can hardly determine the specific genetic assemblies of the parasite, but it is this data that the focus of molecular studies is crucial because it is essential to figure out the dynamics of complex transmission. A solution of this approach is to focus on a specific solution by using the most sensitive molecular methods- Nested PCR with RFLP analysis to study the reliable </w:t>
      </w:r>
      <w:proofErr w:type="spellStart"/>
      <w:r w:rsidRPr="003B3E24">
        <w:t>gdh</w:t>
      </w:r>
      <w:proofErr w:type="spellEnd"/>
      <w:r w:rsidRPr="003B3E24">
        <w:t xml:space="preserve"> gene. The overall objective is thus two-fold to identify G. lamblia correctly and to identify the prevalence of both the zoonotic (Assemblage A) and anthroponotic (Assemblage B) genotypes of the organism including mixed infections in diarrheic patients in Tikrit region. The study is crucial to the environmental health, because the identification of the particular genotypes spread among human population will give the necessary information on tracking the contamination to the source, evaluate the extent of contamination of local water and food resources and present more effective and evidence-based interventions in the community health.</w:t>
      </w:r>
      <w:r>
        <w:rPr>
          <w:rFonts w:hint="cs"/>
          <w:rtl/>
        </w:rPr>
        <w:t xml:space="preserve"> </w:t>
      </w:r>
    </w:p>
    <w:p w14:paraId="60AD05C6" w14:textId="373117A2" w:rsidR="00887EA4" w:rsidRDefault="002D125E" w:rsidP="000A723D">
      <w:pPr>
        <w:spacing w:before="240" w:after="240" w:line="240" w:lineRule="auto"/>
        <w:jc w:val="center"/>
      </w:pPr>
      <w:r>
        <w:rPr>
          <w:b/>
          <w:sz w:val="24"/>
        </w:rPr>
        <w:t>EXPERIMENTAL PART</w:t>
      </w:r>
    </w:p>
    <w:p w14:paraId="4C2DC16C" w14:textId="7751612A" w:rsidR="00AC7F81" w:rsidRPr="00CA71C5" w:rsidRDefault="00AC7F81" w:rsidP="008B04DE">
      <w:pPr>
        <w:spacing w:line="240" w:lineRule="auto"/>
        <w:jc w:val="center"/>
        <w:rPr>
          <w:b/>
          <w:bCs/>
          <w:sz w:val="24"/>
          <w:szCs w:val="24"/>
        </w:rPr>
      </w:pPr>
      <w:r w:rsidRPr="00CA71C5">
        <w:rPr>
          <w:b/>
          <w:bCs/>
          <w:sz w:val="24"/>
          <w:szCs w:val="24"/>
        </w:rPr>
        <w:t xml:space="preserve">Samples </w:t>
      </w:r>
      <w:r w:rsidR="00CA71C5" w:rsidRPr="00CA71C5">
        <w:rPr>
          <w:b/>
          <w:bCs/>
          <w:sz w:val="24"/>
          <w:szCs w:val="24"/>
        </w:rPr>
        <w:t>Collection</w:t>
      </w:r>
    </w:p>
    <w:p w14:paraId="2EDDF146" w14:textId="77777777" w:rsidR="00975CCD" w:rsidRPr="00975CCD" w:rsidRDefault="00975CCD" w:rsidP="00EF77E3">
      <w:pPr>
        <w:spacing w:line="240" w:lineRule="auto"/>
        <w:ind w:firstLine="284"/>
        <w:jc w:val="both"/>
      </w:pPr>
      <w:r w:rsidRPr="00975CCD">
        <w:t>One hundred stool samples were collected from patients with diarrhea from Tikrit Teaching Hospital and several health laboratories in Samarra and Al-</w:t>
      </w:r>
      <w:proofErr w:type="spellStart"/>
      <w:r w:rsidRPr="00975CCD">
        <w:t>Dhuluiya</w:t>
      </w:r>
      <w:proofErr w:type="spellEnd"/>
      <w:r w:rsidRPr="00975CCD">
        <w:t xml:space="preserve"> cities. Their ages ranged from (1 month to 41 years), during the period from October 1, 2024 to July 1, 2025. Microscopic examination of the samples was performed </w:t>
      </w:r>
      <w:r w:rsidRPr="00975CCD">
        <w:lastRenderedPageBreak/>
        <w:t xml:space="preserve">within the first half hour of collection using the direct wet swab technique with physiological saline, focusing on the mucus- and lipid-rich parts to increase the likelihood of detecting the parasite Giardia lamblia. Samples that showed positive or suspicious results were preserved (100–200) mg in (500) </w:t>
      </w:r>
      <w:proofErr w:type="spellStart"/>
      <w:r w:rsidRPr="00975CCD">
        <w:t>μl</w:t>
      </w:r>
      <w:proofErr w:type="spellEnd"/>
      <w:r w:rsidRPr="00975CCD">
        <w:t xml:space="preserve"> of DNA Shield (</w:t>
      </w:r>
      <w:proofErr w:type="spellStart"/>
      <w:r w:rsidRPr="00975CCD">
        <w:t>Zymo</w:t>
      </w:r>
      <w:proofErr w:type="spellEnd"/>
      <w:r w:rsidRPr="00975CCD">
        <w:t xml:space="preserve"> Research) solution, then frozen at -20°C until molecular analysis was performed in the Tikrit University Central Laboratory</w:t>
      </w:r>
      <w:r w:rsidRPr="00975CCD">
        <w:rPr>
          <w:rFonts w:hint="cs"/>
          <w:rtl/>
          <w:lang w:bidi="ar-IQ"/>
        </w:rPr>
        <w:t>.</w:t>
      </w:r>
    </w:p>
    <w:p w14:paraId="137DD9EF" w14:textId="6F6078A6" w:rsidR="00975CCD" w:rsidRPr="00CA71C5" w:rsidRDefault="00975CCD" w:rsidP="008B04DE">
      <w:pPr>
        <w:spacing w:line="240" w:lineRule="auto"/>
        <w:jc w:val="center"/>
        <w:rPr>
          <w:b/>
          <w:bCs/>
          <w:sz w:val="24"/>
          <w:szCs w:val="24"/>
        </w:rPr>
      </w:pPr>
      <w:r w:rsidRPr="00CA71C5">
        <w:rPr>
          <w:b/>
          <w:bCs/>
          <w:sz w:val="24"/>
          <w:szCs w:val="24"/>
        </w:rPr>
        <w:t xml:space="preserve">Molecular </w:t>
      </w:r>
      <w:r w:rsidR="00CA71C5" w:rsidRPr="00CA71C5">
        <w:rPr>
          <w:b/>
          <w:bCs/>
          <w:sz w:val="24"/>
          <w:szCs w:val="24"/>
        </w:rPr>
        <w:t>Detection</w:t>
      </w:r>
    </w:p>
    <w:p w14:paraId="5E1E4E95" w14:textId="77777777" w:rsidR="00975CCD" w:rsidRPr="00975CCD" w:rsidRDefault="00975CCD" w:rsidP="00EF77E3">
      <w:pPr>
        <w:spacing w:line="240" w:lineRule="auto"/>
        <w:ind w:firstLine="284"/>
        <w:jc w:val="both"/>
      </w:pPr>
      <w:r w:rsidRPr="00975CCD">
        <w:t xml:space="preserve">Molecular analysis was performed to detect </w:t>
      </w:r>
      <w:r w:rsidRPr="00975CCD">
        <w:rPr>
          <w:i/>
        </w:rPr>
        <w:t xml:space="preserve">G. lamblia </w:t>
      </w:r>
      <w:r w:rsidRPr="00975CCD">
        <w:t xml:space="preserve">using the </w:t>
      </w:r>
      <w:proofErr w:type="spellStart"/>
      <w:r w:rsidRPr="00975CCD">
        <w:rPr>
          <w:i/>
        </w:rPr>
        <w:t>gdh</w:t>
      </w:r>
      <w:proofErr w:type="spellEnd"/>
      <w:r w:rsidRPr="00975CCD">
        <w:rPr>
          <w:i/>
        </w:rPr>
        <w:t xml:space="preserve"> </w:t>
      </w:r>
      <w:r w:rsidRPr="00975CCD">
        <w:t xml:space="preserve">gene. DNA was extracted from stool samples using the Presto Mini gDNA Kit from </w:t>
      </w:r>
      <w:proofErr w:type="spellStart"/>
      <w:r w:rsidRPr="00975CCD">
        <w:t>Geneaid</w:t>
      </w:r>
      <w:proofErr w:type="spellEnd"/>
      <w:r w:rsidRPr="00975CCD">
        <w:t>. The purity and concentration of the samples were then measured using a Nanodrop device at two wavelengths (260/280 nm). Electrophoresis was also performed on a 1% agarose gel to ensure the integrity and quality of DNA before use in subsequent molecular steps. It was found that (83) out of (100) samples contained DNA suitable for analysis</w:t>
      </w:r>
      <w:r w:rsidRPr="00975CCD">
        <w:rPr>
          <w:rFonts w:hint="cs"/>
          <w:rtl/>
          <w:lang w:bidi="ar-IQ"/>
        </w:rPr>
        <w:t>.</w:t>
      </w:r>
    </w:p>
    <w:p w14:paraId="4BB9A323" w14:textId="59F9437E" w:rsidR="00975CCD" w:rsidRPr="00CA71C5" w:rsidRDefault="00975CCD" w:rsidP="008B04DE">
      <w:pPr>
        <w:spacing w:line="240" w:lineRule="auto"/>
        <w:jc w:val="center"/>
        <w:rPr>
          <w:b/>
          <w:bCs/>
          <w:sz w:val="24"/>
          <w:szCs w:val="24"/>
          <w:rtl/>
          <w:lang w:bidi="ar-IQ"/>
        </w:rPr>
      </w:pPr>
      <w:r w:rsidRPr="00CA71C5">
        <w:rPr>
          <w:b/>
          <w:bCs/>
          <w:sz w:val="24"/>
          <w:szCs w:val="24"/>
        </w:rPr>
        <w:t xml:space="preserve">Preparation </w:t>
      </w:r>
      <w:r w:rsidR="00CA71C5">
        <w:rPr>
          <w:b/>
          <w:bCs/>
          <w:sz w:val="24"/>
          <w:szCs w:val="24"/>
        </w:rPr>
        <w:t>o</w:t>
      </w:r>
      <w:r w:rsidR="00CA71C5" w:rsidRPr="00CA71C5">
        <w:rPr>
          <w:b/>
          <w:bCs/>
          <w:sz w:val="24"/>
          <w:szCs w:val="24"/>
        </w:rPr>
        <w:t>f the Primers</w:t>
      </w:r>
    </w:p>
    <w:p w14:paraId="2BB45CF8" w14:textId="77777777" w:rsidR="00975CCD" w:rsidRPr="00975CCD" w:rsidRDefault="00975CCD" w:rsidP="00EF77E3">
      <w:pPr>
        <w:spacing w:line="240" w:lineRule="auto"/>
        <w:ind w:firstLine="284"/>
        <w:jc w:val="both"/>
        <w:rPr>
          <w:rtl/>
          <w:lang w:bidi="ar-IQ"/>
        </w:rPr>
      </w:pPr>
      <w:r w:rsidRPr="00975CCD">
        <w:t>Glutamate dehydrogenase (</w:t>
      </w:r>
      <w:proofErr w:type="spellStart"/>
      <w:r w:rsidRPr="00975CCD">
        <w:t>gdh</w:t>
      </w:r>
      <w:proofErr w:type="spellEnd"/>
      <w:r w:rsidRPr="00975CCD">
        <w:t xml:space="preserve">) gene-specific primers were obtained from </w:t>
      </w:r>
      <w:proofErr w:type="spellStart"/>
      <w:r w:rsidRPr="00975CCD">
        <w:t>Macrogen</w:t>
      </w:r>
      <w:proofErr w:type="spellEnd"/>
      <w:r w:rsidRPr="00975CCD">
        <w:t xml:space="preserve">. The primers were prepared as working solutions at a final concentration of 10 </w:t>
      </w:r>
      <w:proofErr w:type="spellStart"/>
      <w:r w:rsidRPr="00975CCD">
        <w:t>pmol</w:t>
      </w:r>
      <w:proofErr w:type="spellEnd"/>
      <w:r w:rsidRPr="00975CCD">
        <w:t>/µl after dissolving them in nuclease-free water for use in gene amplification</w:t>
      </w:r>
      <w:r w:rsidRPr="00975CCD">
        <w:rPr>
          <w:rFonts w:hint="cs"/>
          <w:rtl/>
          <w:lang w:bidi="ar-IQ"/>
        </w:rPr>
        <w:t>.</w:t>
      </w:r>
    </w:p>
    <w:p w14:paraId="415F551C" w14:textId="4AF609E0" w:rsidR="00975CCD" w:rsidRPr="00CA71C5" w:rsidRDefault="00975CCD" w:rsidP="008B04DE">
      <w:pPr>
        <w:spacing w:line="240" w:lineRule="auto"/>
        <w:jc w:val="center"/>
        <w:rPr>
          <w:b/>
          <w:bCs/>
          <w:sz w:val="24"/>
          <w:szCs w:val="24"/>
        </w:rPr>
      </w:pPr>
      <w:r w:rsidRPr="00CA71C5">
        <w:rPr>
          <w:b/>
          <w:bCs/>
          <w:sz w:val="24"/>
          <w:szCs w:val="24"/>
        </w:rPr>
        <w:t xml:space="preserve">The </w:t>
      </w:r>
      <w:r w:rsidR="00CA71C5" w:rsidRPr="00CA71C5">
        <w:rPr>
          <w:b/>
          <w:bCs/>
          <w:sz w:val="24"/>
          <w:szCs w:val="24"/>
        </w:rPr>
        <w:t>Primer</w:t>
      </w:r>
    </w:p>
    <w:p w14:paraId="0150E3CD" w14:textId="4DD7D5DE" w:rsidR="00975CCD" w:rsidRPr="00975CCD" w:rsidRDefault="00975CCD" w:rsidP="00EF77E3">
      <w:pPr>
        <w:spacing w:line="240" w:lineRule="auto"/>
        <w:ind w:firstLine="284"/>
        <w:jc w:val="both"/>
      </w:pPr>
      <w:r w:rsidRPr="00975CCD">
        <w:t xml:space="preserve">Nested PCR was used to amplify the </w:t>
      </w:r>
      <w:proofErr w:type="spellStart"/>
      <w:r w:rsidRPr="00975CCD">
        <w:rPr>
          <w:i/>
        </w:rPr>
        <w:t>gdh</w:t>
      </w:r>
      <w:proofErr w:type="spellEnd"/>
      <w:r w:rsidRPr="00975CCD">
        <w:rPr>
          <w:i/>
        </w:rPr>
        <w:t xml:space="preserve"> </w:t>
      </w:r>
      <w:r w:rsidRPr="00975CCD">
        <w:t xml:space="preserve">gene using two sets of primers. In the first reaction, the forward primer gdh1 (5′-TTCCGTRTYCAGTACAACTC-3′) and the reverse primer gdh2 (5′-ACCTCGTTCTGRGTGGCGCA-3′) were used to produce a 605 bp fragment at 55 °C. In the second reaction, the forward primer gdh3 (5′-ATGACYGAGCTYCAGAGGCACGT-3′) and the reverse primer gdh4 (5′-GTGGCGCARGGCATGATGCA-3′) were used to produce a 520 bp fragment at the same 50 bp binding </w:t>
      </w:r>
      <w:r w:rsidR="000235C2">
        <w:t>[10].</w:t>
      </w:r>
    </w:p>
    <w:p w14:paraId="173FCDAC" w14:textId="2D4AC143" w:rsidR="00975CCD" w:rsidRPr="00CA71C5" w:rsidRDefault="00975CCD" w:rsidP="008B04DE">
      <w:pPr>
        <w:spacing w:line="240" w:lineRule="auto"/>
        <w:jc w:val="center"/>
        <w:rPr>
          <w:b/>
          <w:bCs/>
          <w:sz w:val="24"/>
          <w:szCs w:val="24"/>
        </w:rPr>
      </w:pPr>
      <w:r w:rsidRPr="00CA71C5">
        <w:rPr>
          <w:b/>
          <w:bCs/>
          <w:sz w:val="24"/>
          <w:szCs w:val="24"/>
        </w:rPr>
        <w:t xml:space="preserve">Diagnosis </w:t>
      </w:r>
      <w:r w:rsidR="00CA71C5">
        <w:rPr>
          <w:b/>
          <w:bCs/>
          <w:sz w:val="24"/>
          <w:szCs w:val="24"/>
        </w:rPr>
        <w:t>o</w:t>
      </w:r>
      <w:r w:rsidR="00CA71C5" w:rsidRPr="00CA71C5">
        <w:rPr>
          <w:b/>
          <w:bCs/>
          <w:sz w:val="24"/>
          <w:szCs w:val="24"/>
        </w:rPr>
        <w:t xml:space="preserve">f </w:t>
      </w:r>
      <w:r w:rsidRPr="00CA71C5">
        <w:rPr>
          <w:b/>
          <w:bCs/>
          <w:sz w:val="24"/>
          <w:szCs w:val="24"/>
        </w:rPr>
        <w:t>G</w:t>
      </w:r>
      <w:r w:rsidR="00CA71C5" w:rsidRPr="00CA71C5">
        <w:rPr>
          <w:b/>
          <w:bCs/>
          <w:sz w:val="24"/>
          <w:szCs w:val="24"/>
        </w:rPr>
        <w:t xml:space="preserve">. Lamblia for </w:t>
      </w:r>
      <w:r w:rsidR="00CA71C5">
        <w:rPr>
          <w:b/>
          <w:bCs/>
          <w:sz w:val="24"/>
          <w:szCs w:val="24"/>
        </w:rPr>
        <w:t>t</w:t>
      </w:r>
      <w:r w:rsidR="00CA71C5" w:rsidRPr="00CA71C5">
        <w:rPr>
          <w:b/>
          <w:bCs/>
          <w:sz w:val="24"/>
          <w:szCs w:val="24"/>
        </w:rPr>
        <w:t xml:space="preserve">he </w:t>
      </w:r>
      <w:proofErr w:type="spellStart"/>
      <w:r w:rsidR="00CA71C5" w:rsidRPr="00CA71C5">
        <w:rPr>
          <w:b/>
          <w:bCs/>
          <w:sz w:val="24"/>
          <w:szCs w:val="24"/>
        </w:rPr>
        <w:t>Gdh</w:t>
      </w:r>
      <w:proofErr w:type="spellEnd"/>
      <w:r w:rsidR="00CA71C5" w:rsidRPr="00CA71C5">
        <w:rPr>
          <w:b/>
          <w:bCs/>
          <w:sz w:val="24"/>
          <w:szCs w:val="24"/>
        </w:rPr>
        <w:t xml:space="preserve"> Gene </w:t>
      </w:r>
      <w:r w:rsidR="00CA71C5">
        <w:rPr>
          <w:b/>
          <w:bCs/>
          <w:sz w:val="24"/>
          <w:szCs w:val="24"/>
        </w:rPr>
        <w:t>u</w:t>
      </w:r>
      <w:r w:rsidR="00CA71C5" w:rsidRPr="00CA71C5">
        <w:rPr>
          <w:b/>
          <w:bCs/>
          <w:sz w:val="24"/>
          <w:szCs w:val="24"/>
        </w:rPr>
        <w:t xml:space="preserve">sing </w:t>
      </w:r>
      <w:r w:rsidRPr="00CA71C5">
        <w:rPr>
          <w:b/>
          <w:bCs/>
          <w:sz w:val="24"/>
          <w:szCs w:val="24"/>
        </w:rPr>
        <w:t>Nested PCR</w:t>
      </w:r>
    </w:p>
    <w:p w14:paraId="4732ACBA" w14:textId="77777777" w:rsidR="003B3E24" w:rsidRDefault="00975CCD" w:rsidP="00EF77E3">
      <w:pPr>
        <w:spacing w:line="240" w:lineRule="auto"/>
        <w:ind w:firstLine="284"/>
        <w:jc w:val="both"/>
      </w:pPr>
      <w:r w:rsidRPr="00975CCD">
        <w:t>The glutamate dehydrogenase (</w:t>
      </w:r>
      <w:proofErr w:type="spellStart"/>
      <w:r w:rsidRPr="00975CCD">
        <w:t>gdh</w:t>
      </w:r>
      <w:proofErr w:type="spellEnd"/>
      <w:r w:rsidRPr="00975CCD">
        <w:t xml:space="preserve">) gene was used for molecular detection of </w:t>
      </w:r>
      <w:r w:rsidRPr="00975CCD">
        <w:rPr>
          <w:i/>
        </w:rPr>
        <w:t xml:space="preserve">G. lamblia </w:t>
      </w:r>
      <w:r w:rsidRPr="00975CCD">
        <w:t>using a two-stage Nested PCR technique</w:t>
      </w:r>
      <w:r w:rsidRPr="00975CCD">
        <w:rPr>
          <w:rFonts w:hint="cs"/>
          <w:rtl/>
          <w:lang w:bidi="ar-IQ"/>
        </w:rPr>
        <w:t>.</w:t>
      </w:r>
      <w:r>
        <w:rPr>
          <w:lang w:bidi="ar-IQ"/>
        </w:rPr>
        <w:t xml:space="preserve"> </w:t>
      </w:r>
      <w:r w:rsidRPr="00975CCD">
        <w:t>In the first-round PCR, primers gdh1 and gdh2 were used for initial detection of the parasite and to produce a DNA template for the second reaction, which yielded a 605-base-pair (bp) fragment. The reaction components were prepared by adding 12 µL of master mix, 2 µL of forward primer, 2 µL of reverse primer, and 3 µL of template DNA. The final volume was increased to 25 µL by adding 6 µL of nuclease-free water. After completion of the reaction, the PCR product was electrophoresed on a 2% agarose gel to verify the presence of the resulting bands</w:t>
      </w:r>
      <w:r w:rsidR="003B3E24">
        <w:t xml:space="preserve">. </w:t>
      </w:r>
    </w:p>
    <w:p w14:paraId="3475ED8C" w14:textId="7E19412B" w:rsidR="00975CCD" w:rsidRPr="00975CCD" w:rsidRDefault="00975CCD" w:rsidP="00EF77E3">
      <w:pPr>
        <w:spacing w:line="240" w:lineRule="auto"/>
        <w:ind w:firstLine="284"/>
        <w:jc w:val="both"/>
      </w:pPr>
      <w:r w:rsidRPr="00975CCD">
        <w:t>In the second-stage Nested PCR, the product of the first reaction served as the DNA template, along with the primers gdh3 and gdh4, yielding a 520-bp fragment. The reaction was prepared by adding 3 µL of the first reaction product, 2 µL of the forward internal primer, 2 µL of the reverse internal primer, and 12.5 µL of master mix. The final volume was made up to 25 µL using 5.5 µL of nuclease-free water. After completion of the reaction, the Nested PCR product was electrophoresed on a 2% agarose gel to verify the presence of the resulting bands</w:t>
      </w:r>
      <w:r w:rsidRPr="00975CCD">
        <w:rPr>
          <w:rFonts w:hint="cs"/>
          <w:rtl/>
          <w:lang w:bidi="ar-IQ"/>
        </w:rPr>
        <w:t>.</w:t>
      </w:r>
      <w:r>
        <w:rPr>
          <w:lang w:bidi="ar-IQ"/>
        </w:rPr>
        <w:t xml:space="preserve"> </w:t>
      </w:r>
      <w:r w:rsidRPr="00975CCD">
        <w:t>The thermal program used in both reactions included an initial denaturation at 94°C for 5 minutes, followed by 35 cycles of (denaturation at 94°C for 45 seconds, annealing at 55°C for 45 seconds, and elongation at 72°C for 60 seconds). The reaction was then concluded with a final elongation at 72°C for 10 minutes</w:t>
      </w:r>
      <w:r w:rsidRPr="00975CCD">
        <w:rPr>
          <w:rFonts w:hint="cs"/>
          <w:rtl/>
          <w:lang w:bidi="ar-IQ"/>
        </w:rPr>
        <w:t>.</w:t>
      </w:r>
    </w:p>
    <w:p w14:paraId="2B26D1AD" w14:textId="003EE065" w:rsidR="00975CCD" w:rsidRPr="00CA71C5" w:rsidRDefault="00975CCD" w:rsidP="008B04DE">
      <w:pPr>
        <w:spacing w:line="240" w:lineRule="auto"/>
        <w:jc w:val="center"/>
        <w:rPr>
          <w:b/>
          <w:bCs/>
          <w:sz w:val="24"/>
          <w:szCs w:val="24"/>
        </w:rPr>
      </w:pPr>
      <w:r w:rsidRPr="00CA71C5">
        <w:rPr>
          <w:b/>
          <w:bCs/>
          <w:sz w:val="24"/>
          <w:szCs w:val="24"/>
        </w:rPr>
        <w:t xml:space="preserve">Analysis </w:t>
      </w:r>
      <w:r w:rsidR="00CA71C5" w:rsidRPr="00CA71C5">
        <w:rPr>
          <w:b/>
          <w:bCs/>
          <w:sz w:val="24"/>
          <w:szCs w:val="24"/>
        </w:rPr>
        <w:t xml:space="preserve">Of Nested </w:t>
      </w:r>
      <w:r w:rsidRPr="00CA71C5">
        <w:rPr>
          <w:b/>
          <w:bCs/>
          <w:sz w:val="24"/>
          <w:szCs w:val="24"/>
        </w:rPr>
        <w:t>PCR Products Using RFLP</w:t>
      </w:r>
    </w:p>
    <w:p w14:paraId="0B46AE12" w14:textId="77777777" w:rsidR="00975CCD" w:rsidRPr="00975CCD" w:rsidRDefault="00975CCD" w:rsidP="00EF77E3">
      <w:pPr>
        <w:spacing w:line="240" w:lineRule="auto"/>
        <w:ind w:firstLine="284"/>
        <w:jc w:val="both"/>
      </w:pPr>
      <w:r w:rsidRPr="00975CCD">
        <w:t xml:space="preserve">After completing the second stage of nested PCR and obtaining the 520-bp amplified fragment, the products were enzymatically digested with </w:t>
      </w:r>
      <w:proofErr w:type="spellStart"/>
      <w:r w:rsidRPr="00975CCD">
        <w:t>RsaI</w:t>
      </w:r>
      <w:proofErr w:type="spellEnd"/>
      <w:r w:rsidRPr="00975CCD">
        <w:t xml:space="preserve"> according to the manufacturer's instructions. The reaction mixture was prepared for each sample by adding 10 µL of the reaction product, 1 µL of </w:t>
      </w:r>
      <w:proofErr w:type="spellStart"/>
      <w:r w:rsidRPr="00975CCD">
        <w:t>RsaI</w:t>
      </w:r>
      <w:proofErr w:type="spellEnd"/>
      <w:r w:rsidRPr="00975CCD">
        <w:t>, and 2 µL of 10x In-Cut Buffer. The total volume was then made up to 20 µL using 7 µL of nuclease-free water. The reaction components were mixed, and the mixture was incubated at 37°C for 3 hours. Following digestion, the products were electrophoresed on a 2% agarose gel. Genotype A showed bands of 250 bp, 180 bp, 160 bp, and 100 bp, while genotype B showed bands of 300 bp, 400 bp, and 500 bp</w:t>
      </w:r>
      <w:r w:rsidRPr="00975CCD">
        <w:rPr>
          <w:rFonts w:hint="cs"/>
          <w:rtl/>
          <w:lang w:bidi="ar-IQ"/>
        </w:rPr>
        <w:t>.</w:t>
      </w:r>
    </w:p>
    <w:p w14:paraId="0C85DBE6" w14:textId="35FCE3A8" w:rsidR="00AC7F81" w:rsidRPr="00AC7F81" w:rsidRDefault="00AC7F81" w:rsidP="000A723D">
      <w:pPr>
        <w:spacing w:before="240" w:after="240" w:line="240" w:lineRule="auto"/>
        <w:jc w:val="center"/>
        <w:rPr>
          <w:b/>
          <w:bCs/>
          <w:sz w:val="24"/>
          <w:szCs w:val="28"/>
        </w:rPr>
      </w:pPr>
      <w:r w:rsidRPr="00AC7F81">
        <w:rPr>
          <w:b/>
          <w:bCs/>
          <w:sz w:val="24"/>
          <w:szCs w:val="28"/>
        </w:rPr>
        <w:lastRenderedPageBreak/>
        <w:t>RESULT AND DISCUSSION</w:t>
      </w:r>
    </w:p>
    <w:p w14:paraId="2AFB377D" w14:textId="32AF014B" w:rsidR="00975CCD" w:rsidRPr="00975CCD" w:rsidRDefault="00975CCD" w:rsidP="00EF77E3">
      <w:pPr>
        <w:spacing w:line="240" w:lineRule="auto"/>
        <w:ind w:firstLine="284"/>
        <w:jc w:val="both"/>
      </w:pPr>
      <w:r w:rsidRPr="00975CCD">
        <w:t>Direct microscopic examination of 100 stool samples using the direct wet smear technique with 0.85% physiological saline revealed that 36 samples (36%) were positive for one of the parasite stages (encysted or trophic), and 64 samples (64%) were negative</w:t>
      </w:r>
      <w:r w:rsidRPr="00975CCD">
        <w:rPr>
          <w:rFonts w:hint="cs"/>
          <w:rtl/>
          <w:lang w:bidi="ar-IQ"/>
        </w:rPr>
        <w:t>.</w:t>
      </w:r>
    </w:p>
    <w:p w14:paraId="028C71FB" w14:textId="4E01C277" w:rsidR="00975CCD" w:rsidRPr="00975CCD" w:rsidRDefault="00975CCD" w:rsidP="00975CCD">
      <w:pPr>
        <w:spacing w:line="240" w:lineRule="auto"/>
        <w:jc w:val="center"/>
        <w:rPr>
          <w:sz w:val="18"/>
          <w:szCs w:val="20"/>
        </w:rPr>
      </w:pPr>
      <w:r w:rsidRPr="00975CCD">
        <w:rPr>
          <w:b/>
          <w:bCs/>
          <w:sz w:val="18"/>
          <w:szCs w:val="20"/>
        </w:rPr>
        <w:t xml:space="preserve">TABLE 1. </w:t>
      </w:r>
      <w:r w:rsidRPr="00975CCD">
        <w:rPr>
          <w:sz w:val="18"/>
          <w:szCs w:val="20"/>
        </w:rPr>
        <w:t xml:space="preserve">Infection rates of </w:t>
      </w:r>
      <w:r w:rsidRPr="00975CCD">
        <w:rPr>
          <w:i/>
          <w:iCs/>
          <w:sz w:val="18"/>
          <w:szCs w:val="20"/>
        </w:rPr>
        <w:t>G. lamblia</w:t>
      </w:r>
      <w:r w:rsidRPr="00975CCD">
        <w:rPr>
          <w:sz w:val="18"/>
          <w:szCs w:val="20"/>
        </w:rPr>
        <w:t xml:space="preserve"> parasite</w:t>
      </w:r>
    </w:p>
    <w:tbl>
      <w:tblPr>
        <w:tblStyle w:val="TableGrid"/>
        <w:bidiVisual/>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
        <w:gridCol w:w="1503"/>
        <w:gridCol w:w="1503"/>
        <w:gridCol w:w="1503"/>
        <w:gridCol w:w="1652"/>
      </w:tblGrid>
      <w:tr w:rsidR="00975CCD" w:rsidRPr="00975CCD" w14:paraId="380C783C" w14:textId="77777777" w:rsidTr="003B3E24">
        <w:trPr>
          <w:jc w:val="center"/>
        </w:trPr>
        <w:tc>
          <w:tcPr>
            <w:tcW w:w="1502" w:type="dxa"/>
            <w:tcBorders>
              <w:bottom w:val="nil"/>
            </w:tcBorders>
            <w:hideMark/>
          </w:tcPr>
          <w:p w14:paraId="60FD6D2B" w14:textId="77777777" w:rsidR="00975CCD" w:rsidRPr="003B3E24" w:rsidRDefault="00975CCD" w:rsidP="00BF2C5F">
            <w:pPr>
              <w:spacing w:after="200"/>
              <w:jc w:val="center"/>
              <w:rPr>
                <w:b/>
                <w:bCs/>
                <w:sz w:val="18"/>
                <w:szCs w:val="20"/>
              </w:rPr>
            </w:pPr>
            <w:r w:rsidRPr="003B3E24">
              <w:rPr>
                <w:b/>
                <w:bCs/>
                <w:sz w:val="18"/>
                <w:szCs w:val="20"/>
              </w:rPr>
              <w:t>percentage</w:t>
            </w:r>
          </w:p>
        </w:tc>
        <w:tc>
          <w:tcPr>
            <w:tcW w:w="1503" w:type="dxa"/>
            <w:tcBorders>
              <w:bottom w:val="nil"/>
            </w:tcBorders>
            <w:hideMark/>
          </w:tcPr>
          <w:p w14:paraId="7551F34C" w14:textId="77777777" w:rsidR="00975CCD" w:rsidRPr="003B3E24" w:rsidRDefault="00975CCD" w:rsidP="00BF2C5F">
            <w:pPr>
              <w:spacing w:after="200"/>
              <w:jc w:val="center"/>
              <w:rPr>
                <w:b/>
                <w:bCs/>
                <w:sz w:val="18"/>
                <w:szCs w:val="20"/>
              </w:rPr>
            </w:pPr>
            <w:r w:rsidRPr="003B3E24">
              <w:rPr>
                <w:b/>
                <w:bCs/>
                <w:sz w:val="18"/>
                <w:szCs w:val="20"/>
              </w:rPr>
              <w:t>Negative result</w:t>
            </w:r>
          </w:p>
        </w:tc>
        <w:tc>
          <w:tcPr>
            <w:tcW w:w="1503" w:type="dxa"/>
            <w:tcBorders>
              <w:bottom w:val="nil"/>
            </w:tcBorders>
            <w:hideMark/>
          </w:tcPr>
          <w:p w14:paraId="63EF91EF" w14:textId="77777777" w:rsidR="00975CCD" w:rsidRPr="003B3E24" w:rsidRDefault="00975CCD" w:rsidP="00BF2C5F">
            <w:pPr>
              <w:spacing w:after="200"/>
              <w:jc w:val="center"/>
              <w:rPr>
                <w:b/>
                <w:bCs/>
                <w:sz w:val="18"/>
                <w:szCs w:val="20"/>
              </w:rPr>
            </w:pPr>
            <w:r w:rsidRPr="003B3E24">
              <w:rPr>
                <w:b/>
                <w:bCs/>
                <w:sz w:val="18"/>
                <w:szCs w:val="20"/>
              </w:rPr>
              <w:t>percentage</w:t>
            </w:r>
          </w:p>
        </w:tc>
        <w:tc>
          <w:tcPr>
            <w:tcW w:w="1503" w:type="dxa"/>
            <w:tcBorders>
              <w:bottom w:val="nil"/>
            </w:tcBorders>
            <w:hideMark/>
          </w:tcPr>
          <w:p w14:paraId="78BE6A3E" w14:textId="77777777" w:rsidR="00975CCD" w:rsidRPr="003B3E24" w:rsidRDefault="00975CCD" w:rsidP="00BF2C5F">
            <w:pPr>
              <w:spacing w:after="200"/>
              <w:jc w:val="center"/>
              <w:rPr>
                <w:b/>
                <w:bCs/>
                <w:sz w:val="18"/>
                <w:szCs w:val="20"/>
              </w:rPr>
            </w:pPr>
            <w:r w:rsidRPr="003B3E24">
              <w:rPr>
                <w:b/>
                <w:bCs/>
                <w:sz w:val="18"/>
                <w:szCs w:val="20"/>
              </w:rPr>
              <w:t>Positive result</w:t>
            </w:r>
          </w:p>
        </w:tc>
        <w:tc>
          <w:tcPr>
            <w:tcW w:w="1652" w:type="dxa"/>
            <w:tcBorders>
              <w:bottom w:val="nil"/>
            </w:tcBorders>
            <w:hideMark/>
          </w:tcPr>
          <w:p w14:paraId="3BFEC65B" w14:textId="77777777" w:rsidR="00975CCD" w:rsidRPr="003B3E24" w:rsidRDefault="00975CCD" w:rsidP="00BF2C5F">
            <w:pPr>
              <w:spacing w:after="200"/>
              <w:jc w:val="center"/>
              <w:rPr>
                <w:b/>
                <w:bCs/>
                <w:sz w:val="18"/>
                <w:szCs w:val="20"/>
              </w:rPr>
            </w:pPr>
            <w:r w:rsidRPr="003B3E24">
              <w:rPr>
                <w:b/>
                <w:bCs/>
                <w:sz w:val="18"/>
                <w:szCs w:val="20"/>
              </w:rPr>
              <w:t>Examined sample</w:t>
            </w:r>
          </w:p>
        </w:tc>
      </w:tr>
      <w:tr w:rsidR="00975CCD" w:rsidRPr="00975CCD" w14:paraId="21CFF434" w14:textId="77777777" w:rsidTr="003B3E24">
        <w:trPr>
          <w:trHeight w:val="306"/>
          <w:jc w:val="center"/>
        </w:trPr>
        <w:tc>
          <w:tcPr>
            <w:tcW w:w="1502" w:type="dxa"/>
            <w:tcBorders>
              <w:top w:val="nil"/>
              <w:bottom w:val="single" w:sz="4" w:space="0" w:color="auto"/>
            </w:tcBorders>
            <w:hideMark/>
          </w:tcPr>
          <w:p w14:paraId="516D7435" w14:textId="77777777" w:rsidR="00975CCD" w:rsidRPr="003B3E24" w:rsidRDefault="00975CCD" w:rsidP="00BF2C5F">
            <w:pPr>
              <w:spacing w:after="200"/>
              <w:jc w:val="center"/>
              <w:rPr>
                <w:sz w:val="18"/>
                <w:szCs w:val="20"/>
              </w:rPr>
            </w:pPr>
            <w:r w:rsidRPr="003B3E24">
              <w:rPr>
                <w:sz w:val="18"/>
                <w:szCs w:val="20"/>
              </w:rPr>
              <w:t>64%</w:t>
            </w:r>
          </w:p>
        </w:tc>
        <w:tc>
          <w:tcPr>
            <w:tcW w:w="1503" w:type="dxa"/>
            <w:tcBorders>
              <w:top w:val="nil"/>
              <w:bottom w:val="single" w:sz="4" w:space="0" w:color="auto"/>
            </w:tcBorders>
            <w:hideMark/>
          </w:tcPr>
          <w:p w14:paraId="6F0FE9FF" w14:textId="77777777" w:rsidR="00975CCD" w:rsidRPr="003B3E24" w:rsidRDefault="00975CCD" w:rsidP="00BF2C5F">
            <w:pPr>
              <w:spacing w:after="200"/>
              <w:jc w:val="center"/>
              <w:rPr>
                <w:sz w:val="18"/>
                <w:szCs w:val="20"/>
              </w:rPr>
            </w:pPr>
            <w:r w:rsidRPr="003B3E24">
              <w:rPr>
                <w:sz w:val="18"/>
                <w:szCs w:val="20"/>
              </w:rPr>
              <w:t>64</w:t>
            </w:r>
          </w:p>
        </w:tc>
        <w:tc>
          <w:tcPr>
            <w:tcW w:w="1503" w:type="dxa"/>
            <w:tcBorders>
              <w:top w:val="nil"/>
              <w:bottom w:val="single" w:sz="4" w:space="0" w:color="auto"/>
            </w:tcBorders>
            <w:hideMark/>
          </w:tcPr>
          <w:p w14:paraId="5090C62F" w14:textId="77777777" w:rsidR="00975CCD" w:rsidRPr="003B3E24" w:rsidRDefault="00975CCD" w:rsidP="00BF2C5F">
            <w:pPr>
              <w:spacing w:after="200"/>
              <w:jc w:val="center"/>
              <w:rPr>
                <w:sz w:val="18"/>
                <w:szCs w:val="20"/>
              </w:rPr>
            </w:pPr>
            <w:r w:rsidRPr="003B3E24">
              <w:rPr>
                <w:sz w:val="18"/>
                <w:szCs w:val="20"/>
              </w:rPr>
              <w:t>36%</w:t>
            </w:r>
          </w:p>
        </w:tc>
        <w:tc>
          <w:tcPr>
            <w:tcW w:w="1503" w:type="dxa"/>
            <w:tcBorders>
              <w:top w:val="nil"/>
              <w:bottom w:val="single" w:sz="4" w:space="0" w:color="auto"/>
            </w:tcBorders>
            <w:hideMark/>
          </w:tcPr>
          <w:p w14:paraId="5D0FDE27" w14:textId="77777777" w:rsidR="00975CCD" w:rsidRPr="003B3E24" w:rsidRDefault="00975CCD" w:rsidP="00BF2C5F">
            <w:pPr>
              <w:spacing w:after="200"/>
              <w:jc w:val="center"/>
              <w:rPr>
                <w:sz w:val="18"/>
                <w:szCs w:val="20"/>
              </w:rPr>
            </w:pPr>
            <w:r w:rsidRPr="003B3E24">
              <w:rPr>
                <w:sz w:val="18"/>
                <w:szCs w:val="20"/>
              </w:rPr>
              <w:t>36</w:t>
            </w:r>
          </w:p>
        </w:tc>
        <w:tc>
          <w:tcPr>
            <w:tcW w:w="1652" w:type="dxa"/>
            <w:tcBorders>
              <w:top w:val="nil"/>
              <w:bottom w:val="single" w:sz="4" w:space="0" w:color="auto"/>
            </w:tcBorders>
            <w:hideMark/>
          </w:tcPr>
          <w:p w14:paraId="44CA5948" w14:textId="77777777" w:rsidR="00975CCD" w:rsidRPr="003B3E24" w:rsidRDefault="00975CCD" w:rsidP="00BF2C5F">
            <w:pPr>
              <w:spacing w:after="200"/>
              <w:jc w:val="center"/>
              <w:rPr>
                <w:sz w:val="18"/>
                <w:szCs w:val="20"/>
              </w:rPr>
            </w:pPr>
            <w:r w:rsidRPr="003B3E24">
              <w:rPr>
                <w:sz w:val="18"/>
                <w:szCs w:val="20"/>
              </w:rPr>
              <w:t>100</w:t>
            </w:r>
          </w:p>
        </w:tc>
      </w:tr>
    </w:tbl>
    <w:p w14:paraId="64CB57DE" w14:textId="77777777" w:rsidR="009E7B4A" w:rsidRDefault="009E7B4A" w:rsidP="009E7B4A">
      <w:pPr>
        <w:shd w:val="clear" w:color="auto" w:fill="FFFFFF"/>
        <w:spacing w:after="0"/>
        <w:ind w:firstLine="284"/>
        <w:jc w:val="both"/>
      </w:pPr>
    </w:p>
    <w:p w14:paraId="03E7FF49" w14:textId="5931C124" w:rsidR="003D6031" w:rsidRPr="003D6031" w:rsidRDefault="00431DCB" w:rsidP="00EF77E3">
      <w:pPr>
        <w:shd w:val="clear" w:color="auto" w:fill="FFFFFF"/>
        <w:ind w:firstLine="284"/>
        <w:jc w:val="both"/>
        <w:rPr>
          <w:rtl/>
        </w:rPr>
      </w:pPr>
      <w:r w:rsidRPr="00431DCB">
        <w:t>The 36% prevalence rate identified in this study is notably higher than the 15.55% rate reported by (Hasan, et al., 2023)</w:t>
      </w:r>
      <w:r>
        <w:t>[11]</w:t>
      </w:r>
      <w:r w:rsidRPr="00431DCB">
        <w:t xml:space="preserve"> in the Kurdistan Region</w:t>
      </w:r>
      <w:r w:rsidR="003D6031" w:rsidRPr="003D6031">
        <w:t xml:space="preserve">. Personal hygiene habits are explained as behavioral and health determinants with the difference between the diagnosed infection rates and environmental features in the studied areas. In 100 fecal samples DNA has been selectively extracted and the findings indicated that 83 of them were successfully extracted and 17 samples failed to obtain adequate quality and purity of DNA. The samples were extracted and the results were electrophoresed and the results were presented in Figure (1). </w:t>
      </w:r>
    </w:p>
    <w:p w14:paraId="5B88802A" w14:textId="1EA9A45A" w:rsidR="00975CCD" w:rsidRPr="00975CCD" w:rsidRDefault="00975CCD" w:rsidP="00975CCD">
      <w:pPr>
        <w:spacing w:line="240" w:lineRule="auto"/>
        <w:jc w:val="center"/>
        <w:rPr>
          <w:rtl/>
          <w:lang w:bidi="ar-IQ"/>
        </w:rPr>
      </w:pPr>
      <w:r w:rsidRPr="00975CCD">
        <w:rPr>
          <w:rFonts w:ascii="Calibri" w:hAnsi="Calibri" w:cs="Arial"/>
          <w:noProof/>
          <w:sz w:val="22"/>
        </w:rPr>
        <w:drawing>
          <wp:inline distT="0" distB="0" distL="0" distR="0" wp14:anchorId="6D12C30B" wp14:editId="0D2ED065">
            <wp:extent cx="3752697" cy="1561662"/>
            <wp:effectExtent l="0" t="0" r="635" b="635"/>
            <wp:docPr id="8" name="صورة 8" descr="WhatsApp Image 2025-07-22 at 19.51.51_275ea8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5-07-22 at 19.51.51_275ea8d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4071" cy="1566395"/>
                    </a:xfrm>
                    <a:prstGeom prst="rect">
                      <a:avLst/>
                    </a:prstGeom>
                    <a:noFill/>
                    <a:ln>
                      <a:noFill/>
                    </a:ln>
                  </pic:spPr>
                </pic:pic>
              </a:graphicData>
            </a:graphic>
          </wp:inline>
        </w:drawing>
      </w:r>
    </w:p>
    <w:p w14:paraId="47775844" w14:textId="2E5DE564" w:rsidR="00975CCD" w:rsidRPr="00975CCD" w:rsidRDefault="00975CCD" w:rsidP="00975CCD">
      <w:pPr>
        <w:spacing w:line="240" w:lineRule="auto"/>
        <w:jc w:val="center"/>
        <w:rPr>
          <w:sz w:val="18"/>
          <w:szCs w:val="20"/>
          <w:rtl/>
          <w:lang w:bidi="ar-IQ"/>
        </w:rPr>
      </w:pPr>
      <w:r w:rsidRPr="00975CCD">
        <w:rPr>
          <w:b/>
          <w:bCs/>
          <w:sz w:val="18"/>
          <w:szCs w:val="20"/>
        </w:rPr>
        <w:t xml:space="preserve">FIGURE 1. </w:t>
      </w:r>
      <w:r w:rsidRPr="00975CCD">
        <w:rPr>
          <w:sz w:val="18"/>
          <w:szCs w:val="20"/>
        </w:rPr>
        <w:t>DNA bands extracted from stool samples after electrophoresis on 1% agarose gel.</w:t>
      </w:r>
    </w:p>
    <w:p w14:paraId="3EBC7F43" w14:textId="326FF4DA" w:rsidR="00975CCD" w:rsidRDefault="003B3E24" w:rsidP="00EF77E3">
      <w:pPr>
        <w:spacing w:line="240" w:lineRule="auto"/>
        <w:ind w:firstLine="284"/>
        <w:jc w:val="both"/>
        <w:rPr>
          <w:lang w:bidi="ar-IQ"/>
        </w:rPr>
      </w:pPr>
      <w:r w:rsidRPr="003B3E24">
        <w:t xml:space="preserve">The outcomes of the present research are in line with </w:t>
      </w:r>
      <w:r w:rsidR="00A90A22" w:rsidRPr="003B3E24">
        <w:t>(Mozer et al.,2022)</w:t>
      </w:r>
      <w:r w:rsidR="00D93040">
        <w:t>[12</w:t>
      </w:r>
      <w:r w:rsidR="005B1CB1">
        <w:t>]</w:t>
      </w:r>
      <w:r w:rsidRPr="003B3E24">
        <w:t xml:space="preserve">, with the efficiency of DNA extraction in samples amounting to 44.3. On the contrary, in the other study, extraction efficiency significantly decreased, reaching 18% </w:t>
      </w:r>
      <w:r w:rsidR="00A90A22" w:rsidRPr="003B3E24">
        <w:t>(Faria et al., 2023)</w:t>
      </w:r>
      <w:r w:rsidR="00A90A22">
        <w:t xml:space="preserve"> </w:t>
      </w:r>
      <w:r w:rsidR="00D93040">
        <w:t>[13</w:t>
      </w:r>
      <w:r w:rsidR="005B1CB1">
        <w:t>]</w:t>
      </w:r>
      <w:r w:rsidRPr="003B3E24">
        <w:t xml:space="preserve">. This inconsistency emphasizes how much variability in quality of the extracted DNA influences the quality and efficiency of molecular diagnosis of Giardia lamblia. </w:t>
      </w:r>
      <w:proofErr w:type="spellStart"/>
      <w:r w:rsidRPr="003B3E24">
        <w:t>Gdh</w:t>
      </w:r>
      <w:proofErr w:type="spellEnd"/>
      <w:r w:rsidRPr="003B3E24">
        <w:t xml:space="preserve"> gene </w:t>
      </w:r>
      <w:proofErr w:type="spellStart"/>
      <w:r w:rsidRPr="003B3E24">
        <w:t>gdh</w:t>
      </w:r>
      <w:proofErr w:type="spellEnd"/>
      <w:r w:rsidRPr="003B3E24">
        <w:t xml:space="preserve"> gene was subjected to nested PCR. During the initial reaction on </w:t>
      </w:r>
      <w:proofErr w:type="spellStart"/>
      <w:r w:rsidRPr="003B3E24">
        <w:t>gdh</w:t>
      </w:r>
      <w:proofErr w:type="spellEnd"/>
      <w:r w:rsidRPr="003B3E24">
        <w:t xml:space="preserve"> gene, 83 samples were analyzed, and the outcome revealed the occurrence of clear bands possessing a size of about 605 base pairs when compared with the standard size marker (DNA ladder), in 61 of the samples as depicted in Figure (2).</w:t>
      </w:r>
    </w:p>
    <w:p w14:paraId="5982453C" w14:textId="75A6EA95" w:rsidR="00975CCD" w:rsidRPr="00975CCD" w:rsidRDefault="00975CCD" w:rsidP="00975CCD">
      <w:pPr>
        <w:spacing w:line="240" w:lineRule="auto"/>
        <w:jc w:val="center"/>
      </w:pPr>
      <w:r w:rsidRPr="00975CCD">
        <w:rPr>
          <w:rFonts w:ascii="Calibri" w:hAnsi="Calibri" w:cs="Arial"/>
          <w:noProof/>
          <w:sz w:val="22"/>
        </w:rPr>
        <w:drawing>
          <wp:inline distT="0" distB="0" distL="0" distR="0" wp14:anchorId="1F824387" wp14:editId="7A54CF6F">
            <wp:extent cx="3627547" cy="1621316"/>
            <wp:effectExtent l="0" t="0" r="0" b="0"/>
            <wp:docPr id="9" name="صورة 9" descr="WhatsApp Image 2025-09-25 at 17.22.21_92604f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hatsApp Image 2025-09-25 at 17.22.21_92604fb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48842" cy="1630834"/>
                    </a:xfrm>
                    <a:prstGeom prst="rect">
                      <a:avLst/>
                    </a:prstGeom>
                    <a:noFill/>
                    <a:ln>
                      <a:noFill/>
                    </a:ln>
                  </pic:spPr>
                </pic:pic>
              </a:graphicData>
            </a:graphic>
          </wp:inline>
        </w:drawing>
      </w:r>
    </w:p>
    <w:p w14:paraId="606B103E" w14:textId="16620017" w:rsidR="00975CCD" w:rsidRPr="00975CCD" w:rsidRDefault="00975CCD" w:rsidP="00975CCD">
      <w:pPr>
        <w:spacing w:line="240" w:lineRule="auto"/>
        <w:ind w:firstLine="720"/>
        <w:jc w:val="center"/>
        <w:rPr>
          <w:sz w:val="18"/>
          <w:szCs w:val="18"/>
          <w:rtl/>
          <w:lang w:bidi="ar-IQ"/>
        </w:rPr>
      </w:pPr>
      <w:r>
        <w:rPr>
          <w:b/>
          <w:bCs/>
          <w:sz w:val="18"/>
          <w:szCs w:val="18"/>
        </w:rPr>
        <w:t xml:space="preserve">FIGURE 2. </w:t>
      </w:r>
      <w:r w:rsidRPr="00975CCD">
        <w:rPr>
          <w:sz w:val="18"/>
          <w:szCs w:val="18"/>
        </w:rPr>
        <w:t xml:space="preserve">The result of the first nested PCR reaction for the </w:t>
      </w:r>
      <w:proofErr w:type="spellStart"/>
      <w:r w:rsidRPr="00975CCD">
        <w:rPr>
          <w:i/>
          <w:sz w:val="18"/>
          <w:szCs w:val="18"/>
        </w:rPr>
        <w:t>gdh</w:t>
      </w:r>
      <w:proofErr w:type="spellEnd"/>
      <w:r w:rsidRPr="00975CCD">
        <w:rPr>
          <w:i/>
          <w:sz w:val="18"/>
          <w:szCs w:val="18"/>
        </w:rPr>
        <w:t xml:space="preserve"> </w:t>
      </w:r>
      <w:r w:rsidRPr="00975CCD">
        <w:rPr>
          <w:sz w:val="18"/>
          <w:szCs w:val="18"/>
        </w:rPr>
        <w:t>gene for samples (1-3-4-5-6-8-9-10-11-12-13-14) represents the positive samples with a size of approximately 605 base pairs. Electrophoresis was carried out in a 2% agarose gel with a standard size indicator of 100 base pairs. Samples (2-7) represent the negative samples</w:t>
      </w:r>
      <w:r w:rsidRPr="00975CCD">
        <w:rPr>
          <w:rFonts w:hint="cs"/>
          <w:sz w:val="18"/>
          <w:szCs w:val="18"/>
          <w:rtl/>
          <w:lang w:bidi="ar-IQ"/>
        </w:rPr>
        <w:t>.</w:t>
      </w:r>
    </w:p>
    <w:p w14:paraId="6EC432C2" w14:textId="77777777" w:rsidR="00975CCD" w:rsidRPr="00975CCD" w:rsidRDefault="00975CCD" w:rsidP="00EF77E3">
      <w:pPr>
        <w:spacing w:line="240" w:lineRule="auto"/>
        <w:ind w:firstLine="284"/>
        <w:jc w:val="both"/>
      </w:pPr>
      <w:r w:rsidRPr="00975CCD">
        <w:lastRenderedPageBreak/>
        <w:t xml:space="preserve">Nested PCR for the second reaction was performed using </w:t>
      </w:r>
      <w:proofErr w:type="spellStart"/>
      <w:r w:rsidRPr="00975CCD">
        <w:rPr>
          <w:i/>
        </w:rPr>
        <w:t>gdh</w:t>
      </w:r>
      <w:proofErr w:type="spellEnd"/>
      <w:r w:rsidRPr="00975CCD">
        <w:rPr>
          <w:i/>
        </w:rPr>
        <w:t xml:space="preserve"> </w:t>
      </w:r>
      <w:r w:rsidRPr="00975CCD">
        <w:t>gene primers on the positive samples from the first reaction. The results showed clear bands of approximately 520 base pairs when compared with the standard size indicator (DNA ladder) in 51 samples</w:t>
      </w:r>
      <w:r w:rsidRPr="00975CCD">
        <w:rPr>
          <w:rFonts w:hint="cs"/>
          <w:rtl/>
          <w:lang w:bidi="ar-IQ"/>
        </w:rPr>
        <w:t>.</w:t>
      </w:r>
    </w:p>
    <w:p w14:paraId="77DC3808" w14:textId="580DF9A1" w:rsidR="00975CCD" w:rsidRPr="00975CCD" w:rsidRDefault="00975CCD" w:rsidP="00975CCD">
      <w:pPr>
        <w:spacing w:line="240" w:lineRule="auto"/>
        <w:jc w:val="center"/>
        <w:rPr>
          <w:sz w:val="18"/>
          <w:szCs w:val="20"/>
        </w:rPr>
      </w:pPr>
      <w:r w:rsidRPr="00975CCD">
        <w:rPr>
          <w:noProof/>
          <w:sz w:val="18"/>
          <w:szCs w:val="20"/>
        </w:rPr>
        <w:drawing>
          <wp:inline distT="0" distB="0" distL="0" distR="0" wp14:anchorId="72493ABD" wp14:editId="11FFD6C9">
            <wp:extent cx="3590856" cy="1689812"/>
            <wp:effectExtent l="0" t="0" r="0" b="5715"/>
            <wp:docPr id="5" name="صورة 5" descr="WhatsApp Image 2025-09-25 at 17.22.21_ecc8e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hatsApp Image 2025-09-25 at 17.22.21_ecc8e59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0136" cy="1694179"/>
                    </a:xfrm>
                    <a:prstGeom prst="rect">
                      <a:avLst/>
                    </a:prstGeom>
                    <a:noFill/>
                    <a:ln>
                      <a:noFill/>
                    </a:ln>
                  </pic:spPr>
                </pic:pic>
              </a:graphicData>
            </a:graphic>
          </wp:inline>
        </w:drawing>
      </w:r>
    </w:p>
    <w:p w14:paraId="0153E238" w14:textId="3BCD34C3" w:rsidR="00975CCD" w:rsidRPr="00975CCD" w:rsidRDefault="00975CCD" w:rsidP="00975CCD">
      <w:pPr>
        <w:spacing w:line="240" w:lineRule="auto"/>
        <w:ind w:firstLine="720"/>
        <w:jc w:val="center"/>
        <w:rPr>
          <w:sz w:val="18"/>
          <w:szCs w:val="20"/>
          <w:rtl/>
          <w:lang w:bidi="ar-IQ"/>
        </w:rPr>
      </w:pPr>
      <w:r>
        <w:rPr>
          <w:b/>
          <w:bCs/>
          <w:sz w:val="18"/>
          <w:szCs w:val="20"/>
        </w:rPr>
        <w:t xml:space="preserve">FIGURE 3. </w:t>
      </w:r>
      <w:r w:rsidRPr="00975CCD">
        <w:rPr>
          <w:sz w:val="18"/>
          <w:szCs w:val="20"/>
        </w:rPr>
        <w:t xml:space="preserve">The result of the second Nested PCR reaction for the </w:t>
      </w:r>
      <w:proofErr w:type="spellStart"/>
      <w:r w:rsidRPr="00975CCD">
        <w:rPr>
          <w:i/>
          <w:sz w:val="18"/>
          <w:szCs w:val="20"/>
        </w:rPr>
        <w:t>gdh</w:t>
      </w:r>
      <w:proofErr w:type="spellEnd"/>
      <w:r w:rsidRPr="00975CCD">
        <w:rPr>
          <w:i/>
          <w:sz w:val="18"/>
          <w:szCs w:val="20"/>
        </w:rPr>
        <w:t xml:space="preserve"> </w:t>
      </w:r>
      <w:r w:rsidRPr="00975CCD">
        <w:rPr>
          <w:sz w:val="18"/>
          <w:szCs w:val="20"/>
        </w:rPr>
        <w:t>gene for samples (1-3-4-5-6-8-9-10-11-12-14) represents the positive samples with a size of approximately 520 base pairs. Electrophoresis was carried out in a 2% agarose gel with a standard size indicator of 100 base pairs. As for samples (2-3-7-13), they represent the negative samples</w:t>
      </w:r>
      <w:r w:rsidRPr="00975CCD">
        <w:rPr>
          <w:rFonts w:hint="cs"/>
          <w:sz w:val="18"/>
          <w:szCs w:val="20"/>
          <w:rtl/>
          <w:lang w:bidi="ar-IQ"/>
        </w:rPr>
        <w:t>.</w:t>
      </w:r>
    </w:p>
    <w:p w14:paraId="2AEA6BF9" w14:textId="2776F5FE" w:rsidR="00975CCD" w:rsidRPr="00975CCD" w:rsidRDefault="00975CCD" w:rsidP="00EF77E3">
      <w:pPr>
        <w:spacing w:line="240" w:lineRule="auto"/>
        <w:ind w:firstLine="284"/>
        <w:jc w:val="both"/>
      </w:pPr>
      <w:r w:rsidRPr="00975CCD">
        <w:t xml:space="preserve">These results are consistent with previous studies such as </w:t>
      </w:r>
      <w:r w:rsidR="007F7A62" w:rsidRPr="00975CCD">
        <w:t xml:space="preserve">(Ahmad </w:t>
      </w:r>
      <w:r w:rsidR="007F7A62" w:rsidRPr="00975CCD">
        <w:rPr>
          <w:i/>
        </w:rPr>
        <w:t>et al</w:t>
      </w:r>
      <w:r w:rsidR="007F7A62" w:rsidRPr="00975CCD">
        <w:t xml:space="preserve">., 2017) </w:t>
      </w:r>
      <w:r w:rsidR="007F7A62">
        <w:t xml:space="preserve"> </w:t>
      </w:r>
      <w:r w:rsidR="005B1CB1" w:rsidRPr="005B1CB1">
        <w:t>[1</w:t>
      </w:r>
      <w:r w:rsidR="00D93040">
        <w:t>4</w:t>
      </w:r>
      <w:r w:rsidR="005B1CB1" w:rsidRPr="005B1CB1">
        <w:t xml:space="preserve">] </w:t>
      </w:r>
      <w:r w:rsidRPr="00975CCD">
        <w:t>which recorded detection at 57.8%. In contrast, the results contradicted those reported by</w:t>
      </w:r>
      <w:r w:rsidR="007F7A62">
        <w:rPr>
          <w:rFonts w:hint="cs"/>
          <w:rtl/>
        </w:rPr>
        <w:t xml:space="preserve"> </w:t>
      </w:r>
      <w:r w:rsidR="007F7A62" w:rsidRPr="00975CCD">
        <w:t xml:space="preserve">(Al-Asad &amp; Kadhum, 2018) </w:t>
      </w:r>
      <w:r w:rsidR="00D93040">
        <w:t>[15</w:t>
      </w:r>
      <w:r w:rsidR="005B1CB1">
        <w:t>]</w:t>
      </w:r>
      <w:r w:rsidRPr="00975CCD">
        <w:t xml:space="preserve"> </w:t>
      </w:r>
      <w:r w:rsidR="007F7A62" w:rsidRPr="00975CCD">
        <w:t xml:space="preserve">and (Mohammed, 2024) </w:t>
      </w:r>
      <w:r w:rsidRPr="00975CCD">
        <w:t xml:space="preserve"> </w:t>
      </w:r>
      <w:r w:rsidR="00D93040">
        <w:t>[16</w:t>
      </w:r>
      <w:r w:rsidR="005B1CB1">
        <w:t>]</w:t>
      </w:r>
      <w:r w:rsidRPr="00975CCD">
        <w:t xml:space="preserve"> which recorded higher rates using Nested PCR ranging between 70-85%</w:t>
      </w:r>
      <w:r w:rsidRPr="00975CCD">
        <w:rPr>
          <w:rFonts w:hint="cs"/>
          <w:rtl/>
          <w:lang w:bidi="ar-IQ"/>
        </w:rPr>
        <w:t>.</w:t>
      </w:r>
      <w:r>
        <w:rPr>
          <w:lang w:bidi="ar-IQ"/>
        </w:rPr>
        <w:t xml:space="preserve"> </w:t>
      </w:r>
      <w:r w:rsidRPr="00975CCD">
        <w:t xml:space="preserve">The products of the second Nested PCR reaction were subjected to enzyme digestion using </w:t>
      </w:r>
      <w:proofErr w:type="spellStart"/>
      <w:r w:rsidRPr="00975CCD">
        <w:t>RsaI</w:t>
      </w:r>
      <w:proofErr w:type="spellEnd"/>
      <w:r w:rsidRPr="00975CCD">
        <w:t xml:space="preserve"> to determine the genotypes of </w:t>
      </w:r>
      <w:r w:rsidRPr="00975CCD">
        <w:rPr>
          <w:i/>
        </w:rPr>
        <w:t xml:space="preserve">G. lamblia </w:t>
      </w:r>
      <w:r w:rsidRPr="00975CCD">
        <w:t>assemblages. The results showed that type A was represented by a main band of 250 bp, 180 bp, 160 bp, and 100 bp, and type B by a main band of 300 bp, 400 bp, and 500 bp. Some samples exhibited both bands, indicating mixed A + B infections, as shown in Figure (4).</w:t>
      </w:r>
    </w:p>
    <w:p w14:paraId="7E3CE8F6" w14:textId="6835791D" w:rsidR="00975CCD" w:rsidRPr="00975CCD" w:rsidRDefault="00975CCD" w:rsidP="00975CCD">
      <w:pPr>
        <w:spacing w:line="240" w:lineRule="auto"/>
        <w:jc w:val="center"/>
        <w:rPr>
          <w:sz w:val="18"/>
          <w:szCs w:val="20"/>
        </w:rPr>
      </w:pPr>
      <w:r w:rsidRPr="00975CCD">
        <w:rPr>
          <w:sz w:val="18"/>
          <w:szCs w:val="20"/>
          <w:rtl/>
          <w:lang w:bidi="ar-IQ"/>
        </w:rPr>
        <w:t>.</w:t>
      </w:r>
      <w:r w:rsidRPr="00975CCD">
        <w:rPr>
          <w:noProof/>
          <w:sz w:val="18"/>
          <w:szCs w:val="20"/>
        </w:rPr>
        <w:drawing>
          <wp:inline distT="0" distB="0" distL="0" distR="0" wp14:anchorId="7E5F598B" wp14:editId="040F383F">
            <wp:extent cx="3650284" cy="1726387"/>
            <wp:effectExtent l="0" t="0" r="7620" b="7620"/>
            <wp:docPr id="1" name="صورة 1" descr="WhatsApp Image 2025-09-25 at 22.19.17_8de18e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hatsApp Image 2025-09-25 at 22.19.17_8de18e0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69339" cy="1735399"/>
                    </a:xfrm>
                    <a:prstGeom prst="rect">
                      <a:avLst/>
                    </a:prstGeom>
                    <a:noFill/>
                    <a:ln>
                      <a:noFill/>
                    </a:ln>
                  </pic:spPr>
                </pic:pic>
              </a:graphicData>
            </a:graphic>
          </wp:inline>
        </w:drawing>
      </w:r>
    </w:p>
    <w:p w14:paraId="01C22217" w14:textId="12C757DC" w:rsidR="00975CCD" w:rsidRPr="00975CCD" w:rsidRDefault="00431DCB" w:rsidP="00431DCB">
      <w:pPr>
        <w:spacing w:line="240" w:lineRule="auto"/>
        <w:jc w:val="center"/>
        <w:rPr>
          <w:sz w:val="18"/>
          <w:szCs w:val="20"/>
          <w:rtl/>
          <w:lang w:bidi="ar-IQ"/>
        </w:rPr>
      </w:pPr>
      <w:r>
        <w:rPr>
          <w:b/>
          <w:bCs/>
          <w:sz w:val="18"/>
          <w:szCs w:val="20"/>
        </w:rPr>
        <w:t>FIGURE 4</w:t>
      </w:r>
      <w:r w:rsidR="00975CCD" w:rsidRPr="00975CCD">
        <w:rPr>
          <w:b/>
          <w:bCs/>
          <w:sz w:val="18"/>
          <w:szCs w:val="20"/>
        </w:rPr>
        <w:t>.</w:t>
      </w:r>
      <w:r w:rsidR="00975CCD" w:rsidRPr="00975CCD">
        <w:rPr>
          <w:sz w:val="18"/>
          <w:szCs w:val="20"/>
        </w:rPr>
        <w:t xml:space="preserve"> Shows from these results that (3-5) samples belong to type A, (1-2-3-10-9) samples belong to type B, while (8-7-6) samples were found to be carrying a mixed infection</w:t>
      </w:r>
      <w:r w:rsidR="00975CCD" w:rsidRPr="00975CCD">
        <w:rPr>
          <w:rFonts w:hint="cs"/>
          <w:sz w:val="18"/>
          <w:szCs w:val="20"/>
          <w:rtl/>
          <w:lang w:bidi="ar-IQ"/>
        </w:rPr>
        <w:t>.</w:t>
      </w:r>
    </w:p>
    <w:p w14:paraId="0FA279B1" w14:textId="67103C9F" w:rsidR="00975CCD" w:rsidRPr="00975CCD" w:rsidRDefault="00975CCD" w:rsidP="00EF77E3">
      <w:pPr>
        <w:spacing w:line="240" w:lineRule="auto"/>
        <w:ind w:firstLine="284"/>
        <w:jc w:val="both"/>
      </w:pPr>
      <w:r w:rsidRPr="00975CCD">
        <w:t xml:space="preserve">The results of the current study showed that pattern B was superior by 50.98% compared to 39.21% for pattern A, while the mixed samples were 9.8%. These results are consistent with local studies in Iraq, such as Wasit Governorate, which recorded a prevalence of type B at 78% and type A at 22% </w:t>
      </w:r>
      <w:r w:rsidR="007F7A62" w:rsidRPr="00975CCD">
        <w:t>(Al-Asad &amp; Kadhum, 2018)</w:t>
      </w:r>
      <w:r w:rsidR="007F7A62">
        <w:t xml:space="preserve"> </w:t>
      </w:r>
      <w:r w:rsidR="00D93040">
        <w:t>[15</w:t>
      </w:r>
      <w:r w:rsidR="005B1CB1">
        <w:t>]</w:t>
      </w:r>
      <w:r w:rsidRPr="00975CCD">
        <w:t>. On the other hand, some local and international studies showed a prevalence of type A, such as Babylon Governorate, where the prevalence of type A was recorded between 61.9–71.4% compared to 28.6–38.1% for type B</w:t>
      </w:r>
      <w:r w:rsidR="007F7A62" w:rsidRPr="00975CCD">
        <w:t>(</w:t>
      </w:r>
      <w:proofErr w:type="spellStart"/>
      <w:r w:rsidR="007F7A62" w:rsidRPr="00975CCD">
        <w:t>Alseady</w:t>
      </w:r>
      <w:proofErr w:type="spellEnd"/>
      <w:r w:rsidR="007F7A62" w:rsidRPr="00975CCD">
        <w:t xml:space="preserve"> </w:t>
      </w:r>
      <w:r w:rsidR="007F7A62" w:rsidRPr="00975CCD">
        <w:rPr>
          <w:i/>
        </w:rPr>
        <w:t>et al</w:t>
      </w:r>
      <w:r w:rsidR="007F7A62" w:rsidRPr="00975CCD">
        <w:t>., 2023; Idan &amp; Al-</w:t>
      </w:r>
      <w:proofErr w:type="spellStart"/>
      <w:r w:rsidR="007F7A62" w:rsidRPr="00975CCD">
        <w:t>Hasnawy</w:t>
      </w:r>
      <w:proofErr w:type="spellEnd"/>
      <w:r w:rsidR="007F7A62" w:rsidRPr="00975CCD">
        <w:t>, 2023)</w:t>
      </w:r>
      <w:r w:rsidRPr="00975CCD">
        <w:t xml:space="preserve"> </w:t>
      </w:r>
      <w:r w:rsidR="00D93040">
        <w:t>[17</w:t>
      </w:r>
      <w:r w:rsidR="00465AA4">
        <w:t>][1</w:t>
      </w:r>
      <w:r w:rsidR="00D93040">
        <w:t>8</w:t>
      </w:r>
      <w:r w:rsidR="00465AA4">
        <w:t>]</w:t>
      </w:r>
      <w:r w:rsidRPr="00975CCD">
        <w:t xml:space="preserve">. </w:t>
      </w:r>
      <w:r w:rsidR="003B3E24">
        <w:rPr>
          <w:rFonts w:hint="cs"/>
          <w:rtl/>
        </w:rPr>
        <w:t xml:space="preserve"> </w:t>
      </w:r>
      <w:r w:rsidR="003B3E24" w:rsidRPr="003B3E24">
        <w:t>Mixed infection (A + B) had 9.8 percent, high levels of mixed infection were found in some of the Iraqi governorates (</w:t>
      </w:r>
      <w:proofErr w:type="spellStart"/>
      <w:r w:rsidR="003B3E24" w:rsidRPr="003B3E24">
        <w:t>Dhi</w:t>
      </w:r>
      <w:proofErr w:type="spellEnd"/>
      <w:r w:rsidR="003B3E24" w:rsidRPr="003B3E24">
        <w:t xml:space="preserve"> </w:t>
      </w:r>
      <w:proofErr w:type="spellStart"/>
      <w:r w:rsidR="003B3E24" w:rsidRPr="003B3E24">
        <w:t>Qar</w:t>
      </w:r>
      <w:proofErr w:type="spellEnd"/>
      <w:r w:rsidR="003B3E24" w:rsidRPr="003B3E24">
        <w:t xml:space="preserve">, 62.3 and Wasit, 33.3), which means that this type of infection is common among children, and is also similar with international findings in Egypt and </w:t>
      </w:r>
      <w:r w:rsidR="00E44976" w:rsidRPr="003B3E24">
        <w:t>Brazil (Rahi and Kadhim, 2021; Hassen, 2009; Dyab et al., 2022; Faria et al., 2016)</w:t>
      </w:r>
      <w:r w:rsidR="003B3E24" w:rsidRPr="003B3E24">
        <w:t xml:space="preserve"> </w:t>
      </w:r>
      <w:r w:rsidR="00D93040">
        <w:t>[19</w:t>
      </w:r>
      <w:r w:rsidR="00465AA4">
        <w:t>][2</w:t>
      </w:r>
      <w:r w:rsidR="00D93040">
        <w:t>0][21][22</w:t>
      </w:r>
      <w:r w:rsidR="00465AA4">
        <w:t>]</w:t>
      </w:r>
      <w:r w:rsidR="003B3E24" w:rsidRPr="003B3E24">
        <w:t>.</w:t>
      </w:r>
    </w:p>
    <w:p w14:paraId="56ED72EC" w14:textId="77777777" w:rsidR="00BF2C5F" w:rsidRDefault="00BF2C5F" w:rsidP="00247AFE">
      <w:pPr>
        <w:spacing w:line="240" w:lineRule="auto"/>
        <w:jc w:val="center"/>
        <w:rPr>
          <w:b/>
          <w:sz w:val="24"/>
        </w:rPr>
      </w:pPr>
    </w:p>
    <w:p w14:paraId="59B939A1" w14:textId="3F55AE43" w:rsidR="00247AFE" w:rsidRPr="008B04DE" w:rsidRDefault="002D125E" w:rsidP="000A723D">
      <w:pPr>
        <w:spacing w:before="240" w:after="240" w:line="240" w:lineRule="auto"/>
        <w:jc w:val="center"/>
        <w:rPr>
          <w:b/>
          <w:sz w:val="24"/>
        </w:rPr>
      </w:pPr>
      <w:r w:rsidRPr="008B04DE">
        <w:rPr>
          <w:b/>
          <w:sz w:val="24"/>
        </w:rPr>
        <w:lastRenderedPageBreak/>
        <w:t>CONCLUSIONS</w:t>
      </w:r>
    </w:p>
    <w:p w14:paraId="2B7FCE19" w14:textId="0AE3841B" w:rsidR="003B3E24" w:rsidRDefault="003B3E24" w:rsidP="00EF77E3">
      <w:pPr>
        <w:spacing w:line="240" w:lineRule="auto"/>
        <w:ind w:firstLine="284"/>
        <w:jc w:val="both"/>
        <w:rPr>
          <w:rtl/>
        </w:rPr>
      </w:pPr>
      <w:r w:rsidRPr="003B3E24">
        <w:t xml:space="preserve">The use of a nested PCR-RFLP assay of </w:t>
      </w:r>
      <w:proofErr w:type="spellStart"/>
      <w:r w:rsidRPr="003B3E24">
        <w:t>gdh</w:t>
      </w:r>
      <w:proofErr w:type="spellEnd"/>
      <w:r w:rsidRPr="003B3E24">
        <w:t xml:space="preserve"> gene was successful in the study to detect and genotype the Giardia lamblia in diarrheic patients. The results confirm that nested PCR is a very potent method, which detected 51 positive cases of 100 samples, which indicates </w:t>
      </w:r>
      <w:r w:rsidR="00B2598A" w:rsidRPr="003B3E24">
        <w:t>the sensitivity</w:t>
      </w:r>
      <w:r w:rsidRPr="003B3E24">
        <w:t xml:space="preserve"> of the technique is higher than the method of conventional microscopy that had a 36 percent detection rate. Genotyping of the isolates found that the most common genotype was Assemblage B (50.98%), then Assemblage A (39.21%) followed by a significant proportion of mixed A+B infections (9.8%). The prevalence of Assemblage B indicates that anthroponotic (human to human) transmission is probably the main infection pathway in this population, which is not surprising by comparison with some past studies done locally. The coincidental identification of the zoonotic Assemblage A along with mixed cases emphasizes the convoluted epidemiology of giardiasis in the area, which is why molecular tools are needed to trace the sources of contamination and support effective community health measures.</w:t>
      </w:r>
      <w:r w:rsidR="00431DCB" w:rsidRPr="00431DCB">
        <w:t xml:space="preserve"> These findings support the increased use of molecular tools for tracking contamination sources and guiding more effective public health interventions</w:t>
      </w:r>
    </w:p>
    <w:p w14:paraId="316762A8" w14:textId="61126D92" w:rsidR="004354AE" w:rsidRPr="004354AE" w:rsidRDefault="004354AE" w:rsidP="000A723D">
      <w:pPr>
        <w:spacing w:before="240" w:after="240" w:line="240" w:lineRule="auto"/>
        <w:jc w:val="center"/>
        <w:rPr>
          <w:b/>
          <w:bCs/>
          <w:sz w:val="24"/>
          <w:szCs w:val="28"/>
        </w:rPr>
      </w:pPr>
      <w:r w:rsidRPr="004354AE">
        <w:rPr>
          <w:b/>
          <w:bCs/>
          <w:sz w:val="24"/>
          <w:szCs w:val="28"/>
        </w:rPr>
        <w:t>REFERENCES</w:t>
      </w:r>
    </w:p>
    <w:p w14:paraId="1EBED817" w14:textId="77777777" w:rsidR="008B04DE" w:rsidRPr="008B04DE" w:rsidRDefault="008B04DE" w:rsidP="00CA676A">
      <w:pPr>
        <w:numPr>
          <w:ilvl w:val="0"/>
          <w:numId w:val="20"/>
        </w:numPr>
        <w:spacing w:after="0" w:line="240" w:lineRule="auto"/>
        <w:ind w:left="360"/>
        <w:jc w:val="both"/>
        <w:rPr>
          <w:rFonts w:cs="Times New Roman"/>
          <w:color w:val="1B1C1D"/>
          <w:szCs w:val="20"/>
        </w:rPr>
      </w:pPr>
      <w:r w:rsidRPr="008B04DE">
        <w:rPr>
          <w:rFonts w:cs="Times New Roman"/>
          <w:color w:val="1B1C1D"/>
          <w:szCs w:val="20"/>
        </w:rPr>
        <w:t xml:space="preserve">N. Roshidi, N. H. Mohd Hassan, A. Abdul Hadi, &amp; N. Arifin, "Current state of infection and prevalence of giardiasis in Malaysia: a review of 20 years of research," </w:t>
      </w:r>
      <w:proofErr w:type="spellStart"/>
      <w:r w:rsidRPr="008B04DE">
        <w:rPr>
          <w:rFonts w:cs="Times New Roman"/>
          <w:color w:val="1B1C1D"/>
          <w:szCs w:val="20"/>
        </w:rPr>
        <w:t>PeerJ</w:t>
      </w:r>
      <w:proofErr w:type="spellEnd"/>
      <w:r w:rsidRPr="008B04DE">
        <w:rPr>
          <w:rFonts w:cs="Times New Roman"/>
          <w:color w:val="1B1C1D"/>
          <w:szCs w:val="20"/>
        </w:rPr>
        <w:t>, 9, p. e12483, 2021.</w:t>
      </w:r>
    </w:p>
    <w:p w14:paraId="1A74BF40" w14:textId="77777777" w:rsidR="008B04DE" w:rsidRPr="008B04DE" w:rsidRDefault="008B04DE" w:rsidP="00CA676A">
      <w:pPr>
        <w:numPr>
          <w:ilvl w:val="0"/>
          <w:numId w:val="20"/>
        </w:numPr>
        <w:spacing w:after="0" w:line="240" w:lineRule="auto"/>
        <w:ind w:left="360"/>
        <w:jc w:val="both"/>
        <w:rPr>
          <w:rFonts w:cs="Times New Roman"/>
          <w:color w:val="1B1C1D"/>
          <w:szCs w:val="20"/>
        </w:rPr>
      </w:pPr>
      <w:r w:rsidRPr="008B04DE">
        <w:rPr>
          <w:rFonts w:cs="Times New Roman"/>
          <w:color w:val="1B1C1D"/>
          <w:szCs w:val="20"/>
        </w:rPr>
        <w:t xml:space="preserve">A. F. E. Aziz, N. Roshidi, N. Othman, K. M. Hanafiah, &amp; N. Arifin, "Application of Proteomics to the Study of the Therapeutics and Pathogenicity of Giardia </w:t>
      </w:r>
      <w:proofErr w:type="spellStart"/>
      <w:r w:rsidRPr="008B04DE">
        <w:rPr>
          <w:rFonts w:cs="Times New Roman"/>
          <w:color w:val="1B1C1D"/>
          <w:szCs w:val="20"/>
        </w:rPr>
        <w:t>duodenalis</w:t>
      </w:r>
      <w:proofErr w:type="spellEnd"/>
      <w:r w:rsidRPr="008B04DE">
        <w:rPr>
          <w:rFonts w:cs="Times New Roman"/>
          <w:color w:val="1B1C1D"/>
          <w:szCs w:val="20"/>
        </w:rPr>
        <w:t>," Diagnostics, 12(2744), pp. 1-14, 2022.</w:t>
      </w:r>
    </w:p>
    <w:p w14:paraId="0BD9CC60" w14:textId="77777777" w:rsidR="008B04DE" w:rsidRPr="008B04DE" w:rsidRDefault="008B04DE" w:rsidP="00CA676A">
      <w:pPr>
        <w:numPr>
          <w:ilvl w:val="0"/>
          <w:numId w:val="20"/>
        </w:numPr>
        <w:spacing w:after="0" w:line="240" w:lineRule="auto"/>
        <w:ind w:left="360"/>
        <w:jc w:val="both"/>
        <w:rPr>
          <w:rFonts w:cs="Times New Roman"/>
          <w:color w:val="1B1C1D"/>
          <w:szCs w:val="20"/>
        </w:rPr>
      </w:pPr>
      <w:r w:rsidRPr="008B04DE">
        <w:rPr>
          <w:rFonts w:cs="Times New Roman"/>
          <w:color w:val="1B1C1D"/>
          <w:szCs w:val="20"/>
        </w:rPr>
        <w:t>M. K. Lynn, J. A. Morrissey, &amp; D. F. Conserve, "Soil-transmitted helminths in the USA: a review of five common parasites and future directions for avenues of enhanced epidemiologic inquiry," Current Tropical Medicine Reports, 8, pp. 32-42, 2021.</w:t>
      </w:r>
    </w:p>
    <w:p w14:paraId="3D823559" w14:textId="77777777" w:rsidR="008B04DE" w:rsidRPr="008B04DE" w:rsidRDefault="008B04DE" w:rsidP="00CA676A">
      <w:pPr>
        <w:numPr>
          <w:ilvl w:val="0"/>
          <w:numId w:val="20"/>
        </w:numPr>
        <w:spacing w:after="0" w:line="240" w:lineRule="auto"/>
        <w:ind w:left="360"/>
        <w:jc w:val="both"/>
        <w:rPr>
          <w:rFonts w:cs="Times New Roman"/>
          <w:color w:val="1B1C1D"/>
          <w:szCs w:val="20"/>
        </w:rPr>
      </w:pPr>
      <w:r w:rsidRPr="008B04DE">
        <w:rPr>
          <w:rFonts w:cs="Times New Roman"/>
          <w:color w:val="1B1C1D"/>
          <w:szCs w:val="20"/>
        </w:rPr>
        <w:t>I. Khattak, W. L. Yen, T. Usman, N. Nasreen, A. Khan, S. Ahmad, et al., "Individual and community-level risk factors for giardiasis in children under five years of age in Pakistan: A prospective multi-regional study," Children, 10(6), p. 1087, 2023.</w:t>
      </w:r>
    </w:p>
    <w:p w14:paraId="47457332" w14:textId="77777777" w:rsidR="008B04DE" w:rsidRPr="008B04DE" w:rsidRDefault="008B04DE" w:rsidP="00CA676A">
      <w:pPr>
        <w:numPr>
          <w:ilvl w:val="0"/>
          <w:numId w:val="20"/>
        </w:numPr>
        <w:spacing w:after="0" w:line="240" w:lineRule="auto"/>
        <w:ind w:left="360"/>
        <w:jc w:val="both"/>
        <w:rPr>
          <w:rFonts w:cs="Times New Roman"/>
          <w:color w:val="1B1C1D"/>
          <w:szCs w:val="20"/>
        </w:rPr>
      </w:pPr>
      <w:r w:rsidRPr="008B04DE">
        <w:rPr>
          <w:rFonts w:cs="Times New Roman"/>
          <w:color w:val="1B1C1D"/>
          <w:szCs w:val="20"/>
        </w:rPr>
        <w:t xml:space="preserve">Ö. O. Kilinç, A. Ayan, B. A. Çelik, Ö. Y. Çelik, N. Yüksek, G. Akyildiz, &amp; F. E. </w:t>
      </w:r>
      <w:proofErr w:type="spellStart"/>
      <w:r w:rsidRPr="008B04DE">
        <w:rPr>
          <w:rFonts w:cs="Times New Roman"/>
          <w:color w:val="1B1C1D"/>
          <w:szCs w:val="20"/>
        </w:rPr>
        <w:t>O˘guz</w:t>
      </w:r>
      <w:proofErr w:type="spellEnd"/>
      <w:r w:rsidRPr="008B04DE">
        <w:rPr>
          <w:rFonts w:cs="Times New Roman"/>
          <w:color w:val="1B1C1D"/>
          <w:szCs w:val="20"/>
        </w:rPr>
        <w:t xml:space="preserve">, "The Investigation of Giardiasis (Foodborne and Waterborne Diseases) in Buffaloes in Van Region, Türkiye: First Molecular Report of Giardia </w:t>
      </w:r>
      <w:proofErr w:type="spellStart"/>
      <w:r w:rsidRPr="008B04DE">
        <w:rPr>
          <w:rFonts w:cs="Times New Roman"/>
          <w:color w:val="1B1C1D"/>
          <w:szCs w:val="20"/>
        </w:rPr>
        <w:t>duodenalis</w:t>
      </w:r>
      <w:proofErr w:type="spellEnd"/>
      <w:r w:rsidRPr="008B04DE">
        <w:rPr>
          <w:rFonts w:cs="Times New Roman"/>
          <w:color w:val="1B1C1D"/>
          <w:szCs w:val="20"/>
        </w:rPr>
        <w:t xml:space="preserve"> Assemblage B from Buffaloes," Pathogens, 12(106), pp. 1-9, 2023.</w:t>
      </w:r>
    </w:p>
    <w:p w14:paraId="4E61132A" w14:textId="77777777" w:rsidR="008B04DE" w:rsidRPr="008B04DE" w:rsidRDefault="008B04DE" w:rsidP="00CA676A">
      <w:pPr>
        <w:numPr>
          <w:ilvl w:val="0"/>
          <w:numId w:val="20"/>
        </w:numPr>
        <w:spacing w:after="0" w:line="240" w:lineRule="auto"/>
        <w:ind w:left="360"/>
        <w:jc w:val="both"/>
        <w:rPr>
          <w:rFonts w:cs="Times New Roman"/>
          <w:color w:val="1B1C1D"/>
          <w:szCs w:val="20"/>
        </w:rPr>
      </w:pPr>
      <w:r w:rsidRPr="008B04DE">
        <w:rPr>
          <w:rFonts w:cs="Times New Roman"/>
          <w:color w:val="1B1C1D"/>
          <w:szCs w:val="20"/>
        </w:rPr>
        <w:t>F. E. Adeyemo, "Occurrence and variations of cryptosporidium and giardia in wastewater treatment and receiving river basins," Doctoral dissertation, Durban University of Technology, 2020.</w:t>
      </w:r>
    </w:p>
    <w:p w14:paraId="7D290F77" w14:textId="77777777" w:rsidR="008B04DE" w:rsidRPr="008B04DE" w:rsidRDefault="008B04DE" w:rsidP="00CA676A">
      <w:pPr>
        <w:numPr>
          <w:ilvl w:val="0"/>
          <w:numId w:val="20"/>
        </w:numPr>
        <w:spacing w:after="0" w:line="240" w:lineRule="auto"/>
        <w:ind w:left="360"/>
        <w:jc w:val="both"/>
        <w:rPr>
          <w:rFonts w:cs="Times New Roman"/>
          <w:color w:val="1B1C1D"/>
          <w:szCs w:val="20"/>
        </w:rPr>
      </w:pPr>
      <w:r w:rsidRPr="008B04DE">
        <w:rPr>
          <w:rFonts w:cs="Times New Roman"/>
          <w:color w:val="1B1C1D"/>
          <w:szCs w:val="20"/>
        </w:rPr>
        <w:t>L. C. Ferguson, A. Smith-Palmer, &amp; C. L. Alexander, "An update on the incidence of human giardiasis in Scotland, 2011- 2018," Parasites &amp; Vectors, 13(1), p. 291, 2020.</w:t>
      </w:r>
    </w:p>
    <w:p w14:paraId="2B4346F0" w14:textId="77777777" w:rsidR="008B04DE" w:rsidRPr="008B04DE" w:rsidRDefault="008B04DE" w:rsidP="00CA676A">
      <w:pPr>
        <w:numPr>
          <w:ilvl w:val="0"/>
          <w:numId w:val="20"/>
        </w:numPr>
        <w:spacing w:after="0" w:line="240" w:lineRule="auto"/>
        <w:ind w:left="360"/>
        <w:jc w:val="both"/>
        <w:rPr>
          <w:rFonts w:cs="Times New Roman"/>
          <w:color w:val="1B1C1D"/>
          <w:szCs w:val="20"/>
        </w:rPr>
      </w:pPr>
      <w:r w:rsidRPr="008B04DE">
        <w:rPr>
          <w:rFonts w:cs="Times New Roman"/>
          <w:color w:val="1B1C1D"/>
          <w:szCs w:val="20"/>
        </w:rPr>
        <w:t xml:space="preserve">X. Mu, J. Guo, H. Wang, Y. Li, K. Yuan, H. Xu, et al., "Establishment and preliminary application of PCR-RFLP genotyping method for Giardia </w:t>
      </w:r>
      <w:proofErr w:type="spellStart"/>
      <w:r w:rsidRPr="008B04DE">
        <w:rPr>
          <w:rFonts w:cs="Times New Roman"/>
          <w:color w:val="1B1C1D"/>
          <w:szCs w:val="20"/>
        </w:rPr>
        <w:t>duodenalis</w:t>
      </w:r>
      <w:proofErr w:type="spellEnd"/>
      <w:r w:rsidRPr="008B04DE">
        <w:rPr>
          <w:rFonts w:cs="Times New Roman"/>
          <w:color w:val="1B1C1D"/>
          <w:szCs w:val="20"/>
        </w:rPr>
        <w:t xml:space="preserve"> in goats," BMC Veterinary Research, 20(1), p. 527, 2024.</w:t>
      </w:r>
    </w:p>
    <w:p w14:paraId="4F051EA8" w14:textId="77777777" w:rsidR="008B04DE" w:rsidRPr="008B04DE" w:rsidRDefault="008B04DE" w:rsidP="00CA676A">
      <w:pPr>
        <w:numPr>
          <w:ilvl w:val="0"/>
          <w:numId w:val="20"/>
        </w:numPr>
        <w:spacing w:after="0" w:line="240" w:lineRule="auto"/>
        <w:ind w:left="360"/>
        <w:jc w:val="both"/>
        <w:rPr>
          <w:rFonts w:cs="Times New Roman"/>
          <w:color w:val="1B1C1D"/>
          <w:szCs w:val="20"/>
        </w:rPr>
      </w:pPr>
      <w:r w:rsidRPr="008B04DE">
        <w:rPr>
          <w:rFonts w:cs="Times New Roman"/>
          <w:color w:val="1B1C1D"/>
          <w:szCs w:val="20"/>
        </w:rPr>
        <w:t xml:space="preserve">S. </w:t>
      </w:r>
      <w:proofErr w:type="spellStart"/>
      <w:r w:rsidRPr="008B04DE">
        <w:rPr>
          <w:rFonts w:cs="Times New Roman"/>
          <w:color w:val="1B1C1D"/>
          <w:szCs w:val="20"/>
        </w:rPr>
        <w:t>Belkessa</w:t>
      </w:r>
      <w:proofErr w:type="spellEnd"/>
      <w:r w:rsidRPr="008B04DE">
        <w:rPr>
          <w:rFonts w:cs="Times New Roman"/>
          <w:color w:val="1B1C1D"/>
          <w:szCs w:val="20"/>
        </w:rPr>
        <w:t xml:space="preserve">, D. Thomas-Lopez, K. </w:t>
      </w:r>
      <w:proofErr w:type="spellStart"/>
      <w:r w:rsidRPr="008B04DE">
        <w:rPr>
          <w:rFonts w:cs="Times New Roman"/>
          <w:color w:val="1B1C1D"/>
          <w:szCs w:val="20"/>
        </w:rPr>
        <w:t>Houali</w:t>
      </w:r>
      <w:proofErr w:type="spellEnd"/>
      <w:r w:rsidRPr="008B04DE">
        <w:rPr>
          <w:rFonts w:cs="Times New Roman"/>
          <w:color w:val="1B1C1D"/>
          <w:szCs w:val="20"/>
        </w:rPr>
        <w:t xml:space="preserve">, F. </w:t>
      </w:r>
      <w:proofErr w:type="spellStart"/>
      <w:r w:rsidRPr="008B04DE">
        <w:rPr>
          <w:rFonts w:cs="Times New Roman"/>
          <w:color w:val="1B1C1D"/>
          <w:szCs w:val="20"/>
        </w:rPr>
        <w:t>Ghalmi</w:t>
      </w:r>
      <w:proofErr w:type="spellEnd"/>
      <w:r w:rsidRPr="008B04DE">
        <w:rPr>
          <w:rFonts w:cs="Times New Roman"/>
          <w:color w:val="1B1C1D"/>
          <w:szCs w:val="20"/>
        </w:rPr>
        <w:t xml:space="preserve">, &amp; C. R. Stensvold, "Molecular Characterization of Giardia </w:t>
      </w:r>
      <w:proofErr w:type="spellStart"/>
      <w:r w:rsidRPr="008B04DE">
        <w:rPr>
          <w:rFonts w:cs="Times New Roman"/>
          <w:color w:val="1B1C1D"/>
          <w:szCs w:val="20"/>
        </w:rPr>
        <w:t>duodenalis</w:t>
      </w:r>
      <w:proofErr w:type="spellEnd"/>
      <w:r w:rsidRPr="008B04DE">
        <w:rPr>
          <w:rFonts w:cs="Times New Roman"/>
          <w:color w:val="1B1C1D"/>
          <w:szCs w:val="20"/>
        </w:rPr>
        <w:t xml:space="preserve"> in Children and Adults Sampled in Algeria," Microorganisms, 9(1), p. 54, 2020.</w:t>
      </w:r>
    </w:p>
    <w:p w14:paraId="1275F916" w14:textId="77777777" w:rsidR="008B04DE" w:rsidRPr="008B04DE" w:rsidRDefault="008B04DE" w:rsidP="00CA676A">
      <w:pPr>
        <w:numPr>
          <w:ilvl w:val="0"/>
          <w:numId w:val="20"/>
        </w:numPr>
        <w:spacing w:after="0" w:line="240" w:lineRule="auto"/>
        <w:ind w:left="360"/>
        <w:jc w:val="both"/>
        <w:rPr>
          <w:rFonts w:cs="Times New Roman"/>
          <w:color w:val="1B1C1D"/>
          <w:szCs w:val="20"/>
        </w:rPr>
      </w:pPr>
      <w:r w:rsidRPr="008B04DE">
        <w:rPr>
          <w:rFonts w:cs="Times New Roman"/>
          <w:color w:val="1B1C1D"/>
          <w:szCs w:val="20"/>
        </w:rPr>
        <w:t xml:space="preserve">S. M. </w:t>
      </w:r>
      <w:proofErr w:type="spellStart"/>
      <w:r w:rsidRPr="008B04DE">
        <w:rPr>
          <w:rFonts w:cs="Times New Roman"/>
          <w:color w:val="1B1C1D"/>
          <w:szCs w:val="20"/>
        </w:rPr>
        <w:t>Caccio</w:t>
      </w:r>
      <w:proofErr w:type="spellEnd"/>
      <w:r w:rsidRPr="008B04DE">
        <w:rPr>
          <w:rFonts w:cs="Times New Roman"/>
          <w:color w:val="1B1C1D"/>
          <w:szCs w:val="20"/>
        </w:rPr>
        <w:t>, M. de Giacomo, &amp; E. Pozio, "Sequence analysis of the b-</w:t>
      </w:r>
      <w:proofErr w:type="spellStart"/>
      <w:r w:rsidRPr="008B04DE">
        <w:rPr>
          <w:rFonts w:cs="Times New Roman"/>
          <w:color w:val="1B1C1D"/>
          <w:szCs w:val="20"/>
        </w:rPr>
        <w:t>giardin</w:t>
      </w:r>
      <w:proofErr w:type="spellEnd"/>
      <w:r w:rsidRPr="008B04DE">
        <w:rPr>
          <w:rFonts w:cs="Times New Roman"/>
          <w:color w:val="1B1C1D"/>
          <w:szCs w:val="20"/>
        </w:rPr>
        <w:t xml:space="preserve"> gene and development of a PCR-RFLP assay to genotype Giardia </w:t>
      </w:r>
      <w:proofErr w:type="spellStart"/>
      <w:r w:rsidRPr="008B04DE">
        <w:rPr>
          <w:rFonts w:cs="Times New Roman"/>
          <w:color w:val="1B1C1D"/>
          <w:szCs w:val="20"/>
        </w:rPr>
        <w:t>duodenalis</w:t>
      </w:r>
      <w:proofErr w:type="spellEnd"/>
      <w:r w:rsidRPr="008B04DE">
        <w:rPr>
          <w:rFonts w:cs="Times New Roman"/>
          <w:color w:val="1B1C1D"/>
          <w:szCs w:val="20"/>
        </w:rPr>
        <w:t xml:space="preserve"> cysts from human </w:t>
      </w:r>
      <w:proofErr w:type="spellStart"/>
      <w:r w:rsidRPr="008B04DE">
        <w:rPr>
          <w:rFonts w:cs="Times New Roman"/>
          <w:color w:val="1B1C1D"/>
          <w:szCs w:val="20"/>
        </w:rPr>
        <w:t>faecal</w:t>
      </w:r>
      <w:proofErr w:type="spellEnd"/>
      <w:r w:rsidRPr="008B04DE">
        <w:rPr>
          <w:rFonts w:cs="Times New Roman"/>
          <w:color w:val="1B1C1D"/>
          <w:szCs w:val="20"/>
        </w:rPr>
        <w:t xml:space="preserve"> samples," International Journal for Parasitology, 32, pp. 1023–1030, 2002.</w:t>
      </w:r>
    </w:p>
    <w:p w14:paraId="52E1839A" w14:textId="77777777" w:rsidR="008B04DE" w:rsidRPr="008B04DE" w:rsidRDefault="008B04DE" w:rsidP="00CA676A">
      <w:pPr>
        <w:numPr>
          <w:ilvl w:val="0"/>
          <w:numId w:val="20"/>
        </w:numPr>
        <w:spacing w:after="0" w:line="240" w:lineRule="auto"/>
        <w:ind w:left="360"/>
        <w:jc w:val="both"/>
        <w:rPr>
          <w:rFonts w:cs="Times New Roman"/>
          <w:color w:val="1B1C1D"/>
          <w:szCs w:val="20"/>
        </w:rPr>
      </w:pPr>
      <w:r w:rsidRPr="008B04DE">
        <w:rPr>
          <w:rFonts w:cs="Times New Roman"/>
          <w:color w:val="1B1C1D"/>
          <w:szCs w:val="20"/>
        </w:rPr>
        <w:t xml:space="preserve">H. K. Hasan, S. H. Eassa, &amp; H. M. Khalid, "Prevalence of Entamoeba Histolytica and Giardia Lamblia in Children Visiting to </w:t>
      </w:r>
      <w:proofErr w:type="spellStart"/>
      <w:r w:rsidRPr="008B04DE">
        <w:rPr>
          <w:rFonts w:cs="Times New Roman"/>
          <w:color w:val="1B1C1D"/>
          <w:szCs w:val="20"/>
        </w:rPr>
        <w:t>Heevi</w:t>
      </w:r>
      <w:proofErr w:type="spellEnd"/>
      <w:r w:rsidRPr="008B04DE">
        <w:rPr>
          <w:rFonts w:cs="Times New Roman"/>
          <w:color w:val="1B1C1D"/>
          <w:szCs w:val="20"/>
        </w:rPr>
        <w:t xml:space="preserve"> Pediatric Hospital in Dohuk City, Kurdistan Region, Iraq," Journal of Medicinal and Chemical Sciences, 6(10), pp. 2292-2299, 2023.</w:t>
      </w:r>
    </w:p>
    <w:p w14:paraId="30829725" w14:textId="77777777" w:rsidR="008B04DE" w:rsidRPr="008B04DE" w:rsidRDefault="008B04DE" w:rsidP="00CA676A">
      <w:pPr>
        <w:numPr>
          <w:ilvl w:val="0"/>
          <w:numId w:val="20"/>
        </w:numPr>
        <w:spacing w:after="0" w:line="240" w:lineRule="auto"/>
        <w:ind w:left="360"/>
        <w:jc w:val="both"/>
        <w:rPr>
          <w:rFonts w:cs="Times New Roman"/>
          <w:color w:val="1B1C1D"/>
          <w:szCs w:val="20"/>
        </w:rPr>
      </w:pPr>
      <w:r w:rsidRPr="008B04DE">
        <w:rPr>
          <w:rFonts w:cs="Times New Roman"/>
          <w:color w:val="1B1C1D"/>
          <w:szCs w:val="20"/>
        </w:rPr>
        <w:t>S. Mozer, I. G. Abdulwahhab, &amp; A. F. AL-</w:t>
      </w:r>
      <w:proofErr w:type="spellStart"/>
      <w:r w:rsidRPr="008B04DE">
        <w:rPr>
          <w:rFonts w:cs="Times New Roman"/>
          <w:color w:val="1B1C1D"/>
          <w:szCs w:val="20"/>
        </w:rPr>
        <w:t>Azaawie</w:t>
      </w:r>
      <w:proofErr w:type="spellEnd"/>
      <w:r w:rsidRPr="008B04DE">
        <w:rPr>
          <w:rFonts w:cs="Times New Roman"/>
          <w:color w:val="1B1C1D"/>
          <w:szCs w:val="20"/>
        </w:rPr>
        <w:t>, "Extraction of the DNA of Giardia lamblia isolated from vegetables and fruits in a simplified way and its diagnosis using Nested-PCR," Journal of Parasitic Diseases: Official Organ of the Indian Society for Parasitology, 46(3), p. 771, 2022.</w:t>
      </w:r>
    </w:p>
    <w:p w14:paraId="1CED2502" w14:textId="77777777" w:rsidR="008B04DE" w:rsidRPr="008B04DE" w:rsidRDefault="008B04DE" w:rsidP="00CA676A">
      <w:pPr>
        <w:numPr>
          <w:ilvl w:val="0"/>
          <w:numId w:val="20"/>
        </w:numPr>
        <w:spacing w:after="0" w:line="240" w:lineRule="auto"/>
        <w:ind w:left="360"/>
        <w:jc w:val="both"/>
        <w:rPr>
          <w:rFonts w:cs="Times New Roman"/>
          <w:color w:val="1B1C1D"/>
          <w:szCs w:val="20"/>
        </w:rPr>
      </w:pPr>
      <w:r w:rsidRPr="008B04DE">
        <w:rPr>
          <w:rFonts w:cs="Times New Roman"/>
          <w:color w:val="1B1C1D"/>
          <w:szCs w:val="20"/>
        </w:rPr>
        <w:t xml:space="preserve">C. P. Faria, A. Pereira, D. Almeida, M. Pinto, Á. Lourenço, &amp; M. do Céu Sousa, "Molecular investigation of ready-to-eat salads for Giardia </w:t>
      </w:r>
      <w:proofErr w:type="spellStart"/>
      <w:r w:rsidRPr="008B04DE">
        <w:rPr>
          <w:rFonts w:cs="Times New Roman"/>
          <w:color w:val="1B1C1D"/>
          <w:szCs w:val="20"/>
        </w:rPr>
        <w:t>duodenalis</w:t>
      </w:r>
      <w:proofErr w:type="spellEnd"/>
      <w:r w:rsidRPr="008B04DE">
        <w:rPr>
          <w:rFonts w:cs="Times New Roman"/>
          <w:color w:val="1B1C1D"/>
          <w:szCs w:val="20"/>
        </w:rPr>
        <w:t xml:space="preserve"> and Cryptosporidium spp. in Portugal," Food and Waterborne Parasitology, 30, p. e00190, 2023.</w:t>
      </w:r>
    </w:p>
    <w:p w14:paraId="50B18AE7" w14:textId="77777777" w:rsidR="008B04DE" w:rsidRPr="008B04DE" w:rsidRDefault="008B04DE" w:rsidP="00CA676A">
      <w:pPr>
        <w:numPr>
          <w:ilvl w:val="0"/>
          <w:numId w:val="20"/>
        </w:numPr>
        <w:spacing w:after="0" w:line="240" w:lineRule="auto"/>
        <w:ind w:left="360"/>
        <w:jc w:val="both"/>
        <w:rPr>
          <w:rFonts w:cs="Times New Roman"/>
          <w:color w:val="1B1C1D"/>
          <w:szCs w:val="20"/>
        </w:rPr>
      </w:pPr>
      <w:r w:rsidRPr="008B04DE">
        <w:rPr>
          <w:rFonts w:cs="Times New Roman"/>
          <w:color w:val="1B1C1D"/>
          <w:szCs w:val="20"/>
        </w:rPr>
        <w:t xml:space="preserve">A. A. Ahmad, A. M. El-Kady, &amp; T. M. Hassan, "Genotyping of Giardia </w:t>
      </w:r>
      <w:proofErr w:type="spellStart"/>
      <w:r w:rsidRPr="008B04DE">
        <w:rPr>
          <w:rFonts w:cs="Times New Roman"/>
          <w:color w:val="1B1C1D"/>
          <w:szCs w:val="20"/>
        </w:rPr>
        <w:t>duodenalis</w:t>
      </w:r>
      <w:proofErr w:type="spellEnd"/>
      <w:r w:rsidRPr="008B04DE">
        <w:rPr>
          <w:rFonts w:cs="Times New Roman"/>
          <w:color w:val="1B1C1D"/>
          <w:szCs w:val="20"/>
        </w:rPr>
        <w:t xml:space="preserve"> in children in upper Egypt using assemblage-specific PCR technique," </w:t>
      </w:r>
      <w:proofErr w:type="spellStart"/>
      <w:r w:rsidRPr="008B04DE">
        <w:rPr>
          <w:rFonts w:cs="Times New Roman"/>
          <w:color w:val="1B1C1D"/>
          <w:szCs w:val="20"/>
        </w:rPr>
        <w:t>PloS</w:t>
      </w:r>
      <w:proofErr w:type="spellEnd"/>
      <w:r w:rsidRPr="008B04DE">
        <w:rPr>
          <w:rFonts w:cs="Times New Roman"/>
          <w:color w:val="1B1C1D"/>
          <w:szCs w:val="20"/>
        </w:rPr>
        <w:t xml:space="preserve"> one, 15(10), pp. 1-14, 2020.</w:t>
      </w:r>
    </w:p>
    <w:p w14:paraId="462A9D34" w14:textId="77777777" w:rsidR="008B04DE" w:rsidRPr="008B04DE" w:rsidRDefault="008B04DE" w:rsidP="00CA676A">
      <w:pPr>
        <w:numPr>
          <w:ilvl w:val="0"/>
          <w:numId w:val="20"/>
        </w:numPr>
        <w:spacing w:after="0" w:line="240" w:lineRule="auto"/>
        <w:ind w:left="360"/>
        <w:jc w:val="both"/>
        <w:rPr>
          <w:rFonts w:cs="Times New Roman"/>
          <w:color w:val="1B1C1D"/>
          <w:szCs w:val="20"/>
        </w:rPr>
      </w:pPr>
      <w:r w:rsidRPr="008B04DE">
        <w:rPr>
          <w:rFonts w:cs="Times New Roman"/>
          <w:color w:val="1B1C1D"/>
          <w:szCs w:val="20"/>
        </w:rPr>
        <w:t xml:space="preserve">N. J. H. Al-Asadi, &amp; R. W. Kadhum, "Molecular detection and genotyping of Giardia lamblia from human samples in Wasit province, Iraq," Journal of Pure and </w:t>
      </w:r>
      <w:proofErr w:type="spellStart"/>
      <w:r w:rsidRPr="008B04DE">
        <w:rPr>
          <w:rFonts w:cs="Times New Roman"/>
          <w:color w:val="1B1C1D"/>
          <w:szCs w:val="20"/>
        </w:rPr>
        <w:t>aPPlied</w:t>
      </w:r>
      <w:proofErr w:type="spellEnd"/>
      <w:r w:rsidRPr="008B04DE">
        <w:rPr>
          <w:rFonts w:cs="Times New Roman"/>
          <w:color w:val="1B1C1D"/>
          <w:szCs w:val="20"/>
        </w:rPr>
        <w:t xml:space="preserve"> Microbiology, 12(2), pp. 827-832, 2018.</w:t>
      </w:r>
    </w:p>
    <w:p w14:paraId="6BDDB332" w14:textId="77777777" w:rsidR="008B04DE" w:rsidRPr="008B04DE" w:rsidRDefault="008B04DE" w:rsidP="00CA676A">
      <w:pPr>
        <w:numPr>
          <w:ilvl w:val="0"/>
          <w:numId w:val="20"/>
        </w:numPr>
        <w:spacing w:after="0" w:line="240" w:lineRule="auto"/>
        <w:ind w:left="360"/>
        <w:jc w:val="both"/>
        <w:rPr>
          <w:rFonts w:cs="Times New Roman"/>
          <w:color w:val="1B1C1D"/>
          <w:szCs w:val="20"/>
        </w:rPr>
      </w:pPr>
      <w:r w:rsidRPr="008B04DE">
        <w:rPr>
          <w:rFonts w:cs="Times New Roman"/>
          <w:color w:val="1B1C1D"/>
          <w:szCs w:val="20"/>
        </w:rPr>
        <w:t xml:space="preserve">A. B. Mohammed, "Incidence and Molecular Detection of Genotypes for Giardia lamblia Isolated From Children in </w:t>
      </w:r>
      <w:proofErr w:type="spellStart"/>
      <w:r w:rsidRPr="008B04DE">
        <w:rPr>
          <w:rFonts w:cs="Times New Roman"/>
          <w:color w:val="1B1C1D"/>
          <w:szCs w:val="20"/>
        </w:rPr>
        <w:t>Zakho</w:t>
      </w:r>
      <w:proofErr w:type="spellEnd"/>
      <w:r w:rsidRPr="008B04DE">
        <w:rPr>
          <w:rFonts w:cs="Times New Roman"/>
          <w:color w:val="1B1C1D"/>
          <w:szCs w:val="20"/>
        </w:rPr>
        <w:t xml:space="preserve"> District, Duhok Province, Kurdistan Region, Iraq," Cureus, 16(8), 2024.</w:t>
      </w:r>
    </w:p>
    <w:p w14:paraId="3330872A" w14:textId="77777777" w:rsidR="008B04DE" w:rsidRPr="008B04DE" w:rsidRDefault="008B04DE" w:rsidP="00CA676A">
      <w:pPr>
        <w:numPr>
          <w:ilvl w:val="0"/>
          <w:numId w:val="20"/>
        </w:numPr>
        <w:spacing w:after="0" w:line="240" w:lineRule="auto"/>
        <w:ind w:left="360"/>
        <w:jc w:val="both"/>
        <w:rPr>
          <w:rFonts w:cs="Times New Roman"/>
          <w:color w:val="1B1C1D"/>
          <w:szCs w:val="20"/>
        </w:rPr>
      </w:pPr>
      <w:r w:rsidRPr="008B04DE">
        <w:rPr>
          <w:rFonts w:cs="Times New Roman"/>
          <w:color w:val="1B1C1D"/>
          <w:szCs w:val="20"/>
        </w:rPr>
        <w:lastRenderedPageBreak/>
        <w:t xml:space="preserve">H. H. </w:t>
      </w:r>
      <w:proofErr w:type="spellStart"/>
      <w:r w:rsidRPr="008B04DE">
        <w:rPr>
          <w:rFonts w:cs="Times New Roman"/>
          <w:color w:val="1B1C1D"/>
          <w:szCs w:val="20"/>
        </w:rPr>
        <w:t>Alseady</w:t>
      </w:r>
      <w:proofErr w:type="spellEnd"/>
      <w:r w:rsidRPr="008B04DE">
        <w:rPr>
          <w:rFonts w:cs="Times New Roman"/>
          <w:color w:val="1B1C1D"/>
          <w:szCs w:val="20"/>
        </w:rPr>
        <w:t xml:space="preserve">, S. M. Al-Dabbagh, &amp; A. D. </w:t>
      </w:r>
      <w:proofErr w:type="spellStart"/>
      <w:r w:rsidRPr="008B04DE">
        <w:rPr>
          <w:rFonts w:cs="Times New Roman"/>
          <w:color w:val="1B1C1D"/>
          <w:szCs w:val="20"/>
        </w:rPr>
        <w:t>Marhash</w:t>
      </w:r>
      <w:proofErr w:type="spellEnd"/>
      <w:r w:rsidRPr="008B04DE">
        <w:rPr>
          <w:rFonts w:cs="Times New Roman"/>
          <w:color w:val="1B1C1D"/>
          <w:szCs w:val="20"/>
        </w:rPr>
        <w:t>, "Prevalence and molecular characterization of Giardia intestinalis isolated from children and calves in Babylon province, Iraq," Veterinary World, 16(9), p. 1781, 2023.</w:t>
      </w:r>
    </w:p>
    <w:p w14:paraId="67BE35CA" w14:textId="77777777" w:rsidR="008B04DE" w:rsidRPr="008B04DE" w:rsidRDefault="008B04DE" w:rsidP="00CA676A">
      <w:pPr>
        <w:numPr>
          <w:ilvl w:val="0"/>
          <w:numId w:val="20"/>
        </w:numPr>
        <w:spacing w:after="0" w:line="240" w:lineRule="auto"/>
        <w:ind w:left="360"/>
        <w:jc w:val="both"/>
        <w:rPr>
          <w:rFonts w:cs="Times New Roman"/>
          <w:color w:val="1B1C1D"/>
          <w:szCs w:val="20"/>
        </w:rPr>
      </w:pPr>
      <w:r w:rsidRPr="008B04DE">
        <w:rPr>
          <w:rFonts w:cs="Times New Roman"/>
          <w:color w:val="1B1C1D"/>
          <w:szCs w:val="20"/>
        </w:rPr>
        <w:t>S. R. Idan, &amp; M. H. Al-</w:t>
      </w:r>
      <w:proofErr w:type="spellStart"/>
      <w:r w:rsidRPr="008B04DE">
        <w:rPr>
          <w:rFonts w:cs="Times New Roman"/>
          <w:color w:val="1B1C1D"/>
          <w:szCs w:val="20"/>
        </w:rPr>
        <w:t>Hasnawy</w:t>
      </w:r>
      <w:proofErr w:type="spellEnd"/>
      <w:r w:rsidRPr="008B04DE">
        <w:rPr>
          <w:rFonts w:cs="Times New Roman"/>
          <w:color w:val="1B1C1D"/>
          <w:szCs w:val="20"/>
        </w:rPr>
        <w:t xml:space="preserve">, "Microscopic and molecular diagnoses of Giardia </w:t>
      </w:r>
      <w:proofErr w:type="spellStart"/>
      <w:r w:rsidRPr="008B04DE">
        <w:rPr>
          <w:rFonts w:cs="Times New Roman"/>
          <w:color w:val="1B1C1D"/>
          <w:szCs w:val="20"/>
        </w:rPr>
        <w:t>duodenalis</w:t>
      </w:r>
      <w:proofErr w:type="spellEnd"/>
      <w:r w:rsidRPr="008B04DE">
        <w:rPr>
          <w:rFonts w:cs="Times New Roman"/>
          <w:color w:val="1B1C1D"/>
          <w:szCs w:val="20"/>
        </w:rPr>
        <w:t xml:space="preserve"> in pet animals in Babylon Province, Iraq," Veterinary World, 16(11), p. 2263, 2023.</w:t>
      </w:r>
    </w:p>
    <w:p w14:paraId="072276EE" w14:textId="77777777" w:rsidR="008B04DE" w:rsidRPr="008B04DE" w:rsidRDefault="008B04DE" w:rsidP="00CA676A">
      <w:pPr>
        <w:numPr>
          <w:ilvl w:val="0"/>
          <w:numId w:val="20"/>
        </w:numPr>
        <w:spacing w:after="0" w:line="240" w:lineRule="auto"/>
        <w:ind w:left="360"/>
        <w:jc w:val="both"/>
        <w:rPr>
          <w:rFonts w:cs="Times New Roman"/>
          <w:color w:val="1B1C1D"/>
          <w:szCs w:val="20"/>
        </w:rPr>
      </w:pPr>
      <w:r w:rsidRPr="008B04DE">
        <w:rPr>
          <w:rFonts w:cs="Times New Roman"/>
          <w:color w:val="1B1C1D"/>
          <w:szCs w:val="20"/>
        </w:rPr>
        <w:t>A. Rahi, &amp; H. Kadhim, "Prevalence of mixed infections between Giardia lamblia and Helicobacter pylori in Wasit Province, Iraq," Journal of Medical Research, 15(2), pp. 45–50, 2021.</w:t>
      </w:r>
    </w:p>
    <w:p w14:paraId="50393531" w14:textId="77777777" w:rsidR="008B04DE" w:rsidRPr="008B04DE" w:rsidRDefault="008B04DE" w:rsidP="00CA676A">
      <w:pPr>
        <w:numPr>
          <w:ilvl w:val="0"/>
          <w:numId w:val="20"/>
        </w:numPr>
        <w:spacing w:after="0" w:line="240" w:lineRule="auto"/>
        <w:ind w:left="360"/>
        <w:jc w:val="both"/>
        <w:rPr>
          <w:rFonts w:cs="Times New Roman"/>
          <w:color w:val="1B1C1D"/>
          <w:szCs w:val="20"/>
        </w:rPr>
      </w:pPr>
      <w:r w:rsidRPr="008B04DE">
        <w:rPr>
          <w:rFonts w:cs="Times New Roman"/>
          <w:color w:val="1B1C1D"/>
          <w:szCs w:val="20"/>
        </w:rPr>
        <w:t>T. F. Hassen, "Spread of giardiasis among children in Al-</w:t>
      </w:r>
      <w:proofErr w:type="spellStart"/>
      <w:r w:rsidRPr="008B04DE">
        <w:rPr>
          <w:rFonts w:cs="Times New Roman"/>
          <w:color w:val="1B1C1D"/>
          <w:szCs w:val="20"/>
        </w:rPr>
        <w:t>Nassiria</w:t>
      </w:r>
      <w:proofErr w:type="spellEnd"/>
      <w:r w:rsidRPr="008B04DE">
        <w:rPr>
          <w:rFonts w:cs="Times New Roman"/>
          <w:color w:val="1B1C1D"/>
          <w:szCs w:val="20"/>
        </w:rPr>
        <w:t xml:space="preserve"> City, southern Iraq," University of </w:t>
      </w:r>
      <w:proofErr w:type="spellStart"/>
      <w:r w:rsidRPr="008B04DE">
        <w:rPr>
          <w:rFonts w:cs="Times New Roman"/>
          <w:color w:val="1B1C1D"/>
          <w:szCs w:val="20"/>
        </w:rPr>
        <w:t>Thi-Qar</w:t>
      </w:r>
      <w:proofErr w:type="spellEnd"/>
      <w:r w:rsidRPr="008B04DE">
        <w:rPr>
          <w:rFonts w:cs="Times New Roman"/>
          <w:color w:val="1B1C1D"/>
          <w:szCs w:val="20"/>
        </w:rPr>
        <w:t xml:space="preserve"> Journal of Science, 1(3), pp. 12–19, 2009.</w:t>
      </w:r>
    </w:p>
    <w:p w14:paraId="3DBA8380" w14:textId="77777777" w:rsidR="008B04DE" w:rsidRPr="008B04DE" w:rsidRDefault="008B04DE" w:rsidP="00CA676A">
      <w:pPr>
        <w:numPr>
          <w:ilvl w:val="0"/>
          <w:numId w:val="20"/>
        </w:numPr>
        <w:spacing w:after="0" w:line="240" w:lineRule="auto"/>
        <w:ind w:left="360"/>
        <w:jc w:val="both"/>
        <w:rPr>
          <w:rFonts w:cs="Times New Roman"/>
          <w:color w:val="1B1C1D"/>
          <w:szCs w:val="20"/>
        </w:rPr>
      </w:pPr>
      <w:r w:rsidRPr="008B04DE">
        <w:rPr>
          <w:rFonts w:cs="Times New Roman"/>
          <w:color w:val="1B1C1D"/>
          <w:szCs w:val="20"/>
        </w:rPr>
        <w:t xml:space="preserve">A. K. Dyab, A. A. Hassan, A. A. Abdelrahim, &amp; A. A. </w:t>
      </w:r>
      <w:proofErr w:type="spellStart"/>
      <w:r w:rsidRPr="008B04DE">
        <w:rPr>
          <w:rFonts w:cs="Times New Roman"/>
          <w:color w:val="1B1C1D"/>
          <w:szCs w:val="20"/>
        </w:rPr>
        <w:t>Elmawgood</w:t>
      </w:r>
      <w:proofErr w:type="spellEnd"/>
      <w:r w:rsidRPr="008B04DE">
        <w:rPr>
          <w:rFonts w:cs="Times New Roman"/>
          <w:color w:val="1B1C1D"/>
          <w:szCs w:val="20"/>
        </w:rPr>
        <w:t>, "Prevalence and associated risk factors for Giardia lamblia among children in Aswan University Hospitals," Journal of the Egyptian Society of Parasitology, 52(2), pp. 323–330, 2022.</w:t>
      </w:r>
    </w:p>
    <w:p w14:paraId="37539227" w14:textId="77777777" w:rsidR="008B04DE" w:rsidRPr="008B04DE" w:rsidRDefault="008B04DE" w:rsidP="00CA676A">
      <w:pPr>
        <w:numPr>
          <w:ilvl w:val="0"/>
          <w:numId w:val="20"/>
        </w:numPr>
        <w:spacing w:after="0" w:line="240" w:lineRule="auto"/>
        <w:ind w:left="360"/>
        <w:jc w:val="both"/>
        <w:rPr>
          <w:rFonts w:cs="Times New Roman"/>
          <w:color w:val="1B1C1D"/>
          <w:szCs w:val="20"/>
        </w:rPr>
      </w:pPr>
      <w:r w:rsidRPr="008B04DE">
        <w:rPr>
          <w:rFonts w:cs="Times New Roman"/>
          <w:color w:val="1B1C1D"/>
          <w:szCs w:val="20"/>
        </w:rPr>
        <w:t xml:space="preserve">C. P. Faria, "Molecular characterization of Giardia lamblia from patients of a referral hospital of Rio de Janeiro/Brazil: application of </w:t>
      </w:r>
      <w:proofErr w:type="spellStart"/>
      <w:r w:rsidRPr="008B04DE">
        <w:rPr>
          <w:rFonts w:cs="Times New Roman"/>
          <w:color w:val="1B1C1D"/>
          <w:szCs w:val="20"/>
        </w:rPr>
        <w:t>multilocus</w:t>
      </w:r>
      <w:proofErr w:type="spellEnd"/>
      <w:r w:rsidRPr="008B04DE">
        <w:rPr>
          <w:rFonts w:cs="Times New Roman"/>
          <w:color w:val="1B1C1D"/>
          <w:szCs w:val="20"/>
        </w:rPr>
        <w:t xml:space="preserve"> genotyping to study the inter and intra-assemblage variations," Doctoral dissertation, </w:t>
      </w:r>
      <w:proofErr w:type="spellStart"/>
      <w:r w:rsidRPr="008B04DE">
        <w:rPr>
          <w:rFonts w:cs="Times New Roman"/>
          <w:color w:val="1B1C1D"/>
          <w:szCs w:val="20"/>
        </w:rPr>
        <w:t>Universidade</w:t>
      </w:r>
      <w:proofErr w:type="spellEnd"/>
      <w:r w:rsidRPr="008B04DE">
        <w:rPr>
          <w:rFonts w:cs="Times New Roman"/>
          <w:color w:val="1B1C1D"/>
          <w:szCs w:val="20"/>
        </w:rPr>
        <w:t xml:space="preserve"> de Coimbra (Portugal), 2016.</w:t>
      </w:r>
    </w:p>
    <w:p w14:paraId="04045956" w14:textId="0E91B62F" w:rsidR="009E20E3" w:rsidRPr="00465AA4" w:rsidRDefault="009E20E3" w:rsidP="000A723D">
      <w:pPr>
        <w:tabs>
          <w:tab w:val="num" w:pos="720"/>
        </w:tabs>
        <w:spacing w:before="100" w:beforeAutospacing="1" w:after="100" w:afterAutospacing="1" w:line="240" w:lineRule="auto"/>
        <w:ind w:left="360"/>
        <w:jc w:val="both"/>
        <w:rPr>
          <w:rFonts w:cs="Times New Roman"/>
          <w:szCs w:val="20"/>
        </w:rPr>
      </w:pPr>
    </w:p>
    <w:p w14:paraId="7101B552" w14:textId="60C2DCDB" w:rsidR="009E20E3" w:rsidRPr="009E20E3" w:rsidRDefault="009E20E3" w:rsidP="00152421">
      <w:pPr>
        <w:spacing w:before="100" w:beforeAutospacing="1" w:after="100" w:afterAutospacing="1" w:line="240" w:lineRule="auto"/>
        <w:jc w:val="both"/>
        <w:rPr>
          <w:rFonts w:cs="Times New Roman"/>
          <w:szCs w:val="20"/>
        </w:rPr>
      </w:pPr>
    </w:p>
    <w:sectPr w:rsidR="009E20E3" w:rsidRPr="009E20E3" w:rsidSect="001F0E2D">
      <w:footerReference w:type="default" r:id="rId14"/>
      <w:pgSz w:w="12240" w:h="15840"/>
      <w:pgMar w:top="1296" w:right="1584" w:bottom="1296"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FC605" w14:textId="77777777" w:rsidR="004B3653" w:rsidRDefault="004B3653" w:rsidP="00957EAD">
      <w:pPr>
        <w:spacing w:after="0" w:line="240" w:lineRule="auto"/>
      </w:pPr>
      <w:r>
        <w:separator/>
      </w:r>
    </w:p>
  </w:endnote>
  <w:endnote w:type="continuationSeparator" w:id="0">
    <w:p w14:paraId="4C841312" w14:textId="77777777" w:rsidR="004B3653" w:rsidRDefault="004B3653" w:rsidP="00957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233235"/>
      <w:docPartObj>
        <w:docPartGallery w:val="Page Numbers (Bottom of Page)"/>
        <w:docPartUnique/>
      </w:docPartObj>
    </w:sdtPr>
    <w:sdtContent>
      <w:p w14:paraId="1378049F" w14:textId="61909858" w:rsidR="00957EAD" w:rsidRDefault="00957EAD" w:rsidP="00957EAD">
        <w:pPr>
          <w:pStyle w:val="Footer"/>
          <w:jc w:val="center"/>
        </w:pPr>
        <w:r>
          <w:fldChar w:fldCharType="begin"/>
        </w:r>
        <w:r>
          <w:instrText>PAGE   \* MERGEFORMAT</w:instrText>
        </w:r>
        <w:r>
          <w:fldChar w:fldCharType="separate"/>
        </w:r>
        <w:r w:rsidR="008B04DE" w:rsidRPr="008B04DE">
          <w:rPr>
            <w:rFonts w:cs="Times New Roman"/>
            <w:noProof/>
            <w:szCs w:val="20"/>
            <w:lang w:val="ar-SA"/>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2DC03" w14:textId="77777777" w:rsidR="004B3653" w:rsidRDefault="004B3653" w:rsidP="00957EAD">
      <w:pPr>
        <w:spacing w:after="0" w:line="240" w:lineRule="auto"/>
      </w:pPr>
      <w:r>
        <w:separator/>
      </w:r>
    </w:p>
  </w:footnote>
  <w:footnote w:type="continuationSeparator" w:id="0">
    <w:p w14:paraId="7D9E9708" w14:textId="77777777" w:rsidR="004B3653" w:rsidRDefault="004B3653" w:rsidP="00957E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5233A8"/>
    <w:multiLevelType w:val="multilevel"/>
    <w:tmpl w:val="C3EA80A8"/>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10" w15:restartNumberingAfterBreak="0">
    <w:nsid w:val="19E4670B"/>
    <w:multiLevelType w:val="multilevel"/>
    <w:tmpl w:val="B1162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4A3D94"/>
    <w:multiLevelType w:val="hybridMultilevel"/>
    <w:tmpl w:val="35B00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B86AAE"/>
    <w:multiLevelType w:val="multilevel"/>
    <w:tmpl w:val="E8CC6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C71C23"/>
    <w:multiLevelType w:val="multilevel"/>
    <w:tmpl w:val="672EA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596B1D"/>
    <w:multiLevelType w:val="multilevel"/>
    <w:tmpl w:val="0F28B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FA55E9"/>
    <w:multiLevelType w:val="hybridMultilevel"/>
    <w:tmpl w:val="FD94A0A8"/>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7FB51FF"/>
    <w:multiLevelType w:val="multilevel"/>
    <w:tmpl w:val="D2280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EC30F2"/>
    <w:multiLevelType w:val="hybridMultilevel"/>
    <w:tmpl w:val="F850B2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A402E58"/>
    <w:multiLevelType w:val="multilevel"/>
    <w:tmpl w:val="43B4A31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7D352663"/>
    <w:multiLevelType w:val="multilevel"/>
    <w:tmpl w:val="C3EA80A8"/>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num w:numId="1" w16cid:durableId="396321972">
    <w:abstractNumId w:val="8"/>
  </w:num>
  <w:num w:numId="2" w16cid:durableId="75245560">
    <w:abstractNumId w:val="6"/>
  </w:num>
  <w:num w:numId="3" w16cid:durableId="1545409730">
    <w:abstractNumId w:val="5"/>
  </w:num>
  <w:num w:numId="4" w16cid:durableId="398670886">
    <w:abstractNumId w:val="4"/>
  </w:num>
  <w:num w:numId="5" w16cid:durableId="1580869461">
    <w:abstractNumId w:val="7"/>
  </w:num>
  <w:num w:numId="6" w16cid:durableId="74520955">
    <w:abstractNumId w:val="3"/>
  </w:num>
  <w:num w:numId="7" w16cid:durableId="559249320">
    <w:abstractNumId w:val="2"/>
  </w:num>
  <w:num w:numId="8" w16cid:durableId="91825915">
    <w:abstractNumId w:val="1"/>
  </w:num>
  <w:num w:numId="9" w16cid:durableId="2046366940">
    <w:abstractNumId w:val="0"/>
  </w:num>
  <w:num w:numId="10" w16cid:durableId="395279962">
    <w:abstractNumId w:val="15"/>
  </w:num>
  <w:num w:numId="11" w16cid:durableId="1801611105">
    <w:abstractNumId w:val="10"/>
  </w:num>
  <w:num w:numId="12" w16cid:durableId="689113965">
    <w:abstractNumId w:val="13"/>
  </w:num>
  <w:num w:numId="13" w16cid:durableId="379282882">
    <w:abstractNumId w:val="14"/>
  </w:num>
  <w:num w:numId="14" w16cid:durableId="1794252005">
    <w:abstractNumId w:val="11"/>
  </w:num>
  <w:num w:numId="15" w16cid:durableId="1069112783">
    <w:abstractNumId w:val="17"/>
  </w:num>
  <w:num w:numId="16" w16cid:durableId="1087774633">
    <w:abstractNumId w:val="18"/>
  </w:num>
  <w:num w:numId="17" w16cid:durableId="1105810496">
    <w:abstractNumId w:val="12"/>
  </w:num>
  <w:num w:numId="18" w16cid:durableId="509180896">
    <w:abstractNumId w:val="19"/>
  </w:num>
  <w:num w:numId="19" w16cid:durableId="1651792429">
    <w:abstractNumId w:val="9"/>
  </w:num>
  <w:num w:numId="20" w16cid:durableId="929383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2318"/>
    <w:rsid w:val="00021024"/>
    <w:rsid w:val="000235C2"/>
    <w:rsid w:val="00034616"/>
    <w:rsid w:val="00040D3D"/>
    <w:rsid w:val="00056BEC"/>
    <w:rsid w:val="0006063C"/>
    <w:rsid w:val="000658C2"/>
    <w:rsid w:val="00084323"/>
    <w:rsid w:val="000953A4"/>
    <w:rsid w:val="000A4963"/>
    <w:rsid w:val="000A723D"/>
    <w:rsid w:val="000A7389"/>
    <w:rsid w:val="000B69A3"/>
    <w:rsid w:val="000D307D"/>
    <w:rsid w:val="000D5594"/>
    <w:rsid w:val="000E53CC"/>
    <w:rsid w:val="000E634D"/>
    <w:rsid w:val="0011243B"/>
    <w:rsid w:val="00125FF2"/>
    <w:rsid w:val="00137A56"/>
    <w:rsid w:val="001458C6"/>
    <w:rsid w:val="0015074B"/>
    <w:rsid w:val="00152421"/>
    <w:rsid w:val="0015418E"/>
    <w:rsid w:val="00154825"/>
    <w:rsid w:val="00174DF8"/>
    <w:rsid w:val="00176A92"/>
    <w:rsid w:val="001966E4"/>
    <w:rsid w:val="001A5265"/>
    <w:rsid w:val="001C09A3"/>
    <w:rsid w:val="001C0FC8"/>
    <w:rsid w:val="001C3781"/>
    <w:rsid w:val="001F0E2D"/>
    <w:rsid w:val="00202DA2"/>
    <w:rsid w:val="00224152"/>
    <w:rsid w:val="0022637B"/>
    <w:rsid w:val="00241E0F"/>
    <w:rsid w:val="00247AFE"/>
    <w:rsid w:val="00256B79"/>
    <w:rsid w:val="00261C36"/>
    <w:rsid w:val="00274412"/>
    <w:rsid w:val="0028030B"/>
    <w:rsid w:val="002902BA"/>
    <w:rsid w:val="0029639D"/>
    <w:rsid w:val="002A0652"/>
    <w:rsid w:val="002A739F"/>
    <w:rsid w:val="002A7D5E"/>
    <w:rsid w:val="002B128A"/>
    <w:rsid w:val="002D125E"/>
    <w:rsid w:val="002E1202"/>
    <w:rsid w:val="002E1482"/>
    <w:rsid w:val="002E1748"/>
    <w:rsid w:val="003002C9"/>
    <w:rsid w:val="0030573C"/>
    <w:rsid w:val="0031271C"/>
    <w:rsid w:val="00326F90"/>
    <w:rsid w:val="00346577"/>
    <w:rsid w:val="00353A49"/>
    <w:rsid w:val="00360101"/>
    <w:rsid w:val="003630AC"/>
    <w:rsid w:val="00363F25"/>
    <w:rsid w:val="00366A88"/>
    <w:rsid w:val="00377E89"/>
    <w:rsid w:val="00384115"/>
    <w:rsid w:val="003859ED"/>
    <w:rsid w:val="003B3E24"/>
    <w:rsid w:val="003D6031"/>
    <w:rsid w:val="003F649D"/>
    <w:rsid w:val="00400CE3"/>
    <w:rsid w:val="00411561"/>
    <w:rsid w:val="00416B9B"/>
    <w:rsid w:val="00431DCB"/>
    <w:rsid w:val="004352BE"/>
    <w:rsid w:val="004354AE"/>
    <w:rsid w:val="004429D9"/>
    <w:rsid w:val="00444C69"/>
    <w:rsid w:val="004461B8"/>
    <w:rsid w:val="004601EF"/>
    <w:rsid w:val="00465AA4"/>
    <w:rsid w:val="00477022"/>
    <w:rsid w:val="004903D6"/>
    <w:rsid w:val="004B3653"/>
    <w:rsid w:val="004B4FF4"/>
    <w:rsid w:val="004C5F30"/>
    <w:rsid w:val="005152BD"/>
    <w:rsid w:val="00517DEC"/>
    <w:rsid w:val="0052733D"/>
    <w:rsid w:val="005525F1"/>
    <w:rsid w:val="00560033"/>
    <w:rsid w:val="0056180E"/>
    <w:rsid w:val="00562295"/>
    <w:rsid w:val="0057331E"/>
    <w:rsid w:val="0058675E"/>
    <w:rsid w:val="00594A6B"/>
    <w:rsid w:val="0059504B"/>
    <w:rsid w:val="005B1CB1"/>
    <w:rsid w:val="005C6643"/>
    <w:rsid w:val="005D6AAB"/>
    <w:rsid w:val="005E0941"/>
    <w:rsid w:val="005E3946"/>
    <w:rsid w:val="005F6235"/>
    <w:rsid w:val="00615D26"/>
    <w:rsid w:val="00621355"/>
    <w:rsid w:val="006342DE"/>
    <w:rsid w:val="00636DEA"/>
    <w:rsid w:val="0064206C"/>
    <w:rsid w:val="00645107"/>
    <w:rsid w:val="006538FD"/>
    <w:rsid w:val="00661AF6"/>
    <w:rsid w:val="00677572"/>
    <w:rsid w:val="006817DC"/>
    <w:rsid w:val="006A0E20"/>
    <w:rsid w:val="006A0F0B"/>
    <w:rsid w:val="006A6F6A"/>
    <w:rsid w:val="006B4F57"/>
    <w:rsid w:val="006B6AF2"/>
    <w:rsid w:val="006C261A"/>
    <w:rsid w:val="006C2E7E"/>
    <w:rsid w:val="006D773E"/>
    <w:rsid w:val="006E1378"/>
    <w:rsid w:val="006E2B53"/>
    <w:rsid w:val="006F4B06"/>
    <w:rsid w:val="007112A8"/>
    <w:rsid w:val="00716A8B"/>
    <w:rsid w:val="007226A2"/>
    <w:rsid w:val="00723253"/>
    <w:rsid w:val="00723A5A"/>
    <w:rsid w:val="00742825"/>
    <w:rsid w:val="00757C3C"/>
    <w:rsid w:val="007755F1"/>
    <w:rsid w:val="00775D0D"/>
    <w:rsid w:val="007A7442"/>
    <w:rsid w:val="007B536E"/>
    <w:rsid w:val="007D2EC0"/>
    <w:rsid w:val="007D4DAC"/>
    <w:rsid w:val="007F7A62"/>
    <w:rsid w:val="0080471A"/>
    <w:rsid w:val="00813DDC"/>
    <w:rsid w:val="00820881"/>
    <w:rsid w:val="0082636C"/>
    <w:rsid w:val="00833575"/>
    <w:rsid w:val="00847E73"/>
    <w:rsid w:val="00852205"/>
    <w:rsid w:val="0085540D"/>
    <w:rsid w:val="00870025"/>
    <w:rsid w:val="00870605"/>
    <w:rsid w:val="00887EA4"/>
    <w:rsid w:val="008A3EEB"/>
    <w:rsid w:val="008A7C60"/>
    <w:rsid w:val="008B04DE"/>
    <w:rsid w:val="008C08FA"/>
    <w:rsid w:val="008C339D"/>
    <w:rsid w:val="008E1E03"/>
    <w:rsid w:val="008E36B6"/>
    <w:rsid w:val="008E7D3E"/>
    <w:rsid w:val="008F6DF1"/>
    <w:rsid w:val="00921B17"/>
    <w:rsid w:val="00926847"/>
    <w:rsid w:val="0093082C"/>
    <w:rsid w:val="00936B13"/>
    <w:rsid w:val="00957EAD"/>
    <w:rsid w:val="00975CCD"/>
    <w:rsid w:val="00986558"/>
    <w:rsid w:val="00992480"/>
    <w:rsid w:val="009A4FAB"/>
    <w:rsid w:val="009B39B0"/>
    <w:rsid w:val="009E20E3"/>
    <w:rsid w:val="009E438F"/>
    <w:rsid w:val="009E5A2F"/>
    <w:rsid w:val="009E7B4A"/>
    <w:rsid w:val="009F212F"/>
    <w:rsid w:val="009F31B5"/>
    <w:rsid w:val="00A049CE"/>
    <w:rsid w:val="00A072BB"/>
    <w:rsid w:val="00A17439"/>
    <w:rsid w:val="00A4785B"/>
    <w:rsid w:val="00A50A56"/>
    <w:rsid w:val="00A76139"/>
    <w:rsid w:val="00A77ACB"/>
    <w:rsid w:val="00A90A22"/>
    <w:rsid w:val="00A93D71"/>
    <w:rsid w:val="00AA0E11"/>
    <w:rsid w:val="00AA1D8D"/>
    <w:rsid w:val="00AA665B"/>
    <w:rsid w:val="00AB1D3D"/>
    <w:rsid w:val="00AB46CC"/>
    <w:rsid w:val="00AC168D"/>
    <w:rsid w:val="00AC5AEC"/>
    <w:rsid w:val="00AC7F81"/>
    <w:rsid w:val="00AD7A45"/>
    <w:rsid w:val="00AE0311"/>
    <w:rsid w:val="00AE333D"/>
    <w:rsid w:val="00AE3F91"/>
    <w:rsid w:val="00B00717"/>
    <w:rsid w:val="00B15B90"/>
    <w:rsid w:val="00B2598A"/>
    <w:rsid w:val="00B402CB"/>
    <w:rsid w:val="00B41096"/>
    <w:rsid w:val="00B47730"/>
    <w:rsid w:val="00B5190A"/>
    <w:rsid w:val="00B6762D"/>
    <w:rsid w:val="00B77A83"/>
    <w:rsid w:val="00B85AB6"/>
    <w:rsid w:val="00BA20B7"/>
    <w:rsid w:val="00BA65FF"/>
    <w:rsid w:val="00BA6DCC"/>
    <w:rsid w:val="00BC12A0"/>
    <w:rsid w:val="00BD0F47"/>
    <w:rsid w:val="00BD5989"/>
    <w:rsid w:val="00BD7A00"/>
    <w:rsid w:val="00BE0CA8"/>
    <w:rsid w:val="00BE7CE0"/>
    <w:rsid w:val="00BF2C5F"/>
    <w:rsid w:val="00BF398B"/>
    <w:rsid w:val="00BF7178"/>
    <w:rsid w:val="00C01E3D"/>
    <w:rsid w:val="00C234FC"/>
    <w:rsid w:val="00C54173"/>
    <w:rsid w:val="00C654BD"/>
    <w:rsid w:val="00C86823"/>
    <w:rsid w:val="00C91927"/>
    <w:rsid w:val="00CA676A"/>
    <w:rsid w:val="00CA71C5"/>
    <w:rsid w:val="00CB0664"/>
    <w:rsid w:val="00CC4FFE"/>
    <w:rsid w:val="00CD1BD7"/>
    <w:rsid w:val="00CD606E"/>
    <w:rsid w:val="00CE1C0D"/>
    <w:rsid w:val="00CE4BA9"/>
    <w:rsid w:val="00CF7B5D"/>
    <w:rsid w:val="00D2172C"/>
    <w:rsid w:val="00D27B3B"/>
    <w:rsid w:val="00D27CF5"/>
    <w:rsid w:val="00D27E39"/>
    <w:rsid w:val="00D30587"/>
    <w:rsid w:val="00D40B7B"/>
    <w:rsid w:val="00D54D55"/>
    <w:rsid w:val="00D56A09"/>
    <w:rsid w:val="00D85A5B"/>
    <w:rsid w:val="00D91CAD"/>
    <w:rsid w:val="00D93040"/>
    <w:rsid w:val="00DA4814"/>
    <w:rsid w:val="00DC6B45"/>
    <w:rsid w:val="00DF744A"/>
    <w:rsid w:val="00E003CB"/>
    <w:rsid w:val="00E3123E"/>
    <w:rsid w:val="00E44976"/>
    <w:rsid w:val="00E44A8A"/>
    <w:rsid w:val="00E5339D"/>
    <w:rsid w:val="00E620D2"/>
    <w:rsid w:val="00E650CC"/>
    <w:rsid w:val="00E73473"/>
    <w:rsid w:val="00E74187"/>
    <w:rsid w:val="00E84C4E"/>
    <w:rsid w:val="00E90C1F"/>
    <w:rsid w:val="00EA5C65"/>
    <w:rsid w:val="00EB0430"/>
    <w:rsid w:val="00EC0A9E"/>
    <w:rsid w:val="00EC3464"/>
    <w:rsid w:val="00EC3868"/>
    <w:rsid w:val="00EC3952"/>
    <w:rsid w:val="00EC6FD6"/>
    <w:rsid w:val="00EF77E3"/>
    <w:rsid w:val="00F0208B"/>
    <w:rsid w:val="00F11089"/>
    <w:rsid w:val="00F14573"/>
    <w:rsid w:val="00F2318F"/>
    <w:rsid w:val="00F303FA"/>
    <w:rsid w:val="00F3218C"/>
    <w:rsid w:val="00F379FD"/>
    <w:rsid w:val="00F40761"/>
    <w:rsid w:val="00F44D8E"/>
    <w:rsid w:val="00F563F5"/>
    <w:rsid w:val="00F57559"/>
    <w:rsid w:val="00F57D4B"/>
    <w:rsid w:val="00F6071D"/>
    <w:rsid w:val="00F62AFC"/>
    <w:rsid w:val="00F8555D"/>
    <w:rsid w:val="00FB19C0"/>
    <w:rsid w:val="00FB373D"/>
    <w:rsid w:val="00FC4D51"/>
    <w:rsid w:val="00FC693F"/>
    <w:rsid w:val="00FD01AE"/>
    <w:rsid w:val="00FD2373"/>
    <w:rsid w:val="00FE1299"/>
    <w:rsid w:val="00FE4E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709E9E"/>
  <w14:defaultImageDpi w14:val="300"/>
  <w15:docId w15:val="{8C9652F6-8B55-461D-9DDF-D0D107EC2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3057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73C"/>
    <w:rPr>
      <w:rFonts w:ascii="Tahoma" w:eastAsia="Times New Roman" w:hAnsi="Tahoma" w:cs="Tahoma"/>
      <w:sz w:val="16"/>
      <w:szCs w:val="16"/>
    </w:rPr>
  </w:style>
  <w:style w:type="table" w:customStyle="1" w:styleId="3">
    <w:name w:val="شبكة جدول3"/>
    <w:basedOn w:val="TableNormal"/>
    <w:next w:val="TableGrid"/>
    <w:uiPriority w:val="59"/>
    <w:rsid w:val="008A7C6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7EAD"/>
    <w:rPr>
      <w:color w:val="0000FF" w:themeColor="hyperlink"/>
      <w:u w:val="single"/>
    </w:rPr>
  </w:style>
  <w:style w:type="paragraph" w:styleId="NormalWeb">
    <w:name w:val="Normal (Web)"/>
    <w:basedOn w:val="Normal"/>
    <w:uiPriority w:val="99"/>
    <w:semiHidden/>
    <w:unhideWhenUsed/>
    <w:rsid w:val="008C339D"/>
    <w:rPr>
      <w:rFonts w:cs="Times New Roman"/>
      <w:sz w:val="24"/>
      <w:szCs w:val="24"/>
    </w:rPr>
  </w:style>
  <w:style w:type="character" w:styleId="PlaceholderText">
    <w:name w:val="Placeholder Text"/>
    <w:basedOn w:val="DefaultParagraphFont"/>
    <w:uiPriority w:val="99"/>
    <w:semiHidden/>
    <w:rsid w:val="008C339D"/>
    <w:rPr>
      <w:color w:val="808080"/>
    </w:rPr>
  </w:style>
  <w:style w:type="table" w:customStyle="1" w:styleId="31">
    <w:name w:val="شبكة جدول31"/>
    <w:basedOn w:val="TableNormal"/>
    <w:next w:val="TableGrid"/>
    <w:uiPriority w:val="59"/>
    <w:rsid w:val="003465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A3EEB"/>
    <w:pPr>
      <w:spacing w:after="0" w:line="240" w:lineRule="auto"/>
    </w:pPr>
    <w:rPr>
      <w:rFonts w:asciiTheme="minorHAnsi" w:eastAsiaTheme="minorHAnsi" w:hAnsiTheme="minorHAnsi"/>
      <w:szCs w:val="20"/>
    </w:rPr>
  </w:style>
  <w:style w:type="character" w:customStyle="1" w:styleId="FootnoteTextChar">
    <w:name w:val="Footnote Text Char"/>
    <w:basedOn w:val="DefaultParagraphFont"/>
    <w:link w:val="FootnoteText"/>
    <w:uiPriority w:val="99"/>
    <w:semiHidden/>
    <w:rsid w:val="008A3EEB"/>
    <w:rPr>
      <w:rFonts w:eastAsiaTheme="minorHAnsi"/>
      <w:sz w:val="20"/>
      <w:szCs w:val="20"/>
    </w:rPr>
  </w:style>
  <w:style w:type="character" w:styleId="FootnoteReference">
    <w:name w:val="footnote reference"/>
    <w:basedOn w:val="DefaultParagraphFont"/>
    <w:uiPriority w:val="99"/>
    <w:semiHidden/>
    <w:unhideWhenUsed/>
    <w:rsid w:val="008A3EEB"/>
    <w:rPr>
      <w:vertAlign w:val="superscript"/>
    </w:rPr>
  </w:style>
  <w:style w:type="character" w:customStyle="1" w:styleId="mord">
    <w:name w:val="mord"/>
    <w:basedOn w:val="DefaultParagraphFont"/>
    <w:rsid w:val="00A90A22"/>
  </w:style>
  <w:style w:type="character" w:customStyle="1" w:styleId="mpunct">
    <w:name w:val="mpunct"/>
    <w:basedOn w:val="DefaultParagraphFont"/>
    <w:rsid w:val="00A90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1768">
      <w:bodyDiv w:val="1"/>
      <w:marLeft w:val="0"/>
      <w:marRight w:val="0"/>
      <w:marTop w:val="0"/>
      <w:marBottom w:val="0"/>
      <w:divBdr>
        <w:top w:val="none" w:sz="0" w:space="0" w:color="auto"/>
        <w:left w:val="none" w:sz="0" w:space="0" w:color="auto"/>
        <w:bottom w:val="none" w:sz="0" w:space="0" w:color="auto"/>
        <w:right w:val="none" w:sz="0" w:space="0" w:color="auto"/>
      </w:divBdr>
    </w:div>
    <w:div w:id="59716901">
      <w:bodyDiv w:val="1"/>
      <w:marLeft w:val="0"/>
      <w:marRight w:val="0"/>
      <w:marTop w:val="0"/>
      <w:marBottom w:val="0"/>
      <w:divBdr>
        <w:top w:val="none" w:sz="0" w:space="0" w:color="auto"/>
        <w:left w:val="none" w:sz="0" w:space="0" w:color="auto"/>
        <w:bottom w:val="none" w:sz="0" w:space="0" w:color="auto"/>
        <w:right w:val="none" w:sz="0" w:space="0" w:color="auto"/>
      </w:divBdr>
    </w:div>
    <w:div w:id="179855699">
      <w:bodyDiv w:val="1"/>
      <w:marLeft w:val="0"/>
      <w:marRight w:val="0"/>
      <w:marTop w:val="0"/>
      <w:marBottom w:val="0"/>
      <w:divBdr>
        <w:top w:val="none" w:sz="0" w:space="0" w:color="auto"/>
        <w:left w:val="none" w:sz="0" w:space="0" w:color="auto"/>
        <w:bottom w:val="none" w:sz="0" w:space="0" w:color="auto"/>
        <w:right w:val="none" w:sz="0" w:space="0" w:color="auto"/>
      </w:divBdr>
    </w:div>
    <w:div w:id="234362401">
      <w:bodyDiv w:val="1"/>
      <w:marLeft w:val="0"/>
      <w:marRight w:val="0"/>
      <w:marTop w:val="0"/>
      <w:marBottom w:val="0"/>
      <w:divBdr>
        <w:top w:val="none" w:sz="0" w:space="0" w:color="auto"/>
        <w:left w:val="none" w:sz="0" w:space="0" w:color="auto"/>
        <w:bottom w:val="none" w:sz="0" w:space="0" w:color="auto"/>
        <w:right w:val="none" w:sz="0" w:space="0" w:color="auto"/>
      </w:divBdr>
    </w:div>
    <w:div w:id="266037525">
      <w:bodyDiv w:val="1"/>
      <w:marLeft w:val="0"/>
      <w:marRight w:val="0"/>
      <w:marTop w:val="0"/>
      <w:marBottom w:val="0"/>
      <w:divBdr>
        <w:top w:val="none" w:sz="0" w:space="0" w:color="auto"/>
        <w:left w:val="none" w:sz="0" w:space="0" w:color="auto"/>
        <w:bottom w:val="none" w:sz="0" w:space="0" w:color="auto"/>
        <w:right w:val="none" w:sz="0" w:space="0" w:color="auto"/>
      </w:divBdr>
      <w:divsChild>
        <w:div w:id="1828092046">
          <w:marLeft w:val="0"/>
          <w:marRight w:val="0"/>
          <w:marTop w:val="0"/>
          <w:marBottom w:val="0"/>
          <w:divBdr>
            <w:top w:val="none" w:sz="0" w:space="0" w:color="auto"/>
            <w:left w:val="none" w:sz="0" w:space="0" w:color="auto"/>
            <w:bottom w:val="none" w:sz="0" w:space="0" w:color="auto"/>
            <w:right w:val="none" w:sz="0" w:space="0" w:color="auto"/>
          </w:divBdr>
          <w:divsChild>
            <w:div w:id="886333062">
              <w:marLeft w:val="0"/>
              <w:marRight w:val="0"/>
              <w:marTop w:val="0"/>
              <w:marBottom w:val="0"/>
              <w:divBdr>
                <w:top w:val="none" w:sz="0" w:space="0" w:color="auto"/>
                <w:left w:val="none" w:sz="0" w:space="0" w:color="auto"/>
                <w:bottom w:val="none" w:sz="0" w:space="0" w:color="auto"/>
                <w:right w:val="none" w:sz="0" w:space="0" w:color="auto"/>
              </w:divBdr>
              <w:divsChild>
                <w:div w:id="809830725">
                  <w:marLeft w:val="0"/>
                  <w:marRight w:val="0"/>
                  <w:marTop w:val="0"/>
                  <w:marBottom w:val="0"/>
                  <w:divBdr>
                    <w:top w:val="none" w:sz="0" w:space="0" w:color="auto"/>
                    <w:left w:val="none" w:sz="0" w:space="0" w:color="auto"/>
                    <w:bottom w:val="none" w:sz="0" w:space="0" w:color="auto"/>
                    <w:right w:val="none" w:sz="0" w:space="0" w:color="auto"/>
                  </w:divBdr>
                  <w:divsChild>
                    <w:div w:id="186254394">
                      <w:marLeft w:val="0"/>
                      <w:marRight w:val="0"/>
                      <w:marTop w:val="0"/>
                      <w:marBottom w:val="0"/>
                      <w:divBdr>
                        <w:top w:val="none" w:sz="0" w:space="0" w:color="auto"/>
                        <w:left w:val="none" w:sz="0" w:space="0" w:color="auto"/>
                        <w:bottom w:val="none" w:sz="0" w:space="0" w:color="auto"/>
                        <w:right w:val="none" w:sz="0" w:space="0" w:color="auto"/>
                      </w:divBdr>
                      <w:divsChild>
                        <w:div w:id="1954356616">
                          <w:marLeft w:val="0"/>
                          <w:marRight w:val="0"/>
                          <w:marTop w:val="0"/>
                          <w:marBottom w:val="0"/>
                          <w:divBdr>
                            <w:top w:val="none" w:sz="0" w:space="0" w:color="auto"/>
                            <w:left w:val="none" w:sz="0" w:space="0" w:color="auto"/>
                            <w:bottom w:val="none" w:sz="0" w:space="0" w:color="auto"/>
                            <w:right w:val="none" w:sz="0" w:space="0" w:color="auto"/>
                          </w:divBdr>
                          <w:divsChild>
                            <w:div w:id="42384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442171">
      <w:bodyDiv w:val="1"/>
      <w:marLeft w:val="0"/>
      <w:marRight w:val="0"/>
      <w:marTop w:val="0"/>
      <w:marBottom w:val="0"/>
      <w:divBdr>
        <w:top w:val="none" w:sz="0" w:space="0" w:color="auto"/>
        <w:left w:val="none" w:sz="0" w:space="0" w:color="auto"/>
        <w:bottom w:val="none" w:sz="0" w:space="0" w:color="auto"/>
        <w:right w:val="none" w:sz="0" w:space="0" w:color="auto"/>
      </w:divBdr>
    </w:div>
    <w:div w:id="315915401">
      <w:bodyDiv w:val="1"/>
      <w:marLeft w:val="0"/>
      <w:marRight w:val="0"/>
      <w:marTop w:val="0"/>
      <w:marBottom w:val="0"/>
      <w:divBdr>
        <w:top w:val="none" w:sz="0" w:space="0" w:color="auto"/>
        <w:left w:val="none" w:sz="0" w:space="0" w:color="auto"/>
        <w:bottom w:val="none" w:sz="0" w:space="0" w:color="auto"/>
        <w:right w:val="none" w:sz="0" w:space="0" w:color="auto"/>
      </w:divBdr>
    </w:div>
    <w:div w:id="316345124">
      <w:bodyDiv w:val="1"/>
      <w:marLeft w:val="0"/>
      <w:marRight w:val="0"/>
      <w:marTop w:val="0"/>
      <w:marBottom w:val="0"/>
      <w:divBdr>
        <w:top w:val="none" w:sz="0" w:space="0" w:color="auto"/>
        <w:left w:val="none" w:sz="0" w:space="0" w:color="auto"/>
        <w:bottom w:val="none" w:sz="0" w:space="0" w:color="auto"/>
        <w:right w:val="none" w:sz="0" w:space="0" w:color="auto"/>
      </w:divBdr>
    </w:div>
    <w:div w:id="347800051">
      <w:bodyDiv w:val="1"/>
      <w:marLeft w:val="0"/>
      <w:marRight w:val="0"/>
      <w:marTop w:val="0"/>
      <w:marBottom w:val="0"/>
      <w:divBdr>
        <w:top w:val="none" w:sz="0" w:space="0" w:color="auto"/>
        <w:left w:val="none" w:sz="0" w:space="0" w:color="auto"/>
        <w:bottom w:val="none" w:sz="0" w:space="0" w:color="auto"/>
        <w:right w:val="none" w:sz="0" w:space="0" w:color="auto"/>
      </w:divBdr>
    </w:div>
    <w:div w:id="375934583">
      <w:bodyDiv w:val="1"/>
      <w:marLeft w:val="0"/>
      <w:marRight w:val="0"/>
      <w:marTop w:val="0"/>
      <w:marBottom w:val="0"/>
      <w:divBdr>
        <w:top w:val="none" w:sz="0" w:space="0" w:color="auto"/>
        <w:left w:val="none" w:sz="0" w:space="0" w:color="auto"/>
        <w:bottom w:val="none" w:sz="0" w:space="0" w:color="auto"/>
        <w:right w:val="none" w:sz="0" w:space="0" w:color="auto"/>
      </w:divBdr>
    </w:div>
    <w:div w:id="380712220">
      <w:bodyDiv w:val="1"/>
      <w:marLeft w:val="0"/>
      <w:marRight w:val="0"/>
      <w:marTop w:val="0"/>
      <w:marBottom w:val="0"/>
      <w:divBdr>
        <w:top w:val="none" w:sz="0" w:space="0" w:color="auto"/>
        <w:left w:val="none" w:sz="0" w:space="0" w:color="auto"/>
        <w:bottom w:val="none" w:sz="0" w:space="0" w:color="auto"/>
        <w:right w:val="none" w:sz="0" w:space="0" w:color="auto"/>
      </w:divBdr>
    </w:div>
    <w:div w:id="391467193">
      <w:bodyDiv w:val="1"/>
      <w:marLeft w:val="0"/>
      <w:marRight w:val="0"/>
      <w:marTop w:val="0"/>
      <w:marBottom w:val="0"/>
      <w:divBdr>
        <w:top w:val="none" w:sz="0" w:space="0" w:color="auto"/>
        <w:left w:val="none" w:sz="0" w:space="0" w:color="auto"/>
        <w:bottom w:val="none" w:sz="0" w:space="0" w:color="auto"/>
        <w:right w:val="none" w:sz="0" w:space="0" w:color="auto"/>
      </w:divBdr>
    </w:div>
    <w:div w:id="435946186">
      <w:bodyDiv w:val="1"/>
      <w:marLeft w:val="0"/>
      <w:marRight w:val="0"/>
      <w:marTop w:val="0"/>
      <w:marBottom w:val="0"/>
      <w:divBdr>
        <w:top w:val="none" w:sz="0" w:space="0" w:color="auto"/>
        <w:left w:val="none" w:sz="0" w:space="0" w:color="auto"/>
        <w:bottom w:val="none" w:sz="0" w:space="0" w:color="auto"/>
        <w:right w:val="none" w:sz="0" w:space="0" w:color="auto"/>
      </w:divBdr>
      <w:divsChild>
        <w:div w:id="1695496827">
          <w:marLeft w:val="0"/>
          <w:marRight w:val="0"/>
          <w:marTop w:val="0"/>
          <w:marBottom w:val="0"/>
          <w:divBdr>
            <w:top w:val="none" w:sz="0" w:space="0" w:color="auto"/>
            <w:left w:val="none" w:sz="0" w:space="0" w:color="auto"/>
            <w:bottom w:val="none" w:sz="0" w:space="0" w:color="auto"/>
            <w:right w:val="none" w:sz="0" w:space="0" w:color="auto"/>
          </w:divBdr>
          <w:divsChild>
            <w:div w:id="11498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145425">
      <w:bodyDiv w:val="1"/>
      <w:marLeft w:val="0"/>
      <w:marRight w:val="0"/>
      <w:marTop w:val="0"/>
      <w:marBottom w:val="0"/>
      <w:divBdr>
        <w:top w:val="none" w:sz="0" w:space="0" w:color="auto"/>
        <w:left w:val="none" w:sz="0" w:space="0" w:color="auto"/>
        <w:bottom w:val="none" w:sz="0" w:space="0" w:color="auto"/>
        <w:right w:val="none" w:sz="0" w:space="0" w:color="auto"/>
      </w:divBdr>
      <w:divsChild>
        <w:div w:id="1024746127">
          <w:marLeft w:val="0"/>
          <w:marRight w:val="0"/>
          <w:marTop w:val="0"/>
          <w:marBottom w:val="0"/>
          <w:divBdr>
            <w:top w:val="none" w:sz="0" w:space="0" w:color="auto"/>
            <w:left w:val="none" w:sz="0" w:space="0" w:color="auto"/>
            <w:bottom w:val="none" w:sz="0" w:space="0" w:color="auto"/>
            <w:right w:val="none" w:sz="0" w:space="0" w:color="auto"/>
          </w:divBdr>
          <w:divsChild>
            <w:div w:id="133175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280238">
      <w:bodyDiv w:val="1"/>
      <w:marLeft w:val="0"/>
      <w:marRight w:val="0"/>
      <w:marTop w:val="0"/>
      <w:marBottom w:val="0"/>
      <w:divBdr>
        <w:top w:val="none" w:sz="0" w:space="0" w:color="auto"/>
        <w:left w:val="none" w:sz="0" w:space="0" w:color="auto"/>
        <w:bottom w:val="none" w:sz="0" w:space="0" w:color="auto"/>
        <w:right w:val="none" w:sz="0" w:space="0" w:color="auto"/>
      </w:divBdr>
    </w:div>
    <w:div w:id="648170154">
      <w:bodyDiv w:val="1"/>
      <w:marLeft w:val="0"/>
      <w:marRight w:val="0"/>
      <w:marTop w:val="0"/>
      <w:marBottom w:val="0"/>
      <w:divBdr>
        <w:top w:val="none" w:sz="0" w:space="0" w:color="auto"/>
        <w:left w:val="none" w:sz="0" w:space="0" w:color="auto"/>
        <w:bottom w:val="none" w:sz="0" w:space="0" w:color="auto"/>
        <w:right w:val="none" w:sz="0" w:space="0" w:color="auto"/>
      </w:divBdr>
    </w:div>
    <w:div w:id="650985462">
      <w:bodyDiv w:val="1"/>
      <w:marLeft w:val="0"/>
      <w:marRight w:val="0"/>
      <w:marTop w:val="0"/>
      <w:marBottom w:val="0"/>
      <w:divBdr>
        <w:top w:val="none" w:sz="0" w:space="0" w:color="auto"/>
        <w:left w:val="none" w:sz="0" w:space="0" w:color="auto"/>
        <w:bottom w:val="none" w:sz="0" w:space="0" w:color="auto"/>
        <w:right w:val="none" w:sz="0" w:space="0" w:color="auto"/>
      </w:divBdr>
    </w:div>
    <w:div w:id="706875663">
      <w:bodyDiv w:val="1"/>
      <w:marLeft w:val="0"/>
      <w:marRight w:val="0"/>
      <w:marTop w:val="0"/>
      <w:marBottom w:val="0"/>
      <w:divBdr>
        <w:top w:val="none" w:sz="0" w:space="0" w:color="auto"/>
        <w:left w:val="none" w:sz="0" w:space="0" w:color="auto"/>
        <w:bottom w:val="none" w:sz="0" w:space="0" w:color="auto"/>
        <w:right w:val="none" w:sz="0" w:space="0" w:color="auto"/>
      </w:divBdr>
    </w:div>
    <w:div w:id="735053215">
      <w:bodyDiv w:val="1"/>
      <w:marLeft w:val="0"/>
      <w:marRight w:val="0"/>
      <w:marTop w:val="0"/>
      <w:marBottom w:val="0"/>
      <w:divBdr>
        <w:top w:val="none" w:sz="0" w:space="0" w:color="auto"/>
        <w:left w:val="none" w:sz="0" w:space="0" w:color="auto"/>
        <w:bottom w:val="none" w:sz="0" w:space="0" w:color="auto"/>
        <w:right w:val="none" w:sz="0" w:space="0" w:color="auto"/>
      </w:divBdr>
    </w:div>
    <w:div w:id="750932788">
      <w:bodyDiv w:val="1"/>
      <w:marLeft w:val="0"/>
      <w:marRight w:val="0"/>
      <w:marTop w:val="0"/>
      <w:marBottom w:val="0"/>
      <w:divBdr>
        <w:top w:val="none" w:sz="0" w:space="0" w:color="auto"/>
        <w:left w:val="none" w:sz="0" w:space="0" w:color="auto"/>
        <w:bottom w:val="none" w:sz="0" w:space="0" w:color="auto"/>
        <w:right w:val="none" w:sz="0" w:space="0" w:color="auto"/>
      </w:divBdr>
    </w:div>
    <w:div w:id="752975049">
      <w:bodyDiv w:val="1"/>
      <w:marLeft w:val="0"/>
      <w:marRight w:val="0"/>
      <w:marTop w:val="0"/>
      <w:marBottom w:val="0"/>
      <w:divBdr>
        <w:top w:val="none" w:sz="0" w:space="0" w:color="auto"/>
        <w:left w:val="none" w:sz="0" w:space="0" w:color="auto"/>
        <w:bottom w:val="none" w:sz="0" w:space="0" w:color="auto"/>
        <w:right w:val="none" w:sz="0" w:space="0" w:color="auto"/>
      </w:divBdr>
    </w:div>
    <w:div w:id="771321077">
      <w:bodyDiv w:val="1"/>
      <w:marLeft w:val="0"/>
      <w:marRight w:val="0"/>
      <w:marTop w:val="0"/>
      <w:marBottom w:val="0"/>
      <w:divBdr>
        <w:top w:val="none" w:sz="0" w:space="0" w:color="auto"/>
        <w:left w:val="none" w:sz="0" w:space="0" w:color="auto"/>
        <w:bottom w:val="none" w:sz="0" w:space="0" w:color="auto"/>
        <w:right w:val="none" w:sz="0" w:space="0" w:color="auto"/>
      </w:divBdr>
    </w:div>
    <w:div w:id="905409853">
      <w:bodyDiv w:val="1"/>
      <w:marLeft w:val="0"/>
      <w:marRight w:val="0"/>
      <w:marTop w:val="0"/>
      <w:marBottom w:val="0"/>
      <w:divBdr>
        <w:top w:val="none" w:sz="0" w:space="0" w:color="auto"/>
        <w:left w:val="none" w:sz="0" w:space="0" w:color="auto"/>
        <w:bottom w:val="none" w:sz="0" w:space="0" w:color="auto"/>
        <w:right w:val="none" w:sz="0" w:space="0" w:color="auto"/>
      </w:divBdr>
    </w:div>
    <w:div w:id="933631299">
      <w:bodyDiv w:val="1"/>
      <w:marLeft w:val="0"/>
      <w:marRight w:val="0"/>
      <w:marTop w:val="0"/>
      <w:marBottom w:val="0"/>
      <w:divBdr>
        <w:top w:val="none" w:sz="0" w:space="0" w:color="auto"/>
        <w:left w:val="none" w:sz="0" w:space="0" w:color="auto"/>
        <w:bottom w:val="none" w:sz="0" w:space="0" w:color="auto"/>
        <w:right w:val="none" w:sz="0" w:space="0" w:color="auto"/>
      </w:divBdr>
    </w:div>
    <w:div w:id="978923374">
      <w:bodyDiv w:val="1"/>
      <w:marLeft w:val="0"/>
      <w:marRight w:val="0"/>
      <w:marTop w:val="0"/>
      <w:marBottom w:val="0"/>
      <w:divBdr>
        <w:top w:val="none" w:sz="0" w:space="0" w:color="auto"/>
        <w:left w:val="none" w:sz="0" w:space="0" w:color="auto"/>
        <w:bottom w:val="none" w:sz="0" w:space="0" w:color="auto"/>
        <w:right w:val="none" w:sz="0" w:space="0" w:color="auto"/>
      </w:divBdr>
    </w:div>
    <w:div w:id="1083722016">
      <w:bodyDiv w:val="1"/>
      <w:marLeft w:val="0"/>
      <w:marRight w:val="0"/>
      <w:marTop w:val="0"/>
      <w:marBottom w:val="0"/>
      <w:divBdr>
        <w:top w:val="none" w:sz="0" w:space="0" w:color="auto"/>
        <w:left w:val="none" w:sz="0" w:space="0" w:color="auto"/>
        <w:bottom w:val="none" w:sz="0" w:space="0" w:color="auto"/>
        <w:right w:val="none" w:sz="0" w:space="0" w:color="auto"/>
      </w:divBdr>
      <w:divsChild>
        <w:div w:id="123813313">
          <w:marLeft w:val="0"/>
          <w:marRight w:val="0"/>
          <w:marTop w:val="0"/>
          <w:marBottom w:val="0"/>
          <w:divBdr>
            <w:top w:val="none" w:sz="0" w:space="0" w:color="auto"/>
            <w:left w:val="none" w:sz="0" w:space="0" w:color="auto"/>
            <w:bottom w:val="none" w:sz="0" w:space="0" w:color="auto"/>
            <w:right w:val="none" w:sz="0" w:space="0" w:color="auto"/>
          </w:divBdr>
          <w:divsChild>
            <w:div w:id="1707637455">
              <w:marLeft w:val="0"/>
              <w:marRight w:val="0"/>
              <w:marTop w:val="0"/>
              <w:marBottom w:val="0"/>
              <w:divBdr>
                <w:top w:val="none" w:sz="0" w:space="0" w:color="auto"/>
                <w:left w:val="none" w:sz="0" w:space="0" w:color="auto"/>
                <w:bottom w:val="none" w:sz="0" w:space="0" w:color="auto"/>
                <w:right w:val="none" w:sz="0" w:space="0" w:color="auto"/>
              </w:divBdr>
              <w:divsChild>
                <w:div w:id="128864651">
                  <w:marLeft w:val="0"/>
                  <w:marRight w:val="0"/>
                  <w:marTop w:val="0"/>
                  <w:marBottom w:val="0"/>
                  <w:divBdr>
                    <w:top w:val="none" w:sz="0" w:space="0" w:color="auto"/>
                    <w:left w:val="none" w:sz="0" w:space="0" w:color="auto"/>
                    <w:bottom w:val="none" w:sz="0" w:space="0" w:color="auto"/>
                    <w:right w:val="none" w:sz="0" w:space="0" w:color="auto"/>
                  </w:divBdr>
                  <w:divsChild>
                    <w:div w:id="553928095">
                      <w:marLeft w:val="0"/>
                      <w:marRight w:val="0"/>
                      <w:marTop w:val="0"/>
                      <w:marBottom w:val="0"/>
                      <w:divBdr>
                        <w:top w:val="none" w:sz="0" w:space="0" w:color="auto"/>
                        <w:left w:val="none" w:sz="0" w:space="0" w:color="auto"/>
                        <w:bottom w:val="none" w:sz="0" w:space="0" w:color="auto"/>
                        <w:right w:val="none" w:sz="0" w:space="0" w:color="auto"/>
                      </w:divBdr>
                      <w:divsChild>
                        <w:div w:id="986667742">
                          <w:marLeft w:val="0"/>
                          <w:marRight w:val="0"/>
                          <w:marTop w:val="0"/>
                          <w:marBottom w:val="0"/>
                          <w:divBdr>
                            <w:top w:val="none" w:sz="0" w:space="0" w:color="auto"/>
                            <w:left w:val="none" w:sz="0" w:space="0" w:color="auto"/>
                            <w:bottom w:val="none" w:sz="0" w:space="0" w:color="auto"/>
                            <w:right w:val="none" w:sz="0" w:space="0" w:color="auto"/>
                          </w:divBdr>
                          <w:divsChild>
                            <w:div w:id="929237661">
                              <w:marLeft w:val="0"/>
                              <w:marRight w:val="0"/>
                              <w:marTop w:val="0"/>
                              <w:marBottom w:val="0"/>
                              <w:divBdr>
                                <w:top w:val="none" w:sz="0" w:space="0" w:color="auto"/>
                                <w:left w:val="none" w:sz="0" w:space="0" w:color="auto"/>
                                <w:bottom w:val="none" w:sz="0" w:space="0" w:color="auto"/>
                                <w:right w:val="none" w:sz="0" w:space="0" w:color="auto"/>
                              </w:divBdr>
                              <w:divsChild>
                                <w:div w:id="22900398">
                                  <w:marLeft w:val="0"/>
                                  <w:marRight w:val="0"/>
                                  <w:marTop w:val="0"/>
                                  <w:marBottom w:val="0"/>
                                  <w:divBdr>
                                    <w:top w:val="none" w:sz="0" w:space="0" w:color="auto"/>
                                    <w:left w:val="none" w:sz="0" w:space="0" w:color="auto"/>
                                    <w:bottom w:val="none" w:sz="0" w:space="0" w:color="auto"/>
                                    <w:right w:val="none" w:sz="0" w:space="0" w:color="auto"/>
                                  </w:divBdr>
                                  <w:divsChild>
                                    <w:div w:id="1176731046">
                                      <w:marLeft w:val="0"/>
                                      <w:marRight w:val="0"/>
                                      <w:marTop w:val="0"/>
                                      <w:marBottom w:val="0"/>
                                      <w:divBdr>
                                        <w:top w:val="none" w:sz="0" w:space="0" w:color="auto"/>
                                        <w:left w:val="none" w:sz="0" w:space="0" w:color="auto"/>
                                        <w:bottom w:val="none" w:sz="0" w:space="0" w:color="auto"/>
                                        <w:right w:val="none" w:sz="0" w:space="0" w:color="auto"/>
                                      </w:divBdr>
                                    </w:div>
                                  </w:divsChild>
                                </w:div>
                                <w:div w:id="765267282">
                                  <w:marLeft w:val="0"/>
                                  <w:marRight w:val="0"/>
                                  <w:marTop w:val="0"/>
                                  <w:marBottom w:val="0"/>
                                  <w:divBdr>
                                    <w:top w:val="none" w:sz="0" w:space="0" w:color="auto"/>
                                    <w:left w:val="none" w:sz="0" w:space="0" w:color="auto"/>
                                    <w:bottom w:val="none" w:sz="0" w:space="0" w:color="auto"/>
                                    <w:right w:val="none" w:sz="0" w:space="0" w:color="auto"/>
                                  </w:divBdr>
                                  <w:divsChild>
                                    <w:div w:id="1284075729">
                                      <w:marLeft w:val="0"/>
                                      <w:marRight w:val="0"/>
                                      <w:marTop w:val="0"/>
                                      <w:marBottom w:val="0"/>
                                      <w:divBdr>
                                        <w:top w:val="none" w:sz="0" w:space="0" w:color="auto"/>
                                        <w:left w:val="none" w:sz="0" w:space="0" w:color="auto"/>
                                        <w:bottom w:val="none" w:sz="0" w:space="0" w:color="auto"/>
                                        <w:right w:val="none" w:sz="0" w:space="0" w:color="auto"/>
                                      </w:divBdr>
                                    </w:div>
                                  </w:divsChild>
                                </w:div>
                                <w:div w:id="1975207633">
                                  <w:marLeft w:val="0"/>
                                  <w:marRight w:val="0"/>
                                  <w:marTop w:val="0"/>
                                  <w:marBottom w:val="0"/>
                                  <w:divBdr>
                                    <w:top w:val="none" w:sz="0" w:space="0" w:color="auto"/>
                                    <w:left w:val="none" w:sz="0" w:space="0" w:color="auto"/>
                                    <w:bottom w:val="none" w:sz="0" w:space="0" w:color="auto"/>
                                    <w:right w:val="none" w:sz="0" w:space="0" w:color="auto"/>
                                  </w:divBdr>
                                  <w:divsChild>
                                    <w:div w:id="164784051">
                                      <w:marLeft w:val="0"/>
                                      <w:marRight w:val="0"/>
                                      <w:marTop w:val="0"/>
                                      <w:marBottom w:val="0"/>
                                      <w:divBdr>
                                        <w:top w:val="none" w:sz="0" w:space="0" w:color="auto"/>
                                        <w:left w:val="none" w:sz="0" w:space="0" w:color="auto"/>
                                        <w:bottom w:val="none" w:sz="0" w:space="0" w:color="auto"/>
                                        <w:right w:val="none" w:sz="0" w:space="0" w:color="auto"/>
                                      </w:divBdr>
                                    </w:div>
                                  </w:divsChild>
                                </w:div>
                                <w:div w:id="1478062122">
                                  <w:marLeft w:val="0"/>
                                  <w:marRight w:val="0"/>
                                  <w:marTop w:val="0"/>
                                  <w:marBottom w:val="0"/>
                                  <w:divBdr>
                                    <w:top w:val="none" w:sz="0" w:space="0" w:color="auto"/>
                                    <w:left w:val="none" w:sz="0" w:space="0" w:color="auto"/>
                                    <w:bottom w:val="none" w:sz="0" w:space="0" w:color="auto"/>
                                    <w:right w:val="none" w:sz="0" w:space="0" w:color="auto"/>
                                  </w:divBdr>
                                  <w:divsChild>
                                    <w:div w:id="19069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130998">
      <w:bodyDiv w:val="1"/>
      <w:marLeft w:val="0"/>
      <w:marRight w:val="0"/>
      <w:marTop w:val="0"/>
      <w:marBottom w:val="0"/>
      <w:divBdr>
        <w:top w:val="none" w:sz="0" w:space="0" w:color="auto"/>
        <w:left w:val="none" w:sz="0" w:space="0" w:color="auto"/>
        <w:bottom w:val="none" w:sz="0" w:space="0" w:color="auto"/>
        <w:right w:val="none" w:sz="0" w:space="0" w:color="auto"/>
      </w:divBdr>
    </w:div>
    <w:div w:id="1323318866">
      <w:bodyDiv w:val="1"/>
      <w:marLeft w:val="0"/>
      <w:marRight w:val="0"/>
      <w:marTop w:val="0"/>
      <w:marBottom w:val="0"/>
      <w:divBdr>
        <w:top w:val="none" w:sz="0" w:space="0" w:color="auto"/>
        <w:left w:val="none" w:sz="0" w:space="0" w:color="auto"/>
        <w:bottom w:val="none" w:sz="0" w:space="0" w:color="auto"/>
        <w:right w:val="none" w:sz="0" w:space="0" w:color="auto"/>
      </w:divBdr>
    </w:div>
    <w:div w:id="1396246509">
      <w:bodyDiv w:val="1"/>
      <w:marLeft w:val="0"/>
      <w:marRight w:val="0"/>
      <w:marTop w:val="0"/>
      <w:marBottom w:val="0"/>
      <w:divBdr>
        <w:top w:val="none" w:sz="0" w:space="0" w:color="auto"/>
        <w:left w:val="none" w:sz="0" w:space="0" w:color="auto"/>
        <w:bottom w:val="none" w:sz="0" w:space="0" w:color="auto"/>
        <w:right w:val="none" w:sz="0" w:space="0" w:color="auto"/>
      </w:divBdr>
    </w:div>
    <w:div w:id="1486168932">
      <w:bodyDiv w:val="1"/>
      <w:marLeft w:val="0"/>
      <w:marRight w:val="0"/>
      <w:marTop w:val="0"/>
      <w:marBottom w:val="0"/>
      <w:divBdr>
        <w:top w:val="none" w:sz="0" w:space="0" w:color="auto"/>
        <w:left w:val="none" w:sz="0" w:space="0" w:color="auto"/>
        <w:bottom w:val="none" w:sz="0" w:space="0" w:color="auto"/>
        <w:right w:val="none" w:sz="0" w:space="0" w:color="auto"/>
      </w:divBdr>
    </w:div>
    <w:div w:id="1528176374">
      <w:bodyDiv w:val="1"/>
      <w:marLeft w:val="0"/>
      <w:marRight w:val="0"/>
      <w:marTop w:val="0"/>
      <w:marBottom w:val="0"/>
      <w:divBdr>
        <w:top w:val="none" w:sz="0" w:space="0" w:color="auto"/>
        <w:left w:val="none" w:sz="0" w:space="0" w:color="auto"/>
        <w:bottom w:val="none" w:sz="0" w:space="0" w:color="auto"/>
        <w:right w:val="none" w:sz="0" w:space="0" w:color="auto"/>
      </w:divBdr>
    </w:div>
    <w:div w:id="1634478836">
      <w:bodyDiv w:val="1"/>
      <w:marLeft w:val="0"/>
      <w:marRight w:val="0"/>
      <w:marTop w:val="0"/>
      <w:marBottom w:val="0"/>
      <w:divBdr>
        <w:top w:val="none" w:sz="0" w:space="0" w:color="auto"/>
        <w:left w:val="none" w:sz="0" w:space="0" w:color="auto"/>
        <w:bottom w:val="none" w:sz="0" w:space="0" w:color="auto"/>
        <w:right w:val="none" w:sz="0" w:space="0" w:color="auto"/>
      </w:divBdr>
    </w:div>
    <w:div w:id="1661538637">
      <w:bodyDiv w:val="1"/>
      <w:marLeft w:val="0"/>
      <w:marRight w:val="0"/>
      <w:marTop w:val="0"/>
      <w:marBottom w:val="0"/>
      <w:divBdr>
        <w:top w:val="none" w:sz="0" w:space="0" w:color="auto"/>
        <w:left w:val="none" w:sz="0" w:space="0" w:color="auto"/>
        <w:bottom w:val="none" w:sz="0" w:space="0" w:color="auto"/>
        <w:right w:val="none" w:sz="0" w:space="0" w:color="auto"/>
      </w:divBdr>
    </w:div>
    <w:div w:id="1874729503">
      <w:bodyDiv w:val="1"/>
      <w:marLeft w:val="0"/>
      <w:marRight w:val="0"/>
      <w:marTop w:val="0"/>
      <w:marBottom w:val="0"/>
      <w:divBdr>
        <w:top w:val="none" w:sz="0" w:space="0" w:color="auto"/>
        <w:left w:val="none" w:sz="0" w:space="0" w:color="auto"/>
        <w:bottom w:val="none" w:sz="0" w:space="0" w:color="auto"/>
        <w:right w:val="none" w:sz="0" w:space="0" w:color="auto"/>
      </w:divBdr>
      <w:divsChild>
        <w:div w:id="1365209632">
          <w:marLeft w:val="0"/>
          <w:marRight w:val="0"/>
          <w:marTop w:val="0"/>
          <w:marBottom w:val="0"/>
          <w:divBdr>
            <w:top w:val="none" w:sz="0" w:space="0" w:color="auto"/>
            <w:left w:val="none" w:sz="0" w:space="0" w:color="auto"/>
            <w:bottom w:val="none" w:sz="0" w:space="0" w:color="auto"/>
            <w:right w:val="none" w:sz="0" w:space="0" w:color="auto"/>
          </w:divBdr>
        </w:div>
      </w:divsChild>
    </w:div>
    <w:div w:id="1895042997">
      <w:bodyDiv w:val="1"/>
      <w:marLeft w:val="0"/>
      <w:marRight w:val="0"/>
      <w:marTop w:val="0"/>
      <w:marBottom w:val="0"/>
      <w:divBdr>
        <w:top w:val="none" w:sz="0" w:space="0" w:color="auto"/>
        <w:left w:val="none" w:sz="0" w:space="0" w:color="auto"/>
        <w:bottom w:val="none" w:sz="0" w:space="0" w:color="auto"/>
        <w:right w:val="none" w:sz="0" w:space="0" w:color="auto"/>
      </w:divBdr>
    </w:div>
    <w:div w:id="1987199468">
      <w:bodyDiv w:val="1"/>
      <w:marLeft w:val="0"/>
      <w:marRight w:val="0"/>
      <w:marTop w:val="0"/>
      <w:marBottom w:val="0"/>
      <w:divBdr>
        <w:top w:val="none" w:sz="0" w:space="0" w:color="auto"/>
        <w:left w:val="none" w:sz="0" w:space="0" w:color="auto"/>
        <w:bottom w:val="none" w:sz="0" w:space="0" w:color="auto"/>
        <w:right w:val="none" w:sz="0" w:space="0" w:color="auto"/>
      </w:divBdr>
    </w:div>
    <w:div w:id="2000617595">
      <w:bodyDiv w:val="1"/>
      <w:marLeft w:val="0"/>
      <w:marRight w:val="0"/>
      <w:marTop w:val="0"/>
      <w:marBottom w:val="0"/>
      <w:divBdr>
        <w:top w:val="none" w:sz="0" w:space="0" w:color="auto"/>
        <w:left w:val="none" w:sz="0" w:space="0" w:color="auto"/>
        <w:bottom w:val="none" w:sz="0" w:space="0" w:color="auto"/>
        <w:right w:val="none" w:sz="0" w:space="0" w:color="auto"/>
      </w:divBdr>
    </w:div>
    <w:div w:id="2069303894">
      <w:bodyDiv w:val="1"/>
      <w:marLeft w:val="0"/>
      <w:marRight w:val="0"/>
      <w:marTop w:val="0"/>
      <w:marBottom w:val="0"/>
      <w:divBdr>
        <w:top w:val="none" w:sz="0" w:space="0" w:color="auto"/>
        <w:left w:val="none" w:sz="0" w:space="0" w:color="auto"/>
        <w:bottom w:val="none" w:sz="0" w:space="0" w:color="auto"/>
        <w:right w:val="none" w:sz="0" w:space="0" w:color="auto"/>
      </w:divBdr>
    </w:div>
    <w:div w:id="2094080022">
      <w:bodyDiv w:val="1"/>
      <w:marLeft w:val="0"/>
      <w:marRight w:val="0"/>
      <w:marTop w:val="0"/>
      <w:marBottom w:val="0"/>
      <w:divBdr>
        <w:top w:val="none" w:sz="0" w:space="0" w:color="auto"/>
        <w:left w:val="none" w:sz="0" w:space="0" w:color="auto"/>
        <w:bottom w:val="none" w:sz="0" w:space="0" w:color="auto"/>
        <w:right w:val="none" w:sz="0" w:space="0" w:color="auto"/>
      </w:divBdr>
    </w:div>
    <w:div w:id="2126607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wnloads\&#1575;&#1604;&#1575;&#1593;&#1605;&#1575;&#1604;%20&#1575;&#1604;&#1580;&#1583;&#1610;&#1583;&#1577;%202025-2026\&#1575;&#1608;&#1585;&#1575;&#1602;%20&#1576;&#1581;&#1579;&#1610;&#1577;\&#1575;&#1604;&#1575;&#1569;%20&#1606;&#1608;&#1586;&#1575;&#1583;\%20a)%20alaa.n.faeq@gmail.com"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file:///D:\Downloads\&#1575;&#1604;&#1575;&#1593;&#1605;&#1575;&#1604;%20&#1575;&#1604;&#1580;&#1583;&#1610;&#1583;&#1577;%202025-2026\&#1575;&#1608;&#1585;&#1575;&#1602;%20&#1576;&#1581;&#1579;&#1610;&#1577;\&#1575;&#1604;&#1575;&#1569;%20&#1606;&#1608;&#1586;&#1575;&#1583;\b)%20ali.ihsan@uokirkuk.edu.iq"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90235EA-EB10-48AE-87FA-5CFC644AAA0E}">
  <we:reference id="wa200000368" version="1.0.0.0" store="en-US" storeType="OMEX"/>
  <we:alternateReferences>
    <we:reference id="wa200000368" version="1.0.0.0" store="en-US" storeType="OMEX"/>
  </we:alternateReferences>
  <we:properties>
    <we:property name="documentId" value="&quot;da0953ab1316a664&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9AB8B-1416-44FE-B676-28F955325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2854</Words>
  <Characters>16274</Characters>
  <Application>Microsoft Office Word</Application>
  <DocSecurity>0</DocSecurity>
  <Lines>135</Lines>
  <Paragraphs>38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By DR.Ahmed Saker 2O11 - 2O12</Company>
  <LinksUpToDate>false</LinksUpToDate>
  <CharactersWithSpaces>19090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Chafic Salame</cp:lastModifiedBy>
  <cp:revision>17</cp:revision>
  <cp:lastPrinted>2025-07-27T20:34:00Z</cp:lastPrinted>
  <dcterms:created xsi:type="dcterms:W3CDTF">2025-10-18T17:21:00Z</dcterms:created>
  <dcterms:modified xsi:type="dcterms:W3CDTF">2025-12-06T19:09:00Z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e9fdaf59-5efe-494a-b6f9-84d47a9dc56d</vt:lpwstr>
  </property>
  <property fmtid="{D5CDD505-2E9C-101B-9397-08002B2CF9AE}" pid="3" name="_DocHome">
    <vt:i4>343262471</vt:i4>
  </property>
</Properties>
</file>