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4771A041" w:rsidR="0016385D" w:rsidRPr="00075EA6" w:rsidRDefault="00073829" w:rsidP="00E44664">
      <w:pPr>
        <w:pStyle w:val="PaperTitle"/>
        <w:spacing w:before="120" w:after="120"/>
        <w:rPr>
          <w:b w:val="0"/>
          <w:bCs/>
          <w:sz w:val="24"/>
          <w:szCs w:val="24"/>
        </w:rPr>
      </w:pPr>
      <w:r w:rsidRPr="00073829">
        <w:t>Antibacterial</w:t>
      </w:r>
      <w:r>
        <w:t xml:space="preserve">, </w:t>
      </w:r>
      <w:proofErr w:type="spellStart"/>
      <w:r>
        <w:t>Antivirulant</w:t>
      </w:r>
      <w:proofErr w:type="spellEnd"/>
      <w:r>
        <w:t xml:space="preserve"> and Antioxidant Activities o</w:t>
      </w:r>
      <w:r w:rsidRPr="00073829">
        <w:t xml:space="preserve">f Photosynthesized Selenium Nanoparticles Against </w:t>
      </w:r>
      <w:r w:rsidRPr="00073829">
        <w:rPr>
          <w:i/>
          <w:iCs/>
        </w:rPr>
        <w:t xml:space="preserve">Escherichia </w:t>
      </w:r>
      <w:r>
        <w:rPr>
          <w:i/>
          <w:iCs/>
        </w:rPr>
        <w:t>c</w:t>
      </w:r>
      <w:r w:rsidRPr="00073829">
        <w:rPr>
          <w:i/>
          <w:iCs/>
        </w:rPr>
        <w:t>oli</w:t>
      </w:r>
      <w:r w:rsidRPr="00073829">
        <w:t xml:space="preserve"> Isolates</w:t>
      </w:r>
    </w:p>
    <w:p w14:paraId="12054738" w14:textId="77777777" w:rsidR="00E44664" w:rsidRDefault="00E44664" w:rsidP="00E44664">
      <w:pPr>
        <w:pStyle w:val="AuthorName"/>
        <w:spacing w:before="0" w:after="0"/>
      </w:pPr>
    </w:p>
    <w:p w14:paraId="548D96A3" w14:textId="1A999C13" w:rsidR="00C14B14" w:rsidRDefault="00073829" w:rsidP="00E44664">
      <w:pPr>
        <w:pStyle w:val="AuthorName"/>
        <w:spacing w:before="0" w:after="0"/>
        <w:rPr>
          <w:vertAlign w:val="superscript"/>
        </w:rPr>
      </w:pPr>
      <w:r w:rsidRPr="00073829">
        <w:t>Dhuha H. Al Jubouri</w:t>
      </w:r>
      <w:r w:rsidR="00EF6940" w:rsidRPr="2F830975">
        <w:rPr>
          <w:vertAlign w:val="superscript"/>
        </w:rPr>
        <w:t>1,</w:t>
      </w:r>
      <w:r w:rsidR="003A5C85" w:rsidRPr="2F830975">
        <w:rPr>
          <w:vertAlign w:val="superscript"/>
        </w:rPr>
        <w:t xml:space="preserve"> </w:t>
      </w:r>
      <w:r w:rsidR="00EF6940" w:rsidRPr="2F830975">
        <w:rPr>
          <w:vertAlign w:val="superscript"/>
        </w:rPr>
        <w:t>a)</w:t>
      </w:r>
      <w:r w:rsidR="0016385D">
        <w:t xml:space="preserve"> and </w:t>
      </w:r>
      <w:r w:rsidRPr="00073829">
        <w:t>Esam J. Alkalifawi</w:t>
      </w:r>
      <w:r w:rsidR="0069075E">
        <w:rPr>
          <w:vertAlign w:val="superscript"/>
        </w:rPr>
        <w:t>1</w:t>
      </w:r>
      <w:r w:rsidR="007B4863" w:rsidRPr="2F830975">
        <w:rPr>
          <w:vertAlign w:val="superscript"/>
        </w:rPr>
        <w:t xml:space="preserve">, </w:t>
      </w:r>
      <w:r>
        <w:rPr>
          <w:vertAlign w:val="superscript"/>
        </w:rPr>
        <w:t>b</w:t>
      </w:r>
      <w:r w:rsidR="003A5C85" w:rsidRPr="2F830975">
        <w:rPr>
          <w:vertAlign w:val="superscript"/>
        </w:rPr>
        <w:t>)</w:t>
      </w:r>
    </w:p>
    <w:p w14:paraId="1789C00E" w14:textId="77777777" w:rsidR="00E44664" w:rsidRPr="00E44664" w:rsidRDefault="00E44664" w:rsidP="00E44664">
      <w:pPr>
        <w:pStyle w:val="AuthorAffiliation"/>
      </w:pPr>
    </w:p>
    <w:p w14:paraId="5E05E235" w14:textId="0735D783" w:rsidR="003A5C85" w:rsidRPr="00075EA6" w:rsidRDefault="00027428" w:rsidP="00E44664">
      <w:pPr>
        <w:pStyle w:val="AuthorAffiliation"/>
        <w:spacing w:before="120" w:after="120"/>
        <w:rPr>
          <w:lang w:bidi="ar-IQ"/>
        </w:rPr>
      </w:pPr>
      <w:r w:rsidRPr="00075EA6">
        <w:rPr>
          <w:i w:val="0"/>
          <w:iCs/>
          <w:vertAlign w:val="superscript"/>
        </w:rPr>
        <w:t>1</w:t>
      </w:r>
      <w:r w:rsidR="00073829" w:rsidRPr="00073829">
        <w:t>Department of Bio</w:t>
      </w:r>
      <w:r w:rsidR="005F39F6">
        <w:t>logy, College of Education for Pure Science Ibn Al-Haith</w:t>
      </w:r>
      <w:r w:rsidR="00073829" w:rsidRPr="00073829">
        <w:t>am, University of Baghdad</w:t>
      </w:r>
      <w:r w:rsidR="005F39F6">
        <w:t>, Baghdad, Iraq</w:t>
      </w:r>
      <w:r w:rsidR="0016782F" w:rsidRPr="00075EA6">
        <w:br/>
      </w:r>
      <w:r w:rsidR="00C14B14" w:rsidRPr="00075EA6">
        <w:br/>
      </w:r>
      <w:r w:rsidR="00003D7C" w:rsidRPr="00140F2F">
        <w:rPr>
          <w:szCs w:val="28"/>
          <w:vertAlign w:val="superscript"/>
        </w:rPr>
        <w:t>a)</w:t>
      </w:r>
      <w:r w:rsidR="00C86A34" w:rsidRPr="00140F2F">
        <w:t xml:space="preserve"> corresponding author.</w:t>
      </w:r>
      <w:r w:rsidR="00003D7C" w:rsidRPr="00140F2F">
        <w:t xml:space="preserve"> </w:t>
      </w:r>
      <w:r w:rsidR="00257D2E" w:rsidRPr="00140F2F">
        <w:t xml:space="preserve">wrdta3965@gmail.com </w:t>
      </w:r>
      <w:r w:rsidR="001D469C" w:rsidRPr="00140F2F">
        <w:br/>
      </w:r>
      <w:r w:rsidR="003A5C85" w:rsidRPr="00075EA6">
        <w:rPr>
          <w:szCs w:val="28"/>
          <w:vertAlign w:val="superscript"/>
        </w:rPr>
        <w:t>b)</w:t>
      </w:r>
      <w:r w:rsidR="00257D2E" w:rsidRPr="00257D2E">
        <w:t xml:space="preserve"> </w:t>
      </w:r>
      <w:r w:rsidR="004F244F" w:rsidRPr="00E44664">
        <w:t>aesam365@yahoo.com</w:t>
      </w:r>
      <w:r w:rsidR="004F244F">
        <w:t xml:space="preserve">. </w:t>
      </w:r>
    </w:p>
    <w:p w14:paraId="767CCFD5" w14:textId="7EB2CD74" w:rsidR="00A034A7" w:rsidRDefault="0016385D" w:rsidP="00E44664">
      <w:pPr>
        <w:pStyle w:val="Abstract"/>
        <w:spacing w:before="240" w:after="240"/>
        <w:ind w:left="0" w:right="0"/>
      </w:pPr>
      <w:r w:rsidRPr="00075EA6">
        <w:rPr>
          <w:b/>
          <w:bCs/>
        </w:rPr>
        <w:t>Abstract.</w:t>
      </w:r>
      <w:r w:rsidRPr="00075EA6">
        <w:t xml:space="preserve"> </w:t>
      </w:r>
      <w:r w:rsidR="00A034A7">
        <w:t xml:space="preserve">In this study, the antibacterial, </w:t>
      </w:r>
      <w:proofErr w:type="spellStart"/>
      <w:r w:rsidR="00A034A7">
        <w:t>antivirulence</w:t>
      </w:r>
      <w:proofErr w:type="spellEnd"/>
      <w:r w:rsidR="00A034A7">
        <w:t>, and antioxidant properties of photosynthesized selenium nanoparticles (MC-</w:t>
      </w:r>
      <w:proofErr w:type="spellStart"/>
      <w:r w:rsidR="00A034A7">
        <w:t>SeNPs</w:t>
      </w:r>
      <w:proofErr w:type="spellEnd"/>
      <w:r w:rsidR="00A034A7">
        <w:t xml:space="preserve">) were evaluated against 50 </w:t>
      </w:r>
      <w:r w:rsidR="00A034A7" w:rsidRPr="00A034A7">
        <w:rPr>
          <w:i/>
          <w:iCs/>
        </w:rPr>
        <w:t>Escherichia coli</w:t>
      </w:r>
      <w:r w:rsidR="00A034A7">
        <w:t xml:space="preserve"> isolates (33.3%) obtained from 150 clinical samples. Among the isolates, 60% were recovered from urinary tract infections, 30% from wounds, and 10% from burns. Antimicrobial susceptibility testing revealed variable resistance patterns among the isolates. The antimicrobial activity of MC-</w:t>
      </w:r>
      <w:proofErr w:type="spellStart"/>
      <w:r w:rsidR="00A034A7">
        <w:t>SeNPs</w:t>
      </w:r>
      <w:proofErr w:type="spellEnd"/>
      <w:r w:rsidR="00A034A7">
        <w:t>, assessed using a resazurin-based microdilution method, showed minimum inhibitory concentrations (MICs) ranging from 1250 to 312.5 µg/ml. At sub-MIC levels, MC-</w:t>
      </w:r>
      <w:proofErr w:type="spellStart"/>
      <w:r w:rsidR="00A034A7">
        <w:t>SeNPs</w:t>
      </w:r>
      <w:proofErr w:type="spellEnd"/>
      <w:r w:rsidR="00A034A7">
        <w:t xml:space="preserve"> significantly reduced biofilm formation, with inhibition rates ranging from 7.8% to 85% in strong biofilm producers, 44% to 57% in moderate producers, and 39% to 71% in weak producers. Antioxidant activity assays demonstrated a dose-dependent increase in free radical scavenging capacity with </w:t>
      </w:r>
      <w:r w:rsidR="00A034A7" w:rsidRPr="00EF151A">
        <w:rPr>
          <w:i/>
          <w:iCs/>
        </w:rPr>
        <w:t>Myrtus communis</w:t>
      </w:r>
      <w:r w:rsidR="00A034A7">
        <w:t xml:space="preserve"> L. leaf extract, MC-</w:t>
      </w:r>
      <w:proofErr w:type="spellStart"/>
      <w:r w:rsidR="00A034A7">
        <w:t>SeNPs</w:t>
      </w:r>
      <w:proofErr w:type="spellEnd"/>
      <w:r w:rsidR="00A034A7">
        <w:t>, and ascorbic acid. Hemolytic activity testing indicated minimal toxicity, as MC-</w:t>
      </w:r>
      <w:proofErr w:type="spellStart"/>
      <w:r w:rsidR="00A034A7">
        <w:t>SeNPs</w:t>
      </w:r>
      <w:proofErr w:type="spellEnd"/>
      <w:r w:rsidR="00A034A7">
        <w:t xml:space="preserve"> exhibited the lowest hemolytic effect even at higher concentrations. Overall, the findings highlight the potential of MC-</w:t>
      </w:r>
      <w:proofErr w:type="spellStart"/>
      <w:r w:rsidR="00A034A7">
        <w:t>SeNPs</w:t>
      </w:r>
      <w:proofErr w:type="spellEnd"/>
      <w:r w:rsidR="00A034A7">
        <w:t xml:space="preserve"> as effective antimicrobial and </w:t>
      </w:r>
      <w:proofErr w:type="spellStart"/>
      <w:r w:rsidR="00A034A7">
        <w:t>antivirulence</w:t>
      </w:r>
      <w:proofErr w:type="spellEnd"/>
      <w:r w:rsidR="00A034A7">
        <w:t xml:space="preserve"> agents with strong antioxidant capacity and low cytotoxicity, suggesting their suitability for diverse medical, industrial, and environmental applications.</w:t>
      </w:r>
    </w:p>
    <w:p w14:paraId="270CE254" w14:textId="43703E81" w:rsidR="00AE6111" w:rsidRDefault="00AE6111" w:rsidP="00E44664">
      <w:pPr>
        <w:pStyle w:val="Abstract"/>
        <w:spacing w:before="240" w:after="240"/>
        <w:ind w:left="0" w:right="0"/>
      </w:pPr>
      <w:r w:rsidRPr="00AE6111">
        <w:rPr>
          <w:b/>
          <w:bCs/>
        </w:rPr>
        <w:t xml:space="preserve">Keywords: </w:t>
      </w:r>
      <w:r w:rsidRPr="00AE6111">
        <w:t>MC-</w:t>
      </w:r>
      <w:proofErr w:type="spellStart"/>
      <w:r w:rsidRPr="00AE6111">
        <w:t>SeNPs</w:t>
      </w:r>
      <w:proofErr w:type="spellEnd"/>
      <w:r w:rsidRPr="00AE6111">
        <w:t xml:space="preserve">, </w:t>
      </w:r>
      <w:r w:rsidRPr="00AE6111">
        <w:rPr>
          <w:i/>
          <w:iCs/>
        </w:rPr>
        <w:t>Escherichia coli</w:t>
      </w:r>
      <w:r w:rsidRPr="00AE6111">
        <w:t>, UTIs, Wounds, Burns</w:t>
      </w:r>
      <w:r>
        <w:t>.</w:t>
      </w:r>
    </w:p>
    <w:p w14:paraId="5240E3FB" w14:textId="452E1F5D" w:rsidR="003A287B" w:rsidRPr="000B61CA" w:rsidRDefault="00AE6111" w:rsidP="00E44664">
      <w:pPr>
        <w:pStyle w:val="Heading1"/>
        <w:spacing w:before="120" w:after="120"/>
        <w:rPr>
          <w:b w:val="0"/>
          <w:caps w:val="0"/>
          <w:szCs w:val="24"/>
        </w:rPr>
      </w:pPr>
      <w:r w:rsidRPr="000B61CA">
        <w:rPr>
          <w:szCs w:val="24"/>
        </w:rPr>
        <w:t>Introduction</w:t>
      </w:r>
    </w:p>
    <w:p w14:paraId="260FBA87" w14:textId="65713819" w:rsidR="00B8542D" w:rsidRPr="000B61CA" w:rsidRDefault="00B8542D" w:rsidP="00E44664">
      <w:pPr>
        <w:pStyle w:val="Paragraph"/>
      </w:pPr>
      <w:r w:rsidRPr="000B61CA">
        <w:t xml:space="preserve">Escherichia coli is a gram-negative bacillus, non-spore-forming, and motile through peritrichous flagella. Its colonies are smooth, convex, and may appear slimy when encapsulated. On MacConkey agar, </w:t>
      </w:r>
      <w:r w:rsidRPr="000B61CA">
        <w:rPr>
          <w:i/>
          <w:iCs/>
        </w:rPr>
        <w:t>E. coli</w:t>
      </w:r>
      <w:r w:rsidRPr="000B61CA">
        <w:t xml:space="preserve"> ferments lactose producing bright pink colonies, while on eosin methylene blue (EMB) agar, it shows a characteristic green metallic sheen. It does not hydrolyze gelatin, does not produce H₂S in triple sugar iron agar, and grows optimally at 36–37 °</w:t>
      </w:r>
      <w:r w:rsidR="00E505BE" w:rsidRPr="000B61CA">
        <w:t>C (1-</w:t>
      </w:r>
      <w:r w:rsidRPr="000B61CA">
        <w:t xml:space="preserve">3). </w:t>
      </w:r>
      <w:r w:rsidRPr="000B61CA">
        <w:rPr>
          <w:i/>
          <w:iCs/>
        </w:rPr>
        <w:t>E. coli</w:t>
      </w:r>
      <w:r w:rsidRPr="000B61CA">
        <w:t xml:space="preserve"> is part of the normal intestinal microbiota of humans and animals but can become pathogenic, causing urinary tract infections (UTIs), wound infections, genital tract infection</w:t>
      </w:r>
      <w:r w:rsidR="00CC6DFE" w:rsidRPr="000B61CA">
        <w:t>s, and respiratory diseases (4</w:t>
      </w:r>
      <w:r w:rsidRPr="000B61CA">
        <w:t>). Among th</w:t>
      </w:r>
      <w:r w:rsidR="00CC6DFE" w:rsidRPr="000B61CA">
        <w:t>ese, UTIs are the most common (5, 6</w:t>
      </w:r>
      <w:r w:rsidRPr="000B61CA">
        <w:t>).</w:t>
      </w:r>
      <w:r w:rsidR="00E9381F" w:rsidRPr="000B61CA">
        <w:t xml:space="preserve"> </w:t>
      </w:r>
      <w:r w:rsidRPr="000B61CA">
        <w:t>Pathogenic strains of E. coli possess virulence genes located within pathogenicity islands ranging from 10 to 200 kb. These factors include capsules, lipopolysaccharides, adhesins, and enzymes, which facilitate immune evasion and tissue colonization (</w:t>
      </w:r>
      <w:r w:rsidR="00CC6DFE" w:rsidRPr="000B61CA">
        <w:t>7</w:t>
      </w:r>
      <w:r w:rsidRPr="000B61CA">
        <w:t>). A major clinical challenge is the rising prevalence of antibiotic-resistant strains, largely due to antibiotic misuse. E. coli is among the most resistant bacteria, employing multiple drug resistance mechanisms (</w:t>
      </w:r>
      <w:r w:rsidR="00CC6DFE" w:rsidRPr="000B61CA">
        <w:t>8</w:t>
      </w:r>
      <w:r w:rsidRPr="000B61CA">
        <w:t>).</w:t>
      </w:r>
      <w:r w:rsidR="00E9381F" w:rsidRPr="000B61CA">
        <w:t xml:space="preserve"> </w:t>
      </w:r>
      <w:r w:rsidRPr="000B61CA">
        <w:t>Selenium nanoparticles (</w:t>
      </w:r>
      <w:proofErr w:type="spellStart"/>
      <w:r w:rsidRPr="000B61CA">
        <w:t>SeNPs</w:t>
      </w:r>
      <w:proofErr w:type="spellEnd"/>
      <w:r w:rsidRPr="000B61CA">
        <w:t>) have recently gained significant attention because of their high bioavailability, strong biological activity, low toxicity, and superior efficiency in preventing oxidative damage compared to other selenium forms (</w:t>
      </w:r>
      <w:r w:rsidR="00CC6DFE" w:rsidRPr="000B61CA">
        <w:t>9</w:t>
      </w:r>
      <w:r w:rsidRPr="000B61CA">
        <w:t xml:space="preserve">). In biomedical applications, </w:t>
      </w:r>
      <w:proofErr w:type="spellStart"/>
      <w:r w:rsidRPr="000B61CA">
        <w:t>SeNPs</w:t>
      </w:r>
      <w:proofErr w:type="spellEnd"/>
      <w:r w:rsidRPr="000B61CA">
        <w:t xml:space="preserve"> are reported to possess antioxidant (</w:t>
      </w:r>
      <w:r w:rsidR="00CC6DFE" w:rsidRPr="000B61CA">
        <w:t>10</w:t>
      </w:r>
      <w:r w:rsidRPr="000B61CA">
        <w:t xml:space="preserve">, </w:t>
      </w:r>
      <w:r w:rsidR="00CC6DFE" w:rsidRPr="000B61CA">
        <w:t>11</w:t>
      </w:r>
      <w:r w:rsidRPr="000B61CA">
        <w:t>), anticancer (</w:t>
      </w:r>
      <w:r w:rsidR="00CC6DFE" w:rsidRPr="000B61CA">
        <w:t>12</w:t>
      </w:r>
      <w:r w:rsidR="0095087C" w:rsidRPr="000B61CA">
        <w:t>), antimicrobial (13</w:t>
      </w:r>
      <w:r w:rsidRPr="000B61CA">
        <w:t>), and</w:t>
      </w:r>
      <w:r w:rsidR="0095087C" w:rsidRPr="000B61CA">
        <w:t xml:space="preserve"> immunoregulatory properties (14</w:t>
      </w:r>
      <w:r w:rsidRPr="000B61CA">
        <w:t>). They exhibit broad-spectrum antimicrobial effects against bacteria and fungi (</w:t>
      </w:r>
      <w:r w:rsidR="0095087C" w:rsidRPr="000B61CA">
        <w:t>15</w:t>
      </w:r>
      <w:r w:rsidRPr="000B61CA">
        <w:t>), likely mediated through excessive reactive oxygen species (ROS) generation, disruption of cell membranes, inhibition of protein synthesis, and interference with DNA replication (</w:t>
      </w:r>
      <w:r w:rsidR="0095087C" w:rsidRPr="000B61CA">
        <w:t>16</w:t>
      </w:r>
      <w:r w:rsidRPr="000B61CA">
        <w:t>).</w:t>
      </w:r>
      <w:r w:rsidR="00BC4AFD" w:rsidRPr="000B61CA">
        <w:t xml:space="preserve"> </w:t>
      </w:r>
      <w:r w:rsidRPr="000B61CA">
        <w:t xml:space="preserve">Given these unique properties, </w:t>
      </w:r>
      <w:proofErr w:type="spellStart"/>
      <w:r w:rsidRPr="000B61CA">
        <w:t>SeNPs</w:t>
      </w:r>
      <w:proofErr w:type="spellEnd"/>
      <w:r w:rsidRPr="000B61CA">
        <w:t xml:space="preserve"> have been proposed as promising candidates to combat multidrug-resistant pathogens, including </w:t>
      </w:r>
      <w:r w:rsidRPr="000B61CA">
        <w:rPr>
          <w:i/>
          <w:iCs/>
        </w:rPr>
        <w:t>E. coli</w:t>
      </w:r>
      <w:r w:rsidRPr="000B61CA">
        <w:t>. However, published studies reveal variations in outcomes due to differences in synthesis methods, nanoparticle size, concentrations used, bacterial lifestyle (planktonic or biofilm), and microbial strains investigated (</w:t>
      </w:r>
      <w:r w:rsidR="0095087C" w:rsidRPr="000B61CA">
        <w:t>17</w:t>
      </w:r>
      <w:r w:rsidRPr="000B61CA">
        <w:t xml:space="preserve">). This highlights the importance of further exploring the biomedical potential of </w:t>
      </w:r>
      <w:proofErr w:type="spellStart"/>
      <w:r w:rsidRPr="000B61CA">
        <w:t>SeNPs</w:t>
      </w:r>
      <w:proofErr w:type="spellEnd"/>
      <w:r w:rsidRPr="000B61CA">
        <w:t xml:space="preserve"> against </w:t>
      </w:r>
      <w:r w:rsidRPr="000B61CA">
        <w:rPr>
          <w:i/>
          <w:iCs/>
        </w:rPr>
        <w:t>E. coli</w:t>
      </w:r>
      <w:r w:rsidRPr="000B61CA">
        <w:t>-associated infections.</w:t>
      </w:r>
    </w:p>
    <w:p w14:paraId="6208AC76" w14:textId="4CF8AF97" w:rsidR="001226B4" w:rsidRPr="00075EA6" w:rsidRDefault="003E6FF9" w:rsidP="00140F2F">
      <w:pPr>
        <w:pStyle w:val="Heading1"/>
        <w:rPr>
          <w:b w:val="0"/>
          <w:caps w:val="0"/>
          <w:sz w:val="20"/>
        </w:rPr>
      </w:pPr>
      <w:r w:rsidRPr="003E6FF9">
        <w:lastRenderedPageBreak/>
        <w:t>Materials and Methods</w:t>
      </w:r>
    </w:p>
    <w:p w14:paraId="49D6FBD1" w14:textId="5CCCEC98" w:rsidR="00725861" w:rsidRDefault="003E6FF9" w:rsidP="00140F2F">
      <w:pPr>
        <w:pStyle w:val="Heading2"/>
        <w:spacing w:before="120"/>
      </w:pPr>
      <w:r w:rsidRPr="003E6FF9">
        <w:t>Clinical Samples Collection</w:t>
      </w:r>
    </w:p>
    <w:p w14:paraId="578753A5" w14:textId="3EE69AD5" w:rsidR="00725861" w:rsidRDefault="003E6FF9" w:rsidP="00E44664">
      <w:pPr>
        <w:pStyle w:val="Paragraph"/>
      </w:pPr>
      <w:r w:rsidRPr="003E6FF9">
        <w:t xml:space="preserve">   </w:t>
      </w:r>
      <w:r w:rsidR="000D7697" w:rsidRPr="000D7697">
        <w:t>Clinical samples were collected between 20 July and 20 December 2024 from hospitals affiliated with Baghdad Karkh and Al-</w:t>
      </w:r>
      <w:proofErr w:type="spellStart"/>
      <w:r w:rsidR="000D7697" w:rsidRPr="000D7697">
        <w:t>Rusafa</w:t>
      </w:r>
      <w:proofErr w:type="spellEnd"/>
      <w:r w:rsidR="000D7697" w:rsidRPr="000D7697">
        <w:t xml:space="preserve"> Health Departments. A total of 150 samples were obtai</w:t>
      </w:r>
      <w:r w:rsidR="000D7697">
        <w:t xml:space="preserve">ned from patients suspected of </w:t>
      </w:r>
      <w:r w:rsidR="000D7697" w:rsidRPr="000D7697">
        <w:rPr>
          <w:i/>
          <w:iCs/>
        </w:rPr>
        <w:t>E. coli</w:t>
      </w:r>
      <w:r w:rsidR="000D7697" w:rsidRPr="000D7697">
        <w:t xml:space="preserve"> infection, including urine samples from urinary tract infections, and swabs from burn and wound pa</w:t>
      </w:r>
      <w:r w:rsidR="000D7697">
        <w:t>tients</w:t>
      </w:r>
      <w:r>
        <w:t>.</w:t>
      </w:r>
      <w:r w:rsidR="00725861">
        <w:t xml:space="preserve"> </w:t>
      </w:r>
    </w:p>
    <w:p w14:paraId="4024EC21" w14:textId="07A9D640" w:rsidR="00155B67" w:rsidRPr="00075EA6" w:rsidRDefault="003E6FF9" w:rsidP="00140F2F">
      <w:pPr>
        <w:pStyle w:val="Heading2"/>
      </w:pPr>
      <w:r w:rsidRPr="003E6FF9">
        <w:rPr>
          <w:bCs/>
        </w:rPr>
        <w:t xml:space="preserve">Isolation and identification of </w:t>
      </w:r>
      <w:r w:rsidRPr="003E6FF9">
        <w:rPr>
          <w:bCs/>
          <w:i/>
          <w:iCs/>
        </w:rPr>
        <w:t>E. coli</w:t>
      </w:r>
    </w:p>
    <w:p w14:paraId="6383771E" w14:textId="78C68B01" w:rsidR="00155B67" w:rsidRPr="00075EA6" w:rsidRDefault="003E6FF9" w:rsidP="00E44664">
      <w:pPr>
        <w:pStyle w:val="Paragraph"/>
      </w:pPr>
      <w:r w:rsidRPr="003E6FF9">
        <w:t xml:space="preserve">   </w:t>
      </w:r>
      <w:r w:rsidR="00E11145" w:rsidRPr="00E11145">
        <w:t>All one hundred and fifty samples examined, including morphological characteristics on different culture media, Gram staining, motility, biochemical tests and finally confirmation with the ID-GNB cards of the VITEK® 2 compact system (</w:t>
      </w:r>
      <w:r w:rsidR="0095087C">
        <w:t>18</w:t>
      </w:r>
      <w:r w:rsidR="00E11145" w:rsidRPr="00E11145">
        <w:t xml:space="preserve">, </w:t>
      </w:r>
      <w:r w:rsidR="0095087C">
        <w:t>19</w:t>
      </w:r>
      <w:r w:rsidR="00E11145" w:rsidRPr="00E11145">
        <w:t xml:space="preserve">), showed that the isolates were </w:t>
      </w:r>
      <w:r w:rsidR="00E11145" w:rsidRPr="00E11145">
        <w:rPr>
          <w:i/>
          <w:iCs/>
        </w:rPr>
        <w:t>E. coli</w:t>
      </w:r>
      <w:r w:rsidRPr="003E6FF9">
        <w:t>.</w:t>
      </w:r>
    </w:p>
    <w:p w14:paraId="457D9E87" w14:textId="269ED4A3" w:rsidR="00616F3B" w:rsidRPr="00140F2F" w:rsidRDefault="00B57FDC" w:rsidP="00140F2F">
      <w:pPr>
        <w:pStyle w:val="Heading2"/>
        <w:rPr>
          <w:bCs/>
        </w:rPr>
      </w:pPr>
      <w:r>
        <w:rPr>
          <w:bCs/>
        </w:rPr>
        <w:t>Antibiotic sensitivity t</w:t>
      </w:r>
      <w:r w:rsidR="003E6FF9" w:rsidRPr="003E6FF9">
        <w:rPr>
          <w:bCs/>
        </w:rPr>
        <w:t>est</w:t>
      </w:r>
    </w:p>
    <w:p w14:paraId="36472AB1" w14:textId="4DD74F15" w:rsidR="00B57FDC" w:rsidRPr="00075EA6" w:rsidRDefault="00E11145" w:rsidP="00E44664">
      <w:pPr>
        <w:pStyle w:val="Paragraph"/>
      </w:pPr>
      <w:r w:rsidRPr="00E11145">
        <w:t>The antibiotic susceptibility tests were carried out using two methods</w:t>
      </w:r>
      <w:r w:rsidR="00B00AFD">
        <w:t xml:space="preserve">. The first </w:t>
      </w:r>
      <w:r w:rsidR="00B57FDC">
        <w:t>Kirby Bauer disk diffusion m</w:t>
      </w:r>
      <w:r w:rsidR="00B57FDC" w:rsidRPr="00B57FDC">
        <w:t>ethod</w:t>
      </w:r>
      <w:r w:rsidR="00B00AFD">
        <w:t xml:space="preserve">: </w:t>
      </w:r>
      <w:r w:rsidRPr="00E11145">
        <w:t>The method of (</w:t>
      </w:r>
      <w:r w:rsidR="0095087C">
        <w:t>20</w:t>
      </w:r>
      <w:r w:rsidRPr="00E11145">
        <w:t>) was used. The diameter of the inhibition around the antibiotic disc was measured to determine the efficacy of</w:t>
      </w:r>
      <w:r>
        <w:t xml:space="preserve"> the antibiotic for 50 isolates</w:t>
      </w:r>
      <w:r w:rsidR="00616F3B" w:rsidRPr="00075EA6">
        <w:t>.</w:t>
      </w:r>
      <w:r w:rsidR="00B00AFD">
        <w:t xml:space="preserve"> The second </w:t>
      </w:r>
      <w:r w:rsidR="00B57FDC" w:rsidRPr="00B57FDC">
        <w:t>VI</w:t>
      </w:r>
      <w:r w:rsidR="00B57FDC">
        <w:t>TEK® 2 Compact s</w:t>
      </w:r>
      <w:r w:rsidR="00B57FDC" w:rsidRPr="00B57FDC">
        <w:t>ystem</w:t>
      </w:r>
      <w:r w:rsidR="00B57FDC">
        <w:t xml:space="preserve"> m</w:t>
      </w:r>
      <w:r w:rsidR="00B57FDC" w:rsidRPr="00B57FDC">
        <w:t>ethod</w:t>
      </w:r>
      <w:r w:rsidR="00B00AFD">
        <w:t xml:space="preserve">: </w:t>
      </w:r>
      <w:r w:rsidR="00CC6DFE">
        <w:t>The method of (</w:t>
      </w:r>
      <w:r w:rsidR="0095087C">
        <w:t>19</w:t>
      </w:r>
      <w:r w:rsidRPr="00E11145">
        <w:t xml:space="preserve">) was used. The VITEK® 2 Compact System automatically processes the antimicrobial susceptibility cards of </w:t>
      </w:r>
      <w:r w:rsidR="003227B3">
        <w:t>Gram-negative bacteria VITEK® 2</w:t>
      </w:r>
      <w:r w:rsidRPr="00E11145">
        <w:t>AST-GN419 cards until MI</w:t>
      </w:r>
      <w:r>
        <w:t>Cs for 50 isolates are obtained</w:t>
      </w:r>
      <w:r w:rsidR="00B57FDC" w:rsidRPr="00075EA6">
        <w:t>.</w:t>
      </w:r>
    </w:p>
    <w:p w14:paraId="7E1D4776" w14:textId="6677E887" w:rsidR="00B57FDC" w:rsidRPr="00075EA6" w:rsidRDefault="00B57FDC" w:rsidP="00140F2F">
      <w:pPr>
        <w:pStyle w:val="Heading2"/>
      </w:pPr>
      <w:r w:rsidRPr="00B57FDC">
        <w:rPr>
          <w:bCs/>
        </w:rPr>
        <w:t>Photosynthesis of selenium nanoparticles</w:t>
      </w:r>
    </w:p>
    <w:p w14:paraId="444B847C" w14:textId="2DD54E19" w:rsidR="00B57FDC" w:rsidRDefault="00B1652F" w:rsidP="00E44664">
      <w:pPr>
        <w:pStyle w:val="Paragraph"/>
      </w:pPr>
      <w:r w:rsidRPr="00B1652F">
        <w:t xml:space="preserve">The selenium nanoparticles </w:t>
      </w:r>
      <w:proofErr w:type="spellStart"/>
      <w:r w:rsidRPr="00B1652F">
        <w:t>synthesised</w:t>
      </w:r>
      <w:proofErr w:type="spellEnd"/>
      <w:r w:rsidRPr="00B1652F">
        <w:t xml:space="preserve"> with an extract from the leaves of Aas (</w:t>
      </w:r>
      <w:proofErr w:type="spellStart"/>
      <w:r w:rsidR="00CC6DFE">
        <w:rPr>
          <w:i/>
          <w:iCs/>
        </w:rPr>
        <w:t>M.</w:t>
      </w:r>
      <w:r w:rsidRPr="00B1652F">
        <w:rPr>
          <w:i/>
          <w:iCs/>
        </w:rPr>
        <w:t>communis</w:t>
      </w:r>
      <w:proofErr w:type="spellEnd"/>
      <w:r w:rsidRPr="00B1652F">
        <w:t xml:space="preserve"> L.) and their properties were des</w:t>
      </w:r>
      <w:r w:rsidR="0095087C">
        <w:t>cribed in a previous study (20</w:t>
      </w:r>
      <w:r>
        <w:t>)</w:t>
      </w:r>
      <w:r w:rsidR="00B57FDC" w:rsidRPr="00B57FDC">
        <w:t>.</w:t>
      </w:r>
    </w:p>
    <w:p w14:paraId="5FEE2624" w14:textId="7B40149E" w:rsidR="00B57FDC" w:rsidRPr="00075EA6" w:rsidRDefault="00B57FDC" w:rsidP="00140F2F">
      <w:pPr>
        <w:pStyle w:val="Heading2"/>
      </w:pPr>
      <w:r w:rsidRPr="00B57FDC">
        <w:rPr>
          <w:bCs/>
        </w:rPr>
        <w:t>Resazurin Microplate Assay (REMA)</w:t>
      </w:r>
    </w:p>
    <w:p w14:paraId="4E3A1695" w14:textId="2A602F61" w:rsidR="00B57FDC" w:rsidRDefault="003A2DF1" w:rsidP="00E44664">
      <w:pPr>
        <w:pStyle w:val="Paragraph"/>
      </w:pPr>
      <w:r w:rsidRPr="003A2DF1">
        <w:t>REMA was used to determine the MIC of MC-</w:t>
      </w:r>
      <w:proofErr w:type="spellStart"/>
      <w:r w:rsidRPr="003A2DF1">
        <w:t>SeNPs</w:t>
      </w:r>
      <w:proofErr w:type="spellEnd"/>
      <w:r w:rsidRPr="003A2DF1">
        <w:t xml:space="preserve">, where the MIC was determined by recording </w:t>
      </w:r>
      <w:r w:rsidR="000E6749">
        <w:t xml:space="preserve">the observed </w:t>
      </w:r>
      <w:proofErr w:type="spellStart"/>
      <w:r w:rsidR="000E6749">
        <w:t>colour</w:t>
      </w:r>
      <w:proofErr w:type="spellEnd"/>
      <w:r w:rsidR="000E6749">
        <w:t xml:space="preserve"> change (</w:t>
      </w:r>
      <w:r w:rsidR="0095087C">
        <w:t>21</w:t>
      </w:r>
      <w:r>
        <w:t>)</w:t>
      </w:r>
      <w:r w:rsidR="00B57FDC" w:rsidRPr="00B57FDC">
        <w:t>.</w:t>
      </w:r>
    </w:p>
    <w:p w14:paraId="21914B08" w14:textId="2BBB3782" w:rsidR="00B57FDC" w:rsidRPr="00075EA6" w:rsidRDefault="00B57FDC" w:rsidP="00140F2F">
      <w:pPr>
        <w:pStyle w:val="Heading2"/>
      </w:pPr>
      <w:r w:rsidRPr="00B57FDC">
        <w:rPr>
          <w:bCs/>
        </w:rPr>
        <w:t>Detection of biofilm formation</w:t>
      </w:r>
    </w:p>
    <w:p w14:paraId="5DF823BB" w14:textId="37034D9E" w:rsidR="00B57FDC" w:rsidRDefault="003A2DF1" w:rsidP="00E44664">
      <w:pPr>
        <w:pStyle w:val="Paragraph"/>
      </w:pPr>
      <w:r w:rsidRPr="003A2DF1">
        <w:t>Biofilm formation was measured using the 96-well tissue culture plate (TCP) method as previously describe</w:t>
      </w:r>
      <w:r>
        <w:t>d with minor modifications (</w:t>
      </w:r>
      <w:r w:rsidR="0095087C">
        <w:t>22</w:t>
      </w:r>
      <w:r>
        <w:t>)</w:t>
      </w:r>
      <w:r w:rsidR="00B57FDC" w:rsidRPr="00B57FDC">
        <w:t>.</w:t>
      </w:r>
    </w:p>
    <w:p w14:paraId="70A4D52D" w14:textId="1916D199" w:rsidR="005D35D6" w:rsidRPr="00075EA6" w:rsidRDefault="005D35D6" w:rsidP="00140F2F">
      <w:pPr>
        <w:pStyle w:val="Heading2"/>
      </w:pPr>
      <w:r>
        <w:rPr>
          <w:bCs/>
        </w:rPr>
        <w:t>Inhibition of b</w:t>
      </w:r>
      <w:r w:rsidRPr="005D35D6">
        <w:rPr>
          <w:bCs/>
        </w:rPr>
        <w:t>iof</w:t>
      </w:r>
      <w:r>
        <w:rPr>
          <w:bCs/>
        </w:rPr>
        <w:t>ilm f</w:t>
      </w:r>
      <w:r w:rsidRPr="005D35D6">
        <w:rPr>
          <w:bCs/>
        </w:rPr>
        <w:t>ormation</w:t>
      </w:r>
    </w:p>
    <w:p w14:paraId="7E930EB0" w14:textId="6F2C1BF1" w:rsidR="005D35D6" w:rsidRDefault="000D7697" w:rsidP="00E44664">
      <w:pPr>
        <w:pStyle w:val="Paragraph"/>
      </w:pPr>
      <w:r w:rsidRPr="000D7697">
        <w:t xml:space="preserve">Fifty </w:t>
      </w:r>
      <w:r w:rsidR="008C45A0" w:rsidRPr="008C45A0">
        <w:rPr>
          <w:i/>
          <w:iCs/>
        </w:rPr>
        <w:t>E. coli</w:t>
      </w:r>
      <w:r w:rsidRPr="000D7697">
        <w:t xml:space="preserve"> isolates were incubated in 96-well microtiter plates with two subinhibitory concentrations of MC-</w:t>
      </w:r>
      <w:proofErr w:type="spellStart"/>
      <w:r w:rsidRPr="000D7697">
        <w:t>SeNPs</w:t>
      </w:r>
      <w:proofErr w:type="spellEnd"/>
      <w:r w:rsidRPr="000D7697">
        <w:t xml:space="preserve"> (1000–1.95 µg/ml). After 24 hours at 37°C, planktonic cells were removed, and the remaining biofilms were stained with crystal violet. Biofilm formation was then quantified using an Absorbance Microplate Smart Reader™ at 590 nm, where </w:t>
      </w:r>
      <w:proofErr w:type="spellStart"/>
      <w:r w:rsidRPr="000D7697">
        <w:t>colour</w:t>
      </w:r>
      <w:proofErr w:type="spellEnd"/>
      <w:r w:rsidRPr="000D7697">
        <w:t xml:space="preserve"> intensity reflected bacterial adhesi</w:t>
      </w:r>
      <w:r>
        <w:t>on and biofilm develop</w:t>
      </w:r>
      <w:r w:rsidR="000E6749">
        <w:t>ment (</w:t>
      </w:r>
      <w:r w:rsidR="0095087C">
        <w:t>23</w:t>
      </w:r>
      <w:r>
        <w:t>)</w:t>
      </w:r>
      <w:r w:rsidR="005D35D6">
        <w:t>.</w:t>
      </w:r>
    </w:p>
    <w:p w14:paraId="21C3B98D" w14:textId="25A9217B" w:rsidR="005D35D6" w:rsidRPr="00075EA6" w:rsidRDefault="005D35D6" w:rsidP="00140F2F">
      <w:pPr>
        <w:pStyle w:val="Heading2"/>
      </w:pPr>
      <w:r w:rsidRPr="005D35D6">
        <w:rPr>
          <w:bCs/>
        </w:rPr>
        <w:t>DPPH radical scavenging assay</w:t>
      </w:r>
    </w:p>
    <w:p w14:paraId="6CB22100" w14:textId="28DFA110" w:rsidR="005D35D6" w:rsidRDefault="002D3E6B" w:rsidP="00E44664">
      <w:pPr>
        <w:pStyle w:val="Paragraph"/>
      </w:pPr>
      <w:r w:rsidRPr="002D3E6B">
        <w:t>The ability of MC-</w:t>
      </w:r>
      <w:proofErr w:type="spellStart"/>
      <w:r w:rsidRPr="002D3E6B">
        <w:t>SeNPs</w:t>
      </w:r>
      <w:proofErr w:type="spellEnd"/>
      <w:r w:rsidRPr="002D3E6B">
        <w:t xml:space="preserve"> to scavenge free radicals was tested using the DPPH radical scavenging assay (</w:t>
      </w:r>
      <w:r w:rsidR="0095087C">
        <w:t>24</w:t>
      </w:r>
      <w:r w:rsidRPr="002D3E6B">
        <w:t>).</w:t>
      </w:r>
    </w:p>
    <w:p w14:paraId="73707854" w14:textId="4C67F285" w:rsidR="005D35D6" w:rsidRPr="00075EA6" w:rsidRDefault="005D35D6" w:rsidP="00140F2F">
      <w:pPr>
        <w:pStyle w:val="Heading2"/>
      </w:pPr>
      <w:r w:rsidRPr="005D35D6">
        <w:rPr>
          <w:bCs/>
          <w:i/>
          <w:iCs/>
        </w:rPr>
        <w:t>In vitro</w:t>
      </w:r>
      <w:r w:rsidRPr="005D35D6">
        <w:rPr>
          <w:bCs/>
        </w:rPr>
        <w:t xml:space="preserve"> Hemolysis Assay</w:t>
      </w:r>
    </w:p>
    <w:p w14:paraId="68C72C58" w14:textId="5A4E21BB" w:rsidR="005D35D6" w:rsidRDefault="00E9381F" w:rsidP="00E44664">
      <w:pPr>
        <w:pStyle w:val="Paragraph"/>
      </w:pPr>
      <w:r w:rsidRPr="00E9381F">
        <w:t xml:space="preserve">The </w:t>
      </w:r>
      <w:proofErr w:type="spellStart"/>
      <w:r w:rsidRPr="00E9381F">
        <w:t>haemolytic</w:t>
      </w:r>
      <w:proofErr w:type="spellEnd"/>
      <w:r w:rsidRPr="00E9381F">
        <w:t xml:space="preserve"> activity of MC-</w:t>
      </w:r>
      <w:proofErr w:type="spellStart"/>
      <w:r w:rsidRPr="00E9381F">
        <w:t>SeNPs</w:t>
      </w:r>
      <w:proofErr w:type="spellEnd"/>
      <w:r w:rsidRPr="00E9381F">
        <w:t xml:space="preserve"> was evaluated in vitro using erythrocytes from fifty human blood samples collected with donor consent (n=5) (25). Red blood cells were isolated by centrifugation, washed with DPBS, and diluted to prepare a stock solution. Various concentrations of MC-</w:t>
      </w:r>
      <w:proofErr w:type="spellStart"/>
      <w:r w:rsidRPr="00E9381F">
        <w:t>SeNPs</w:t>
      </w:r>
      <w:proofErr w:type="spellEnd"/>
      <w:r w:rsidRPr="00E9381F">
        <w:t xml:space="preserve"> were incubated with 1 mL of the red cell </w:t>
      </w:r>
      <w:r w:rsidRPr="00E9381F">
        <w:lastRenderedPageBreak/>
        <w:t>suspension at 37°C for 24 hours. 1% SDS and DPBS served as positive and negative controls, respectively. After incubation, absorbance was measured at 540 nm to calcula</w:t>
      </w:r>
      <w:r>
        <w:t xml:space="preserve">te the percentage of </w:t>
      </w:r>
      <w:proofErr w:type="spellStart"/>
      <w:r>
        <w:t>haemolysis</w:t>
      </w:r>
      <w:proofErr w:type="spellEnd"/>
      <w:r w:rsidR="005D35D6" w:rsidRPr="005D35D6">
        <w:t>:</w:t>
      </w:r>
    </w:p>
    <w:p w14:paraId="0270EA7D" w14:textId="77777777" w:rsidR="000B1BC4" w:rsidRDefault="000B1BC4" w:rsidP="00E44664">
      <w:pPr>
        <w:pStyle w:val="Paragraph"/>
      </w:pPr>
    </w:p>
    <w:p w14:paraId="6964ACD1" w14:textId="54688C2E" w:rsidR="005D35D6" w:rsidRPr="005B67E0" w:rsidRDefault="005B67E0" w:rsidP="00E44664">
      <w:pPr>
        <w:pStyle w:val="Paragraph"/>
        <w:ind w:firstLine="0"/>
        <w:jc w:val="center"/>
      </w:pPr>
      <w:r>
        <w:t xml:space="preserve">                                   </w:t>
      </w:r>
      <w:r w:rsidR="005D35D6" w:rsidRPr="005B67E0">
        <w:t xml:space="preserve">Hemolytic activity%= </w:t>
      </w:r>
      <m:oMath>
        <m:f>
          <m:fPr>
            <m:ctrlPr>
              <w:rPr>
                <w:rFonts w:ascii="Cambria Math" w:hAnsi="Cambria Math"/>
                <w:i/>
              </w:rPr>
            </m:ctrlPr>
          </m:fPr>
          <m:num>
            <m:r>
              <m:rPr>
                <m:sty m:val="p"/>
              </m:rPr>
              <w:rPr>
                <w:rFonts w:ascii="Cambria Math" w:hAnsi="Cambria Math"/>
                <w:color w:val="000000" w:themeColor="text1"/>
              </w:rPr>
              <m:t>Absorbance of sample- Absorbance of blank</m:t>
            </m:r>
          </m:num>
          <m:den>
            <m:r>
              <m:rPr>
                <m:sty m:val="p"/>
              </m:rPr>
              <w:rPr>
                <w:rFonts w:ascii="Cambria Math" w:hAnsi="Cambria Math"/>
                <w:color w:val="000000" w:themeColor="text1"/>
              </w:rPr>
              <m:t>Absorbance of control - Absorbance of blank</m:t>
            </m:r>
          </m:den>
        </m:f>
      </m:oMath>
      <w:r w:rsidR="005D35D6" w:rsidRPr="005B67E0">
        <w:t xml:space="preserve">  × 100</w:t>
      </w:r>
      <w:r>
        <w:t xml:space="preserve">                                       (1)</w:t>
      </w:r>
    </w:p>
    <w:p w14:paraId="1DCF7DF6" w14:textId="3288DAD3" w:rsidR="005D35D6" w:rsidRPr="00075EA6" w:rsidRDefault="005D35D6" w:rsidP="00140F2F">
      <w:pPr>
        <w:pStyle w:val="Heading2"/>
      </w:pPr>
      <w:r>
        <w:rPr>
          <w:bCs/>
        </w:rPr>
        <w:t>Statistical analysis</w:t>
      </w:r>
    </w:p>
    <w:p w14:paraId="47C1DE0D" w14:textId="15B0F9AB" w:rsidR="005D35D6" w:rsidRDefault="004C31DE" w:rsidP="00E44664">
      <w:pPr>
        <w:pStyle w:val="Paragraph"/>
      </w:pPr>
      <w:r w:rsidRPr="004C31DE">
        <w:t xml:space="preserve">The data were tabulated in an IBM SPSS version 26.0 data sheet, which was used for the statistical analysis. Significant differences were tested using the chi-square test for person analysis. Statistical significance was defined for the tables as </w:t>
      </w:r>
      <w:r w:rsidR="0095087C">
        <w:t>a probability value (p≤0.05) (26</w:t>
      </w:r>
      <w:r w:rsidRPr="004C31DE">
        <w:t xml:space="preserve">). For the figures, the data were also </w:t>
      </w:r>
      <w:proofErr w:type="spellStart"/>
      <w:r w:rsidRPr="004C31DE">
        <w:t>analysed</w:t>
      </w:r>
      <w:proofErr w:type="spellEnd"/>
      <w:r w:rsidRPr="004C31DE">
        <w:t xml:space="preserve"> using analysis of variance (ANOVA) between groups with four replicates and a probability value p≤0.05. The results were expressed as </w:t>
      </w:r>
      <w:proofErr w:type="spellStart"/>
      <w:r w:rsidRPr="004C31DE">
        <w:t>mean±standard</w:t>
      </w:r>
      <w:proofErr w:type="spellEnd"/>
      <w:r w:rsidRPr="004C31DE">
        <w:t xml:space="preserve"> deviation (SD)</w:t>
      </w:r>
      <w:r w:rsidR="005D35D6" w:rsidRPr="005D35D6">
        <w:t xml:space="preserve"> </w:t>
      </w:r>
      <w:r w:rsidR="006A4577">
        <w:t>(</w:t>
      </w:r>
      <w:r w:rsidR="000E6749">
        <w:t>2</w:t>
      </w:r>
      <w:r w:rsidR="0095087C">
        <w:t>7</w:t>
      </w:r>
      <w:r w:rsidR="006A4577">
        <w:t>)</w:t>
      </w:r>
      <w:r w:rsidR="005B67E0">
        <w:t>.</w:t>
      </w:r>
    </w:p>
    <w:p w14:paraId="30C6BB5B" w14:textId="492BE321" w:rsidR="00A646B3" w:rsidRPr="00075EA6" w:rsidRDefault="005B67E0" w:rsidP="00E44664">
      <w:pPr>
        <w:pStyle w:val="Heading1"/>
        <w:spacing w:before="120" w:after="120"/>
      </w:pPr>
      <w:r w:rsidRPr="005B67E0">
        <w:rPr>
          <w:bCs/>
        </w:rPr>
        <w:t>Results</w:t>
      </w:r>
    </w:p>
    <w:p w14:paraId="530E6BD2" w14:textId="5F9D60F4" w:rsidR="00BA3B3D" w:rsidRPr="00075EA6" w:rsidRDefault="005B67E0" w:rsidP="00140F2F">
      <w:pPr>
        <w:pStyle w:val="Heading2"/>
      </w:pPr>
      <w:r>
        <w:t>Clinical samples c</w:t>
      </w:r>
      <w:r w:rsidRPr="005B67E0">
        <w:t>ollection</w:t>
      </w:r>
    </w:p>
    <w:p w14:paraId="01DD62CB" w14:textId="40E071EF" w:rsidR="00346534" w:rsidRDefault="000D7697" w:rsidP="00E44664">
      <w:pPr>
        <w:pStyle w:val="Paragraph"/>
      </w:pPr>
      <w:r w:rsidRPr="000D7697">
        <w:t xml:space="preserve">A total of 150 clinical samples were collected between 20 July and 20 October 2024 from several hospitals in Baghdad, including Imam Ali, Martyr Ghazi Al-Hariri, the </w:t>
      </w:r>
      <w:proofErr w:type="spellStart"/>
      <w:r w:rsidRPr="000D7697">
        <w:t>Specialised</w:t>
      </w:r>
      <w:proofErr w:type="spellEnd"/>
      <w:r w:rsidRPr="000D7697">
        <w:t xml:space="preserve"> Burns Hospital, Baghdad Teaching Hospital, Ibn Al-Balady, and Al-</w:t>
      </w:r>
      <w:proofErr w:type="spellStart"/>
      <w:r w:rsidRPr="000D7697">
        <w:t>Mada’in</w:t>
      </w:r>
      <w:proofErr w:type="spellEnd"/>
      <w:r w:rsidRPr="000D7697">
        <w:t xml:space="preserve"> General Hospital. The samples comprised 80 urine samples from UTI patients, 40 wound swabs, and 30 burn swabs. Of these, 70 were from males (46.66%) and 80 from females (53.33%). The largest proportion came from the 20–29 age group, with 17 male (24.28%) and 20 female (25%) samples, while the smallest proportion was two male (2.85%) and two female (2.5%) samples. Chi-square analysis showed no significant difference between genders across age groups (p&gt;0.05), indica</w:t>
      </w:r>
      <w:r>
        <w:t>ting a homogeneous distribution</w:t>
      </w:r>
      <w:r w:rsidR="00346534" w:rsidRPr="00075EA6">
        <w:t>.</w:t>
      </w:r>
    </w:p>
    <w:p w14:paraId="7D7FC453" w14:textId="77777777" w:rsidR="000B1BC4" w:rsidRDefault="000B1BC4" w:rsidP="00E44664">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
        <w:gridCol w:w="4237"/>
        <w:gridCol w:w="529"/>
        <w:gridCol w:w="4144"/>
        <w:gridCol w:w="265"/>
      </w:tblGrid>
      <w:tr w:rsidR="00470839" w14:paraId="53E6D85D" w14:textId="6D0943EF" w:rsidTr="00140F2F">
        <w:trPr>
          <w:gridBefore w:val="1"/>
          <w:gridAfter w:val="1"/>
          <w:wBefore w:w="175" w:type="dxa"/>
          <w:wAfter w:w="265" w:type="dxa"/>
          <w:trHeight w:val="2157"/>
        </w:trPr>
        <w:tc>
          <w:tcPr>
            <w:tcW w:w="4237" w:type="dxa"/>
          </w:tcPr>
          <w:p w14:paraId="5C52146F" w14:textId="7F3EB4CF" w:rsidR="00470839" w:rsidRDefault="00470839" w:rsidP="00E44664">
            <w:pPr>
              <w:pStyle w:val="Paragraph"/>
              <w:ind w:firstLine="0"/>
              <w:jc w:val="center"/>
            </w:pPr>
            <w:r>
              <w:rPr>
                <w:noProof/>
              </w:rPr>
              <w:drawing>
                <wp:inline distT="0" distB="0" distL="0" distR="0" wp14:anchorId="23AB6668" wp14:editId="0849A04F">
                  <wp:extent cx="2181225" cy="1438275"/>
                  <wp:effectExtent l="0" t="0" r="9525" b="952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9" cstate="print">
                            <a:extLst>
                              <a:ext uri="{BEBA8EAE-BF5A-486C-A8C5-ECC9F3942E4B}">
                                <a14:imgProps xmlns:a14="http://schemas.microsoft.com/office/drawing/2010/main">
                                  <a14:imgLayer r:embed="rId10">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25787" t="27261" r="25090" b="2654"/>
                          <a:stretch/>
                        </pic:blipFill>
                        <pic:spPr bwMode="auto">
                          <a:xfrm>
                            <a:off x="0" y="0"/>
                            <a:ext cx="2181225" cy="1438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9" w:type="dxa"/>
          </w:tcPr>
          <w:p w14:paraId="1788F9C0" w14:textId="77777777" w:rsidR="00470839" w:rsidRDefault="00470839" w:rsidP="00E44664">
            <w:pPr>
              <w:pStyle w:val="Paragraph"/>
              <w:ind w:firstLine="0"/>
              <w:jc w:val="center"/>
              <w:rPr>
                <w:noProof/>
              </w:rPr>
            </w:pPr>
          </w:p>
        </w:tc>
        <w:tc>
          <w:tcPr>
            <w:tcW w:w="4144" w:type="dxa"/>
          </w:tcPr>
          <w:p w14:paraId="178017C5" w14:textId="281CA248" w:rsidR="00470839" w:rsidRDefault="00470839" w:rsidP="00E44664">
            <w:pPr>
              <w:pStyle w:val="Paragraph"/>
              <w:ind w:firstLine="0"/>
              <w:jc w:val="center"/>
              <w:rPr>
                <w:noProof/>
              </w:rPr>
            </w:pPr>
            <w:r>
              <w:rPr>
                <w:noProof/>
              </w:rPr>
              <w:drawing>
                <wp:inline distT="0" distB="0" distL="0" distR="0" wp14:anchorId="6D8A6318" wp14:editId="41FA8394">
                  <wp:extent cx="2162174" cy="14382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cstate="print">
                            <a:extLst>
                              <a:ext uri="{BEBA8EAE-BF5A-486C-A8C5-ECC9F3942E4B}">
                                <a14:imgProps xmlns:a14="http://schemas.microsoft.com/office/drawing/2010/main">
                                  <a14:imgLayer r:embed="rId12">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15292" t="22491" r="13830" b="4218"/>
                          <a:stretch/>
                        </pic:blipFill>
                        <pic:spPr bwMode="auto">
                          <a:xfrm>
                            <a:off x="0" y="0"/>
                            <a:ext cx="2163827" cy="14393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70839" w:rsidRPr="00140F2F" w14:paraId="1780E56A" w14:textId="77777777" w:rsidTr="00140F2F">
        <w:trPr>
          <w:trHeight w:val="111"/>
        </w:trPr>
        <w:tc>
          <w:tcPr>
            <w:tcW w:w="4412" w:type="dxa"/>
            <w:gridSpan w:val="2"/>
          </w:tcPr>
          <w:p w14:paraId="6421E643" w14:textId="567446A6" w:rsidR="00470839" w:rsidRPr="00140F2F" w:rsidRDefault="00470839" w:rsidP="00E44664">
            <w:pPr>
              <w:pStyle w:val="Paragraph"/>
              <w:ind w:firstLine="0"/>
              <w:jc w:val="center"/>
              <w:rPr>
                <w:bCs/>
                <w:noProof/>
              </w:rPr>
            </w:pPr>
            <w:r w:rsidRPr="00140F2F">
              <w:rPr>
                <w:bCs/>
                <w:caps/>
              </w:rPr>
              <w:t>Figure 1.</w:t>
            </w:r>
            <w:r w:rsidRPr="00140F2F">
              <w:rPr>
                <w:bCs/>
              </w:rPr>
              <w:t xml:space="preserve"> Distribution of clinical samples by source.   </w:t>
            </w:r>
          </w:p>
        </w:tc>
        <w:tc>
          <w:tcPr>
            <w:tcW w:w="529" w:type="dxa"/>
          </w:tcPr>
          <w:p w14:paraId="038B8D4F" w14:textId="77777777" w:rsidR="00470839" w:rsidRPr="00140F2F" w:rsidRDefault="00470839" w:rsidP="00E44664">
            <w:pPr>
              <w:pStyle w:val="Paragraph"/>
              <w:ind w:firstLine="0"/>
              <w:jc w:val="center"/>
              <w:rPr>
                <w:bCs/>
                <w:noProof/>
              </w:rPr>
            </w:pPr>
          </w:p>
        </w:tc>
        <w:tc>
          <w:tcPr>
            <w:tcW w:w="4409" w:type="dxa"/>
            <w:gridSpan w:val="2"/>
          </w:tcPr>
          <w:p w14:paraId="1BB8B192" w14:textId="2E445ADA" w:rsidR="00470839" w:rsidRPr="00140F2F" w:rsidRDefault="00470839" w:rsidP="00E44664">
            <w:pPr>
              <w:pStyle w:val="Paragraph"/>
              <w:ind w:firstLine="0"/>
              <w:jc w:val="center"/>
              <w:rPr>
                <w:bCs/>
                <w:noProof/>
              </w:rPr>
            </w:pPr>
            <w:r w:rsidRPr="00140F2F">
              <w:rPr>
                <w:bCs/>
                <w:caps/>
                <w:sz w:val="18"/>
                <w:szCs w:val="18"/>
              </w:rPr>
              <w:t>Figure 2.</w:t>
            </w:r>
            <w:r w:rsidRPr="00140F2F">
              <w:rPr>
                <w:bCs/>
                <w:sz w:val="18"/>
                <w:szCs w:val="18"/>
              </w:rPr>
              <w:t xml:space="preserve"> Gender distribution of clinical samples</w:t>
            </w:r>
          </w:p>
        </w:tc>
      </w:tr>
    </w:tbl>
    <w:p w14:paraId="7B01763D" w14:textId="29D4E766" w:rsidR="00BA3B3D" w:rsidRPr="00075EA6" w:rsidRDefault="005F4F0C" w:rsidP="00140F2F">
      <w:pPr>
        <w:pStyle w:val="Heading2"/>
      </w:pPr>
      <w:r>
        <w:t>Isolation of b</w:t>
      </w:r>
      <w:r w:rsidRPr="005F4F0C">
        <w:t>acteria</w:t>
      </w:r>
    </w:p>
    <w:p w14:paraId="69B6D5B8" w14:textId="64506834" w:rsidR="005F4F0C" w:rsidRDefault="00BE7F65" w:rsidP="00E44664">
      <w:pPr>
        <w:pStyle w:val="Paragraph"/>
      </w:pPr>
      <w:r w:rsidRPr="00BE7F65">
        <w:t xml:space="preserve">Out of 150 clinical samples, 50 </w:t>
      </w:r>
      <w:r w:rsidRPr="00BE7F65">
        <w:rPr>
          <w:i/>
          <w:iCs/>
        </w:rPr>
        <w:t>E. coli</w:t>
      </w:r>
      <w:r w:rsidRPr="00BE7F65">
        <w:t xml:space="preserve"> isolates (33.3%) were identified using morphological, microscopic, biochemical tests, and the VITEK® 2 system. These included 30 isolates (60%) from urinary tract infections, 15 (30%) from wounds, </w:t>
      </w:r>
      <w:r>
        <w:t>and 5 (10%) from burns (Fig. 3)</w:t>
      </w:r>
      <w:r w:rsidR="00AA6C3A" w:rsidRPr="00AA6C3A">
        <w:t>.</w:t>
      </w:r>
    </w:p>
    <w:p w14:paraId="4681FDF3" w14:textId="77777777" w:rsidR="00140F2F" w:rsidRDefault="00140F2F" w:rsidP="00E44664">
      <w:pPr>
        <w:pStyle w:val="Paragraph"/>
      </w:pPr>
    </w:p>
    <w:tbl>
      <w:tblPr>
        <w:tblStyle w:val="TableGrid"/>
        <w:tblW w:w="0" w:type="auto"/>
        <w:tblInd w:w="3227" w:type="dxa"/>
        <w:tblBorders>
          <w:insideH w:val="none" w:sz="0" w:space="0" w:color="auto"/>
        </w:tblBorders>
        <w:tblLook w:val="04A0" w:firstRow="1" w:lastRow="0" w:firstColumn="1" w:lastColumn="0" w:noHBand="0" w:noVBand="1"/>
      </w:tblPr>
      <w:tblGrid>
        <w:gridCol w:w="3827"/>
      </w:tblGrid>
      <w:tr w:rsidR="005F4F0C" w14:paraId="08E4DA06" w14:textId="77777777" w:rsidTr="00B453CE">
        <w:trPr>
          <w:trHeight w:val="1992"/>
        </w:trPr>
        <w:tc>
          <w:tcPr>
            <w:tcW w:w="3827" w:type="dxa"/>
            <w:tcBorders>
              <w:bottom w:val="single" w:sz="4" w:space="0" w:color="auto"/>
            </w:tcBorders>
          </w:tcPr>
          <w:p w14:paraId="0993DF29" w14:textId="77777777" w:rsidR="005F4F0C" w:rsidRDefault="005F4F0C" w:rsidP="00E44664">
            <w:pPr>
              <w:pStyle w:val="Paragraph"/>
              <w:ind w:firstLine="0"/>
              <w:jc w:val="center"/>
            </w:pPr>
            <w:r>
              <w:rPr>
                <w:noProof/>
              </w:rPr>
              <w:drawing>
                <wp:inline distT="0" distB="0" distL="0" distR="0" wp14:anchorId="0D677B6F" wp14:editId="072A811B">
                  <wp:extent cx="2152650" cy="1428750"/>
                  <wp:effectExtent l="0" t="0" r="0" b="0"/>
                  <wp:docPr id="10"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cstate="print">
                            <a:extLst>
                              <a:ext uri="{BEBA8EAE-BF5A-486C-A8C5-ECC9F3942E4B}">
                                <a14:imgProps xmlns:a14="http://schemas.microsoft.com/office/drawing/2010/main">
                                  <a14:imgLayer r:embed="rId12">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15988" t="21439" r="13827" b="4218"/>
                          <a:stretch/>
                        </pic:blipFill>
                        <pic:spPr bwMode="auto">
                          <a:xfrm>
                            <a:off x="0" y="0"/>
                            <a:ext cx="2155207" cy="14304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8CDF83" w14:textId="1C02E744" w:rsidR="005F4F0C" w:rsidRDefault="005F4F0C" w:rsidP="00E44664">
      <w:pPr>
        <w:pStyle w:val="Paragraph"/>
        <w:jc w:val="center"/>
        <w:rPr>
          <w:sz w:val="18"/>
          <w:szCs w:val="18"/>
        </w:rPr>
      </w:pPr>
      <w:r w:rsidRPr="000B1BC4">
        <w:rPr>
          <w:b/>
          <w:caps/>
          <w:sz w:val="18"/>
          <w:szCs w:val="18"/>
        </w:rPr>
        <w:t>Figure 3</w:t>
      </w:r>
      <w:r w:rsidRPr="000B1BC4">
        <w:rPr>
          <w:caps/>
          <w:sz w:val="18"/>
          <w:szCs w:val="18"/>
        </w:rPr>
        <w:t>.</w:t>
      </w:r>
      <w:r w:rsidRPr="000B1BC4">
        <w:rPr>
          <w:sz w:val="18"/>
          <w:szCs w:val="18"/>
        </w:rPr>
        <w:t xml:space="preserve"> The number and percentage of </w:t>
      </w:r>
      <w:r w:rsidRPr="000B1BC4">
        <w:rPr>
          <w:i/>
          <w:iCs/>
          <w:sz w:val="18"/>
          <w:szCs w:val="18"/>
        </w:rPr>
        <w:t>E.coli</w:t>
      </w:r>
      <w:r w:rsidRPr="000B1BC4">
        <w:rPr>
          <w:sz w:val="18"/>
          <w:szCs w:val="18"/>
        </w:rPr>
        <w:t xml:space="preserve"> isolates from clinical samples.</w:t>
      </w:r>
    </w:p>
    <w:p w14:paraId="366EDCF7" w14:textId="77777777" w:rsidR="001D63FD" w:rsidRPr="000B1BC4" w:rsidRDefault="001D63FD" w:rsidP="00E44664">
      <w:pPr>
        <w:pStyle w:val="Paragraph"/>
        <w:jc w:val="center"/>
        <w:rPr>
          <w:sz w:val="18"/>
          <w:szCs w:val="18"/>
        </w:rPr>
      </w:pPr>
    </w:p>
    <w:p w14:paraId="4B45DB4F" w14:textId="44599545" w:rsidR="005F4F0C" w:rsidRPr="00075EA6" w:rsidRDefault="005F4F0C" w:rsidP="00140F2F">
      <w:pPr>
        <w:pStyle w:val="Heading2"/>
      </w:pPr>
      <w:r>
        <w:t>Antimicrobial s</w:t>
      </w:r>
      <w:r w:rsidRPr="005F4F0C">
        <w:t>uscept</w:t>
      </w:r>
      <w:r>
        <w:t>ibility t</w:t>
      </w:r>
      <w:r w:rsidRPr="005F4F0C">
        <w:t>est</w:t>
      </w:r>
    </w:p>
    <w:p w14:paraId="34F988CC" w14:textId="561FD196" w:rsidR="00BA3B3D" w:rsidRDefault="00BE7F65" w:rsidP="00E44664">
      <w:pPr>
        <w:pStyle w:val="Paragraph"/>
      </w:pPr>
      <w:r w:rsidRPr="00BE7F65">
        <w:t xml:space="preserve">Seventeen antimicrobial discs were tested against fifty </w:t>
      </w:r>
      <w:r w:rsidRPr="00BE7F65">
        <w:rPr>
          <w:i/>
          <w:iCs/>
        </w:rPr>
        <w:t>E. coli</w:t>
      </w:r>
      <w:r w:rsidRPr="00BE7F65">
        <w:t xml:space="preserve"> isolates from clinical samples. Most isolates were resistant to seven antibiotics—Ampicillin, Amoxicillin, Cloxacillin, Gentamicin, Amikacin, Tobramycin, and Tetracycline—classifying them as multidrug-resistant (MDR). Conversely, the isolates were largely sensitive to ten antibiotics, including Imipenem, Meropenem, Nitrofurantoin, Chloramphenicol, Nalidixic acid, Ciprofloxacin, Streptomycin, Kanamycin, Trimethoprim-Sulfamethoxazole, and Clindamycin. Chi-square analysis confirmed significant differences in antibiot</w:t>
      </w:r>
      <w:r>
        <w:t>ic responses (p≤0.05)</w:t>
      </w:r>
      <w:r w:rsidR="005F4F0C">
        <w:t>.</w:t>
      </w:r>
    </w:p>
    <w:p w14:paraId="1DB849E0" w14:textId="41F6DCCF" w:rsidR="001D63FD" w:rsidRDefault="001D63FD" w:rsidP="00E44664">
      <w:pPr>
        <w:pStyle w:val="Paragraph"/>
      </w:pPr>
    </w:p>
    <w:tbl>
      <w:tblPr>
        <w:tblStyle w:val="TableGrid"/>
        <w:tblW w:w="4910" w:type="pct"/>
        <w:jc w:val="center"/>
        <w:tblLook w:val="04A0" w:firstRow="1" w:lastRow="0" w:firstColumn="1" w:lastColumn="0" w:noHBand="0" w:noVBand="1"/>
      </w:tblPr>
      <w:tblGrid>
        <w:gridCol w:w="5051"/>
        <w:gridCol w:w="1011"/>
        <w:gridCol w:w="1143"/>
        <w:gridCol w:w="1092"/>
        <w:gridCol w:w="895"/>
      </w:tblGrid>
      <w:tr w:rsidR="0099393C" w:rsidRPr="005F4F0C" w14:paraId="2BCE77EF" w14:textId="77777777" w:rsidTr="00140F2F">
        <w:trPr>
          <w:trHeight w:val="493"/>
          <w:jc w:val="center"/>
        </w:trPr>
        <w:tc>
          <w:tcPr>
            <w:tcW w:w="5000" w:type="pct"/>
            <w:gridSpan w:val="5"/>
            <w:tcBorders>
              <w:top w:val="nil"/>
              <w:left w:val="nil"/>
              <w:bottom w:val="single" w:sz="4" w:space="0" w:color="auto"/>
              <w:right w:val="nil"/>
            </w:tcBorders>
            <w:vAlign w:val="center"/>
          </w:tcPr>
          <w:p w14:paraId="12A3AA71" w14:textId="28DB8278" w:rsidR="0099393C" w:rsidRPr="0094606F" w:rsidRDefault="00CD0B35" w:rsidP="00E44664">
            <w:pPr>
              <w:jc w:val="center"/>
              <w:rPr>
                <w:b/>
                <w:bCs/>
                <w:sz w:val="18"/>
                <w:szCs w:val="18"/>
              </w:rPr>
            </w:pPr>
            <w:r>
              <w:rPr>
                <w:b/>
                <w:bCs/>
                <w:color w:val="000000" w:themeColor="text1"/>
                <w:sz w:val="18"/>
                <w:szCs w:val="18"/>
              </w:rPr>
              <w:t>TABLE 1</w:t>
            </w:r>
            <w:r w:rsidR="0099393C" w:rsidRPr="0094606F">
              <w:rPr>
                <w:b/>
                <w:bCs/>
                <w:color w:val="000000" w:themeColor="text1"/>
                <w:sz w:val="18"/>
                <w:szCs w:val="18"/>
              </w:rPr>
              <w:t>.</w:t>
            </w:r>
            <w:r w:rsidR="0099393C" w:rsidRPr="0094606F">
              <w:rPr>
                <w:b/>
                <w:bCs/>
                <w:sz w:val="18"/>
                <w:szCs w:val="18"/>
              </w:rPr>
              <w:t xml:space="preserve"> </w:t>
            </w:r>
            <w:r w:rsidR="008670BD" w:rsidRPr="0094606F">
              <w:rPr>
                <w:b/>
                <w:bCs/>
                <w:sz w:val="18"/>
                <w:szCs w:val="18"/>
              </w:rPr>
              <w:t xml:space="preserve">Antimicrobial resistance profiles of </w:t>
            </w:r>
            <w:r w:rsidR="008670BD" w:rsidRPr="0094606F">
              <w:rPr>
                <w:b/>
                <w:bCs/>
                <w:i/>
                <w:iCs/>
                <w:sz w:val="18"/>
                <w:szCs w:val="18"/>
              </w:rPr>
              <w:t>E. coli</w:t>
            </w:r>
            <w:r w:rsidR="008670BD" w:rsidRPr="0094606F">
              <w:rPr>
                <w:b/>
                <w:bCs/>
                <w:sz w:val="18"/>
                <w:szCs w:val="18"/>
              </w:rPr>
              <w:t xml:space="preserve"> clinical isolates against various antibiotics with associated p-values</w:t>
            </w:r>
            <w:r w:rsidR="00076E4F" w:rsidRPr="0094606F">
              <w:rPr>
                <w:b/>
                <w:bCs/>
                <w:sz w:val="18"/>
                <w:szCs w:val="18"/>
              </w:rPr>
              <w:t>.</w:t>
            </w:r>
          </w:p>
        </w:tc>
      </w:tr>
      <w:tr w:rsidR="0099393C" w:rsidRPr="005F4F0C" w14:paraId="568D1C4D" w14:textId="77777777" w:rsidTr="00140F2F">
        <w:trPr>
          <w:trHeight w:val="261"/>
          <w:jc w:val="center"/>
        </w:trPr>
        <w:tc>
          <w:tcPr>
            <w:tcW w:w="2747" w:type="pct"/>
            <w:vMerge w:val="restart"/>
            <w:tcBorders>
              <w:left w:val="nil"/>
              <w:bottom w:val="single" w:sz="4" w:space="0" w:color="auto"/>
              <w:right w:val="nil"/>
            </w:tcBorders>
            <w:vAlign w:val="center"/>
            <w:hideMark/>
          </w:tcPr>
          <w:p w14:paraId="4F8F503D" w14:textId="77777777" w:rsidR="0099393C" w:rsidRPr="0094606F" w:rsidRDefault="0099393C" w:rsidP="00E44664">
            <w:pPr>
              <w:pStyle w:val="Paragraph"/>
              <w:ind w:firstLine="0"/>
              <w:jc w:val="center"/>
              <w:rPr>
                <w:sz w:val="18"/>
                <w:szCs w:val="18"/>
              </w:rPr>
            </w:pPr>
            <w:r w:rsidRPr="0094606F">
              <w:rPr>
                <w:sz w:val="18"/>
                <w:szCs w:val="18"/>
              </w:rPr>
              <w:t>Antibiotics discs</w:t>
            </w:r>
          </w:p>
        </w:tc>
        <w:tc>
          <w:tcPr>
            <w:tcW w:w="1766" w:type="pct"/>
            <w:gridSpan w:val="3"/>
            <w:tcBorders>
              <w:left w:val="nil"/>
              <w:bottom w:val="single" w:sz="4" w:space="0" w:color="auto"/>
              <w:right w:val="nil"/>
            </w:tcBorders>
            <w:vAlign w:val="center"/>
            <w:hideMark/>
          </w:tcPr>
          <w:p w14:paraId="4806169E" w14:textId="77777777" w:rsidR="0099393C" w:rsidRPr="0094606F" w:rsidRDefault="0099393C" w:rsidP="00E44664">
            <w:pPr>
              <w:pStyle w:val="Paragraph"/>
              <w:ind w:firstLine="0"/>
              <w:jc w:val="center"/>
              <w:rPr>
                <w:sz w:val="18"/>
                <w:szCs w:val="18"/>
              </w:rPr>
            </w:pPr>
            <w:r w:rsidRPr="0094606F">
              <w:rPr>
                <w:sz w:val="18"/>
                <w:szCs w:val="18"/>
              </w:rPr>
              <w:t>Number and Percentage</w:t>
            </w:r>
          </w:p>
        </w:tc>
        <w:tc>
          <w:tcPr>
            <w:tcW w:w="487" w:type="pct"/>
            <w:vMerge w:val="restart"/>
            <w:tcBorders>
              <w:left w:val="nil"/>
              <w:right w:val="nil"/>
            </w:tcBorders>
            <w:vAlign w:val="center"/>
          </w:tcPr>
          <w:p w14:paraId="2C9E78CD" w14:textId="0C57A951" w:rsidR="0099393C" w:rsidRPr="0094606F" w:rsidRDefault="0099393C" w:rsidP="00E44664">
            <w:pPr>
              <w:pStyle w:val="Paragraph"/>
              <w:ind w:firstLine="0"/>
              <w:jc w:val="center"/>
              <w:rPr>
                <w:sz w:val="18"/>
                <w:szCs w:val="18"/>
              </w:rPr>
            </w:pPr>
            <w:r w:rsidRPr="0094606F">
              <w:rPr>
                <w:sz w:val="18"/>
                <w:szCs w:val="18"/>
              </w:rPr>
              <w:t>p-value</w:t>
            </w:r>
          </w:p>
        </w:tc>
      </w:tr>
      <w:tr w:rsidR="0099393C" w:rsidRPr="005F4F0C" w14:paraId="2564CD2D" w14:textId="77777777" w:rsidTr="00140F2F">
        <w:trPr>
          <w:trHeight w:val="174"/>
          <w:jc w:val="center"/>
        </w:trPr>
        <w:tc>
          <w:tcPr>
            <w:tcW w:w="2747" w:type="pct"/>
            <w:vMerge/>
            <w:tcBorders>
              <w:top w:val="single" w:sz="4" w:space="0" w:color="auto"/>
              <w:left w:val="nil"/>
              <w:bottom w:val="single" w:sz="4" w:space="0" w:color="auto"/>
              <w:right w:val="nil"/>
            </w:tcBorders>
            <w:vAlign w:val="center"/>
            <w:hideMark/>
          </w:tcPr>
          <w:p w14:paraId="7E8388EA" w14:textId="77777777" w:rsidR="0099393C" w:rsidRPr="005F4F0C" w:rsidRDefault="0099393C" w:rsidP="00E44664">
            <w:pPr>
              <w:pStyle w:val="Paragraph"/>
              <w:ind w:firstLine="0"/>
              <w:jc w:val="center"/>
              <w:rPr>
                <w:sz w:val="18"/>
                <w:szCs w:val="18"/>
              </w:rPr>
            </w:pPr>
          </w:p>
        </w:tc>
        <w:tc>
          <w:tcPr>
            <w:tcW w:w="550" w:type="pct"/>
            <w:tcBorders>
              <w:top w:val="single" w:sz="4" w:space="0" w:color="auto"/>
              <w:left w:val="nil"/>
              <w:bottom w:val="single" w:sz="4" w:space="0" w:color="auto"/>
              <w:right w:val="nil"/>
            </w:tcBorders>
            <w:vAlign w:val="center"/>
            <w:hideMark/>
          </w:tcPr>
          <w:p w14:paraId="17287C23" w14:textId="77777777" w:rsidR="0099393C" w:rsidRPr="0094606F" w:rsidRDefault="0099393C" w:rsidP="00E44664">
            <w:pPr>
              <w:pStyle w:val="Paragraph"/>
              <w:ind w:firstLine="0"/>
              <w:jc w:val="center"/>
              <w:rPr>
                <w:sz w:val="18"/>
                <w:szCs w:val="18"/>
              </w:rPr>
            </w:pPr>
            <w:r w:rsidRPr="0094606F">
              <w:rPr>
                <w:sz w:val="18"/>
                <w:szCs w:val="18"/>
              </w:rPr>
              <w:t>Sensitive</w:t>
            </w:r>
          </w:p>
        </w:tc>
        <w:tc>
          <w:tcPr>
            <w:tcW w:w="622" w:type="pct"/>
            <w:tcBorders>
              <w:top w:val="single" w:sz="4" w:space="0" w:color="auto"/>
              <w:left w:val="nil"/>
              <w:bottom w:val="single" w:sz="4" w:space="0" w:color="auto"/>
              <w:right w:val="nil"/>
            </w:tcBorders>
            <w:vAlign w:val="center"/>
            <w:hideMark/>
          </w:tcPr>
          <w:p w14:paraId="072EF940" w14:textId="77777777" w:rsidR="0099393C" w:rsidRPr="0094606F" w:rsidRDefault="0099393C" w:rsidP="00E44664">
            <w:pPr>
              <w:pStyle w:val="Paragraph"/>
              <w:ind w:firstLine="0"/>
              <w:jc w:val="center"/>
              <w:rPr>
                <w:sz w:val="18"/>
                <w:szCs w:val="18"/>
              </w:rPr>
            </w:pPr>
            <w:r w:rsidRPr="0094606F">
              <w:rPr>
                <w:sz w:val="18"/>
                <w:szCs w:val="18"/>
              </w:rPr>
              <w:t>Intermediate</w:t>
            </w:r>
          </w:p>
        </w:tc>
        <w:tc>
          <w:tcPr>
            <w:tcW w:w="594" w:type="pct"/>
            <w:tcBorders>
              <w:top w:val="single" w:sz="4" w:space="0" w:color="auto"/>
              <w:left w:val="nil"/>
              <w:bottom w:val="single" w:sz="4" w:space="0" w:color="auto"/>
              <w:right w:val="nil"/>
            </w:tcBorders>
            <w:vAlign w:val="center"/>
            <w:hideMark/>
          </w:tcPr>
          <w:p w14:paraId="301CB802" w14:textId="77777777" w:rsidR="0099393C" w:rsidRPr="0094606F" w:rsidRDefault="0099393C" w:rsidP="00E44664">
            <w:pPr>
              <w:pStyle w:val="Paragraph"/>
              <w:ind w:firstLine="0"/>
              <w:jc w:val="center"/>
              <w:rPr>
                <w:sz w:val="18"/>
                <w:szCs w:val="18"/>
              </w:rPr>
            </w:pPr>
            <w:r w:rsidRPr="0094606F">
              <w:rPr>
                <w:sz w:val="18"/>
                <w:szCs w:val="18"/>
              </w:rPr>
              <w:t>Resistance</w:t>
            </w:r>
          </w:p>
        </w:tc>
        <w:tc>
          <w:tcPr>
            <w:tcW w:w="487" w:type="pct"/>
            <w:vMerge/>
            <w:tcBorders>
              <w:left w:val="nil"/>
              <w:bottom w:val="single" w:sz="4" w:space="0" w:color="auto"/>
              <w:right w:val="nil"/>
            </w:tcBorders>
            <w:vAlign w:val="center"/>
            <w:hideMark/>
          </w:tcPr>
          <w:p w14:paraId="58CC0190" w14:textId="529DD741" w:rsidR="0099393C" w:rsidRPr="005F4F0C" w:rsidRDefault="0099393C" w:rsidP="00E44664">
            <w:pPr>
              <w:pStyle w:val="Paragraph"/>
              <w:ind w:firstLine="0"/>
              <w:jc w:val="center"/>
              <w:rPr>
                <w:sz w:val="18"/>
                <w:szCs w:val="18"/>
              </w:rPr>
            </w:pPr>
          </w:p>
        </w:tc>
      </w:tr>
      <w:tr w:rsidR="0099393C" w:rsidRPr="005F4F0C" w14:paraId="522DD339" w14:textId="77777777" w:rsidTr="00140F2F">
        <w:trPr>
          <w:trHeight w:val="246"/>
          <w:jc w:val="center"/>
        </w:trPr>
        <w:tc>
          <w:tcPr>
            <w:tcW w:w="2747" w:type="pct"/>
            <w:tcBorders>
              <w:top w:val="single" w:sz="4" w:space="0" w:color="auto"/>
              <w:left w:val="nil"/>
              <w:bottom w:val="nil"/>
              <w:right w:val="nil"/>
            </w:tcBorders>
            <w:vAlign w:val="center"/>
            <w:hideMark/>
          </w:tcPr>
          <w:p w14:paraId="2720055A" w14:textId="77777777" w:rsidR="005F4F0C" w:rsidRPr="005F4F0C" w:rsidRDefault="005F4F0C" w:rsidP="00E44664">
            <w:pPr>
              <w:pStyle w:val="Paragraph"/>
              <w:ind w:firstLine="0"/>
              <w:jc w:val="center"/>
              <w:rPr>
                <w:sz w:val="18"/>
                <w:szCs w:val="18"/>
              </w:rPr>
            </w:pPr>
            <w:r w:rsidRPr="005F4F0C">
              <w:rPr>
                <w:sz w:val="18"/>
                <w:szCs w:val="18"/>
              </w:rPr>
              <w:t>Ampicillin (10µg)</w:t>
            </w:r>
          </w:p>
        </w:tc>
        <w:tc>
          <w:tcPr>
            <w:tcW w:w="550" w:type="pct"/>
            <w:tcBorders>
              <w:top w:val="single" w:sz="4" w:space="0" w:color="auto"/>
              <w:left w:val="nil"/>
              <w:bottom w:val="nil"/>
              <w:right w:val="nil"/>
            </w:tcBorders>
            <w:vAlign w:val="center"/>
            <w:hideMark/>
          </w:tcPr>
          <w:p w14:paraId="127A048C" w14:textId="77777777" w:rsidR="005F4F0C" w:rsidRPr="005F4F0C" w:rsidRDefault="005F4F0C" w:rsidP="00E44664">
            <w:pPr>
              <w:pStyle w:val="Paragraph"/>
              <w:ind w:firstLine="2"/>
              <w:jc w:val="center"/>
              <w:rPr>
                <w:sz w:val="18"/>
                <w:szCs w:val="18"/>
              </w:rPr>
            </w:pPr>
            <w:r w:rsidRPr="005F4F0C">
              <w:rPr>
                <w:sz w:val="18"/>
                <w:szCs w:val="18"/>
              </w:rPr>
              <w:t>1 (2%)</w:t>
            </w:r>
          </w:p>
        </w:tc>
        <w:tc>
          <w:tcPr>
            <w:tcW w:w="622" w:type="pct"/>
            <w:tcBorders>
              <w:top w:val="single" w:sz="4" w:space="0" w:color="auto"/>
              <w:left w:val="nil"/>
              <w:bottom w:val="nil"/>
              <w:right w:val="nil"/>
            </w:tcBorders>
            <w:vAlign w:val="center"/>
            <w:hideMark/>
          </w:tcPr>
          <w:p w14:paraId="6E0D20D6" w14:textId="77777777" w:rsidR="005F4F0C" w:rsidRPr="005F4F0C" w:rsidRDefault="005F4F0C" w:rsidP="00E44664">
            <w:pPr>
              <w:pStyle w:val="Paragraph"/>
              <w:ind w:firstLine="2"/>
              <w:jc w:val="center"/>
              <w:rPr>
                <w:sz w:val="18"/>
                <w:szCs w:val="18"/>
              </w:rPr>
            </w:pPr>
            <w:r w:rsidRPr="005F4F0C">
              <w:rPr>
                <w:sz w:val="18"/>
                <w:szCs w:val="18"/>
              </w:rPr>
              <w:t>2 (4%)</w:t>
            </w:r>
          </w:p>
        </w:tc>
        <w:tc>
          <w:tcPr>
            <w:tcW w:w="594" w:type="pct"/>
            <w:tcBorders>
              <w:top w:val="single" w:sz="4" w:space="0" w:color="auto"/>
              <w:left w:val="nil"/>
              <w:bottom w:val="nil"/>
              <w:right w:val="nil"/>
            </w:tcBorders>
            <w:vAlign w:val="center"/>
            <w:hideMark/>
          </w:tcPr>
          <w:p w14:paraId="08B19181" w14:textId="77777777" w:rsidR="005F4F0C" w:rsidRPr="005F4F0C" w:rsidRDefault="005F4F0C" w:rsidP="00E44664">
            <w:pPr>
              <w:pStyle w:val="Paragraph"/>
              <w:ind w:firstLine="2"/>
              <w:jc w:val="center"/>
              <w:rPr>
                <w:sz w:val="18"/>
                <w:szCs w:val="18"/>
              </w:rPr>
            </w:pPr>
            <w:r w:rsidRPr="005F4F0C">
              <w:rPr>
                <w:sz w:val="18"/>
                <w:szCs w:val="18"/>
              </w:rPr>
              <w:t>47 (94%)</w:t>
            </w:r>
          </w:p>
        </w:tc>
        <w:tc>
          <w:tcPr>
            <w:tcW w:w="487" w:type="pct"/>
            <w:tcBorders>
              <w:top w:val="single" w:sz="4" w:space="0" w:color="auto"/>
              <w:left w:val="nil"/>
              <w:bottom w:val="nil"/>
              <w:right w:val="nil"/>
            </w:tcBorders>
            <w:vAlign w:val="center"/>
            <w:hideMark/>
          </w:tcPr>
          <w:p w14:paraId="1F27BA96" w14:textId="77777777" w:rsidR="005F4F0C" w:rsidRPr="005F4F0C" w:rsidRDefault="005F4F0C" w:rsidP="00E44664">
            <w:pPr>
              <w:pStyle w:val="Paragraph"/>
              <w:ind w:firstLine="2"/>
              <w:jc w:val="center"/>
              <w:rPr>
                <w:sz w:val="18"/>
                <w:szCs w:val="18"/>
              </w:rPr>
            </w:pPr>
            <w:r w:rsidRPr="005F4F0C">
              <w:rPr>
                <w:sz w:val="18"/>
                <w:szCs w:val="18"/>
              </w:rPr>
              <w:t>0.01</w:t>
            </w:r>
            <w:r w:rsidRPr="005F4F0C">
              <w:rPr>
                <w:sz w:val="18"/>
                <w:szCs w:val="18"/>
                <w:vertAlign w:val="superscript"/>
              </w:rPr>
              <w:t>*</w:t>
            </w:r>
          </w:p>
        </w:tc>
      </w:tr>
      <w:tr w:rsidR="0099393C" w:rsidRPr="005F4F0C" w14:paraId="49F12F29" w14:textId="77777777" w:rsidTr="00140F2F">
        <w:trPr>
          <w:trHeight w:val="246"/>
          <w:jc w:val="center"/>
        </w:trPr>
        <w:tc>
          <w:tcPr>
            <w:tcW w:w="2747" w:type="pct"/>
            <w:tcBorders>
              <w:top w:val="nil"/>
              <w:left w:val="nil"/>
              <w:bottom w:val="nil"/>
              <w:right w:val="nil"/>
            </w:tcBorders>
            <w:vAlign w:val="center"/>
            <w:hideMark/>
          </w:tcPr>
          <w:p w14:paraId="430D1D87" w14:textId="77777777" w:rsidR="005F4F0C" w:rsidRPr="005F4F0C" w:rsidRDefault="005F4F0C" w:rsidP="00E44664">
            <w:pPr>
              <w:pStyle w:val="Paragraph"/>
              <w:ind w:firstLine="0"/>
              <w:jc w:val="center"/>
              <w:rPr>
                <w:sz w:val="18"/>
                <w:szCs w:val="18"/>
              </w:rPr>
            </w:pPr>
            <w:r w:rsidRPr="005F4F0C">
              <w:rPr>
                <w:sz w:val="18"/>
                <w:szCs w:val="18"/>
              </w:rPr>
              <w:t>Amoxicillin (10μg)</w:t>
            </w:r>
          </w:p>
        </w:tc>
        <w:tc>
          <w:tcPr>
            <w:tcW w:w="550" w:type="pct"/>
            <w:tcBorders>
              <w:top w:val="nil"/>
              <w:left w:val="nil"/>
              <w:bottom w:val="nil"/>
              <w:right w:val="nil"/>
            </w:tcBorders>
            <w:vAlign w:val="center"/>
            <w:hideMark/>
          </w:tcPr>
          <w:p w14:paraId="6932AC7E" w14:textId="77777777" w:rsidR="005F4F0C" w:rsidRPr="005F4F0C" w:rsidRDefault="005F4F0C" w:rsidP="00E44664">
            <w:pPr>
              <w:pStyle w:val="Paragraph"/>
              <w:ind w:firstLine="2"/>
              <w:jc w:val="center"/>
              <w:rPr>
                <w:sz w:val="18"/>
                <w:szCs w:val="18"/>
              </w:rPr>
            </w:pPr>
            <w:r w:rsidRPr="005F4F0C">
              <w:rPr>
                <w:sz w:val="18"/>
                <w:szCs w:val="18"/>
              </w:rPr>
              <w:t>1 (2%)</w:t>
            </w:r>
          </w:p>
        </w:tc>
        <w:tc>
          <w:tcPr>
            <w:tcW w:w="622" w:type="pct"/>
            <w:tcBorders>
              <w:top w:val="nil"/>
              <w:left w:val="nil"/>
              <w:bottom w:val="nil"/>
              <w:right w:val="nil"/>
            </w:tcBorders>
            <w:vAlign w:val="center"/>
            <w:hideMark/>
          </w:tcPr>
          <w:p w14:paraId="58103F8E" w14:textId="77777777" w:rsidR="005F4F0C" w:rsidRPr="005F4F0C" w:rsidRDefault="005F4F0C" w:rsidP="00E44664">
            <w:pPr>
              <w:pStyle w:val="Paragraph"/>
              <w:ind w:firstLine="2"/>
              <w:jc w:val="center"/>
              <w:rPr>
                <w:sz w:val="18"/>
                <w:szCs w:val="18"/>
              </w:rPr>
            </w:pPr>
            <w:r w:rsidRPr="005F4F0C">
              <w:rPr>
                <w:sz w:val="18"/>
                <w:szCs w:val="18"/>
              </w:rPr>
              <w:t>1 (2%)</w:t>
            </w:r>
          </w:p>
        </w:tc>
        <w:tc>
          <w:tcPr>
            <w:tcW w:w="594" w:type="pct"/>
            <w:tcBorders>
              <w:top w:val="nil"/>
              <w:left w:val="nil"/>
              <w:bottom w:val="nil"/>
              <w:right w:val="nil"/>
            </w:tcBorders>
            <w:vAlign w:val="center"/>
            <w:hideMark/>
          </w:tcPr>
          <w:p w14:paraId="02630601" w14:textId="77777777" w:rsidR="005F4F0C" w:rsidRPr="005F4F0C" w:rsidRDefault="005F4F0C" w:rsidP="00E44664">
            <w:pPr>
              <w:pStyle w:val="Paragraph"/>
              <w:ind w:firstLine="2"/>
              <w:jc w:val="center"/>
              <w:rPr>
                <w:sz w:val="18"/>
                <w:szCs w:val="18"/>
              </w:rPr>
            </w:pPr>
            <w:r w:rsidRPr="005F4F0C">
              <w:rPr>
                <w:sz w:val="18"/>
                <w:szCs w:val="18"/>
              </w:rPr>
              <w:t>48 (96%)</w:t>
            </w:r>
          </w:p>
        </w:tc>
        <w:tc>
          <w:tcPr>
            <w:tcW w:w="487" w:type="pct"/>
            <w:tcBorders>
              <w:top w:val="nil"/>
              <w:left w:val="nil"/>
              <w:bottom w:val="nil"/>
              <w:right w:val="nil"/>
            </w:tcBorders>
            <w:vAlign w:val="center"/>
            <w:hideMark/>
          </w:tcPr>
          <w:p w14:paraId="2BE9F88E" w14:textId="77777777" w:rsidR="005F4F0C" w:rsidRPr="005F4F0C" w:rsidRDefault="005F4F0C" w:rsidP="00E44664">
            <w:pPr>
              <w:pStyle w:val="Paragraph"/>
              <w:ind w:firstLine="2"/>
              <w:jc w:val="center"/>
              <w:rPr>
                <w:sz w:val="18"/>
                <w:szCs w:val="18"/>
              </w:rPr>
            </w:pPr>
            <w:r w:rsidRPr="005F4F0C">
              <w:rPr>
                <w:sz w:val="18"/>
                <w:szCs w:val="18"/>
              </w:rPr>
              <w:t>0.05</w:t>
            </w:r>
            <w:r w:rsidRPr="005F4F0C">
              <w:rPr>
                <w:sz w:val="18"/>
                <w:szCs w:val="18"/>
                <w:vertAlign w:val="superscript"/>
              </w:rPr>
              <w:t>*</w:t>
            </w:r>
          </w:p>
        </w:tc>
      </w:tr>
      <w:tr w:rsidR="0099393C" w:rsidRPr="005F4F0C" w14:paraId="09329B03" w14:textId="77777777" w:rsidTr="00140F2F">
        <w:trPr>
          <w:trHeight w:val="246"/>
          <w:jc w:val="center"/>
        </w:trPr>
        <w:tc>
          <w:tcPr>
            <w:tcW w:w="2747" w:type="pct"/>
            <w:tcBorders>
              <w:top w:val="nil"/>
              <w:left w:val="nil"/>
              <w:bottom w:val="nil"/>
              <w:right w:val="nil"/>
            </w:tcBorders>
            <w:vAlign w:val="center"/>
            <w:hideMark/>
          </w:tcPr>
          <w:p w14:paraId="44AB24FD" w14:textId="77777777" w:rsidR="005F4F0C" w:rsidRPr="005F4F0C" w:rsidRDefault="005F4F0C" w:rsidP="00E44664">
            <w:pPr>
              <w:pStyle w:val="Paragraph"/>
              <w:ind w:firstLine="0"/>
              <w:jc w:val="center"/>
              <w:rPr>
                <w:sz w:val="18"/>
                <w:szCs w:val="18"/>
              </w:rPr>
            </w:pPr>
            <w:r w:rsidRPr="005F4F0C">
              <w:rPr>
                <w:sz w:val="18"/>
                <w:szCs w:val="18"/>
              </w:rPr>
              <w:t>Imipenem (10µg)</w:t>
            </w:r>
          </w:p>
        </w:tc>
        <w:tc>
          <w:tcPr>
            <w:tcW w:w="550" w:type="pct"/>
            <w:tcBorders>
              <w:top w:val="nil"/>
              <w:left w:val="nil"/>
              <w:bottom w:val="nil"/>
              <w:right w:val="nil"/>
            </w:tcBorders>
            <w:vAlign w:val="center"/>
            <w:hideMark/>
          </w:tcPr>
          <w:p w14:paraId="74B6E9BB" w14:textId="77777777" w:rsidR="005F4F0C" w:rsidRPr="005F4F0C" w:rsidRDefault="005F4F0C" w:rsidP="00E44664">
            <w:pPr>
              <w:pStyle w:val="Paragraph"/>
              <w:ind w:firstLine="2"/>
              <w:jc w:val="center"/>
              <w:rPr>
                <w:sz w:val="18"/>
                <w:szCs w:val="18"/>
              </w:rPr>
            </w:pPr>
            <w:r w:rsidRPr="005F4F0C">
              <w:rPr>
                <w:sz w:val="18"/>
                <w:szCs w:val="18"/>
              </w:rPr>
              <w:t>47 (94%)</w:t>
            </w:r>
          </w:p>
        </w:tc>
        <w:tc>
          <w:tcPr>
            <w:tcW w:w="622" w:type="pct"/>
            <w:tcBorders>
              <w:top w:val="nil"/>
              <w:left w:val="nil"/>
              <w:bottom w:val="nil"/>
              <w:right w:val="nil"/>
            </w:tcBorders>
            <w:vAlign w:val="center"/>
            <w:hideMark/>
          </w:tcPr>
          <w:p w14:paraId="28319363" w14:textId="77777777" w:rsidR="005F4F0C" w:rsidRPr="005F4F0C" w:rsidRDefault="005F4F0C" w:rsidP="00E44664">
            <w:pPr>
              <w:pStyle w:val="Paragraph"/>
              <w:ind w:firstLine="2"/>
              <w:jc w:val="center"/>
              <w:rPr>
                <w:sz w:val="18"/>
                <w:szCs w:val="18"/>
              </w:rPr>
            </w:pPr>
            <w:r w:rsidRPr="005F4F0C">
              <w:rPr>
                <w:sz w:val="18"/>
                <w:szCs w:val="18"/>
              </w:rPr>
              <w:t>2 (4%)</w:t>
            </w:r>
          </w:p>
        </w:tc>
        <w:tc>
          <w:tcPr>
            <w:tcW w:w="594" w:type="pct"/>
            <w:tcBorders>
              <w:top w:val="nil"/>
              <w:left w:val="nil"/>
              <w:bottom w:val="nil"/>
              <w:right w:val="nil"/>
            </w:tcBorders>
            <w:vAlign w:val="center"/>
            <w:hideMark/>
          </w:tcPr>
          <w:p w14:paraId="10EFF863" w14:textId="77777777" w:rsidR="005F4F0C" w:rsidRPr="005F4F0C" w:rsidRDefault="005F4F0C" w:rsidP="00E44664">
            <w:pPr>
              <w:pStyle w:val="Paragraph"/>
              <w:ind w:firstLine="2"/>
              <w:jc w:val="center"/>
              <w:rPr>
                <w:sz w:val="18"/>
                <w:szCs w:val="18"/>
              </w:rPr>
            </w:pPr>
            <w:r w:rsidRPr="005F4F0C">
              <w:rPr>
                <w:sz w:val="18"/>
                <w:szCs w:val="18"/>
              </w:rPr>
              <w:t>1 (2%)</w:t>
            </w:r>
          </w:p>
        </w:tc>
        <w:tc>
          <w:tcPr>
            <w:tcW w:w="487" w:type="pct"/>
            <w:tcBorders>
              <w:top w:val="nil"/>
              <w:left w:val="nil"/>
              <w:bottom w:val="nil"/>
              <w:right w:val="nil"/>
            </w:tcBorders>
            <w:vAlign w:val="center"/>
            <w:hideMark/>
          </w:tcPr>
          <w:p w14:paraId="6118A303" w14:textId="77777777" w:rsidR="005F4F0C" w:rsidRPr="005F4F0C" w:rsidRDefault="005F4F0C" w:rsidP="00E44664">
            <w:pPr>
              <w:pStyle w:val="Paragraph"/>
              <w:ind w:firstLine="2"/>
              <w:jc w:val="center"/>
              <w:rPr>
                <w:sz w:val="18"/>
                <w:szCs w:val="18"/>
              </w:rPr>
            </w:pPr>
            <w:r w:rsidRPr="005F4F0C">
              <w:rPr>
                <w:sz w:val="18"/>
                <w:szCs w:val="18"/>
              </w:rPr>
              <w:t>0.01</w:t>
            </w:r>
            <w:r w:rsidRPr="005F4F0C">
              <w:rPr>
                <w:sz w:val="18"/>
                <w:szCs w:val="18"/>
                <w:vertAlign w:val="superscript"/>
              </w:rPr>
              <w:t>*</w:t>
            </w:r>
          </w:p>
        </w:tc>
      </w:tr>
      <w:tr w:rsidR="0099393C" w:rsidRPr="005F4F0C" w14:paraId="67DCCA43" w14:textId="77777777" w:rsidTr="00140F2F">
        <w:trPr>
          <w:trHeight w:val="246"/>
          <w:jc w:val="center"/>
        </w:trPr>
        <w:tc>
          <w:tcPr>
            <w:tcW w:w="2747" w:type="pct"/>
            <w:tcBorders>
              <w:top w:val="nil"/>
              <w:left w:val="nil"/>
              <w:bottom w:val="nil"/>
              <w:right w:val="nil"/>
            </w:tcBorders>
            <w:vAlign w:val="center"/>
            <w:hideMark/>
          </w:tcPr>
          <w:p w14:paraId="75716B4C" w14:textId="77777777" w:rsidR="005F4F0C" w:rsidRPr="005F4F0C" w:rsidRDefault="005F4F0C" w:rsidP="00E44664">
            <w:pPr>
              <w:pStyle w:val="Paragraph"/>
              <w:ind w:firstLine="0"/>
              <w:jc w:val="center"/>
              <w:rPr>
                <w:sz w:val="18"/>
                <w:szCs w:val="18"/>
              </w:rPr>
            </w:pPr>
            <w:r w:rsidRPr="005F4F0C">
              <w:rPr>
                <w:sz w:val="18"/>
                <w:szCs w:val="18"/>
              </w:rPr>
              <w:t>Meropenem (10µg)</w:t>
            </w:r>
          </w:p>
        </w:tc>
        <w:tc>
          <w:tcPr>
            <w:tcW w:w="550" w:type="pct"/>
            <w:tcBorders>
              <w:top w:val="nil"/>
              <w:left w:val="nil"/>
              <w:bottom w:val="nil"/>
              <w:right w:val="nil"/>
            </w:tcBorders>
            <w:vAlign w:val="center"/>
            <w:hideMark/>
          </w:tcPr>
          <w:p w14:paraId="1B2E3F11" w14:textId="77777777" w:rsidR="005F4F0C" w:rsidRPr="005F4F0C" w:rsidRDefault="005F4F0C" w:rsidP="00E44664">
            <w:pPr>
              <w:pStyle w:val="Paragraph"/>
              <w:ind w:firstLine="2"/>
              <w:jc w:val="center"/>
              <w:rPr>
                <w:sz w:val="18"/>
                <w:szCs w:val="18"/>
              </w:rPr>
            </w:pPr>
            <w:r w:rsidRPr="005F4F0C">
              <w:rPr>
                <w:sz w:val="18"/>
                <w:szCs w:val="18"/>
              </w:rPr>
              <w:t>47 (94%)</w:t>
            </w:r>
          </w:p>
        </w:tc>
        <w:tc>
          <w:tcPr>
            <w:tcW w:w="622" w:type="pct"/>
            <w:tcBorders>
              <w:top w:val="nil"/>
              <w:left w:val="nil"/>
              <w:bottom w:val="nil"/>
              <w:right w:val="nil"/>
            </w:tcBorders>
            <w:vAlign w:val="center"/>
            <w:hideMark/>
          </w:tcPr>
          <w:p w14:paraId="58363DC6" w14:textId="77777777" w:rsidR="005F4F0C" w:rsidRPr="005F4F0C" w:rsidRDefault="005F4F0C" w:rsidP="00E44664">
            <w:pPr>
              <w:pStyle w:val="Paragraph"/>
              <w:ind w:firstLine="2"/>
              <w:jc w:val="center"/>
              <w:rPr>
                <w:sz w:val="18"/>
                <w:szCs w:val="18"/>
              </w:rPr>
            </w:pPr>
            <w:r w:rsidRPr="005F4F0C">
              <w:rPr>
                <w:sz w:val="18"/>
                <w:szCs w:val="18"/>
              </w:rPr>
              <w:t>2 (4%)</w:t>
            </w:r>
          </w:p>
        </w:tc>
        <w:tc>
          <w:tcPr>
            <w:tcW w:w="594" w:type="pct"/>
            <w:tcBorders>
              <w:top w:val="nil"/>
              <w:left w:val="nil"/>
              <w:bottom w:val="nil"/>
              <w:right w:val="nil"/>
            </w:tcBorders>
            <w:vAlign w:val="center"/>
            <w:hideMark/>
          </w:tcPr>
          <w:p w14:paraId="33ECC386" w14:textId="77777777" w:rsidR="005F4F0C" w:rsidRPr="005F4F0C" w:rsidRDefault="005F4F0C" w:rsidP="00E44664">
            <w:pPr>
              <w:pStyle w:val="Paragraph"/>
              <w:ind w:firstLine="2"/>
              <w:jc w:val="center"/>
              <w:rPr>
                <w:sz w:val="18"/>
                <w:szCs w:val="18"/>
              </w:rPr>
            </w:pPr>
            <w:r w:rsidRPr="005F4F0C">
              <w:rPr>
                <w:sz w:val="18"/>
                <w:szCs w:val="18"/>
              </w:rPr>
              <w:t>1 (2%)</w:t>
            </w:r>
          </w:p>
        </w:tc>
        <w:tc>
          <w:tcPr>
            <w:tcW w:w="487" w:type="pct"/>
            <w:tcBorders>
              <w:top w:val="nil"/>
              <w:left w:val="nil"/>
              <w:bottom w:val="nil"/>
              <w:right w:val="nil"/>
            </w:tcBorders>
            <w:vAlign w:val="center"/>
            <w:hideMark/>
          </w:tcPr>
          <w:p w14:paraId="1D15C96B" w14:textId="77777777" w:rsidR="005F4F0C" w:rsidRPr="005F4F0C" w:rsidRDefault="005F4F0C" w:rsidP="00E44664">
            <w:pPr>
              <w:pStyle w:val="Paragraph"/>
              <w:ind w:firstLine="2"/>
              <w:jc w:val="center"/>
              <w:rPr>
                <w:sz w:val="18"/>
                <w:szCs w:val="18"/>
              </w:rPr>
            </w:pPr>
            <w:r w:rsidRPr="005F4F0C">
              <w:rPr>
                <w:sz w:val="18"/>
                <w:szCs w:val="18"/>
              </w:rPr>
              <w:t>0.001</w:t>
            </w:r>
            <w:r w:rsidRPr="005F4F0C">
              <w:rPr>
                <w:sz w:val="18"/>
                <w:szCs w:val="18"/>
                <w:vertAlign w:val="superscript"/>
              </w:rPr>
              <w:t>*</w:t>
            </w:r>
          </w:p>
        </w:tc>
      </w:tr>
      <w:tr w:rsidR="0099393C" w:rsidRPr="005F4F0C" w14:paraId="435C8C52" w14:textId="77777777" w:rsidTr="00140F2F">
        <w:trPr>
          <w:trHeight w:val="261"/>
          <w:jc w:val="center"/>
        </w:trPr>
        <w:tc>
          <w:tcPr>
            <w:tcW w:w="2747" w:type="pct"/>
            <w:tcBorders>
              <w:top w:val="nil"/>
              <w:left w:val="nil"/>
              <w:bottom w:val="nil"/>
              <w:right w:val="nil"/>
            </w:tcBorders>
            <w:vAlign w:val="center"/>
            <w:hideMark/>
          </w:tcPr>
          <w:p w14:paraId="1C48559E" w14:textId="77777777" w:rsidR="005F4F0C" w:rsidRPr="005F4F0C" w:rsidRDefault="005F4F0C" w:rsidP="00E44664">
            <w:pPr>
              <w:pStyle w:val="Paragraph"/>
              <w:ind w:firstLine="0"/>
              <w:jc w:val="center"/>
              <w:rPr>
                <w:sz w:val="18"/>
                <w:szCs w:val="18"/>
              </w:rPr>
            </w:pPr>
            <w:r w:rsidRPr="005F4F0C">
              <w:rPr>
                <w:sz w:val="18"/>
                <w:szCs w:val="18"/>
              </w:rPr>
              <w:t xml:space="preserve">Nitrofurantoin (10 </w:t>
            </w:r>
            <w:proofErr w:type="spellStart"/>
            <w:r w:rsidRPr="005F4F0C">
              <w:rPr>
                <w:sz w:val="18"/>
                <w:szCs w:val="18"/>
              </w:rPr>
              <w:t>μg</w:t>
            </w:r>
            <w:proofErr w:type="spellEnd"/>
            <w:r w:rsidRPr="005F4F0C">
              <w:rPr>
                <w:sz w:val="18"/>
                <w:szCs w:val="18"/>
              </w:rPr>
              <w:t>)</w:t>
            </w:r>
          </w:p>
        </w:tc>
        <w:tc>
          <w:tcPr>
            <w:tcW w:w="550" w:type="pct"/>
            <w:tcBorders>
              <w:top w:val="nil"/>
              <w:left w:val="nil"/>
              <w:bottom w:val="nil"/>
              <w:right w:val="nil"/>
            </w:tcBorders>
            <w:vAlign w:val="center"/>
            <w:hideMark/>
          </w:tcPr>
          <w:p w14:paraId="1E0949BE" w14:textId="77777777" w:rsidR="005F4F0C" w:rsidRPr="005F4F0C" w:rsidRDefault="005F4F0C" w:rsidP="00E44664">
            <w:pPr>
              <w:pStyle w:val="Paragraph"/>
              <w:ind w:firstLine="2"/>
              <w:jc w:val="center"/>
              <w:rPr>
                <w:sz w:val="18"/>
                <w:szCs w:val="18"/>
              </w:rPr>
            </w:pPr>
            <w:r w:rsidRPr="005F4F0C">
              <w:rPr>
                <w:sz w:val="18"/>
                <w:szCs w:val="18"/>
              </w:rPr>
              <w:t>45 (90 %)</w:t>
            </w:r>
          </w:p>
        </w:tc>
        <w:tc>
          <w:tcPr>
            <w:tcW w:w="622" w:type="pct"/>
            <w:tcBorders>
              <w:top w:val="nil"/>
              <w:left w:val="nil"/>
              <w:bottom w:val="nil"/>
              <w:right w:val="nil"/>
            </w:tcBorders>
            <w:vAlign w:val="center"/>
            <w:hideMark/>
          </w:tcPr>
          <w:p w14:paraId="655ED277" w14:textId="77777777" w:rsidR="005F4F0C" w:rsidRPr="005F4F0C" w:rsidRDefault="005F4F0C" w:rsidP="00E44664">
            <w:pPr>
              <w:pStyle w:val="Paragraph"/>
              <w:ind w:firstLine="2"/>
              <w:jc w:val="center"/>
              <w:rPr>
                <w:sz w:val="18"/>
                <w:szCs w:val="18"/>
              </w:rPr>
            </w:pPr>
            <w:r w:rsidRPr="005F4F0C">
              <w:rPr>
                <w:sz w:val="18"/>
                <w:szCs w:val="18"/>
              </w:rPr>
              <w:t>4 (8%)</w:t>
            </w:r>
          </w:p>
        </w:tc>
        <w:tc>
          <w:tcPr>
            <w:tcW w:w="594" w:type="pct"/>
            <w:tcBorders>
              <w:top w:val="nil"/>
              <w:left w:val="nil"/>
              <w:bottom w:val="nil"/>
              <w:right w:val="nil"/>
            </w:tcBorders>
            <w:vAlign w:val="center"/>
            <w:hideMark/>
          </w:tcPr>
          <w:p w14:paraId="01BD1446" w14:textId="77777777" w:rsidR="005F4F0C" w:rsidRPr="005F4F0C" w:rsidRDefault="005F4F0C" w:rsidP="00E44664">
            <w:pPr>
              <w:pStyle w:val="Paragraph"/>
              <w:ind w:firstLine="2"/>
              <w:jc w:val="center"/>
              <w:rPr>
                <w:sz w:val="18"/>
                <w:szCs w:val="18"/>
              </w:rPr>
            </w:pPr>
            <w:r w:rsidRPr="005F4F0C">
              <w:rPr>
                <w:sz w:val="18"/>
                <w:szCs w:val="18"/>
              </w:rPr>
              <w:t>1 (2%)</w:t>
            </w:r>
          </w:p>
        </w:tc>
        <w:tc>
          <w:tcPr>
            <w:tcW w:w="487" w:type="pct"/>
            <w:tcBorders>
              <w:top w:val="nil"/>
              <w:left w:val="nil"/>
              <w:bottom w:val="nil"/>
              <w:right w:val="nil"/>
            </w:tcBorders>
            <w:vAlign w:val="center"/>
            <w:hideMark/>
          </w:tcPr>
          <w:p w14:paraId="4DBF6A44" w14:textId="77777777" w:rsidR="005F4F0C" w:rsidRPr="005F4F0C" w:rsidRDefault="005F4F0C" w:rsidP="00E44664">
            <w:pPr>
              <w:pStyle w:val="Paragraph"/>
              <w:ind w:firstLine="2"/>
              <w:jc w:val="center"/>
              <w:rPr>
                <w:sz w:val="18"/>
                <w:szCs w:val="18"/>
              </w:rPr>
            </w:pPr>
            <w:r w:rsidRPr="005F4F0C">
              <w:rPr>
                <w:sz w:val="18"/>
                <w:szCs w:val="18"/>
              </w:rPr>
              <w:t>0.001</w:t>
            </w:r>
            <w:r w:rsidRPr="005F4F0C">
              <w:rPr>
                <w:sz w:val="18"/>
                <w:szCs w:val="18"/>
                <w:vertAlign w:val="superscript"/>
              </w:rPr>
              <w:t>*</w:t>
            </w:r>
          </w:p>
        </w:tc>
      </w:tr>
      <w:tr w:rsidR="0099393C" w:rsidRPr="005F4F0C" w14:paraId="1BA8ADA3" w14:textId="77777777" w:rsidTr="00140F2F">
        <w:trPr>
          <w:trHeight w:val="246"/>
          <w:jc w:val="center"/>
        </w:trPr>
        <w:tc>
          <w:tcPr>
            <w:tcW w:w="2747" w:type="pct"/>
            <w:tcBorders>
              <w:top w:val="nil"/>
              <w:left w:val="nil"/>
              <w:bottom w:val="nil"/>
              <w:right w:val="nil"/>
            </w:tcBorders>
            <w:vAlign w:val="center"/>
            <w:hideMark/>
          </w:tcPr>
          <w:p w14:paraId="507FF98F" w14:textId="77777777" w:rsidR="005F4F0C" w:rsidRPr="005F4F0C" w:rsidRDefault="005F4F0C" w:rsidP="00E44664">
            <w:pPr>
              <w:pStyle w:val="Paragraph"/>
              <w:ind w:firstLine="0"/>
              <w:jc w:val="center"/>
              <w:rPr>
                <w:sz w:val="18"/>
                <w:szCs w:val="18"/>
              </w:rPr>
            </w:pPr>
            <w:r w:rsidRPr="005F4F0C">
              <w:rPr>
                <w:sz w:val="18"/>
                <w:szCs w:val="18"/>
              </w:rPr>
              <w:t xml:space="preserve">Cloxacillin (5 </w:t>
            </w:r>
            <w:proofErr w:type="spellStart"/>
            <w:r w:rsidRPr="005F4F0C">
              <w:rPr>
                <w:sz w:val="18"/>
                <w:szCs w:val="18"/>
              </w:rPr>
              <w:t>μg</w:t>
            </w:r>
            <w:proofErr w:type="spellEnd"/>
            <w:r w:rsidRPr="005F4F0C">
              <w:rPr>
                <w:sz w:val="18"/>
                <w:szCs w:val="18"/>
              </w:rPr>
              <w:t>)</w:t>
            </w:r>
          </w:p>
        </w:tc>
        <w:tc>
          <w:tcPr>
            <w:tcW w:w="550" w:type="pct"/>
            <w:tcBorders>
              <w:top w:val="nil"/>
              <w:left w:val="nil"/>
              <w:bottom w:val="nil"/>
              <w:right w:val="nil"/>
            </w:tcBorders>
            <w:vAlign w:val="center"/>
            <w:hideMark/>
          </w:tcPr>
          <w:p w14:paraId="5895BFA2" w14:textId="77777777" w:rsidR="005F4F0C" w:rsidRPr="005F4F0C" w:rsidRDefault="005F4F0C" w:rsidP="00E44664">
            <w:pPr>
              <w:pStyle w:val="Paragraph"/>
              <w:ind w:firstLine="2"/>
              <w:jc w:val="center"/>
              <w:rPr>
                <w:sz w:val="18"/>
                <w:szCs w:val="18"/>
              </w:rPr>
            </w:pPr>
            <w:r w:rsidRPr="005F4F0C">
              <w:rPr>
                <w:sz w:val="18"/>
                <w:szCs w:val="18"/>
              </w:rPr>
              <w:t>3 (6%)</w:t>
            </w:r>
          </w:p>
        </w:tc>
        <w:tc>
          <w:tcPr>
            <w:tcW w:w="622" w:type="pct"/>
            <w:tcBorders>
              <w:top w:val="nil"/>
              <w:left w:val="nil"/>
              <w:bottom w:val="nil"/>
              <w:right w:val="nil"/>
            </w:tcBorders>
            <w:vAlign w:val="center"/>
            <w:hideMark/>
          </w:tcPr>
          <w:p w14:paraId="03E59E25" w14:textId="77777777" w:rsidR="005F4F0C" w:rsidRPr="005F4F0C" w:rsidRDefault="005F4F0C" w:rsidP="00E44664">
            <w:pPr>
              <w:pStyle w:val="Paragraph"/>
              <w:ind w:firstLine="2"/>
              <w:jc w:val="center"/>
              <w:rPr>
                <w:sz w:val="18"/>
                <w:szCs w:val="18"/>
              </w:rPr>
            </w:pPr>
            <w:r w:rsidRPr="005F4F0C">
              <w:rPr>
                <w:sz w:val="18"/>
                <w:szCs w:val="18"/>
              </w:rPr>
              <w:t>7 (14%)</w:t>
            </w:r>
          </w:p>
        </w:tc>
        <w:tc>
          <w:tcPr>
            <w:tcW w:w="594" w:type="pct"/>
            <w:tcBorders>
              <w:top w:val="nil"/>
              <w:left w:val="nil"/>
              <w:bottom w:val="nil"/>
              <w:right w:val="nil"/>
            </w:tcBorders>
            <w:vAlign w:val="center"/>
            <w:hideMark/>
          </w:tcPr>
          <w:p w14:paraId="1AF0A153" w14:textId="77777777" w:rsidR="005F4F0C" w:rsidRPr="005F4F0C" w:rsidRDefault="005F4F0C" w:rsidP="00E44664">
            <w:pPr>
              <w:pStyle w:val="Paragraph"/>
              <w:ind w:firstLine="2"/>
              <w:jc w:val="center"/>
              <w:rPr>
                <w:sz w:val="18"/>
                <w:szCs w:val="18"/>
              </w:rPr>
            </w:pPr>
            <w:r w:rsidRPr="005F4F0C">
              <w:rPr>
                <w:sz w:val="18"/>
                <w:szCs w:val="18"/>
              </w:rPr>
              <w:t>40 (80%)</w:t>
            </w:r>
          </w:p>
        </w:tc>
        <w:tc>
          <w:tcPr>
            <w:tcW w:w="487" w:type="pct"/>
            <w:tcBorders>
              <w:top w:val="nil"/>
              <w:left w:val="nil"/>
              <w:bottom w:val="nil"/>
              <w:right w:val="nil"/>
            </w:tcBorders>
            <w:vAlign w:val="center"/>
            <w:hideMark/>
          </w:tcPr>
          <w:p w14:paraId="1C69A341" w14:textId="77777777" w:rsidR="005F4F0C" w:rsidRPr="005F4F0C" w:rsidRDefault="005F4F0C" w:rsidP="00E44664">
            <w:pPr>
              <w:pStyle w:val="Paragraph"/>
              <w:ind w:firstLine="2"/>
              <w:jc w:val="center"/>
              <w:rPr>
                <w:sz w:val="18"/>
                <w:szCs w:val="18"/>
              </w:rPr>
            </w:pPr>
            <w:r w:rsidRPr="005F4F0C">
              <w:rPr>
                <w:sz w:val="18"/>
                <w:szCs w:val="18"/>
              </w:rPr>
              <w:t>0.001</w:t>
            </w:r>
            <w:r w:rsidRPr="005F4F0C">
              <w:rPr>
                <w:sz w:val="18"/>
                <w:szCs w:val="18"/>
                <w:vertAlign w:val="superscript"/>
              </w:rPr>
              <w:t>*</w:t>
            </w:r>
          </w:p>
        </w:tc>
      </w:tr>
      <w:tr w:rsidR="0099393C" w:rsidRPr="005F4F0C" w14:paraId="23D0ADEC" w14:textId="77777777" w:rsidTr="00140F2F">
        <w:trPr>
          <w:trHeight w:val="246"/>
          <w:jc w:val="center"/>
        </w:trPr>
        <w:tc>
          <w:tcPr>
            <w:tcW w:w="2747" w:type="pct"/>
            <w:tcBorders>
              <w:top w:val="nil"/>
              <w:left w:val="nil"/>
              <w:bottom w:val="nil"/>
              <w:right w:val="nil"/>
            </w:tcBorders>
            <w:vAlign w:val="center"/>
            <w:hideMark/>
          </w:tcPr>
          <w:p w14:paraId="311A0275" w14:textId="77777777" w:rsidR="005F4F0C" w:rsidRPr="005F4F0C" w:rsidRDefault="005F4F0C" w:rsidP="00E44664">
            <w:pPr>
              <w:pStyle w:val="Paragraph"/>
              <w:ind w:firstLine="0"/>
              <w:jc w:val="center"/>
              <w:rPr>
                <w:sz w:val="18"/>
                <w:szCs w:val="18"/>
              </w:rPr>
            </w:pPr>
            <w:r w:rsidRPr="005F4F0C">
              <w:rPr>
                <w:sz w:val="18"/>
                <w:szCs w:val="18"/>
              </w:rPr>
              <w:t xml:space="preserve">Chloramphenicol (30 </w:t>
            </w:r>
            <w:proofErr w:type="spellStart"/>
            <w:r w:rsidRPr="005F4F0C">
              <w:rPr>
                <w:sz w:val="18"/>
                <w:szCs w:val="18"/>
              </w:rPr>
              <w:t>μg</w:t>
            </w:r>
            <w:proofErr w:type="spellEnd"/>
            <w:r w:rsidRPr="005F4F0C">
              <w:rPr>
                <w:sz w:val="18"/>
                <w:szCs w:val="18"/>
              </w:rPr>
              <w:t>)</w:t>
            </w:r>
          </w:p>
        </w:tc>
        <w:tc>
          <w:tcPr>
            <w:tcW w:w="550" w:type="pct"/>
            <w:tcBorders>
              <w:top w:val="nil"/>
              <w:left w:val="nil"/>
              <w:bottom w:val="nil"/>
              <w:right w:val="nil"/>
            </w:tcBorders>
            <w:vAlign w:val="center"/>
            <w:hideMark/>
          </w:tcPr>
          <w:p w14:paraId="4DDD1DD7" w14:textId="77777777" w:rsidR="005F4F0C" w:rsidRPr="005F4F0C" w:rsidRDefault="005F4F0C" w:rsidP="00E44664">
            <w:pPr>
              <w:pStyle w:val="Paragraph"/>
              <w:ind w:firstLine="2"/>
              <w:jc w:val="center"/>
              <w:rPr>
                <w:sz w:val="18"/>
                <w:szCs w:val="18"/>
              </w:rPr>
            </w:pPr>
            <w:r w:rsidRPr="005F4F0C">
              <w:rPr>
                <w:sz w:val="18"/>
                <w:szCs w:val="18"/>
              </w:rPr>
              <w:t>46 (92%)</w:t>
            </w:r>
          </w:p>
        </w:tc>
        <w:tc>
          <w:tcPr>
            <w:tcW w:w="622" w:type="pct"/>
            <w:tcBorders>
              <w:top w:val="nil"/>
              <w:left w:val="nil"/>
              <w:bottom w:val="nil"/>
              <w:right w:val="nil"/>
            </w:tcBorders>
            <w:vAlign w:val="center"/>
            <w:hideMark/>
          </w:tcPr>
          <w:p w14:paraId="36CEAB0E" w14:textId="77777777" w:rsidR="005F4F0C" w:rsidRPr="005F4F0C" w:rsidRDefault="005F4F0C" w:rsidP="00E44664">
            <w:pPr>
              <w:pStyle w:val="Paragraph"/>
              <w:ind w:firstLine="2"/>
              <w:jc w:val="center"/>
              <w:rPr>
                <w:sz w:val="18"/>
                <w:szCs w:val="18"/>
              </w:rPr>
            </w:pPr>
            <w:r w:rsidRPr="005F4F0C">
              <w:rPr>
                <w:sz w:val="18"/>
                <w:szCs w:val="18"/>
              </w:rPr>
              <w:t>3 (6%)</w:t>
            </w:r>
          </w:p>
        </w:tc>
        <w:tc>
          <w:tcPr>
            <w:tcW w:w="594" w:type="pct"/>
            <w:tcBorders>
              <w:top w:val="nil"/>
              <w:left w:val="nil"/>
              <w:bottom w:val="nil"/>
              <w:right w:val="nil"/>
            </w:tcBorders>
            <w:vAlign w:val="center"/>
            <w:hideMark/>
          </w:tcPr>
          <w:p w14:paraId="31850BC8" w14:textId="77777777" w:rsidR="005F4F0C" w:rsidRPr="005F4F0C" w:rsidRDefault="005F4F0C" w:rsidP="00E44664">
            <w:pPr>
              <w:pStyle w:val="Paragraph"/>
              <w:ind w:firstLine="2"/>
              <w:jc w:val="center"/>
              <w:rPr>
                <w:sz w:val="18"/>
                <w:szCs w:val="18"/>
              </w:rPr>
            </w:pPr>
            <w:r w:rsidRPr="005F4F0C">
              <w:rPr>
                <w:sz w:val="18"/>
                <w:szCs w:val="18"/>
              </w:rPr>
              <w:t>1 (2%)</w:t>
            </w:r>
          </w:p>
        </w:tc>
        <w:tc>
          <w:tcPr>
            <w:tcW w:w="487" w:type="pct"/>
            <w:tcBorders>
              <w:top w:val="nil"/>
              <w:left w:val="nil"/>
              <w:bottom w:val="nil"/>
              <w:right w:val="nil"/>
            </w:tcBorders>
            <w:vAlign w:val="center"/>
            <w:hideMark/>
          </w:tcPr>
          <w:p w14:paraId="5821CD60" w14:textId="77777777" w:rsidR="005F4F0C" w:rsidRPr="005F4F0C" w:rsidRDefault="005F4F0C" w:rsidP="00E44664">
            <w:pPr>
              <w:pStyle w:val="Paragraph"/>
              <w:ind w:firstLine="2"/>
              <w:jc w:val="center"/>
              <w:rPr>
                <w:sz w:val="18"/>
                <w:szCs w:val="18"/>
              </w:rPr>
            </w:pPr>
            <w:r w:rsidRPr="005F4F0C">
              <w:rPr>
                <w:sz w:val="18"/>
                <w:szCs w:val="18"/>
              </w:rPr>
              <w:t>0.001</w:t>
            </w:r>
            <w:r w:rsidRPr="005F4F0C">
              <w:rPr>
                <w:sz w:val="18"/>
                <w:szCs w:val="18"/>
                <w:vertAlign w:val="superscript"/>
              </w:rPr>
              <w:t>*</w:t>
            </w:r>
          </w:p>
        </w:tc>
      </w:tr>
      <w:tr w:rsidR="0099393C" w:rsidRPr="005F4F0C" w14:paraId="7A7E670D" w14:textId="77777777" w:rsidTr="00140F2F">
        <w:trPr>
          <w:trHeight w:val="246"/>
          <w:jc w:val="center"/>
        </w:trPr>
        <w:tc>
          <w:tcPr>
            <w:tcW w:w="2747" w:type="pct"/>
            <w:tcBorders>
              <w:top w:val="nil"/>
              <w:left w:val="nil"/>
              <w:bottom w:val="nil"/>
              <w:right w:val="nil"/>
            </w:tcBorders>
            <w:vAlign w:val="center"/>
            <w:hideMark/>
          </w:tcPr>
          <w:p w14:paraId="17AD0C9B" w14:textId="77777777" w:rsidR="005F4F0C" w:rsidRPr="005F4F0C" w:rsidRDefault="005F4F0C" w:rsidP="00E44664">
            <w:pPr>
              <w:pStyle w:val="Paragraph"/>
              <w:ind w:firstLine="0"/>
              <w:jc w:val="center"/>
              <w:rPr>
                <w:sz w:val="18"/>
                <w:szCs w:val="18"/>
              </w:rPr>
            </w:pPr>
            <w:proofErr w:type="spellStart"/>
            <w:r w:rsidRPr="005F4F0C">
              <w:rPr>
                <w:sz w:val="18"/>
                <w:szCs w:val="18"/>
              </w:rPr>
              <w:t>Nalidxic</w:t>
            </w:r>
            <w:proofErr w:type="spellEnd"/>
            <w:r w:rsidRPr="005F4F0C">
              <w:rPr>
                <w:sz w:val="18"/>
                <w:szCs w:val="18"/>
              </w:rPr>
              <w:t xml:space="preserve"> acid (30 </w:t>
            </w:r>
            <w:proofErr w:type="spellStart"/>
            <w:r w:rsidRPr="005F4F0C">
              <w:rPr>
                <w:sz w:val="18"/>
                <w:szCs w:val="18"/>
              </w:rPr>
              <w:t>μg</w:t>
            </w:r>
            <w:proofErr w:type="spellEnd"/>
            <w:r w:rsidRPr="005F4F0C">
              <w:rPr>
                <w:sz w:val="18"/>
                <w:szCs w:val="18"/>
              </w:rPr>
              <w:t>)</w:t>
            </w:r>
          </w:p>
        </w:tc>
        <w:tc>
          <w:tcPr>
            <w:tcW w:w="550" w:type="pct"/>
            <w:tcBorders>
              <w:top w:val="nil"/>
              <w:left w:val="nil"/>
              <w:bottom w:val="nil"/>
              <w:right w:val="nil"/>
            </w:tcBorders>
            <w:vAlign w:val="center"/>
            <w:hideMark/>
          </w:tcPr>
          <w:p w14:paraId="64C94FED" w14:textId="77777777" w:rsidR="005F4F0C" w:rsidRPr="005F4F0C" w:rsidRDefault="005F4F0C" w:rsidP="00E44664">
            <w:pPr>
              <w:pStyle w:val="Paragraph"/>
              <w:ind w:firstLine="2"/>
              <w:jc w:val="center"/>
              <w:rPr>
                <w:sz w:val="18"/>
                <w:szCs w:val="18"/>
              </w:rPr>
            </w:pPr>
            <w:r w:rsidRPr="005F4F0C">
              <w:rPr>
                <w:sz w:val="18"/>
                <w:szCs w:val="18"/>
              </w:rPr>
              <w:t>45 (90 %)</w:t>
            </w:r>
          </w:p>
        </w:tc>
        <w:tc>
          <w:tcPr>
            <w:tcW w:w="622" w:type="pct"/>
            <w:tcBorders>
              <w:top w:val="nil"/>
              <w:left w:val="nil"/>
              <w:bottom w:val="nil"/>
              <w:right w:val="nil"/>
            </w:tcBorders>
            <w:vAlign w:val="center"/>
            <w:hideMark/>
          </w:tcPr>
          <w:p w14:paraId="1A0C2B17" w14:textId="77777777" w:rsidR="005F4F0C" w:rsidRPr="005F4F0C" w:rsidRDefault="005F4F0C" w:rsidP="00E44664">
            <w:pPr>
              <w:pStyle w:val="Paragraph"/>
              <w:ind w:firstLine="2"/>
              <w:jc w:val="center"/>
              <w:rPr>
                <w:sz w:val="18"/>
                <w:szCs w:val="18"/>
              </w:rPr>
            </w:pPr>
            <w:r w:rsidRPr="005F4F0C">
              <w:rPr>
                <w:sz w:val="18"/>
                <w:szCs w:val="18"/>
              </w:rPr>
              <w:t>3 (6%)</w:t>
            </w:r>
          </w:p>
        </w:tc>
        <w:tc>
          <w:tcPr>
            <w:tcW w:w="594" w:type="pct"/>
            <w:tcBorders>
              <w:top w:val="nil"/>
              <w:left w:val="nil"/>
              <w:bottom w:val="nil"/>
              <w:right w:val="nil"/>
            </w:tcBorders>
            <w:vAlign w:val="center"/>
            <w:hideMark/>
          </w:tcPr>
          <w:p w14:paraId="5FDDCBB9" w14:textId="77777777" w:rsidR="005F4F0C" w:rsidRPr="005F4F0C" w:rsidRDefault="005F4F0C" w:rsidP="00E44664">
            <w:pPr>
              <w:pStyle w:val="Paragraph"/>
              <w:ind w:firstLine="2"/>
              <w:jc w:val="center"/>
              <w:rPr>
                <w:sz w:val="18"/>
                <w:szCs w:val="18"/>
              </w:rPr>
            </w:pPr>
            <w:r w:rsidRPr="005F4F0C">
              <w:rPr>
                <w:sz w:val="18"/>
                <w:szCs w:val="18"/>
              </w:rPr>
              <w:t>2 (4%)</w:t>
            </w:r>
          </w:p>
        </w:tc>
        <w:tc>
          <w:tcPr>
            <w:tcW w:w="487" w:type="pct"/>
            <w:tcBorders>
              <w:top w:val="nil"/>
              <w:left w:val="nil"/>
              <w:bottom w:val="nil"/>
              <w:right w:val="nil"/>
            </w:tcBorders>
            <w:vAlign w:val="center"/>
            <w:hideMark/>
          </w:tcPr>
          <w:p w14:paraId="5ADD6527" w14:textId="77777777" w:rsidR="005F4F0C" w:rsidRPr="005F4F0C" w:rsidRDefault="005F4F0C" w:rsidP="00E44664">
            <w:pPr>
              <w:pStyle w:val="Paragraph"/>
              <w:ind w:firstLine="2"/>
              <w:jc w:val="center"/>
              <w:rPr>
                <w:sz w:val="18"/>
                <w:szCs w:val="18"/>
              </w:rPr>
            </w:pPr>
            <w:r w:rsidRPr="005F4F0C">
              <w:rPr>
                <w:sz w:val="18"/>
                <w:szCs w:val="18"/>
              </w:rPr>
              <w:t>0.01</w:t>
            </w:r>
            <w:r w:rsidRPr="005F4F0C">
              <w:rPr>
                <w:sz w:val="18"/>
                <w:szCs w:val="18"/>
                <w:vertAlign w:val="superscript"/>
              </w:rPr>
              <w:t>*</w:t>
            </w:r>
          </w:p>
        </w:tc>
      </w:tr>
      <w:tr w:rsidR="0099393C" w:rsidRPr="005F4F0C" w14:paraId="5106DBC8" w14:textId="77777777" w:rsidTr="00140F2F">
        <w:trPr>
          <w:trHeight w:val="261"/>
          <w:jc w:val="center"/>
        </w:trPr>
        <w:tc>
          <w:tcPr>
            <w:tcW w:w="2747" w:type="pct"/>
            <w:tcBorders>
              <w:top w:val="nil"/>
              <w:left w:val="nil"/>
              <w:bottom w:val="nil"/>
              <w:right w:val="nil"/>
            </w:tcBorders>
            <w:vAlign w:val="center"/>
            <w:hideMark/>
          </w:tcPr>
          <w:p w14:paraId="5E444E6A" w14:textId="77777777" w:rsidR="005F4F0C" w:rsidRPr="005F4F0C" w:rsidRDefault="005F4F0C" w:rsidP="00E44664">
            <w:pPr>
              <w:pStyle w:val="Paragraph"/>
              <w:ind w:firstLine="0"/>
              <w:jc w:val="center"/>
              <w:rPr>
                <w:sz w:val="18"/>
                <w:szCs w:val="18"/>
              </w:rPr>
            </w:pPr>
            <w:r w:rsidRPr="005F4F0C">
              <w:rPr>
                <w:sz w:val="18"/>
                <w:szCs w:val="18"/>
              </w:rPr>
              <w:t xml:space="preserve">Ciprofloxacin (5 </w:t>
            </w:r>
            <w:proofErr w:type="spellStart"/>
            <w:r w:rsidRPr="005F4F0C">
              <w:rPr>
                <w:sz w:val="18"/>
                <w:szCs w:val="18"/>
              </w:rPr>
              <w:t>μg</w:t>
            </w:r>
            <w:proofErr w:type="spellEnd"/>
            <w:r w:rsidRPr="005F4F0C">
              <w:rPr>
                <w:sz w:val="18"/>
                <w:szCs w:val="18"/>
              </w:rPr>
              <w:t>)</w:t>
            </w:r>
          </w:p>
        </w:tc>
        <w:tc>
          <w:tcPr>
            <w:tcW w:w="550" w:type="pct"/>
            <w:tcBorders>
              <w:top w:val="nil"/>
              <w:left w:val="nil"/>
              <w:bottom w:val="nil"/>
              <w:right w:val="nil"/>
            </w:tcBorders>
            <w:vAlign w:val="center"/>
            <w:hideMark/>
          </w:tcPr>
          <w:p w14:paraId="7D811989" w14:textId="77777777" w:rsidR="005F4F0C" w:rsidRPr="005F4F0C" w:rsidRDefault="005F4F0C" w:rsidP="00E44664">
            <w:pPr>
              <w:pStyle w:val="Paragraph"/>
              <w:ind w:firstLine="2"/>
              <w:jc w:val="center"/>
              <w:rPr>
                <w:sz w:val="18"/>
                <w:szCs w:val="18"/>
              </w:rPr>
            </w:pPr>
            <w:r w:rsidRPr="005F4F0C">
              <w:rPr>
                <w:sz w:val="18"/>
                <w:szCs w:val="18"/>
              </w:rPr>
              <w:t>47 (94%)</w:t>
            </w:r>
          </w:p>
        </w:tc>
        <w:tc>
          <w:tcPr>
            <w:tcW w:w="622" w:type="pct"/>
            <w:tcBorders>
              <w:top w:val="nil"/>
              <w:left w:val="nil"/>
              <w:bottom w:val="nil"/>
              <w:right w:val="nil"/>
            </w:tcBorders>
            <w:vAlign w:val="center"/>
            <w:hideMark/>
          </w:tcPr>
          <w:p w14:paraId="5CBDA596" w14:textId="77777777" w:rsidR="005F4F0C" w:rsidRPr="005F4F0C" w:rsidRDefault="005F4F0C" w:rsidP="00E44664">
            <w:pPr>
              <w:pStyle w:val="Paragraph"/>
              <w:ind w:firstLine="2"/>
              <w:jc w:val="center"/>
              <w:rPr>
                <w:sz w:val="18"/>
                <w:szCs w:val="18"/>
              </w:rPr>
            </w:pPr>
            <w:r w:rsidRPr="005F4F0C">
              <w:rPr>
                <w:sz w:val="18"/>
                <w:szCs w:val="18"/>
              </w:rPr>
              <w:t>2 (4%)</w:t>
            </w:r>
          </w:p>
        </w:tc>
        <w:tc>
          <w:tcPr>
            <w:tcW w:w="594" w:type="pct"/>
            <w:tcBorders>
              <w:top w:val="nil"/>
              <w:left w:val="nil"/>
              <w:bottom w:val="nil"/>
              <w:right w:val="nil"/>
            </w:tcBorders>
            <w:vAlign w:val="center"/>
            <w:hideMark/>
          </w:tcPr>
          <w:p w14:paraId="72865F41" w14:textId="77777777" w:rsidR="005F4F0C" w:rsidRPr="005F4F0C" w:rsidRDefault="005F4F0C" w:rsidP="00E44664">
            <w:pPr>
              <w:pStyle w:val="Paragraph"/>
              <w:ind w:firstLine="2"/>
              <w:jc w:val="center"/>
              <w:rPr>
                <w:sz w:val="18"/>
                <w:szCs w:val="18"/>
              </w:rPr>
            </w:pPr>
            <w:r w:rsidRPr="005F4F0C">
              <w:rPr>
                <w:sz w:val="18"/>
                <w:szCs w:val="18"/>
              </w:rPr>
              <w:t>1 (2%)</w:t>
            </w:r>
          </w:p>
        </w:tc>
        <w:tc>
          <w:tcPr>
            <w:tcW w:w="487" w:type="pct"/>
            <w:tcBorders>
              <w:top w:val="nil"/>
              <w:left w:val="nil"/>
              <w:bottom w:val="nil"/>
              <w:right w:val="nil"/>
            </w:tcBorders>
            <w:vAlign w:val="center"/>
            <w:hideMark/>
          </w:tcPr>
          <w:p w14:paraId="280132CE" w14:textId="77777777" w:rsidR="005F4F0C" w:rsidRPr="005F4F0C" w:rsidRDefault="005F4F0C" w:rsidP="00E44664">
            <w:pPr>
              <w:pStyle w:val="Paragraph"/>
              <w:ind w:firstLine="2"/>
              <w:jc w:val="center"/>
              <w:rPr>
                <w:sz w:val="18"/>
                <w:szCs w:val="18"/>
              </w:rPr>
            </w:pPr>
            <w:r w:rsidRPr="005F4F0C">
              <w:rPr>
                <w:sz w:val="18"/>
                <w:szCs w:val="18"/>
              </w:rPr>
              <w:t>0.01</w:t>
            </w:r>
            <w:r w:rsidRPr="005F4F0C">
              <w:rPr>
                <w:sz w:val="18"/>
                <w:szCs w:val="18"/>
                <w:vertAlign w:val="superscript"/>
              </w:rPr>
              <w:t>*</w:t>
            </w:r>
          </w:p>
        </w:tc>
      </w:tr>
      <w:tr w:rsidR="0099393C" w:rsidRPr="005F4F0C" w14:paraId="1217ACEF" w14:textId="77777777" w:rsidTr="00140F2F">
        <w:trPr>
          <w:trHeight w:val="246"/>
          <w:jc w:val="center"/>
        </w:trPr>
        <w:tc>
          <w:tcPr>
            <w:tcW w:w="2747" w:type="pct"/>
            <w:tcBorders>
              <w:top w:val="nil"/>
              <w:left w:val="nil"/>
              <w:bottom w:val="nil"/>
              <w:right w:val="nil"/>
            </w:tcBorders>
            <w:vAlign w:val="center"/>
            <w:hideMark/>
          </w:tcPr>
          <w:p w14:paraId="0F2A646C" w14:textId="77777777" w:rsidR="005F4F0C" w:rsidRPr="005F4F0C" w:rsidRDefault="005F4F0C" w:rsidP="00E44664">
            <w:pPr>
              <w:pStyle w:val="Paragraph"/>
              <w:ind w:firstLine="0"/>
              <w:jc w:val="center"/>
              <w:rPr>
                <w:sz w:val="18"/>
                <w:szCs w:val="18"/>
              </w:rPr>
            </w:pPr>
            <w:r w:rsidRPr="005F4F0C">
              <w:rPr>
                <w:sz w:val="18"/>
                <w:szCs w:val="18"/>
              </w:rPr>
              <w:t xml:space="preserve">Streptomycin (10 </w:t>
            </w:r>
            <w:proofErr w:type="spellStart"/>
            <w:r w:rsidRPr="005F4F0C">
              <w:rPr>
                <w:sz w:val="18"/>
                <w:szCs w:val="18"/>
              </w:rPr>
              <w:t>μg</w:t>
            </w:r>
            <w:proofErr w:type="spellEnd"/>
            <w:r w:rsidRPr="005F4F0C">
              <w:rPr>
                <w:sz w:val="18"/>
                <w:szCs w:val="18"/>
              </w:rPr>
              <w:t>)</w:t>
            </w:r>
          </w:p>
        </w:tc>
        <w:tc>
          <w:tcPr>
            <w:tcW w:w="550" w:type="pct"/>
            <w:tcBorders>
              <w:top w:val="nil"/>
              <w:left w:val="nil"/>
              <w:bottom w:val="nil"/>
              <w:right w:val="nil"/>
            </w:tcBorders>
            <w:vAlign w:val="center"/>
            <w:hideMark/>
          </w:tcPr>
          <w:p w14:paraId="685B31C3" w14:textId="77777777" w:rsidR="005F4F0C" w:rsidRPr="005F4F0C" w:rsidRDefault="005F4F0C" w:rsidP="00E44664">
            <w:pPr>
              <w:pStyle w:val="Paragraph"/>
              <w:ind w:firstLine="2"/>
              <w:jc w:val="center"/>
              <w:rPr>
                <w:sz w:val="18"/>
                <w:szCs w:val="18"/>
              </w:rPr>
            </w:pPr>
            <w:r w:rsidRPr="005F4F0C">
              <w:rPr>
                <w:sz w:val="18"/>
                <w:szCs w:val="18"/>
              </w:rPr>
              <w:t>30 (60%)</w:t>
            </w:r>
          </w:p>
        </w:tc>
        <w:tc>
          <w:tcPr>
            <w:tcW w:w="622" w:type="pct"/>
            <w:tcBorders>
              <w:top w:val="nil"/>
              <w:left w:val="nil"/>
              <w:bottom w:val="nil"/>
              <w:right w:val="nil"/>
            </w:tcBorders>
            <w:vAlign w:val="center"/>
            <w:hideMark/>
          </w:tcPr>
          <w:p w14:paraId="0D90FE54" w14:textId="77777777" w:rsidR="005F4F0C" w:rsidRPr="005F4F0C" w:rsidRDefault="005F4F0C" w:rsidP="00E44664">
            <w:pPr>
              <w:pStyle w:val="Paragraph"/>
              <w:ind w:firstLine="2"/>
              <w:jc w:val="center"/>
              <w:rPr>
                <w:sz w:val="18"/>
                <w:szCs w:val="18"/>
              </w:rPr>
            </w:pPr>
            <w:r w:rsidRPr="005F4F0C">
              <w:rPr>
                <w:sz w:val="18"/>
                <w:szCs w:val="18"/>
              </w:rPr>
              <w:t>12 (24%)</w:t>
            </w:r>
          </w:p>
        </w:tc>
        <w:tc>
          <w:tcPr>
            <w:tcW w:w="594" w:type="pct"/>
            <w:tcBorders>
              <w:top w:val="nil"/>
              <w:left w:val="nil"/>
              <w:bottom w:val="nil"/>
              <w:right w:val="nil"/>
            </w:tcBorders>
            <w:vAlign w:val="center"/>
            <w:hideMark/>
          </w:tcPr>
          <w:p w14:paraId="0E7992FE" w14:textId="77777777" w:rsidR="005F4F0C" w:rsidRPr="005F4F0C" w:rsidRDefault="005F4F0C" w:rsidP="00E44664">
            <w:pPr>
              <w:pStyle w:val="Paragraph"/>
              <w:ind w:firstLine="2"/>
              <w:jc w:val="center"/>
              <w:rPr>
                <w:sz w:val="18"/>
                <w:szCs w:val="18"/>
              </w:rPr>
            </w:pPr>
            <w:r w:rsidRPr="005F4F0C">
              <w:rPr>
                <w:sz w:val="18"/>
                <w:szCs w:val="18"/>
              </w:rPr>
              <w:t>8 (16%)</w:t>
            </w:r>
          </w:p>
        </w:tc>
        <w:tc>
          <w:tcPr>
            <w:tcW w:w="487" w:type="pct"/>
            <w:tcBorders>
              <w:top w:val="nil"/>
              <w:left w:val="nil"/>
              <w:bottom w:val="nil"/>
              <w:right w:val="nil"/>
            </w:tcBorders>
            <w:vAlign w:val="center"/>
            <w:hideMark/>
          </w:tcPr>
          <w:p w14:paraId="6908CFC5" w14:textId="77777777" w:rsidR="005F4F0C" w:rsidRPr="005F4F0C" w:rsidRDefault="005F4F0C" w:rsidP="00E44664">
            <w:pPr>
              <w:pStyle w:val="Paragraph"/>
              <w:ind w:firstLine="2"/>
              <w:jc w:val="center"/>
              <w:rPr>
                <w:sz w:val="18"/>
                <w:szCs w:val="18"/>
              </w:rPr>
            </w:pPr>
            <w:r w:rsidRPr="005F4F0C">
              <w:rPr>
                <w:sz w:val="18"/>
                <w:szCs w:val="18"/>
              </w:rPr>
              <w:t>0.001</w:t>
            </w:r>
            <w:r w:rsidRPr="005F4F0C">
              <w:rPr>
                <w:sz w:val="18"/>
                <w:szCs w:val="18"/>
                <w:vertAlign w:val="superscript"/>
              </w:rPr>
              <w:t>*</w:t>
            </w:r>
          </w:p>
        </w:tc>
      </w:tr>
      <w:tr w:rsidR="0099393C" w:rsidRPr="005F4F0C" w14:paraId="39CE8B15" w14:textId="77777777" w:rsidTr="00140F2F">
        <w:trPr>
          <w:trHeight w:val="246"/>
          <w:jc w:val="center"/>
        </w:trPr>
        <w:tc>
          <w:tcPr>
            <w:tcW w:w="2747" w:type="pct"/>
            <w:tcBorders>
              <w:top w:val="nil"/>
              <w:left w:val="nil"/>
              <w:bottom w:val="nil"/>
              <w:right w:val="nil"/>
            </w:tcBorders>
            <w:vAlign w:val="center"/>
            <w:hideMark/>
          </w:tcPr>
          <w:p w14:paraId="315203AC" w14:textId="77777777" w:rsidR="005F4F0C" w:rsidRPr="005F4F0C" w:rsidRDefault="005F4F0C" w:rsidP="00E44664">
            <w:pPr>
              <w:pStyle w:val="Paragraph"/>
              <w:ind w:firstLine="0"/>
              <w:jc w:val="center"/>
              <w:rPr>
                <w:sz w:val="18"/>
                <w:szCs w:val="18"/>
              </w:rPr>
            </w:pPr>
            <w:r w:rsidRPr="005F4F0C">
              <w:rPr>
                <w:sz w:val="18"/>
                <w:szCs w:val="18"/>
              </w:rPr>
              <w:t xml:space="preserve">Kanamycin (30 </w:t>
            </w:r>
            <w:proofErr w:type="spellStart"/>
            <w:r w:rsidRPr="005F4F0C">
              <w:rPr>
                <w:sz w:val="18"/>
                <w:szCs w:val="18"/>
              </w:rPr>
              <w:t>μg</w:t>
            </w:r>
            <w:proofErr w:type="spellEnd"/>
            <w:r w:rsidRPr="005F4F0C">
              <w:rPr>
                <w:sz w:val="18"/>
                <w:szCs w:val="18"/>
              </w:rPr>
              <w:t>)</w:t>
            </w:r>
          </w:p>
        </w:tc>
        <w:tc>
          <w:tcPr>
            <w:tcW w:w="550" w:type="pct"/>
            <w:tcBorders>
              <w:top w:val="nil"/>
              <w:left w:val="nil"/>
              <w:bottom w:val="nil"/>
              <w:right w:val="nil"/>
            </w:tcBorders>
            <w:vAlign w:val="center"/>
            <w:hideMark/>
          </w:tcPr>
          <w:p w14:paraId="3263B5D3" w14:textId="77777777" w:rsidR="005F4F0C" w:rsidRPr="005F4F0C" w:rsidRDefault="005F4F0C" w:rsidP="00E44664">
            <w:pPr>
              <w:pStyle w:val="Paragraph"/>
              <w:ind w:firstLine="2"/>
              <w:jc w:val="center"/>
              <w:rPr>
                <w:sz w:val="18"/>
                <w:szCs w:val="18"/>
              </w:rPr>
            </w:pPr>
            <w:r w:rsidRPr="005F4F0C">
              <w:rPr>
                <w:sz w:val="18"/>
                <w:szCs w:val="18"/>
              </w:rPr>
              <w:t>32 (64%)</w:t>
            </w:r>
          </w:p>
        </w:tc>
        <w:tc>
          <w:tcPr>
            <w:tcW w:w="622" w:type="pct"/>
            <w:tcBorders>
              <w:top w:val="nil"/>
              <w:left w:val="nil"/>
              <w:bottom w:val="nil"/>
              <w:right w:val="nil"/>
            </w:tcBorders>
            <w:vAlign w:val="center"/>
            <w:hideMark/>
          </w:tcPr>
          <w:p w14:paraId="36433F69" w14:textId="77777777" w:rsidR="005F4F0C" w:rsidRPr="005F4F0C" w:rsidRDefault="005F4F0C" w:rsidP="00E44664">
            <w:pPr>
              <w:pStyle w:val="Paragraph"/>
              <w:ind w:firstLine="2"/>
              <w:jc w:val="center"/>
              <w:rPr>
                <w:sz w:val="18"/>
                <w:szCs w:val="18"/>
              </w:rPr>
            </w:pPr>
            <w:r w:rsidRPr="005F4F0C">
              <w:rPr>
                <w:sz w:val="18"/>
                <w:szCs w:val="18"/>
              </w:rPr>
              <w:t>11 (22%)</w:t>
            </w:r>
          </w:p>
        </w:tc>
        <w:tc>
          <w:tcPr>
            <w:tcW w:w="594" w:type="pct"/>
            <w:tcBorders>
              <w:top w:val="nil"/>
              <w:left w:val="nil"/>
              <w:bottom w:val="nil"/>
              <w:right w:val="nil"/>
            </w:tcBorders>
            <w:vAlign w:val="center"/>
            <w:hideMark/>
          </w:tcPr>
          <w:p w14:paraId="4CE47E3A" w14:textId="77777777" w:rsidR="005F4F0C" w:rsidRPr="005F4F0C" w:rsidRDefault="005F4F0C" w:rsidP="00E44664">
            <w:pPr>
              <w:pStyle w:val="Paragraph"/>
              <w:ind w:firstLine="2"/>
              <w:jc w:val="center"/>
              <w:rPr>
                <w:sz w:val="18"/>
                <w:szCs w:val="18"/>
              </w:rPr>
            </w:pPr>
            <w:r w:rsidRPr="005F4F0C">
              <w:rPr>
                <w:sz w:val="18"/>
                <w:szCs w:val="18"/>
              </w:rPr>
              <w:t>7 (14%)</w:t>
            </w:r>
          </w:p>
        </w:tc>
        <w:tc>
          <w:tcPr>
            <w:tcW w:w="487" w:type="pct"/>
            <w:tcBorders>
              <w:top w:val="nil"/>
              <w:left w:val="nil"/>
              <w:bottom w:val="nil"/>
              <w:right w:val="nil"/>
            </w:tcBorders>
            <w:vAlign w:val="center"/>
            <w:hideMark/>
          </w:tcPr>
          <w:p w14:paraId="74CB642A" w14:textId="77777777" w:rsidR="005F4F0C" w:rsidRPr="005F4F0C" w:rsidRDefault="005F4F0C" w:rsidP="00E44664">
            <w:pPr>
              <w:pStyle w:val="Paragraph"/>
              <w:ind w:firstLine="2"/>
              <w:jc w:val="center"/>
              <w:rPr>
                <w:sz w:val="18"/>
                <w:szCs w:val="18"/>
              </w:rPr>
            </w:pPr>
            <w:r w:rsidRPr="005F4F0C">
              <w:rPr>
                <w:sz w:val="18"/>
                <w:szCs w:val="18"/>
              </w:rPr>
              <w:t>0.001</w:t>
            </w:r>
            <w:r w:rsidRPr="005F4F0C">
              <w:rPr>
                <w:sz w:val="18"/>
                <w:szCs w:val="18"/>
                <w:vertAlign w:val="superscript"/>
              </w:rPr>
              <w:t>*</w:t>
            </w:r>
          </w:p>
        </w:tc>
      </w:tr>
      <w:tr w:rsidR="0099393C" w:rsidRPr="005F4F0C" w14:paraId="153893AB" w14:textId="77777777" w:rsidTr="00140F2F">
        <w:trPr>
          <w:trHeight w:val="246"/>
          <w:jc w:val="center"/>
        </w:trPr>
        <w:tc>
          <w:tcPr>
            <w:tcW w:w="2747" w:type="pct"/>
            <w:tcBorders>
              <w:top w:val="nil"/>
              <w:left w:val="nil"/>
              <w:bottom w:val="nil"/>
              <w:right w:val="nil"/>
            </w:tcBorders>
            <w:vAlign w:val="center"/>
            <w:hideMark/>
          </w:tcPr>
          <w:p w14:paraId="43BA66CA" w14:textId="77777777" w:rsidR="005F4F0C" w:rsidRPr="005F4F0C" w:rsidRDefault="005F4F0C" w:rsidP="00E44664">
            <w:pPr>
              <w:pStyle w:val="Paragraph"/>
              <w:ind w:firstLine="0"/>
              <w:jc w:val="center"/>
              <w:rPr>
                <w:sz w:val="18"/>
                <w:szCs w:val="18"/>
              </w:rPr>
            </w:pPr>
            <w:r w:rsidRPr="005F4F0C">
              <w:rPr>
                <w:sz w:val="18"/>
                <w:szCs w:val="18"/>
              </w:rPr>
              <w:t xml:space="preserve">Gentamicin (30 </w:t>
            </w:r>
            <w:proofErr w:type="spellStart"/>
            <w:r w:rsidRPr="005F4F0C">
              <w:rPr>
                <w:sz w:val="18"/>
                <w:szCs w:val="18"/>
              </w:rPr>
              <w:t>μg</w:t>
            </w:r>
            <w:proofErr w:type="spellEnd"/>
            <w:r w:rsidRPr="005F4F0C">
              <w:rPr>
                <w:sz w:val="18"/>
                <w:szCs w:val="18"/>
              </w:rPr>
              <w:t>)</w:t>
            </w:r>
          </w:p>
        </w:tc>
        <w:tc>
          <w:tcPr>
            <w:tcW w:w="550" w:type="pct"/>
            <w:tcBorders>
              <w:top w:val="nil"/>
              <w:left w:val="nil"/>
              <w:bottom w:val="nil"/>
              <w:right w:val="nil"/>
            </w:tcBorders>
            <w:vAlign w:val="center"/>
            <w:hideMark/>
          </w:tcPr>
          <w:p w14:paraId="61063C22" w14:textId="77777777" w:rsidR="005F4F0C" w:rsidRPr="005F4F0C" w:rsidRDefault="005F4F0C" w:rsidP="00E44664">
            <w:pPr>
              <w:pStyle w:val="Paragraph"/>
              <w:ind w:firstLine="2"/>
              <w:jc w:val="center"/>
              <w:rPr>
                <w:sz w:val="18"/>
                <w:szCs w:val="18"/>
              </w:rPr>
            </w:pPr>
            <w:r w:rsidRPr="005F4F0C">
              <w:rPr>
                <w:sz w:val="18"/>
                <w:szCs w:val="18"/>
              </w:rPr>
              <w:t>3 (6%)</w:t>
            </w:r>
          </w:p>
        </w:tc>
        <w:tc>
          <w:tcPr>
            <w:tcW w:w="622" w:type="pct"/>
            <w:tcBorders>
              <w:top w:val="nil"/>
              <w:left w:val="nil"/>
              <w:bottom w:val="nil"/>
              <w:right w:val="nil"/>
            </w:tcBorders>
            <w:vAlign w:val="center"/>
            <w:hideMark/>
          </w:tcPr>
          <w:p w14:paraId="473DBBA5" w14:textId="77777777" w:rsidR="005F4F0C" w:rsidRPr="005F4F0C" w:rsidRDefault="005F4F0C" w:rsidP="00E44664">
            <w:pPr>
              <w:pStyle w:val="Paragraph"/>
              <w:ind w:firstLine="2"/>
              <w:jc w:val="center"/>
              <w:rPr>
                <w:sz w:val="18"/>
                <w:szCs w:val="18"/>
              </w:rPr>
            </w:pPr>
            <w:r w:rsidRPr="005F4F0C">
              <w:rPr>
                <w:sz w:val="18"/>
                <w:szCs w:val="18"/>
              </w:rPr>
              <w:t>7 (14%)</w:t>
            </w:r>
          </w:p>
        </w:tc>
        <w:tc>
          <w:tcPr>
            <w:tcW w:w="594" w:type="pct"/>
            <w:tcBorders>
              <w:top w:val="nil"/>
              <w:left w:val="nil"/>
              <w:bottom w:val="nil"/>
              <w:right w:val="nil"/>
            </w:tcBorders>
            <w:vAlign w:val="center"/>
            <w:hideMark/>
          </w:tcPr>
          <w:p w14:paraId="265473DF" w14:textId="77777777" w:rsidR="005F4F0C" w:rsidRPr="005F4F0C" w:rsidRDefault="005F4F0C" w:rsidP="00E44664">
            <w:pPr>
              <w:pStyle w:val="Paragraph"/>
              <w:ind w:firstLine="2"/>
              <w:jc w:val="center"/>
              <w:rPr>
                <w:sz w:val="18"/>
                <w:szCs w:val="18"/>
              </w:rPr>
            </w:pPr>
            <w:r w:rsidRPr="005F4F0C">
              <w:rPr>
                <w:sz w:val="18"/>
                <w:szCs w:val="18"/>
              </w:rPr>
              <w:t>40 (80%)</w:t>
            </w:r>
          </w:p>
        </w:tc>
        <w:tc>
          <w:tcPr>
            <w:tcW w:w="487" w:type="pct"/>
            <w:tcBorders>
              <w:top w:val="nil"/>
              <w:left w:val="nil"/>
              <w:bottom w:val="nil"/>
              <w:right w:val="nil"/>
            </w:tcBorders>
            <w:vAlign w:val="center"/>
            <w:hideMark/>
          </w:tcPr>
          <w:p w14:paraId="10EDFE11" w14:textId="77777777" w:rsidR="005F4F0C" w:rsidRPr="005F4F0C" w:rsidRDefault="005F4F0C" w:rsidP="00E44664">
            <w:pPr>
              <w:pStyle w:val="Paragraph"/>
              <w:ind w:firstLine="2"/>
              <w:jc w:val="center"/>
              <w:rPr>
                <w:sz w:val="18"/>
                <w:szCs w:val="18"/>
              </w:rPr>
            </w:pPr>
            <w:r w:rsidRPr="005F4F0C">
              <w:rPr>
                <w:sz w:val="18"/>
                <w:szCs w:val="18"/>
              </w:rPr>
              <w:t>0.001</w:t>
            </w:r>
            <w:r w:rsidRPr="005F4F0C">
              <w:rPr>
                <w:sz w:val="18"/>
                <w:szCs w:val="18"/>
                <w:vertAlign w:val="superscript"/>
              </w:rPr>
              <w:t>*</w:t>
            </w:r>
          </w:p>
        </w:tc>
      </w:tr>
      <w:tr w:rsidR="0099393C" w:rsidRPr="005F4F0C" w14:paraId="16DB2271" w14:textId="77777777" w:rsidTr="00140F2F">
        <w:trPr>
          <w:trHeight w:val="261"/>
          <w:jc w:val="center"/>
        </w:trPr>
        <w:tc>
          <w:tcPr>
            <w:tcW w:w="2747" w:type="pct"/>
            <w:tcBorders>
              <w:top w:val="nil"/>
              <w:left w:val="nil"/>
              <w:bottom w:val="nil"/>
              <w:right w:val="nil"/>
            </w:tcBorders>
            <w:vAlign w:val="center"/>
            <w:hideMark/>
          </w:tcPr>
          <w:p w14:paraId="3685B128" w14:textId="77777777" w:rsidR="005F4F0C" w:rsidRPr="005F4F0C" w:rsidRDefault="005F4F0C" w:rsidP="00E44664">
            <w:pPr>
              <w:pStyle w:val="Paragraph"/>
              <w:ind w:firstLine="0"/>
              <w:jc w:val="center"/>
              <w:rPr>
                <w:sz w:val="18"/>
                <w:szCs w:val="18"/>
              </w:rPr>
            </w:pPr>
            <w:r w:rsidRPr="005F4F0C">
              <w:rPr>
                <w:sz w:val="18"/>
                <w:szCs w:val="18"/>
              </w:rPr>
              <w:t xml:space="preserve">Amikacin (30 </w:t>
            </w:r>
            <w:proofErr w:type="spellStart"/>
            <w:r w:rsidRPr="005F4F0C">
              <w:rPr>
                <w:sz w:val="18"/>
                <w:szCs w:val="18"/>
              </w:rPr>
              <w:t>μg</w:t>
            </w:r>
            <w:proofErr w:type="spellEnd"/>
            <w:r w:rsidRPr="005F4F0C">
              <w:rPr>
                <w:sz w:val="18"/>
                <w:szCs w:val="18"/>
              </w:rPr>
              <w:t>)</w:t>
            </w:r>
          </w:p>
        </w:tc>
        <w:tc>
          <w:tcPr>
            <w:tcW w:w="550" w:type="pct"/>
            <w:tcBorders>
              <w:top w:val="nil"/>
              <w:left w:val="nil"/>
              <w:bottom w:val="nil"/>
              <w:right w:val="nil"/>
            </w:tcBorders>
            <w:vAlign w:val="center"/>
            <w:hideMark/>
          </w:tcPr>
          <w:p w14:paraId="41EA218D" w14:textId="77777777" w:rsidR="005F4F0C" w:rsidRPr="005F4F0C" w:rsidRDefault="005F4F0C" w:rsidP="00E44664">
            <w:pPr>
              <w:pStyle w:val="Paragraph"/>
              <w:ind w:firstLine="2"/>
              <w:jc w:val="center"/>
              <w:rPr>
                <w:sz w:val="18"/>
                <w:szCs w:val="18"/>
              </w:rPr>
            </w:pPr>
            <w:r w:rsidRPr="005F4F0C">
              <w:rPr>
                <w:sz w:val="18"/>
                <w:szCs w:val="18"/>
              </w:rPr>
              <w:t>3 (6%)</w:t>
            </w:r>
          </w:p>
        </w:tc>
        <w:tc>
          <w:tcPr>
            <w:tcW w:w="622" w:type="pct"/>
            <w:tcBorders>
              <w:top w:val="nil"/>
              <w:left w:val="nil"/>
              <w:bottom w:val="nil"/>
              <w:right w:val="nil"/>
            </w:tcBorders>
            <w:vAlign w:val="center"/>
            <w:hideMark/>
          </w:tcPr>
          <w:p w14:paraId="4E15E5C7" w14:textId="77777777" w:rsidR="005F4F0C" w:rsidRPr="005F4F0C" w:rsidRDefault="005F4F0C" w:rsidP="00E44664">
            <w:pPr>
              <w:pStyle w:val="Paragraph"/>
              <w:ind w:firstLine="2"/>
              <w:jc w:val="center"/>
              <w:rPr>
                <w:sz w:val="18"/>
                <w:szCs w:val="18"/>
              </w:rPr>
            </w:pPr>
            <w:r w:rsidRPr="005F4F0C">
              <w:rPr>
                <w:sz w:val="18"/>
                <w:szCs w:val="18"/>
              </w:rPr>
              <w:t>10 (20%)</w:t>
            </w:r>
          </w:p>
        </w:tc>
        <w:tc>
          <w:tcPr>
            <w:tcW w:w="594" w:type="pct"/>
            <w:tcBorders>
              <w:top w:val="nil"/>
              <w:left w:val="nil"/>
              <w:bottom w:val="nil"/>
              <w:right w:val="nil"/>
            </w:tcBorders>
            <w:vAlign w:val="center"/>
            <w:hideMark/>
          </w:tcPr>
          <w:p w14:paraId="391CEF0A" w14:textId="77777777" w:rsidR="005F4F0C" w:rsidRPr="005F4F0C" w:rsidRDefault="005F4F0C" w:rsidP="00E44664">
            <w:pPr>
              <w:pStyle w:val="Paragraph"/>
              <w:ind w:firstLine="2"/>
              <w:jc w:val="center"/>
              <w:rPr>
                <w:sz w:val="18"/>
                <w:szCs w:val="18"/>
              </w:rPr>
            </w:pPr>
            <w:r w:rsidRPr="005F4F0C">
              <w:rPr>
                <w:sz w:val="18"/>
                <w:szCs w:val="18"/>
              </w:rPr>
              <w:t>37 (74%)</w:t>
            </w:r>
          </w:p>
        </w:tc>
        <w:tc>
          <w:tcPr>
            <w:tcW w:w="487" w:type="pct"/>
            <w:tcBorders>
              <w:top w:val="nil"/>
              <w:left w:val="nil"/>
              <w:bottom w:val="nil"/>
              <w:right w:val="nil"/>
            </w:tcBorders>
            <w:vAlign w:val="center"/>
            <w:hideMark/>
          </w:tcPr>
          <w:p w14:paraId="260B341E" w14:textId="77777777" w:rsidR="005F4F0C" w:rsidRPr="005F4F0C" w:rsidRDefault="005F4F0C" w:rsidP="00E44664">
            <w:pPr>
              <w:pStyle w:val="Paragraph"/>
              <w:ind w:firstLine="2"/>
              <w:jc w:val="center"/>
              <w:rPr>
                <w:sz w:val="18"/>
                <w:szCs w:val="18"/>
              </w:rPr>
            </w:pPr>
            <w:r w:rsidRPr="005F4F0C">
              <w:rPr>
                <w:sz w:val="18"/>
                <w:szCs w:val="18"/>
              </w:rPr>
              <w:t>0.001</w:t>
            </w:r>
            <w:r w:rsidRPr="005F4F0C">
              <w:rPr>
                <w:sz w:val="18"/>
                <w:szCs w:val="18"/>
                <w:vertAlign w:val="superscript"/>
              </w:rPr>
              <w:t>*</w:t>
            </w:r>
          </w:p>
        </w:tc>
      </w:tr>
      <w:tr w:rsidR="0099393C" w:rsidRPr="005F4F0C" w14:paraId="5F9C5A3F" w14:textId="77777777" w:rsidTr="00140F2F">
        <w:trPr>
          <w:trHeight w:val="246"/>
          <w:jc w:val="center"/>
        </w:trPr>
        <w:tc>
          <w:tcPr>
            <w:tcW w:w="2747" w:type="pct"/>
            <w:tcBorders>
              <w:top w:val="nil"/>
              <w:left w:val="nil"/>
              <w:bottom w:val="nil"/>
              <w:right w:val="nil"/>
            </w:tcBorders>
            <w:vAlign w:val="center"/>
            <w:hideMark/>
          </w:tcPr>
          <w:p w14:paraId="6FC4FDB9" w14:textId="77777777" w:rsidR="005F4F0C" w:rsidRPr="005F4F0C" w:rsidRDefault="005F4F0C" w:rsidP="00E44664">
            <w:pPr>
              <w:pStyle w:val="Paragraph"/>
              <w:ind w:firstLine="0"/>
              <w:jc w:val="center"/>
              <w:rPr>
                <w:sz w:val="18"/>
                <w:szCs w:val="18"/>
              </w:rPr>
            </w:pPr>
            <w:r w:rsidRPr="005F4F0C">
              <w:rPr>
                <w:sz w:val="18"/>
                <w:szCs w:val="18"/>
              </w:rPr>
              <w:t>Tobramycin (10µg)</w:t>
            </w:r>
          </w:p>
        </w:tc>
        <w:tc>
          <w:tcPr>
            <w:tcW w:w="550" w:type="pct"/>
            <w:tcBorders>
              <w:top w:val="nil"/>
              <w:left w:val="nil"/>
              <w:bottom w:val="nil"/>
              <w:right w:val="nil"/>
            </w:tcBorders>
            <w:vAlign w:val="center"/>
            <w:hideMark/>
          </w:tcPr>
          <w:p w14:paraId="734696A5" w14:textId="77777777" w:rsidR="005F4F0C" w:rsidRPr="005F4F0C" w:rsidRDefault="005F4F0C" w:rsidP="00E44664">
            <w:pPr>
              <w:pStyle w:val="Paragraph"/>
              <w:ind w:firstLine="2"/>
              <w:jc w:val="center"/>
              <w:rPr>
                <w:sz w:val="18"/>
                <w:szCs w:val="18"/>
              </w:rPr>
            </w:pPr>
            <w:r w:rsidRPr="005F4F0C">
              <w:rPr>
                <w:sz w:val="18"/>
                <w:szCs w:val="18"/>
              </w:rPr>
              <w:t>2 (4%)</w:t>
            </w:r>
          </w:p>
        </w:tc>
        <w:tc>
          <w:tcPr>
            <w:tcW w:w="622" w:type="pct"/>
            <w:tcBorders>
              <w:top w:val="nil"/>
              <w:left w:val="nil"/>
              <w:bottom w:val="nil"/>
              <w:right w:val="nil"/>
            </w:tcBorders>
            <w:vAlign w:val="center"/>
            <w:hideMark/>
          </w:tcPr>
          <w:p w14:paraId="760E1C1E" w14:textId="77777777" w:rsidR="005F4F0C" w:rsidRPr="005F4F0C" w:rsidRDefault="005F4F0C" w:rsidP="00E44664">
            <w:pPr>
              <w:pStyle w:val="Paragraph"/>
              <w:ind w:firstLine="2"/>
              <w:jc w:val="center"/>
              <w:rPr>
                <w:sz w:val="18"/>
                <w:szCs w:val="18"/>
              </w:rPr>
            </w:pPr>
            <w:r w:rsidRPr="005F4F0C">
              <w:rPr>
                <w:sz w:val="18"/>
                <w:szCs w:val="18"/>
              </w:rPr>
              <w:t>10 (20%)</w:t>
            </w:r>
          </w:p>
        </w:tc>
        <w:tc>
          <w:tcPr>
            <w:tcW w:w="594" w:type="pct"/>
            <w:tcBorders>
              <w:top w:val="nil"/>
              <w:left w:val="nil"/>
              <w:bottom w:val="nil"/>
              <w:right w:val="nil"/>
            </w:tcBorders>
            <w:vAlign w:val="center"/>
            <w:hideMark/>
          </w:tcPr>
          <w:p w14:paraId="1659A58F" w14:textId="77777777" w:rsidR="005F4F0C" w:rsidRPr="005F4F0C" w:rsidRDefault="005F4F0C" w:rsidP="00E44664">
            <w:pPr>
              <w:pStyle w:val="Paragraph"/>
              <w:ind w:firstLine="2"/>
              <w:jc w:val="center"/>
              <w:rPr>
                <w:sz w:val="18"/>
                <w:szCs w:val="18"/>
              </w:rPr>
            </w:pPr>
            <w:r w:rsidRPr="005F4F0C">
              <w:rPr>
                <w:sz w:val="18"/>
                <w:szCs w:val="18"/>
              </w:rPr>
              <w:t>38 (76%)</w:t>
            </w:r>
          </w:p>
        </w:tc>
        <w:tc>
          <w:tcPr>
            <w:tcW w:w="487" w:type="pct"/>
            <w:tcBorders>
              <w:top w:val="nil"/>
              <w:left w:val="nil"/>
              <w:bottom w:val="nil"/>
              <w:right w:val="nil"/>
            </w:tcBorders>
            <w:vAlign w:val="center"/>
            <w:hideMark/>
          </w:tcPr>
          <w:p w14:paraId="08311FC4" w14:textId="77777777" w:rsidR="005F4F0C" w:rsidRPr="005F4F0C" w:rsidRDefault="005F4F0C" w:rsidP="00E44664">
            <w:pPr>
              <w:pStyle w:val="Paragraph"/>
              <w:ind w:firstLine="2"/>
              <w:jc w:val="center"/>
              <w:rPr>
                <w:sz w:val="18"/>
                <w:szCs w:val="18"/>
              </w:rPr>
            </w:pPr>
            <w:r w:rsidRPr="005F4F0C">
              <w:rPr>
                <w:sz w:val="18"/>
                <w:szCs w:val="18"/>
              </w:rPr>
              <w:t>0.001</w:t>
            </w:r>
            <w:r w:rsidRPr="005F4F0C">
              <w:rPr>
                <w:sz w:val="18"/>
                <w:szCs w:val="18"/>
                <w:vertAlign w:val="superscript"/>
              </w:rPr>
              <w:t>*</w:t>
            </w:r>
          </w:p>
        </w:tc>
      </w:tr>
      <w:tr w:rsidR="0099393C" w:rsidRPr="005F4F0C" w14:paraId="0B3C6B32" w14:textId="77777777" w:rsidTr="00140F2F">
        <w:trPr>
          <w:trHeight w:val="246"/>
          <w:jc w:val="center"/>
        </w:trPr>
        <w:tc>
          <w:tcPr>
            <w:tcW w:w="2747" w:type="pct"/>
            <w:tcBorders>
              <w:top w:val="nil"/>
              <w:left w:val="nil"/>
              <w:bottom w:val="nil"/>
              <w:right w:val="nil"/>
            </w:tcBorders>
            <w:vAlign w:val="center"/>
            <w:hideMark/>
          </w:tcPr>
          <w:p w14:paraId="6C6E83D2" w14:textId="145F9A8A" w:rsidR="005F4F0C" w:rsidRPr="005F4F0C" w:rsidRDefault="005F4F0C" w:rsidP="00E44664">
            <w:pPr>
              <w:pStyle w:val="Paragraph"/>
              <w:ind w:firstLine="0"/>
              <w:jc w:val="center"/>
              <w:rPr>
                <w:sz w:val="18"/>
                <w:szCs w:val="18"/>
              </w:rPr>
            </w:pPr>
            <w:r w:rsidRPr="005F4F0C">
              <w:rPr>
                <w:sz w:val="18"/>
                <w:szCs w:val="18"/>
              </w:rPr>
              <w:t>Trimethoprim/</w:t>
            </w:r>
            <w:r w:rsidR="0099393C">
              <w:rPr>
                <w:sz w:val="18"/>
                <w:szCs w:val="18"/>
              </w:rPr>
              <w:t xml:space="preserve"> </w:t>
            </w:r>
            <w:r w:rsidRPr="005F4F0C">
              <w:rPr>
                <w:sz w:val="18"/>
                <w:szCs w:val="18"/>
              </w:rPr>
              <w:t xml:space="preserve">Sulfamethoxazole (1.25/23.75 </w:t>
            </w:r>
            <w:proofErr w:type="spellStart"/>
            <w:r w:rsidRPr="005F4F0C">
              <w:rPr>
                <w:sz w:val="18"/>
                <w:szCs w:val="18"/>
              </w:rPr>
              <w:t>μg</w:t>
            </w:r>
            <w:proofErr w:type="spellEnd"/>
            <w:r w:rsidRPr="005F4F0C">
              <w:rPr>
                <w:sz w:val="18"/>
                <w:szCs w:val="18"/>
              </w:rPr>
              <w:t>)</w:t>
            </w:r>
          </w:p>
        </w:tc>
        <w:tc>
          <w:tcPr>
            <w:tcW w:w="550" w:type="pct"/>
            <w:tcBorders>
              <w:top w:val="nil"/>
              <w:left w:val="nil"/>
              <w:bottom w:val="nil"/>
              <w:right w:val="nil"/>
            </w:tcBorders>
            <w:vAlign w:val="center"/>
            <w:hideMark/>
          </w:tcPr>
          <w:p w14:paraId="66C3F45E" w14:textId="77777777" w:rsidR="005F4F0C" w:rsidRPr="005F4F0C" w:rsidRDefault="005F4F0C" w:rsidP="00E44664">
            <w:pPr>
              <w:pStyle w:val="Paragraph"/>
              <w:ind w:firstLine="2"/>
              <w:jc w:val="center"/>
              <w:rPr>
                <w:sz w:val="18"/>
                <w:szCs w:val="18"/>
              </w:rPr>
            </w:pPr>
            <w:r w:rsidRPr="005F4F0C">
              <w:rPr>
                <w:sz w:val="18"/>
                <w:szCs w:val="18"/>
              </w:rPr>
              <w:t>48 (96%)</w:t>
            </w:r>
          </w:p>
        </w:tc>
        <w:tc>
          <w:tcPr>
            <w:tcW w:w="622" w:type="pct"/>
            <w:tcBorders>
              <w:top w:val="nil"/>
              <w:left w:val="nil"/>
              <w:bottom w:val="nil"/>
              <w:right w:val="nil"/>
            </w:tcBorders>
            <w:vAlign w:val="center"/>
            <w:hideMark/>
          </w:tcPr>
          <w:p w14:paraId="06829557" w14:textId="77777777" w:rsidR="005F4F0C" w:rsidRPr="005F4F0C" w:rsidRDefault="005F4F0C" w:rsidP="00E44664">
            <w:pPr>
              <w:pStyle w:val="Paragraph"/>
              <w:ind w:firstLine="2"/>
              <w:jc w:val="center"/>
              <w:rPr>
                <w:sz w:val="18"/>
                <w:szCs w:val="18"/>
              </w:rPr>
            </w:pPr>
            <w:r w:rsidRPr="005F4F0C">
              <w:rPr>
                <w:sz w:val="18"/>
                <w:szCs w:val="18"/>
              </w:rPr>
              <w:t>1 (2%)</w:t>
            </w:r>
          </w:p>
        </w:tc>
        <w:tc>
          <w:tcPr>
            <w:tcW w:w="594" w:type="pct"/>
            <w:tcBorders>
              <w:top w:val="nil"/>
              <w:left w:val="nil"/>
              <w:bottom w:val="nil"/>
              <w:right w:val="nil"/>
            </w:tcBorders>
            <w:vAlign w:val="center"/>
            <w:hideMark/>
          </w:tcPr>
          <w:p w14:paraId="5AA7E041" w14:textId="77777777" w:rsidR="005F4F0C" w:rsidRPr="005F4F0C" w:rsidRDefault="005F4F0C" w:rsidP="00E44664">
            <w:pPr>
              <w:pStyle w:val="Paragraph"/>
              <w:ind w:firstLine="2"/>
              <w:jc w:val="center"/>
              <w:rPr>
                <w:sz w:val="18"/>
                <w:szCs w:val="18"/>
              </w:rPr>
            </w:pPr>
            <w:r w:rsidRPr="005F4F0C">
              <w:rPr>
                <w:sz w:val="18"/>
                <w:szCs w:val="18"/>
              </w:rPr>
              <w:t>1 (2%)</w:t>
            </w:r>
          </w:p>
        </w:tc>
        <w:tc>
          <w:tcPr>
            <w:tcW w:w="487" w:type="pct"/>
            <w:tcBorders>
              <w:top w:val="nil"/>
              <w:left w:val="nil"/>
              <w:bottom w:val="nil"/>
              <w:right w:val="nil"/>
            </w:tcBorders>
            <w:vAlign w:val="center"/>
            <w:hideMark/>
          </w:tcPr>
          <w:p w14:paraId="7552F98C" w14:textId="77777777" w:rsidR="005F4F0C" w:rsidRPr="005F4F0C" w:rsidRDefault="005F4F0C" w:rsidP="00E44664">
            <w:pPr>
              <w:pStyle w:val="Paragraph"/>
              <w:ind w:firstLine="2"/>
              <w:jc w:val="center"/>
              <w:rPr>
                <w:sz w:val="18"/>
                <w:szCs w:val="18"/>
              </w:rPr>
            </w:pPr>
            <w:r w:rsidRPr="005F4F0C">
              <w:rPr>
                <w:sz w:val="18"/>
                <w:szCs w:val="18"/>
              </w:rPr>
              <w:t>0.05</w:t>
            </w:r>
            <w:r w:rsidRPr="005F4F0C">
              <w:rPr>
                <w:sz w:val="18"/>
                <w:szCs w:val="18"/>
                <w:vertAlign w:val="superscript"/>
              </w:rPr>
              <w:t>*</w:t>
            </w:r>
          </w:p>
        </w:tc>
      </w:tr>
      <w:tr w:rsidR="0099393C" w:rsidRPr="005F4F0C" w14:paraId="17D22FD9" w14:textId="77777777" w:rsidTr="00140F2F">
        <w:trPr>
          <w:trHeight w:val="246"/>
          <w:jc w:val="center"/>
        </w:trPr>
        <w:tc>
          <w:tcPr>
            <w:tcW w:w="2747" w:type="pct"/>
            <w:tcBorders>
              <w:top w:val="nil"/>
              <w:left w:val="nil"/>
              <w:bottom w:val="nil"/>
              <w:right w:val="nil"/>
            </w:tcBorders>
            <w:vAlign w:val="center"/>
            <w:hideMark/>
          </w:tcPr>
          <w:p w14:paraId="27E90FE4" w14:textId="77777777" w:rsidR="005F4F0C" w:rsidRPr="005F4F0C" w:rsidRDefault="005F4F0C" w:rsidP="00E44664">
            <w:pPr>
              <w:pStyle w:val="Paragraph"/>
              <w:jc w:val="center"/>
              <w:rPr>
                <w:sz w:val="18"/>
                <w:szCs w:val="18"/>
              </w:rPr>
            </w:pPr>
            <w:r w:rsidRPr="005F4F0C">
              <w:rPr>
                <w:sz w:val="18"/>
                <w:szCs w:val="18"/>
              </w:rPr>
              <w:t xml:space="preserve">Tetracycline (30 </w:t>
            </w:r>
            <w:proofErr w:type="spellStart"/>
            <w:r w:rsidRPr="005F4F0C">
              <w:rPr>
                <w:sz w:val="18"/>
                <w:szCs w:val="18"/>
              </w:rPr>
              <w:t>μg</w:t>
            </w:r>
            <w:proofErr w:type="spellEnd"/>
            <w:r w:rsidRPr="005F4F0C">
              <w:rPr>
                <w:sz w:val="18"/>
                <w:szCs w:val="18"/>
              </w:rPr>
              <w:t>)</w:t>
            </w:r>
          </w:p>
        </w:tc>
        <w:tc>
          <w:tcPr>
            <w:tcW w:w="550" w:type="pct"/>
            <w:tcBorders>
              <w:top w:val="nil"/>
              <w:left w:val="nil"/>
              <w:bottom w:val="nil"/>
              <w:right w:val="nil"/>
            </w:tcBorders>
            <w:vAlign w:val="center"/>
            <w:hideMark/>
          </w:tcPr>
          <w:p w14:paraId="3313768B" w14:textId="77777777" w:rsidR="005F4F0C" w:rsidRPr="005F4F0C" w:rsidRDefault="005F4F0C" w:rsidP="00E44664">
            <w:pPr>
              <w:pStyle w:val="Paragraph"/>
              <w:ind w:firstLine="0"/>
              <w:jc w:val="center"/>
              <w:rPr>
                <w:sz w:val="18"/>
                <w:szCs w:val="18"/>
              </w:rPr>
            </w:pPr>
            <w:r w:rsidRPr="005F4F0C">
              <w:rPr>
                <w:sz w:val="18"/>
                <w:szCs w:val="18"/>
              </w:rPr>
              <w:t>2 (4%)</w:t>
            </w:r>
          </w:p>
        </w:tc>
        <w:tc>
          <w:tcPr>
            <w:tcW w:w="622" w:type="pct"/>
            <w:tcBorders>
              <w:top w:val="nil"/>
              <w:left w:val="nil"/>
              <w:bottom w:val="nil"/>
              <w:right w:val="nil"/>
            </w:tcBorders>
            <w:vAlign w:val="center"/>
            <w:hideMark/>
          </w:tcPr>
          <w:p w14:paraId="0CB78EBC" w14:textId="77777777" w:rsidR="005F4F0C" w:rsidRPr="005F4F0C" w:rsidRDefault="005F4F0C" w:rsidP="00E44664">
            <w:pPr>
              <w:pStyle w:val="Paragraph"/>
              <w:ind w:firstLine="0"/>
              <w:jc w:val="center"/>
              <w:rPr>
                <w:sz w:val="18"/>
                <w:szCs w:val="18"/>
              </w:rPr>
            </w:pPr>
            <w:r w:rsidRPr="005F4F0C">
              <w:rPr>
                <w:sz w:val="18"/>
                <w:szCs w:val="18"/>
              </w:rPr>
              <w:t>8 (16%)</w:t>
            </w:r>
          </w:p>
        </w:tc>
        <w:tc>
          <w:tcPr>
            <w:tcW w:w="594" w:type="pct"/>
            <w:tcBorders>
              <w:top w:val="nil"/>
              <w:left w:val="nil"/>
              <w:bottom w:val="nil"/>
              <w:right w:val="nil"/>
            </w:tcBorders>
            <w:vAlign w:val="center"/>
            <w:hideMark/>
          </w:tcPr>
          <w:p w14:paraId="78EB8CC6" w14:textId="77777777" w:rsidR="005F4F0C" w:rsidRPr="005F4F0C" w:rsidRDefault="005F4F0C" w:rsidP="00E44664">
            <w:pPr>
              <w:pStyle w:val="Paragraph"/>
              <w:ind w:firstLine="0"/>
              <w:jc w:val="center"/>
              <w:rPr>
                <w:sz w:val="18"/>
                <w:szCs w:val="18"/>
              </w:rPr>
            </w:pPr>
            <w:r w:rsidRPr="005F4F0C">
              <w:rPr>
                <w:sz w:val="18"/>
                <w:szCs w:val="18"/>
              </w:rPr>
              <w:t>40 (80%)</w:t>
            </w:r>
          </w:p>
        </w:tc>
        <w:tc>
          <w:tcPr>
            <w:tcW w:w="487" w:type="pct"/>
            <w:tcBorders>
              <w:top w:val="nil"/>
              <w:left w:val="nil"/>
              <w:bottom w:val="nil"/>
              <w:right w:val="nil"/>
            </w:tcBorders>
            <w:vAlign w:val="center"/>
            <w:hideMark/>
          </w:tcPr>
          <w:p w14:paraId="7F8476E5" w14:textId="77777777" w:rsidR="005F4F0C" w:rsidRPr="005F4F0C" w:rsidRDefault="005F4F0C" w:rsidP="00E44664">
            <w:pPr>
              <w:pStyle w:val="Paragraph"/>
              <w:ind w:firstLine="0"/>
              <w:jc w:val="center"/>
              <w:rPr>
                <w:sz w:val="18"/>
                <w:szCs w:val="18"/>
              </w:rPr>
            </w:pPr>
            <w:r w:rsidRPr="005F4F0C">
              <w:rPr>
                <w:sz w:val="18"/>
                <w:szCs w:val="18"/>
              </w:rPr>
              <w:t>0.001</w:t>
            </w:r>
            <w:r w:rsidRPr="005F4F0C">
              <w:rPr>
                <w:sz w:val="18"/>
                <w:szCs w:val="18"/>
                <w:vertAlign w:val="superscript"/>
              </w:rPr>
              <w:t>*</w:t>
            </w:r>
          </w:p>
        </w:tc>
      </w:tr>
      <w:tr w:rsidR="0099393C" w:rsidRPr="005F4F0C" w14:paraId="0C377CF2" w14:textId="77777777" w:rsidTr="00140F2F">
        <w:trPr>
          <w:trHeight w:val="261"/>
          <w:jc w:val="center"/>
        </w:trPr>
        <w:tc>
          <w:tcPr>
            <w:tcW w:w="2747" w:type="pct"/>
            <w:tcBorders>
              <w:top w:val="nil"/>
              <w:left w:val="nil"/>
              <w:bottom w:val="nil"/>
              <w:right w:val="nil"/>
            </w:tcBorders>
            <w:vAlign w:val="center"/>
            <w:hideMark/>
          </w:tcPr>
          <w:p w14:paraId="758246A9" w14:textId="77777777" w:rsidR="005F4F0C" w:rsidRPr="005F4F0C" w:rsidRDefault="005F4F0C" w:rsidP="00E44664">
            <w:pPr>
              <w:pStyle w:val="Paragraph"/>
              <w:jc w:val="center"/>
              <w:rPr>
                <w:sz w:val="18"/>
                <w:szCs w:val="18"/>
              </w:rPr>
            </w:pPr>
            <w:r w:rsidRPr="005F4F0C">
              <w:rPr>
                <w:sz w:val="18"/>
                <w:szCs w:val="18"/>
              </w:rPr>
              <w:t>Clindamycin (2µg)</w:t>
            </w:r>
          </w:p>
        </w:tc>
        <w:tc>
          <w:tcPr>
            <w:tcW w:w="550" w:type="pct"/>
            <w:tcBorders>
              <w:top w:val="nil"/>
              <w:left w:val="nil"/>
              <w:bottom w:val="nil"/>
              <w:right w:val="nil"/>
            </w:tcBorders>
            <w:vAlign w:val="center"/>
            <w:hideMark/>
          </w:tcPr>
          <w:p w14:paraId="21DDAF64" w14:textId="77777777" w:rsidR="005F4F0C" w:rsidRPr="005F4F0C" w:rsidRDefault="005F4F0C" w:rsidP="00E44664">
            <w:pPr>
              <w:pStyle w:val="Paragraph"/>
              <w:ind w:firstLine="0"/>
              <w:jc w:val="center"/>
              <w:rPr>
                <w:sz w:val="18"/>
                <w:szCs w:val="18"/>
              </w:rPr>
            </w:pPr>
            <w:r w:rsidRPr="005F4F0C">
              <w:rPr>
                <w:sz w:val="18"/>
                <w:szCs w:val="18"/>
              </w:rPr>
              <w:t>46 (92%)</w:t>
            </w:r>
          </w:p>
        </w:tc>
        <w:tc>
          <w:tcPr>
            <w:tcW w:w="622" w:type="pct"/>
            <w:tcBorders>
              <w:top w:val="nil"/>
              <w:left w:val="nil"/>
              <w:bottom w:val="nil"/>
              <w:right w:val="nil"/>
            </w:tcBorders>
            <w:vAlign w:val="center"/>
            <w:hideMark/>
          </w:tcPr>
          <w:p w14:paraId="509E5BAE" w14:textId="77777777" w:rsidR="005F4F0C" w:rsidRPr="005F4F0C" w:rsidRDefault="005F4F0C" w:rsidP="00E44664">
            <w:pPr>
              <w:pStyle w:val="Paragraph"/>
              <w:ind w:firstLine="0"/>
              <w:jc w:val="center"/>
              <w:rPr>
                <w:sz w:val="18"/>
                <w:szCs w:val="18"/>
              </w:rPr>
            </w:pPr>
            <w:r w:rsidRPr="005F4F0C">
              <w:rPr>
                <w:sz w:val="18"/>
                <w:szCs w:val="18"/>
              </w:rPr>
              <w:t>3 (6%)</w:t>
            </w:r>
          </w:p>
        </w:tc>
        <w:tc>
          <w:tcPr>
            <w:tcW w:w="594" w:type="pct"/>
            <w:tcBorders>
              <w:top w:val="nil"/>
              <w:left w:val="nil"/>
              <w:bottom w:val="nil"/>
              <w:right w:val="nil"/>
            </w:tcBorders>
            <w:vAlign w:val="center"/>
            <w:hideMark/>
          </w:tcPr>
          <w:p w14:paraId="662FFF92" w14:textId="77777777" w:rsidR="005F4F0C" w:rsidRPr="005F4F0C" w:rsidRDefault="005F4F0C" w:rsidP="00E44664">
            <w:pPr>
              <w:pStyle w:val="Paragraph"/>
              <w:ind w:firstLine="0"/>
              <w:jc w:val="center"/>
              <w:rPr>
                <w:sz w:val="18"/>
                <w:szCs w:val="18"/>
              </w:rPr>
            </w:pPr>
            <w:r w:rsidRPr="005F4F0C">
              <w:rPr>
                <w:sz w:val="18"/>
                <w:szCs w:val="18"/>
              </w:rPr>
              <w:t>1 (2%)</w:t>
            </w:r>
          </w:p>
        </w:tc>
        <w:tc>
          <w:tcPr>
            <w:tcW w:w="487" w:type="pct"/>
            <w:tcBorders>
              <w:top w:val="nil"/>
              <w:left w:val="nil"/>
              <w:bottom w:val="nil"/>
              <w:right w:val="nil"/>
            </w:tcBorders>
            <w:vAlign w:val="center"/>
            <w:hideMark/>
          </w:tcPr>
          <w:p w14:paraId="5A6C6A51" w14:textId="77777777" w:rsidR="005F4F0C" w:rsidRPr="005F4F0C" w:rsidRDefault="005F4F0C" w:rsidP="00E44664">
            <w:pPr>
              <w:pStyle w:val="Paragraph"/>
              <w:ind w:firstLine="0"/>
              <w:jc w:val="center"/>
              <w:rPr>
                <w:sz w:val="18"/>
                <w:szCs w:val="18"/>
              </w:rPr>
            </w:pPr>
            <w:r w:rsidRPr="005F4F0C">
              <w:rPr>
                <w:sz w:val="18"/>
                <w:szCs w:val="18"/>
              </w:rPr>
              <w:t>0.001</w:t>
            </w:r>
            <w:r w:rsidRPr="005F4F0C">
              <w:rPr>
                <w:sz w:val="18"/>
                <w:szCs w:val="18"/>
                <w:vertAlign w:val="superscript"/>
              </w:rPr>
              <w:t>*</w:t>
            </w:r>
          </w:p>
        </w:tc>
      </w:tr>
      <w:tr w:rsidR="0099393C" w:rsidRPr="005F4F0C" w14:paraId="5B767119" w14:textId="77777777" w:rsidTr="00140F2F">
        <w:trPr>
          <w:trHeight w:val="246"/>
          <w:jc w:val="center"/>
        </w:trPr>
        <w:tc>
          <w:tcPr>
            <w:tcW w:w="2747" w:type="pct"/>
            <w:tcBorders>
              <w:top w:val="nil"/>
              <w:left w:val="nil"/>
              <w:right w:val="nil"/>
            </w:tcBorders>
            <w:vAlign w:val="center"/>
            <w:hideMark/>
          </w:tcPr>
          <w:p w14:paraId="47C10962" w14:textId="77777777" w:rsidR="005F4F0C" w:rsidRPr="005F4F0C" w:rsidRDefault="005F4F0C" w:rsidP="00E44664">
            <w:pPr>
              <w:pStyle w:val="Paragraph"/>
              <w:jc w:val="center"/>
              <w:rPr>
                <w:sz w:val="18"/>
                <w:szCs w:val="18"/>
              </w:rPr>
            </w:pPr>
            <w:r w:rsidRPr="005F4F0C">
              <w:rPr>
                <w:sz w:val="18"/>
                <w:szCs w:val="18"/>
              </w:rPr>
              <w:t>p-value</w:t>
            </w:r>
          </w:p>
        </w:tc>
        <w:tc>
          <w:tcPr>
            <w:tcW w:w="550" w:type="pct"/>
            <w:tcBorders>
              <w:top w:val="nil"/>
              <w:left w:val="nil"/>
              <w:right w:val="nil"/>
            </w:tcBorders>
            <w:vAlign w:val="center"/>
            <w:hideMark/>
          </w:tcPr>
          <w:p w14:paraId="5391DAA7" w14:textId="77777777" w:rsidR="005F4F0C" w:rsidRPr="005F4F0C" w:rsidRDefault="005F4F0C" w:rsidP="00E44664">
            <w:pPr>
              <w:pStyle w:val="Paragraph"/>
              <w:ind w:firstLine="0"/>
              <w:jc w:val="center"/>
              <w:rPr>
                <w:sz w:val="18"/>
                <w:szCs w:val="18"/>
              </w:rPr>
            </w:pPr>
            <w:r w:rsidRPr="005F4F0C">
              <w:rPr>
                <w:sz w:val="18"/>
                <w:szCs w:val="18"/>
              </w:rPr>
              <w:t>0.001</w:t>
            </w:r>
            <w:r w:rsidRPr="005F4F0C">
              <w:rPr>
                <w:sz w:val="18"/>
                <w:szCs w:val="18"/>
                <w:vertAlign w:val="superscript"/>
              </w:rPr>
              <w:t>*</w:t>
            </w:r>
          </w:p>
        </w:tc>
        <w:tc>
          <w:tcPr>
            <w:tcW w:w="622" w:type="pct"/>
            <w:tcBorders>
              <w:top w:val="nil"/>
              <w:left w:val="nil"/>
              <w:right w:val="nil"/>
            </w:tcBorders>
            <w:vAlign w:val="center"/>
            <w:hideMark/>
          </w:tcPr>
          <w:p w14:paraId="1D7E21A5" w14:textId="77777777" w:rsidR="005F4F0C" w:rsidRPr="005F4F0C" w:rsidRDefault="005F4F0C" w:rsidP="00E44664">
            <w:pPr>
              <w:pStyle w:val="Paragraph"/>
              <w:ind w:firstLine="0"/>
              <w:jc w:val="center"/>
              <w:rPr>
                <w:sz w:val="18"/>
                <w:szCs w:val="18"/>
              </w:rPr>
            </w:pPr>
            <w:r w:rsidRPr="005F4F0C">
              <w:rPr>
                <w:sz w:val="18"/>
                <w:szCs w:val="18"/>
              </w:rPr>
              <w:t>0.001</w:t>
            </w:r>
            <w:r w:rsidRPr="005F4F0C">
              <w:rPr>
                <w:sz w:val="18"/>
                <w:szCs w:val="18"/>
                <w:vertAlign w:val="superscript"/>
              </w:rPr>
              <w:t>*</w:t>
            </w:r>
          </w:p>
        </w:tc>
        <w:tc>
          <w:tcPr>
            <w:tcW w:w="594" w:type="pct"/>
            <w:tcBorders>
              <w:top w:val="nil"/>
              <w:left w:val="nil"/>
              <w:right w:val="nil"/>
            </w:tcBorders>
            <w:vAlign w:val="center"/>
            <w:hideMark/>
          </w:tcPr>
          <w:p w14:paraId="0ADD7CC7" w14:textId="77777777" w:rsidR="005F4F0C" w:rsidRPr="005F4F0C" w:rsidRDefault="005F4F0C" w:rsidP="00E44664">
            <w:pPr>
              <w:pStyle w:val="Paragraph"/>
              <w:ind w:firstLine="0"/>
              <w:jc w:val="center"/>
              <w:rPr>
                <w:sz w:val="18"/>
                <w:szCs w:val="18"/>
              </w:rPr>
            </w:pPr>
            <w:r w:rsidRPr="005F4F0C">
              <w:rPr>
                <w:sz w:val="18"/>
                <w:szCs w:val="18"/>
              </w:rPr>
              <w:t>0.001</w:t>
            </w:r>
            <w:r w:rsidRPr="005F4F0C">
              <w:rPr>
                <w:sz w:val="18"/>
                <w:szCs w:val="18"/>
                <w:vertAlign w:val="superscript"/>
              </w:rPr>
              <w:t>*</w:t>
            </w:r>
          </w:p>
        </w:tc>
        <w:tc>
          <w:tcPr>
            <w:tcW w:w="487" w:type="pct"/>
            <w:tcBorders>
              <w:top w:val="nil"/>
              <w:left w:val="nil"/>
              <w:right w:val="nil"/>
            </w:tcBorders>
            <w:vAlign w:val="center"/>
          </w:tcPr>
          <w:p w14:paraId="6E089CDB" w14:textId="77777777" w:rsidR="005F4F0C" w:rsidRPr="005F4F0C" w:rsidRDefault="005F4F0C" w:rsidP="00E44664">
            <w:pPr>
              <w:pStyle w:val="Paragraph"/>
              <w:ind w:firstLine="0"/>
              <w:jc w:val="center"/>
              <w:rPr>
                <w:sz w:val="18"/>
                <w:szCs w:val="18"/>
              </w:rPr>
            </w:pPr>
          </w:p>
        </w:tc>
      </w:tr>
    </w:tbl>
    <w:p w14:paraId="64705C8C" w14:textId="27B7BB5C" w:rsidR="005F4F0C" w:rsidRPr="0099393C" w:rsidRDefault="0099393C" w:rsidP="00E44664">
      <w:pPr>
        <w:pStyle w:val="Paragraph"/>
        <w:ind w:firstLine="0"/>
        <w:jc w:val="left"/>
        <w:rPr>
          <w:sz w:val="18"/>
          <w:szCs w:val="18"/>
        </w:rPr>
      </w:pPr>
      <w:r w:rsidRPr="0099393C">
        <w:rPr>
          <w:sz w:val="18"/>
          <w:szCs w:val="18"/>
        </w:rPr>
        <w:t># Person chi-square test of independence, *significant differences (p≤0.05).</w:t>
      </w:r>
    </w:p>
    <w:p w14:paraId="48F0A5AB" w14:textId="77777777" w:rsidR="002A115E" w:rsidRDefault="002A115E" w:rsidP="00E44664">
      <w:pPr>
        <w:pStyle w:val="Paragraph"/>
        <w:rPr>
          <w:lang w:val="en-GB" w:eastAsia="en-GB"/>
        </w:rPr>
      </w:pPr>
    </w:p>
    <w:p w14:paraId="30DD149D" w14:textId="5AB1C5B0" w:rsidR="0039376F" w:rsidRDefault="00BE7F65" w:rsidP="00E44664">
      <w:pPr>
        <w:pStyle w:val="Paragraph"/>
        <w:rPr>
          <w:lang w:val="en-GB" w:eastAsia="en-GB"/>
        </w:rPr>
      </w:pPr>
      <w:r w:rsidRPr="00BE7F65">
        <w:rPr>
          <w:lang w:val="en-GB" w:eastAsia="en-GB"/>
        </w:rPr>
        <w:t xml:space="preserve">Antimicrobial susceptibility testing using the VITEK® 2 compact system with an AST-N419 card revealed that most </w:t>
      </w:r>
      <w:r w:rsidR="00F61FF1" w:rsidRPr="00F61FF1">
        <w:rPr>
          <w:i/>
          <w:iCs/>
          <w:lang w:val="en-GB" w:eastAsia="en-GB"/>
        </w:rPr>
        <w:t>E. coli</w:t>
      </w:r>
      <w:r w:rsidRPr="00BE7F65">
        <w:rPr>
          <w:lang w:val="en-GB" w:eastAsia="en-GB"/>
        </w:rPr>
        <w:t xml:space="preserve"> isolates were resistant to eleven antibiotics, including Amikacin, Aztreonam, Minocycline, Rifampicin, Cefepime, Ceftazidime, Cefazolin, Colistin, Gentamicin,</w:t>
      </w:r>
      <w:r w:rsidR="008C45A0">
        <w:rPr>
          <w:lang w:val="en-GB" w:eastAsia="en-GB"/>
        </w:rPr>
        <w:t xml:space="preserve"> Ticarcillin, and </w:t>
      </w:r>
      <w:proofErr w:type="spellStart"/>
      <w:r w:rsidR="008C45A0">
        <w:rPr>
          <w:lang w:val="en-GB" w:eastAsia="en-GB"/>
        </w:rPr>
        <w:t>Ticarcillin+</w:t>
      </w:r>
      <w:r w:rsidRPr="00BE7F65">
        <w:rPr>
          <w:lang w:val="en-GB" w:eastAsia="en-GB"/>
        </w:rPr>
        <w:t>Clavulanic</w:t>
      </w:r>
      <w:proofErr w:type="spellEnd"/>
      <w:r w:rsidRPr="00BE7F65">
        <w:rPr>
          <w:lang w:val="en-GB" w:eastAsia="en-GB"/>
        </w:rPr>
        <w:t xml:space="preserve"> acid. Conversely, the isolates were largely sensitive to seven antibiotics: Ciprofloxacin, Pefloxacin, Imipenem, Meropene</w:t>
      </w:r>
      <w:r w:rsidR="008C45A0">
        <w:rPr>
          <w:lang w:val="en-GB" w:eastAsia="en-GB"/>
        </w:rPr>
        <w:t xml:space="preserve">m, Piperacillin, </w:t>
      </w:r>
      <w:proofErr w:type="spellStart"/>
      <w:r w:rsidR="008C45A0">
        <w:rPr>
          <w:lang w:val="en-GB" w:eastAsia="en-GB"/>
        </w:rPr>
        <w:t>Piperacillin+</w:t>
      </w:r>
      <w:r w:rsidRPr="00BE7F65">
        <w:rPr>
          <w:lang w:val="en-GB" w:eastAsia="en-GB"/>
        </w:rPr>
        <w:t>Tazobactam</w:t>
      </w:r>
      <w:proofErr w:type="spellEnd"/>
      <w:r w:rsidRPr="00BE7F65">
        <w:rPr>
          <w:lang w:val="en-GB" w:eastAsia="en-GB"/>
        </w:rPr>
        <w:t>, and Trimethoprim/Sulfamethoxazole. Chi-square analysis confirmed significant differences in s</w:t>
      </w:r>
      <w:r>
        <w:rPr>
          <w:lang w:val="en-GB" w:eastAsia="en-GB"/>
        </w:rPr>
        <w:t>usceptibility patterns (p≤0.05)</w:t>
      </w:r>
      <w:r w:rsidR="0099393C" w:rsidRPr="0099393C">
        <w:rPr>
          <w:lang w:val="en-GB" w:eastAsia="en-GB"/>
        </w:rPr>
        <w:t>.</w:t>
      </w:r>
    </w:p>
    <w:p w14:paraId="70F9C7B4" w14:textId="77777777" w:rsidR="001D63FD" w:rsidRDefault="001D63FD" w:rsidP="00E44664">
      <w:pPr>
        <w:pStyle w:val="Paragraph"/>
        <w:rPr>
          <w:lang w:val="en-GB" w:eastAsia="en-GB"/>
        </w:rPr>
      </w:pPr>
    </w:p>
    <w:tbl>
      <w:tblPr>
        <w:tblStyle w:val="TableGrid"/>
        <w:tblW w:w="0" w:type="auto"/>
        <w:jc w:val="center"/>
        <w:tblLook w:val="04A0" w:firstRow="1" w:lastRow="0" w:firstColumn="1" w:lastColumn="0" w:noHBand="0" w:noVBand="1"/>
      </w:tblPr>
      <w:tblGrid>
        <w:gridCol w:w="4329"/>
        <w:gridCol w:w="1986"/>
        <w:gridCol w:w="1215"/>
        <w:gridCol w:w="1064"/>
        <w:gridCol w:w="766"/>
      </w:tblGrid>
      <w:tr w:rsidR="00530A3E" w:rsidRPr="00530A3E" w14:paraId="6811E6A1" w14:textId="77777777" w:rsidTr="00530A3E">
        <w:trPr>
          <w:jc w:val="center"/>
        </w:trPr>
        <w:tc>
          <w:tcPr>
            <w:tcW w:w="0" w:type="auto"/>
            <w:gridSpan w:val="5"/>
            <w:tcBorders>
              <w:top w:val="nil"/>
              <w:left w:val="nil"/>
              <w:bottom w:val="single" w:sz="4" w:space="0" w:color="auto"/>
              <w:right w:val="nil"/>
            </w:tcBorders>
            <w:vAlign w:val="center"/>
          </w:tcPr>
          <w:p w14:paraId="623360B5" w14:textId="2AF6925A" w:rsidR="00530A3E" w:rsidRPr="00AB71B2" w:rsidRDefault="00CD0B35" w:rsidP="00E44664">
            <w:pPr>
              <w:pStyle w:val="Paragraph"/>
              <w:ind w:firstLine="0"/>
              <w:jc w:val="center"/>
              <w:rPr>
                <w:b/>
                <w:bCs/>
                <w:sz w:val="18"/>
                <w:szCs w:val="18"/>
                <w:lang w:eastAsia="en-GB"/>
              </w:rPr>
            </w:pPr>
            <w:r>
              <w:rPr>
                <w:b/>
                <w:bCs/>
                <w:sz w:val="18"/>
                <w:szCs w:val="18"/>
                <w:lang w:eastAsia="en-GB"/>
              </w:rPr>
              <w:t>TABLE 2</w:t>
            </w:r>
            <w:r w:rsidR="00530A3E" w:rsidRPr="00AB71B2">
              <w:rPr>
                <w:b/>
                <w:bCs/>
                <w:sz w:val="18"/>
                <w:szCs w:val="18"/>
                <w:lang w:eastAsia="en-GB"/>
              </w:rPr>
              <w:t xml:space="preserve">. </w:t>
            </w:r>
            <w:r w:rsidR="00AB71B2" w:rsidRPr="001D63FD">
              <w:rPr>
                <w:bCs/>
                <w:sz w:val="18"/>
                <w:szCs w:val="18"/>
                <w:lang w:eastAsia="en-GB"/>
              </w:rPr>
              <w:t xml:space="preserve">Antibiotic susceptibility patterns of clinical </w:t>
            </w:r>
            <w:r w:rsidR="00AB71B2" w:rsidRPr="001D63FD">
              <w:rPr>
                <w:bCs/>
                <w:i/>
                <w:iCs/>
                <w:sz w:val="18"/>
                <w:szCs w:val="18"/>
                <w:lang w:eastAsia="en-GB"/>
              </w:rPr>
              <w:t>E. coli</w:t>
            </w:r>
            <w:r w:rsidR="0094606F" w:rsidRPr="001D63FD">
              <w:rPr>
                <w:bCs/>
                <w:sz w:val="18"/>
                <w:szCs w:val="18"/>
                <w:lang w:eastAsia="en-GB"/>
              </w:rPr>
              <w:t xml:space="preserve"> isolates using VITEK® 2 compact system (AST-N419 c</w:t>
            </w:r>
            <w:r w:rsidR="00AB71B2" w:rsidRPr="001D63FD">
              <w:rPr>
                <w:bCs/>
                <w:sz w:val="18"/>
                <w:szCs w:val="18"/>
                <w:lang w:eastAsia="en-GB"/>
              </w:rPr>
              <w:t>ard</w:t>
            </w:r>
            <w:r w:rsidR="0008016A" w:rsidRPr="001D63FD">
              <w:rPr>
                <w:bCs/>
                <w:sz w:val="18"/>
                <w:szCs w:val="18"/>
                <w:lang w:eastAsia="en-GB"/>
              </w:rPr>
              <w:t>.</w:t>
            </w:r>
          </w:p>
        </w:tc>
      </w:tr>
      <w:tr w:rsidR="00530A3E" w:rsidRPr="00530A3E" w14:paraId="44EB4536" w14:textId="77777777" w:rsidTr="00CD0B35">
        <w:trPr>
          <w:jc w:val="center"/>
        </w:trPr>
        <w:tc>
          <w:tcPr>
            <w:tcW w:w="4271" w:type="dxa"/>
            <w:vMerge w:val="restart"/>
            <w:tcBorders>
              <w:left w:val="nil"/>
              <w:bottom w:val="single" w:sz="4" w:space="0" w:color="auto"/>
              <w:right w:val="nil"/>
            </w:tcBorders>
            <w:vAlign w:val="center"/>
            <w:hideMark/>
          </w:tcPr>
          <w:p w14:paraId="61A98ABF" w14:textId="77777777" w:rsidR="00530A3E" w:rsidRPr="0094606F" w:rsidRDefault="00530A3E" w:rsidP="00E44664">
            <w:pPr>
              <w:pStyle w:val="Paragraph"/>
              <w:ind w:firstLine="0"/>
              <w:jc w:val="center"/>
              <w:rPr>
                <w:sz w:val="18"/>
                <w:szCs w:val="18"/>
                <w:lang w:eastAsia="en-GB"/>
              </w:rPr>
            </w:pPr>
            <w:r w:rsidRPr="0094606F">
              <w:rPr>
                <w:sz w:val="18"/>
                <w:szCs w:val="18"/>
                <w:lang w:eastAsia="en-GB"/>
              </w:rPr>
              <w:t>Antibiotics agents</w:t>
            </w:r>
          </w:p>
        </w:tc>
        <w:tc>
          <w:tcPr>
            <w:tcW w:w="4385" w:type="dxa"/>
            <w:gridSpan w:val="3"/>
            <w:tcBorders>
              <w:left w:val="nil"/>
              <w:bottom w:val="single" w:sz="4" w:space="0" w:color="auto"/>
              <w:right w:val="nil"/>
            </w:tcBorders>
            <w:vAlign w:val="center"/>
            <w:hideMark/>
          </w:tcPr>
          <w:p w14:paraId="403CA0D8" w14:textId="77777777" w:rsidR="00530A3E" w:rsidRPr="0094606F" w:rsidRDefault="00530A3E" w:rsidP="00E44664">
            <w:pPr>
              <w:pStyle w:val="Paragraph"/>
              <w:ind w:firstLine="0"/>
              <w:jc w:val="center"/>
              <w:rPr>
                <w:sz w:val="18"/>
                <w:szCs w:val="18"/>
                <w:lang w:eastAsia="en-GB"/>
              </w:rPr>
            </w:pPr>
            <w:r w:rsidRPr="0094606F">
              <w:rPr>
                <w:sz w:val="18"/>
                <w:szCs w:val="18"/>
                <w:lang w:eastAsia="en-GB"/>
              </w:rPr>
              <w:t>Number and Percentage</w:t>
            </w:r>
          </w:p>
        </w:tc>
        <w:tc>
          <w:tcPr>
            <w:tcW w:w="0" w:type="auto"/>
            <w:vMerge w:val="restart"/>
            <w:tcBorders>
              <w:left w:val="nil"/>
              <w:right w:val="nil"/>
            </w:tcBorders>
            <w:vAlign w:val="center"/>
            <w:hideMark/>
          </w:tcPr>
          <w:p w14:paraId="70F3680A" w14:textId="77777777" w:rsidR="00530A3E" w:rsidRPr="0094606F" w:rsidRDefault="00530A3E" w:rsidP="00E44664">
            <w:pPr>
              <w:pStyle w:val="Paragraph"/>
              <w:ind w:firstLine="0"/>
              <w:jc w:val="center"/>
              <w:rPr>
                <w:sz w:val="18"/>
                <w:szCs w:val="18"/>
                <w:vertAlign w:val="superscript"/>
                <w:lang w:eastAsia="en-GB"/>
              </w:rPr>
            </w:pPr>
            <w:r w:rsidRPr="0094606F">
              <w:rPr>
                <w:sz w:val="18"/>
                <w:szCs w:val="18"/>
                <w:lang w:eastAsia="en-GB"/>
              </w:rPr>
              <w:t>p-value</w:t>
            </w:r>
            <w:r w:rsidRPr="0094606F">
              <w:rPr>
                <w:sz w:val="18"/>
                <w:szCs w:val="18"/>
                <w:vertAlign w:val="superscript"/>
                <w:lang w:eastAsia="en-GB"/>
              </w:rPr>
              <w:t>#</w:t>
            </w:r>
          </w:p>
        </w:tc>
      </w:tr>
      <w:tr w:rsidR="0094606F" w:rsidRPr="00530A3E" w14:paraId="1782A6BE" w14:textId="77777777" w:rsidTr="00CD0B35">
        <w:trPr>
          <w:jc w:val="center"/>
        </w:trPr>
        <w:tc>
          <w:tcPr>
            <w:tcW w:w="4271" w:type="dxa"/>
            <w:vMerge/>
            <w:tcBorders>
              <w:top w:val="single" w:sz="4" w:space="0" w:color="auto"/>
              <w:left w:val="nil"/>
              <w:bottom w:val="single" w:sz="4" w:space="0" w:color="auto"/>
              <w:right w:val="nil"/>
            </w:tcBorders>
            <w:vAlign w:val="center"/>
            <w:hideMark/>
          </w:tcPr>
          <w:p w14:paraId="10CB12F2" w14:textId="77777777" w:rsidR="00530A3E" w:rsidRPr="00530A3E" w:rsidRDefault="00530A3E" w:rsidP="00E44664">
            <w:pPr>
              <w:pStyle w:val="Paragraph"/>
              <w:ind w:firstLine="0"/>
              <w:jc w:val="center"/>
              <w:rPr>
                <w:sz w:val="18"/>
                <w:szCs w:val="18"/>
                <w:lang w:eastAsia="en-GB"/>
              </w:rPr>
            </w:pPr>
          </w:p>
        </w:tc>
        <w:tc>
          <w:tcPr>
            <w:tcW w:w="1749" w:type="dxa"/>
            <w:tcBorders>
              <w:top w:val="single" w:sz="4" w:space="0" w:color="auto"/>
              <w:left w:val="nil"/>
              <w:bottom w:val="single" w:sz="4" w:space="0" w:color="auto"/>
              <w:right w:val="nil"/>
            </w:tcBorders>
            <w:vAlign w:val="center"/>
            <w:hideMark/>
          </w:tcPr>
          <w:p w14:paraId="59A277B9" w14:textId="77777777" w:rsidR="00530A3E" w:rsidRPr="0094606F" w:rsidRDefault="00530A3E" w:rsidP="00E44664">
            <w:pPr>
              <w:pStyle w:val="Paragraph"/>
              <w:ind w:firstLine="0"/>
              <w:jc w:val="center"/>
              <w:rPr>
                <w:sz w:val="18"/>
                <w:szCs w:val="18"/>
                <w:lang w:eastAsia="en-GB"/>
              </w:rPr>
            </w:pPr>
            <w:r w:rsidRPr="0094606F">
              <w:rPr>
                <w:sz w:val="18"/>
                <w:szCs w:val="18"/>
                <w:lang w:eastAsia="en-GB"/>
              </w:rPr>
              <w:t>Sensitive</w:t>
            </w:r>
          </w:p>
        </w:tc>
        <w:tc>
          <w:tcPr>
            <w:tcW w:w="0" w:type="auto"/>
            <w:tcBorders>
              <w:top w:val="single" w:sz="4" w:space="0" w:color="auto"/>
              <w:left w:val="nil"/>
              <w:bottom w:val="single" w:sz="4" w:space="0" w:color="auto"/>
              <w:right w:val="nil"/>
            </w:tcBorders>
            <w:vAlign w:val="center"/>
            <w:hideMark/>
          </w:tcPr>
          <w:p w14:paraId="48D7DBAF" w14:textId="77777777" w:rsidR="00530A3E" w:rsidRPr="0094606F" w:rsidRDefault="00530A3E" w:rsidP="00E44664">
            <w:pPr>
              <w:pStyle w:val="Paragraph"/>
              <w:ind w:firstLine="0"/>
              <w:jc w:val="center"/>
              <w:rPr>
                <w:sz w:val="18"/>
                <w:szCs w:val="18"/>
                <w:lang w:eastAsia="en-GB"/>
              </w:rPr>
            </w:pPr>
            <w:r w:rsidRPr="0094606F">
              <w:rPr>
                <w:sz w:val="18"/>
                <w:szCs w:val="18"/>
                <w:lang w:eastAsia="en-GB"/>
              </w:rPr>
              <w:t>Intermediate</w:t>
            </w:r>
          </w:p>
        </w:tc>
        <w:tc>
          <w:tcPr>
            <w:tcW w:w="0" w:type="auto"/>
            <w:tcBorders>
              <w:top w:val="single" w:sz="4" w:space="0" w:color="auto"/>
              <w:left w:val="nil"/>
              <w:bottom w:val="single" w:sz="4" w:space="0" w:color="auto"/>
              <w:right w:val="nil"/>
            </w:tcBorders>
            <w:vAlign w:val="center"/>
            <w:hideMark/>
          </w:tcPr>
          <w:p w14:paraId="1C139C7F" w14:textId="77777777" w:rsidR="00530A3E" w:rsidRPr="0094606F" w:rsidRDefault="00530A3E" w:rsidP="00E44664">
            <w:pPr>
              <w:pStyle w:val="Paragraph"/>
              <w:ind w:firstLine="0"/>
              <w:jc w:val="center"/>
              <w:rPr>
                <w:sz w:val="18"/>
                <w:szCs w:val="18"/>
                <w:lang w:eastAsia="en-GB"/>
              </w:rPr>
            </w:pPr>
            <w:r w:rsidRPr="0094606F">
              <w:rPr>
                <w:sz w:val="18"/>
                <w:szCs w:val="18"/>
                <w:lang w:eastAsia="en-GB"/>
              </w:rPr>
              <w:t>Resistance</w:t>
            </w:r>
          </w:p>
        </w:tc>
        <w:tc>
          <w:tcPr>
            <w:tcW w:w="0" w:type="auto"/>
            <w:vMerge/>
            <w:tcBorders>
              <w:left w:val="nil"/>
              <w:bottom w:val="single" w:sz="4" w:space="0" w:color="auto"/>
              <w:right w:val="nil"/>
            </w:tcBorders>
            <w:vAlign w:val="center"/>
          </w:tcPr>
          <w:p w14:paraId="37677866" w14:textId="77777777" w:rsidR="00530A3E" w:rsidRPr="00530A3E" w:rsidRDefault="00530A3E" w:rsidP="00E44664">
            <w:pPr>
              <w:pStyle w:val="Paragraph"/>
              <w:ind w:firstLine="0"/>
              <w:jc w:val="center"/>
              <w:rPr>
                <w:b/>
                <w:bCs/>
                <w:sz w:val="18"/>
                <w:szCs w:val="18"/>
                <w:lang w:eastAsia="en-GB"/>
              </w:rPr>
            </w:pPr>
          </w:p>
        </w:tc>
      </w:tr>
      <w:tr w:rsidR="0094606F" w:rsidRPr="00530A3E" w14:paraId="6F9C6F0F" w14:textId="77777777" w:rsidTr="00CD0B35">
        <w:trPr>
          <w:jc w:val="center"/>
        </w:trPr>
        <w:tc>
          <w:tcPr>
            <w:tcW w:w="4271" w:type="dxa"/>
            <w:tcBorders>
              <w:top w:val="single" w:sz="4" w:space="0" w:color="auto"/>
              <w:left w:val="nil"/>
              <w:bottom w:val="nil"/>
              <w:right w:val="nil"/>
            </w:tcBorders>
            <w:vAlign w:val="center"/>
            <w:hideMark/>
          </w:tcPr>
          <w:p w14:paraId="0A4377A8" w14:textId="27CA3A02" w:rsidR="0099393C" w:rsidRPr="00530A3E" w:rsidRDefault="0099393C" w:rsidP="00E44664">
            <w:pPr>
              <w:pStyle w:val="Paragraph"/>
              <w:ind w:firstLine="0"/>
              <w:jc w:val="center"/>
              <w:rPr>
                <w:sz w:val="18"/>
                <w:szCs w:val="18"/>
                <w:lang w:eastAsia="en-GB"/>
              </w:rPr>
            </w:pPr>
            <w:r w:rsidRPr="00530A3E">
              <w:rPr>
                <w:sz w:val="18"/>
                <w:szCs w:val="18"/>
                <w:lang w:eastAsia="en-GB"/>
              </w:rPr>
              <w:t>Amikacin</w:t>
            </w:r>
          </w:p>
        </w:tc>
        <w:tc>
          <w:tcPr>
            <w:tcW w:w="1749" w:type="dxa"/>
            <w:tcBorders>
              <w:top w:val="single" w:sz="4" w:space="0" w:color="auto"/>
              <w:left w:val="nil"/>
              <w:bottom w:val="nil"/>
              <w:right w:val="nil"/>
            </w:tcBorders>
            <w:vAlign w:val="center"/>
            <w:hideMark/>
          </w:tcPr>
          <w:p w14:paraId="59521716"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6 (12%)</w:t>
            </w:r>
          </w:p>
        </w:tc>
        <w:tc>
          <w:tcPr>
            <w:tcW w:w="0" w:type="auto"/>
            <w:tcBorders>
              <w:top w:val="single" w:sz="4" w:space="0" w:color="auto"/>
              <w:left w:val="nil"/>
              <w:bottom w:val="nil"/>
              <w:right w:val="nil"/>
            </w:tcBorders>
            <w:vAlign w:val="center"/>
            <w:hideMark/>
          </w:tcPr>
          <w:p w14:paraId="3D4C8387"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5 (10%)</w:t>
            </w:r>
          </w:p>
        </w:tc>
        <w:tc>
          <w:tcPr>
            <w:tcW w:w="0" w:type="auto"/>
            <w:tcBorders>
              <w:top w:val="single" w:sz="4" w:space="0" w:color="auto"/>
              <w:left w:val="nil"/>
              <w:bottom w:val="nil"/>
              <w:right w:val="nil"/>
            </w:tcBorders>
            <w:vAlign w:val="center"/>
            <w:hideMark/>
          </w:tcPr>
          <w:p w14:paraId="3B5EB865"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39 ( 78% )</w:t>
            </w:r>
          </w:p>
        </w:tc>
        <w:tc>
          <w:tcPr>
            <w:tcW w:w="0" w:type="auto"/>
            <w:tcBorders>
              <w:top w:val="single" w:sz="4" w:space="0" w:color="auto"/>
              <w:left w:val="nil"/>
              <w:bottom w:val="nil"/>
              <w:right w:val="nil"/>
            </w:tcBorders>
            <w:vAlign w:val="center"/>
            <w:hideMark/>
          </w:tcPr>
          <w:p w14:paraId="3BD4D92D" w14:textId="77777777" w:rsidR="0099393C" w:rsidRPr="00530A3E" w:rsidRDefault="0099393C" w:rsidP="00E44664">
            <w:pPr>
              <w:pStyle w:val="Paragraph"/>
              <w:ind w:firstLine="0"/>
              <w:jc w:val="center"/>
              <w:rPr>
                <w:sz w:val="18"/>
                <w:szCs w:val="18"/>
                <w:vertAlign w:val="superscript"/>
                <w:lang w:eastAsia="en-GB"/>
              </w:rPr>
            </w:pPr>
            <w:r w:rsidRPr="00530A3E">
              <w:rPr>
                <w:sz w:val="18"/>
                <w:szCs w:val="18"/>
                <w:lang w:eastAsia="en-GB"/>
              </w:rPr>
              <w:t>0.01</w:t>
            </w:r>
            <w:r w:rsidRPr="00530A3E">
              <w:rPr>
                <w:sz w:val="18"/>
                <w:szCs w:val="18"/>
                <w:vertAlign w:val="superscript"/>
                <w:lang w:eastAsia="en-GB"/>
              </w:rPr>
              <w:t>*</w:t>
            </w:r>
          </w:p>
        </w:tc>
      </w:tr>
      <w:tr w:rsidR="0094606F" w:rsidRPr="00530A3E" w14:paraId="30684D2A" w14:textId="77777777" w:rsidTr="00CD0B35">
        <w:trPr>
          <w:jc w:val="center"/>
        </w:trPr>
        <w:tc>
          <w:tcPr>
            <w:tcW w:w="4271" w:type="dxa"/>
            <w:tcBorders>
              <w:top w:val="nil"/>
              <w:left w:val="nil"/>
              <w:bottom w:val="nil"/>
              <w:right w:val="nil"/>
            </w:tcBorders>
            <w:vAlign w:val="center"/>
            <w:hideMark/>
          </w:tcPr>
          <w:p w14:paraId="5F5D78E0"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Aztreonam</w:t>
            </w:r>
          </w:p>
        </w:tc>
        <w:tc>
          <w:tcPr>
            <w:tcW w:w="1749" w:type="dxa"/>
            <w:tcBorders>
              <w:top w:val="nil"/>
              <w:left w:val="nil"/>
              <w:bottom w:val="nil"/>
              <w:right w:val="nil"/>
            </w:tcBorders>
            <w:vAlign w:val="center"/>
            <w:hideMark/>
          </w:tcPr>
          <w:p w14:paraId="1FF30EE8"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 (8%)</w:t>
            </w:r>
          </w:p>
        </w:tc>
        <w:tc>
          <w:tcPr>
            <w:tcW w:w="0" w:type="auto"/>
            <w:tcBorders>
              <w:top w:val="nil"/>
              <w:left w:val="nil"/>
              <w:bottom w:val="nil"/>
              <w:right w:val="nil"/>
            </w:tcBorders>
            <w:vAlign w:val="center"/>
            <w:hideMark/>
          </w:tcPr>
          <w:p w14:paraId="4A8F927A"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6 (12%)</w:t>
            </w:r>
          </w:p>
        </w:tc>
        <w:tc>
          <w:tcPr>
            <w:tcW w:w="0" w:type="auto"/>
            <w:tcBorders>
              <w:top w:val="nil"/>
              <w:left w:val="nil"/>
              <w:bottom w:val="nil"/>
              <w:right w:val="nil"/>
            </w:tcBorders>
            <w:vAlign w:val="center"/>
            <w:hideMark/>
          </w:tcPr>
          <w:p w14:paraId="00F33501"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40 (80%)</w:t>
            </w:r>
          </w:p>
        </w:tc>
        <w:tc>
          <w:tcPr>
            <w:tcW w:w="0" w:type="auto"/>
            <w:tcBorders>
              <w:top w:val="nil"/>
              <w:left w:val="nil"/>
              <w:bottom w:val="nil"/>
              <w:right w:val="nil"/>
            </w:tcBorders>
            <w:vAlign w:val="center"/>
            <w:hideMark/>
          </w:tcPr>
          <w:p w14:paraId="0D45234F" w14:textId="77777777" w:rsidR="0099393C" w:rsidRPr="00530A3E" w:rsidRDefault="0099393C" w:rsidP="00E44664">
            <w:pPr>
              <w:pStyle w:val="Paragraph"/>
              <w:ind w:firstLine="0"/>
              <w:jc w:val="center"/>
              <w:rPr>
                <w:sz w:val="18"/>
                <w:szCs w:val="18"/>
                <w:vertAlign w:val="superscript"/>
                <w:lang w:eastAsia="en-GB"/>
              </w:rPr>
            </w:pPr>
            <w:r w:rsidRPr="00530A3E">
              <w:rPr>
                <w:sz w:val="18"/>
                <w:szCs w:val="18"/>
                <w:lang w:eastAsia="en-GB"/>
              </w:rPr>
              <w:t>0.01</w:t>
            </w:r>
            <w:r w:rsidRPr="00530A3E">
              <w:rPr>
                <w:sz w:val="18"/>
                <w:szCs w:val="18"/>
                <w:vertAlign w:val="superscript"/>
                <w:lang w:eastAsia="en-GB"/>
              </w:rPr>
              <w:t>*</w:t>
            </w:r>
          </w:p>
        </w:tc>
      </w:tr>
      <w:tr w:rsidR="0094606F" w:rsidRPr="00530A3E" w14:paraId="60C3616F" w14:textId="77777777" w:rsidTr="00CD0B35">
        <w:trPr>
          <w:jc w:val="center"/>
        </w:trPr>
        <w:tc>
          <w:tcPr>
            <w:tcW w:w="4271" w:type="dxa"/>
            <w:tcBorders>
              <w:top w:val="nil"/>
              <w:left w:val="nil"/>
              <w:bottom w:val="nil"/>
              <w:right w:val="nil"/>
            </w:tcBorders>
            <w:vAlign w:val="center"/>
            <w:hideMark/>
          </w:tcPr>
          <w:p w14:paraId="2C6523D5"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Minocycline</w:t>
            </w:r>
          </w:p>
        </w:tc>
        <w:tc>
          <w:tcPr>
            <w:tcW w:w="1749" w:type="dxa"/>
            <w:tcBorders>
              <w:top w:val="nil"/>
              <w:left w:val="nil"/>
              <w:bottom w:val="nil"/>
              <w:right w:val="nil"/>
            </w:tcBorders>
            <w:vAlign w:val="center"/>
            <w:hideMark/>
          </w:tcPr>
          <w:p w14:paraId="3F1C5CDC"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 (8%)</w:t>
            </w:r>
          </w:p>
        </w:tc>
        <w:tc>
          <w:tcPr>
            <w:tcW w:w="0" w:type="auto"/>
            <w:tcBorders>
              <w:top w:val="nil"/>
              <w:left w:val="nil"/>
              <w:bottom w:val="nil"/>
              <w:right w:val="nil"/>
            </w:tcBorders>
            <w:vAlign w:val="center"/>
            <w:hideMark/>
          </w:tcPr>
          <w:p w14:paraId="3E234824"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 (8%)</w:t>
            </w:r>
          </w:p>
        </w:tc>
        <w:tc>
          <w:tcPr>
            <w:tcW w:w="0" w:type="auto"/>
            <w:tcBorders>
              <w:top w:val="nil"/>
              <w:left w:val="nil"/>
              <w:bottom w:val="nil"/>
              <w:right w:val="nil"/>
            </w:tcBorders>
            <w:vAlign w:val="center"/>
            <w:hideMark/>
          </w:tcPr>
          <w:p w14:paraId="6A9351A3"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42 (84%)</w:t>
            </w:r>
          </w:p>
        </w:tc>
        <w:tc>
          <w:tcPr>
            <w:tcW w:w="0" w:type="auto"/>
            <w:tcBorders>
              <w:top w:val="nil"/>
              <w:left w:val="nil"/>
              <w:bottom w:val="nil"/>
              <w:right w:val="nil"/>
            </w:tcBorders>
            <w:vAlign w:val="center"/>
            <w:hideMark/>
          </w:tcPr>
          <w:p w14:paraId="30AFBBC6" w14:textId="77777777" w:rsidR="0099393C" w:rsidRPr="00530A3E" w:rsidRDefault="0099393C" w:rsidP="00E44664">
            <w:pPr>
              <w:pStyle w:val="Paragraph"/>
              <w:ind w:firstLine="0"/>
              <w:jc w:val="center"/>
              <w:rPr>
                <w:sz w:val="18"/>
                <w:szCs w:val="18"/>
                <w:vertAlign w:val="superscript"/>
                <w:lang w:eastAsia="en-GB"/>
              </w:rPr>
            </w:pPr>
            <w:r w:rsidRPr="00530A3E">
              <w:rPr>
                <w:sz w:val="18"/>
                <w:szCs w:val="18"/>
                <w:lang w:eastAsia="en-GB"/>
              </w:rPr>
              <w:t>0.05</w:t>
            </w:r>
            <w:r w:rsidRPr="00530A3E">
              <w:rPr>
                <w:sz w:val="18"/>
                <w:szCs w:val="18"/>
                <w:vertAlign w:val="superscript"/>
                <w:lang w:eastAsia="en-GB"/>
              </w:rPr>
              <w:t>*</w:t>
            </w:r>
          </w:p>
        </w:tc>
      </w:tr>
      <w:tr w:rsidR="0094606F" w:rsidRPr="00530A3E" w14:paraId="0938D7A3" w14:textId="77777777" w:rsidTr="00CD0B35">
        <w:trPr>
          <w:jc w:val="center"/>
        </w:trPr>
        <w:tc>
          <w:tcPr>
            <w:tcW w:w="4271" w:type="dxa"/>
            <w:tcBorders>
              <w:top w:val="nil"/>
              <w:left w:val="nil"/>
              <w:bottom w:val="nil"/>
              <w:right w:val="nil"/>
            </w:tcBorders>
            <w:vAlign w:val="center"/>
            <w:hideMark/>
          </w:tcPr>
          <w:p w14:paraId="427DDC9B"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Rifampicin</w:t>
            </w:r>
          </w:p>
        </w:tc>
        <w:tc>
          <w:tcPr>
            <w:tcW w:w="1749" w:type="dxa"/>
            <w:tcBorders>
              <w:top w:val="nil"/>
              <w:left w:val="nil"/>
              <w:bottom w:val="nil"/>
              <w:right w:val="nil"/>
            </w:tcBorders>
            <w:vAlign w:val="center"/>
            <w:hideMark/>
          </w:tcPr>
          <w:p w14:paraId="7184F4C1"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 (8%)</w:t>
            </w:r>
          </w:p>
        </w:tc>
        <w:tc>
          <w:tcPr>
            <w:tcW w:w="0" w:type="auto"/>
            <w:tcBorders>
              <w:top w:val="nil"/>
              <w:left w:val="nil"/>
              <w:bottom w:val="nil"/>
              <w:right w:val="nil"/>
            </w:tcBorders>
            <w:vAlign w:val="center"/>
            <w:hideMark/>
          </w:tcPr>
          <w:p w14:paraId="14AE9723"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5 (10%)</w:t>
            </w:r>
          </w:p>
        </w:tc>
        <w:tc>
          <w:tcPr>
            <w:tcW w:w="0" w:type="auto"/>
            <w:tcBorders>
              <w:top w:val="nil"/>
              <w:left w:val="nil"/>
              <w:bottom w:val="nil"/>
              <w:right w:val="nil"/>
            </w:tcBorders>
            <w:vAlign w:val="center"/>
            <w:hideMark/>
          </w:tcPr>
          <w:p w14:paraId="08E8D955"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41 (82%)</w:t>
            </w:r>
          </w:p>
        </w:tc>
        <w:tc>
          <w:tcPr>
            <w:tcW w:w="0" w:type="auto"/>
            <w:tcBorders>
              <w:top w:val="nil"/>
              <w:left w:val="nil"/>
              <w:bottom w:val="nil"/>
              <w:right w:val="nil"/>
            </w:tcBorders>
            <w:vAlign w:val="center"/>
            <w:hideMark/>
          </w:tcPr>
          <w:p w14:paraId="67E64D85" w14:textId="77777777" w:rsidR="0099393C" w:rsidRPr="00530A3E" w:rsidRDefault="0099393C" w:rsidP="00E44664">
            <w:pPr>
              <w:pStyle w:val="Paragraph"/>
              <w:ind w:firstLine="0"/>
              <w:jc w:val="center"/>
              <w:rPr>
                <w:sz w:val="18"/>
                <w:szCs w:val="18"/>
                <w:vertAlign w:val="superscript"/>
                <w:lang w:eastAsia="en-GB"/>
              </w:rPr>
            </w:pPr>
            <w:r w:rsidRPr="00530A3E">
              <w:rPr>
                <w:sz w:val="18"/>
                <w:szCs w:val="18"/>
                <w:lang w:eastAsia="en-GB"/>
              </w:rPr>
              <w:t>0.01</w:t>
            </w:r>
            <w:r w:rsidRPr="00530A3E">
              <w:rPr>
                <w:sz w:val="18"/>
                <w:szCs w:val="18"/>
                <w:vertAlign w:val="superscript"/>
                <w:lang w:eastAsia="en-GB"/>
              </w:rPr>
              <w:t>*</w:t>
            </w:r>
          </w:p>
        </w:tc>
      </w:tr>
      <w:tr w:rsidR="0094606F" w:rsidRPr="00530A3E" w14:paraId="2567937E" w14:textId="77777777" w:rsidTr="00CD0B35">
        <w:trPr>
          <w:jc w:val="center"/>
        </w:trPr>
        <w:tc>
          <w:tcPr>
            <w:tcW w:w="4271" w:type="dxa"/>
            <w:tcBorders>
              <w:top w:val="nil"/>
              <w:left w:val="nil"/>
              <w:bottom w:val="nil"/>
              <w:right w:val="nil"/>
            </w:tcBorders>
            <w:vAlign w:val="center"/>
            <w:hideMark/>
          </w:tcPr>
          <w:p w14:paraId="64B54667" w14:textId="14202F47" w:rsidR="0099393C" w:rsidRPr="00530A3E" w:rsidRDefault="0099393C" w:rsidP="00E44664">
            <w:pPr>
              <w:pStyle w:val="Paragraph"/>
              <w:ind w:firstLine="0"/>
              <w:jc w:val="center"/>
              <w:rPr>
                <w:sz w:val="18"/>
                <w:szCs w:val="18"/>
                <w:lang w:eastAsia="en-GB"/>
              </w:rPr>
            </w:pPr>
            <w:r w:rsidRPr="00530A3E">
              <w:rPr>
                <w:sz w:val="18"/>
                <w:szCs w:val="18"/>
                <w:lang w:eastAsia="en-GB"/>
              </w:rPr>
              <w:t>Cefepime</w:t>
            </w:r>
          </w:p>
        </w:tc>
        <w:tc>
          <w:tcPr>
            <w:tcW w:w="1749" w:type="dxa"/>
            <w:tcBorders>
              <w:top w:val="nil"/>
              <w:left w:val="nil"/>
              <w:bottom w:val="nil"/>
              <w:right w:val="nil"/>
            </w:tcBorders>
            <w:vAlign w:val="center"/>
            <w:hideMark/>
          </w:tcPr>
          <w:p w14:paraId="195AD47B"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3 (6%)</w:t>
            </w:r>
          </w:p>
        </w:tc>
        <w:tc>
          <w:tcPr>
            <w:tcW w:w="0" w:type="auto"/>
            <w:tcBorders>
              <w:top w:val="nil"/>
              <w:left w:val="nil"/>
              <w:bottom w:val="nil"/>
              <w:right w:val="nil"/>
            </w:tcBorders>
            <w:vAlign w:val="center"/>
            <w:hideMark/>
          </w:tcPr>
          <w:p w14:paraId="4C963E36"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7 (14%)</w:t>
            </w:r>
          </w:p>
        </w:tc>
        <w:tc>
          <w:tcPr>
            <w:tcW w:w="0" w:type="auto"/>
            <w:tcBorders>
              <w:top w:val="nil"/>
              <w:left w:val="nil"/>
              <w:bottom w:val="nil"/>
              <w:right w:val="nil"/>
            </w:tcBorders>
            <w:vAlign w:val="center"/>
            <w:hideMark/>
          </w:tcPr>
          <w:p w14:paraId="3ADD7B0E"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40 (80%)</w:t>
            </w:r>
          </w:p>
        </w:tc>
        <w:tc>
          <w:tcPr>
            <w:tcW w:w="0" w:type="auto"/>
            <w:tcBorders>
              <w:top w:val="nil"/>
              <w:left w:val="nil"/>
              <w:bottom w:val="nil"/>
              <w:right w:val="nil"/>
            </w:tcBorders>
            <w:vAlign w:val="center"/>
            <w:hideMark/>
          </w:tcPr>
          <w:p w14:paraId="5DC68EF7" w14:textId="77777777" w:rsidR="0099393C" w:rsidRPr="00530A3E" w:rsidRDefault="0099393C" w:rsidP="00E44664">
            <w:pPr>
              <w:pStyle w:val="Paragraph"/>
              <w:ind w:firstLine="0"/>
              <w:jc w:val="center"/>
              <w:rPr>
                <w:sz w:val="18"/>
                <w:szCs w:val="18"/>
                <w:vertAlign w:val="superscript"/>
                <w:lang w:eastAsia="en-GB"/>
              </w:rPr>
            </w:pPr>
            <w:r w:rsidRPr="00530A3E">
              <w:rPr>
                <w:sz w:val="18"/>
                <w:szCs w:val="18"/>
                <w:lang w:eastAsia="en-GB"/>
              </w:rPr>
              <w:t>0.001</w:t>
            </w:r>
            <w:r w:rsidRPr="00530A3E">
              <w:rPr>
                <w:sz w:val="18"/>
                <w:szCs w:val="18"/>
                <w:vertAlign w:val="superscript"/>
                <w:lang w:eastAsia="en-GB"/>
              </w:rPr>
              <w:t>*</w:t>
            </w:r>
          </w:p>
        </w:tc>
      </w:tr>
      <w:tr w:rsidR="0094606F" w:rsidRPr="00530A3E" w14:paraId="1438932D" w14:textId="77777777" w:rsidTr="00CD0B35">
        <w:trPr>
          <w:jc w:val="center"/>
        </w:trPr>
        <w:tc>
          <w:tcPr>
            <w:tcW w:w="4271" w:type="dxa"/>
            <w:tcBorders>
              <w:top w:val="nil"/>
              <w:left w:val="nil"/>
              <w:bottom w:val="nil"/>
              <w:right w:val="nil"/>
            </w:tcBorders>
            <w:vAlign w:val="center"/>
            <w:hideMark/>
          </w:tcPr>
          <w:p w14:paraId="1192029F" w14:textId="31C27463" w:rsidR="0099393C" w:rsidRPr="00530A3E" w:rsidRDefault="0099393C" w:rsidP="00E44664">
            <w:pPr>
              <w:pStyle w:val="Paragraph"/>
              <w:ind w:firstLine="0"/>
              <w:jc w:val="center"/>
              <w:rPr>
                <w:sz w:val="18"/>
                <w:szCs w:val="18"/>
                <w:lang w:eastAsia="en-GB"/>
              </w:rPr>
            </w:pPr>
            <w:r w:rsidRPr="00530A3E">
              <w:rPr>
                <w:sz w:val="18"/>
                <w:szCs w:val="18"/>
                <w:lang w:eastAsia="en-GB"/>
              </w:rPr>
              <w:t>Ceftazidime</w:t>
            </w:r>
          </w:p>
        </w:tc>
        <w:tc>
          <w:tcPr>
            <w:tcW w:w="1749" w:type="dxa"/>
            <w:tcBorders>
              <w:top w:val="nil"/>
              <w:left w:val="nil"/>
              <w:bottom w:val="nil"/>
              <w:right w:val="nil"/>
            </w:tcBorders>
            <w:vAlign w:val="center"/>
            <w:hideMark/>
          </w:tcPr>
          <w:p w14:paraId="297B49EE"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 (8%)</w:t>
            </w:r>
          </w:p>
        </w:tc>
        <w:tc>
          <w:tcPr>
            <w:tcW w:w="0" w:type="auto"/>
            <w:tcBorders>
              <w:top w:val="nil"/>
              <w:left w:val="nil"/>
              <w:bottom w:val="nil"/>
              <w:right w:val="nil"/>
            </w:tcBorders>
            <w:vAlign w:val="center"/>
            <w:hideMark/>
          </w:tcPr>
          <w:p w14:paraId="79D003D4"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8 (16%)</w:t>
            </w:r>
          </w:p>
        </w:tc>
        <w:tc>
          <w:tcPr>
            <w:tcW w:w="0" w:type="auto"/>
            <w:tcBorders>
              <w:top w:val="nil"/>
              <w:left w:val="nil"/>
              <w:bottom w:val="nil"/>
              <w:right w:val="nil"/>
            </w:tcBorders>
            <w:vAlign w:val="center"/>
            <w:hideMark/>
          </w:tcPr>
          <w:p w14:paraId="3C2FCA16"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38 (76%)</w:t>
            </w:r>
          </w:p>
        </w:tc>
        <w:tc>
          <w:tcPr>
            <w:tcW w:w="0" w:type="auto"/>
            <w:tcBorders>
              <w:top w:val="nil"/>
              <w:left w:val="nil"/>
              <w:bottom w:val="nil"/>
              <w:right w:val="nil"/>
            </w:tcBorders>
            <w:vAlign w:val="center"/>
            <w:hideMark/>
          </w:tcPr>
          <w:p w14:paraId="10688164" w14:textId="77777777" w:rsidR="0099393C" w:rsidRPr="00530A3E" w:rsidRDefault="0099393C" w:rsidP="00E44664">
            <w:pPr>
              <w:pStyle w:val="Paragraph"/>
              <w:ind w:firstLine="0"/>
              <w:jc w:val="center"/>
              <w:rPr>
                <w:sz w:val="18"/>
                <w:szCs w:val="18"/>
                <w:vertAlign w:val="superscript"/>
                <w:lang w:eastAsia="en-GB"/>
              </w:rPr>
            </w:pPr>
            <w:r w:rsidRPr="00530A3E">
              <w:rPr>
                <w:sz w:val="18"/>
                <w:szCs w:val="18"/>
                <w:lang w:eastAsia="en-GB"/>
              </w:rPr>
              <w:t>0.001</w:t>
            </w:r>
            <w:r w:rsidRPr="00530A3E">
              <w:rPr>
                <w:sz w:val="18"/>
                <w:szCs w:val="18"/>
                <w:vertAlign w:val="superscript"/>
                <w:lang w:eastAsia="en-GB"/>
              </w:rPr>
              <w:t>*</w:t>
            </w:r>
          </w:p>
        </w:tc>
      </w:tr>
      <w:tr w:rsidR="0094606F" w:rsidRPr="00530A3E" w14:paraId="44A9F57E" w14:textId="77777777" w:rsidTr="00CD0B35">
        <w:trPr>
          <w:jc w:val="center"/>
        </w:trPr>
        <w:tc>
          <w:tcPr>
            <w:tcW w:w="4271" w:type="dxa"/>
            <w:tcBorders>
              <w:top w:val="nil"/>
              <w:left w:val="nil"/>
              <w:bottom w:val="nil"/>
              <w:right w:val="nil"/>
            </w:tcBorders>
            <w:vAlign w:val="center"/>
            <w:hideMark/>
          </w:tcPr>
          <w:p w14:paraId="5972E184" w14:textId="0BF7B948" w:rsidR="0099393C" w:rsidRPr="00530A3E" w:rsidRDefault="0099393C" w:rsidP="00E44664">
            <w:pPr>
              <w:pStyle w:val="Paragraph"/>
              <w:ind w:firstLine="0"/>
              <w:jc w:val="center"/>
              <w:rPr>
                <w:sz w:val="18"/>
                <w:szCs w:val="18"/>
                <w:lang w:eastAsia="en-GB"/>
              </w:rPr>
            </w:pPr>
            <w:r w:rsidRPr="00530A3E">
              <w:rPr>
                <w:sz w:val="18"/>
                <w:szCs w:val="18"/>
                <w:lang w:eastAsia="en-GB"/>
              </w:rPr>
              <w:t>Cefazolin</w:t>
            </w:r>
          </w:p>
        </w:tc>
        <w:tc>
          <w:tcPr>
            <w:tcW w:w="1749" w:type="dxa"/>
            <w:tcBorders>
              <w:top w:val="nil"/>
              <w:left w:val="nil"/>
              <w:bottom w:val="nil"/>
              <w:right w:val="nil"/>
            </w:tcBorders>
            <w:vAlign w:val="center"/>
            <w:hideMark/>
          </w:tcPr>
          <w:p w14:paraId="27425953"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9 (18%)</w:t>
            </w:r>
          </w:p>
        </w:tc>
        <w:tc>
          <w:tcPr>
            <w:tcW w:w="0" w:type="auto"/>
            <w:tcBorders>
              <w:top w:val="nil"/>
              <w:left w:val="nil"/>
              <w:bottom w:val="nil"/>
              <w:right w:val="nil"/>
            </w:tcBorders>
            <w:vAlign w:val="center"/>
            <w:hideMark/>
          </w:tcPr>
          <w:p w14:paraId="37698CDC"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2 (4%)</w:t>
            </w:r>
          </w:p>
        </w:tc>
        <w:tc>
          <w:tcPr>
            <w:tcW w:w="0" w:type="auto"/>
            <w:tcBorders>
              <w:top w:val="nil"/>
              <w:left w:val="nil"/>
              <w:bottom w:val="nil"/>
              <w:right w:val="nil"/>
            </w:tcBorders>
            <w:vAlign w:val="center"/>
            <w:hideMark/>
          </w:tcPr>
          <w:p w14:paraId="674DA73D"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39 (78%)</w:t>
            </w:r>
          </w:p>
        </w:tc>
        <w:tc>
          <w:tcPr>
            <w:tcW w:w="0" w:type="auto"/>
            <w:tcBorders>
              <w:top w:val="nil"/>
              <w:left w:val="nil"/>
              <w:bottom w:val="nil"/>
              <w:right w:val="nil"/>
            </w:tcBorders>
            <w:vAlign w:val="center"/>
            <w:hideMark/>
          </w:tcPr>
          <w:p w14:paraId="2915CEC4" w14:textId="77777777" w:rsidR="0099393C" w:rsidRPr="00530A3E" w:rsidRDefault="0099393C" w:rsidP="00E44664">
            <w:pPr>
              <w:pStyle w:val="Paragraph"/>
              <w:ind w:firstLine="0"/>
              <w:jc w:val="center"/>
              <w:rPr>
                <w:sz w:val="18"/>
                <w:szCs w:val="18"/>
                <w:vertAlign w:val="superscript"/>
                <w:lang w:eastAsia="en-GB"/>
              </w:rPr>
            </w:pPr>
            <w:r w:rsidRPr="00530A3E">
              <w:rPr>
                <w:sz w:val="18"/>
                <w:szCs w:val="18"/>
                <w:lang w:eastAsia="en-GB"/>
              </w:rPr>
              <w:t>0.001</w:t>
            </w:r>
            <w:r w:rsidRPr="00530A3E">
              <w:rPr>
                <w:sz w:val="18"/>
                <w:szCs w:val="18"/>
                <w:vertAlign w:val="superscript"/>
                <w:lang w:eastAsia="en-GB"/>
              </w:rPr>
              <w:t>*</w:t>
            </w:r>
          </w:p>
        </w:tc>
      </w:tr>
      <w:tr w:rsidR="0094606F" w:rsidRPr="00530A3E" w14:paraId="2EBA7BA7" w14:textId="77777777" w:rsidTr="00CD0B35">
        <w:trPr>
          <w:jc w:val="center"/>
        </w:trPr>
        <w:tc>
          <w:tcPr>
            <w:tcW w:w="4271" w:type="dxa"/>
            <w:tcBorders>
              <w:top w:val="nil"/>
              <w:left w:val="nil"/>
              <w:bottom w:val="nil"/>
              <w:right w:val="nil"/>
            </w:tcBorders>
            <w:vAlign w:val="center"/>
            <w:hideMark/>
          </w:tcPr>
          <w:p w14:paraId="473BB6C5" w14:textId="398BC54A" w:rsidR="0099393C" w:rsidRPr="00530A3E" w:rsidRDefault="0099393C" w:rsidP="00E44664">
            <w:pPr>
              <w:pStyle w:val="Paragraph"/>
              <w:ind w:firstLine="0"/>
              <w:jc w:val="center"/>
              <w:rPr>
                <w:sz w:val="18"/>
                <w:szCs w:val="18"/>
                <w:lang w:eastAsia="en-GB"/>
              </w:rPr>
            </w:pPr>
            <w:r w:rsidRPr="00530A3E">
              <w:rPr>
                <w:sz w:val="18"/>
                <w:szCs w:val="18"/>
                <w:lang w:eastAsia="en-GB"/>
              </w:rPr>
              <w:t>Ciprofloxacin</w:t>
            </w:r>
          </w:p>
        </w:tc>
        <w:tc>
          <w:tcPr>
            <w:tcW w:w="1749" w:type="dxa"/>
            <w:tcBorders>
              <w:top w:val="nil"/>
              <w:left w:val="nil"/>
              <w:bottom w:val="nil"/>
              <w:right w:val="nil"/>
            </w:tcBorders>
            <w:vAlign w:val="center"/>
            <w:hideMark/>
          </w:tcPr>
          <w:p w14:paraId="58DF6ECB"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36 (72%)</w:t>
            </w:r>
          </w:p>
        </w:tc>
        <w:tc>
          <w:tcPr>
            <w:tcW w:w="0" w:type="auto"/>
            <w:tcBorders>
              <w:top w:val="nil"/>
              <w:left w:val="nil"/>
              <w:bottom w:val="nil"/>
              <w:right w:val="nil"/>
            </w:tcBorders>
            <w:vAlign w:val="center"/>
            <w:hideMark/>
          </w:tcPr>
          <w:p w14:paraId="0EAA49AD"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9 (18%)</w:t>
            </w:r>
          </w:p>
        </w:tc>
        <w:tc>
          <w:tcPr>
            <w:tcW w:w="0" w:type="auto"/>
            <w:tcBorders>
              <w:top w:val="nil"/>
              <w:left w:val="nil"/>
              <w:bottom w:val="nil"/>
              <w:right w:val="nil"/>
            </w:tcBorders>
            <w:vAlign w:val="center"/>
            <w:hideMark/>
          </w:tcPr>
          <w:p w14:paraId="35D922DA"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5 (10%)</w:t>
            </w:r>
          </w:p>
        </w:tc>
        <w:tc>
          <w:tcPr>
            <w:tcW w:w="0" w:type="auto"/>
            <w:tcBorders>
              <w:top w:val="nil"/>
              <w:left w:val="nil"/>
              <w:bottom w:val="nil"/>
              <w:right w:val="nil"/>
            </w:tcBorders>
            <w:vAlign w:val="center"/>
            <w:hideMark/>
          </w:tcPr>
          <w:p w14:paraId="661AD717" w14:textId="77777777" w:rsidR="0099393C" w:rsidRPr="00530A3E" w:rsidRDefault="0099393C" w:rsidP="00E44664">
            <w:pPr>
              <w:pStyle w:val="Paragraph"/>
              <w:ind w:firstLine="0"/>
              <w:jc w:val="center"/>
              <w:rPr>
                <w:sz w:val="18"/>
                <w:szCs w:val="18"/>
                <w:vertAlign w:val="superscript"/>
                <w:lang w:eastAsia="en-GB"/>
              </w:rPr>
            </w:pPr>
            <w:r w:rsidRPr="00530A3E">
              <w:rPr>
                <w:sz w:val="18"/>
                <w:szCs w:val="18"/>
                <w:lang w:eastAsia="en-GB"/>
              </w:rPr>
              <w:t>0.001</w:t>
            </w:r>
            <w:r w:rsidRPr="00530A3E">
              <w:rPr>
                <w:sz w:val="18"/>
                <w:szCs w:val="18"/>
                <w:vertAlign w:val="superscript"/>
                <w:lang w:eastAsia="en-GB"/>
              </w:rPr>
              <w:t>*</w:t>
            </w:r>
          </w:p>
        </w:tc>
      </w:tr>
      <w:tr w:rsidR="0094606F" w:rsidRPr="00530A3E" w14:paraId="65FAA64B" w14:textId="77777777" w:rsidTr="00CD0B35">
        <w:trPr>
          <w:jc w:val="center"/>
        </w:trPr>
        <w:tc>
          <w:tcPr>
            <w:tcW w:w="4271" w:type="dxa"/>
            <w:tcBorders>
              <w:top w:val="nil"/>
              <w:left w:val="nil"/>
              <w:bottom w:val="nil"/>
              <w:right w:val="nil"/>
            </w:tcBorders>
            <w:vAlign w:val="center"/>
            <w:hideMark/>
          </w:tcPr>
          <w:p w14:paraId="43267788"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Pefloxacin</w:t>
            </w:r>
          </w:p>
        </w:tc>
        <w:tc>
          <w:tcPr>
            <w:tcW w:w="1749" w:type="dxa"/>
            <w:tcBorders>
              <w:top w:val="nil"/>
              <w:left w:val="nil"/>
              <w:bottom w:val="nil"/>
              <w:right w:val="nil"/>
            </w:tcBorders>
            <w:vAlign w:val="center"/>
            <w:hideMark/>
          </w:tcPr>
          <w:p w14:paraId="35C46949"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38 (76%)</w:t>
            </w:r>
          </w:p>
        </w:tc>
        <w:tc>
          <w:tcPr>
            <w:tcW w:w="0" w:type="auto"/>
            <w:tcBorders>
              <w:top w:val="nil"/>
              <w:left w:val="nil"/>
              <w:bottom w:val="nil"/>
              <w:right w:val="nil"/>
            </w:tcBorders>
            <w:vAlign w:val="center"/>
            <w:hideMark/>
          </w:tcPr>
          <w:p w14:paraId="4B07D6EE"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10 (20%)</w:t>
            </w:r>
          </w:p>
        </w:tc>
        <w:tc>
          <w:tcPr>
            <w:tcW w:w="0" w:type="auto"/>
            <w:tcBorders>
              <w:top w:val="nil"/>
              <w:left w:val="nil"/>
              <w:bottom w:val="nil"/>
              <w:right w:val="nil"/>
            </w:tcBorders>
            <w:vAlign w:val="center"/>
            <w:hideMark/>
          </w:tcPr>
          <w:p w14:paraId="06CD5842"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2 (4%)</w:t>
            </w:r>
          </w:p>
        </w:tc>
        <w:tc>
          <w:tcPr>
            <w:tcW w:w="0" w:type="auto"/>
            <w:tcBorders>
              <w:top w:val="nil"/>
              <w:left w:val="nil"/>
              <w:bottom w:val="nil"/>
              <w:right w:val="nil"/>
            </w:tcBorders>
            <w:vAlign w:val="center"/>
            <w:hideMark/>
          </w:tcPr>
          <w:p w14:paraId="0EBF8FC1" w14:textId="77777777" w:rsidR="0099393C" w:rsidRPr="00530A3E" w:rsidRDefault="0099393C" w:rsidP="00E44664">
            <w:pPr>
              <w:pStyle w:val="Paragraph"/>
              <w:ind w:firstLine="0"/>
              <w:jc w:val="center"/>
              <w:rPr>
                <w:sz w:val="18"/>
                <w:szCs w:val="18"/>
                <w:vertAlign w:val="superscript"/>
                <w:lang w:eastAsia="en-GB"/>
              </w:rPr>
            </w:pPr>
            <w:r w:rsidRPr="00530A3E">
              <w:rPr>
                <w:sz w:val="18"/>
                <w:szCs w:val="18"/>
                <w:lang w:eastAsia="en-GB"/>
              </w:rPr>
              <w:t>0.001</w:t>
            </w:r>
            <w:r w:rsidRPr="00530A3E">
              <w:rPr>
                <w:sz w:val="18"/>
                <w:szCs w:val="18"/>
                <w:vertAlign w:val="superscript"/>
                <w:lang w:eastAsia="en-GB"/>
              </w:rPr>
              <w:t>*</w:t>
            </w:r>
          </w:p>
        </w:tc>
      </w:tr>
      <w:tr w:rsidR="0094606F" w:rsidRPr="00530A3E" w14:paraId="2A9CE9EA" w14:textId="77777777" w:rsidTr="00CD0B35">
        <w:trPr>
          <w:jc w:val="center"/>
        </w:trPr>
        <w:tc>
          <w:tcPr>
            <w:tcW w:w="4271" w:type="dxa"/>
            <w:tcBorders>
              <w:top w:val="nil"/>
              <w:left w:val="nil"/>
              <w:bottom w:val="nil"/>
              <w:right w:val="nil"/>
            </w:tcBorders>
            <w:vAlign w:val="center"/>
            <w:hideMark/>
          </w:tcPr>
          <w:p w14:paraId="5BCA7A83"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Colistin</w:t>
            </w:r>
          </w:p>
        </w:tc>
        <w:tc>
          <w:tcPr>
            <w:tcW w:w="1749" w:type="dxa"/>
            <w:tcBorders>
              <w:top w:val="nil"/>
              <w:left w:val="nil"/>
              <w:bottom w:val="nil"/>
              <w:right w:val="nil"/>
            </w:tcBorders>
            <w:vAlign w:val="center"/>
            <w:hideMark/>
          </w:tcPr>
          <w:p w14:paraId="01CAE9AE"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1 (2%)</w:t>
            </w:r>
          </w:p>
        </w:tc>
        <w:tc>
          <w:tcPr>
            <w:tcW w:w="0" w:type="auto"/>
            <w:tcBorders>
              <w:top w:val="nil"/>
              <w:left w:val="nil"/>
              <w:bottom w:val="nil"/>
              <w:right w:val="nil"/>
            </w:tcBorders>
            <w:vAlign w:val="center"/>
            <w:hideMark/>
          </w:tcPr>
          <w:p w14:paraId="607375E0"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2 (4%)</w:t>
            </w:r>
          </w:p>
        </w:tc>
        <w:tc>
          <w:tcPr>
            <w:tcW w:w="0" w:type="auto"/>
            <w:tcBorders>
              <w:top w:val="nil"/>
              <w:left w:val="nil"/>
              <w:bottom w:val="nil"/>
              <w:right w:val="nil"/>
            </w:tcBorders>
            <w:vAlign w:val="center"/>
            <w:hideMark/>
          </w:tcPr>
          <w:p w14:paraId="487DFF06"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47 (94%)</w:t>
            </w:r>
          </w:p>
        </w:tc>
        <w:tc>
          <w:tcPr>
            <w:tcW w:w="0" w:type="auto"/>
            <w:tcBorders>
              <w:top w:val="nil"/>
              <w:left w:val="nil"/>
              <w:bottom w:val="nil"/>
              <w:right w:val="nil"/>
            </w:tcBorders>
            <w:vAlign w:val="center"/>
            <w:hideMark/>
          </w:tcPr>
          <w:p w14:paraId="24AD6232"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0.01</w:t>
            </w:r>
            <w:r w:rsidRPr="00530A3E">
              <w:rPr>
                <w:sz w:val="18"/>
                <w:szCs w:val="18"/>
                <w:vertAlign w:val="superscript"/>
                <w:lang w:eastAsia="en-GB"/>
              </w:rPr>
              <w:t>*</w:t>
            </w:r>
          </w:p>
        </w:tc>
      </w:tr>
      <w:tr w:rsidR="0094606F" w:rsidRPr="00530A3E" w14:paraId="738B69A9" w14:textId="77777777" w:rsidTr="00CD0B35">
        <w:trPr>
          <w:jc w:val="center"/>
        </w:trPr>
        <w:tc>
          <w:tcPr>
            <w:tcW w:w="4271" w:type="dxa"/>
            <w:tcBorders>
              <w:top w:val="nil"/>
              <w:left w:val="nil"/>
              <w:bottom w:val="nil"/>
              <w:right w:val="nil"/>
            </w:tcBorders>
            <w:vAlign w:val="center"/>
            <w:hideMark/>
          </w:tcPr>
          <w:p w14:paraId="60C67000"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lastRenderedPageBreak/>
              <w:t>Gentamicin</w:t>
            </w:r>
          </w:p>
        </w:tc>
        <w:tc>
          <w:tcPr>
            <w:tcW w:w="1749" w:type="dxa"/>
            <w:tcBorders>
              <w:top w:val="nil"/>
              <w:left w:val="nil"/>
              <w:bottom w:val="nil"/>
              <w:right w:val="nil"/>
            </w:tcBorders>
            <w:vAlign w:val="center"/>
            <w:hideMark/>
          </w:tcPr>
          <w:p w14:paraId="37C3A078"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3 (6%)</w:t>
            </w:r>
          </w:p>
        </w:tc>
        <w:tc>
          <w:tcPr>
            <w:tcW w:w="0" w:type="auto"/>
            <w:tcBorders>
              <w:top w:val="nil"/>
              <w:left w:val="nil"/>
              <w:bottom w:val="nil"/>
              <w:right w:val="nil"/>
            </w:tcBorders>
            <w:vAlign w:val="center"/>
            <w:hideMark/>
          </w:tcPr>
          <w:p w14:paraId="66EFE7B8"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7 (14%)</w:t>
            </w:r>
          </w:p>
        </w:tc>
        <w:tc>
          <w:tcPr>
            <w:tcW w:w="0" w:type="auto"/>
            <w:tcBorders>
              <w:top w:val="nil"/>
              <w:left w:val="nil"/>
              <w:bottom w:val="nil"/>
              <w:right w:val="nil"/>
            </w:tcBorders>
            <w:vAlign w:val="center"/>
            <w:hideMark/>
          </w:tcPr>
          <w:p w14:paraId="1C996CAA"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40 (80%)</w:t>
            </w:r>
          </w:p>
        </w:tc>
        <w:tc>
          <w:tcPr>
            <w:tcW w:w="0" w:type="auto"/>
            <w:tcBorders>
              <w:top w:val="nil"/>
              <w:left w:val="nil"/>
              <w:bottom w:val="nil"/>
              <w:right w:val="nil"/>
            </w:tcBorders>
            <w:vAlign w:val="center"/>
            <w:hideMark/>
          </w:tcPr>
          <w:p w14:paraId="44EA8209"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0.001</w:t>
            </w:r>
            <w:r w:rsidRPr="00530A3E">
              <w:rPr>
                <w:sz w:val="18"/>
                <w:szCs w:val="18"/>
                <w:vertAlign w:val="superscript"/>
                <w:lang w:eastAsia="en-GB"/>
              </w:rPr>
              <w:t>*</w:t>
            </w:r>
          </w:p>
        </w:tc>
      </w:tr>
      <w:tr w:rsidR="0094606F" w:rsidRPr="00530A3E" w14:paraId="1EE8E8E1" w14:textId="77777777" w:rsidTr="00CD0B35">
        <w:trPr>
          <w:jc w:val="center"/>
        </w:trPr>
        <w:tc>
          <w:tcPr>
            <w:tcW w:w="4271" w:type="dxa"/>
            <w:tcBorders>
              <w:top w:val="nil"/>
              <w:left w:val="nil"/>
              <w:bottom w:val="nil"/>
              <w:right w:val="nil"/>
            </w:tcBorders>
            <w:vAlign w:val="center"/>
            <w:hideMark/>
          </w:tcPr>
          <w:p w14:paraId="466162CB" w14:textId="421C8252" w:rsidR="0099393C" w:rsidRPr="00530A3E" w:rsidRDefault="0099393C" w:rsidP="00E44664">
            <w:pPr>
              <w:pStyle w:val="Paragraph"/>
              <w:ind w:firstLine="0"/>
              <w:jc w:val="center"/>
              <w:rPr>
                <w:sz w:val="18"/>
                <w:szCs w:val="18"/>
                <w:lang w:eastAsia="en-GB"/>
              </w:rPr>
            </w:pPr>
            <w:r w:rsidRPr="00530A3E">
              <w:rPr>
                <w:sz w:val="18"/>
                <w:szCs w:val="18"/>
                <w:lang w:eastAsia="en-GB"/>
              </w:rPr>
              <w:t>Imipenem</w:t>
            </w:r>
          </w:p>
        </w:tc>
        <w:tc>
          <w:tcPr>
            <w:tcW w:w="1749" w:type="dxa"/>
            <w:tcBorders>
              <w:top w:val="nil"/>
              <w:left w:val="nil"/>
              <w:bottom w:val="nil"/>
              <w:right w:val="nil"/>
            </w:tcBorders>
            <w:vAlign w:val="center"/>
            <w:hideMark/>
          </w:tcPr>
          <w:p w14:paraId="2117DCE4"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50 (100%)</w:t>
            </w:r>
          </w:p>
        </w:tc>
        <w:tc>
          <w:tcPr>
            <w:tcW w:w="0" w:type="auto"/>
            <w:tcBorders>
              <w:top w:val="nil"/>
              <w:left w:val="nil"/>
              <w:bottom w:val="nil"/>
              <w:right w:val="nil"/>
            </w:tcBorders>
            <w:vAlign w:val="center"/>
            <w:hideMark/>
          </w:tcPr>
          <w:p w14:paraId="2B81D3D2"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 (0%)</w:t>
            </w:r>
          </w:p>
        </w:tc>
        <w:tc>
          <w:tcPr>
            <w:tcW w:w="0" w:type="auto"/>
            <w:tcBorders>
              <w:top w:val="nil"/>
              <w:left w:val="nil"/>
              <w:bottom w:val="nil"/>
              <w:right w:val="nil"/>
            </w:tcBorders>
            <w:vAlign w:val="center"/>
            <w:hideMark/>
          </w:tcPr>
          <w:p w14:paraId="2EA7F396"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 (0%)</w:t>
            </w:r>
          </w:p>
        </w:tc>
        <w:tc>
          <w:tcPr>
            <w:tcW w:w="0" w:type="auto"/>
            <w:tcBorders>
              <w:top w:val="nil"/>
              <w:left w:val="nil"/>
              <w:bottom w:val="nil"/>
              <w:right w:val="nil"/>
            </w:tcBorders>
            <w:vAlign w:val="center"/>
            <w:hideMark/>
          </w:tcPr>
          <w:p w14:paraId="7C38823A"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0.05</w:t>
            </w:r>
            <w:r w:rsidRPr="00530A3E">
              <w:rPr>
                <w:sz w:val="18"/>
                <w:szCs w:val="18"/>
                <w:vertAlign w:val="superscript"/>
                <w:lang w:eastAsia="en-GB"/>
              </w:rPr>
              <w:t>*</w:t>
            </w:r>
          </w:p>
        </w:tc>
      </w:tr>
      <w:tr w:rsidR="0094606F" w:rsidRPr="00530A3E" w14:paraId="58E7200B" w14:textId="77777777" w:rsidTr="00CD0B35">
        <w:trPr>
          <w:jc w:val="center"/>
        </w:trPr>
        <w:tc>
          <w:tcPr>
            <w:tcW w:w="4271" w:type="dxa"/>
            <w:tcBorders>
              <w:top w:val="nil"/>
              <w:left w:val="nil"/>
              <w:bottom w:val="nil"/>
              <w:right w:val="nil"/>
            </w:tcBorders>
            <w:vAlign w:val="center"/>
            <w:hideMark/>
          </w:tcPr>
          <w:p w14:paraId="683AB250" w14:textId="5AC066D8" w:rsidR="0099393C" w:rsidRPr="00530A3E" w:rsidRDefault="0099393C" w:rsidP="00E44664">
            <w:pPr>
              <w:pStyle w:val="Paragraph"/>
              <w:ind w:firstLine="0"/>
              <w:jc w:val="center"/>
              <w:rPr>
                <w:sz w:val="18"/>
                <w:szCs w:val="18"/>
                <w:lang w:eastAsia="en-GB"/>
              </w:rPr>
            </w:pPr>
            <w:r w:rsidRPr="00530A3E">
              <w:rPr>
                <w:sz w:val="18"/>
                <w:szCs w:val="18"/>
                <w:lang w:eastAsia="en-GB"/>
              </w:rPr>
              <w:t>Meropenem</w:t>
            </w:r>
          </w:p>
        </w:tc>
        <w:tc>
          <w:tcPr>
            <w:tcW w:w="1749" w:type="dxa"/>
            <w:tcBorders>
              <w:top w:val="nil"/>
              <w:left w:val="nil"/>
              <w:bottom w:val="nil"/>
              <w:right w:val="nil"/>
            </w:tcBorders>
            <w:vAlign w:val="center"/>
            <w:hideMark/>
          </w:tcPr>
          <w:p w14:paraId="2ED79835"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50 (100%)</w:t>
            </w:r>
          </w:p>
        </w:tc>
        <w:tc>
          <w:tcPr>
            <w:tcW w:w="0" w:type="auto"/>
            <w:tcBorders>
              <w:top w:val="nil"/>
              <w:left w:val="nil"/>
              <w:bottom w:val="nil"/>
              <w:right w:val="nil"/>
            </w:tcBorders>
            <w:vAlign w:val="center"/>
            <w:hideMark/>
          </w:tcPr>
          <w:p w14:paraId="1FF6E75F"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 (0%)</w:t>
            </w:r>
          </w:p>
        </w:tc>
        <w:tc>
          <w:tcPr>
            <w:tcW w:w="0" w:type="auto"/>
            <w:tcBorders>
              <w:top w:val="nil"/>
              <w:left w:val="nil"/>
              <w:bottom w:val="nil"/>
              <w:right w:val="nil"/>
            </w:tcBorders>
            <w:vAlign w:val="center"/>
            <w:hideMark/>
          </w:tcPr>
          <w:p w14:paraId="5E16F13D"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 (0%)</w:t>
            </w:r>
          </w:p>
        </w:tc>
        <w:tc>
          <w:tcPr>
            <w:tcW w:w="0" w:type="auto"/>
            <w:tcBorders>
              <w:top w:val="nil"/>
              <w:left w:val="nil"/>
              <w:bottom w:val="nil"/>
              <w:right w:val="nil"/>
            </w:tcBorders>
            <w:vAlign w:val="center"/>
            <w:hideMark/>
          </w:tcPr>
          <w:p w14:paraId="3131A72C"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0.05</w:t>
            </w:r>
            <w:r w:rsidRPr="00530A3E">
              <w:rPr>
                <w:sz w:val="18"/>
                <w:szCs w:val="18"/>
                <w:vertAlign w:val="superscript"/>
                <w:lang w:eastAsia="en-GB"/>
              </w:rPr>
              <w:t>*</w:t>
            </w:r>
          </w:p>
        </w:tc>
      </w:tr>
      <w:tr w:rsidR="0094606F" w:rsidRPr="00530A3E" w14:paraId="6BEB8F7E" w14:textId="77777777" w:rsidTr="00CD0B35">
        <w:trPr>
          <w:jc w:val="center"/>
        </w:trPr>
        <w:tc>
          <w:tcPr>
            <w:tcW w:w="4271" w:type="dxa"/>
            <w:tcBorders>
              <w:top w:val="nil"/>
              <w:left w:val="nil"/>
              <w:bottom w:val="nil"/>
              <w:right w:val="nil"/>
            </w:tcBorders>
            <w:vAlign w:val="center"/>
            <w:hideMark/>
          </w:tcPr>
          <w:p w14:paraId="35C536C4" w14:textId="22364B41" w:rsidR="0099393C" w:rsidRPr="00530A3E" w:rsidRDefault="0099393C" w:rsidP="00E44664">
            <w:pPr>
              <w:pStyle w:val="Paragraph"/>
              <w:ind w:firstLine="0"/>
              <w:jc w:val="center"/>
              <w:rPr>
                <w:sz w:val="18"/>
                <w:szCs w:val="18"/>
                <w:lang w:eastAsia="en-GB"/>
              </w:rPr>
            </w:pPr>
            <w:r w:rsidRPr="00530A3E">
              <w:rPr>
                <w:sz w:val="18"/>
                <w:szCs w:val="18"/>
                <w:lang w:eastAsia="en-GB"/>
              </w:rPr>
              <w:t>Piperacillin</w:t>
            </w:r>
          </w:p>
        </w:tc>
        <w:tc>
          <w:tcPr>
            <w:tcW w:w="1749" w:type="dxa"/>
            <w:tcBorders>
              <w:top w:val="nil"/>
              <w:left w:val="nil"/>
              <w:bottom w:val="nil"/>
              <w:right w:val="nil"/>
            </w:tcBorders>
            <w:vAlign w:val="center"/>
            <w:hideMark/>
          </w:tcPr>
          <w:p w14:paraId="69D2BED7"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47 (94%)</w:t>
            </w:r>
          </w:p>
        </w:tc>
        <w:tc>
          <w:tcPr>
            <w:tcW w:w="0" w:type="auto"/>
            <w:tcBorders>
              <w:top w:val="nil"/>
              <w:left w:val="nil"/>
              <w:bottom w:val="nil"/>
              <w:right w:val="nil"/>
            </w:tcBorders>
            <w:vAlign w:val="center"/>
            <w:hideMark/>
          </w:tcPr>
          <w:p w14:paraId="54F01C70"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2 (4%)</w:t>
            </w:r>
          </w:p>
        </w:tc>
        <w:tc>
          <w:tcPr>
            <w:tcW w:w="0" w:type="auto"/>
            <w:tcBorders>
              <w:top w:val="nil"/>
              <w:left w:val="nil"/>
              <w:bottom w:val="nil"/>
              <w:right w:val="nil"/>
            </w:tcBorders>
            <w:vAlign w:val="center"/>
            <w:hideMark/>
          </w:tcPr>
          <w:p w14:paraId="1A7FE8D4"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1 (2%)</w:t>
            </w:r>
          </w:p>
        </w:tc>
        <w:tc>
          <w:tcPr>
            <w:tcW w:w="0" w:type="auto"/>
            <w:tcBorders>
              <w:top w:val="nil"/>
              <w:left w:val="nil"/>
              <w:bottom w:val="nil"/>
              <w:right w:val="nil"/>
            </w:tcBorders>
            <w:vAlign w:val="center"/>
            <w:hideMark/>
          </w:tcPr>
          <w:p w14:paraId="3813D552"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0.01</w:t>
            </w:r>
            <w:r w:rsidRPr="00530A3E">
              <w:rPr>
                <w:sz w:val="18"/>
                <w:szCs w:val="18"/>
                <w:vertAlign w:val="superscript"/>
                <w:lang w:eastAsia="en-GB"/>
              </w:rPr>
              <w:t>*</w:t>
            </w:r>
          </w:p>
        </w:tc>
      </w:tr>
      <w:tr w:rsidR="0094606F" w:rsidRPr="00530A3E" w14:paraId="0667EECF" w14:textId="77777777" w:rsidTr="00CD0B35">
        <w:trPr>
          <w:jc w:val="center"/>
        </w:trPr>
        <w:tc>
          <w:tcPr>
            <w:tcW w:w="4271" w:type="dxa"/>
            <w:tcBorders>
              <w:top w:val="nil"/>
              <w:left w:val="nil"/>
              <w:bottom w:val="nil"/>
              <w:right w:val="nil"/>
            </w:tcBorders>
            <w:vAlign w:val="center"/>
            <w:hideMark/>
          </w:tcPr>
          <w:p w14:paraId="46ECB368"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Piperacillin +</w:t>
            </w:r>
          </w:p>
          <w:p w14:paraId="01AB8682" w14:textId="17F1CDD7" w:rsidR="0099393C" w:rsidRPr="00530A3E" w:rsidRDefault="0099393C" w:rsidP="00E44664">
            <w:pPr>
              <w:pStyle w:val="Paragraph"/>
              <w:ind w:firstLine="0"/>
              <w:jc w:val="center"/>
              <w:rPr>
                <w:sz w:val="18"/>
                <w:szCs w:val="18"/>
                <w:lang w:eastAsia="en-GB"/>
              </w:rPr>
            </w:pPr>
            <w:r w:rsidRPr="00530A3E">
              <w:rPr>
                <w:sz w:val="18"/>
                <w:szCs w:val="18"/>
                <w:lang w:eastAsia="en-GB"/>
              </w:rPr>
              <w:t>tazobactam</w:t>
            </w:r>
          </w:p>
        </w:tc>
        <w:tc>
          <w:tcPr>
            <w:tcW w:w="1749" w:type="dxa"/>
            <w:tcBorders>
              <w:top w:val="nil"/>
              <w:left w:val="nil"/>
              <w:bottom w:val="nil"/>
              <w:right w:val="nil"/>
            </w:tcBorders>
            <w:vAlign w:val="center"/>
            <w:hideMark/>
          </w:tcPr>
          <w:p w14:paraId="2C53E805"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48 (96%)</w:t>
            </w:r>
          </w:p>
        </w:tc>
        <w:tc>
          <w:tcPr>
            <w:tcW w:w="0" w:type="auto"/>
            <w:tcBorders>
              <w:top w:val="nil"/>
              <w:left w:val="nil"/>
              <w:bottom w:val="nil"/>
              <w:right w:val="nil"/>
            </w:tcBorders>
            <w:vAlign w:val="center"/>
            <w:hideMark/>
          </w:tcPr>
          <w:p w14:paraId="29F8C38A"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1 (2%)</w:t>
            </w:r>
          </w:p>
        </w:tc>
        <w:tc>
          <w:tcPr>
            <w:tcW w:w="0" w:type="auto"/>
            <w:tcBorders>
              <w:top w:val="nil"/>
              <w:left w:val="nil"/>
              <w:bottom w:val="nil"/>
              <w:right w:val="nil"/>
            </w:tcBorders>
            <w:vAlign w:val="center"/>
            <w:hideMark/>
          </w:tcPr>
          <w:p w14:paraId="477246B2"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1 (2%)</w:t>
            </w:r>
          </w:p>
        </w:tc>
        <w:tc>
          <w:tcPr>
            <w:tcW w:w="0" w:type="auto"/>
            <w:tcBorders>
              <w:top w:val="nil"/>
              <w:left w:val="nil"/>
              <w:bottom w:val="nil"/>
              <w:right w:val="nil"/>
            </w:tcBorders>
            <w:vAlign w:val="center"/>
            <w:hideMark/>
          </w:tcPr>
          <w:p w14:paraId="060EF209"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0.05</w:t>
            </w:r>
            <w:r w:rsidRPr="00530A3E">
              <w:rPr>
                <w:sz w:val="18"/>
                <w:szCs w:val="18"/>
                <w:vertAlign w:val="superscript"/>
                <w:lang w:eastAsia="en-GB"/>
              </w:rPr>
              <w:t>*</w:t>
            </w:r>
          </w:p>
        </w:tc>
      </w:tr>
      <w:tr w:rsidR="0094606F" w:rsidRPr="00530A3E" w14:paraId="3318C087" w14:textId="77777777" w:rsidTr="00CD0B35">
        <w:trPr>
          <w:jc w:val="center"/>
        </w:trPr>
        <w:tc>
          <w:tcPr>
            <w:tcW w:w="4271" w:type="dxa"/>
            <w:tcBorders>
              <w:top w:val="nil"/>
              <w:left w:val="nil"/>
              <w:bottom w:val="nil"/>
              <w:right w:val="nil"/>
            </w:tcBorders>
            <w:vAlign w:val="center"/>
            <w:hideMark/>
          </w:tcPr>
          <w:p w14:paraId="5C411CC4" w14:textId="77777777" w:rsidR="0099393C" w:rsidRPr="00530A3E" w:rsidRDefault="0099393C" w:rsidP="00E44664">
            <w:pPr>
              <w:pStyle w:val="Paragraph"/>
              <w:ind w:firstLine="0"/>
              <w:jc w:val="center"/>
              <w:rPr>
                <w:sz w:val="18"/>
                <w:szCs w:val="18"/>
                <w:lang w:eastAsia="en-GB"/>
              </w:rPr>
            </w:pPr>
            <w:proofErr w:type="spellStart"/>
            <w:r w:rsidRPr="00530A3E">
              <w:rPr>
                <w:sz w:val="18"/>
                <w:szCs w:val="18"/>
                <w:lang w:eastAsia="en-GB"/>
              </w:rPr>
              <w:t>Ticarcilline</w:t>
            </w:r>
            <w:proofErr w:type="spellEnd"/>
          </w:p>
        </w:tc>
        <w:tc>
          <w:tcPr>
            <w:tcW w:w="1749" w:type="dxa"/>
            <w:tcBorders>
              <w:top w:val="nil"/>
              <w:left w:val="nil"/>
              <w:bottom w:val="nil"/>
              <w:right w:val="nil"/>
            </w:tcBorders>
            <w:vAlign w:val="center"/>
            <w:hideMark/>
          </w:tcPr>
          <w:p w14:paraId="48F9736E"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 (8%)</w:t>
            </w:r>
          </w:p>
        </w:tc>
        <w:tc>
          <w:tcPr>
            <w:tcW w:w="0" w:type="auto"/>
            <w:tcBorders>
              <w:top w:val="nil"/>
              <w:left w:val="nil"/>
              <w:bottom w:val="nil"/>
              <w:right w:val="nil"/>
            </w:tcBorders>
            <w:vAlign w:val="center"/>
            <w:hideMark/>
          </w:tcPr>
          <w:p w14:paraId="24CE0FD7"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10 (20%)</w:t>
            </w:r>
          </w:p>
        </w:tc>
        <w:tc>
          <w:tcPr>
            <w:tcW w:w="0" w:type="auto"/>
            <w:tcBorders>
              <w:top w:val="nil"/>
              <w:left w:val="nil"/>
              <w:bottom w:val="nil"/>
              <w:right w:val="nil"/>
            </w:tcBorders>
            <w:vAlign w:val="center"/>
            <w:hideMark/>
          </w:tcPr>
          <w:p w14:paraId="10426C85"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36 (72%)</w:t>
            </w:r>
          </w:p>
        </w:tc>
        <w:tc>
          <w:tcPr>
            <w:tcW w:w="0" w:type="auto"/>
            <w:tcBorders>
              <w:top w:val="nil"/>
              <w:left w:val="nil"/>
              <w:bottom w:val="nil"/>
              <w:right w:val="nil"/>
            </w:tcBorders>
            <w:vAlign w:val="center"/>
            <w:hideMark/>
          </w:tcPr>
          <w:p w14:paraId="5F49F3BF"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0.001</w:t>
            </w:r>
            <w:r w:rsidRPr="00530A3E">
              <w:rPr>
                <w:sz w:val="18"/>
                <w:szCs w:val="18"/>
                <w:vertAlign w:val="superscript"/>
                <w:lang w:eastAsia="en-GB"/>
              </w:rPr>
              <w:t>*</w:t>
            </w:r>
          </w:p>
        </w:tc>
      </w:tr>
      <w:tr w:rsidR="0094606F" w:rsidRPr="00530A3E" w14:paraId="4999BAD1" w14:textId="77777777" w:rsidTr="00CD0B35">
        <w:trPr>
          <w:jc w:val="center"/>
        </w:trPr>
        <w:tc>
          <w:tcPr>
            <w:tcW w:w="4271" w:type="dxa"/>
            <w:tcBorders>
              <w:top w:val="nil"/>
              <w:left w:val="nil"/>
              <w:bottom w:val="nil"/>
              <w:right w:val="nil"/>
            </w:tcBorders>
            <w:vAlign w:val="center"/>
            <w:hideMark/>
          </w:tcPr>
          <w:p w14:paraId="579EC239" w14:textId="327260B0" w:rsidR="0099393C" w:rsidRPr="00530A3E" w:rsidRDefault="0099393C" w:rsidP="00E44664">
            <w:pPr>
              <w:pStyle w:val="Paragraph"/>
              <w:ind w:firstLine="0"/>
              <w:jc w:val="center"/>
              <w:rPr>
                <w:sz w:val="18"/>
                <w:szCs w:val="18"/>
                <w:lang w:eastAsia="en-GB"/>
              </w:rPr>
            </w:pPr>
            <w:proofErr w:type="spellStart"/>
            <w:r w:rsidRPr="00530A3E">
              <w:rPr>
                <w:sz w:val="18"/>
                <w:szCs w:val="18"/>
                <w:lang w:eastAsia="en-GB"/>
              </w:rPr>
              <w:t>Ticarcilline</w:t>
            </w:r>
            <w:proofErr w:type="spellEnd"/>
            <w:r w:rsidRPr="00530A3E">
              <w:rPr>
                <w:sz w:val="18"/>
                <w:szCs w:val="18"/>
                <w:lang w:eastAsia="en-GB"/>
              </w:rPr>
              <w:t xml:space="preserve"> + clavulanic acid</w:t>
            </w:r>
          </w:p>
        </w:tc>
        <w:tc>
          <w:tcPr>
            <w:tcW w:w="1749" w:type="dxa"/>
            <w:tcBorders>
              <w:top w:val="nil"/>
              <w:left w:val="nil"/>
              <w:bottom w:val="nil"/>
              <w:right w:val="nil"/>
            </w:tcBorders>
            <w:vAlign w:val="center"/>
            <w:hideMark/>
          </w:tcPr>
          <w:p w14:paraId="008DF3FB"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4 (8%)</w:t>
            </w:r>
          </w:p>
        </w:tc>
        <w:tc>
          <w:tcPr>
            <w:tcW w:w="0" w:type="auto"/>
            <w:tcBorders>
              <w:top w:val="nil"/>
              <w:left w:val="nil"/>
              <w:bottom w:val="nil"/>
              <w:right w:val="nil"/>
            </w:tcBorders>
            <w:vAlign w:val="center"/>
            <w:hideMark/>
          </w:tcPr>
          <w:p w14:paraId="60D58D8B"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8 (16%)</w:t>
            </w:r>
          </w:p>
        </w:tc>
        <w:tc>
          <w:tcPr>
            <w:tcW w:w="0" w:type="auto"/>
            <w:tcBorders>
              <w:top w:val="nil"/>
              <w:left w:val="nil"/>
              <w:bottom w:val="nil"/>
              <w:right w:val="nil"/>
            </w:tcBorders>
            <w:vAlign w:val="center"/>
            <w:hideMark/>
          </w:tcPr>
          <w:p w14:paraId="7BA3F186"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38 (76%)</w:t>
            </w:r>
          </w:p>
        </w:tc>
        <w:tc>
          <w:tcPr>
            <w:tcW w:w="0" w:type="auto"/>
            <w:tcBorders>
              <w:top w:val="nil"/>
              <w:left w:val="nil"/>
              <w:bottom w:val="nil"/>
              <w:right w:val="nil"/>
            </w:tcBorders>
            <w:vAlign w:val="center"/>
            <w:hideMark/>
          </w:tcPr>
          <w:p w14:paraId="5B7599CA"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0.001</w:t>
            </w:r>
            <w:r w:rsidRPr="00530A3E">
              <w:rPr>
                <w:sz w:val="18"/>
                <w:szCs w:val="18"/>
                <w:vertAlign w:val="superscript"/>
                <w:lang w:eastAsia="en-GB"/>
              </w:rPr>
              <w:t>*</w:t>
            </w:r>
          </w:p>
        </w:tc>
      </w:tr>
      <w:tr w:rsidR="0094606F" w:rsidRPr="00530A3E" w14:paraId="5D0CFE50" w14:textId="77777777" w:rsidTr="00CD0B35">
        <w:trPr>
          <w:jc w:val="center"/>
        </w:trPr>
        <w:tc>
          <w:tcPr>
            <w:tcW w:w="4271" w:type="dxa"/>
            <w:tcBorders>
              <w:top w:val="nil"/>
              <w:left w:val="nil"/>
              <w:bottom w:val="nil"/>
              <w:right w:val="nil"/>
            </w:tcBorders>
            <w:vAlign w:val="center"/>
            <w:hideMark/>
          </w:tcPr>
          <w:p w14:paraId="154C8902" w14:textId="78B61B3E" w:rsidR="0099393C" w:rsidRPr="00530A3E" w:rsidRDefault="00B92494" w:rsidP="00E44664">
            <w:pPr>
              <w:pStyle w:val="Paragraph"/>
              <w:ind w:firstLine="0"/>
              <w:jc w:val="center"/>
              <w:rPr>
                <w:sz w:val="18"/>
                <w:szCs w:val="18"/>
                <w:lang w:eastAsia="en-GB"/>
              </w:rPr>
            </w:pPr>
            <w:r>
              <w:rPr>
                <w:sz w:val="18"/>
                <w:szCs w:val="18"/>
                <w:lang w:eastAsia="en-GB"/>
              </w:rPr>
              <w:t>Trimethoprim /</w:t>
            </w:r>
            <w:r w:rsidR="0099393C" w:rsidRPr="00530A3E">
              <w:rPr>
                <w:sz w:val="18"/>
                <w:szCs w:val="18"/>
                <w:lang w:eastAsia="en-GB"/>
              </w:rPr>
              <w:t>sulfamethoxazole</w:t>
            </w:r>
          </w:p>
        </w:tc>
        <w:tc>
          <w:tcPr>
            <w:tcW w:w="1749" w:type="dxa"/>
            <w:tcBorders>
              <w:top w:val="nil"/>
              <w:left w:val="nil"/>
              <w:bottom w:val="nil"/>
              <w:right w:val="nil"/>
            </w:tcBorders>
            <w:vAlign w:val="center"/>
            <w:hideMark/>
          </w:tcPr>
          <w:p w14:paraId="3430DA8F"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35 (70%)</w:t>
            </w:r>
          </w:p>
        </w:tc>
        <w:tc>
          <w:tcPr>
            <w:tcW w:w="0" w:type="auto"/>
            <w:tcBorders>
              <w:top w:val="nil"/>
              <w:left w:val="nil"/>
              <w:bottom w:val="nil"/>
              <w:right w:val="nil"/>
            </w:tcBorders>
            <w:vAlign w:val="center"/>
            <w:hideMark/>
          </w:tcPr>
          <w:p w14:paraId="513D68B4"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9 (18%)</w:t>
            </w:r>
          </w:p>
        </w:tc>
        <w:tc>
          <w:tcPr>
            <w:tcW w:w="0" w:type="auto"/>
            <w:tcBorders>
              <w:top w:val="nil"/>
              <w:left w:val="nil"/>
              <w:bottom w:val="nil"/>
              <w:right w:val="nil"/>
            </w:tcBorders>
            <w:vAlign w:val="center"/>
            <w:hideMark/>
          </w:tcPr>
          <w:p w14:paraId="3BE6A98B"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6 (12%)</w:t>
            </w:r>
          </w:p>
        </w:tc>
        <w:tc>
          <w:tcPr>
            <w:tcW w:w="0" w:type="auto"/>
            <w:tcBorders>
              <w:top w:val="nil"/>
              <w:left w:val="nil"/>
              <w:bottom w:val="nil"/>
              <w:right w:val="nil"/>
            </w:tcBorders>
            <w:vAlign w:val="center"/>
            <w:hideMark/>
          </w:tcPr>
          <w:p w14:paraId="1B02FF68"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0.001</w:t>
            </w:r>
            <w:r w:rsidRPr="00530A3E">
              <w:rPr>
                <w:sz w:val="18"/>
                <w:szCs w:val="18"/>
                <w:vertAlign w:val="superscript"/>
                <w:lang w:eastAsia="en-GB"/>
              </w:rPr>
              <w:t>*</w:t>
            </w:r>
          </w:p>
        </w:tc>
      </w:tr>
      <w:tr w:rsidR="0094606F" w:rsidRPr="00530A3E" w14:paraId="76DE9FE9" w14:textId="77777777" w:rsidTr="00CD0B35">
        <w:trPr>
          <w:jc w:val="center"/>
        </w:trPr>
        <w:tc>
          <w:tcPr>
            <w:tcW w:w="4271" w:type="dxa"/>
            <w:tcBorders>
              <w:top w:val="nil"/>
              <w:left w:val="nil"/>
              <w:right w:val="nil"/>
            </w:tcBorders>
            <w:vAlign w:val="center"/>
            <w:hideMark/>
          </w:tcPr>
          <w:p w14:paraId="5685327B"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p-value</w:t>
            </w:r>
          </w:p>
        </w:tc>
        <w:tc>
          <w:tcPr>
            <w:tcW w:w="1749" w:type="dxa"/>
            <w:tcBorders>
              <w:top w:val="nil"/>
              <w:left w:val="nil"/>
              <w:right w:val="nil"/>
            </w:tcBorders>
            <w:vAlign w:val="center"/>
            <w:hideMark/>
          </w:tcPr>
          <w:p w14:paraId="4EEE7658"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0.001</w:t>
            </w:r>
            <w:r w:rsidRPr="00530A3E">
              <w:rPr>
                <w:sz w:val="18"/>
                <w:szCs w:val="18"/>
                <w:vertAlign w:val="superscript"/>
                <w:lang w:eastAsia="en-GB"/>
              </w:rPr>
              <w:t>*</w:t>
            </w:r>
          </w:p>
        </w:tc>
        <w:tc>
          <w:tcPr>
            <w:tcW w:w="0" w:type="auto"/>
            <w:tcBorders>
              <w:top w:val="nil"/>
              <w:left w:val="nil"/>
              <w:right w:val="nil"/>
            </w:tcBorders>
            <w:vAlign w:val="center"/>
            <w:hideMark/>
          </w:tcPr>
          <w:p w14:paraId="2D3EE9C2"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0.001</w:t>
            </w:r>
            <w:r w:rsidRPr="00530A3E">
              <w:rPr>
                <w:sz w:val="18"/>
                <w:szCs w:val="18"/>
                <w:vertAlign w:val="superscript"/>
                <w:lang w:eastAsia="en-GB"/>
              </w:rPr>
              <w:t>*</w:t>
            </w:r>
          </w:p>
        </w:tc>
        <w:tc>
          <w:tcPr>
            <w:tcW w:w="0" w:type="auto"/>
            <w:tcBorders>
              <w:top w:val="nil"/>
              <w:left w:val="nil"/>
              <w:right w:val="nil"/>
            </w:tcBorders>
            <w:vAlign w:val="center"/>
            <w:hideMark/>
          </w:tcPr>
          <w:p w14:paraId="619A7E82" w14:textId="77777777" w:rsidR="0099393C" w:rsidRPr="00530A3E" w:rsidRDefault="0099393C" w:rsidP="00E44664">
            <w:pPr>
              <w:pStyle w:val="Paragraph"/>
              <w:ind w:firstLine="0"/>
              <w:jc w:val="center"/>
              <w:rPr>
                <w:sz w:val="18"/>
                <w:szCs w:val="18"/>
                <w:lang w:eastAsia="en-GB"/>
              </w:rPr>
            </w:pPr>
            <w:r w:rsidRPr="00530A3E">
              <w:rPr>
                <w:sz w:val="18"/>
                <w:szCs w:val="18"/>
                <w:lang w:eastAsia="en-GB"/>
              </w:rPr>
              <w:t>0.001</w:t>
            </w:r>
            <w:r w:rsidRPr="00530A3E">
              <w:rPr>
                <w:sz w:val="18"/>
                <w:szCs w:val="18"/>
                <w:vertAlign w:val="superscript"/>
                <w:lang w:eastAsia="en-GB"/>
              </w:rPr>
              <w:t>*</w:t>
            </w:r>
          </w:p>
        </w:tc>
        <w:tc>
          <w:tcPr>
            <w:tcW w:w="0" w:type="auto"/>
            <w:tcBorders>
              <w:top w:val="nil"/>
              <w:left w:val="nil"/>
              <w:right w:val="nil"/>
            </w:tcBorders>
            <w:vAlign w:val="center"/>
          </w:tcPr>
          <w:p w14:paraId="7EF4228E" w14:textId="77777777" w:rsidR="0099393C" w:rsidRPr="00530A3E" w:rsidRDefault="0099393C" w:rsidP="00E44664">
            <w:pPr>
              <w:pStyle w:val="Paragraph"/>
              <w:ind w:firstLine="0"/>
              <w:jc w:val="center"/>
              <w:rPr>
                <w:sz w:val="18"/>
                <w:szCs w:val="18"/>
                <w:lang w:eastAsia="en-GB"/>
              </w:rPr>
            </w:pPr>
          </w:p>
        </w:tc>
      </w:tr>
    </w:tbl>
    <w:p w14:paraId="0E7C6298" w14:textId="552EAC48" w:rsidR="0099393C" w:rsidRPr="00530A3E" w:rsidRDefault="00530A3E" w:rsidP="00E44664">
      <w:pPr>
        <w:pStyle w:val="Paragraph"/>
        <w:ind w:firstLine="0"/>
        <w:jc w:val="left"/>
        <w:rPr>
          <w:sz w:val="18"/>
          <w:szCs w:val="18"/>
          <w:lang w:val="en-GB" w:eastAsia="en-GB"/>
        </w:rPr>
      </w:pPr>
      <w:r w:rsidRPr="00530A3E">
        <w:rPr>
          <w:sz w:val="18"/>
          <w:szCs w:val="18"/>
          <w:lang w:val="en-GB" w:eastAsia="en-GB"/>
        </w:rPr>
        <w:t># Person chi-square test of independence, *significant differences (p≤0.05).</w:t>
      </w:r>
    </w:p>
    <w:p w14:paraId="2C6C87A7" w14:textId="59B9B171" w:rsidR="009E5BA1" w:rsidRPr="00075EA6" w:rsidRDefault="00530A3E" w:rsidP="00140F2F">
      <w:pPr>
        <w:pStyle w:val="Heading2"/>
      </w:pPr>
      <w:r w:rsidRPr="00530A3E">
        <w:t>Antimicrobial Activity of MC-</w:t>
      </w:r>
      <w:proofErr w:type="spellStart"/>
      <w:r w:rsidRPr="00530A3E">
        <w:t>SeNPs</w:t>
      </w:r>
      <w:proofErr w:type="spellEnd"/>
      <w:r w:rsidRPr="00530A3E">
        <w:t xml:space="preserve"> by Resazurin (REMA) </w:t>
      </w:r>
    </w:p>
    <w:p w14:paraId="5A9CE97C" w14:textId="0B94065E" w:rsidR="004E3C57" w:rsidRDefault="00B453CE" w:rsidP="00E44664">
      <w:pPr>
        <w:pStyle w:val="Paragraph"/>
      </w:pPr>
      <w:r w:rsidRPr="00B453CE">
        <w:t>The antimicrobial activity of MC-</w:t>
      </w:r>
      <w:proofErr w:type="spellStart"/>
      <w:r w:rsidRPr="00B453CE">
        <w:t>SeNPs</w:t>
      </w:r>
      <w:proofErr w:type="spellEnd"/>
      <w:r w:rsidRPr="00B453CE">
        <w:t xml:space="preserve"> against </w:t>
      </w:r>
      <w:r w:rsidRPr="000E6749">
        <w:rPr>
          <w:i/>
          <w:iCs/>
        </w:rPr>
        <w:t>E. coli</w:t>
      </w:r>
      <w:r w:rsidRPr="00B453CE">
        <w:t xml:space="preserve"> isolates was evaluated using a resazurin-based 96-well plate microdilution method. The MIC of MC-</w:t>
      </w:r>
      <w:proofErr w:type="spellStart"/>
      <w:r w:rsidRPr="00B453CE">
        <w:t>SeNPs</w:t>
      </w:r>
      <w:proofErr w:type="spellEnd"/>
      <w:r w:rsidRPr="00B453CE">
        <w:t xml:space="preserve"> varied among the isolates: 1250 µg/ml for isolates 1, 3, 5, 7, 11, 12, 15, 18, 19, 23, 24, 25, 27, 30, 33, 34, 35, 36, 43, 44, 46, and 47; 625 µg/ml for isolates 4, 6, 9, 13, 17, 21, 22, 26, 29, 31, 42, and 49; and 312.5 µg/ml for isolates 2, 8, 10, 14, 16, 20, 28, 32, 37, 38, 39, </w:t>
      </w:r>
      <w:r>
        <w:t>40, 41, 45, 48, and 50 (Fig. 4)</w:t>
      </w:r>
      <w:r w:rsidR="002E42F4" w:rsidRPr="002E42F4">
        <w:t>.</w:t>
      </w:r>
    </w:p>
    <w:p w14:paraId="5D5570E8" w14:textId="77777777" w:rsidR="00B00AFD" w:rsidRPr="00075EA6" w:rsidRDefault="00B00AFD" w:rsidP="00140F2F">
      <w:pPr>
        <w:pStyle w:val="Heading2"/>
      </w:pPr>
      <w:r>
        <w:rPr>
          <w:bCs/>
        </w:rPr>
        <w:t>Biofilm formation d</w:t>
      </w:r>
      <w:r w:rsidRPr="00530A3E">
        <w:rPr>
          <w:bCs/>
        </w:rPr>
        <w:t>etection</w:t>
      </w:r>
      <w:r w:rsidRPr="00530A3E">
        <w:t xml:space="preserve"> </w:t>
      </w:r>
    </w:p>
    <w:p w14:paraId="0148B507" w14:textId="2AB46C47" w:rsidR="00B00AFD" w:rsidRDefault="00B00AFD" w:rsidP="00E44664">
      <w:pPr>
        <w:pStyle w:val="Paragraph"/>
        <w:ind w:firstLine="0"/>
      </w:pPr>
      <w:r w:rsidRPr="002E42F4">
        <w:t>The results of this study showed that the biofilm-forming isolates were divided into 31 isolates with strong biofilm formation with a percentage of 62%, thirteen isolates with moderate biofilm formation with a percentage of 26% and six isolates with weak biofilm formation wit</w:t>
      </w:r>
      <w:r>
        <w:t>h a percentage of 12%, Fig. (5-7</w:t>
      </w:r>
      <w:r w:rsidRPr="002E42F4">
        <w:t>).</w:t>
      </w:r>
    </w:p>
    <w:p w14:paraId="66AA96B7" w14:textId="77777777" w:rsidR="00481FBC" w:rsidRDefault="00481FBC" w:rsidP="00E44664">
      <w:pPr>
        <w:pStyle w:val="Paragraph"/>
        <w:ind w:firstLine="0"/>
      </w:pPr>
    </w:p>
    <w:tbl>
      <w:tblPr>
        <w:tblStyle w:val="TableGrid"/>
        <w:tblW w:w="0" w:type="auto"/>
        <w:tblInd w:w="1951" w:type="dxa"/>
        <w:tblBorders>
          <w:insideH w:val="none" w:sz="0" w:space="0" w:color="auto"/>
        </w:tblBorders>
        <w:tblLook w:val="04A0" w:firstRow="1" w:lastRow="0" w:firstColumn="1" w:lastColumn="0" w:noHBand="0" w:noVBand="1"/>
      </w:tblPr>
      <w:tblGrid>
        <w:gridCol w:w="6238"/>
      </w:tblGrid>
      <w:tr w:rsidR="00530A3E" w14:paraId="123F14CA" w14:textId="77777777" w:rsidTr="00EF0F17">
        <w:trPr>
          <w:trHeight w:val="2990"/>
        </w:trPr>
        <w:tc>
          <w:tcPr>
            <w:tcW w:w="6238" w:type="dxa"/>
            <w:tcBorders>
              <w:bottom w:val="single" w:sz="4" w:space="0" w:color="auto"/>
            </w:tcBorders>
          </w:tcPr>
          <w:p w14:paraId="01C23385" w14:textId="3DDE9580" w:rsidR="00530A3E" w:rsidRDefault="00530A3E" w:rsidP="00E44664">
            <w:pPr>
              <w:pStyle w:val="Paragraph"/>
              <w:ind w:firstLine="0"/>
              <w:jc w:val="center"/>
            </w:pPr>
            <w:r>
              <w:rPr>
                <w:noProof/>
              </w:rPr>
              <w:drawing>
                <wp:inline distT="0" distB="0" distL="0" distR="0" wp14:anchorId="1F1A2538" wp14:editId="73D6C313">
                  <wp:extent cx="3599231" cy="1828800"/>
                  <wp:effectExtent l="0" t="0" r="1270" b="0"/>
                  <wp:docPr id="15" name="Picture 14" descr="C:\Users\NS\OneDrive\Desktop\RIMA-1.jpg"/>
                  <wp:cNvGraphicFramePr/>
                  <a:graphic xmlns:a="http://schemas.openxmlformats.org/drawingml/2006/main">
                    <a:graphicData uri="http://schemas.openxmlformats.org/drawingml/2006/picture">
                      <pic:pic xmlns:pic="http://schemas.openxmlformats.org/drawingml/2006/picture">
                        <pic:nvPicPr>
                          <pic:cNvPr id="14" name="Picture 14" descr="C:\Users\NS\OneDrive\Desktop\RIMA-1.jpg"/>
                          <pic:cNvPicPr/>
                        </pic:nvPicPr>
                        <pic:blipFill rotWithShape="1">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1789" t="3013" r="1789" b="2711"/>
                          <a:stretch/>
                        </pic:blipFill>
                        <pic:spPr bwMode="auto">
                          <a:xfrm>
                            <a:off x="0" y="0"/>
                            <a:ext cx="3606725" cy="183260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269F1D" w14:textId="3964C9CA" w:rsidR="004E3C57" w:rsidRDefault="00530A3E" w:rsidP="00E44664">
      <w:pPr>
        <w:jc w:val="center"/>
        <w:rPr>
          <w:sz w:val="18"/>
          <w:szCs w:val="18"/>
        </w:rPr>
      </w:pPr>
      <w:r w:rsidRPr="00D73ECA">
        <w:rPr>
          <w:b/>
          <w:caps/>
          <w:sz w:val="18"/>
          <w:szCs w:val="18"/>
        </w:rPr>
        <w:t>Figure 4.</w:t>
      </w:r>
      <w:r w:rsidRPr="00D73ECA">
        <w:rPr>
          <w:b/>
          <w:sz w:val="18"/>
          <w:szCs w:val="18"/>
        </w:rPr>
        <w:t xml:space="preserve"> </w:t>
      </w:r>
      <w:r w:rsidR="00D73ECA" w:rsidRPr="00481FBC">
        <w:rPr>
          <w:sz w:val="18"/>
          <w:szCs w:val="18"/>
        </w:rPr>
        <w:t>Minimum Inhibitory Concentration (MIC) of MC-</w:t>
      </w:r>
      <w:proofErr w:type="spellStart"/>
      <w:r w:rsidR="00D73ECA" w:rsidRPr="00481FBC">
        <w:rPr>
          <w:sz w:val="18"/>
          <w:szCs w:val="18"/>
        </w:rPr>
        <w:t>SeNPs</w:t>
      </w:r>
      <w:proofErr w:type="spellEnd"/>
      <w:r w:rsidR="00D73ECA" w:rsidRPr="00481FBC">
        <w:rPr>
          <w:sz w:val="18"/>
          <w:szCs w:val="18"/>
        </w:rPr>
        <w:t xml:space="preserve"> against </w:t>
      </w:r>
      <w:r w:rsidR="00D73ECA" w:rsidRPr="00481FBC">
        <w:rPr>
          <w:i/>
          <w:iCs/>
          <w:sz w:val="18"/>
          <w:szCs w:val="18"/>
        </w:rPr>
        <w:t>E. coli</w:t>
      </w:r>
      <w:r w:rsidR="00D73ECA" w:rsidRPr="00481FBC">
        <w:rPr>
          <w:sz w:val="18"/>
          <w:szCs w:val="18"/>
        </w:rPr>
        <w:t xml:space="preserve"> isolates determined by the Resazurin Microtiter Assay (REMA)</w:t>
      </w:r>
      <w:r w:rsidRPr="00481FBC">
        <w:rPr>
          <w:sz w:val="18"/>
          <w:szCs w:val="18"/>
        </w:rPr>
        <w:t>.</w:t>
      </w:r>
    </w:p>
    <w:p w14:paraId="070E824D" w14:textId="77777777" w:rsidR="00EF0F17" w:rsidRDefault="00EF0F17" w:rsidP="00E44664">
      <w:pPr>
        <w:jc w:val="center"/>
        <w:rPr>
          <w:sz w:val="18"/>
          <w:szCs w:val="18"/>
        </w:rPr>
      </w:pPr>
    </w:p>
    <w:p w14:paraId="6A9E2605" w14:textId="7DCEE61C" w:rsidR="00481FBC" w:rsidRPr="003227B3" w:rsidRDefault="00EF0F17" w:rsidP="00E44664">
      <w:pPr>
        <w:jc w:val="center"/>
        <w:rPr>
          <w:b/>
          <w:sz w:val="18"/>
          <w:szCs w:val="18"/>
        </w:rPr>
      </w:pPr>
      <w:r>
        <w:rPr>
          <w:noProof/>
        </w:rPr>
        <w:drawing>
          <wp:inline distT="0" distB="0" distL="0" distR="0" wp14:anchorId="055EC04E" wp14:editId="1009B13C">
            <wp:extent cx="2597785" cy="1805940"/>
            <wp:effectExtent l="0" t="0" r="0" b="3810"/>
            <wp:docPr id="1" name="Picture 1" descr="A pie chart with different colored circles&#10;&#10;AI-generated content may be incorrect."/>
            <wp:cNvGraphicFramePr/>
            <a:graphic xmlns:a="http://schemas.openxmlformats.org/drawingml/2006/main">
              <a:graphicData uri="http://schemas.openxmlformats.org/drawingml/2006/picture">
                <pic:pic xmlns:pic="http://schemas.openxmlformats.org/drawingml/2006/picture">
                  <pic:nvPicPr>
                    <pic:cNvPr id="1" name="Picture 1" descr="A pie chart with different colored circles&#10;&#10;AI-generated content may be incorrect."/>
                    <pic:cNvPicPr/>
                  </pic:nvPicPr>
                  <pic:blipFill rotWithShape="1">
                    <a:blip r:embed="rId15" cstate="print">
                      <a:extLst>
                        <a:ext uri="{BEBA8EAE-BF5A-486C-A8C5-ECC9F3942E4B}">
                          <a14:imgProps xmlns:a14="http://schemas.microsoft.com/office/drawing/2010/main">
                            <a14:imgLayer r:embed="rId16">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20728" t="24149" r="21569"/>
                    <a:stretch/>
                  </pic:blipFill>
                  <pic:spPr bwMode="auto">
                    <a:xfrm>
                      <a:off x="0" y="0"/>
                      <a:ext cx="2598545" cy="1806468"/>
                    </a:xfrm>
                    <a:prstGeom prst="rect">
                      <a:avLst/>
                    </a:prstGeom>
                    <a:noFill/>
                    <a:ln>
                      <a:noFill/>
                    </a:ln>
                    <a:extLst>
                      <a:ext uri="{53640926-AAD7-44D8-BBD7-CCE9431645EC}">
                        <a14:shadowObscured xmlns:a14="http://schemas.microsoft.com/office/drawing/2010/main"/>
                      </a:ext>
                    </a:extLst>
                  </pic:spPr>
                </pic:pic>
              </a:graphicData>
            </a:graphic>
          </wp:inline>
        </w:drawing>
      </w:r>
    </w:p>
    <w:p w14:paraId="2DC4FF56" w14:textId="50256D46" w:rsidR="00DC002B" w:rsidRDefault="00530A3E" w:rsidP="00E44664">
      <w:pPr>
        <w:jc w:val="center"/>
        <w:rPr>
          <w:b/>
          <w:sz w:val="18"/>
          <w:szCs w:val="18"/>
        </w:rPr>
      </w:pPr>
      <w:r w:rsidRPr="00D73ECA">
        <w:rPr>
          <w:b/>
          <w:caps/>
          <w:sz w:val="18"/>
          <w:szCs w:val="18"/>
        </w:rPr>
        <w:t>Figure 5.</w:t>
      </w:r>
      <w:r w:rsidRPr="00D73ECA">
        <w:rPr>
          <w:b/>
          <w:sz w:val="18"/>
          <w:szCs w:val="18"/>
        </w:rPr>
        <w:t xml:space="preserve"> </w:t>
      </w:r>
      <w:r w:rsidR="00DC002B" w:rsidRPr="00481FBC">
        <w:rPr>
          <w:sz w:val="18"/>
          <w:szCs w:val="18"/>
        </w:rPr>
        <w:t xml:space="preserve">Percentage distribution of </w:t>
      </w:r>
      <w:r w:rsidR="00DC002B" w:rsidRPr="00481FBC">
        <w:rPr>
          <w:i/>
          <w:iCs/>
          <w:sz w:val="18"/>
          <w:szCs w:val="18"/>
        </w:rPr>
        <w:t>E. coli</w:t>
      </w:r>
      <w:r w:rsidR="00DC002B" w:rsidRPr="00481FBC">
        <w:rPr>
          <w:sz w:val="18"/>
          <w:szCs w:val="18"/>
        </w:rPr>
        <w:t xml:space="preserve"> isolates based on biofilm formation strength.</w:t>
      </w:r>
    </w:p>
    <w:p w14:paraId="46DE0001" w14:textId="77777777" w:rsidR="00481FBC" w:rsidRPr="00DC002B" w:rsidRDefault="00481FBC" w:rsidP="00E44664">
      <w:pPr>
        <w:jc w:val="center"/>
        <w:rPr>
          <w:b/>
          <w:sz w:val="18"/>
          <w:szCs w:val="18"/>
        </w:rPr>
      </w:pPr>
    </w:p>
    <w:p w14:paraId="1AD3AB98" w14:textId="77777777" w:rsidR="00EF0F17" w:rsidRDefault="00EF0F17" w:rsidP="00E44664">
      <w:pPr>
        <w:jc w:val="center"/>
        <w:rPr>
          <w:b/>
          <w:caps/>
          <w:sz w:val="18"/>
          <w:szCs w:val="18"/>
        </w:rPr>
      </w:pPr>
      <w:r>
        <w:rPr>
          <w:noProof/>
        </w:rPr>
        <w:lastRenderedPageBreak/>
        <w:drawing>
          <wp:inline distT="0" distB="0" distL="0" distR="0" wp14:anchorId="0EB9747E" wp14:editId="75B52B6F">
            <wp:extent cx="4116705" cy="2750820"/>
            <wp:effectExtent l="0" t="0" r="0" b="0"/>
            <wp:docPr id="5" name="Picture 5" descr="A close-up of a tray of blue liquid&#10;&#10;AI-generated content may be incorrect."/>
            <wp:cNvGraphicFramePr/>
            <a:graphic xmlns:a="http://schemas.openxmlformats.org/drawingml/2006/main">
              <a:graphicData uri="http://schemas.openxmlformats.org/drawingml/2006/picture">
                <pic:pic xmlns:pic="http://schemas.openxmlformats.org/drawingml/2006/picture">
                  <pic:nvPicPr>
                    <pic:cNvPr id="5" name="Picture 5" descr="A close-up of a tray of blue liquid&#10;&#10;AI-generated content may be incorrect."/>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6705" cy="2750820"/>
                    </a:xfrm>
                    <a:prstGeom prst="rect">
                      <a:avLst/>
                    </a:prstGeom>
                    <a:noFill/>
                  </pic:spPr>
                </pic:pic>
              </a:graphicData>
            </a:graphic>
          </wp:inline>
        </w:drawing>
      </w:r>
    </w:p>
    <w:p w14:paraId="03C88454" w14:textId="468C98EE" w:rsidR="00530A3E" w:rsidRDefault="00530A3E" w:rsidP="00E44664">
      <w:pPr>
        <w:jc w:val="center"/>
        <w:rPr>
          <w:b/>
          <w:sz w:val="18"/>
          <w:szCs w:val="18"/>
        </w:rPr>
      </w:pPr>
      <w:r w:rsidRPr="002151A8">
        <w:rPr>
          <w:b/>
          <w:caps/>
          <w:sz w:val="18"/>
          <w:szCs w:val="18"/>
        </w:rPr>
        <w:t>Figure 6.</w:t>
      </w:r>
      <w:r w:rsidRPr="002151A8">
        <w:rPr>
          <w:b/>
          <w:sz w:val="18"/>
          <w:szCs w:val="18"/>
        </w:rPr>
        <w:t xml:space="preserve"> </w:t>
      </w:r>
      <w:r w:rsidR="00DC002B" w:rsidRPr="00481FBC">
        <w:rPr>
          <w:sz w:val="18"/>
          <w:szCs w:val="18"/>
        </w:rPr>
        <w:t xml:space="preserve">Color development indicating biofilm formation by </w:t>
      </w:r>
      <w:r w:rsidR="00DC002B" w:rsidRPr="00481FBC">
        <w:rPr>
          <w:i/>
          <w:iCs/>
          <w:sz w:val="18"/>
          <w:szCs w:val="18"/>
        </w:rPr>
        <w:t>E. coli</w:t>
      </w:r>
      <w:r w:rsidR="00DC002B" w:rsidRPr="00481FBC">
        <w:rPr>
          <w:sz w:val="18"/>
          <w:szCs w:val="18"/>
        </w:rPr>
        <w:t xml:space="preserve"> isolates using microtiter plates</w:t>
      </w:r>
      <w:r w:rsidR="00AC08AF" w:rsidRPr="00481FBC">
        <w:rPr>
          <w:sz w:val="18"/>
          <w:szCs w:val="18"/>
        </w:rPr>
        <w:t>.</w:t>
      </w:r>
    </w:p>
    <w:p w14:paraId="66683685" w14:textId="77777777" w:rsidR="00B00AFD" w:rsidRDefault="00B00AFD" w:rsidP="00E44664">
      <w:pPr>
        <w:rPr>
          <w:b/>
          <w:sz w:val="18"/>
          <w:szCs w:val="18"/>
        </w:rPr>
      </w:pPr>
    </w:p>
    <w:p w14:paraId="14231667" w14:textId="77777777" w:rsidR="00B00AFD" w:rsidRPr="00B00AFD" w:rsidRDefault="00B00AFD" w:rsidP="00E44664">
      <w:pPr>
        <w:pStyle w:val="Heading2"/>
        <w:spacing w:before="120" w:after="120"/>
      </w:pPr>
      <w:r w:rsidRPr="00B00AFD">
        <w:rPr>
          <w:bCs/>
        </w:rPr>
        <w:t>The effect of MC-</w:t>
      </w:r>
      <w:proofErr w:type="spellStart"/>
      <w:r w:rsidRPr="00B00AFD">
        <w:rPr>
          <w:bCs/>
        </w:rPr>
        <w:t>SeNPs</w:t>
      </w:r>
      <w:proofErr w:type="spellEnd"/>
      <w:r w:rsidRPr="00B00AFD">
        <w:rPr>
          <w:bCs/>
        </w:rPr>
        <w:t xml:space="preserve"> on the biofilm formation   </w:t>
      </w:r>
    </w:p>
    <w:p w14:paraId="47008C38" w14:textId="211F20D2" w:rsidR="00B00AFD" w:rsidRDefault="00B00AFD" w:rsidP="00E44664">
      <w:pPr>
        <w:ind w:firstLine="720"/>
        <w:jc w:val="both"/>
        <w:rPr>
          <w:b/>
          <w:sz w:val="14"/>
          <w:szCs w:val="14"/>
        </w:rPr>
      </w:pPr>
      <w:r w:rsidRPr="00B00AFD">
        <w:rPr>
          <w:sz w:val="20"/>
          <w:szCs w:val="16"/>
        </w:rPr>
        <w:t xml:space="preserve">In this study, the effect of selenium nanoparticles synthesized from </w:t>
      </w:r>
      <w:r w:rsidRPr="00B00AFD">
        <w:rPr>
          <w:i/>
          <w:iCs/>
          <w:sz w:val="20"/>
          <w:szCs w:val="16"/>
        </w:rPr>
        <w:t>M. communis</w:t>
      </w:r>
      <w:r w:rsidRPr="00B00AFD">
        <w:rPr>
          <w:sz w:val="20"/>
          <w:szCs w:val="16"/>
        </w:rPr>
        <w:t xml:space="preserve"> L. leaf extract on biofilm formation by fifty </w:t>
      </w:r>
      <w:r w:rsidRPr="00B00AFD">
        <w:rPr>
          <w:i/>
          <w:iCs/>
          <w:sz w:val="20"/>
          <w:szCs w:val="16"/>
        </w:rPr>
        <w:t>E. coli</w:t>
      </w:r>
      <w:r w:rsidRPr="00B00AFD">
        <w:rPr>
          <w:sz w:val="20"/>
          <w:szCs w:val="16"/>
        </w:rPr>
        <w:t xml:space="preserve"> isolates was evaluated, including strong, moderate, and weak biofilm producers. Using the sub-minimal inhibitory concentration (SUB-MIC), the results showed that inhibition rates ranged from 7.8% to 85% in strong biofilm isolates, 44% to 57% in moderate biofilm isolates, and 39% to 71% in weak biofilm isolates. These findings indicate a significant potential of selenium nanoparticles in reducing biofilm formation across different </w:t>
      </w:r>
      <w:r w:rsidRPr="00B00AFD">
        <w:rPr>
          <w:i/>
          <w:iCs/>
          <w:sz w:val="20"/>
          <w:szCs w:val="16"/>
        </w:rPr>
        <w:t xml:space="preserve">E. coli </w:t>
      </w:r>
      <w:r w:rsidRPr="00B00AFD">
        <w:rPr>
          <w:sz w:val="20"/>
          <w:szCs w:val="16"/>
        </w:rPr>
        <w:t>phenotypes.</w:t>
      </w:r>
    </w:p>
    <w:p w14:paraId="38D0D3A0" w14:textId="77777777" w:rsidR="00B00AFD" w:rsidRPr="00B00AFD" w:rsidRDefault="00B00AFD" w:rsidP="00E44664">
      <w:pPr>
        <w:pStyle w:val="Heading2"/>
        <w:spacing w:before="120" w:after="120"/>
      </w:pPr>
      <w:r w:rsidRPr="00B00AFD">
        <w:rPr>
          <w:bCs/>
        </w:rPr>
        <w:t xml:space="preserve">The antioxidant activity of </w:t>
      </w:r>
      <w:proofErr w:type="spellStart"/>
      <w:r w:rsidRPr="00B00AFD">
        <w:rPr>
          <w:bCs/>
          <w:i/>
          <w:iCs/>
        </w:rPr>
        <w:t>M.communis</w:t>
      </w:r>
      <w:proofErr w:type="spellEnd"/>
      <w:r w:rsidRPr="00B00AFD">
        <w:rPr>
          <w:bCs/>
        </w:rPr>
        <w:t xml:space="preserve"> L. leaf extract, MC-</w:t>
      </w:r>
      <w:proofErr w:type="spellStart"/>
      <w:r w:rsidRPr="00B00AFD">
        <w:rPr>
          <w:bCs/>
        </w:rPr>
        <w:t>SeNPs</w:t>
      </w:r>
      <w:proofErr w:type="spellEnd"/>
      <w:r w:rsidRPr="00B00AFD">
        <w:rPr>
          <w:bCs/>
        </w:rPr>
        <w:t xml:space="preserve"> and ascorbic acid   </w:t>
      </w:r>
    </w:p>
    <w:p w14:paraId="3AA4CA42" w14:textId="77777777" w:rsidR="00B00AFD" w:rsidRDefault="00B00AFD" w:rsidP="00E44664">
      <w:pPr>
        <w:pStyle w:val="Paragraph"/>
      </w:pPr>
      <w:r w:rsidRPr="00B453CE">
        <w:t xml:space="preserve">The antioxidant activity of </w:t>
      </w:r>
      <w:r w:rsidRPr="00B453CE">
        <w:rPr>
          <w:i/>
          <w:iCs/>
        </w:rPr>
        <w:t>M. communis</w:t>
      </w:r>
      <w:r w:rsidRPr="00B453CE">
        <w:t xml:space="preserve"> L. leaf extract, MC-</w:t>
      </w:r>
      <w:proofErr w:type="spellStart"/>
      <w:r w:rsidRPr="00B453CE">
        <w:t>SeNPs</w:t>
      </w:r>
      <w:proofErr w:type="spellEnd"/>
      <w:r w:rsidRPr="00B453CE">
        <w:t>, and ascorbic acid was evaluated using DPPH radical scavenging assays. The results showed a concentration-dependent increase in ra</w:t>
      </w:r>
      <w:r>
        <w:t xml:space="preserve">dical scavenging activity. For </w:t>
      </w:r>
      <w:r w:rsidRPr="00B453CE">
        <w:rPr>
          <w:i/>
          <w:iCs/>
        </w:rPr>
        <w:t>M. communis</w:t>
      </w:r>
      <w:r w:rsidRPr="00B453CE">
        <w:t xml:space="preserve"> L. extract, activity ranged from 10.32% at 1.95 µg/ml to 75.12% at 1000 µg/ml. MC-</w:t>
      </w:r>
      <w:proofErr w:type="spellStart"/>
      <w:r w:rsidRPr="00B453CE">
        <w:t>SeNPs</w:t>
      </w:r>
      <w:proofErr w:type="spellEnd"/>
      <w:r w:rsidRPr="00B453CE">
        <w:t xml:space="preserve"> exhibited higher activity, from 14.81% at 1.95 µg/ml to 98.84% at 1000 µg/ml. Ascorbic acid showed similar high activity, from 16.21% at 1.95 µg/ml to 98.94% at 1000 µg/ml (Fig. 10).</w:t>
      </w:r>
    </w:p>
    <w:p w14:paraId="3C984661" w14:textId="2D0EF33D" w:rsidR="00B00AFD" w:rsidRDefault="00B00AFD" w:rsidP="00E44664">
      <w:pPr>
        <w:pStyle w:val="Paragraph"/>
      </w:pPr>
      <w:r w:rsidRPr="00562131">
        <w:t xml:space="preserve">To assess the efficacy of </w:t>
      </w:r>
      <w:proofErr w:type="spellStart"/>
      <w:r w:rsidRPr="00562131">
        <w:t>photosynthesised</w:t>
      </w:r>
      <w:proofErr w:type="spellEnd"/>
      <w:r w:rsidRPr="00562131">
        <w:t xml:space="preserve"> MC-</w:t>
      </w:r>
      <w:proofErr w:type="spellStart"/>
      <w:r w:rsidRPr="00562131">
        <w:t>SeNPs</w:t>
      </w:r>
      <w:proofErr w:type="spellEnd"/>
      <w:r w:rsidRPr="00562131">
        <w:t xml:space="preserve"> in erythrocyte </w:t>
      </w:r>
      <w:proofErr w:type="spellStart"/>
      <w:r w:rsidRPr="00562131">
        <w:t>haemolysis</w:t>
      </w:r>
      <w:proofErr w:type="spellEnd"/>
      <w:r w:rsidRPr="00562131">
        <w:t xml:space="preserve">, </w:t>
      </w:r>
      <w:proofErr w:type="spellStart"/>
      <w:r w:rsidRPr="00562131">
        <w:t>haemolytic</w:t>
      </w:r>
      <w:proofErr w:type="spellEnd"/>
      <w:r w:rsidRPr="00562131">
        <w:t xml:space="preserve"> activity was measured in vitro in a dose-dependent manner. Even at higher doses, the </w:t>
      </w:r>
      <w:proofErr w:type="spellStart"/>
      <w:r w:rsidRPr="00562131">
        <w:t>photosynthesised</w:t>
      </w:r>
      <w:proofErr w:type="spellEnd"/>
      <w:r w:rsidRPr="00562131">
        <w:t xml:space="preserve"> MC-</w:t>
      </w:r>
      <w:proofErr w:type="spellStart"/>
      <w:r w:rsidRPr="00562131">
        <w:t>SeNPs</w:t>
      </w:r>
      <w:proofErr w:type="spellEnd"/>
      <w:r w:rsidRPr="00562131">
        <w:t xml:space="preserve"> were observed to have the lowest </w:t>
      </w:r>
      <w:proofErr w:type="spellStart"/>
      <w:r w:rsidRPr="00562131">
        <w:t>haemolytic</w:t>
      </w:r>
      <w:proofErr w:type="spellEnd"/>
      <w:r w:rsidRPr="00562131">
        <w:t xml:space="preserve"> effect, indicating low toxicity (Fig. 11)</w:t>
      </w:r>
      <w:r>
        <w:t>.</w:t>
      </w:r>
    </w:p>
    <w:p w14:paraId="31962F6C" w14:textId="77777777" w:rsidR="00B15A41" w:rsidRPr="00B00AFD" w:rsidRDefault="00B15A41" w:rsidP="00E44664">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C08AF" w14:paraId="3E04AB53" w14:textId="77777777" w:rsidTr="00140F2F">
        <w:trPr>
          <w:cantSplit/>
          <w:trHeight w:val="2485"/>
        </w:trPr>
        <w:tc>
          <w:tcPr>
            <w:tcW w:w="9576" w:type="dxa"/>
          </w:tcPr>
          <w:p w14:paraId="282F6A10" w14:textId="16CC839A" w:rsidR="00AC08AF" w:rsidRDefault="003512B0" w:rsidP="00E44664">
            <w:pPr>
              <w:pStyle w:val="Paragraph"/>
              <w:ind w:firstLine="0"/>
              <w:jc w:val="center"/>
            </w:pPr>
            <w:r>
              <w:rPr>
                <w:noProof/>
              </w:rPr>
              <w:drawing>
                <wp:inline distT="0" distB="0" distL="0" distR="0" wp14:anchorId="3EE1598D" wp14:editId="727F9485">
                  <wp:extent cx="5686425" cy="1790700"/>
                  <wp:effectExtent l="0" t="0" r="9525" b="0"/>
                  <wp:docPr id="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3512B0" w14:paraId="22E676BD" w14:textId="77777777" w:rsidTr="00140F2F">
        <w:trPr>
          <w:cantSplit/>
          <w:trHeight w:val="80"/>
        </w:trPr>
        <w:tc>
          <w:tcPr>
            <w:tcW w:w="9576" w:type="dxa"/>
            <w:textDirection w:val="tbRl"/>
          </w:tcPr>
          <w:p w14:paraId="37DC8BA8" w14:textId="3D6FE502" w:rsidR="003512B0" w:rsidRDefault="003512B0" w:rsidP="00E44664">
            <w:pPr>
              <w:pStyle w:val="Paragraph"/>
              <w:ind w:firstLine="0"/>
              <w:jc w:val="center"/>
              <w:rPr>
                <w:noProof/>
              </w:rPr>
            </w:pPr>
          </w:p>
        </w:tc>
      </w:tr>
    </w:tbl>
    <w:p w14:paraId="6B2AA093" w14:textId="69A607EA" w:rsidR="00AC08AF" w:rsidRDefault="003B4F04" w:rsidP="00E44664">
      <w:pPr>
        <w:jc w:val="center"/>
        <w:rPr>
          <w:sz w:val="18"/>
          <w:szCs w:val="18"/>
        </w:rPr>
      </w:pPr>
      <w:r w:rsidRPr="005D0450">
        <w:rPr>
          <w:b/>
          <w:caps/>
          <w:sz w:val="18"/>
          <w:szCs w:val="18"/>
        </w:rPr>
        <w:t xml:space="preserve">Figure </w:t>
      </w:r>
      <w:r w:rsidR="00AC08AF" w:rsidRPr="005D0450">
        <w:rPr>
          <w:b/>
          <w:caps/>
          <w:sz w:val="18"/>
          <w:szCs w:val="18"/>
        </w:rPr>
        <w:t>7.</w:t>
      </w:r>
      <w:r w:rsidR="00AC08AF" w:rsidRPr="005D0450">
        <w:rPr>
          <w:b/>
          <w:sz w:val="18"/>
          <w:szCs w:val="18"/>
        </w:rPr>
        <w:t xml:space="preserve"> </w:t>
      </w:r>
      <w:r w:rsidR="00DC002B" w:rsidRPr="00B15A41">
        <w:rPr>
          <w:sz w:val="18"/>
          <w:szCs w:val="18"/>
        </w:rPr>
        <w:t xml:space="preserve">Biofilm formation by </w:t>
      </w:r>
      <w:r w:rsidR="00DC002B" w:rsidRPr="00B15A41">
        <w:rPr>
          <w:i/>
          <w:iCs/>
          <w:sz w:val="18"/>
          <w:szCs w:val="18"/>
        </w:rPr>
        <w:t>E. coli</w:t>
      </w:r>
      <w:r w:rsidR="00DC002B" w:rsidRPr="00B15A41">
        <w:rPr>
          <w:sz w:val="18"/>
          <w:szCs w:val="18"/>
        </w:rPr>
        <w:t xml:space="preserve"> isolates measured by optical density (OD) using the microtiter plate method</w:t>
      </w:r>
      <w:r w:rsidR="00AC08AF" w:rsidRPr="00B15A41">
        <w:rPr>
          <w:sz w:val="18"/>
          <w:szCs w:val="18"/>
        </w:rPr>
        <w:t>.</w:t>
      </w:r>
    </w:p>
    <w:p w14:paraId="218A995D" w14:textId="77777777" w:rsidR="00B15A41" w:rsidRPr="005D0450" w:rsidRDefault="00B15A41" w:rsidP="00E44664">
      <w:pPr>
        <w:jc w:val="center"/>
        <w:rPr>
          <w:b/>
          <w:sz w:val="18"/>
          <w:szCs w:val="18"/>
        </w:rPr>
      </w:pPr>
    </w:p>
    <w:tbl>
      <w:tblPr>
        <w:tblStyle w:val="TableGrid"/>
        <w:tblW w:w="93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A7C44" w14:paraId="3C731081" w14:textId="77777777" w:rsidTr="00140F2F">
        <w:trPr>
          <w:trHeight w:val="2485"/>
        </w:trPr>
        <w:tc>
          <w:tcPr>
            <w:tcW w:w="9360" w:type="dxa"/>
          </w:tcPr>
          <w:p w14:paraId="7EF5F2DD" w14:textId="3F1DAFBB" w:rsidR="00F36A79" w:rsidRDefault="00F36A79" w:rsidP="00E44664">
            <w:pPr>
              <w:pStyle w:val="Paragraph"/>
              <w:ind w:left="180" w:firstLine="0"/>
              <w:jc w:val="center"/>
            </w:pPr>
            <w:r>
              <w:rPr>
                <w:noProof/>
              </w:rPr>
              <w:lastRenderedPageBreak/>
              <w:drawing>
                <wp:inline distT="0" distB="0" distL="0" distR="0" wp14:anchorId="70EB79D0" wp14:editId="7D981C53">
                  <wp:extent cx="5608320" cy="1733550"/>
                  <wp:effectExtent l="0" t="0" r="11430" b="0"/>
                  <wp:docPr id="11" name="مخطط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2546F0F1" w14:textId="5D2A5A34" w:rsidR="005D0450" w:rsidRDefault="00AA7C44" w:rsidP="00E44664">
      <w:pPr>
        <w:ind w:left="180"/>
        <w:jc w:val="center"/>
        <w:rPr>
          <w:sz w:val="18"/>
          <w:szCs w:val="18"/>
        </w:rPr>
      </w:pPr>
      <w:r w:rsidRPr="005D0450">
        <w:rPr>
          <w:b/>
          <w:caps/>
          <w:sz w:val="18"/>
          <w:szCs w:val="18"/>
        </w:rPr>
        <w:t>Figure 8.</w:t>
      </w:r>
      <w:r w:rsidRPr="005D0450">
        <w:rPr>
          <w:b/>
          <w:sz w:val="18"/>
          <w:szCs w:val="18"/>
        </w:rPr>
        <w:t xml:space="preserve"> </w:t>
      </w:r>
      <w:r w:rsidR="005D0450" w:rsidRPr="00B15A41">
        <w:rPr>
          <w:sz w:val="18"/>
          <w:szCs w:val="18"/>
        </w:rPr>
        <w:t>Effect of MC-</w:t>
      </w:r>
      <w:proofErr w:type="spellStart"/>
      <w:r w:rsidR="005D0450" w:rsidRPr="00B15A41">
        <w:rPr>
          <w:sz w:val="18"/>
          <w:szCs w:val="18"/>
        </w:rPr>
        <w:t>SeNPs</w:t>
      </w:r>
      <w:proofErr w:type="spellEnd"/>
      <w:r w:rsidR="005D0450" w:rsidRPr="00B15A41">
        <w:rPr>
          <w:sz w:val="18"/>
          <w:szCs w:val="18"/>
        </w:rPr>
        <w:t xml:space="preserve"> on biofilm formation by </w:t>
      </w:r>
      <w:r w:rsidR="005D0450" w:rsidRPr="00B15A41">
        <w:rPr>
          <w:i/>
          <w:iCs/>
          <w:sz w:val="18"/>
          <w:szCs w:val="18"/>
        </w:rPr>
        <w:t>E. coli</w:t>
      </w:r>
      <w:r w:rsidR="005D0450" w:rsidRPr="00B15A41">
        <w:rPr>
          <w:sz w:val="18"/>
          <w:szCs w:val="18"/>
        </w:rPr>
        <w:t xml:space="preserve"> isolates measured by optical density (OD).</w:t>
      </w:r>
    </w:p>
    <w:p w14:paraId="3CD3596D" w14:textId="77777777" w:rsidR="00B15A41" w:rsidRPr="005D0450" w:rsidRDefault="00B15A41" w:rsidP="00E44664">
      <w:pPr>
        <w:ind w:left="180"/>
        <w:jc w:val="center"/>
        <w:rPr>
          <w:b/>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3771E" w14:paraId="1658CDCA" w14:textId="77777777" w:rsidTr="00140F2F">
        <w:trPr>
          <w:trHeight w:val="2485"/>
        </w:trPr>
        <w:tc>
          <w:tcPr>
            <w:tcW w:w="9576" w:type="dxa"/>
          </w:tcPr>
          <w:p w14:paraId="0C438BD9" w14:textId="439F8BA2" w:rsidR="00E660F1" w:rsidRDefault="00E660F1" w:rsidP="00140F2F">
            <w:pPr>
              <w:pStyle w:val="Paragraph"/>
              <w:ind w:left="432" w:firstLine="0"/>
              <w:jc w:val="center"/>
            </w:pPr>
            <w:r>
              <w:rPr>
                <w:noProof/>
              </w:rPr>
              <w:drawing>
                <wp:inline distT="0" distB="0" distL="0" distR="0" wp14:anchorId="5ABCAB27" wp14:editId="02B35988">
                  <wp:extent cx="5669280" cy="1828800"/>
                  <wp:effectExtent l="0" t="0" r="7620" b="0"/>
                  <wp:docPr id="12"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67DB7C92" w14:textId="131A90F4" w:rsidR="00C3771E" w:rsidRDefault="00C3771E" w:rsidP="00E44664">
      <w:pPr>
        <w:ind w:left="180"/>
        <w:jc w:val="center"/>
        <w:rPr>
          <w:b/>
          <w:sz w:val="18"/>
          <w:szCs w:val="18"/>
        </w:rPr>
      </w:pPr>
      <w:r w:rsidRPr="005D0450">
        <w:rPr>
          <w:b/>
          <w:caps/>
          <w:sz w:val="18"/>
          <w:szCs w:val="18"/>
        </w:rPr>
        <w:t>Figure 9.</w:t>
      </w:r>
      <w:r w:rsidRPr="005D0450">
        <w:rPr>
          <w:b/>
          <w:sz w:val="18"/>
          <w:szCs w:val="18"/>
        </w:rPr>
        <w:t xml:space="preserve"> </w:t>
      </w:r>
      <w:r w:rsidR="005D0450" w:rsidRPr="00B15A41">
        <w:rPr>
          <w:sz w:val="18"/>
          <w:szCs w:val="18"/>
        </w:rPr>
        <w:t xml:space="preserve">Percentage inhibition of biofilm formation in </w:t>
      </w:r>
      <w:r w:rsidR="005D0450" w:rsidRPr="00B15A41">
        <w:rPr>
          <w:i/>
          <w:iCs/>
          <w:sz w:val="18"/>
          <w:szCs w:val="18"/>
        </w:rPr>
        <w:t>E. coli</w:t>
      </w:r>
      <w:r w:rsidR="005D0450" w:rsidRPr="00B15A41">
        <w:rPr>
          <w:sz w:val="18"/>
          <w:szCs w:val="18"/>
        </w:rPr>
        <w:t xml:space="preserve"> isolates treated with MC-</w:t>
      </w:r>
      <w:proofErr w:type="spellStart"/>
      <w:r w:rsidR="005D0450" w:rsidRPr="00B15A41">
        <w:rPr>
          <w:sz w:val="18"/>
          <w:szCs w:val="18"/>
        </w:rPr>
        <w:t>SeNPs</w:t>
      </w:r>
      <w:proofErr w:type="spellEnd"/>
      <w:r w:rsidRPr="00B15A41">
        <w:rPr>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C5E65" w14:paraId="083AB986" w14:textId="77777777" w:rsidTr="00140F2F">
        <w:trPr>
          <w:trHeight w:val="2163"/>
        </w:trPr>
        <w:tc>
          <w:tcPr>
            <w:tcW w:w="9350" w:type="dxa"/>
          </w:tcPr>
          <w:p w14:paraId="6CFEDB94" w14:textId="0C02479C" w:rsidR="004C5E65" w:rsidRDefault="004C5E65" w:rsidP="00E44664">
            <w:pPr>
              <w:pStyle w:val="Paragraph"/>
              <w:ind w:left="180" w:firstLine="0"/>
              <w:jc w:val="center"/>
            </w:pPr>
            <w:r>
              <w:rPr>
                <w:noProof/>
              </w:rPr>
              <w:drawing>
                <wp:inline distT="0" distB="0" distL="0" distR="0" wp14:anchorId="4E81E691" wp14:editId="0465FEE8">
                  <wp:extent cx="5370195" cy="1539177"/>
                  <wp:effectExtent l="0" t="0" r="1905" b="444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t="11594"/>
                          <a:stretch/>
                        </pic:blipFill>
                        <pic:spPr bwMode="auto">
                          <a:xfrm>
                            <a:off x="0" y="0"/>
                            <a:ext cx="5402739" cy="15485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EC0DCA" w14:textId="6DC410CB" w:rsidR="004C5E65" w:rsidRDefault="004C5E65" w:rsidP="00E44664">
      <w:pPr>
        <w:ind w:left="180"/>
        <w:jc w:val="center"/>
        <w:rPr>
          <w:b/>
          <w:sz w:val="18"/>
          <w:szCs w:val="18"/>
        </w:rPr>
      </w:pPr>
      <w:r w:rsidRPr="005D0450">
        <w:rPr>
          <w:b/>
          <w:caps/>
          <w:sz w:val="18"/>
          <w:szCs w:val="18"/>
        </w:rPr>
        <w:t>Figure 10.</w:t>
      </w:r>
      <w:r w:rsidRPr="005D0450">
        <w:rPr>
          <w:b/>
          <w:sz w:val="18"/>
          <w:szCs w:val="18"/>
        </w:rPr>
        <w:t xml:space="preserve"> </w:t>
      </w:r>
      <w:r w:rsidR="005D0450" w:rsidRPr="002F3500">
        <w:rPr>
          <w:sz w:val="18"/>
          <w:szCs w:val="18"/>
        </w:rPr>
        <w:t>Comparative percentage of radical scavenging activity of Aas leaf extract, MC-</w:t>
      </w:r>
      <w:proofErr w:type="spellStart"/>
      <w:r w:rsidR="005D0450" w:rsidRPr="002F3500">
        <w:rPr>
          <w:sz w:val="18"/>
          <w:szCs w:val="18"/>
        </w:rPr>
        <w:t>SeNPs</w:t>
      </w:r>
      <w:proofErr w:type="spellEnd"/>
      <w:r w:rsidR="005D0450" w:rsidRPr="002F3500">
        <w:rPr>
          <w:sz w:val="18"/>
          <w:szCs w:val="18"/>
        </w:rPr>
        <w:t>, and ascorbic acid</w:t>
      </w:r>
      <w:r w:rsidRPr="002F3500">
        <w:rPr>
          <w:sz w:val="18"/>
          <w:szCs w:val="18"/>
        </w:rPr>
        <w:t>.</w:t>
      </w:r>
    </w:p>
    <w:p w14:paraId="15C51C68" w14:textId="77777777" w:rsidR="002F3500" w:rsidRPr="005D0450" w:rsidRDefault="002F3500" w:rsidP="00E44664">
      <w:pPr>
        <w:ind w:left="180"/>
        <w:jc w:val="center"/>
        <w:rPr>
          <w:b/>
          <w:sz w:val="18"/>
          <w:szCs w:val="18"/>
        </w:rPr>
      </w:pPr>
    </w:p>
    <w:tbl>
      <w:tblPr>
        <w:tblStyle w:val="TableGrid"/>
        <w:tblW w:w="93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C5E65" w14:paraId="07E09247" w14:textId="77777777" w:rsidTr="00140F2F">
        <w:trPr>
          <w:trHeight w:val="2826"/>
        </w:trPr>
        <w:tc>
          <w:tcPr>
            <w:tcW w:w="9360" w:type="dxa"/>
          </w:tcPr>
          <w:p w14:paraId="12F2CE49" w14:textId="62063E36" w:rsidR="004F1D55" w:rsidRDefault="004F1D55" w:rsidP="00E44664">
            <w:pPr>
              <w:pStyle w:val="Paragraph"/>
              <w:ind w:left="180" w:firstLine="0"/>
              <w:jc w:val="center"/>
            </w:pPr>
            <w:r>
              <w:rPr>
                <w:noProof/>
              </w:rPr>
              <w:drawing>
                <wp:inline distT="0" distB="0" distL="0" distR="0" wp14:anchorId="0129AA09" wp14:editId="59F52987">
                  <wp:extent cx="5471160" cy="1809750"/>
                  <wp:effectExtent l="0" t="0" r="15240" b="0"/>
                  <wp:docPr id="16"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375A015B" w14:textId="3790F408" w:rsidR="004C5E65" w:rsidRPr="002F3500" w:rsidRDefault="004C5E65" w:rsidP="00E44664">
      <w:pPr>
        <w:pStyle w:val="Paragraph"/>
        <w:ind w:firstLine="0"/>
        <w:jc w:val="center"/>
        <w:rPr>
          <w:sz w:val="18"/>
          <w:szCs w:val="18"/>
        </w:rPr>
      </w:pPr>
      <w:r w:rsidRPr="002151A8">
        <w:rPr>
          <w:b/>
          <w:caps/>
          <w:sz w:val="18"/>
          <w:szCs w:val="18"/>
        </w:rPr>
        <w:t>Figure 11.</w:t>
      </w:r>
      <w:r w:rsidRPr="002151A8">
        <w:rPr>
          <w:b/>
          <w:sz w:val="18"/>
          <w:szCs w:val="18"/>
        </w:rPr>
        <w:t xml:space="preserve"> </w:t>
      </w:r>
      <w:r w:rsidRPr="002F3500">
        <w:rPr>
          <w:sz w:val="18"/>
          <w:szCs w:val="18"/>
        </w:rPr>
        <w:t xml:space="preserve">The </w:t>
      </w:r>
      <w:proofErr w:type="spellStart"/>
      <w:r w:rsidRPr="002F3500">
        <w:rPr>
          <w:sz w:val="18"/>
          <w:szCs w:val="18"/>
        </w:rPr>
        <w:t>haemolysis</w:t>
      </w:r>
      <w:proofErr w:type="spellEnd"/>
      <w:r w:rsidRPr="002F3500">
        <w:rPr>
          <w:sz w:val="18"/>
          <w:szCs w:val="18"/>
        </w:rPr>
        <w:t xml:space="preserve"> activity of Aas leaf extract and MC-</w:t>
      </w:r>
      <w:proofErr w:type="spellStart"/>
      <w:r w:rsidRPr="002F3500">
        <w:rPr>
          <w:sz w:val="18"/>
          <w:szCs w:val="18"/>
        </w:rPr>
        <w:t>SeNPs</w:t>
      </w:r>
      <w:proofErr w:type="spellEnd"/>
      <w:r w:rsidRPr="002F3500">
        <w:rPr>
          <w:sz w:val="18"/>
          <w:szCs w:val="18"/>
        </w:rPr>
        <w:t>.</w:t>
      </w:r>
    </w:p>
    <w:p w14:paraId="382788AA" w14:textId="4FAEB3F8" w:rsidR="004C5E65" w:rsidRPr="004C5E65" w:rsidRDefault="004C5E65" w:rsidP="00E44664">
      <w:pPr>
        <w:pStyle w:val="Heading1"/>
        <w:rPr>
          <w:bCs/>
        </w:rPr>
      </w:pPr>
      <w:r w:rsidRPr="004C5E65">
        <w:rPr>
          <w:bCs/>
        </w:rPr>
        <w:lastRenderedPageBreak/>
        <w:t>Dis</w:t>
      </w:r>
      <w:r w:rsidR="00E44664">
        <w:rPr>
          <w:bCs/>
        </w:rPr>
        <w:t>cussion</w:t>
      </w:r>
    </w:p>
    <w:p w14:paraId="730831C0" w14:textId="5F05A938" w:rsidR="000D7697" w:rsidRDefault="000D7697" w:rsidP="00E44664">
      <w:pPr>
        <w:pStyle w:val="Paragraph"/>
      </w:pPr>
      <w:r>
        <w:t xml:space="preserve">The isolation of </w:t>
      </w:r>
      <w:r w:rsidRPr="00BC4AFD">
        <w:rPr>
          <w:i/>
          <w:iCs/>
        </w:rPr>
        <w:t>E. coli</w:t>
      </w:r>
      <w:r>
        <w:t xml:space="preserve"> was carried out using standard bacteriological methods (</w:t>
      </w:r>
      <w:r w:rsidR="00CA6F9A">
        <w:t>17</w:t>
      </w:r>
      <w:r>
        <w:t>). Clinical samples were cultured on Mac</w:t>
      </w:r>
      <w:r w:rsidR="00CA6F9A">
        <w:t>Conkey agar and incubated at 37</w:t>
      </w:r>
      <w:r>
        <w:t xml:space="preserve">°C for 24 h, producing pink colonies. Pure isolates were </w:t>
      </w:r>
      <w:proofErr w:type="spellStart"/>
      <w:r>
        <w:t>subcultured</w:t>
      </w:r>
      <w:proofErr w:type="spellEnd"/>
      <w:r>
        <w:t xml:space="preserve"> on nutrient agar and eosin methylene blue (EMB), where metallic green colonies confirmed </w:t>
      </w:r>
      <w:r w:rsidRPr="00BC4AFD">
        <w:rPr>
          <w:i/>
          <w:iCs/>
        </w:rPr>
        <w:t>E. coli</w:t>
      </w:r>
      <w:r>
        <w:t xml:space="preserve"> (</w:t>
      </w:r>
      <w:r w:rsidR="0095087C">
        <w:t>28</w:t>
      </w:r>
      <w:r>
        <w:t xml:space="preserve">). Gram staining and biochemical tests, including TSI and </w:t>
      </w:r>
      <w:proofErr w:type="spellStart"/>
      <w:r>
        <w:t>IMViC</w:t>
      </w:r>
      <w:proofErr w:type="spellEnd"/>
      <w:r>
        <w:t xml:space="preserve">, further </w:t>
      </w:r>
      <w:proofErr w:type="spellStart"/>
      <w:r>
        <w:t>characterised</w:t>
      </w:r>
      <w:proofErr w:type="spellEnd"/>
      <w:r>
        <w:t xml:space="preserve"> the isolates, while final confirmation was done using the VITEK® 2 compact system (</w:t>
      </w:r>
      <w:r w:rsidR="00CA6F9A">
        <w:t>18</w:t>
      </w:r>
      <w:r>
        <w:t xml:space="preserve">). A total of 50 </w:t>
      </w:r>
      <w:r w:rsidRPr="000D7697">
        <w:rPr>
          <w:i/>
          <w:iCs/>
        </w:rPr>
        <w:t>E. coli</w:t>
      </w:r>
      <w:r>
        <w:t xml:space="preserve"> isolates (33.3%) were obtained from 150 samples: 30 (60%) from urinary tract infections, 15 (30%) from wounds, and 5 (10%) from burns, consistent wit</w:t>
      </w:r>
      <w:r w:rsidR="0095087C">
        <w:t>h previous studies in Baghdad (</w:t>
      </w:r>
      <w:r w:rsidR="00B948DF">
        <w:t>29</w:t>
      </w:r>
      <w:r>
        <w:t>–</w:t>
      </w:r>
      <w:r w:rsidR="00B948DF">
        <w:t>31</w:t>
      </w:r>
      <w:r>
        <w:t>). Antimicrobial susceptibility was tested using both the Kirby-Bauer disc diffusion and VITEK® 2 AST systems. The VITEK® 2 method was more accurate and reliable, whereas Kirby-Bauer presented limitations such as u</w:t>
      </w:r>
      <w:r w:rsidR="00B948DF">
        <w:t>neven bacterial distribution (32</w:t>
      </w:r>
      <w:r>
        <w:t>). Results showed most isolates resistant to seven antimicrobials by Kirby-Bauer and eleven by VITEK® 2, aligning with previous findings (</w:t>
      </w:r>
      <w:r w:rsidR="00B948DF">
        <w:t>33</w:t>
      </w:r>
      <w:r>
        <w:t>). Biofilm analysis revealed 31 strong (62%), 13 moderate (26%), and 6 weak (12%) biofilm formers, consistent with other reports linking biofilms to resistance in clinical isolates (</w:t>
      </w:r>
      <w:r w:rsidR="00B948DF">
        <w:t>34, 35</w:t>
      </w:r>
      <w:r>
        <w:t>). Treatment with Myrtus communis-derived selenium nanoparticles (MC-</w:t>
      </w:r>
      <w:proofErr w:type="spellStart"/>
      <w:r>
        <w:t>SeNPs</w:t>
      </w:r>
      <w:proofErr w:type="spellEnd"/>
      <w:r>
        <w:t>) significantly inhibited biofilm formation: 7.8–85% in strong, 44–57% in moderate, and 39–71% in weak biofilm formers, in agreement with previous studies (</w:t>
      </w:r>
      <w:r w:rsidR="00B948DF">
        <w:t>36, 37</w:t>
      </w:r>
      <w:r>
        <w:t>). Antioxidant assays showed increased radical scavenging with higher concentrations of plant extract, MC-</w:t>
      </w:r>
      <w:proofErr w:type="spellStart"/>
      <w:r>
        <w:t>SeNPs</w:t>
      </w:r>
      <w:proofErr w:type="spellEnd"/>
      <w:r>
        <w:t xml:space="preserve">, and ascorbic acid, due to direct </w:t>
      </w:r>
      <w:proofErr w:type="spellStart"/>
      <w:r>
        <w:t>neutralisation</w:t>
      </w:r>
      <w:proofErr w:type="spellEnd"/>
      <w:r>
        <w:t xml:space="preserve"> of ROS and activation of antioxidant enzymes such as </w:t>
      </w:r>
      <w:proofErr w:type="spellStart"/>
      <w:r>
        <w:t>GPx</w:t>
      </w:r>
      <w:proofErr w:type="spellEnd"/>
      <w:r>
        <w:t xml:space="preserve"> and SOD (</w:t>
      </w:r>
      <w:r w:rsidR="00B948DF">
        <w:t>38, 39</w:t>
      </w:r>
      <w:r>
        <w:t>). MC-</w:t>
      </w:r>
      <w:proofErr w:type="spellStart"/>
      <w:r>
        <w:t>SeNPs</w:t>
      </w:r>
      <w:proofErr w:type="spellEnd"/>
      <w:r>
        <w:t xml:space="preserve"> demonstrated superior activity compared to plant extract alone, supporting earlier studies (</w:t>
      </w:r>
      <w:r w:rsidR="000E6749">
        <w:t>4</w:t>
      </w:r>
      <w:r w:rsidR="00B948DF">
        <w:t>0</w:t>
      </w:r>
      <w:r>
        <w:t xml:space="preserve">, </w:t>
      </w:r>
      <w:r w:rsidR="00B948DF">
        <w:t>41</w:t>
      </w:r>
      <w:r>
        <w:t xml:space="preserve">). Finally, </w:t>
      </w:r>
      <w:proofErr w:type="spellStart"/>
      <w:r>
        <w:t>haemolysis</w:t>
      </w:r>
      <w:proofErr w:type="spellEnd"/>
      <w:r>
        <w:t xml:space="preserve"> assays indicated low toxicity of MC-</w:t>
      </w:r>
      <w:proofErr w:type="spellStart"/>
      <w:r>
        <w:t>SeNPs</w:t>
      </w:r>
      <w:proofErr w:type="spellEnd"/>
      <w:r>
        <w:t xml:space="preserve">, with reduced </w:t>
      </w:r>
      <w:proofErr w:type="spellStart"/>
      <w:r>
        <w:t>haemolytic</w:t>
      </w:r>
      <w:proofErr w:type="spellEnd"/>
      <w:r>
        <w:t xml:space="preserve"> activity at lower concentrations, consisten</w:t>
      </w:r>
      <w:r w:rsidR="000E6749">
        <w:t>t with previous findings (4</w:t>
      </w:r>
      <w:r w:rsidR="00B948DF">
        <w:t>2</w:t>
      </w:r>
      <w:r>
        <w:t>).</w:t>
      </w:r>
    </w:p>
    <w:p w14:paraId="238F91B4" w14:textId="59100379" w:rsidR="00D87E2A" w:rsidRDefault="004C5E65" w:rsidP="00E44664">
      <w:pPr>
        <w:pStyle w:val="Heading1"/>
        <w:rPr>
          <w:b w:val="0"/>
          <w:caps w:val="0"/>
          <w:sz w:val="20"/>
        </w:rPr>
      </w:pPr>
      <w:r>
        <w:rPr>
          <w:rFonts w:asciiTheme="majorBidi" w:hAnsiTheme="majorBidi" w:cstheme="majorBidi"/>
        </w:rPr>
        <w:t>CONCLUSION</w:t>
      </w:r>
    </w:p>
    <w:p w14:paraId="55D56508" w14:textId="79A35FCB" w:rsidR="00D87E2A" w:rsidRPr="00A24F3D" w:rsidRDefault="00DC6DE1" w:rsidP="00E44664">
      <w:pPr>
        <w:pStyle w:val="Paragraph"/>
      </w:pPr>
      <w:r w:rsidRPr="00DC6DE1">
        <w:rPr>
          <w:rFonts w:asciiTheme="majorBidi" w:hAnsiTheme="majorBidi" w:cstheme="majorBidi"/>
        </w:rPr>
        <w:t>The results of this study indicate that selenium nanoparticles from mycelium (MC-</w:t>
      </w:r>
      <w:proofErr w:type="spellStart"/>
      <w:r w:rsidRPr="00DC6DE1">
        <w:rPr>
          <w:rFonts w:asciiTheme="majorBidi" w:hAnsiTheme="majorBidi" w:cstheme="majorBidi"/>
        </w:rPr>
        <w:t>SeNPs</w:t>
      </w:r>
      <w:proofErr w:type="spellEnd"/>
      <w:r w:rsidRPr="00DC6DE1">
        <w:rPr>
          <w:rFonts w:asciiTheme="majorBidi" w:hAnsiTheme="majorBidi" w:cstheme="majorBidi"/>
        </w:rPr>
        <w:t xml:space="preserve">) have antimicrobial, antiviral and antioxidant properties as well as low cytotoxicity. This makes them promising for clinical applications as alternative antibiotics and in industry and the environment as an anti-pollution agent. However, the use of these particles in </w:t>
      </w:r>
      <w:proofErr w:type="spellStart"/>
      <w:r w:rsidRPr="00DC6DE1">
        <w:rPr>
          <w:rFonts w:asciiTheme="majorBidi" w:hAnsiTheme="majorBidi" w:cstheme="majorBidi"/>
        </w:rPr>
        <w:t>practise</w:t>
      </w:r>
      <w:proofErr w:type="spellEnd"/>
      <w:r w:rsidRPr="00DC6DE1">
        <w:rPr>
          <w:rFonts w:asciiTheme="majorBidi" w:hAnsiTheme="majorBidi" w:cstheme="majorBidi"/>
        </w:rPr>
        <w:t xml:space="preserve"> requires further studies to assess their toxicity and efficacy in vivo to ensure their safety and effectiveness</w:t>
      </w:r>
      <w:r w:rsidR="00D87E2A">
        <w:rPr>
          <w:rFonts w:asciiTheme="majorBidi" w:hAnsiTheme="majorBidi" w:cstheme="majorBidi"/>
        </w:rPr>
        <w:t>.</w:t>
      </w:r>
    </w:p>
    <w:p w14:paraId="7691B80C" w14:textId="72B9686E" w:rsidR="00613B4D" w:rsidRPr="00075EA6" w:rsidRDefault="0016385D" w:rsidP="00E44664">
      <w:pPr>
        <w:pStyle w:val="Heading1"/>
      </w:pPr>
      <w:r w:rsidRPr="00075EA6">
        <w:rPr>
          <w:rFonts w:asciiTheme="majorBidi" w:hAnsiTheme="majorBidi" w:cstheme="majorBidi"/>
        </w:rPr>
        <w:t>Acknowledgments</w:t>
      </w:r>
    </w:p>
    <w:p w14:paraId="4F4EA3E3" w14:textId="5D461A11" w:rsidR="000B3A2D" w:rsidRPr="00075EA6" w:rsidRDefault="00DC6DE1" w:rsidP="00E44664">
      <w:pPr>
        <w:pStyle w:val="Paragraph"/>
        <w:rPr>
          <w:rFonts w:asciiTheme="majorBidi" w:hAnsiTheme="majorBidi" w:cstheme="majorBidi"/>
        </w:rPr>
      </w:pPr>
      <w:r w:rsidRPr="00DC6DE1">
        <w:rPr>
          <w:rFonts w:asciiTheme="majorBidi" w:hAnsiTheme="majorBidi" w:cstheme="majorBidi"/>
        </w:rPr>
        <w:t>We thank the staff of the Science University/Biotechnology Department for their support in conducting the experiments and interpreting the results, especially Dr Laith and his group</w:t>
      </w:r>
      <w:r w:rsidR="005E71ED">
        <w:rPr>
          <w:rFonts w:asciiTheme="majorBidi" w:hAnsiTheme="majorBidi" w:cstheme="majorBidi"/>
        </w:rPr>
        <w:t>.</w:t>
      </w:r>
    </w:p>
    <w:p w14:paraId="7D026FC8" w14:textId="53063ADF" w:rsidR="006E44DE" w:rsidRDefault="0016385D" w:rsidP="00E44664">
      <w:pPr>
        <w:pStyle w:val="Heading1"/>
      </w:pPr>
      <w:r w:rsidRPr="00075EA6">
        <w:rPr>
          <w:rFonts w:asciiTheme="majorBidi" w:hAnsiTheme="majorBidi" w:cstheme="majorBidi"/>
        </w:rPr>
        <w:t>References</w:t>
      </w:r>
    </w:p>
    <w:p w14:paraId="634A8AFB" w14:textId="77777777" w:rsidR="006E44DE" w:rsidRPr="00E44664" w:rsidRDefault="006E44DE" w:rsidP="00E44664">
      <w:pPr>
        <w:pStyle w:val="Reference"/>
        <w:numPr>
          <w:ilvl w:val="0"/>
          <w:numId w:val="4"/>
        </w:numPr>
        <w:tabs>
          <w:tab w:val="clear" w:pos="720"/>
          <w:tab w:val="num" w:pos="426"/>
        </w:tabs>
        <w:ind w:left="450" w:hanging="426"/>
        <w:jc w:val="left"/>
        <w:rPr>
          <w:sz w:val="18"/>
          <w:szCs w:val="18"/>
        </w:rPr>
      </w:pPr>
      <w:r w:rsidRPr="00E44664">
        <w:rPr>
          <w:sz w:val="18"/>
          <w:szCs w:val="18"/>
        </w:rPr>
        <w:t xml:space="preserve">R. Najm and J. M. Hussein, J Popul. Ther. Clin. </w:t>
      </w:r>
      <w:proofErr w:type="spellStart"/>
      <w:r w:rsidRPr="00E44664">
        <w:rPr>
          <w:sz w:val="18"/>
          <w:szCs w:val="18"/>
        </w:rPr>
        <w:t>Pharmacol</w:t>
      </w:r>
      <w:proofErr w:type="spellEnd"/>
      <w:r w:rsidRPr="00E44664">
        <w:rPr>
          <w:sz w:val="18"/>
          <w:szCs w:val="18"/>
        </w:rPr>
        <w:t xml:space="preserve">. </w:t>
      </w:r>
      <w:r w:rsidRPr="00E44664">
        <w:rPr>
          <w:b/>
          <w:bCs/>
          <w:sz w:val="18"/>
          <w:szCs w:val="18"/>
        </w:rPr>
        <w:t>30</w:t>
      </w:r>
      <w:r w:rsidRPr="00E44664">
        <w:rPr>
          <w:sz w:val="18"/>
          <w:szCs w:val="18"/>
        </w:rPr>
        <w:t>, e459–e464 (2023).</w:t>
      </w:r>
    </w:p>
    <w:p w14:paraId="3DC2A23D" w14:textId="77777777" w:rsidR="006E44DE" w:rsidRPr="00E44664" w:rsidRDefault="006E44DE" w:rsidP="00E44664">
      <w:pPr>
        <w:pStyle w:val="Reference"/>
        <w:numPr>
          <w:ilvl w:val="0"/>
          <w:numId w:val="4"/>
        </w:numPr>
        <w:tabs>
          <w:tab w:val="clear" w:pos="720"/>
          <w:tab w:val="num" w:pos="426"/>
        </w:tabs>
        <w:ind w:left="450" w:hanging="426"/>
        <w:jc w:val="left"/>
        <w:rPr>
          <w:sz w:val="18"/>
          <w:szCs w:val="18"/>
        </w:rPr>
      </w:pPr>
      <w:r w:rsidRPr="00E44664">
        <w:rPr>
          <w:sz w:val="18"/>
          <w:szCs w:val="18"/>
        </w:rPr>
        <w:t xml:space="preserve">V. Hemraj, S. Diksha and G. Avneet, IJLS </w:t>
      </w:r>
      <w:r w:rsidRPr="00E44664">
        <w:rPr>
          <w:b/>
          <w:bCs/>
          <w:sz w:val="18"/>
          <w:szCs w:val="18"/>
        </w:rPr>
        <w:t>1</w:t>
      </w:r>
      <w:r w:rsidRPr="00E44664">
        <w:rPr>
          <w:sz w:val="18"/>
          <w:szCs w:val="18"/>
        </w:rPr>
        <w:t>, 1–7 (2013).</w:t>
      </w:r>
    </w:p>
    <w:p w14:paraId="6ED6DCF1" w14:textId="77777777" w:rsidR="006E44DE" w:rsidRPr="00E44664" w:rsidRDefault="006E44DE" w:rsidP="00E44664">
      <w:pPr>
        <w:pStyle w:val="Reference"/>
        <w:numPr>
          <w:ilvl w:val="0"/>
          <w:numId w:val="4"/>
        </w:numPr>
        <w:tabs>
          <w:tab w:val="clear" w:pos="720"/>
          <w:tab w:val="num" w:pos="426"/>
        </w:tabs>
        <w:ind w:left="450" w:hanging="426"/>
        <w:jc w:val="left"/>
        <w:rPr>
          <w:sz w:val="18"/>
          <w:szCs w:val="18"/>
        </w:rPr>
      </w:pPr>
      <w:r w:rsidRPr="00E44664">
        <w:rPr>
          <w:sz w:val="18"/>
          <w:szCs w:val="18"/>
        </w:rPr>
        <w:t xml:space="preserve">A. Wanger, V. Chavez, R. S. P. Huang, A. Wahed, J. K. Actor and A. Dasgupta, </w:t>
      </w:r>
      <w:r w:rsidRPr="00E44664">
        <w:rPr>
          <w:i/>
          <w:iCs/>
          <w:sz w:val="18"/>
          <w:szCs w:val="18"/>
        </w:rPr>
        <w:t>Microbiology and Molecular Diagnosis in Pathology</w:t>
      </w:r>
      <w:r w:rsidRPr="00E44664">
        <w:rPr>
          <w:sz w:val="18"/>
          <w:szCs w:val="18"/>
        </w:rPr>
        <w:t xml:space="preserve"> (Elsevier Inc., 2017), 300pp.</w:t>
      </w:r>
    </w:p>
    <w:p w14:paraId="43E70123" w14:textId="093F2054" w:rsidR="006E44DE" w:rsidRPr="00E44664" w:rsidRDefault="006E44DE" w:rsidP="00E44664">
      <w:pPr>
        <w:pStyle w:val="Reference"/>
        <w:numPr>
          <w:ilvl w:val="0"/>
          <w:numId w:val="4"/>
        </w:numPr>
        <w:tabs>
          <w:tab w:val="clear" w:pos="720"/>
          <w:tab w:val="num" w:pos="426"/>
        </w:tabs>
        <w:ind w:left="450" w:hanging="426"/>
        <w:jc w:val="left"/>
        <w:rPr>
          <w:sz w:val="18"/>
          <w:szCs w:val="18"/>
        </w:rPr>
      </w:pPr>
      <w:r w:rsidRPr="00E44664">
        <w:rPr>
          <w:sz w:val="18"/>
          <w:szCs w:val="18"/>
        </w:rPr>
        <w:t xml:space="preserve">N. Jonathan, V. Martinson and S. T. Walk, </w:t>
      </w:r>
      <w:proofErr w:type="spellStart"/>
      <w:r w:rsidRPr="00E44664">
        <w:rPr>
          <w:sz w:val="18"/>
          <w:szCs w:val="18"/>
        </w:rPr>
        <w:t>EcoSal</w:t>
      </w:r>
      <w:proofErr w:type="spellEnd"/>
      <w:r w:rsidRPr="00E44664">
        <w:rPr>
          <w:sz w:val="18"/>
          <w:szCs w:val="18"/>
        </w:rPr>
        <w:t xml:space="preserve"> Plus </w:t>
      </w:r>
      <w:r w:rsidRPr="00E44664">
        <w:rPr>
          <w:b/>
          <w:bCs/>
          <w:sz w:val="18"/>
          <w:szCs w:val="18"/>
        </w:rPr>
        <w:t>9</w:t>
      </w:r>
      <w:r w:rsidRPr="00E44664">
        <w:rPr>
          <w:sz w:val="18"/>
          <w:szCs w:val="18"/>
        </w:rPr>
        <w:t xml:space="preserve">, ESP-0003-2020 (2020). </w:t>
      </w:r>
      <w:hyperlink r:id="rId24" w:history="1">
        <w:r w:rsidRPr="00E44664">
          <w:rPr>
            <w:rStyle w:val="Hyperlink"/>
            <w:color w:val="auto"/>
            <w:sz w:val="18"/>
            <w:szCs w:val="18"/>
            <w:u w:val="none"/>
          </w:rPr>
          <w:t>https://doi.org/10.1128/ecosalplus.esp-0003-2020</w:t>
        </w:r>
      </w:hyperlink>
      <w:r w:rsidRPr="00E44664">
        <w:rPr>
          <w:sz w:val="18"/>
          <w:szCs w:val="18"/>
        </w:rPr>
        <w:t xml:space="preserve">. </w:t>
      </w:r>
    </w:p>
    <w:p w14:paraId="3ACC20FC" w14:textId="77777777" w:rsidR="006E44DE" w:rsidRPr="00E44664" w:rsidRDefault="006E44DE" w:rsidP="00E44664">
      <w:pPr>
        <w:pStyle w:val="Reference"/>
        <w:numPr>
          <w:ilvl w:val="0"/>
          <w:numId w:val="4"/>
        </w:numPr>
        <w:tabs>
          <w:tab w:val="clear" w:pos="720"/>
          <w:tab w:val="num" w:pos="426"/>
        </w:tabs>
        <w:ind w:left="450" w:hanging="426"/>
        <w:jc w:val="left"/>
        <w:rPr>
          <w:sz w:val="18"/>
          <w:szCs w:val="18"/>
        </w:rPr>
      </w:pPr>
      <w:r w:rsidRPr="00E44664">
        <w:rPr>
          <w:sz w:val="18"/>
          <w:szCs w:val="18"/>
        </w:rPr>
        <w:t xml:space="preserve">C. </w:t>
      </w:r>
      <w:proofErr w:type="spellStart"/>
      <w:r w:rsidRPr="00E44664">
        <w:rPr>
          <w:sz w:val="18"/>
          <w:szCs w:val="18"/>
        </w:rPr>
        <w:t>Zagaglia</w:t>
      </w:r>
      <w:proofErr w:type="spellEnd"/>
      <w:r w:rsidRPr="00E44664">
        <w:rPr>
          <w:sz w:val="18"/>
          <w:szCs w:val="18"/>
        </w:rPr>
        <w:t xml:space="preserve">, M. G. </w:t>
      </w:r>
      <w:proofErr w:type="spellStart"/>
      <w:r w:rsidRPr="00E44664">
        <w:rPr>
          <w:sz w:val="18"/>
          <w:szCs w:val="18"/>
        </w:rPr>
        <w:t>Ammendolia</w:t>
      </w:r>
      <w:proofErr w:type="spellEnd"/>
      <w:r w:rsidRPr="00E44664">
        <w:rPr>
          <w:sz w:val="18"/>
          <w:szCs w:val="18"/>
        </w:rPr>
        <w:t xml:space="preserve">, L. Maurizi, M. Nicoletti and C. Longhi, Microorganisms </w:t>
      </w:r>
      <w:r w:rsidRPr="00E44664">
        <w:rPr>
          <w:b/>
          <w:bCs/>
          <w:sz w:val="18"/>
          <w:szCs w:val="18"/>
        </w:rPr>
        <w:t>10</w:t>
      </w:r>
      <w:r w:rsidRPr="00E44664">
        <w:rPr>
          <w:sz w:val="18"/>
          <w:szCs w:val="18"/>
        </w:rPr>
        <w:t xml:space="preserve">, 1425 (2022). </w:t>
      </w:r>
      <w:hyperlink r:id="rId25" w:tgtFrame="_new" w:history="1">
        <w:r w:rsidRPr="00E44664">
          <w:rPr>
            <w:rStyle w:val="Hyperlink"/>
            <w:color w:val="auto"/>
            <w:sz w:val="18"/>
            <w:szCs w:val="18"/>
            <w:u w:val="none"/>
          </w:rPr>
          <w:t>https://doi.org/10.3390/microorganisms10071425</w:t>
        </w:r>
      </w:hyperlink>
    </w:p>
    <w:p w14:paraId="441A2D0D" w14:textId="77777777" w:rsidR="006E44DE" w:rsidRPr="00E44664" w:rsidRDefault="006E44DE" w:rsidP="00E44664">
      <w:pPr>
        <w:pStyle w:val="Reference"/>
        <w:numPr>
          <w:ilvl w:val="0"/>
          <w:numId w:val="4"/>
        </w:numPr>
        <w:tabs>
          <w:tab w:val="clear" w:pos="720"/>
          <w:tab w:val="num" w:pos="426"/>
        </w:tabs>
        <w:ind w:left="450" w:hanging="426"/>
        <w:jc w:val="left"/>
        <w:rPr>
          <w:sz w:val="18"/>
          <w:szCs w:val="18"/>
        </w:rPr>
      </w:pPr>
      <w:r w:rsidRPr="00E44664">
        <w:rPr>
          <w:sz w:val="18"/>
          <w:szCs w:val="18"/>
        </w:rPr>
        <w:t xml:space="preserve">P. Pokharel, S. Dhakal and C. M. Dozois, Microorganisms </w:t>
      </w:r>
      <w:r w:rsidRPr="00E44664">
        <w:rPr>
          <w:b/>
          <w:bCs/>
          <w:sz w:val="18"/>
          <w:szCs w:val="18"/>
        </w:rPr>
        <w:t>11</w:t>
      </w:r>
      <w:r w:rsidRPr="00E44664">
        <w:rPr>
          <w:sz w:val="18"/>
          <w:szCs w:val="18"/>
        </w:rPr>
        <w:t xml:space="preserve">, 344 (2023). </w:t>
      </w:r>
      <w:hyperlink r:id="rId26" w:tgtFrame="_new" w:history="1">
        <w:r w:rsidRPr="00E44664">
          <w:rPr>
            <w:rStyle w:val="Hyperlink"/>
            <w:color w:val="auto"/>
            <w:sz w:val="18"/>
            <w:szCs w:val="18"/>
            <w:u w:val="none"/>
          </w:rPr>
          <w:t>https://doi.org/10.3390/microorganisms11020344</w:t>
        </w:r>
      </w:hyperlink>
    </w:p>
    <w:p w14:paraId="33C04F9B" w14:textId="77777777" w:rsidR="00CB4DA6" w:rsidRPr="00E44664" w:rsidRDefault="006E44DE" w:rsidP="00E44664">
      <w:pPr>
        <w:pStyle w:val="Reference"/>
        <w:numPr>
          <w:ilvl w:val="0"/>
          <w:numId w:val="4"/>
        </w:numPr>
        <w:tabs>
          <w:tab w:val="clear" w:pos="720"/>
          <w:tab w:val="num" w:pos="426"/>
        </w:tabs>
        <w:ind w:left="450" w:hanging="426"/>
        <w:jc w:val="left"/>
        <w:rPr>
          <w:sz w:val="18"/>
          <w:szCs w:val="18"/>
        </w:rPr>
      </w:pPr>
      <w:r w:rsidRPr="00E44664">
        <w:rPr>
          <w:sz w:val="18"/>
          <w:szCs w:val="18"/>
        </w:rPr>
        <w:t xml:space="preserve">B. </w:t>
      </w:r>
      <w:proofErr w:type="spellStart"/>
      <w:r w:rsidRPr="00E44664">
        <w:rPr>
          <w:sz w:val="18"/>
          <w:szCs w:val="18"/>
        </w:rPr>
        <w:t>Pakbin</w:t>
      </w:r>
      <w:proofErr w:type="spellEnd"/>
      <w:r w:rsidRPr="00E44664">
        <w:rPr>
          <w:sz w:val="18"/>
          <w:szCs w:val="18"/>
        </w:rPr>
        <w:t xml:space="preserve">, W. M. Brück and J. W. A. Rossen, Int. J. Mol. Sci. </w:t>
      </w:r>
      <w:r w:rsidRPr="00E44664">
        <w:rPr>
          <w:b/>
          <w:bCs/>
          <w:sz w:val="18"/>
          <w:szCs w:val="18"/>
        </w:rPr>
        <w:t>22</w:t>
      </w:r>
      <w:r w:rsidRPr="00E44664">
        <w:rPr>
          <w:sz w:val="18"/>
          <w:szCs w:val="18"/>
        </w:rPr>
        <w:t xml:space="preserve">, 9922 (2021). </w:t>
      </w:r>
      <w:hyperlink r:id="rId27" w:tgtFrame="_new" w:history="1">
        <w:r w:rsidRPr="00E44664">
          <w:rPr>
            <w:rStyle w:val="Hyperlink"/>
            <w:color w:val="auto"/>
            <w:sz w:val="18"/>
            <w:szCs w:val="18"/>
            <w:u w:val="none"/>
          </w:rPr>
          <w:t>https://doi.org/10.3390/ijms22189922</w:t>
        </w:r>
      </w:hyperlink>
    </w:p>
    <w:p w14:paraId="54397CAC" w14:textId="77777777" w:rsidR="00CB4DA6" w:rsidRPr="00E44664" w:rsidRDefault="006E44DE" w:rsidP="00E44664">
      <w:pPr>
        <w:pStyle w:val="Reference"/>
        <w:numPr>
          <w:ilvl w:val="0"/>
          <w:numId w:val="4"/>
        </w:numPr>
        <w:tabs>
          <w:tab w:val="clear" w:pos="720"/>
          <w:tab w:val="num" w:pos="426"/>
        </w:tabs>
        <w:ind w:left="450" w:hanging="426"/>
        <w:jc w:val="left"/>
        <w:rPr>
          <w:sz w:val="18"/>
          <w:szCs w:val="18"/>
        </w:rPr>
      </w:pPr>
      <w:r w:rsidRPr="00E44664">
        <w:rPr>
          <w:sz w:val="18"/>
          <w:szCs w:val="18"/>
        </w:rPr>
        <w:t>S. Biswas, M. Bal, S. Pati, R. Rana, S. Dixit and M. Ranji</w:t>
      </w:r>
      <w:r w:rsidR="00225D8E" w:rsidRPr="00E44664">
        <w:rPr>
          <w:sz w:val="18"/>
          <w:szCs w:val="18"/>
        </w:rPr>
        <w:t>t, Disc. Med.</w:t>
      </w:r>
      <w:r w:rsidRPr="00E44664">
        <w:rPr>
          <w:sz w:val="18"/>
          <w:szCs w:val="18"/>
        </w:rPr>
        <w:t xml:space="preserve"> </w:t>
      </w:r>
      <w:r w:rsidRPr="00E44664">
        <w:rPr>
          <w:b/>
          <w:bCs/>
          <w:sz w:val="18"/>
          <w:szCs w:val="18"/>
        </w:rPr>
        <w:t>1</w:t>
      </w:r>
      <w:r w:rsidRPr="00E44664">
        <w:rPr>
          <w:sz w:val="18"/>
          <w:szCs w:val="18"/>
        </w:rPr>
        <w:t xml:space="preserve">, 1–17 (2024). </w:t>
      </w:r>
      <w:hyperlink r:id="rId28" w:tgtFrame="_new" w:history="1">
        <w:r w:rsidRPr="00E44664">
          <w:rPr>
            <w:rStyle w:val="Hyperlink"/>
            <w:color w:val="auto"/>
            <w:sz w:val="18"/>
            <w:szCs w:val="18"/>
            <w:u w:val="none"/>
          </w:rPr>
          <w:t>https://doi.org/10.1007/s44337-024-00102-x</w:t>
        </w:r>
      </w:hyperlink>
    </w:p>
    <w:p w14:paraId="1493553A" w14:textId="77777777" w:rsidR="00CB4DA6" w:rsidRPr="00E44664" w:rsidRDefault="006E44DE" w:rsidP="00E44664">
      <w:pPr>
        <w:pStyle w:val="Reference"/>
        <w:numPr>
          <w:ilvl w:val="0"/>
          <w:numId w:val="4"/>
        </w:numPr>
        <w:tabs>
          <w:tab w:val="clear" w:pos="720"/>
          <w:tab w:val="num" w:pos="426"/>
        </w:tabs>
        <w:ind w:left="450" w:hanging="426"/>
        <w:jc w:val="left"/>
        <w:rPr>
          <w:sz w:val="18"/>
          <w:szCs w:val="18"/>
        </w:rPr>
      </w:pPr>
      <w:r w:rsidRPr="00E44664">
        <w:rPr>
          <w:sz w:val="18"/>
          <w:szCs w:val="18"/>
        </w:rPr>
        <w:t>T. Cherian, T. Merlin, K. Ra</w:t>
      </w:r>
      <w:r w:rsidR="00225D8E" w:rsidRPr="00E44664">
        <w:rPr>
          <w:sz w:val="18"/>
          <w:szCs w:val="18"/>
        </w:rPr>
        <w:t>jendran and J. Thomas, Results Surf.</w:t>
      </w:r>
      <w:r w:rsidRPr="00E44664">
        <w:rPr>
          <w:sz w:val="18"/>
          <w:szCs w:val="18"/>
        </w:rPr>
        <w:t xml:space="preserve"> </w:t>
      </w:r>
      <w:proofErr w:type="spellStart"/>
      <w:r w:rsidR="00225D8E" w:rsidRPr="00E44664">
        <w:rPr>
          <w:sz w:val="18"/>
          <w:szCs w:val="18"/>
        </w:rPr>
        <w:t>Interf</w:t>
      </w:r>
      <w:proofErr w:type="spellEnd"/>
      <w:r w:rsidR="00225D8E" w:rsidRPr="00E44664">
        <w:rPr>
          <w:sz w:val="18"/>
          <w:szCs w:val="18"/>
        </w:rPr>
        <w:t>.</w:t>
      </w:r>
      <w:r w:rsidRPr="00E44664">
        <w:rPr>
          <w:sz w:val="18"/>
          <w:szCs w:val="18"/>
        </w:rPr>
        <w:t xml:space="preserve"> </w:t>
      </w:r>
      <w:r w:rsidRPr="00E44664">
        <w:rPr>
          <w:b/>
          <w:bCs/>
          <w:sz w:val="18"/>
          <w:szCs w:val="18"/>
        </w:rPr>
        <w:t>19</w:t>
      </w:r>
      <w:r w:rsidRPr="00E44664">
        <w:rPr>
          <w:sz w:val="18"/>
          <w:szCs w:val="18"/>
        </w:rPr>
        <w:t xml:space="preserve">, 100562 (2025). </w:t>
      </w:r>
      <w:hyperlink r:id="rId29" w:tgtFrame="_new" w:history="1">
        <w:r w:rsidRPr="00E44664">
          <w:rPr>
            <w:rStyle w:val="Hyperlink"/>
            <w:color w:val="auto"/>
            <w:sz w:val="18"/>
            <w:szCs w:val="18"/>
            <w:u w:val="none"/>
          </w:rPr>
          <w:t>https://doi.org/10.1016/j.rsurfi.2025.100562</w:t>
        </w:r>
      </w:hyperlink>
    </w:p>
    <w:p w14:paraId="05E95C66" w14:textId="73393B6E" w:rsidR="006E44DE" w:rsidRPr="00E44664" w:rsidRDefault="006E44DE" w:rsidP="00E44664">
      <w:pPr>
        <w:pStyle w:val="Reference"/>
        <w:numPr>
          <w:ilvl w:val="0"/>
          <w:numId w:val="4"/>
        </w:numPr>
        <w:tabs>
          <w:tab w:val="clear" w:pos="720"/>
          <w:tab w:val="num" w:pos="426"/>
        </w:tabs>
        <w:ind w:left="450" w:hanging="426"/>
        <w:jc w:val="left"/>
        <w:rPr>
          <w:sz w:val="18"/>
          <w:szCs w:val="18"/>
        </w:rPr>
      </w:pPr>
      <w:r w:rsidRPr="00E44664">
        <w:rPr>
          <w:sz w:val="18"/>
          <w:szCs w:val="18"/>
        </w:rPr>
        <w:t xml:space="preserve">P. Chilala, M. </w:t>
      </w:r>
      <w:proofErr w:type="spellStart"/>
      <w:r w:rsidRPr="00E44664">
        <w:rPr>
          <w:sz w:val="18"/>
          <w:szCs w:val="18"/>
        </w:rPr>
        <w:t>Jurickova</w:t>
      </w:r>
      <w:proofErr w:type="spellEnd"/>
      <w:r w:rsidRPr="00E44664">
        <w:rPr>
          <w:sz w:val="18"/>
          <w:szCs w:val="18"/>
        </w:rPr>
        <w:t xml:space="preserve">, Z. </w:t>
      </w:r>
      <w:proofErr w:type="spellStart"/>
      <w:r w:rsidRPr="00E44664">
        <w:rPr>
          <w:sz w:val="18"/>
          <w:szCs w:val="18"/>
        </w:rPr>
        <w:t>Pokorna</w:t>
      </w:r>
      <w:proofErr w:type="spellEnd"/>
      <w:r w:rsidRPr="00E44664">
        <w:rPr>
          <w:sz w:val="18"/>
          <w:szCs w:val="18"/>
        </w:rPr>
        <w:t xml:space="preserve">, T. </w:t>
      </w:r>
      <w:proofErr w:type="spellStart"/>
      <w:r w:rsidRPr="00E44664">
        <w:rPr>
          <w:sz w:val="18"/>
          <w:szCs w:val="18"/>
        </w:rPr>
        <w:t>Motlova</w:t>
      </w:r>
      <w:proofErr w:type="spellEnd"/>
      <w:r w:rsidRPr="00E44664">
        <w:rPr>
          <w:sz w:val="18"/>
          <w:szCs w:val="18"/>
        </w:rPr>
        <w:t xml:space="preserve">, P. Horky and S. </w:t>
      </w:r>
      <w:proofErr w:type="spellStart"/>
      <w:r w:rsidRPr="00E44664">
        <w:rPr>
          <w:sz w:val="18"/>
          <w:szCs w:val="18"/>
        </w:rPr>
        <w:t>Skalickova</w:t>
      </w:r>
      <w:proofErr w:type="spellEnd"/>
      <w:r w:rsidRPr="00E44664">
        <w:rPr>
          <w:sz w:val="18"/>
          <w:szCs w:val="18"/>
        </w:rPr>
        <w:t xml:space="preserve">, </w:t>
      </w:r>
      <w:proofErr w:type="spellStart"/>
      <w:r w:rsidRPr="00E44664">
        <w:rPr>
          <w:sz w:val="18"/>
          <w:szCs w:val="18"/>
        </w:rPr>
        <w:t>PLoS</w:t>
      </w:r>
      <w:proofErr w:type="spellEnd"/>
      <w:r w:rsidRPr="00E44664">
        <w:rPr>
          <w:sz w:val="18"/>
          <w:szCs w:val="18"/>
        </w:rPr>
        <w:t xml:space="preserve"> One </w:t>
      </w:r>
      <w:r w:rsidRPr="00E44664">
        <w:rPr>
          <w:b/>
          <w:bCs/>
          <w:sz w:val="18"/>
          <w:szCs w:val="18"/>
        </w:rPr>
        <w:t>20</w:t>
      </w:r>
      <w:r w:rsidRPr="00E44664">
        <w:rPr>
          <w:sz w:val="18"/>
          <w:szCs w:val="18"/>
        </w:rPr>
        <w:t xml:space="preserve">, e0325460 (2025). </w:t>
      </w:r>
      <w:hyperlink r:id="rId30" w:history="1">
        <w:r w:rsidR="00E505BE" w:rsidRPr="00E44664">
          <w:rPr>
            <w:rStyle w:val="Hyperlink"/>
            <w:color w:val="auto"/>
            <w:sz w:val="18"/>
            <w:szCs w:val="18"/>
            <w:u w:val="none"/>
          </w:rPr>
          <w:t>https://doi.org/10.1371/journal.pone.0325460</w:t>
        </w:r>
      </w:hyperlink>
      <w:r w:rsidR="00E505BE" w:rsidRPr="00E44664">
        <w:rPr>
          <w:sz w:val="18"/>
          <w:szCs w:val="18"/>
        </w:rPr>
        <w:t xml:space="preserve">. </w:t>
      </w:r>
    </w:p>
    <w:p w14:paraId="2E266C14" w14:textId="531AB9AB" w:rsidR="006E44DE" w:rsidRPr="00E44664" w:rsidRDefault="006E44DE" w:rsidP="00E44664">
      <w:pPr>
        <w:pStyle w:val="Reference"/>
        <w:numPr>
          <w:ilvl w:val="0"/>
          <w:numId w:val="5"/>
        </w:numPr>
        <w:tabs>
          <w:tab w:val="clear" w:pos="720"/>
          <w:tab w:val="num" w:pos="426"/>
        </w:tabs>
        <w:ind w:left="450" w:hanging="426"/>
        <w:jc w:val="left"/>
        <w:rPr>
          <w:sz w:val="18"/>
          <w:szCs w:val="18"/>
        </w:rPr>
      </w:pPr>
      <w:r w:rsidRPr="00E44664">
        <w:rPr>
          <w:sz w:val="18"/>
          <w:szCs w:val="18"/>
        </w:rPr>
        <w:t>R. M. Yasir and N. H. Zaki, Asian Pac</w:t>
      </w:r>
      <w:r w:rsidR="00225D8E" w:rsidRPr="00E44664">
        <w:rPr>
          <w:sz w:val="18"/>
          <w:szCs w:val="18"/>
        </w:rPr>
        <w:t>.</w:t>
      </w:r>
      <w:r w:rsidRPr="00E44664">
        <w:rPr>
          <w:sz w:val="18"/>
          <w:szCs w:val="18"/>
        </w:rPr>
        <w:t xml:space="preserve"> J</w:t>
      </w:r>
      <w:r w:rsidR="00225D8E" w:rsidRPr="00E44664">
        <w:rPr>
          <w:sz w:val="18"/>
          <w:szCs w:val="18"/>
        </w:rPr>
        <w:t>.</w:t>
      </w:r>
      <w:r w:rsidRPr="00E44664">
        <w:rPr>
          <w:sz w:val="18"/>
          <w:szCs w:val="18"/>
        </w:rPr>
        <w:t xml:space="preserve"> Cancer Prev</w:t>
      </w:r>
      <w:r w:rsidR="00225D8E" w:rsidRPr="00E44664">
        <w:rPr>
          <w:sz w:val="18"/>
          <w:szCs w:val="18"/>
        </w:rPr>
        <w:t>.</w:t>
      </w:r>
      <w:r w:rsidRPr="00E44664">
        <w:rPr>
          <w:sz w:val="18"/>
          <w:szCs w:val="18"/>
        </w:rPr>
        <w:t xml:space="preserve"> </w:t>
      </w:r>
      <w:r w:rsidRPr="00E44664">
        <w:rPr>
          <w:b/>
          <w:bCs/>
          <w:sz w:val="18"/>
          <w:szCs w:val="18"/>
        </w:rPr>
        <w:t>26</w:t>
      </w:r>
      <w:r w:rsidRPr="00E44664">
        <w:rPr>
          <w:sz w:val="18"/>
          <w:szCs w:val="18"/>
        </w:rPr>
        <w:t xml:space="preserve">, 1303–1311 (2025). </w:t>
      </w:r>
      <w:hyperlink r:id="rId31" w:tgtFrame="_new" w:history="1">
        <w:r w:rsidRPr="00E44664">
          <w:rPr>
            <w:rStyle w:val="Hyperlink"/>
            <w:color w:val="auto"/>
            <w:sz w:val="18"/>
            <w:szCs w:val="18"/>
            <w:u w:val="none"/>
          </w:rPr>
          <w:t>https://doi.org/10.31557/APJCP.2025.26.4.1303</w:t>
        </w:r>
      </w:hyperlink>
    </w:p>
    <w:p w14:paraId="7537DDC6" w14:textId="77777777" w:rsidR="006E44DE" w:rsidRPr="00E44664" w:rsidRDefault="006E44DE" w:rsidP="00E44664">
      <w:pPr>
        <w:pStyle w:val="Reference"/>
        <w:numPr>
          <w:ilvl w:val="0"/>
          <w:numId w:val="5"/>
        </w:numPr>
        <w:tabs>
          <w:tab w:val="clear" w:pos="720"/>
          <w:tab w:val="num" w:pos="426"/>
        </w:tabs>
        <w:ind w:left="450" w:hanging="426"/>
        <w:jc w:val="left"/>
        <w:rPr>
          <w:sz w:val="18"/>
          <w:szCs w:val="18"/>
        </w:rPr>
      </w:pPr>
      <w:r w:rsidRPr="00E44664">
        <w:rPr>
          <w:sz w:val="18"/>
          <w:szCs w:val="18"/>
          <w:lang w:val="fr-FR"/>
        </w:rPr>
        <w:t>E. Sans-</w:t>
      </w:r>
      <w:proofErr w:type="spellStart"/>
      <w:r w:rsidRPr="00E44664">
        <w:rPr>
          <w:sz w:val="18"/>
          <w:szCs w:val="18"/>
          <w:lang w:val="fr-FR"/>
        </w:rPr>
        <w:t>Serramitjana</w:t>
      </w:r>
      <w:proofErr w:type="spellEnd"/>
      <w:r w:rsidRPr="00E44664">
        <w:rPr>
          <w:sz w:val="18"/>
          <w:szCs w:val="18"/>
          <w:lang w:val="fr-FR"/>
        </w:rPr>
        <w:t xml:space="preserve">, M. </w:t>
      </w:r>
      <w:proofErr w:type="spellStart"/>
      <w:r w:rsidRPr="00E44664">
        <w:rPr>
          <w:sz w:val="18"/>
          <w:szCs w:val="18"/>
          <w:lang w:val="fr-FR"/>
        </w:rPr>
        <w:t>Obreque</w:t>
      </w:r>
      <w:proofErr w:type="spellEnd"/>
      <w:r w:rsidRPr="00E44664">
        <w:rPr>
          <w:sz w:val="18"/>
          <w:szCs w:val="18"/>
          <w:lang w:val="fr-FR"/>
        </w:rPr>
        <w:t xml:space="preserve">, F. </w:t>
      </w:r>
      <w:proofErr w:type="spellStart"/>
      <w:r w:rsidRPr="00E44664">
        <w:rPr>
          <w:sz w:val="18"/>
          <w:szCs w:val="18"/>
          <w:lang w:val="fr-FR"/>
        </w:rPr>
        <w:t>Muñoz</w:t>
      </w:r>
      <w:proofErr w:type="spellEnd"/>
      <w:r w:rsidRPr="00E44664">
        <w:rPr>
          <w:sz w:val="18"/>
          <w:szCs w:val="18"/>
          <w:lang w:val="fr-FR"/>
        </w:rPr>
        <w:t xml:space="preserve">, C. </w:t>
      </w:r>
      <w:proofErr w:type="spellStart"/>
      <w:r w:rsidRPr="00E44664">
        <w:rPr>
          <w:sz w:val="18"/>
          <w:szCs w:val="18"/>
          <w:lang w:val="fr-FR"/>
        </w:rPr>
        <w:t>Zaror</w:t>
      </w:r>
      <w:proofErr w:type="spellEnd"/>
      <w:r w:rsidRPr="00E44664">
        <w:rPr>
          <w:sz w:val="18"/>
          <w:szCs w:val="18"/>
          <w:lang w:val="fr-FR"/>
        </w:rPr>
        <w:t xml:space="preserve">, M. d. L. L. Mora, M. </w:t>
      </w:r>
      <w:proofErr w:type="spellStart"/>
      <w:r w:rsidRPr="00E44664">
        <w:rPr>
          <w:sz w:val="18"/>
          <w:szCs w:val="18"/>
          <w:lang w:val="fr-FR"/>
        </w:rPr>
        <w:t>Viñas</w:t>
      </w:r>
      <w:proofErr w:type="spellEnd"/>
      <w:r w:rsidRPr="00E44664">
        <w:rPr>
          <w:sz w:val="18"/>
          <w:szCs w:val="18"/>
          <w:lang w:val="fr-FR"/>
        </w:rPr>
        <w:t xml:space="preserve"> and P. Betancourt, </w:t>
      </w:r>
      <w:proofErr w:type="spellStart"/>
      <w:r w:rsidRPr="00E44664">
        <w:rPr>
          <w:sz w:val="18"/>
          <w:szCs w:val="18"/>
          <w:lang w:val="fr-FR"/>
        </w:rPr>
        <w:t>Pharmaceutics</w:t>
      </w:r>
      <w:proofErr w:type="spellEnd"/>
      <w:r w:rsidRPr="00E44664">
        <w:rPr>
          <w:sz w:val="18"/>
          <w:szCs w:val="18"/>
          <w:lang w:val="fr-FR"/>
        </w:rPr>
        <w:t xml:space="preserve"> </w:t>
      </w:r>
      <w:r w:rsidRPr="00E44664">
        <w:rPr>
          <w:b/>
          <w:bCs/>
          <w:sz w:val="18"/>
          <w:szCs w:val="18"/>
          <w:lang w:val="fr-FR"/>
        </w:rPr>
        <w:t>15</w:t>
      </w:r>
      <w:r w:rsidRPr="00E44664">
        <w:rPr>
          <w:sz w:val="18"/>
          <w:szCs w:val="18"/>
          <w:lang w:val="fr-FR"/>
        </w:rPr>
        <w:t xml:space="preserve">, 2253 (2023). </w:t>
      </w:r>
      <w:hyperlink r:id="rId32" w:tgtFrame="_new" w:history="1">
        <w:r w:rsidRPr="00E44664">
          <w:rPr>
            <w:rStyle w:val="Hyperlink"/>
            <w:color w:val="auto"/>
            <w:sz w:val="18"/>
            <w:szCs w:val="18"/>
            <w:u w:val="none"/>
          </w:rPr>
          <w:t>https://doi.org/10.3390/pharmaceutics15092253</w:t>
        </w:r>
      </w:hyperlink>
    </w:p>
    <w:p w14:paraId="7B43F487" w14:textId="77777777" w:rsidR="006E44DE" w:rsidRPr="00E44664" w:rsidRDefault="006E44DE" w:rsidP="00E44664">
      <w:pPr>
        <w:pStyle w:val="Reference"/>
        <w:numPr>
          <w:ilvl w:val="0"/>
          <w:numId w:val="5"/>
        </w:numPr>
        <w:tabs>
          <w:tab w:val="clear" w:pos="720"/>
          <w:tab w:val="num" w:pos="426"/>
        </w:tabs>
        <w:ind w:left="450" w:hanging="426"/>
        <w:jc w:val="left"/>
        <w:rPr>
          <w:sz w:val="18"/>
          <w:szCs w:val="18"/>
        </w:rPr>
      </w:pPr>
      <w:r w:rsidRPr="00E44664">
        <w:rPr>
          <w:sz w:val="18"/>
          <w:szCs w:val="18"/>
        </w:rPr>
        <w:lastRenderedPageBreak/>
        <w:t xml:space="preserve">I. F. Xia, H.-K. Kong, M. M. H. Wu, Y. Lu, K.-H. Wong and K. W. H. Kwok, Antioxidants </w:t>
      </w:r>
      <w:r w:rsidRPr="00E44664">
        <w:rPr>
          <w:b/>
          <w:bCs/>
          <w:sz w:val="18"/>
          <w:szCs w:val="18"/>
        </w:rPr>
        <w:t>11</w:t>
      </w:r>
      <w:r w:rsidRPr="00E44664">
        <w:rPr>
          <w:sz w:val="18"/>
          <w:szCs w:val="18"/>
        </w:rPr>
        <w:t xml:space="preserve">, 964 (2022). </w:t>
      </w:r>
      <w:hyperlink r:id="rId33" w:tgtFrame="_new" w:history="1">
        <w:r w:rsidRPr="00E44664">
          <w:rPr>
            <w:rStyle w:val="Hyperlink"/>
            <w:color w:val="auto"/>
            <w:sz w:val="18"/>
            <w:szCs w:val="18"/>
            <w:u w:val="none"/>
          </w:rPr>
          <w:t>https://doi.org/10.3390/antiox11050964</w:t>
        </w:r>
      </w:hyperlink>
    </w:p>
    <w:p w14:paraId="65DBFF8B" w14:textId="77777777" w:rsidR="00CB4DA6" w:rsidRPr="00E44664" w:rsidRDefault="006E44DE" w:rsidP="00E44664">
      <w:pPr>
        <w:pStyle w:val="Reference"/>
        <w:numPr>
          <w:ilvl w:val="0"/>
          <w:numId w:val="5"/>
        </w:numPr>
        <w:tabs>
          <w:tab w:val="clear" w:pos="720"/>
          <w:tab w:val="num" w:pos="426"/>
        </w:tabs>
        <w:ind w:left="450" w:hanging="426"/>
        <w:jc w:val="left"/>
        <w:rPr>
          <w:sz w:val="18"/>
          <w:szCs w:val="18"/>
        </w:rPr>
      </w:pPr>
      <w:r w:rsidRPr="00E44664">
        <w:rPr>
          <w:sz w:val="18"/>
          <w:szCs w:val="18"/>
        </w:rPr>
        <w:t xml:space="preserve">A. M. Asaad, S. A. Saied, M. M. </w:t>
      </w:r>
      <w:proofErr w:type="spellStart"/>
      <w:r w:rsidRPr="00E44664">
        <w:rPr>
          <w:sz w:val="18"/>
          <w:szCs w:val="18"/>
        </w:rPr>
        <w:t>Torayah</w:t>
      </w:r>
      <w:proofErr w:type="spellEnd"/>
      <w:r w:rsidRPr="00E44664">
        <w:rPr>
          <w:sz w:val="18"/>
          <w:szCs w:val="18"/>
        </w:rPr>
        <w:t xml:space="preserve">, N. I. Abu-Elsaad and S. M. Awad, BMC Microbiology </w:t>
      </w:r>
      <w:r w:rsidRPr="00E44664">
        <w:rPr>
          <w:b/>
          <w:bCs/>
          <w:sz w:val="18"/>
          <w:szCs w:val="18"/>
        </w:rPr>
        <w:t>25</w:t>
      </w:r>
      <w:r w:rsidRPr="00E44664">
        <w:rPr>
          <w:sz w:val="18"/>
          <w:szCs w:val="18"/>
        </w:rPr>
        <w:t xml:space="preserve">, 33 (2025). </w:t>
      </w:r>
      <w:hyperlink r:id="rId34" w:tgtFrame="_new" w:history="1">
        <w:r w:rsidRPr="00E44664">
          <w:rPr>
            <w:rStyle w:val="Hyperlink"/>
            <w:color w:val="auto"/>
            <w:sz w:val="18"/>
            <w:szCs w:val="18"/>
            <w:u w:val="none"/>
          </w:rPr>
          <w:t>https://doi.org/10.1186/s12866-025-03743-9</w:t>
        </w:r>
      </w:hyperlink>
    </w:p>
    <w:p w14:paraId="09D55904" w14:textId="77777777" w:rsidR="00CB4DA6" w:rsidRPr="00E44664" w:rsidRDefault="006E44DE" w:rsidP="00E44664">
      <w:pPr>
        <w:pStyle w:val="Reference"/>
        <w:numPr>
          <w:ilvl w:val="0"/>
          <w:numId w:val="5"/>
        </w:numPr>
        <w:tabs>
          <w:tab w:val="clear" w:pos="720"/>
          <w:tab w:val="num" w:pos="426"/>
        </w:tabs>
        <w:ind w:left="450" w:hanging="426"/>
        <w:jc w:val="left"/>
        <w:rPr>
          <w:sz w:val="18"/>
          <w:szCs w:val="18"/>
        </w:rPr>
      </w:pPr>
      <w:r w:rsidRPr="00E44664">
        <w:rPr>
          <w:sz w:val="18"/>
          <w:szCs w:val="18"/>
        </w:rPr>
        <w:t>M. A. J. Raoof and M. A. Fayidh, J</w:t>
      </w:r>
      <w:r w:rsidR="007819D5" w:rsidRPr="00E44664">
        <w:rPr>
          <w:sz w:val="18"/>
          <w:szCs w:val="18"/>
        </w:rPr>
        <w:t>.</w:t>
      </w:r>
      <w:r w:rsidRPr="00E44664">
        <w:rPr>
          <w:sz w:val="18"/>
          <w:szCs w:val="18"/>
        </w:rPr>
        <w:t xml:space="preserve"> Phys Conf</w:t>
      </w:r>
      <w:r w:rsidR="007819D5" w:rsidRPr="00E44664">
        <w:rPr>
          <w:sz w:val="18"/>
          <w:szCs w:val="18"/>
        </w:rPr>
        <w:t>.</w:t>
      </w:r>
      <w:r w:rsidRPr="00E44664">
        <w:rPr>
          <w:sz w:val="18"/>
          <w:szCs w:val="18"/>
        </w:rPr>
        <w:t xml:space="preserve"> Ser</w:t>
      </w:r>
      <w:r w:rsidR="007819D5" w:rsidRPr="00E44664">
        <w:rPr>
          <w:sz w:val="18"/>
          <w:szCs w:val="18"/>
        </w:rPr>
        <w:t>.</w:t>
      </w:r>
      <w:r w:rsidRPr="00E44664">
        <w:rPr>
          <w:sz w:val="18"/>
          <w:szCs w:val="18"/>
        </w:rPr>
        <w:t xml:space="preserve"> </w:t>
      </w:r>
      <w:r w:rsidRPr="00E44664">
        <w:rPr>
          <w:b/>
          <w:bCs/>
          <w:sz w:val="18"/>
          <w:szCs w:val="18"/>
        </w:rPr>
        <w:t>1879</w:t>
      </w:r>
      <w:r w:rsidRPr="00E44664">
        <w:rPr>
          <w:sz w:val="18"/>
          <w:szCs w:val="18"/>
        </w:rPr>
        <w:t xml:space="preserve">, 022051 (2021). </w:t>
      </w:r>
      <w:hyperlink r:id="rId35" w:history="1">
        <w:r w:rsidR="005E35CE" w:rsidRPr="00E44664">
          <w:rPr>
            <w:rStyle w:val="Hyperlink"/>
            <w:color w:val="auto"/>
            <w:sz w:val="18"/>
            <w:szCs w:val="18"/>
            <w:u w:val="none"/>
          </w:rPr>
          <w:t>https://doi.org/10.1088/1742-6596/1879/2/022051</w:t>
        </w:r>
      </w:hyperlink>
      <w:r w:rsidR="005E35CE" w:rsidRPr="00E44664">
        <w:rPr>
          <w:sz w:val="18"/>
          <w:szCs w:val="18"/>
        </w:rPr>
        <w:t xml:space="preserve">. </w:t>
      </w:r>
    </w:p>
    <w:p w14:paraId="4CAE45ED" w14:textId="77777777" w:rsidR="00CB4DA6" w:rsidRPr="00E44664" w:rsidRDefault="006E44DE" w:rsidP="00E44664">
      <w:pPr>
        <w:pStyle w:val="Reference"/>
        <w:numPr>
          <w:ilvl w:val="0"/>
          <w:numId w:val="5"/>
        </w:numPr>
        <w:tabs>
          <w:tab w:val="clear" w:pos="720"/>
          <w:tab w:val="num" w:pos="426"/>
        </w:tabs>
        <w:ind w:left="450" w:hanging="426"/>
        <w:jc w:val="left"/>
        <w:rPr>
          <w:sz w:val="18"/>
          <w:szCs w:val="18"/>
        </w:rPr>
      </w:pPr>
      <w:r w:rsidRPr="00E44664">
        <w:rPr>
          <w:sz w:val="18"/>
          <w:szCs w:val="18"/>
        </w:rPr>
        <w:t>M. Rasha and N. H. Zaki</w:t>
      </w:r>
      <w:r w:rsidR="007819D5" w:rsidRPr="00E44664">
        <w:rPr>
          <w:sz w:val="18"/>
          <w:szCs w:val="18"/>
        </w:rPr>
        <w:t xml:space="preserve">, Iraqi J. </w:t>
      </w:r>
      <w:proofErr w:type="spellStart"/>
      <w:r w:rsidR="007819D5" w:rsidRPr="00E44664">
        <w:rPr>
          <w:sz w:val="18"/>
          <w:szCs w:val="18"/>
        </w:rPr>
        <w:t>Biotechnol</w:t>
      </w:r>
      <w:proofErr w:type="spellEnd"/>
      <w:r w:rsidR="007819D5" w:rsidRPr="00E44664">
        <w:rPr>
          <w:sz w:val="18"/>
          <w:szCs w:val="18"/>
        </w:rPr>
        <w:t>.</w:t>
      </w:r>
      <w:r w:rsidRPr="00E44664">
        <w:rPr>
          <w:sz w:val="18"/>
          <w:szCs w:val="18"/>
        </w:rPr>
        <w:t xml:space="preserve"> </w:t>
      </w:r>
      <w:r w:rsidRPr="00E44664">
        <w:rPr>
          <w:b/>
          <w:bCs/>
          <w:sz w:val="18"/>
          <w:szCs w:val="18"/>
        </w:rPr>
        <w:t>24</w:t>
      </w:r>
      <w:r w:rsidRPr="00E44664">
        <w:rPr>
          <w:sz w:val="18"/>
          <w:szCs w:val="18"/>
        </w:rPr>
        <w:t>, 146–158 (2025).</w:t>
      </w:r>
    </w:p>
    <w:p w14:paraId="4BB7FF6F" w14:textId="77777777" w:rsidR="00CB4DA6" w:rsidRPr="00E44664" w:rsidRDefault="006E44DE" w:rsidP="00E44664">
      <w:pPr>
        <w:pStyle w:val="Reference"/>
        <w:numPr>
          <w:ilvl w:val="0"/>
          <w:numId w:val="5"/>
        </w:numPr>
        <w:tabs>
          <w:tab w:val="clear" w:pos="720"/>
          <w:tab w:val="num" w:pos="426"/>
        </w:tabs>
        <w:ind w:left="450" w:hanging="426"/>
        <w:jc w:val="left"/>
        <w:rPr>
          <w:sz w:val="18"/>
          <w:szCs w:val="18"/>
        </w:rPr>
      </w:pPr>
      <w:r w:rsidRPr="00E44664">
        <w:rPr>
          <w:sz w:val="18"/>
          <w:szCs w:val="18"/>
        </w:rPr>
        <w:t xml:space="preserve">R. I. Abdulwahhab and S. M. Hussein, Iraqi </w:t>
      </w:r>
      <w:r w:rsidR="00225D8E" w:rsidRPr="00E44664">
        <w:rPr>
          <w:sz w:val="18"/>
          <w:szCs w:val="18"/>
        </w:rPr>
        <w:t>J</w:t>
      </w:r>
      <w:r w:rsidR="007819D5" w:rsidRPr="00E44664">
        <w:rPr>
          <w:sz w:val="18"/>
          <w:szCs w:val="18"/>
        </w:rPr>
        <w:t>.</w:t>
      </w:r>
      <w:r w:rsidRPr="00E44664">
        <w:rPr>
          <w:sz w:val="18"/>
          <w:szCs w:val="18"/>
        </w:rPr>
        <w:t xml:space="preserve"> </w:t>
      </w:r>
      <w:proofErr w:type="spellStart"/>
      <w:r w:rsidR="00225D8E" w:rsidRPr="00E44664">
        <w:rPr>
          <w:sz w:val="18"/>
          <w:szCs w:val="18"/>
        </w:rPr>
        <w:t>Biotechnol</w:t>
      </w:r>
      <w:proofErr w:type="spellEnd"/>
      <w:r w:rsidRPr="00E44664">
        <w:rPr>
          <w:sz w:val="18"/>
          <w:szCs w:val="18"/>
        </w:rPr>
        <w:t xml:space="preserve"> </w:t>
      </w:r>
      <w:r w:rsidRPr="00E44664">
        <w:rPr>
          <w:b/>
          <w:bCs/>
          <w:sz w:val="18"/>
          <w:szCs w:val="18"/>
        </w:rPr>
        <w:t>23</w:t>
      </w:r>
      <w:r w:rsidRPr="00E44664">
        <w:rPr>
          <w:sz w:val="18"/>
          <w:szCs w:val="18"/>
        </w:rPr>
        <w:t>, 221–232 (2024).</w:t>
      </w:r>
    </w:p>
    <w:p w14:paraId="4F160550" w14:textId="77777777" w:rsidR="00CB4DA6" w:rsidRPr="00E44664" w:rsidRDefault="006E44DE" w:rsidP="00E44664">
      <w:pPr>
        <w:pStyle w:val="Reference"/>
        <w:numPr>
          <w:ilvl w:val="0"/>
          <w:numId w:val="5"/>
        </w:numPr>
        <w:tabs>
          <w:tab w:val="clear" w:pos="720"/>
          <w:tab w:val="num" w:pos="426"/>
        </w:tabs>
        <w:ind w:left="450" w:hanging="426"/>
        <w:jc w:val="left"/>
        <w:rPr>
          <w:sz w:val="18"/>
          <w:szCs w:val="18"/>
        </w:rPr>
      </w:pPr>
      <w:r w:rsidRPr="00E44664">
        <w:rPr>
          <w:sz w:val="18"/>
          <w:szCs w:val="18"/>
        </w:rPr>
        <w:t xml:space="preserve">A. H. F. </w:t>
      </w:r>
      <w:proofErr w:type="spellStart"/>
      <w:r w:rsidRPr="00E44664">
        <w:rPr>
          <w:sz w:val="18"/>
          <w:szCs w:val="18"/>
        </w:rPr>
        <w:t>Duraye</w:t>
      </w:r>
      <w:proofErr w:type="spellEnd"/>
      <w:r w:rsidRPr="00E44664">
        <w:rPr>
          <w:sz w:val="18"/>
          <w:szCs w:val="18"/>
        </w:rPr>
        <w:t>, Z. H. Hadi, Z. H. Jarad, Z. S. Naji, Z. H. Hussein, Z. H. Abd Hamada and F. H. Naema, Int</w:t>
      </w:r>
      <w:r w:rsidR="007819D5" w:rsidRPr="00E44664">
        <w:rPr>
          <w:sz w:val="18"/>
          <w:szCs w:val="18"/>
        </w:rPr>
        <w:t>.</w:t>
      </w:r>
      <w:r w:rsidRPr="00E44664">
        <w:rPr>
          <w:sz w:val="18"/>
          <w:szCs w:val="18"/>
        </w:rPr>
        <w:t xml:space="preserve"> Aca J</w:t>
      </w:r>
      <w:r w:rsidR="007819D5" w:rsidRPr="00E44664">
        <w:rPr>
          <w:sz w:val="18"/>
          <w:szCs w:val="18"/>
        </w:rPr>
        <w:t>.</w:t>
      </w:r>
      <w:r w:rsidRPr="00E44664">
        <w:rPr>
          <w:sz w:val="18"/>
          <w:szCs w:val="18"/>
        </w:rPr>
        <w:t xml:space="preserve"> App</w:t>
      </w:r>
      <w:r w:rsidR="007819D5" w:rsidRPr="00E44664">
        <w:rPr>
          <w:sz w:val="18"/>
          <w:szCs w:val="18"/>
        </w:rPr>
        <w:t>.</w:t>
      </w:r>
      <w:r w:rsidRPr="00E44664">
        <w:rPr>
          <w:sz w:val="18"/>
          <w:szCs w:val="18"/>
        </w:rPr>
        <w:t xml:space="preserve"> Biomed Sci </w:t>
      </w:r>
      <w:r w:rsidRPr="00E44664">
        <w:rPr>
          <w:b/>
          <w:bCs/>
          <w:sz w:val="18"/>
          <w:szCs w:val="18"/>
        </w:rPr>
        <w:t>5</w:t>
      </w:r>
      <w:r w:rsidRPr="00E44664">
        <w:rPr>
          <w:sz w:val="18"/>
          <w:szCs w:val="18"/>
        </w:rPr>
        <w:t xml:space="preserve">, 1–6 (2024). </w:t>
      </w:r>
      <w:hyperlink r:id="rId36" w:tgtFrame="_new" w:history="1">
        <w:r w:rsidRPr="00E44664">
          <w:rPr>
            <w:rStyle w:val="Hyperlink"/>
            <w:color w:val="auto"/>
            <w:sz w:val="18"/>
            <w:szCs w:val="18"/>
            <w:u w:val="none"/>
          </w:rPr>
          <w:t>https://www.iarconsortium.org/journal/iajabms/home/</w:t>
        </w:r>
      </w:hyperlink>
    </w:p>
    <w:p w14:paraId="38CCA9CF" w14:textId="77777777" w:rsidR="00CB4DA6" w:rsidRPr="00E44664" w:rsidRDefault="006E44DE" w:rsidP="00E44664">
      <w:pPr>
        <w:pStyle w:val="Reference"/>
        <w:numPr>
          <w:ilvl w:val="0"/>
          <w:numId w:val="5"/>
        </w:numPr>
        <w:tabs>
          <w:tab w:val="clear" w:pos="720"/>
          <w:tab w:val="num" w:pos="426"/>
        </w:tabs>
        <w:ind w:left="450" w:hanging="426"/>
        <w:jc w:val="left"/>
        <w:rPr>
          <w:sz w:val="18"/>
          <w:szCs w:val="18"/>
        </w:rPr>
      </w:pPr>
      <w:r w:rsidRPr="00E44664">
        <w:rPr>
          <w:sz w:val="18"/>
          <w:szCs w:val="18"/>
        </w:rPr>
        <w:t xml:space="preserve">A. W. Bauer, W. M. Kirby, J. C. Sherris and M. Turck, Am J Clin </w:t>
      </w:r>
      <w:proofErr w:type="spellStart"/>
      <w:r w:rsidRPr="00E44664">
        <w:rPr>
          <w:sz w:val="18"/>
          <w:szCs w:val="18"/>
        </w:rPr>
        <w:t>Pathol</w:t>
      </w:r>
      <w:proofErr w:type="spellEnd"/>
      <w:r w:rsidRPr="00E44664">
        <w:rPr>
          <w:sz w:val="18"/>
          <w:szCs w:val="18"/>
        </w:rPr>
        <w:t xml:space="preserve"> </w:t>
      </w:r>
      <w:r w:rsidRPr="00E44664">
        <w:rPr>
          <w:b/>
          <w:bCs/>
          <w:sz w:val="18"/>
          <w:szCs w:val="18"/>
        </w:rPr>
        <w:t>45</w:t>
      </w:r>
      <w:r w:rsidRPr="00E44664">
        <w:rPr>
          <w:sz w:val="18"/>
          <w:szCs w:val="18"/>
        </w:rPr>
        <w:t>, 493–496 (1966).</w:t>
      </w:r>
    </w:p>
    <w:p w14:paraId="1594276E" w14:textId="5200714E" w:rsidR="006E44DE" w:rsidRPr="00E44664" w:rsidRDefault="006E44DE" w:rsidP="00E44664">
      <w:pPr>
        <w:pStyle w:val="Reference"/>
        <w:numPr>
          <w:ilvl w:val="0"/>
          <w:numId w:val="5"/>
        </w:numPr>
        <w:tabs>
          <w:tab w:val="clear" w:pos="720"/>
          <w:tab w:val="num" w:pos="426"/>
        </w:tabs>
        <w:ind w:left="450" w:hanging="426"/>
        <w:jc w:val="left"/>
        <w:rPr>
          <w:sz w:val="18"/>
          <w:szCs w:val="18"/>
        </w:rPr>
      </w:pPr>
      <w:r w:rsidRPr="00E44664">
        <w:rPr>
          <w:sz w:val="18"/>
          <w:szCs w:val="18"/>
        </w:rPr>
        <w:t>M. Banerjee a</w:t>
      </w:r>
      <w:r w:rsidR="00225D8E" w:rsidRPr="00E44664">
        <w:rPr>
          <w:sz w:val="18"/>
          <w:szCs w:val="18"/>
        </w:rPr>
        <w:t xml:space="preserve">nd V. D. Rajeswari, </w:t>
      </w:r>
      <w:proofErr w:type="spellStart"/>
      <w:r w:rsidR="00225D8E" w:rsidRPr="00E44664">
        <w:rPr>
          <w:sz w:val="18"/>
          <w:szCs w:val="18"/>
        </w:rPr>
        <w:t>Biocatal</w:t>
      </w:r>
      <w:proofErr w:type="spellEnd"/>
      <w:r w:rsidR="007819D5" w:rsidRPr="00E44664">
        <w:rPr>
          <w:sz w:val="18"/>
          <w:szCs w:val="18"/>
        </w:rPr>
        <w:t>.</w:t>
      </w:r>
      <w:r w:rsidRPr="00E44664">
        <w:rPr>
          <w:sz w:val="18"/>
          <w:szCs w:val="18"/>
        </w:rPr>
        <w:t xml:space="preserve"> </w:t>
      </w:r>
      <w:r w:rsidR="00225D8E" w:rsidRPr="00E44664">
        <w:rPr>
          <w:sz w:val="18"/>
          <w:szCs w:val="18"/>
        </w:rPr>
        <w:t>Agric</w:t>
      </w:r>
      <w:r w:rsidR="007819D5" w:rsidRPr="00E44664">
        <w:rPr>
          <w:sz w:val="18"/>
          <w:szCs w:val="18"/>
        </w:rPr>
        <w:t>.</w:t>
      </w:r>
      <w:r w:rsidR="00225D8E" w:rsidRPr="00E44664">
        <w:rPr>
          <w:sz w:val="18"/>
          <w:szCs w:val="18"/>
        </w:rPr>
        <w:t xml:space="preserve"> </w:t>
      </w:r>
      <w:proofErr w:type="spellStart"/>
      <w:r w:rsidR="00225D8E" w:rsidRPr="00E44664">
        <w:rPr>
          <w:sz w:val="18"/>
          <w:szCs w:val="18"/>
        </w:rPr>
        <w:t>Biotechnol</w:t>
      </w:r>
      <w:proofErr w:type="spellEnd"/>
      <w:r w:rsidR="007819D5" w:rsidRPr="00E44664">
        <w:rPr>
          <w:sz w:val="18"/>
          <w:szCs w:val="18"/>
        </w:rPr>
        <w:t>.</w:t>
      </w:r>
      <w:r w:rsidRPr="00E44664">
        <w:rPr>
          <w:sz w:val="18"/>
          <w:szCs w:val="18"/>
        </w:rPr>
        <w:t xml:space="preserve"> </w:t>
      </w:r>
      <w:r w:rsidRPr="00E44664">
        <w:rPr>
          <w:b/>
          <w:bCs/>
          <w:sz w:val="18"/>
          <w:szCs w:val="18"/>
        </w:rPr>
        <w:t>55</w:t>
      </w:r>
      <w:r w:rsidR="00B948DF" w:rsidRPr="00E44664">
        <w:rPr>
          <w:sz w:val="18"/>
          <w:szCs w:val="18"/>
        </w:rPr>
        <w:t xml:space="preserve">, </w:t>
      </w:r>
      <w:r w:rsidRPr="00E44664">
        <w:rPr>
          <w:sz w:val="18"/>
          <w:szCs w:val="18"/>
        </w:rPr>
        <w:t xml:space="preserve">102978 (2024). </w:t>
      </w:r>
      <w:hyperlink r:id="rId37" w:tgtFrame="_new" w:history="1">
        <w:r w:rsidRPr="00E44664">
          <w:rPr>
            <w:rStyle w:val="Hyperlink"/>
            <w:color w:val="auto"/>
            <w:sz w:val="18"/>
            <w:szCs w:val="18"/>
            <w:u w:val="none"/>
          </w:rPr>
          <w:t>https://doi.org/10.1016/j.bcab.2023.102978</w:t>
        </w:r>
      </w:hyperlink>
    </w:p>
    <w:p w14:paraId="6FB96274" w14:textId="4FE5B71F" w:rsidR="006E44DE" w:rsidRPr="00E44664" w:rsidRDefault="006E44DE" w:rsidP="00E44664">
      <w:pPr>
        <w:pStyle w:val="Reference"/>
        <w:numPr>
          <w:ilvl w:val="0"/>
          <w:numId w:val="6"/>
        </w:numPr>
        <w:tabs>
          <w:tab w:val="clear" w:pos="720"/>
          <w:tab w:val="num" w:pos="426"/>
        </w:tabs>
        <w:ind w:left="450" w:hanging="426"/>
        <w:jc w:val="left"/>
        <w:rPr>
          <w:sz w:val="18"/>
          <w:szCs w:val="18"/>
        </w:rPr>
      </w:pPr>
      <w:r w:rsidRPr="00E44664">
        <w:rPr>
          <w:sz w:val="18"/>
          <w:szCs w:val="18"/>
        </w:rPr>
        <w:t xml:space="preserve">M. S. </w:t>
      </w:r>
      <w:proofErr w:type="spellStart"/>
      <w:r w:rsidRPr="00E44664">
        <w:rPr>
          <w:sz w:val="18"/>
          <w:szCs w:val="18"/>
        </w:rPr>
        <w:t>Elshikh</w:t>
      </w:r>
      <w:proofErr w:type="spellEnd"/>
      <w:r w:rsidRPr="00E44664">
        <w:rPr>
          <w:sz w:val="18"/>
          <w:szCs w:val="18"/>
        </w:rPr>
        <w:t xml:space="preserve">, S. Ahmed, P. Funston, M. Dunlop, R. McGaw, R. Marchant and I. M. Banat, </w:t>
      </w:r>
      <w:proofErr w:type="spellStart"/>
      <w:r w:rsidRPr="00E44664">
        <w:rPr>
          <w:sz w:val="18"/>
          <w:szCs w:val="18"/>
        </w:rPr>
        <w:t>Biotechnol</w:t>
      </w:r>
      <w:proofErr w:type="spellEnd"/>
      <w:r w:rsidR="007819D5" w:rsidRPr="00E44664">
        <w:rPr>
          <w:sz w:val="18"/>
          <w:szCs w:val="18"/>
        </w:rPr>
        <w:t>.</w:t>
      </w:r>
      <w:r w:rsidRPr="00E44664">
        <w:rPr>
          <w:sz w:val="18"/>
          <w:szCs w:val="18"/>
        </w:rPr>
        <w:t xml:space="preserve"> Lett</w:t>
      </w:r>
      <w:r w:rsidR="007819D5" w:rsidRPr="00E44664">
        <w:rPr>
          <w:sz w:val="18"/>
          <w:szCs w:val="18"/>
        </w:rPr>
        <w:t>.</w:t>
      </w:r>
      <w:r w:rsidRPr="00E44664">
        <w:rPr>
          <w:sz w:val="18"/>
          <w:szCs w:val="18"/>
        </w:rPr>
        <w:t xml:space="preserve"> </w:t>
      </w:r>
      <w:r w:rsidRPr="00E44664">
        <w:rPr>
          <w:b/>
          <w:bCs/>
          <w:sz w:val="18"/>
          <w:szCs w:val="18"/>
        </w:rPr>
        <w:t>38</w:t>
      </w:r>
      <w:r w:rsidRPr="00E44664">
        <w:rPr>
          <w:sz w:val="18"/>
          <w:szCs w:val="18"/>
        </w:rPr>
        <w:t xml:space="preserve">, 1015–1019 (2016). </w:t>
      </w:r>
      <w:hyperlink r:id="rId38" w:tgtFrame="_new" w:history="1">
        <w:r w:rsidRPr="00E44664">
          <w:rPr>
            <w:rStyle w:val="Hyperlink"/>
            <w:color w:val="auto"/>
            <w:sz w:val="18"/>
            <w:szCs w:val="18"/>
            <w:u w:val="none"/>
          </w:rPr>
          <w:t>https://doi.org/10.1007/s10529-016-2079-2</w:t>
        </w:r>
      </w:hyperlink>
    </w:p>
    <w:p w14:paraId="3602DE86" w14:textId="689A8823" w:rsidR="006E44DE" w:rsidRPr="00E44664" w:rsidRDefault="006E44DE" w:rsidP="00E44664">
      <w:pPr>
        <w:pStyle w:val="Reference"/>
        <w:numPr>
          <w:ilvl w:val="0"/>
          <w:numId w:val="6"/>
        </w:numPr>
        <w:tabs>
          <w:tab w:val="clear" w:pos="720"/>
          <w:tab w:val="num" w:pos="426"/>
        </w:tabs>
        <w:ind w:left="450" w:hanging="426"/>
        <w:jc w:val="left"/>
        <w:rPr>
          <w:sz w:val="18"/>
          <w:szCs w:val="18"/>
        </w:rPr>
      </w:pPr>
      <w:r w:rsidRPr="00E44664">
        <w:rPr>
          <w:sz w:val="18"/>
          <w:szCs w:val="18"/>
        </w:rPr>
        <w:t>B. M. Coffey and G. G. Anderson, Methods Mol</w:t>
      </w:r>
      <w:r w:rsidR="007819D5" w:rsidRPr="00E44664">
        <w:rPr>
          <w:sz w:val="18"/>
          <w:szCs w:val="18"/>
        </w:rPr>
        <w:t>.</w:t>
      </w:r>
      <w:r w:rsidRPr="00E44664">
        <w:rPr>
          <w:sz w:val="18"/>
          <w:szCs w:val="18"/>
        </w:rPr>
        <w:t xml:space="preserve"> Biol</w:t>
      </w:r>
      <w:r w:rsidR="007819D5" w:rsidRPr="00E44664">
        <w:rPr>
          <w:sz w:val="18"/>
          <w:szCs w:val="18"/>
        </w:rPr>
        <w:t>.</w:t>
      </w:r>
      <w:r w:rsidRPr="00E44664">
        <w:rPr>
          <w:sz w:val="18"/>
          <w:szCs w:val="18"/>
        </w:rPr>
        <w:t xml:space="preserve"> </w:t>
      </w:r>
      <w:r w:rsidRPr="00E44664">
        <w:rPr>
          <w:b/>
          <w:bCs/>
          <w:sz w:val="18"/>
          <w:szCs w:val="18"/>
        </w:rPr>
        <w:t>1149</w:t>
      </w:r>
      <w:r w:rsidRPr="00E44664">
        <w:rPr>
          <w:sz w:val="18"/>
          <w:szCs w:val="18"/>
        </w:rPr>
        <w:t xml:space="preserve">, 631–641 (2014). </w:t>
      </w:r>
      <w:hyperlink r:id="rId39" w:tgtFrame="_new" w:history="1">
        <w:r w:rsidRPr="00E44664">
          <w:rPr>
            <w:rStyle w:val="Hyperlink"/>
            <w:color w:val="auto"/>
            <w:sz w:val="18"/>
            <w:szCs w:val="18"/>
            <w:u w:val="none"/>
          </w:rPr>
          <w:t>https://doi.org/10.1007/978-1-4939-0473-0_48</w:t>
        </w:r>
      </w:hyperlink>
    </w:p>
    <w:p w14:paraId="1007070B" w14:textId="77777777" w:rsidR="00CB4DA6" w:rsidRPr="00E44664" w:rsidRDefault="006E44DE" w:rsidP="00E44664">
      <w:pPr>
        <w:pStyle w:val="Reference"/>
        <w:numPr>
          <w:ilvl w:val="0"/>
          <w:numId w:val="6"/>
        </w:numPr>
        <w:tabs>
          <w:tab w:val="clear" w:pos="720"/>
          <w:tab w:val="num" w:pos="426"/>
        </w:tabs>
        <w:ind w:left="450" w:hanging="426"/>
        <w:jc w:val="left"/>
        <w:rPr>
          <w:sz w:val="18"/>
          <w:szCs w:val="18"/>
        </w:rPr>
      </w:pPr>
      <w:r w:rsidRPr="00E44664">
        <w:rPr>
          <w:sz w:val="18"/>
          <w:szCs w:val="18"/>
        </w:rPr>
        <w:t xml:space="preserve">K. K. Annamalai, B. Selvaraj, K. Subramanian, R. </w:t>
      </w:r>
      <w:proofErr w:type="spellStart"/>
      <w:r w:rsidRPr="00E44664">
        <w:rPr>
          <w:sz w:val="18"/>
          <w:szCs w:val="18"/>
        </w:rPr>
        <w:t>Bin</w:t>
      </w:r>
      <w:r w:rsidR="007819D5" w:rsidRPr="00E44664">
        <w:rPr>
          <w:sz w:val="18"/>
          <w:szCs w:val="18"/>
        </w:rPr>
        <w:t>suwaidan</w:t>
      </w:r>
      <w:proofErr w:type="spellEnd"/>
      <w:r w:rsidR="007819D5" w:rsidRPr="00E44664">
        <w:rPr>
          <w:sz w:val="18"/>
          <w:szCs w:val="18"/>
        </w:rPr>
        <w:t xml:space="preserve"> and M. Saeed, </w:t>
      </w:r>
      <w:proofErr w:type="spellStart"/>
      <w:r w:rsidR="007819D5" w:rsidRPr="00E44664">
        <w:rPr>
          <w:sz w:val="18"/>
          <w:szCs w:val="18"/>
        </w:rPr>
        <w:t>Microb</w:t>
      </w:r>
      <w:proofErr w:type="spellEnd"/>
      <w:r w:rsidR="007819D5" w:rsidRPr="00E44664">
        <w:rPr>
          <w:sz w:val="18"/>
          <w:szCs w:val="18"/>
        </w:rPr>
        <w:t>. Pathogen.</w:t>
      </w:r>
      <w:r w:rsidRPr="00E44664">
        <w:rPr>
          <w:sz w:val="18"/>
          <w:szCs w:val="18"/>
        </w:rPr>
        <w:t xml:space="preserve"> </w:t>
      </w:r>
      <w:r w:rsidRPr="00E44664">
        <w:rPr>
          <w:b/>
          <w:bCs/>
          <w:sz w:val="18"/>
          <w:szCs w:val="18"/>
        </w:rPr>
        <w:t>193</w:t>
      </w:r>
      <w:r w:rsidRPr="00E44664">
        <w:rPr>
          <w:sz w:val="18"/>
          <w:szCs w:val="18"/>
        </w:rPr>
        <w:t xml:space="preserve">, 106740 (2024). </w:t>
      </w:r>
      <w:hyperlink r:id="rId40" w:tgtFrame="_new" w:history="1">
        <w:r w:rsidRPr="00E44664">
          <w:rPr>
            <w:rStyle w:val="Hyperlink"/>
            <w:color w:val="auto"/>
            <w:sz w:val="18"/>
            <w:szCs w:val="18"/>
            <w:u w:val="none"/>
          </w:rPr>
          <w:t>https://doi.org/10.1016/j.micpath.2024.106740</w:t>
        </w:r>
      </w:hyperlink>
    </w:p>
    <w:p w14:paraId="1EE8D715" w14:textId="77777777" w:rsidR="00CB4DA6" w:rsidRPr="00E44664" w:rsidRDefault="006A4577" w:rsidP="00E44664">
      <w:pPr>
        <w:pStyle w:val="Reference"/>
        <w:numPr>
          <w:ilvl w:val="0"/>
          <w:numId w:val="6"/>
        </w:numPr>
        <w:tabs>
          <w:tab w:val="clear" w:pos="720"/>
          <w:tab w:val="num" w:pos="426"/>
        </w:tabs>
        <w:ind w:left="450" w:hanging="426"/>
        <w:jc w:val="left"/>
        <w:rPr>
          <w:sz w:val="18"/>
          <w:szCs w:val="18"/>
        </w:rPr>
      </w:pPr>
      <w:r w:rsidRPr="00E44664">
        <w:rPr>
          <w:sz w:val="18"/>
          <w:szCs w:val="18"/>
        </w:rPr>
        <w:t xml:space="preserve">I. </w:t>
      </w:r>
      <w:proofErr w:type="spellStart"/>
      <w:r w:rsidRPr="00E44664">
        <w:rPr>
          <w:sz w:val="18"/>
          <w:szCs w:val="18"/>
        </w:rPr>
        <w:t>Gulcin</w:t>
      </w:r>
      <w:proofErr w:type="spellEnd"/>
      <w:r w:rsidRPr="00E44664">
        <w:rPr>
          <w:sz w:val="18"/>
          <w:szCs w:val="18"/>
        </w:rPr>
        <w:t xml:space="preserve"> and S. H. </w:t>
      </w:r>
      <w:proofErr w:type="spellStart"/>
      <w:r w:rsidRPr="00E44664">
        <w:rPr>
          <w:sz w:val="18"/>
          <w:szCs w:val="18"/>
        </w:rPr>
        <w:t>Alwasel</w:t>
      </w:r>
      <w:proofErr w:type="spellEnd"/>
      <w:r w:rsidRPr="00E44664">
        <w:rPr>
          <w:sz w:val="18"/>
          <w:szCs w:val="18"/>
        </w:rPr>
        <w:t xml:space="preserve">, Processes </w:t>
      </w:r>
      <w:r w:rsidRPr="00E44664">
        <w:rPr>
          <w:b/>
          <w:bCs/>
          <w:sz w:val="18"/>
          <w:szCs w:val="18"/>
        </w:rPr>
        <w:t>11</w:t>
      </w:r>
      <w:r w:rsidRPr="00E44664">
        <w:rPr>
          <w:sz w:val="18"/>
          <w:szCs w:val="18"/>
        </w:rPr>
        <w:t xml:space="preserve">, 2248 (2023). </w:t>
      </w:r>
      <w:hyperlink r:id="rId41" w:tgtFrame="_new" w:history="1">
        <w:r w:rsidRPr="00E44664">
          <w:rPr>
            <w:rStyle w:val="Hyperlink"/>
            <w:color w:val="auto"/>
            <w:sz w:val="18"/>
            <w:szCs w:val="18"/>
            <w:u w:val="none"/>
          </w:rPr>
          <w:t>https://doi.org/10.3390/pr11082248</w:t>
        </w:r>
      </w:hyperlink>
    </w:p>
    <w:p w14:paraId="2DF26018" w14:textId="77777777" w:rsidR="00CB4DA6" w:rsidRPr="00E44664" w:rsidRDefault="006A4577" w:rsidP="00E44664">
      <w:pPr>
        <w:pStyle w:val="Reference"/>
        <w:numPr>
          <w:ilvl w:val="0"/>
          <w:numId w:val="6"/>
        </w:numPr>
        <w:tabs>
          <w:tab w:val="clear" w:pos="720"/>
          <w:tab w:val="num" w:pos="426"/>
        </w:tabs>
        <w:ind w:left="450" w:hanging="426"/>
        <w:jc w:val="left"/>
        <w:rPr>
          <w:sz w:val="18"/>
          <w:szCs w:val="18"/>
        </w:rPr>
      </w:pPr>
      <w:r w:rsidRPr="00E44664">
        <w:rPr>
          <w:sz w:val="18"/>
          <w:szCs w:val="18"/>
        </w:rPr>
        <w:t xml:space="preserve">M. A. </w:t>
      </w:r>
      <w:proofErr w:type="spellStart"/>
      <w:r w:rsidRPr="00E44664">
        <w:rPr>
          <w:sz w:val="18"/>
          <w:szCs w:val="18"/>
        </w:rPr>
        <w:t>Dobrovolskaia</w:t>
      </w:r>
      <w:proofErr w:type="spellEnd"/>
      <w:r w:rsidRPr="00E44664">
        <w:rPr>
          <w:sz w:val="18"/>
          <w:szCs w:val="18"/>
        </w:rPr>
        <w:t>, J. D. Clogston, B. W. Neun, J. B. Hall, A. K. Patri and S. E. McNeil, Nano Lett</w:t>
      </w:r>
      <w:r w:rsidR="007819D5" w:rsidRPr="00E44664">
        <w:rPr>
          <w:sz w:val="18"/>
          <w:szCs w:val="18"/>
        </w:rPr>
        <w:t>.</w:t>
      </w:r>
      <w:r w:rsidRPr="00E44664">
        <w:rPr>
          <w:sz w:val="18"/>
          <w:szCs w:val="18"/>
        </w:rPr>
        <w:t xml:space="preserve"> </w:t>
      </w:r>
      <w:r w:rsidRPr="00E44664">
        <w:rPr>
          <w:b/>
          <w:bCs/>
          <w:sz w:val="18"/>
          <w:szCs w:val="18"/>
        </w:rPr>
        <w:t>8</w:t>
      </w:r>
      <w:r w:rsidRPr="00E44664">
        <w:rPr>
          <w:sz w:val="18"/>
          <w:szCs w:val="18"/>
        </w:rPr>
        <w:t xml:space="preserve">, 2180–2187 (2008). </w:t>
      </w:r>
      <w:hyperlink r:id="rId42" w:tgtFrame="_new" w:history="1">
        <w:r w:rsidRPr="00E44664">
          <w:rPr>
            <w:rStyle w:val="Hyperlink"/>
            <w:color w:val="auto"/>
            <w:sz w:val="18"/>
            <w:szCs w:val="18"/>
            <w:u w:val="none"/>
          </w:rPr>
          <w:t>https://doi.org/10.1021/nl0805615</w:t>
        </w:r>
      </w:hyperlink>
    </w:p>
    <w:p w14:paraId="2BDED8B0" w14:textId="77777777" w:rsidR="00CB4DA6" w:rsidRPr="00E44664" w:rsidRDefault="006A4577" w:rsidP="00E44664">
      <w:pPr>
        <w:pStyle w:val="Reference"/>
        <w:numPr>
          <w:ilvl w:val="0"/>
          <w:numId w:val="6"/>
        </w:numPr>
        <w:tabs>
          <w:tab w:val="clear" w:pos="720"/>
          <w:tab w:val="num" w:pos="426"/>
        </w:tabs>
        <w:ind w:left="450" w:hanging="426"/>
        <w:jc w:val="left"/>
        <w:rPr>
          <w:sz w:val="18"/>
          <w:szCs w:val="18"/>
        </w:rPr>
      </w:pPr>
      <w:r w:rsidRPr="00E44664">
        <w:rPr>
          <w:sz w:val="18"/>
          <w:szCs w:val="18"/>
        </w:rPr>
        <w:t xml:space="preserve">SAS Institute Inc., </w:t>
      </w:r>
      <w:r w:rsidRPr="00E44664">
        <w:rPr>
          <w:i/>
          <w:iCs/>
          <w:sz w:val="18"/>
          <w:szCs w:val="18"/>
        </w:rPr>
        <w:t>Statistical Analysis System, User’s Guide</w:t>
      </w:r>
      <w:r w:rsidRPr="00E44664">
        <w:rPr>
          <w:sz w:val="18"/>
          <w:szCs w:val="18"/>
        </w:rPr>
        <w:t>, Version 9.1, Cary, NC, USA (2012).</w:t>
      </w:r>
    </w:p>
    <w:p w14:paraId="41674950" w14:textId="77777777" w:rsidR="00CB4DA6" w:rsidRPr="00E44664" w:rsidRDefault="006A4577" w:rsidP="00E44664">
      <w:pPr>
        <w:pStyle w:val="Reference"/>
        <w:numPr>
          <w:ilvl w:val="0"/>
          <w:numId w:val="6"/>
        </w:numPr>
        <w:tabs>
          <w:tab w:val="clear" w:pos="720"/>
          <w:tab w:val="num" w:pos="426"/>
        </w:tabs>
        <w:ind w:left="450" w:hanging="426"/>
        <w:jc w:val="left"/>
        <w:rPr>
          <w:sz w:val="18"/>
          <w:szCs w:val="18"/>
        </w:rPr>
      </w:pPr>
      <w:r w:rsidRPr="00E44664">
        <w:rPr>
          <w:sz w:val="18"/>
          <w:szCs w:val="18"/>
        </w:rPr>
        <w:t xml:space="preserve">J. H. Zar, </w:t>
      </w:r>
      <w:r w:rsidRPr="00E44664">
        <w:rPr>
          <w:i/>
          <w:iCs/>
          <w:sz w:val="18"/>
          <w:szCs w:val="18"/>
        </w:rPr>
        <w:t>Biostatistical Analysis</w:t>
      </w:r>
      <w:r w:rsidRPr="00E44664">
        <w:rPr>
          <w:sz w:val="18"/>
          <w:szCs w:val="18"/>
        </w:rPr>
        <w:t>, 5th ed., ISBN: 0131008463 (2010).</w:t>
      </w:r>
    </w:p>
    <w:p w14:paraId="184DB721" w14:textId="77777777" w:rsidR="00CB4DA6" w:rsidRPr="00E44664" w:rsidRDefault="006A4577" w:rsidP="00E44664">
      <w:pPr>
        <w:pStyle w:val="Reference"/>
        <w:numPr>
          <w:ilvl w:val="0"/>
          <w:numId w:val="6"/>
        </w:numPr>
        <w:tabs>
          <w:tab w:val="clear" w:pos="720"/>
          <w:tab w:val="num" w:pos="426"/>
        </w:tabs>
        <w:ind w:left="450" w:hanging="426"/>
        <w:jc w:val="left"/>
        <w:rPr>
          <w:sz w:val="18"/>
          <w:szCs w:val="18"/>
        </w:rPr>
      </w:pPr>
      <w:r w:rsidRPr="00E44664">
        <w:rPr>
          <w:sz w:val="18"/>
          <w:szCs w:val="18"/>
        </w:rPr>
        <w:t xml:space="preserve">M. A. </w:t>
      </w:r>
      <w:proofErr w:type="spellStart"/>
      <w:r w:rsidRPr="00E44664">
        <w:rPr>
          <w:sz w:val="18"/>
          <w:szCs w:val="18"/>
        </w:rPr>
        <w:t>Zinnah</w:t>
      </w:r>
      <w:proofErr w:type="spellEnd"/>
      <w:r w:rsidRPr="00E44664">
        <w:rPr>
          <w:sz w:val="18"/>
          <w:szCs w:val="18"/>
        </w:rPr>
        <w:t xml:space="preserve">, M. R. Bari, M. T. Islam, M. T. Hossain, M. T. Rahman, M. H. Haque, S. A. M. Babu, R. P. Ruma and M. A. Islam, </w:t>
      </w:r>
      <w:proofErr w:type="spellStart"/>
      <w:r w:rsidRPr="00E44664">
        <w:rPr>
          <w:sz w:val="18"/>
          <w:szCs w:val="18"/>
        </w:rPr>
        <w:t>Bangl</w:t>
      </w:r>
      <w:proofErr w:type="spellEnd"/>
      <w:r w:rsidRPr="00E44664">
        <w:rPr>
          <w:sz w:val="18"/>
          <w:szCs w:val="18"/>
        </w:rPr>
        <w:t xml:space="preserve">. J. Vet. Med. </w:t>
      </w:r>
      <w:r w:rsidRPr="00E44664">
        <w:rPr>
          <w:b/>
          <w:bCs/>
          <w:sz w:val="18"/>
          <w:szCs w:val="18"/>
        </w:rPr>
        <w:t>5</w:t>
      </w:r>
      <w:r w:rsidRPr="00E44664">
        <w:rPr>
          <w:sz w:val="18"/>
          <w:szCs w:val="18"/>
        </w:rPr>
        <w:t xml:space="preserve">, 25–32 (2007). </w:t>
      </w:r>
      <w:hyperlink r:id="rId43" w:tgtFrame="_new" w:history="1">
        <w:r w:rsidRPr="00E44664">
          <w:rPr>
            <w:rStyle w:val="Hyperlink"/>
            <w:color w:val="auto"/>
            <w:sz w:val="18"/>
            <w:szCs w:val="18"/>
            <w:u w:val="none"/>
          </w:rPr>
          <w:t>https://www.researchgate.net/publication/232962996</w:t>
        </w:r>
      </w:hyperlink>
    </w:p>
    <w:p w14:paraId="4BCC7BE8" w14:textId="77777777" w:rsidR="00CB4DA6" w:rsidRPr="00E44664" w:rsidRDefault="006A4577" w:rsidP="00E44664">
      <w:pPr>
        <w:pStyle w:val="Reference"/>
        <w:numPr>
          <w:ilvl w:val="0"/>
          <w:numId w:val="6"/>
        </w:numPr>
        <w:tabs>
          <w:tab w:val="clear" w:pos="720"/>
          <w:tab w:val="num" w:pos="426"/>
        </w:tabs>
        <w:ind w:left="450" w:hanging="426"/>
        <w:jc w:val="left"/>
        <w:rPr>
          <w:sz w:val="18"/>
          <w:szCs w:val="18"/>
        </w:rPr>
      </w:pPr>
      <w:r w:rsidRPr="00E44664">
        <w:rPr>
          <w:sz w:val="18"/>
          <w:szCs w:val="18"/>
        </w:rPr>
        <w:t>B. O. Abdulsattar, N. A. Al-</w:t>
      </w:r>
      <w:proofErr w:type="spellStart"/>
      <w:r w:rsidRPr="00E44664">
        <w:rPr>
          <w:sz w:val="18"/>
          <w:szCs w:val="18"/>
        </w:rPr>
        <w:t>Saryi</w:t>
      </w:r>
      <w:proofErr w:type="spellEnd"/>
      <w:r w:rsidRPr="00E44664">
        <w:rPr>
          <w:sz w:val="18"/>
          <w:szCs w:val="18"/>
        </w:rPr>
        <w:t>, M. H. Abbas and A.-</w:t>
      </w:r>
      <w:r w:rsidR="007819D5" w:rsidRPr="00E44664">
        <w:rPr>
          <w:sz w:val="18"/>
          <w:szCs w:val="18"/>
        </w:rPr>
        <w:t>R. A. Abdulhussein, Gene Rep.</w:t>
      </w:r>
      <w:r w:rsidRPr="00E44664">
        <w:rPr>
          <w:sz w:val="18"/>
          <w:szCs w:val="18"/>
        </w:rPr>
        <w:t xml:space="preserve"> </w:t>
      </w:r>
      <w:r w:rsidRPr="00E44664">
        <w:rPr>
          <w:b/>
          <w:bCs/>
          <w:sz w:val="18"/>
          <w:szCs w:val="18"/>
        </w:rPr>
        <w:t>19</w:t>
      </w:r>
      <w:r w:rsidRPr="00E44664">
        <w:rPr>
          <w:sz w:val="18"/>
          <w:szCs w:val="18"/>
        </w:rPr>
        <w:t xml:space="preserve">, 100591 (2020). </w:t>
      </w:r>
      <w:hyperlink r:id="rId44" w:tgtFrame="_new" w:history="1">
        <w:r w:rsidRPr="00E44664">
          <w:rPr>
            <w:rStyle w:val="Hyperlink"/>
            <w:color w:val="auto"/>
            <w:sz w:val="18"/>
            <w:szCs w:val="18"/>
            <w:u w:val="none"/>
          </w:rPr>
          <w:t>https://doi.org/10.1016/j.genrep.2020.100591</w:t>
        </w:r>
      </w:hyperlink>
    </w:p>
    <w:p w14:paraId="7F812D0A" w14:textId="7EBA6338" w:rsidR="006A4577" w:rsidRPr="00E44664" w:rsidRDefault="006A4577" w:rsidP="00E44664">
      <w:pPr>
        <w:pStyle w:val="Reference"/>
        <w:numPr>
          <w:ilvl w:val="0"/>
          <w:numId w:val="6"/>
        </w:numPr>
        <w:tabs>
          <w:tab w:val="clear" w:pos="720"/>
          <w:tab w:val="num" w:pos="426"/>
        </w:tabs>
        <w:ind w:left="450" w:hanging="426"/>
        <w:jc w:val="left"/>
        <w:rPr>
          <w:sz w:val="18"/>
          <w:szCs w:val="18"/>
        </w:rPr>
      </w:pPr>
      <w:r w:rsidRPr="00E44664">
        <w:rPr>
          <w:sz w:val="18"/>
          <w:szCs w:val="18"/>
        </w:rPr>
        <w:t xml:space="preserve">D. R. Hamady and S. K. Ibrahim, </w:t>
      </w:r>
      <w:proofErr w:type="spellStart"/>
      <w:r w:rsidRPr="00E44664">
        <w:rPr>
          <w:sz w:val="18"/>
          <w:szCs w:val="18"/>
        </w:rPr>
        <w:t>Biochem</w:t>
      </w:r>
      <w:proofErr w:type="spellEnd"/>
      <w:r w:rsidRPr="00E44664">
        <w:rPr>
          <w:sz w:val="18"/>
          <w:szCs w:val="18"/>
        </w:rPr>
        <w:t xml:space="preserve">. Cell. Arch. </w:t>
      </w:r>
      <w:r w:rsidRPr="00E44664">
        <w:rPr>
          <w:b/>
          <w:bCs/>
          <w:sz w:val="18"/>
          <w:szCs w:val="18"/>
        </w:rPr>
        <w:t>20</w:t>
      </w:r>
      <w:r w:rsidRPr="00E44664">
        <w:rPr>
          <w:sz w:val="18"/>
          <w:szCs w:val="18"/>
        </w:rPr>
        <w:t xml:space="preserve">, 5553–5557 (2020). </w:t>
      </w:r>
      <w:hyperlink r:id="rId45" w:tgtFrame="_new" w:history="1">
        <w:r w:rsidRPr="00E44664">
          <w:rPr>
            <w:rStyle w:val="Hyperlink"/>
            <w:color w:val="auto"/>
            <w:sz w:val="18"/>
            <w:szCs w:val="18"/>
            <w:u w:val="none"/>
          </w:rPr>
          <w:t>https://connectjournals.com/03896.2020.20.5553</w:t>
        </w:r>
      </w:hyperlink>
    </w:p>
    <w:p w14:paraId="0AFB992D" w14:textId="77777777" w:rsidR="00CB4DA6" w:rsidRPr="00E44664" w:rsidRDefault="006A4577" w:rsidP="00E44664">
      <w:pPr>
        <w:pStyle w:val="Reference"/>
        <w:numPr>
          <w:ilvl w:val="0"/>
          <w:numId w:val="7"/>
        </w:numPr>
        <w:tabs>
          <w:tab w:val="clear" w:pos="720"/>
          <w:tab w:val="num" w:pos="426"/>
        </w:tabs>
        <w:ind w:left="450" w:hanging="426"/>
        <w:jc w:val="left"/>
        <w:rPr>
          <w:sz w:val="18"/>
          <w:szCs w:val="18"/>
        </w:rPr>
      </w:pPr>
      <w:r w:rsidRPr="00E44664">
        <w:rPr>
          <w:sz w:val="18"/>
          <w:szCs w:val="18"/>
        </w:rPr>
        <w:t xml:space="preserve">S. M. Mahmood and S. K. Ibrahim, Ibn AL-Haitham </w:t>
      </w:r>
      <w:r w:rsidR="00225D8E" w:rsidRPr="00E44664">
        <w:rPr>
          <w:sz w:val="18"/>
          <w:szCs w:val="18"/>
        </w:rPr>
        <w:t>J</w:t>
      </w:r>
      <w:r w:rsidR="007819D5" w:rsidRPr="00E44664">
        <w:rPr>
          <w:sz w:val="18"/>
          <w:szCs w:val="18"/>
        </w:rPr>
        <w:t>.</w:t>
      </w:r>
      <w:r w:rsidRPr="00E44664">
        <w:rPr>
          <w:sz w:val="18"/>
          <w:szCs w:val="18"/>
        </w:rPr>
        <w:t xml:space="preserve"> Pure </w:t>
      </w:r>
      <w:r w:rsidR="007819D5" w:rsidRPr="00E44664">
        <w:rPr>
          <w:sz w:val="18"/>
          <w:szCs w:val="18"/>
        </w:rPr>
        <w:t>App. Sci.</w:t>
      </w:r>
      <w:r w:rsidRPr="00E44664">
        <w:rPr>
          <w:sz w:val="18"/>
          <w:szCs w:val="18"/>
        </w:rPr>
        <w:t xml:space="preserve"> </w:t>
      </w:r>
      <w:r w:rsidRPr="00E44664">
        <w:rPr>
          <w:b/>
          <w:bCs/>
          <w:sz w:val="18"/>
          <w:szCs w:val="18"/>
        </w:rPr>
        <w:t>38</w:t>
      </w:r>
      <w:r w:rsidRPr="00E44664">
        <w:rPr>
          <w:sz w:val="18"/>
          <w:szCs w:val="18"/>
        </w:rPr>
        <w:t xml:space="preserve">, 63–73 (2025). </w:t>
      </w:r>
      <w:hyperlink r:id="rId46" w:tgtFrame="_new" w:history="1">
        <w:r w:rsidRPr="00E44664">
          <w:rPr>
            <w:rStyle w:val="Hyperlink"/>
            <w:color w:val="auto"/>
            <w:sz w:val="18"/>
            <w:szCs w:val="18"/>
            <w:u w:val="none"/>
          </w:rPr>
          <w:t>https://doi.org/10.30526/38.2.3744</w:t>
        </w:r>
      </w:hyperlink>
    </w:p>
    <w:p w14:paraId="182D2D68" w14:textId="1BD7EFAE" w:rsidR="00CB4DA6" w:rsidRPr="00E44664" w:rsidRDefault="006A4577" w:rsidP="00E44664">
      <w:pPr>
        <w:pStyle w:val="Reference"/>
        <w:numPr>
          <w:ilvl w:val="0"/>
          <w:numId w:val="7"/>
        </w:numPr>
        <w:tabs>
          <w:tab w:val="clear" w:pos="720"/>
          <w:tab w:val="num" w:pos="426"/>
        </w:tabs>
        <w:ind w:left="450" w:hanging="426"/>
        <w:jc w:val="left"/>
        <w:rPr>
          <w:sz w:val="18"/>
          <w:szCs w:val="18"/>
        </w:rPr>
      </w:pPr>
      <w:r w:rsidRPr="00E44664">
        <w:rPr>
          <w:sz w:val="18"/>
          <w:szCs w:val="18"/>
        </w:rPr>
        <w:t xml:space="preserve">D. L. C. Pradana, A. F. Muti, E. P. Rahmi, N. </w:t>
      </w:r>
      <w:proofErr w:type="spellStart"/>
      <w:r w:rsidRPr="00E44664">
        <w:rPr>
          <w:sz w:val="18"/>
          <w:szCs w:val="18"/>
        </w:rPr>
        <w:t>Elzuhria</w:t>
      </w:r>
      <w:proofErr w:type="spellEnd"/>
      <w:r w:rsidRPr="00E44664">
        <w:rPr>
          <w:sz w:val="18"/>
          <w:szCs w:val="18"/>
        </w:rPr>
        <w:t xml:space="preserve">, A. </w:t>
      </w:r>
      <w:proofErr w:type="spellStart"/>
      <w:r w:rsidRPr="00E44664">
        <w:rPr>
          <w:sz w:val="18"/>
          <w:szCs w:val="18"/>
        </w:rPr>
        <w:t>Fajwatunnisa</w:t>
      </w:r>
      <w:proofErr w:type="spellEnd"/>
      <w:r w:rsidRPr="00E44664">
        <w:rPr>
          <w:sz w:val="18"/>
          <w:szCs w:val="18"/>
        </w:rPr>
        <w:t xml:space="preserve">, U. </w:t>
      </w:r>
      <w:proofErr w:type="spellStart"/>
      <w:r w:rsidRPr="00E44664">
        <w:rPr>
          <w:sz w:val="18"/>
          <w:szCs w:val="18"/>
        </w:rPr>
        <w:t>Hanidah</w:t>
      </w:r>
      <w:proofErr w:type="spellEnd"/>
      <w:r w:rsidRPr="00E44664">
        <w:rPr>
          <w:sz w:val="18"/>
          <w:szCs w:val="18"/>
        </w:rPr>
        <w:t xml:space="preserve">, F. </w:t>
      </w:r>
      <w:proofErr w:type="spellStart"/>
      <w:r w:rsidRPr="00E44664">
        <w:rPr>
          <w:sz w:val="18"/>
          <w:szCs w:val="18"/>
        </w:rPr>
        <w:t>Buulolo</w:t>
      </w:r>
      <w:proofErr w:type="spellEnd"/>
      <w:r w:rsidRPr="00E44664">
        <w:rPr>
          <w:sz w:val="18"/>
          <w:szCs w:val="18"/>
        </w:rPr>
        <w:t xml:space="preserve">, T. A. Hidayat, F. A. Nabilla, , and N. A. </w:t>
      </w:r>
      <w:proofErr w:type="spellStart"/>
      <w:r w:rsidRPr="00E44664">
        <w:rPr>
          <w:sz w:val="18"/>
          <w:szCs w:val="18"/>
        </w:rPr>
        <w:t>Rizqi</w:t>
      </w:r>
      <w:proofErr w:type="spellEnd"/>
      <w:r w:rsidRPr="00E44664">
        <w:rPr>
          <w:sz w:val="18"/>
          <w:szCs w:val="18"/>
        </w:rPr>
        <w:t xml:space="preserve">, </w:t>
      </w:r>
      <w:r w:rsidR="007819D5" w:rsidRPr="00E44664">
        <w:rPr>
          <w:sz w:val="18"/>
          <w:szCs w:val="18"/>
        </w:rPr>
        <w:t>J. of Res.</w:t>
      </w:r>
      <w:r w:rsidRPr="00E44664">
        <w:rPr>
          <w:sz w:val="18"/>
          <w:szCs w:val="18"/>
        </w:rPr>
        <w:t xml:space="preserve"> </w:t>
      </w:r>
      <w:r w:rsidR="007819D5" w:rsidRPr="00E44664">
        <w:rPr>
          <w:sz w:val="18"/>
          <w:szCs w:val="18"/>
        </w:rPr>
        <w:t>Pharm.</w:t>
      </w:r>
      <w:r w:rsidRPr="00E44664">
        <w:rPr>
          <w:sz w:val="18"/>
          <w:szCs w:val="18"/>
        </w:rPr>
        <w:t xml:space="preserve"> </w:t>
      </w:r>
      <w:proofErr w:type="spellStart"/>
      <w:r w:rsidR="007819D5" w:rsidRPr="00E44664">
        <w:rPr>
          <w:sz w:val="18"/>
          <w:szCs w:val="18"/>
        </w:rPr>
        <w:t>Pharmac</w:t>
      </w:r>
      <w:proofErr w:type="spellEnd"/>
      <w:r w:rsidR="007819D5" w:rsidRPr="00E44664">
        <w:rPr>
          <w:sz w:val="18"/>
          <w:szCs w:val="18"/>
        </w:rPr>
        <w:t>. Sci.</w:t>
      </w:r>
      <w:r w:rsidRPr="00E44664">
        <w:rPr>
          <w:sz w:val="18"/>
          <w:szCs w:val="18"/>
        </w:rPr>
        <w:t xml:space="preserve"> </w:t>
      </w:r>
      <w:r w:rsidRPr="00E44664">
        <w:rPr>
          <w:b/>
          <w:bCs/>
          <w:sz w:val="18"/>
          <w:szCs w:val="18"/>
        </w:rPr>
        <w:t>2</w:t>
      </w:r>
      <w:r w:rsidRPr="00E44664">
        <w:rPr>
          <w:sz w:val="18"/>
          <w:szCs w:val="18"/>
        </w:rPr>
        <w:t xml:space="preserve">, 38–47 (2023). </w:t>
      </w:r>
      <w:hyperlink r:id="rId47" w:tgtFrame="_new" w:history="1">
        <w:r w:rsidRPr="00E44664">
          <w:rPr>
            <w:rStyle w:val="Hyperlink"/>
            <w:color w:val="auto"/>
            <w:sz w:val="18"/>
            <w:szCs w:val="18"/>
            <w:u w:val="none"/>
          </w:rPr>
          <w:t>https://doi.org/10.33533/jrpps.v2i1.7027</w:t>
        </w:r>
      </w:hyperlink>
    </w:p>
    <w:p w14:paraId="0B2F5585" w14:textId="77777777" w:rsidR="00CB4DA6" w:rsidRPr="00E44664" w:rsidRDefault="006A4577" w:rsidP="00E44664">
      <w:pPr>
        <w:pStyle w:val="Reference"/>
        <w:numPr>
          <w:ilvl w:val="0"/>
          <w:numId w:val="7"/>
        </w:numPr>
        <w:tabs>
          <w:tab w:val="clear" w:pos="720"/>
          <w:tab w:val="num" w:pos="426"/>
        </w:tabs>
        <w:ind w:left="450" w:hanging="426"/>
        <w:jc w:val="left"/>
        <w:rPr>
          <w:sz w:val="18"/>
          <w:szCs w:val="18"/>
        </w:rPr>
      </w:pPr>
      <w:r w:rsidRPr="00E44664">
        <w:rPr>
          <w:sz w:val="18"/>
          <w:szCs w:val="18"/>
        </w:rPr>
        <w:t>A. Salam, Y. Al-Amin, J. S. Pawar, N. Akhter and I. B. Lucy, Saud</w:t>
      </w:r>
      <w:r w:rsidR="007819D5" w:rsidRPr="00E44664">
        <w:rPr>
          <w:sz w:val="18"/>
          <w:szCs w:val="18"/>
        </w:rPr>
        <w:t>i J. Biol. Sci.</w:t>
      </w:r>
      <w:r w:rsidRPr="00E44664">
        <w:rPr>
          <w:sz w:val="18"/>
          <w:szCs w:val="18"/>
        </w:rPr>
        <w:t xml:space="preserve"> </w:t>
      </w:r>
      <w:r w:rsidRPr="00E44664">
        <w:rPr>
          <w:b/>
          <w:bCs/>
          <w:sz w:val="18"/>
          <w:szCs w:val="18"/>
        </w:rPr>
        <w:t>30</w:t>
      </w:r>
      <w:r w:rsidRPr="00E44664">
        <w:rPr>
          <w:sz w:val="18"/>
          <w:szCs w:val="18"/>
        </w:rPr>
        <w:t xml:space="preserve">, 1–15 (2023). </w:t>
      </w:r>
      <w:hyperlink r:id="rId48" w:tgtFrame="_new" w:history="1">
        <w:r w:rsidRPr="00E44664">
          <w:rPr>
            <w:rStyle w:val="Hyperlink"/>
            <w:color w:val="auto"/>
            <w:sz w:val="18"/>
            <w:szCs w:val="18"/>
            <w:u w:val="none"/>
          </w:rPr>
          <w:t>https://doi.org/10.1016/j.sjbs.2023.103582</w:t>
        </w:r>
      </w:hyperlink>
    </w:p>
    <w:p w14:paraId="7DBFC1F6" w14:textId="77777777" w:rsidR="00CB4DA6" w:rsidRPr="00E44664" w:rsidRDefault="006A4577" w:rsidP="00E44664">
      <w:pPr>
        <w:pStyle w:val="Reference"/>
        <w:numPr>
          <w:ilvl w:val="0"/>
          <w:numId w:val="7"/>
        </w:numPr>
        <w:tabs>
          <w:tab w:val="clear" w:pos="720"/>
          <w:tab w:val="num" w:pos="426"/>
        </w:tabs>
        <w:ind w:left="450" w:hanging="426"/>
        <w:jc w:val="left"/>
        <w:rPr>
          <w:sz w:val="18"/>
          <w:szCs w:val="18"/>
        </w:rPr>
      </w:pPr>
      <w:r w:rsidRPr="00E44664">
        <w:rPr>
          <w:sz w:val="18"/>
          <w:szCs w:val="18"/>
        </w:rPr>
        <w:t xml:space="preserve">S. A. Abdul Hamid and R. M. Khoshaba, Iraqi </w:t>
      </w:r>
      <w:r w:rsidR="007819D5" w:rsidRPr="00E44664">
        <w:rPr>
          <w:sz w:val="18"/>
          <w:szCs w:val="18"/>
        </w:rPr>
        <w:t>J.</w:t>
      </w:r>
      <w:r w:rsidRPr="00E44664">
        <w:rPr>
          <w:sz w:val="18"/>
          <w:szCs w:val="18"/>
        </w:rPr>
        <w:t xml:space="preserve"> </w:t>
      </w:r>
      <w:r w:rsidR="007819D5" w:rsidRPr="00E44664">
        <w:rPr>
          <w:sz w:val="18"/>
          <w:szCs w:val="18"/>
        </w:rPr>
        <w:t>Sci.</w:t>
      </w:r>
      <w:r w:rsidRPr="00E44664">
        <w:rPr>
          <w:sz w:val="18"/>
          <w:szCs w:val="18"/>
        </w:rPr>
        <w:t xml:space="preserve"> </w:t>
      </w:r>
      <w:r w:rsidRPr="00E44664">
        <w:rPr>
          <w:b/>
          <w:bCs/>
          <w:sz w:val="18"/>
          <w:szCs w:val="18"/>
        </w:rPr>
        <w:t>65</w:t>
      </w:r>
      <w:r w:rsidRPr="00E44664">
        <w:rPr>
          <w:sz w:val="18"/>
          <w:szCs w:val="18"/>
        </w:rPr>
        <w:t xml:space="preserve">, 5546–5554 (2024). </w:t>
      </w:r>
      <w:hyperlink r:id="rId49" w:tgtFrame="_new" w:history="1">
        <w:r w:rsidRPr="00E44664">
          <w:rPr>
            <w:rStyle w:val="Hyperlink"/>
            <w:color w:val="auto"/>
            <w:sz w:val="18"/>
            <w:szCs w:val="18"/>
            <w:u w:val="none"/>
          </w:rPr>
          <w:t>https://doi.org/10.24996/ijs.2024.65.10.19</w:t>
        </w:r>
      </w:hyperlink>
    </w:p>
    <w:p w14:paraId="02D77DB1" w14:textId="77777777" w:rsidR="00CB4DA6" w:rsidRPr="00E44664" w:rsidRDefault="006A4577" w:rsidP="00E44664">
      <w:pPr>
        <w:pStyle w:val="Reference"/>
        <w:numPr>
          <w:ilvl w:val="0"/>
          <w:numId w:val="7"/>
        </w:numPr>
        <w:tabs>
          <w:tab w:val="clear" w:pos="720"/>
          <w:tab w:val="num" w:pos="426"/>
        </w:tabs>
        <w:ind w:left="450" w:hanging="426"/>
        <w:jc w:val="left"/>
        <w:rPr>
          <w:sz w:val="18"/>
          <w:szCs w:val="18"/>
        </w:rPr>
      </w:pPr>
      <w:r w:rsidRPr="00E44664">
        <w:rPr>
          <w:sz w:val="18"/>
          <w:szCs w:val="18"/>
        </w:rPr>
        <w:t>M. A. Raoof</w:t>
      </w:r>
      <w:r w:rsidR="00F10F37" w:rsidRPr="00E44664">
        <w:rPr>
          <w:sz w:val="18"/>
          <w:szCs w:val="18"/>
        </w:rPr>
        <w:t xml:space="preserve"> and M. A. Fayidh, Int.</w:t>
      </w:r>
      <w:r w:rsidRPr="00E44664">
        <w:rPr>
          <w:sz w:val="18"/>
          <w:szCs w:val="18"/>
        </w:rPr>
        <w:t xml:space="preserve"> </w:t>
      </w:r>
      <w:r w:rsidR="00F10F37" w:rsidRPr="00E44664">
        <w:rPr>
          <w:sz w:val="18"/>
          <w:szCs w:val="18"/>
        </w:rPr>
        <w:t>J. Drug Deliv. Technol.</w:t>
      </w:r>
      <w:r w:rsidRPr="00E44664">
        <w:rPr>
          <w:sz w:val="18"/>
          <w:szCs w:val="18"/>
        </w:rPr>
        <w:t xml:space="preserve"> </w:t>
      </w:r>
      <w:r w:rsidRPr="00E44664">
        <w:rPr>
          <w:b/>
          <w:bCs/>
          <w:sz w:val="18"/>
          <w:szCs w:val="18"/>
        </w:rPr>
        <w:t>12</w:t>
      </w:r>
      <w:r w:rsidRPr="00E44664">
        <w:rPr>
          <w:sz w:val="18"/>
          <w:szCs w:val="18"/>
        </w:rPr>
        <w:t>, 695–700 (2022).</w:t>
      </w:r>
    </w:p>
    <w:p w14:paraId="1EEA236C" w14:textId="77777777" w:rsidR="00CB4DA6" w:rsidRPr="00E44664" w:rsidRDefault="006A4577" w:rsidP="00E44664">
      <w:pPr>
        <w:pStyle w:val="Reference"/>
        <w:numPr>
          <w:ilvl w:val="0"/>
          <w:numId w:val="7"/>
        </w:numPr>
        <w:tabs>
          <w:tab w:val="clear" w:pos="720"/>
          <w:tab w:val="num" w:pos="426"/>
        </w:tabs>
        <w:ind w:left="450" w:hanging="426"/>
        <w:jc w:val="left"/>
        <w:rPr>
          <w:sz w:val="18"/>
          <w:szCs w:val="18"/>
        </w:rPr>
      </w:pPr>
      <w:r w:rsidRPr="00E44664">
        <w:rPr>
          <w:sz w:val="18"/>
          <w:szCs w:val="18"/>
        </w:rPr>
        <w:t xml:space="preserve">Z. M. Romi and M. E. Ahmed, Iraqi </w:t>
      </w:r>
      <w:r w:rsidR="007819D5" w:rsidRPr="00E44664">
        <w:rPr>
          <w:sz w:val="18"/>
          <w:szCs w:val="18"/>
        </w:rPr>
        <w:t>J.</w:t>
      </w:r>
      <w:r w:rsidRPr="00E44664">
        <w:rPr>
          <w:sz w:val="18"/>
          <w:szCs w:val="18"/>
        </w:rPr>
        <w:t xml:space="preserve"> </w:t>
      </w:r>
      <w:r w:rsidR="007819D5" w:rsidRPr="00E44664">
        <w:rPr>
          <w:sz w:val="18"/>
          <w:szCs w:val="18"/>
        </w:rPr>
        <w:t>Sci.</w:t>
      </w:r>
      <w:r w:rsidRPr="00E44664">
        <w:rPr>
          <w:sz w:val="18"/>
          <w:szCs w:val="18"/>
        </w:rPr>
        <w:t xml:space="preserve"> </w:t>
      </w:r>
      <w:r w:rsidRPr="00E44664">
        <w:rPr>
          <w:b/>
          <w:bCs/>
          <w:sz w:val="18"/>
          <w:szCs w:val="18"/>
        </w:rPr>
        <w:t>65</w:t>
      </w:r>
      <w:r w:rsidRPr="00E44664">
        <w:rPr>
          <w:sz w:val="18"/>
          <w:szCs w:val="18"/>
        </w:rPr>
        <w:t xml:space="preserve">, 1948–1968 (2024). </w:t>
      </w:r>
      <w:hyperlink r:id="rId50" w:tgtFrame="_new" w:history="1">
        <w:r w:rsidRPr="00E44664">
          <w:rPr>
            <w:rStyle w:val="Hyperlink"/>
            <w:color w:val="auto"/>
            <w:sz w:val="18"/>
            <w:szCs w:val="18"/>
            <w:u w:val="none"/>
          </w:rPr>
          <w:t>https://doi.org/10.24996/ijs.2024.65.4.15</w:t>
        </w:r>
      </w:hyperlink>
    </w:p>
    <w:p w14:paraId="4D8507E8" w14:textId="77777777" w:rsidR="00CB4DA6" w:rsidRPr="00E44664" w:rsidRDefault="006A4577" w:rsidP="00E44664">
      <w:pPr>
        <w:pStyle w:val="Reference"/>
        <w:numPr>
          <w:ilvl w:val="0"/>
          <w:numId w:val="7"/>
        </w:numPr>
        <w:tabs>
          <w:tab w:val="clear" w:pos="720"/>
          <w:tab w:val="num" w:pos="426"/>
        </w:tabs>
        <w:ind w:left="450" w:hanging="426"/>
        <w:jc w:val="left"/>
        <w:rPr>
          <w:rStyle w:val="Hyperlink"/>
          <w:color w:val="auto"/>
          <w:sz w:val="18"/>
          <w:szCs w:val="18"/>
          <w:u w:val="none"/>
        </w:rPr>
      </w:pPr>
      <w:r w:rsidRPr="00E44664">
        <w:rPr>
          <w:sz w:val="18"/>
          <w:szCs w:val="18"/>
        </w:rPr>
        <w:t>M. H. Al-Azzawi and E. J. Al-</w:t>
      </w:r>
      <w:proofErr w:type="spellStart"/>
      <w:r w:rsidRPr="00E44664">
        <w:rPr>
          <w:sz w:val="18"/>
          <w:szCs w:val="18"/>
        </w:rPr>
        <w:t>Kalifawi</w:t>
      </w:r>
      <w:proofErr w:type="spellEnd"/>
      <w:r w:rsidRPr="00E44664">
        <w:rPr>
          <w:sz w:val="18"/>
          <w:szCs w:val="18"/>
        </w:rPr>
        <w:t xml:space="preserve">, Egyptian </w:t>
      </w:r>
      <w:r w:rsidR="007819D5" w:rsidRPr="00E44664">
        <w:rPr>
          <w:sz w:val="18"/>
          <w:szCs w:val="18"/>
        </w:rPr>
        <w:t>J.</w:t>
      </w:r>
      <w:r w:rsidRPr="00E44664">
        <w:rPr>
          <w:sz w:val="18"/>
          <w:szCs w:val="18"/>
        </w:rPr>
        <w:t xml:space="preserve"> </w:t>
      </w:r>
      <w:r w:rsidR="007819D5" w:rsidRPr="00E44664">
        <w:rPr>
          <w:sz w:val="18"/>
          <w:szCs w:val="18"/>
        </w:rPr>
        <w:t>Hosp. Med.</w:t>
      </w:r>
      <w:r w:rsidRPr="00E44664">
        <w:rPr>
          <w:sz w:val="18"/>
          <w:szCs w:val="18"/>
        </w:rPr>
        <w:t xml:space="preserve"> </w:t>
      </w:r>
      <w:r w:rsidRPr="00E44664">
        <w:rPr>
          <w:b/>
          <w:bCs/>
          <w:sz w:val="18"/>
          <w:szCs w:val="18"/>
        </w:rPr>
        <w:t>90</w:t>
      </w:r>
      <w:r w:rsidRPr="00E44664">
        <w:rPr>
          <w:sz w:val="18"/>
          <w:szCs w:val="18"/>
        </w:rPr>
        <w:t xml:space="preserve">, 2275–2282 (2023). </w:t>
      </w:r>
      <w:hyperlink r:id="rId51" w:tgtFrame="_new" w:history="1">
        <w:r w:rsidRPr="00E44664">
          <w:rPr>
            <w:rStyle w:val="Hyperlink"/>
            <w:color w:val="auto"/>
            <w:sz w:val="18"/>
            <w:szCs w:val="18"/>
            <w:u w:val="none"/>
          </w:rPr>
          <w:t>https://ejhm.journals.ekb.eg/</w:t>
        </w:r>
      </w:hyperlink>
      <w:r w:rsidR="00F10F37" w:rsidRPr="00E44664">
        <w:rPr>
          <w:rStyle w:val="Hyperlink"/>
          <w:color w:val="auto"/>
          <w:sz w:val="18"/>
          <w:szCs w:val="18"/>
          <w:u w:val="none"/>
        </w:rPr>
        <w:t>.</w:t>
      </w:r>
    </w:p>
    <w:p w14:paraId="1DEF676B" w14:textId="77777777" w:rsidR="00CB4DA6" w:rsidRPr="00E44664" w:rsidRDefault="002C53F6" w:rsidP="00E44664">
      <w:pPr>
        <w:pStyle w:val="Reference"/>
        <w:numPr>
          <w:ilvl w:val="0"/>
          <w:numId w:val="7"/>
        </w:numPr>
        <w:tabs>
          <w:tab w:val="clear" w:pos="720"/>
          <w:tab w:val="num" w:pos="426"/>
        </w:tabs>
        <w:ind w:left="450" w:hanging="426"/>
        <w:jc w:val="left"/>
        <w:rPr>
          <w:sz w:val="18"/>
          <w:szCs w:val="18"/>
        </w:rPr>
      </w:pPr>
      <w:r w:rsidRPr="00E44664">
        <w:rPr>
          <w:sz w:val="18"/>
          <w:szCs w:val="18"/>
        </w:rPr>
        <w:t xml:space="preserve">S. </w:t>
      </w:r>
      <w:proofErr w:type="spellStart"/>
      <w:r w:rsidRPr="00E44664">
        <w:rPr>
          <w:sz w:val="18"/>
          <w:szCs w:val="18"/>
        </w:rPr>
        <w:t>Boussahel</w:t>
      </w:r>
      <w:proofErr w:type="spellEnd"/>
      <w:r w:rsidRPr="00E44664">
        <w:rPr>
          <w:sz w:val="18"/>
          <w:szCs w:val="18"/>
        </w:rPr>
        <w:t xml:space="preserve">, A. </w:t>
      </w:r>
      <w:proofErr w:type="spellStart"/>
      <w:r w:rsidRPr="00E44664">
        <w:rPr>
          <w:sz w:val="18"/>
          <w:szCs w:val="18"/>
        </w:rPr>
        <w:t>Djeridane</w:t>
      </w:r>
      <w:proofErr w:type="spellEnd"/>
      <w:r w:rsidRPr="00E44664">
        <w:rPr>
          <w:sz w:val="18"/>
          <w:szCs w:val="18"/>
        </w:rPr>
        <w:t xml:space="preserve"> and D. </w:t>
      </w:r>
      <w:proofErr w:type="spellStart"/>
      <w:r w:rsidRPr="00E44664">
        <w:rPr>
          <w:sz w:val="18"/>
          <w:szCs w:val="18"/>
        </w:rPr>
        <w:t>Ait</w:t>
      </w:r>
      <w:proofErr w:type="spellEnd"/>
      <w:r w:rsidRPr="00E44664">
        <w:rPr>
          <w:sz w:val="18"/>
          <w:szCs w:val="18"/>
        </w:rPr>
        <w:t xml:space="preserve">-Yahia, J. Appl. Bot. Food Qual. 95, 1–8 (2022). </w:t>
      </w:r>
      <w:hyperlink r:id="rId52" w:history="1">
        <w:r w:rsidRPr="00E44664">
          <w:rPr>
            <w:rStyle w:val="Hyperlink"/>
            <w:color w:val="auto"/>
            <w:sz w:val="18"/>
            <w:szCs w:val="18"/>
            <w:u w:val="none"/>
          </w:rPr>
          <w:t>https://doi.org/10.5073/JABFQ.2022.095.001</w:t>
        </w:r>
      </w:hyperlink>
      <w:r w:rsidRPr="00E44664">
        <w:rPr>
          <w:sz w:val="18"/>
          <w:szCs w:val="18"/>
        </w:rPr>
        <w:t>.</w:t>
      </w:r>
    </w:p>
    <w:p w14:paraId="15170823" w14:textId="045F2C99" w:rsidR="002C53F6" w:rsidRPr="00E44664" w:rsidRDefault="002C53F6" w:rsidP="00E44664">
      <w:pPr>
        <w:pStyle w:val="Reference"/>
        <w:numPr>
          <w:ilvl w:val="0"/>
          <w:numId w:val="7"/>
        </w:numPr>
        <w:tabs>
          <w:tab w:val="clear" w:pos="720"/>
          <w:tab w:val="num" w:pos="426"/>
        </w:tabs>
        <w:ind w:left="450" w:hanging="426"/>
        <w:jc w:val="left"/>
        <w:rPr>
          <w:sz w:val="18"/>
          <w:szCs w:val="18"/>
        </w:rPr>
      </w:pPr>
      <w:r w:rsidRPr="00E44664">
        <w:rPr>
          <w:sz w:val="18"/>
          <w:szCs w:val="18"/>
        </w:rPr>
        <w:t xml:space="preserve">T. Rahman, M. R. Hasan and M. M. Hossain, Oxid. Med. Cell. </w:t>
      </w:r>
      <w:proofErr w:type="spellStart"/>
      <w:r w:rsidRPr="00E44664">
        <w:rPr>
          <w:sz w:val="18"/>
          <w:szCs w:val="18"/>
        </w:rPr>
        <w:t>Longev</w:t>
      </w:r>
      <w:proofErr w:type="spellEnd"/>
      <w:r w:rsidRPr="00E44664">
        <w:rPr>
          <w:i/>
          <w:iCs/>
          <w:sz w:val="18"/>
          <w:szCs w:val="18"/>
        </w:rPr>
        <w:t>.</w:t>
      </w:r>
      <w:r w:rsidRPr="00E44664">
        <w:rPr>
          <w:sz w:val="18"/>
          <w:szCs w:val="18"/>
        </w:rPr>
        <w:t xml:space="preserve"> </w:t>
      </w:r>
      <w:r w:rsidRPr="00E44664">
        <w:rPr>
          <w:b/>
          <w:bCs/>
          <w:sz w:val="18"/>
          <w:szCs w:val="18"/>
        </w:rPr>
        <w:t>2024</w:t>
      </w:r>
      <w:r w:rsidRPr="00E44664">
        <w:rPr>
          <w:sz w:val="18"/>
          <w:szCs w:val="18"/>
        </w:rPr>
        <w:t xml:space="preserve">, 8823094 (2024). </w:t>
      </w:r>
      <w:hyperlink r:id="rId53" w:tgtFrame="_new" w:history="1">
        <w:r w:rsidRPr="00E44664">
          <w:rPr>
            <w:rStyle w:val="Hyperlink"/>
            <w:color w:val="auto"/>
            <w:sz w:val="18"/>
            <w:szCs w:val="18"/>
            <w:u w:val="none"/>
          </w:rPr>
          <w:t>https://doi.org/10.1155/2024/8823094</w:t>
        </w:r>
      </w:hyperlink>
      <w:r w:rsidRPr="00E44664">
        <w:rPr>
          <w:sz w:val="18"/>
          <w:szCs w:val="18"/>
        </w:rPr>
        <w:t>.</w:t>
      </w:r>
    </w:p>
    <w:p w14:paraId="024EAAF9" w14:textId="1318DBC1" w:rsidR="006A4577" w:rsidRPr="00E44664" w:rsidRDefault="006A4577" w:rsidP="00E44664">
      <w:pPr>
        <w:pStyle w:val="Reference"/>
        <w:numPr>
          <w:ilvl w:val="0"/>
          <w:numId w:val="8"/>
        </w:numPr>
        <w:tabs>
          <w:tab w:val="clear" w:pos="720"/>
          <w:tab w:val="num" w:pos="426"/>
        </w:tabs>
        <w:ind w:left="450" w:hanging="426"/>
        <w:jc w:val="left"/>
        <w:rPr>
          <w:sz w:val="18"/>
          <w:szCs w:val="18"/>
        </w:rPr>
      </w:pPr>
      <w:r w:rsidRPr="00E44664">
        <w:rPr>
          <w:sz w:val="18"/>
          <w:szCs w:val="18"/>
        </w:rPr>
        <w:t>I. H. Al-</w:t>
      </w:r>
      <w:proofErr w:type="spellStart"/>
      <w:r w:rsidRPr="00E44664">
        <w:rPr>
          <w:sz w:val="18"/>
          <w:szCs w:val="18"/>
        </w:rPr>
        <w:t>Abdeli</w:t>
      </w:r>
      <w:proofErr w:type="spellEnd"/>
      <w:r w:rsidRPr="00E44664">
        <w:rPr>
          <w:sz w:val="18"/>
          <w:szCs w:val="18"/>
        </w:rPr>
        <w:t xml:space="preserve"> and E. J. </w:t>
      </w:r>
      <w:proofErr w:type="spellStart"/>
      <w:r w:rsidRPr="00E44664">
        <w:rPr>
          <w:sz w:val="18"/>
          <w:szCs w:val="18"/>
        </w:rPr>
        <w:t>Alkalifawi</w:t>
      </w:r>
      <w:proofErr w:type="spellEnd"/>
      <w:r w:rsidRPr="00E44664">
        <w:rPr>
          <w:sz w:val="18"/>
          <w:szCs w:val="18"/>
        </w:rPr>
        <w:t xml:space="preserve">, Ibn AL-Haitham </w:t>
      </w:r>
      <w:r w:rsidR="007819D5" w:rsidRPr="00E44664">
        <w:rPr>
          <w:sz w:val="18"/>
          <w:szCs w:val="18"/>
        </w:rPr>
        <w:t>J.</w:t>
      </w:r>
      <w:r w:rsidRPr="00E44664">
        <w:rPr>
          <w:sz w:val="18"/>
          <w:szCs w:val="18"/>
        </w:rPr>
        <w:t xml:space="preserve"> Pure </w:t>
      </w:r>
      <w:r w:rsidR="007819D5" w:rsidRPr="00E44664">
        <w:rPr>
          <w:sz w:val="18"/>
          <w:szCs w:val="18"/>
        </w:rPr>
        <w:t>Appl. Sci.</w:t>
      </w:r>
      <w:r w:rsidRPr="00E44664">
        <w:rPr>
          <w:sz w:val="18"/>
          <w:szCs w:val="18"/>
        </w:rPr>
        <w:t xml:space="preserve"> </w:t>
      </w:r>
      <w:r w:rsidRPr="00E44664">
        <w:rPr>
          <w:b/>
          <w:bCs/>
          <w:sz w:val="18"/>
          <w:szCs w:val="18"/>
        </w:rPr>
        <w:t>36</w:t>
      </w:r>
      <w:r w:rsidRPr="00E44664">
        <w:rPr>
          <w:sz w:val="18"/>
          <w:szCs w:val="18"/>
        </w:rPr>
        <w:t xml:space="preserve">, 110–126 (2023). </w:t>
      </w:r>
      <w:hyperlink r:id="rId54" w:tgtFrame="_new" w:history="1">
        <w:r w:rsidRPr="00E44664">
          <w:rPr>
            <w:rStyle w:val="Hyperlink"/>
            <w:color w:val="auto"/>
            <w:sz w:val="18"/>
            <w:szCs w:val="18"/>
            <w:u w:val="none"/>
          </w:rPr>
          <w:t>https://doi.org/10.30526/36.4.3141</w:t>
        </w:r>
      </w:hyperlink>
    </w:p>
    <w:p w14:paraId="1F01C5EF" w14:textId="6C54A937" w:rsidR="006A4577" w:rsidRPr="00E44664" w:rsidRDefault="006A4577" w:rsidP="00E44664">
      <w:pPr>
        <w:pStyle w:val="Reference"/>
        <w:numPr>
          <w:ilvl w:val="0"/>
          <w:numId w:val="8"/>
        </w:numPr>
        <w:tabs>
          <w:tab w:val="clear" w:pos="720"/>
          <w:tab w:val="num" w:pos="426"/>
        </w:tabs>
        <w:ind w:left="450" w:hanging="426"/>
        <w:jc w:val="left"/>
        <w:rPr>
          <w:sz w:val="18"/>
          <w:szCs w:val="18"/>
        </w:rPr>
      </w:pPr>
      <w:r w:rsidRPr="00E44664">
        <w:rPr>
          <w:sz w:val="18"/>
          <w:szCs w:val="18"/>
        </w:rPr>
        <w:t>K. H. AL-</w:t>
      </w:r>
      <w:proofErr w:type="spellStart"/>
      <w:r w:rsidRPr="00E44664">
        <w:rPr>
          <w:sz w:val="18"/>
          <w:szCs w:val="18"/>
        </w:rPr>
        <w:t>Ramlawee</w:t>
      </w:r>
      <w:proofErr w:type="spellEnd"/>
      <w:r w:rsidRPr="00E44664">
        <w:rPr>
          <w:sz w:val="18"/>
          <w:szCs w:val="18"/>
        </w:rPr>
        <w:t xml:space="preserve"> and E. J. Al-</w:t>
      </w:r>
      <w:proofErr w:type="spellStart"/>
      <w:r w:rsidRPr="00E44664">
        <w:rPr>
          <w:sz w:val="18"/>
          <w:szCs w:val="18"/>
        </w:rPr>
        <w:t>Kha</w:t>
      </w:r>
      <w:r w:rsidR="007819D5" w:rsidRPr="00E44664">
        <w:rPr>
          <w:sz w:val="18"/>
          <w:szCs w:val="18"/>
        </w:rPr>
        <w:t>lifawi</w:t>
      </w:r>
      <w:proofErr w:type="spellEnd"/>
      <w:r w:rsidR="007819D5" w:rsidRPr="00E44664">
        <w:rPr>
          <w:sz w:val="18"/>
          <w:szCs w:val="18"/>
        </w:rPr>
        <w:t>, Iraqi J. Sci.</w:t>
      </w:r>
      <w:r w:rsidRPr="00E44664">
        <w:rPr>
          <w:sz w:val="18"/>
          <w:szCs w:val="18"/>
        </w:rPr>
        <w:t xml:space="preserve"> </w:t>
      </w:r>
      <w:r w:rsidRPr="00E44664">
        <w:rPr>
          <w:b/>
          <w:bCs/>
          <w:sz w:val="18"/>
          <w:szCs w:val="18"/>
        </w:rPr>
        <w:t>66</w:t>
      </w:r>
      <w:r w:rsidRPr="00E44664">
        <w:rPr>
          <w:sz w:val="18"/>
          <w:szCs w:val="18"/>
        </w:rPr>
        <w:t xml:space="preserve">, 2290–2310 (2025). </w:t>
      </w:r>
      <w:hyperlink r:id="rId55" w:tgtFrame="_new" w:history="1">
        <w:r w:rsidRPr="00E44664">
          <w:rPr>
            <w:rStyle w:val="Hyperlink"/>
            <w:color w:val="auto"/>
            <w:sz w:val="18"/>
            <w:szCs w:val="18"/>
            <w:u w:val="none"/>
          </w:rPr>
          <w:t>https://doi.org/10.24996/ijs.2025.66.6.9</w:t>
        </w:r>
      </w:hyperlink>
    </w:p>
    <w:p w14:paraId="4DE91CCB" w14:textId="7C4C184F" w:rsidR="00326AE0" w:rsidRPr="00E44664" w:rsidRDefault="006A4577" w:rsidP="00E44664">
      <w:pPr>
        <w:pStyle w:val="Reference"/>
        <w:numPr>
          <w:ilvl w:val="0"/>
          <w:numId w:val="8"/>
        </w:numPr>
        <w:tabs>
          <w:tab w:val="clear" w:pos="720"/>
          <w:tab w:val="num" w:pos="426"/>
        </w:tabs>
        <w:ind w:left="450" w:hanging="426"/>
        <w:jc w:val="left"/>
        <w:rPr>
          <w:sz w:val="18"/>
          <w:szCs w:val="18"/>
        </w:rPr>
      </w:pPr>
      <w:r w:rsidRPr="00E44664">
        <w:rPr>
          <w:sz w:val="18"/>
          <w:szCs w:val="18"/>
        </w:rPr>
        <w:t xml:space="preserve">A. </w:t>
      </w:r>
      <w:proofErr w:type="spellStart"/>
      <w:r w:rsidRPr="00E44664">
        <w:rPr>
          <w:sz w:val="18"/>
          <w:szCs w:val="18"/>
        </w:rPr>
        <w:t>Mesdaghiniaa</w:t>
      </w:r>
      <w:proofErr w:type="spellEnd"/>
      <w:r w:rsidRPr="00E44664">
        <w:rPr>
          <w:sz w:val="18"/>
          <w:szCs w:val="18"/>
        </w:rPr>
        <w:t xml:space="preserve">, Z. </w:t>
      </w:r>
      <w:proofErr w:type="spellStart"/>
      <w:r w:rsidRPr="00E44664">
        <w:rPr>
          <w:sz w:val="18"/>
          <w:szCs w:val="18"/>
        </w:rPr>
        <w:t>Pourpakc</w:t>
      </w:r>
      <w:proofErr w:type="spellEnd"/>
      <w:r w:rsidRPr="00E44664">
        <w:rPr>
          <w:sz w:val="18"/>
          <w:szCs w:val="18"/>
        </w:rPr>
        <w:t xml:space="preserve">, K. Naddafi, R. N. </w:t>
      </w:r>
      <w:proofErr w:type="spellStart"/>
      <w:r w:rsidRPr="00E44664">
        <w:rPr>
          <w:sz w:val="18"/>
          <w:szCs w:val="18"/>
        </w:rPr>
        <w:t>Nodehia</w:t>
      </w:r>
      <w:proofErr w:type="spellEnd"/>
      <w:r w:rsidRPr="00E44664">
        <w:rPr>
          <w:sz w:val="18"/>
          <w:szCs w:val="18"/>
        </w:rPr>
        <w:t xml:space="preserve">, Z. </w:t>
      </w:r>
      <w:proofErr w:type="spellStart"/>
      <w:r w:rsidRPr="00E44664">
        <w:rPr>
          <w:sz w:val="18"/>
          <w:szCs w:val="18"/>
        </w:rPr>
        <w:t>Alizadehc</w:t>
      </w:r>
      <w:proofErr w:type="spellEnd"/>
      <w:r w:rsidRPr="00E44664">
        <w:rPr>
          <w:sz w:val="18"/>
          <w:szCs w:val="18"/>
        </w:rPr>
        <w:t xml:space="preserve">, S. Rezaeid, A. </w:t>
      </w:r>
      <w:proofErr w:type="spellStart"/>
      <w:r w:rsidRPr="00E44664">
        <w:rPr>
          <w:sz w:val="18"/>
          <w:szCs w:val="18"/>
        </w:rPr>
        <w:t>Mohammadie</w:t>
      </w:r>
      <w:proofErr w:type="spellEnd"/>
      <w:r w:rsidRPr="00E44664">
        <w:rPr>
          <w:sz w:val="18"/>
          <w:szCs w:val="18"/>
        </w:rPr>
        <w:t xml:space="preserve"> and M. Faraji, </w:t>
      </w:r>
      <w:proofErr w:type="spellStart"/>
      <w:r w:rsidRPr="00E44664">
        <w:rPr>
          <w:sz w:val="18"/>
          <w:szCs w:val="18"/>
        </w:rPr>
        <w:t>MethodsX</w:t>
      </w:r>
      <w:proofErr w:type="spellEnd"/>
      <w:r w:rsidRPr="00E44664">
        <w:rPr>
          <w:sz w:val="18"/>
          <w:szCs w:val="18"/>
        </w:rPr>
        <w:t xml:space="preserve"> </w:t>
      </w:r>
      <w:r w:rsidRPr="00E44664">
        <w:rPr>
          <w:b/>
          <w:bCs/>
          <w:sz w:val="18"/>
          <w:szCs w:val="18"/>
        </w:rPr>
        <w:t>6</w:t>
      </w:r>
      <w:r w:rsidRPr="00E44664">
        <w:rPr>
          <w:sz w:val="18"/>
          <w:szCs w:val="18"/>
        </w:rPr>
        <w:t xml:space="preserve">, 156–161 (2019). </w:t>
      </w:r>
      <w:hyperlink r:id="rId56" w:tgtFrame="_new" w:history="1">
        <w:r w:rsidRPr="00E44664">
          <w:rPr>
            <w:rStyle w:val="Hyperlink"/>
            <w:color w:val="auto"/>
            <w:sz w:val="18"/>
            <w:szCs w:val="18"/>
            <w:u w:val="none"/>
          </w:rPr>
          <w:t>https://doi.org/10.1016/j.mex.2019.01.001</w:t>
        </w:r>
      </w:hyperlink>
      <w:r w:rsidRPr="00E44664">
        <w:rPr>
          <w:sz w:val="18"/>
          <w:szCs w:val="18"/>
        </w:rPr>
        <w:t>.</w:t>
      </w:r>
    </w:p>
    <w:sectPr w:rsidR="00326AE0" w:rsidRPr="00E44664" w:rsidSect="00C74FD6">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E2C93"/>
    <w:multiLevelType w:val="multilevel"/>
    <w:tmpl w:val="8988BAE0"/>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2B192AF0"/>
    <w:multiLevelType w:val="multilevel"/>
    <w:tmpl w:val="EE222C72"/>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773B8A"/>
    <w:multiLevelType w:val="multilevel"/>
    <w:tmpl w:val="AD74C26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D94C9B"/>
    <w:multiLevelType w:val="multilevel"/>
    <w:tmpl w:val="552A8E1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8"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abstractNum w:abstractNumId="9" w15:restartNumberingAfterBreak="0">
    <w:nsid w:val="7D1E4491"/>
    <w:multiLevelType w:val="multilevel"/>
    <w:tmpl w:val="51B2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4552008">
    <w:abstractNumId w:val="4"/>
  </w:num>
  <w:num w:numId="2" w16cid:durableId="1010983191">
    <w:abstractNumId w:val="3"/>
  </w:num>
  <w:num w:numId="3" w16cid:durableId="346250891">
    <w:abstractNumId w:val="7"/>
  </w:num>
  <w:num w:numId="4" w16cid:durableId="1338386443">
    <w:abstractNumId w:val="9"/>
  </w:num>
  <w:num w:numId="5" w16cid:durableId="1336617110">
    <w:abstractNumId w:val="5"/>
  </w:num>
  <w:num w:numId="6" w16cid:durableId="157841613">
    <w:abstractNumId w:val="6"/>
  </w:num>
  <w:num w:numId="7" w16cid:durableId="1774783267">
    <w:abstractNumId w:val="2"/>
  </w:num>
  <w:num w:numId="8" w16cid:durableId="9760296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4140"/>
    <w:rsid w:val="00027428"/>
    <w:rsid w:val="00031EC9"/>
    <w:rsid w:val="00066FED"/>
    <w:rsid w:val="00073829"/>
    <w:rsid w:val="00075EA6"/>
    <w:rsid w:val="00076E4F"/>
    <w:rsid w:val="0007709F"/>
    <w:rsid w:val="0008016A"/>
    <w:rsid w:val="00086F62"/>
    <w:rsid w:val="00090674"/>
    <w:rsid w:val="0009320B"/>
    <w:rsid w:val="00096AE0"/>
    <w:rsid w:val="000B1B74"/>
    <w:rsid w:val="000B1BC4"/>
    <w:rsid w:val="000B3A2D"/>
    <w:rsid w:val="000B49C0"/>
    <w:rsid w:val="000B61CA"/>
    <w:rsid w:val="000D2410"/>
    <w:rsid w:val="000D7697"/>
    <w:rsid w:val="000E382F"/>
    <w:rsid w:val="000E6749"/>
    <w:rsid w:val="000E75CD"/>
    <w:rsid w:val="001036BA"/>
    <w:rsid w:val="001146DC"/>
    <w:rsid w:val="00114AB1"/>
    <w:rsid w:val="001226B4"/>
    <w:rsid w:val="001230FF"/>
    <w:rsid w:val="00130BD7"/>
    <w:rsid w:val="00140F2F"/>
    <w:rsid w:val="00155B67"/>
    <w:rsid w:val="001562AF"/>
    <w:rsid w:val="00161A5B"/>
    <w:rsid w:val="0016385D"/>
    <w:rsid w:val="0016782F"/>
    <w:rsid w:val="00181594"/>
    <w:rsid w:val="001937E9"/>
    <w:rsid w:val="001964E5"/>
    <w:rsid w:val="001B263B"/>
    <w:rsid w:val="001B476A"/>
    <w:rsid w:val="001C450B"/>
    <w:rsid w:val="001C764F"/>
    <w:rsid w:val="001C7BB3"/>
    <w:rsid w:val="001D469C"/>
    <w:rsid w:val="001D63FD"/>
    <w:rsid w:val="002151A8"/>
    <w:rsid w:val="0021619E"/>
    <w:rsid w:val="00225D8E"/>
    <w:rsid w:val="0023171B"/>
    <w:rsid w:val="00236BFC"/>
    <w:rsid w:val="00236F77"/>
    <w:rsid w:val="00237437"/>
    <w:rsid w:val="002436E9"/>
    <w:rsid w:val="002502FD"/>
    <w:rsid w:val="00250CF6"/>
    <w:rsid w:val="00257D2E"/>
    <w:rsid w:val="00274622"/>
    <w:rsid w:val="00285D24"/>
    <w:rsid w:val="00290390"/>
    <w:rsid w:val="002915D3"/>
    <w:rsid w:val="002924DB"/>
    <w:rsid w:val="002941DA"/>
    <w:rsid w:val="002A115E"/>
    <w:rsid w:val="002A19C8"/>
    <w:rsid w:val="002A61CF"/>
    <w:rsid w:val="002B5648"/>
    <w:rsid w:val="002C53F6"/>
    <w:rsid w:val="002D3E6B"/>
    <w:rsid w:val="002E3C35"/>
    <w:rsid w:val="002E42F4"/>
    <w:rsid w:val="002F3500"/>
    <w:rsid w:val="002F5298"/>
    <w:rsid w:val="003227B3"/>
    <w:rsid w:val="00326AE0"/>
    <w:rsid w:val="00337E4F"/>
    <w:rsid w:val="00340C36"/>
    <w:rsid w:val="00346534"/>
    <w:rsid w:val="00346A9D"/>
    <w:rsid w:val="003512B0"/>
    <w:rsid w:val="00354FBB"/>
    <w:rsid w:val="003731A0"/>
    <w:rsid w:val="0039376F"/>
    <w:rsid w:val="003A287B"/>
    <w:rsid w:val="003A2DF1"/>
    <w:rsid w:val="003A5C85"/>
    <w:rsid w:val="003A61B1"/>
    <w:rsid w:val="003B0050"/>
    <w:rsid w:val="003B4F04"/>
    <w:rsid w:val="003D6312"/>
    <w:rsid w:val="003E6FF9"/>
    <w:rsid w:val="003E7C74"/>
    <w:rsid w:val="003F31C6"/>
    <w:rsid w:val="0040225B"/>
    <w:rsid w:val="00402DA2"/>
    <w:rsid w:val="00425AC2"/>
    <w:rsid w:val="00431BAC"/>
    <w:rsid w:val="0044771F"/>
    <w:rsid w:val="00470839"/>
    <w:rsid w:val="00481FBC"/>
    <w:rsid w:val="004A5619"/>
    <w:rsid w:val="004B151D"/>
    <w:rsid w:val="004C31DE"/>
    <w:rsid w:val="004C5E65"/>
    <w:rsid w:val="004C7243"/>
    <w:rsid w:val="004D35C3"/>
    <w:rsid w:val="004E21DE"/>
    <w:rsid w:val="004E3C57"/>
    <w:rsid w:val="004E3CB2"/>
    <w:rsid w:val="004F1D55"/>
    <w:rsid w:val="004F244F"/>
    <w:rsid w:val="00525813"/>
    <w:rsid w:val="00530A3E"/>
    <w:rsid w:val="0053513F"/>
    <w:rsid w:val="00554D95"/>
    <w:rsid w:val="00562131"/>
    <w:rsid w:val="00574405"/>
    <w:rsid w:val="005745A1"/>
    <w:rsid w:val="005854B0"/>
    <w:rsid w:val="0058675E"/>
    <w:rsid w:val="00593612"/>
    <w:rsid w:val="00596271"/>
    <w:rsid w:val="005969BF"/>
    <w:rsid w:val="005A0E21"/>
    <w:rsid w:val="005B3A34"/>
    <w:rsid w:val="005B6262"/>
    <w:rsid w:val="005B67E0"/>
    <w:rsid w:val="005D0450"/>
    <w:rsid w:val="005D35D6"/>
    <w:rsid w:val="005D49AF"/>
    <w:rsid w:val="005E35CE"/>
    <w:rsid w:val="005E415C"/>
    <w:rsid w:val="005E71ED"/>
    <w:rsid w:val="005E7946"/>
    <w:rsid w:val="005F17FC"/>
    <w:rsid w:val="005F39F6"/>
    <w:rsid w:val="005F4F0C"/>
    <w:rsid w:val="005F7475"/>
    <w:rsid w:val="00611299"/>
    <w:rsid w:val="00613B4D"/>
    <w:rsid w:val="00616365"/>
    <w:rsid w:val="00616F3B"/>
    <w:rsid w:val="006249A7"/>
    <w:rsid w:val="0064225B"/>
    <w:rsid w:val="006763F9"/>
    <w:rsid w:val="0069075E"/>
    <w:rsid w:val="0069186E"/>
    <w:rsid w:val="006949BC"/>
    <w:rsid w:val="006A4577"/>
    <w:rsid w:val="006D1229"/>
    <w:rsid w:val="006D372F"/>
    <w:rsid w:val="006D7A18"/>
    <w:rsid w:val="006E4474"/>
    <w:rsid w:val="006E44DE"/>
    <w:rsid w:val="00701388"/>
    <w:rsid w:val="007013AB"/>
    <w:rsid w:val="00705E5A"/>
    <w:rsid w:val="00723B7F"/>
    <w:rsid w:val="00725861"/>
    <w:rsid w:val="0073393A"/>
    <w:rsid w:val="0073539D"/>
    <w:rsid w:val="00755EFE"/>
    <w:rsid w:val="00767B8A"/>
    <w:rsid w:val="00775481"/>
    <w:rsid w:val="007819D5"/>
    <w:rsid w:val="00790EEA"/>
    <w:rsid w:val="007A233B"/>
    <w:rsid w:val="007B4863"/>
    <w:rsid w:val="007C65E6"/>
    <w:rsid w:val="007D406B"/>
    <w:rsid w:val="007D4407"/>
    <w:rsid w:val="007E1CA3"/>
    <w:rsid w:val="007E63BD"/>
    <w:rsid w:val="007F0751"/>
    <w:rsid w:val="008003F5"/>
    <w:rsid w:val="00812D62"/>
    <w:rsid w:val="00812F29"/>
    <w:rsid w:val="00821713"/>
    <w:rsid w:val="00827050"/>
    <w:rsid w:val="008277C4"/>
    <w:rsid w:val="0083278B"/>
    <w:rsid w:val="00834538"/>
    <w:rsid w:val="00850E89"/>
    <w:rsid w:val="008670BD"/>
    <w:rsid w:val="008930E4"/>
    <w:rsid w:val="00893821"/>
    <w:rsid w:val="008A7B9C"/>
    <w:rsid w:val="008B39FA"/>
    <w:rsid w:val="008B4754"/>
    <w:rsid w:val="008C45A0"/>
    <w:rsid w:val="008E6A7A"/>
    <w:rsid w:val="008F1038"/>
    <w:rsid w:val="008F22AD"/>
    <w:rsid w:val="008F7046"/>
    <w:rsid w:val="009005FC"/>
    <w:rsid w:val="00922E5A"/>
    <w:rsid w:val="00933B8A"/>
    <w:rsid w:val="00937EA0"/>
    <w:rsid w:val="00943315"/>
    <w:rsid w:val="0094606F"/>
    <w:rsid w:val="00946C27"/>
    <w:rsid w:val="0095087C"/>
    <w:rsid w:val="00956EA9"/>
    <w:rsid w:val="00972818"/>
    <w:rsid w:val="0099393C"/>
    <w:rsid w:val="009A4F3D"/>
    <w:rsid w:val="009B696B"/>
    <w:rsid w:val="009B7671"/>
    <w:rsid w:val="009E5BA1"/>
    <w:rsid w:val="009F056E"/>
    <w:rsid w:val="00A034A7"/>
    <w:rsid w:val="00A2175D"/>
    <w:rsid w:val="00A24F3D"/>
    <w:rsid w:val="00A26DCD"/>
    <w:rsid w:val="00A314BB"/>
    <w:rsid w:val="00A32B7D"/>
    <w:rsid w:val="00A5596B"/>
    <w:rsid w:val="00A605F2"/>
    <w:rsid w:val="00A646B3"/>
    <w:rsid w:val="00A6591F"/>
    <w:rsid w:val="00A6739B"/>
    <w:rsid w:val="00A90413"/>
    <w:rsid w:val="00A92E1C"/>
    <w:rsid w:val="00AA6C3A"/>
    <w:rsid w:val="00AA728C"/>
    <w:rsid w:val="00AA7C44"/>
    <w:rsid w:val="00AB0A9C"/>
    <w:rsid w:val="00AB7119"/>
    <w:rsid w:val="00AB71B2"/>
    <w:rsid w:val="00AC08AF"/>
    <w:rsid w:val="00AC7993"/>
    <w:rsid w:val="00AD5855"/>
    <w:rsid w:val="00AE3924"/>
    <w:rsid w:val="00AE6111"/>
    <w:rsid w:val="00AE7500"/>
    <w:rsid w:val="00AE7F87"/>
    <w:rsid w:val="00AF3542"/>
    <w:rsid w:val="00AF5ABE"/>
    <w:rsid w:val="00B00415"/>
    <w:rsid w:val="00B00AFD"/>
    <w:rsid w:val="00B03C2A"/>
    <w:rsid w:val="00B1000D"/>
    <w:rsid w:val="00B10134"/>
    <w:rsid w:val="00B1180F"/>
    <w:rsid w:val="00B15A41"/>
    <w:rsid w:val="00B1652F"/>
    <w:rsid w:val="00B16BFE"/>
    <w:rsid w:val="00B41858"/>
    <w:rsid w:val="00B453CE"/>
    <w:rsid w:val="00B500E5"/>
    <w:rsid w:val="00B57FBA"/>
    <w:rsid w:val="00B57FDC"/>
    <w:rsid w:val="00B8542D"/>
    <w:rsid w:val="00B92494"/>
    <w:rsid w:val="00B948DF"/>
    <w:rsid w:val="00BA39BB"/>
    <w:rsid w:val="00BA3B3D"/>
    <w:rsid w:val="00BA701E"/>
    <w:rsid w:val="00BB7EEA"/>
    <w:rsid w:val="00BC4AFD"/>
    <w:rsid w:val="00BD1909"/>
    <w:rsid w:val="00BE5E16"/>
    <w:rsid w:val="00BE5FD1"/>
    <w:rsid w:val="00BE7F65"/>
    <w:rsid w:val="00C06690"/>
    <w:rsid w:val="00C06E05"/>
    <w:rsid w:val="00C14B14"/>
    <w:rsid w:val="00C17370"/>
    <w:rsid w:val="00C2054D"/>
    <w:rsid w:val="00C252EB"/>
    <w:rsid w:val="00C26EC0"/>
    <w:rsid w:val="00C3771E"/>
    <w:rsid w:val="00C3785E"/>
    <w:rsid w:val="00C5125C"/>
    <w:rsid w:val="00C56C77"/>
    <w:rsid w:val="00C653F6"/>
    <w:rsid w:val="00C74FD6"/>
    <w:rsid w:val="00C84923"/>
    <w:rsid w:val="00C86A34"/>
    <w:rsid w:val="00C938E5"/>
    <w:rsid w:val="00CA6F9A"/>
    <w:rsid w:val="00CB4DA6"/>
    <w:rsid w:val="00CB7B3E"/>
    <w:rsid w:val="00CC6DFE"/>
    <w:rsid w:val="00CC739D"/>
    <w:rsid w:val="00CD0B35"/>
    <w:rsid w:val="00CE08FA"/>
    <w:rsid w:val="00D04468"/>
    <w:rsid w:val="00D16E0A"/>
    <w:rsid w:val="00D30640"/>
    <w:rsid w:val="00D36257"/>
    <w:rsid w:val="00D401FE"/>
    <w:rsid w:val="00D4687E"/>
    <w:rsid w:val="00D53A12"/>
    <w:rsid w:val="00D577D5"/>
    <w:rsid w:val="00D700FB"/>
    <w:rsid w:val="00D73ECA"/>
    <w:rsid w:val="00D87E2A"/>
    <w:rsid w:val="00DB0C43"/>
    <w:rsid w:val="00DC002B"/>
    <w:rsid w:val="00DC6DE1"/>
    <w:rsid w:val="00DE3354"/>
    <w:rsid w:val="00DE7DAA"/>
    <w:rsid w:val="00DF7DCD"/>
    <w:rsid w:val="00E11145"/>
    <w:rsid w:val="00E44664"/>
    <w:rsid w:val="00E505BE"/>
    <w:rsid w:val="00E50B7D"/>
    <w:rsid w:val="00E57834"/>
    <w:rsid w:val="00E660F1"/>
    <w:rsid w:val="00E904A1"/>
    <w:rsid w:val="00E9381F"/>
    <w:rsid w:val="00EB7D28"/>
    <w:rsid w:val="00EC0D0C"/>
    <w:rsid w:val="00ED4A2C"/>
    <w:rsid w:val="00EF0F17"/>
    <w:rsid w:val="00EF151A"/>
    <w:rsid w:val="00EF6940"/>
    <w:rsid w:val="00F070A9"/>
    <w:rsid w:val="00F10F37"/>
    <w:rsid w:val="00F2044A"/>
    <w:rsid w:val="00F20BFC"/>
    <w:rsid w:val="00F24D5F"/>
    <w:rsid w:val="00F25595"/>
    <w:rsid w:val="00F36A79"/>
    <w:rsid w:val="00F43DA9"/>
    <w:rsid w:val="00F61FF1"/>
    <w:rsid w:val="00F726C3"/>
    <w:rsid w:val="00F820CA"/>
    <w:rsid w:val="00F83806"/>
    <w:rsid w:val="00F8554C"/>
    <w:rsid w:val="00F95F82"/>
    <w:rsid w:val="00F97A90"/>
    <w:rsid w:val="00FC2F35"/>
    <w:rsid w:val="00FC3FD7"/>
    <w:rsid w:val="00FC69EC"/>
    <w:rsid w:val="00FD1FC6"/>
    <w:rsid w:val="00FD3ABE"/>
    <w:rsid w:val="00FE5869"/>
    <w:rsid w:val="00FE5C64"/>
    <w:rsid w:val="00FE7AA2"/>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EA13EE0-4C78-4C4D-96D0-84EF6D8C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1">
    <w:name w:val="إشارة لم يتم حلها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PlaceholderText">
    <w:name w:val="Placeholder Text"/>
    <w:basedOn w:val="DefaultParagraphFont"/>
    <w:uiPriority w:val="99"/>
    <w:semiHidden/>
    <w:rsid w:val="005D35D6"/>
    <w:rPr>
      <w:color w:val="808080"/>
    </w:rPr>
  </w:style>
  <w:style w:type="paragraph" w:customStyle="1" w:styleId="Default">
    <w:name w:val="Default"/>
    <w:qFormat/>
    <w:rsid w:val="005745A1"/>
    <w:pPr>
      <w:autoSpaceDE w:val="0"/>
      <w:autoSpaceDN w:val="0"/>
      <w:adjustRightInd w:val="0"/>
    </w:pPr>
    <w:rPr>
      <w:rFonts w:eastAsiaTheme="minorHAnsi"/>
      <w:color w:val="000000"/>
      <w:sz w:val="24"/>
      <w:szCs w:val="24"/>
      <w:lang w:val="en-US" w:eastAsia="en-US"/>
    </w:rPr>
  </w:style>
  <w:style w:type="table" w:styleId="LightShading-Accent3">
    <w:name w:val="Light Shading Accent 3"/>
    <w:basedOn w:val="TableNormal"/>
    <w:uiPriority w:val="60"/>
    <w:rsid w:val="005745A1"/>
    <w:rPr>
      <w:rFonts w:asciiTheme="minorHAnsi" w:eastAsiaTheme="minorHAnsi" w:hAnsiTheme="minorHAnsi" w:cstheme="minorBidi"/>
      <w:color w:val="76923C" w:themeColor="accent3" w:themeShade="BF"/>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461">
      <w:bodyDiv w:val="1"/>
      <w:marLeft w:val="0"/>
      <w:marRight w:val="0"/>
      <w:marTop w:val="0"/>
      <w:marBottom w:val="0"/>
      <w:divBdr>
        <w:top w:val="none" w:sz="0" w:space="0" w:color="auto"/>
        <w:left w:val="none" w:sz="0" w:space="0" w:color="auto"/>
        <w:bottom w:val="none" w:sz="0" w:space="0" w:color="auto"/>
        <w:right w:val="none" w:sz="0" w:space="0" w:color="auto"/>
      </w:divBdr>
    </w:div>
    <w:div w:id="68157709">
      <w:bodyDiv w:val="1"/>
      <w:marLeft w:val="0"/>
      <w:marRight w:val="0"/>
      <w:marTop w:val="0"/>
      <w:marBottom w:val="0"/>
      <w:divBdr>
        <w:top w:val="none" w:sz="0" w:space="0" w:color="auto"/>
        <w:left w:val="none" w:sz="0" w:space="0" w:color="auto"/>
        <w:bottom w:val="none" w:sz="0" w:space="0" w:color="auto"/>
        <w:right w:val="none" w:sz="0" w:space="0" w:color="auto"/>
      </w:divBdr>
    </w:div>
    <w:div w:id="270281591">
      <w:bodyDiv w:val="1"/>
      <w:marLeft w:val="0"/>
      <w:marRight w:val="0"/>
      <w:marTop w:val="0"/>
      <w:marBottom w:val="0"/>
      <w:divBdr>
        <w:top w:val="none" w:sz="0" w:space="0" w:color="auto"/>
        <w:left w:val="none" w:sz="0" w:space="0" w:color="auto"/>
        <w:bottom w:val="none" w:sz="0" w:space="0" w:color="auto"/>
        <w:right w:val="none" w:sz="0" w:space="0" w:color="auto"/>
      </w:divBdr>
    </w:div>
    <w:div w:id="274168643">
      <w:bodyDiv w:val="1"/>
      <w:marLeft w:val="0"/>
      <w:marRight w:val="0"/>
      <w:marTop w:val="0"/>
      <w:marBottom w:val="0"/>
      <w:divBdr>
        <w:top w:val="none" w:sz="0" w:space="0" w:color="auto"/>
        <w:left w:val="none" w:sz="0" w:space="0" w:color="auto"/>
        <w:bottom w:val="none" w:sz="0" w:space="0" w:color="auto"/>
        <w:right w:val="none" w:sz="0" w:space="0" w:color="auto"/>
      </w:divBdr>
    </w:div>
    <w:div w:id="558326321">
      <w:bodyDiv w:val="1"/>
      <w:marLeft w:val="0"/>
      <w:marRight w:val="0"/>
      <w:marTop w:val="0"/>
      <w:marBottom w:val="0"/>
      <w:divBdr>
        <w:top w:val="none" w:sz="0" w:space="0" w:color="auto"/>
        <w:left w:val="none" w:sz="0" w:space="0" w:color="auto"/>
        <w:bottom w:val="none" w:sz="0" w:space="0" w:color="auto"/>
        <w:right w:val="none" w:sz="0" w:space="0" w:color="auto"/>
      </w:divBdr>
    </w:div>
    <w:div w:id="664555579">
      <w:bodyDiv w:val="1"/>
      <w:marLeft w:val="0"/>
      <w:marRight w:val="0"/>
      <w:marTop w:val="0"/>
      <w:marBottom w:val="0"/>
      <w:divBdr>
        <w:top w:val="none" w:sz="0" w:space="0" w:color="auto"/>
        <w:left w:val="none" w:sz="0" w:space="0" w:color="auto"/>
        <w:bottom w:val="none" w:sz="0" w:space="0" w:color="auto"/>
        <w:right w:val="none" w:sz="0" w:space="0" w:color="auto"/>
      </w:divBdr>
    </w:div>
    <w:div w:id="753206568">
      <w:bodyDiv w:val="1"/>
      <w:marLeft w:val="0"/>
      <w:marRight w:val="0"/>
      <w:marTop w:val="0"/>
      <w:marBottom w:val="0"/>
      <w:divBdr>
        <w:top w:val="none" w:sz="0" w:space="0" w:color="auto"/>
        <w:left w:val="none" w:sz="0" w:space="0" w:color="auto"/>
        <w:bottom w:val="none" w:sz="0" w:space="0" w:color="auto"/>
        <w:right w:val="none" w:sz="0" w:space="0" w:color="auto"/>
      </w:divBdr>
    </w:div>
    <w:div w:id="801852996">
      <w:bodyDiv w:val="1"/>
      <w:marLeft w:val="0"/>
      <w:marRight w:val="0"/>
      <w:marTop w:val="0"/>
      <w:marBottom w:val="0"/>
      <w:divBdr>
        <w:top w:val="none" w:sz="0" w:space="0" w:color="auto"/>
        <w:left w:val="none" w:sz="0" w:space="0" w:color="auto"/>
        <w:bottom w:val="none" w:sz="0" w:space="0" w:color="auto"/>
        <w:right w:val="none" w:sz="0" w:space="0" w:color="auto"/>
      </w:divBdr>
    </w:div>
    <w:div w:id="851652587">
      <w:bodyDiv w:val="1"/>
      <w:marLeft w:val="0"/>
      <w:marRight w:val="0"/>
      <w:marTop w:val="0"/>
      <w:marBottom w:val="0"/>
      <w:divBdr>
        <w:top w:val="none" w:sz="0" w:space="0" w:color="auto"/>
        <w:left w:val="none" w:sz="0" w:space="0" w:color="auto"/>
        <w:bottom w:val="none" w:sz="0" w:space="0" w:color="auto"/>
        <w:right w:val="none" w:sz="0" w:space="0" w:color="auto"/>
      </w:divBdr>
    </w:div>
    <w:div w:id="927273273">
      <w:bodyDiv w:val="1"/>
      <w:marLeft w:val="0"/>
      <w:marRight w:val="0"/>
      <w:marTop w:val="0"/>
      <w:marBottom w:val="0"/>
      <w:divBdr>
        <w:top w:val="none" w:sz="0" w:space="0" w:color="auto"/>
        <w:left w:val="none" w:sz="0" w:space="0" w:color="auto"/>
        <w:bottom w:val="none" w:sz="0" w:space="0" w:color="auto"/>
        <w:right w:val="none" w:sz="0" w:space="0" w:color="auto"/>
      </w:divBdr>
    </w:div>
    <w:div w:id="929848136">
      <w:bodyDiv w:val="1"/>
      <w:marLeft w:val="0"/>
      <w:marRight w:val="0"/>
      <w:marTop w:val="0"/>
      <w:marBottom w:val="0"/>
      <w:divBdr>
        <w:top w:val="none" w:sz="0" w:space="0" w:color="auto"/>
        <w:left w:val="none" w:sz="0" w:space="0" w:color="auto"/>
        <w:bottom w:val="none" w:sz="0" w:space="0" w:color="auto"/>
        <w:right w:val="none" w:sz="0" w:space="0" w:color="auto"/>
      </w:divBdr>
    </w:div>
    <w:div w:id="935558431">
      <w:bodyDiv w:val="1"/>
      <w:marLeft w:val="0"/>
      <w:marRight w:val="0"/>
      <w:marTop w:val="0"/>
      <w:marBottom w:val="0"/>
      <w:divBdr>
        <w:top w:val="none" w:sz="0" w:space="0" w:color="auto"/>
        <w:left w:val="none" w:sz="0" w:space="0" w:color="auto"/>
        <w:bottom w:val="none" w:sz="0" w:space="0" w:color="auto"/>
        <w:right w:val="none" w:sz="0" w:space="0" w:color="auto"/>
      </w:divBdr>
    </w:div>
    <w:div w:id="1033773179">
      <w:bodyDiv w:val="1"/>
      <w:marLeft w:val="0"/>
      <w:marRight w:val="0"/>
      <w:marTop w:val="0"/>
      <w:marBottom w:val="0"/>
      <w:divBdr>
        <w:top w:val="none" w:sz="0" w:space="0" w:color="auto"/>
        <w:left w:val="none" w:sz="0" w:space="0" w:color="auto"/>
        <w:bottom w:val="none" w:sz="0" w:space="0" w:color="auto"/>
        <w:right w:val="none" w:sz="0" w:space="0" w:color="auto"/>
      </w:divBdr>
    </w:div>
    <w:div w:id="1215046348">
      <w:bodyDiv w:val="1"/>
      <w:marLeft w:val="0"/>
      <w:marRight w:val="0"/>
      <w:marTop w:val="0"/>
      <w:marBottom w:val="0"/>
      <w:divBdr>
        <w:top w:val="none" w:sz="0" w:space="0" w:color="auto"/>
        <w:left w:val="none" w:sz="0" w:space="0" w:color="auto"/>
        <w:bottom w:val="none" w:sz="0" w:space="0" w:color="auto"/>
        <w:right w:val="none" w:sz="0" w:space="0" w:color="auto"/>
      </w:divBdr>
    </w:div>
    <w:div w:id="1250768157">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01155066">
      <w:bodyDiv w:val="1"/>
      <w:marLeft w:val="0"/>
      <w:marRight w:val="0"/>
      <w:marTop w:val="0"/>
      <w:marBottom w:val="0"/>
      <w:divBdr>
        <w:top w:val="none" w:sz="0" w:space="0" w:color="auto"/>
        <w:left w:val="none" w:sz="0" w:space="0" w:color="auto"/>
        <w:bottom w:val="none" w:sz="0" w:space="0" w:color="auto"/>
        <w:right w:val="none" w:sz="0" w:space="0" w:color="auto"/>
      </w:divBdr>
    </w:div>
    <w:div w:id="1318416329">
      <w:bodyDiv w:val="1"/>
      <w:marLeft w:val="0"/>
      <w:marRight w:val="0"/>
      <w:marTop w:val="0"/>
      <w:marBottom w:val="0"/>
      <w:divBdr>
        <w:top w:val="none" w:sz="0" w:space="0" w:color="auto"/>
        <w:left w:val="none" w:sz="0" w:space="0" w:color="auto"/>
        <w:bottom w:val="none" w:sz="0" w:space="0" w:color="auto"/>
        <w:right w:val="none" w:sz="0" w:space="0" w:color="auto"/>
      </w:divBdr>
    </w:div>
    <w:div w:id="1347712239">
      <w:bodyDiv w:val="1"/>
      <w:marLeft w:val="0"/>
      <w:marRight w:val="0"/>
      <w:marTop w:val="0"/>
      <w:marBottom w:val="0"/>
      <w:divBdr>
        <w:top w:val="none" w:sz="0" w:space="0" w:color="auto"/>
        <w:left w:val="none" w:sz="0" w:space="0" w:color="auto"/>
        <w:bottom w:val="none" w:sz="0" w:space="0" w:color="auto"/>
        <w:right w:val="none" w:sz="0" w:space="0" w:color="auto"/>
      </w:divBdr>
    </w:div>
    <w:div w:id="1513958261">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46874262">
      <w:bodyDiv w:val="1"/>
      <w:marLeft w:val="0"/>
      <w:marRight w:val="0"/>
      <w:marTop w:val="0"/>
      <w:marBottom w:val="0"/>
      <w:divBdr>
        <w:top w:val="none" w:sz="0" w:space="0" w:color="auto"/>
        <w:left w:val="none" w:sz="0" w:space="0" w:color="auto"/>
        <w:bottom w:val="none" w:sz="0" w:space="0" w:color="auto"/>
        <w:right w:val="none" w:sz="0" w:space="0" w:color="auto"/>
      </w:divBdr>
    </w:div>
    <w:div w:id="1819616280">
      <w:bodyDiv w:val="1"/>
      <w:marLeft w:val="0"/>
      <w:marRight w:val="0"/>
      <w:marTop w:val="0"/>
      <w:marBottom w:val="0"/>
      <w:divBdr>
        <w:top w:val="none" w:sz="0" w:space="0" w:color="auto"/>
        <w:left w:val="none" w:sz="0" w:space="0" w:color="auto"/>
        <w:bottom w:val="none" w:sz="0" w:space="0" w:color="auto"/>
        <w:right w:val="none" w:sz="0" w:space="0" w:color="auto"/>
      </w:divBdr>
    </w:div>
    <w:div w:id="1837958658">
      <w:bodyDiv w:val="1"/>
      <w:marLeft w:val="0"/>
      <w:marRight w:val="0"/>
      <w:marTop w:val="0"/>
      <w:marBottom w:val="0"/>
      <w:divBdr>
        <w:top w:val="none" w:sz="0" w:space="0" w:color="auto"/>
        <w:left w:val="none" w:sz="0" w:space="0" w:color="auto"/>
        <w:bottom w:val="none" w:sz="0" w:space="0" w:color="auto"/>
        <w:right w:val="none" w:sz="0" w:space="0" w:color="auto"/>
      </w:divBdr>
    </w:div>
    <w:div w:id="1931161991">
      <w:bodyDiv w:val="1"/>
      <w:marLeft w:val="0"/>
      <w:marRight w:val="0"/>
      <w:marTop w:val="0"/>
      <w:marBottom w:val="0"/>
      <w:divBdr>
        <w:top w:val="none" w:sz="0" w:space="0" w:color="auto"/>
        <w:left w:val="none" w:sz="0" w:space="0" w:color="auto"/>
        <w:bottom w:val="none" w:sz="0" w:space="0" w:color="auto"/>
        <w:right w:val="none" w:sz="0" w:space="0" w:color="auto"/>
      </w:divBdr>
    </w:div>
    <w:div w:id="1952584562">
      <w:bodyDiv w:val="1"/>
      <w:marLeft w:val="0"/>
      <w:marRight w:val="0"/>
      <w:marTop w:val="0"/>
      <w:marBottom w:val="0"/>
      <w:divBdr>
        <w:top w:val="none" w:sz="0" w:space="0" w:color="auto"/>
        <w:left w:val="none" w:sz="0" w:space="0" w:color="auto"/>
        <w:bottom w:val="none" w:sz="0" w:space="0" w:color="auto"/>
        <w:right w:val="none" w:sz="0" w:space="0" w:color="auto"/>
      </w:divBdr>
    </w:div>
    <w:div w:id="200685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hyperlink" Target="https://doi.org/10.3390/microorganisms11020344" TargetMode="External"/><Relationship Id="rId39" Type="http://schemas.openxmlformats.org/officeDocument/2006/relationships/hyperlink" Target="https://doi.org/10.1007/978-1-4939-0473-0_48" TargetMode="External"/><Relationship Id="rId21" Type="http://schemas.openxmlformats.org/officeDocument/2006/relationships/image" Target="media/image6.png"/><Relationship Id="rId34" Type="http://schemas.openxmlformats.org/officeDocument/2006/relationships/hyperlink" Target="https://doi.org/10.1186/s12866-025-03743-9" TargetMode="External"/><Relationship Id="rId42" Type="http://schemas.openxmlformats.org/officeDocument/2006/relationships/hyperlink" Target="https://doi.org/10.1021/nl0805615" TargetMode="External"/><Relationship Id="rId47" Type="http://schemas.openxmlformats.org/officeDocument/2006/relationships/hyperlink" Target="https://doi.org/10.33533/jrpps.v2i1.7027" TargetMode="External"/><Relationship Id="rId50" Type="http://schemas.openxmlformats.org/officeDocument/2006/relationships/hyperlink" Target="https://doi.org/10.24996/ijs.2024.65.4.15" TargetMode="External"/><Relationship Id="rId55" Type="http://schemas.openxmlformats.org/officeDocument/2006/relationships/hyperlink" Target="https://doi.org/10.24996/ijs.2025.66.6.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4.wdp"/><Relationship Id="rId29" Type="http://schemas.openxmlformats.org/officeDocument/2006/relationships/hyperlink" Target="https://doi.org/10.1016/j.rsurfi.2025.100562" TargetMode="External"/><Relationship Id="rId11" Type="http://schemas.openxmlformats.org/officeDocument/2006/relationships/image" Target="media/image2.png"/><Relationship Id="rId24" Type="http://schemas.openxmlformats.org/officeDocument/2006/relationships/hyperlink" Target="https://doi.org/10.1128/ecosalplus.esp-0003-2020" TargetMode="External"/><Relationship Id="rId32" Type="http://schemas.openxmlformats.org/officeDocument/2006/relationships/hyperlink" Target="https://doi.org/10.3390/pharmaceutics15092253" TargetMode="External"/><Relationship Id="rId37" Type="http://schemas.openxmlformats.org/officeDocument/2006/relationships/hyperlink" Target="https://doi.org/10.1016/j.bcab.2023.102978" TargetMode="External"/><Relationship Id="rId40" Type="http://schemas.openxmlformats.org/officeDocument/2006/relationships/hyperlink" Target="https://doi.org/10.1016/j.micpath.2024.106740" TargetMode="External"/><Relationship Id="rId45" Type="http://schemas.openxmlformats.org/officeDocument/2006/relationships/hyperlink" Target="https://connectjournals.com/03896.2020.20.5553" TargetMode="External"/><Relationship Id="rId53" Type="http://schemas.openxmlformats.org/officeDocument/2006/relationships/hyperlink" Target="https://doi.org/10.1155/2024/8823094"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5.wdp"/><Relationship Id="rId27" Type="http://schemas.openxmlformats.org/officeDocument/2006/relationships/hyperlink" Target="https://doi.org/10.3390/ijms22189922" TargetMode="External"/><Relationship Id="rId30" Type="http://schemas.openxmlformats.org/officeDocument/2006/relationships/hyperlink" Target="https://doi.org/10.1371/journal.pone.0325460" TargetMode="External"/><Relationship Id="rId35" Type="http://schemas.openxmlformats.org/officeDocument/2006/relationships/hyperlink" Target="https://doi.org/10.1088/1742-6596/1879/2/022051" TargetMode="External"/><Relationship Id="rId43" Type="http://schemas.openxmlformats.org/officeDocument/2006/relationships/hyperlink" Target="https://www.researchgate.net/publication/232962996" TargetMode="External"/><Relationship Id="rId48" Type="http://schemas.openxmlformats.org/officeDocument/2006/relationships/hyperlink" Target="https://doi.org/10.1016/j.sjbs.2023.103582" TargetMode="External"/><Relationship Id="rId56" Type="http://schemas.openxmlformats.org/officeDocument/2006/relationships/hyperlink" Target="https://doi.org/10.1016/j.mex.2019.01.001" TargetMode="External"/><Relationship Id="rId8" Type="http://schemas.openxmlformats.org/officeDocument/2006/relationships/webSettings" Target="webSettings.xml"/><Relationship Id="rId51" Type="http://schemas.openxmlformats.org/officeDocument/2006/relationships/hyperlink" Target="https://ejhm.journals.ekb.eg/" TargetMode="External"/><Relationship Id="rId3" Type="http://schemas.openxmlformats.org/officeDocument/2006/relationships/customXml" Target="../customXml/item3.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hyperlink" Target="https://doi.org/10.3390/microorganisms10071425" TargetMode="External"/><Relationship Id="rId33" Type="http://schemas.openxmlformats.org/officeDocument/2006/relationships/hyperlink" Target="https://doi.org/10.3390/antiox11050964" TargetMode="External"/><Relationship Id="rId38" Type="http://schemas.openxmlformats.org/officeDocument/2006/relationships/hyperlink" Target="https://doi.org/10.1007/s10529-016-2079-2" TargetMode="External"/><Relationship Id="rId46" Type="http://schemas.openxmlformats.org/officeDocument/2006/relationships/hyperlink" Target="https://doi.org/10.30526/38.2.3744" TargetMode="External"/><Relationship Id="rId20" Type="http://schemas.openxmlformats.org/officeDocument/2006/relationships/chart" Target="charts/chart3.xml"/><Relationship Id="rId41" Type="http://schemas.openxmlformats.org/officeDocument/2006/relationships/hyperlink" Target="https://doi.org/10.3390/pr11082248" TargetMode="External"/><Relationship Id="rId54" Type="http://schemas.openxmlformats.org/officeDocument/2006/relationships/hyperlink" Target="https://doi.org/10.30526/36.4.314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hyperlink" Target="https://doi.org/10.1007/s44337-024-00102-x" TargetMode="External"/><Relationship Id="rId36" Type="http://schemas.openxmlformats.org/officeDocument/2006/relationships/hyperlink" Target="https://www.iarconsortium.org/journal/iajabms/home/" TargetMode="External"/><Relationship Id="rId49" Type="http://schemas.openxmlformats.org/officeDocument/2006/relationships/hyperlink" Target="https://doi.org/10.24996/ijs.2024.65.10.19" TargetMode="External"/><Relationship Id="rId57" Type="http://schemas.openxmlformats.org/officeDocument/2006/relationships/fontTable" Target="fontTable.xml"/><Relationship Id="rId10" Type="http://schemas.microsoft.com/office/2007/relationships/hdphoto" Target="media/hdphoto1.wdp"/><Relationship Id="rId31" Type="http://schemas.openxmlformats.org/officeDocument/2006/relationships/hyperlink" Target="https://doi.org/10.31557/APJCP.2025.26.4.1303" TargetMode="External"/><Relationship Id="rId44" Type="http://schemas.openxmlformats.org/officeDocument/2006/relationships/hyperlink" Target="https://doi.org/10.1016/j.genrep.2020.100591" TargetMode="External"/><Relationship Id="rId52" Type="http://schemas.openxmlformats.org/officeDocument/2006/relationships/hyperlink" Target="https://doi.org/10.5073/JABFQ.2022.095.0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3609264750997036E-2"/>
          <c:y val="4.3650793650793648E-2"/>
          <c:w val="0.90258121143947911"/>
          <c:h val="0.84440476190476188"/>
        </c:manualLayout>
      </c:layout>
      <c:bar3DChart>
        <c:barDir val="col"/>
        <c:grouping val="clustered"/>
        <c:varyColors val="0"/>
        <c:ser>
          <c:idx val="0"/>
          <c:order val="0"/>
          <c:tx>
            <c:strRef>
              <c:f>ورقة1!$B$1</c:f>
              <c:strCache>
                <c:ptCount val="1"/>
                <c:pt idx="0">
                  <c:v>سلسلة 1</c:v>
                </c:pt>
              </c:strCache>
            </c:strRef>
          </c:tx>
          <c:invertIfNegative val="0"/>
          <c:cat>
            <c:numRef>
              <c:f>ورقة1!$A$2:$A$51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ورقة1!$B$2:$B$51</c:f>
              <c:numCache>
                <c:formatCode>General</c:formatCode>
                <c:ptCount val="50"/>
                <c:pt idx="0">
                  <c:v>2.7515000000000001</c:v>
                </c:pt>
                <c:pt idx="1">
                  <c:v>0.41049999999999998</c:v>
                </c:pt>
                <c:pt idx="2">
                  <c:v>1.2115</c:v>
                </c:pt>
                <c:pt idx="3">
                  <c:v>0.88200000000000001</c:v>
                </c:pt>
                <c:pt idx="4">
                  <c:v>2.0270000000000001</c:v>
                </c:pt>
                <c:pt idx="5">
                  <c:v>0.9385</c:v>
                </c:pt>
                <c:pt idx="6">
                  <c:v>1.5874999999999999</c:v>
                </c:pt>
                <c:pt idx="7">
                  <c:v>0.34200000000000003</c:v>
                </c:pt>
                <c:pt idx="8">
                  <c:v>0.94</c:v>
                </c:pt>
                <c:pt idx="9">
                  <c:v>0.30299999999999999</c:v>
                </c:pt>
                <c:pt idx="10">
                  <c:v>1.0145</c:v>
                </c:pt>
                <c:pt idx="11">
                  <c:v>1.28</c:v>
                </c:pt>
                <c:pt idx="12">
                  <c:v>0.745</c:v>
                </c:pt>
                <c:pt idx="13">
                  <c:v>0.52900000000000003</c:v>
                </c:pt>
                <c:pt idx="14">
                  <c:v>2.5405000000000002</c:v>
                </c:pt>
                <c:pt idx="15">
                  <c:v>0.53600000000000003</c:v>
                </c:pt>
                <c:pt idx="16">
                  <c:v>0.96299999999999997</c:v>
                </c:pt>
                <c:pt idx="17">
                  <c:v>1.4185000000000001</c:v>
                </c:pt>
                <c:pt idx="18">
                  <c:v>2.1545000000000001</c:v>
                </c:pt>
                <c:pt idx="19">
                  <c:v>0.38</c:v>
                </c:pt>
                <c:pt idx="20">
                  <c:v>0.61599999999999999</c:v>
                </c:pt>
                <c:pt idx="21">
                  <c:v>0.60250000000000004</c:v>
                </c:pt>
                <c:pt idx="22">
                  <c:v>1.2410000000000001</c:v>
                </c:pt>
                <c:pt idx="23">
                  <c:v>2.1564999999999999</c:v>
                </c:pt>
                <c:pt idx="24">
                  <c:v>1.5814999999999999</c:v>
                </c:pt>
                <c:pt idx="25">
                  <c:v>0.88749999999999996</c:v>
                </c:pt>
                <c:pt idx="26">
                  <c:v>1.524</c:v>
                </c:pt>
                <c:pt idx="27">
                  <c:v>0.32700000000000001</c:v>
                </c:pt>
                <c:pt idx="28">
                  <c:v>0.60750000000000004</c:v>
                </c:pt>
                <c:pt idx="29">
                  <c:v>1.0820000000000001</c:v>
                </c:pt>
                <c:pt idx="30">
                  <c:v>0.80649999999999999</c:v>
                </c:pt>
                <c:pt idx="31">
                  <c:v>0.35249999999999998</c:v>
                </c:pt>
                <c:pt idx="32">
                  <c:v>1.6665000000000001</c:v>
                </c:pt>
                <c:pt idx="33">
                  <c:v>1.298</c:v>
                </c:pt>
                <c:pt idx="34">
                  <c:v>1.2615000000000001</c:v>
                </c:pt>
                <c:pt idx="35">
                  <c:v>1.0834999999999999</c:v>
                </c:pt>
                <c:pt idx="36">
                  <c:v>0.49299999999999999</c:v>
                </c:pt>
                <c:pt idx="37">
                  <c:v>0.35299999999999998</c:v>
                </c:pt>
                <c:pt idx="38">
                  <c:v>0.51600000000000001</c:v>
                </c:pt>
                <c:pt idx="39">
                  <c:v>0.4385</c:v>
                </c:pt>
                <c:pt idx="40">
                  <c:v>0.42899999999999999</c:v>
                </c:pt>
                <c:pt idx="41">
                  <c:v>0.94950000000000001</c:v>
                </c:pt>
                <c:pt idx="42">
                  <c:v>2.5939999999999999</c:v>
                </c:pt>
                <c:pt idx="43">
                  <c:v>1.5255000000000001</c:v>
                </c:pt>
                <c:pt idx="44">
                  <c:v>0.68049999999999999</c:v>
                </c:pt>
                <c:pt idx="45">
                  <c:v>1.6645000000000001</c:v>
                </c:pt>
                <c:pt idx="46">
                  <c:v>1.95</c:v>
                </c:pt>
                <c:pt idx="47">
                  <c:v>0.47699999999999998</c:v>
                </c:pt>
                <c:pt idx="48">
                  <c:v>0.86399999999999999</c:v>
                </c:pt>
                <c:pt idx="49">
                  <c:v>0.29699999999999999</c:v>
                </c:pt>
              </c:numCache>
            </c:numRef>
          </c:val>
          <c:extLst>
            <c:ext xmlns:c16="http://schemas.microsoft.com/office/drawing/2014/chart" uri="{C3380CC4-5D6E-409C-BE32-E72D297353CC}">
              <c16:uniqueId val="{00000000-37B9-584D-9241-B02729CCC5F6}"/>
            </c:ext>
          </c:extLst>
        </c:ser>
        <c:dLbls>
          <c:showLegendKey val="0"/>
          <c:showVal val="0"/>
          <c:showCatName val="0"/>
          <c:showSerName val="0"/>
          <c:showPercent val="0"/>
          <c:showBubbleSize val="0"/>
        </c:dLbls>
        <c:gapWidth val="150"/>
        <c:shape val="box"/>
        <c:axId val="91822720"/>
        <c:axId val="118694272"/>
        <c:axId val="0"/>
      </c:bar3DChart>
      <c:catAx>
        <c:axId val="91822720"/>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No. isolates</a:t>
                </a:r>
                <a:endParaRPr lang="ar-IQ">
                  <a:latin typeface="Times New Roman" pitchFamily="18" charset="0"/>
                  <a:cs typeface="Times New Roman" pitchFamily="18" charset="0"/>
                </a:endParaRPr>
              </a:p>
            </c:rich>
          </c:tx>
          <c:layout>
            <c:manualLayout>
              <c:xMode val="edge"/>
              <c:yMode val="edge"/>
              <c:x val="0.59582901383558218"/>
              <c:y val="6.7375886524822695E-2"/>
            </c:manualLayout>
          </c:layout>
          <c:overlay val="0"/>
        </c:title>
        <c:numFmt formatCode="General"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118694272"/>
        <c:crosses val="autoZero"/>
        <c:auto val="1"/>
        <c:lblAlgn val="ctr"/>
        <c:lblOffset val="100"/>
        <c:noMultiLvlLbl val="0"/>
      </c:catAx>
      <c:valAx>
        <c:axId val="118694272"/>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OD value</a:t>
                </a:r>
                <a:endParaRPr lang="ar-IQ">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918227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3609264750997036E-2"/>
          <c:y val="4.3650793650793648E-2"/>
          <c:w val="0.90258121143947911"/>
          <c:h val="0.82312838554755119"/>
        </c:manualLayout>
      </c:layout>
      <c:bar3DChart>
        <c:barDir val="col"/>
        <c:grouping val="clustered"/>
        <c:varyColors val="0"/>
        <c:ser>
          <c:idx val="0"/>
          <c:order val="0"/>
          <c:tx>
            <c:strRef>
              <c:f>ورقة1!$B$1</c:f>
              <c:strCache>
                <c:ptCount val="1"/>
                <c:pt idx="0">
                  <c:v>Biofilm OD</c:v>
                </c:pt>
              </c:strCache>
            </c:strRef>
          </c:tx>
          <c:invertIfNegative val="0"/>
          <c:cat>
            <c:numRef>
              <c:f>ورقة1!$A$2:$A$51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ورقة1!$B$2:$B$51</c:f>
              <c:numCache>
                <c:formatCode>General</c:formatCode>
                <c:ptCount val="50"/>
                <c:pt idx="0">
                  <c:v>2.7515000000000001</c:v>
                </c:pt>
                <c:pt idx="1">
                  <c:v>0.41049999999999998</c:v>
                </c:pt>
                <c:pt idx="2">
                  <c:v>1.2115</c:v>
                </c:pt>
                <c:pt idx="3">
                  <c:v>0.88200000000000001</c:v>
                </c:pt>
                <c:pt idx="4">
                  <c:v>2.0270000000000001</c:v>
                </c:pt>
                <c:pt idx="5">
                  <c:v>0.9385</c:v>
                </c:pt>
                <c:pt idx="6">
                  <c:v>1.5874999999999999</c:v>
                </c:pt>
                <c:pt idx="7">
                  <c:v>0.34200000000000003</c:v>
                </c:pt>
                <c:pt idx="8">
                  <c:v>0.94</c:v>
                </c:pt>
                <c:pt idx="9">
                  <c:v>0.30299999999999999</c:v>
                </c:pt>
                <c:pt idx="10">
                  <c:v>1.0145</c:v>
                </c:pt>
                <c:pt idx="11">
                  <c:v>1.28</c:v>
                </c:pt>
                <c:pt idx="12">
                  <c:v>0.745</c:v>
                </c:pt>
                <c:pt idx="13">
                  <c:v>0.52900000000000003</c:v>
                </c:pt>
                <c:pt idx="14">
                  <c:v>2.5405000000000002</c:v>
                </c:pt>
                <c:pt idx="15">
                  <c:v>0.53600000000000003</c:v>
                </c:pt>
                <c:pt idx="16">
                  <c:v>0.96299999999999997</c:v>
                </c:pt>
                <c:pt idx="17">
                  <c:v>1.4185000000000001</c:v>
                </c:pt>
                <c:pt idx="18">
                  <c:v>2.1545000000000001</c:v>
                </c:pt>
                <c:pt idx="19">
                  <c:v>0.38</c:v>
                </c:pt>
                <c:pt idx="20">
                  <c:v>0.61599999999999999</c:v>
                </c:pt>
                <c:pt idx="21">
                  <c:v>0.60250000000000004</c:v>
                </c:pt>
                <c:pt idx="22">
                  <c:v>1.2410000000000001</c:v>
                </c:pt>
                <c:pt idx="23">
                  <c:v>2.1564999999999999</c:v>
                </c:pt>
                <c:pt idx="24">
                  <c:v>1.5814999999999999</c:v>
                </c:pt>
                <c:pt idx="25">
                  <c:v>0.88749999999999996</c:v>
                </c:pt>
                <c:pt idx="26">
                  <c:v>1.524</c:v>
                </c:pt>
                <c:pt idx="27">
                  <c:v>0.32700000000000001</c:v>
                </c:pt>
                <c:pt idx="28">
                  <c:v>0.60750000000000004</c:v>
                </c:pt>
                <c:pt idx="29">
                  <c:v>1.0820000000000001</c:v>
                </c:pt>
                <c:pt idx="30">
                  <c:v>0.80649999999999999</c:v>
                </c:pt>
                <c:pt idx="31">
                  <c:v>0.35249999999999998</c:v>
                </c:pt>
                <c:pt idx="32">
                  <c:v>1.6665000000000001</c:v>
                </c:pt>
                <c:pt idx="33">
                  <c:v>1.298</c:v>
                </c:pt>
                <c:pt idx="34">
                  <c:v>1.2615000000000001</c:v>
                </c:pt>
                <c:pt idx="35">
                  <c:v>1.0834999999999999</c:v>
                </c:pt>
                <c:pt idx="36">
                  <c:v>0.49299999999999999</c:v>
                </c:pt>
                <c:pt idx="37">
                  <c:v>0.35299999999999998</c:v>
                </c:pt>
                <c:pt idx="38">
                  <c:v>0.51600000000000001</c:v>
                </c:pt>
                <c:pt idx="39">
                  <c:v>0.4385</c:v>
                </c:pt>
                <c:pt idx="40">
                  <c:v>0.42899999999999999</c:v>
                </c:pt>
                <c:pt idx="41">
                  <c:v>0.94950000000000001</c:v>
                </c:pt>
                <c:pt idx="42">
                  <c:v>2.5939999999999999</c:v>
                </c:pt>
                <c:pt idx="43">
                  <c:v>1.5255000000000001</c:v>
                </c:pt>
                <c:pt idx="44">
                  <c:v>0.68049999999999999</c:v>
                </c:pt>
                <c:pt idx="45">
                  <c:v>1.6645000000000001</c:v>
                </c:pt>
                <c:pt idx="46">
                  <c:v>1.95</c:v>
                </c:pt>
                <c:pt idx="47">
                  <c:v>0.47699999999999998</c:v>
                </c:pt>
                <c:pt idx="48">
                  <c:v>0.86399999999999999</c:v>
                </c:pt>
                <c:pt idx="49">
                  <c:v>0.29699999999999999</c:v>
                </c:pt>
              </c:numCache>
            </c:numRef>
          </c:val>
          <c:extLst>
            <c:ext xmlns:c16="http://schemas.microsoft.com/office/drawing/2014/chart" uri="{C3380CC4-5D6E-409C-BE32-E72D297353CC}">
              <c16:uniqueId val="{00000000-6EFB-314E-BFF6-DDDD6647174D}"/>
            </c:ext>
          </c:extLst>
        </c:ser>
        <c:ser>
          <c:idx val="1"/>
          <c:order val="1"/>
          <c:tx>
            <c:strRef>
              <c:f>ورقة1!$C$1</c:f>
              <c:strCache>
                <c:ptCount val="1"/>
                <c:pt idx="0">
                  <c:v>SUB MIC OD</c:v>
                </c:pt>
              </c:strCache>
            </c:strRef>
          </c:tx>
          <c:invertIfNegative val="0"/>
          <c:cat>
            <c:numRef>
              <c:f>ورقة1!$A$2:$A$51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ورقة1!$C$2:$C$51</c:f>
              <c:numCache>
                <c:formatCode>General</c:formatCode>
                <c:ptCount val="50"/>
                <c:pt idx="0">
                  <c:v>0.57999999999999996</c:v>
                </c:pt>
                <c:pt idx="1">
                  <c:v>0.2</c:v>
                </c:pt>
                <c:pt idx="2">
                  <c:v>0.48199999999999998</c:v>
                </c:pt>
                <c:pt idx="3">
                  <c:v>0.51600000000000001</c:v>
                </c:pt>
                <c:pt idx="4">
                  <c:v>0.29699999999999999</c:v>
                </c:pt>
                <c:pt idx="5">
                  <c:v>0.86499999999999999</c:v>
                </c:pt>
                <c:pt idx="6">
                  <c:v>0.47699999999999998</c:v>
                </c:pt>
                <c:pt idx="7">
                  <c:v>0.111</c:v>
                </c:pt>
                <c:pt idx="8">
                  <c:v>0.42599999999999999</c:v>
                </c:pt>
                <c:pt idx="9">
                  <c:v>0.1</c:v>
                </c:pt>
                <c:pt idx="10">
                  <c:v>0.53100000000000003</c:v>
                </c:pt>
                <c:pt idx="11">
                  <c:v>0.54800000000000004</c:v>
                </c:pt>
                <c:pt idx="12">
                  <c:v>0.33400000000000002</c:v>
                </c:pt>
                <c:pt idx="13">
                  <c:v>0.248</c:v>
                </c:pt>
                <c:pt idx="14">
                  <c:v>0.73599999999999999</c:v>
                </c:pt>
                <c:pt idx="15">
                  <c:v>0.222</c:v>
                </c:pt>
                <c:pt idx="16">
                  <c:v>0.311</c:v>
                </c:pt>
                <c:pt idx="17">
                  <c:v>0.49199999999999999</c:v>
                </c:pt>
                <c:pt idx="18">
                  <c:v>0.64700000000000002</c:v>
                </c:pt>
                <c:pt idx="19">
                  <c:v>0.21099999999999999</c:v>
                </c:pt>
                <c:pt idx="20">
                  <c:v>0.3</c:v>
                </c:pt>
                <c:pt idx="21">
                  <c:v>0.29899999999999999</c:v>
                </c:pt>
                <c:pt idx="22">
                  <c:v>0.58599999999999997</c:v>
                </c:pt>
                <c:pt idx="23">
                  <c:v>0.73399999999999999</c:v>
                </c:pt>
                <c:pt idx="24">
                  <c:v>0.41199999999999998</c:v>
                </c:pt>
                <c:pt idx="25">
                  <c:v>0.45</c:v>
                </c:pt>
                <c:pt idx="26">
                  <c:v>0.48099999999999998</c:v>
                </c:pt>
                <c:pt idx="27">
                  <c:v>0.19900000000000001</c:v>
                </c:pt>
                <c:pt idx="28">
                  <c:v>0.27800000000000002</c:v>
                </c:pt>
                <c:pt idx="29">
                  <c:v>0.57199999999999995</c:v>
                </c:pt>
                <c:pt idx="30">
                  <c:v>0.3</c:v>
                </c:pt>
                <c:pt idx="31">
                  <c:v>0.17699999999999999</c:v>
                </c:pt>
                <c:pt idx="32">
                  <c:v>0.44400000000000001</c:v>
                </c:pt>
                <c:pt idx="33">
                  <c:v>0.53200000000000003</c:v>
                </c:pt>
                <c:pt idx="34">
                  <c:v>0.63600000000000001</c:v>
                </c:pt>
                <c:pt idx="35">
                  <c:v>0.59099999999999997</c:v>
                </c:pt>
                <c:pt idx="36">
                  <c:v>0.21099999999999999</c:v>
                </c:pt>
                <c:pt idx="37">
                  <c:v>0.10100000000000001</c:v>
                </c:pt>
                <c:pt idx="38">
                  <c:v>0.23300000000000001</c:v>
                </c:pt>
                <c:pt idx="39">
                  <c:v>0.222</c:v>
                </c:pt>
                <c:pt idx="40">
                  <c:v>0.20100000000000001</c:v>
                </c:pt>
                <c:pt idx="41">
                  <c:v>0.32700000000000001</c:v>
                </c:pt>
                <c:pt idx="42">
                  <c:v>0.67800000000000005</c:v>
                </c:pt>
                <c:pt idx="43">
                  <c:v>0.77700000000000002</c:v>
                </c:pt>
                <c:pt idx="44">
                  <c:v>0.3</c:v>
                </c:pt>
                <c:pt idx="45">
                  <c:v>0.76400000000000001</c:v>
                </c:pt>
                <c:pt idx="46">
                  <c:v>0.876</c:v>
                </c:pt>
                <c:pt idx="47">
                  <c:v>0.21299999999999999</c:v>
                </c:pt>
                <c:pt idx="48">
                  <c:v>0.34899999999999998</c:v>
                </c:pt>
                <c:pt idx="49">
                  <c:v>0.111</c:v>
                </c:pt>
              </c:numCache>
            </c:numRef>
          </c:val>
          <c:extLst>
            <c:ext xmlns:c16="http://schemas.microsoft.com/office/drawing/2014/chart" uri="{C3380CC4-5D6E-409C-BE32-E72D297353CC}">
              <c16:uniqueId val="{00000001-6EFB-314E-BFF6-DDDD6647174D}"/>
            </c:ext>
          </c:extLst>
        </c:ser>
        <c:dLbls>
          <c:showLegendKey val="0"/>
          <c:showVal val="0"/>
          <c:showCatName val="0"/>
          <c:showSerName val="0"/>
          <c:showPercent val="0"/>
          <c:showBubbleSize val="0"/>
        </c:dLbls>
        <c:gapWidth val="150"/>
        <c:shape val="box"/>
        <c:axId val="173973888"/>
        <c:axId val="173995136"/>
        <c:axId val="0"/>
      </c:bar3DChart>
      <c:catAx>
        <c:axId val="173973888"/>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No. isolates</a:t>
                </a:r>
                <a:endParaRPr lang="ar-IQ">
                  <a:latin typeface="Times New Roman" pitchFamily="18" charset="0"/>
                  <a:cs typeface="Times New Roman" pitchFamily="18" charset="0"/>
                </a:endParaRPr>
              </a:p>
            </c:rich>
          </c:tx>
          <c:layout>
            <c:manualLayout>
              <c:xMode val="edge"/>
              <c:yMode val="edge"/>
              <c:x val="0.38228942973037455"/>
              <c:y val="8.1430013555997813E-2"/>
            </c:manualLayout>
          </c:layout>
          <c:overlay val="0"/>
        </c:title>
        <c:numFmt formatCode="General"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173995136"/>
        <c:crosses val="autoZero"/>
        <c:auto val="1"/>
        <c:lblAlgn val="ctr"/>
        <c:lblOffset val="100"/>
        <c:noMultiLvlLbl val="0"/>
      </c:catAx>
      <c:valAx>
        <c:axId val="173995136"/>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OD value</a:t>
                </a:r>
                <a:endParaRPr lang="ar-IQ">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73973888"/>
        <c:crosses val="autoZero"/>
        <c:crossBetween val="between"/>
      </c:valAx>
    </c:plotArea>
    <c:legend>
      <c:legendPos val="r"/>
      <c:layout>
        <c:manualLayout>
          <c:xMode val="edge"/>
          <c:yMode val="edge"/>
          <c:x val="0.63176500664689639"/>
          <c:y val="7.6899426033284299E-2"/>
          <c:w val="0.16443177557350783"/>
          <c:h val="0.19846596303121683"/>
        </c:manualLayout>
      </c:layout>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3609264750997036E-2"/>
          <c:y val="4.3650793650793648E-2"/>
          <c:w val="0.90258121143947911"/>
          <c:h val="0.80594336765596608"/>
        </c:manualLayout>
      </c:layout>
      <c:bar3DChart>
        <c:barDir val="col"/>
        <c:grouping val="clustered"/>
        <c:varyColors val="0"/>
        <c:ser>
          <c:idx val="0"/>
          <c:order val="0"/>
          <c:tx>
            <c:strRef>
              <c:f>ورقة1!$B$1</c:f>
              <c:strCache>
                <c:ptCount val="1"/>
                <c:pt idx="0">
                  <c:v>سلسلة 1</c:v>
                </c:pt>
              </c:strCache>
            </c:strRef>
          </c:tx>
          <c:invertIfNegative val="0"/>
          <c:cat>
            <c:numRef>
              <c:f>ورقة1!$A$2:$A$51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ورقة1!$B$2:$B$51</c:f>
              <c:numCache>
                <c:formatCode>General</c:formatCode>
                <c:ptCount val="50"/>
                <c:pt idx="0">
                  <c:v>78</c:v>
                </c:pt>
                <c:pt idx="1">
                  <c:v>51</c:v>
                </c:pt>
                <c:pt idx="2">
                  <c:v>60</c:v>
                </c:pt>
                <c:pt idx="3">
                  <c:v>41</c:v>
                </c:pt>
                <c:pt idx="4">
                  <c:v>85</c:v>
                </c:pt>
                <c:pt idx="5">
                  <c:v>7.8</c:v>
                </c:pt>
                <c:pt idx="6">
                  <c:v>69</c:v>
                </c:pt>
                <c:pt idx="7">
                  <c:v>67</c:v>
                </c:pt>
                <c:pt idx="8">
                  <c:v>54</c:v>
                </c:pt>
                <c:pt idx="9">
                  <c:v>66</c:v>
                </c:pt>
                <c:pt idx="10">
                  <c:v>47</c:v>
                </c:pt>
                <c:pt idx="11">
                  <c:v>57</c:v>
                </c:pt>
                <c:pt idx="12">
                  <c:v>55</c:v>
                </c:pt>
                <c:pt idx="13">
                  <c:v>53</c:v>
                </c:pt>
                <c:pt idx="14">
                  <c:v>71</c:v>
                </c:pt>
                <c:pt idx="15">
                  <c:v>58</c:v>
                </c:pt>
                <c:pt idx="16">
                  <c:v>67</c:v>
                </c:pt>
                <c:pt idx="17">
                  <c:v>56</c:v>
                </c:pt>
                <c:pt idx="18">
                  <c:v>69</c:v>
                </c:pt>
                <c:pt idx="19">
                  <c:v>44</c:v>
                </c:pt>
                <c:pt idx="20">
                  <c:v>51</c:v>
                </c:pt>
                <c:pt idx="21">
                  <c:v>50</c:v>
                </c:pt>
                <c:pt idx="22">
                  <c:v>52</c:v>
                </c:pt>
                <c:pt idx="23">
                  <c:v>65</c:v>
                </c:pt>
                <c:pt idx="24">
                  <c:v>73</c:v>
                </c:pt>
                <c:pt idx="25">
                  <c:v>49</c:v>
                </c:pt>
                <c:pt idx="26">
                  <c:v>68</c:v>
                </c:pt>
                <c:pt idx="27">
                  <c:v>39</c:v>
                </c:pt>
                <c:pt idx="28">
                  <c:v>54</c:v>
                </c:pt>
                <c:pt idx="29">
                  <c:v>47</c:v>
                </c:pt>
                <c:pt idx="30">
                  <c:v>62</c:v>
                </c:pt>
                <c:pt idx="31">
                  <c:v>49</c:v>
                </c:pt>
                <c:pt idx="32">
                  <c:v>73</c:v>
                </c:pt>
                <c:pt idx="33">
                  <c:v>59</c:v>
                </c:pt>
                <c:pt idx="34">
                  <c:v>49</c:v>
                </c:pt>
                <c:pt idx="35">
                  <c:v>45</c:v>
                </c:pt>
                <c:pt idx="36">
                  <c:v>57</c:v>
                </c:pt>
                <c:pt idx="37">
                  <c:v>71</c:v>
                </c:pt>
                <c:pt idx="38">
                  <c:v>54</c:v>
                </c:pt>
                <c:pt idx="39">
                  <c:v>49</c:v>
                </c:pt>
                <c:pt idx="40">
                  <c:v>53</c:v>
                </c:pt>
                <c:pt idx="41">
                  <c:v>65</c:v>
                </c:pt>
                <c:pt idx="42">
                  <c:v>73</c:v>
                </c:pt>
                <c:pt idx="43">
                  <c:v>49</c:v>
                </c:pt>
                <c:pt idx="44">
                  <c:v>55</c:v>
                </c:pt>
                <c:pt idx="45">
                  <c:v>54</c:v>
                </c:pt>
                <c:pt idx="46">
                  <c:v>55</c:v>
                </c:pt>
                <c:pt idx="47">
                  <c:v>55</c:v>
                </c:pt>
                <c:pt idx="48">
                  <c:v>59</c:v>
                </c:pt>
                <c:pt idx="49">
                  <c:v>62</c:v>
                </c:pt>
              </c:numCache>
            </c:numRef>
          </c:val>
          <c:extLst>
            <c:ext xmlns:c16="http://schemas.microsoft.com/office/drawing/2014/chart" uri="{C3380CC4-5D6E-409C-BE32-E72D297353CC}">
              <c16:uniqueId val="{00000000-CDEF-E042-BFED-52D895F39E53}"/>
            </c:ext>
          </c:extLst>
        </c:ser>
        <c:dLbls>
          <c:showLegendKey val="0"/>
          <c:showVal val="0"/>
          <c:showCatName val="0"/>
          <c:showSerName val="0"/>
          <c:showPercent val="0"/>
          <c:showBubbleSize val="0"/>
        </c:dLbls>
        <c:gapWidth val="150"/>
        <c:shape val="box"/>
        <c:axId val="91789184"/>
        <c:axId val="91791360"/>
        <c:axId val="0"/>
      </c:bar3DChart>
      <c:catAx>
        <c:axId val="91789184"/>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No. isolates</a:t>
                </a:r>
                <a:endParaRPr lang="ar-IQ">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600" b="1">
                <a:latin typeface="Times New Roman" pitchFamily="18" charset="0"/>
                <a:cs typeface="Times New Roman" pitchFamily="18" charset="0"/>
              </a:defRPr>
            </a:pPr>
            <a:endParaRPr lang="en-US"/>
          </a:p>
        </c:txPr>
        <c:crossAx val="91791360"/>
        <c:crosses val="autoZero"/>
        <c:auto val="1"/>
        <c:lblAlgn val="ctr"/>
        <c:lblOffset val="100"/>
        <c:noMultiLvlLbl val="0"/>
      </c:catAx>
      <c:valAx>
        <c:axId val="91791360"/>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Inhibition of Biofilm %</a:t>
                </a:r>
                <a:endParaRPr lang="ar-IQ">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917891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3609264750997036E-2"/>
          <c:y val="4.3650793650793648E-2"/>
          <c:w val="0.90258121143947911"/>
          <c:h val="0.78826467744163553"/>
        </c:manualLayout>
      </c:layout>
      <c:bar3DChart>
        <c:barDir val="col"/>
        <c:grouping val="clustered"/>
        <c:varyColors val="0"/>
        <c:ser>
          <c:idx val="0"/>
          <c:order val="0"/>
          <c:tx>
            <c:strRef>
              <c:f>ورقة1!$B$1</c:f>
              <c:strCache>
                <c:ptCount val="1"/>
                <c:pt idx="0">
                  <c:v>MC-SeNPs</c:v>
                </c:pt>
              </c:strCache>
            </c:strRef>
          </c:tx>
          <c:invertIfNegative val="0"/>
          <c:cat>
            <c:numRef>
              <c:f>ورقة1!$A$2:$A$6</c:f>
              <c:numCache>
                <c:formatCode>General</c:formatCode>
                <c:ptCount val="5"/>
                <c:pt idx="0">
                  <c:v>50</c:v>
                </c:pt>
                <c:pt idx="1">
                  <c:v>100</c:v>
                </c:pt>
                <c:pt idx="2">
                  <c:v>200</c:v>
                </c:pt>
                <c:pt idx="3">
                  <c:v>500</c:v>
                </c:pt>
                <c:pt idx="4">
                  <c:v>1000</c:v>
                </c:pt>
              </c:numCache>
            </c:numRef>
          </c:cat>
          <c:val>
            <c:numRef>
              <c:f>ورقة1!$B$2:$B$6</c:f>
              <c:numCache>
                <c:formatCode>General</c:formatCode>
                <c:ptCount val="5"/>
                <c:pt idx="0">
                  <c:v>5</c:v>
                </c:pt>
                <c:pt idx="1">
                  <c:v>6</c:v>
                </c:pt>
                <c:pt idx="2">
                  <c:v>9</c:v>
                </c:pt>
                <c:pt idx="3">
                  <c:v>13</c:v>
                </c:pt>
                <c:pt idx="4">
                  <c:v>15</c:v>
                </c:pt>
              </c:numCache>
            </c:numRef>
          </c:val>
          <c:extLst>
            <c:ext xmlns:c16="http://schemas.microsoft.com/office/drawing/2014/chart" uri="{C3380CC4-5D6E-409C-BE32-E72D297353CC}">
              <c16:uniqueId val="{00000000-ABFC-9444-83E1-EACBC6671D23}"/>
            </c:ext>
          </c:extLst>
        </c:ser>
        <c:ser>
          <c:idx val="1"/>
          <c:order val="1"/>
          <c:tx>
            <c:strRef>
              <c:f>ورقة1!$C$1</c:f>
              <c:strCache>
                <c:ptCount val="1"/>
                <c:pt idx="0">
                  <c:v>Aas (Myrtus communis L.) leaf</c:v>
                </c:pt>
              </c:strCache>
            </c:strRef>
          </c:tx>
          <c:invertIfNegative val="0"/>
          <c:cat>
            <c:numRef>
              <c:f>ورقة1!$A$2:$A$6</c:f>
              <c:numCache>
                <c:formatCode>General</c:formatCode>
                <c:ptCount val="5"/>
                <c:pt idx="0">
                  <c:v>50</c:v>
                </c:pt>
                <c:pt idx="1">
                  <c:v>100</c:v>
                </c:pt>
                <c:pt idx="2">
                  <c:v>200</c:v>
                </c:pt>
                <c:pt idx="3">
                  <c:v>500</c:v>
                </c:pt>
                <c:pt idx="4">
                  <c:v>1000</c:v>
                </c:pt>
              </c:numCache>
            </c:numRef>
          </c:cat>
          <c:val>
            <c:numRef>
              <c:f>ورقة1!$C$2:$C$6</c:f>
              <c:numCache>
                <c:formatCode>General</c:formatCode>
                <c:ptCount val="5"/>
                <c:pt idx="0">
                  <c:v>4</c:v>
                </c:pt>
                <c:pt idx="1">
                  <c:v>4</c:v>
                </c:pt>
                <c:pt idx="2">
                  <c:v>6</c:v>
                </c:pt>
                <c:pt idx="3">
                  <c:v>9</c:v>
                </c:pt>
                <c:pt idx="4">
                  <c:v>12</c:v>
                </c:pt>
              </c:numCache>
            </c:numRef>
          </c:val>
          <c:extLst>
            <c:ext xmlns:c16="http://schemas.microsoft.com/office/drawing/2014/chart" uri="{C3380CC4-5D6E-409C-BE32-E72D297353CC}">
              <c16:uniqueId val="{00000001-ABFC-9444-83E1-EACBC6671D23}"/>
            </c:ext>
          </c:extLst>
        </c:ser>
        <c:dLbls>
          <c:showLegendKey val="0"/>
          <c:showVal val="0"/>
          <c:showCatName val="0"/>
          <c:showSerName val="0"/>
          <c:showPercent val="0"/>
          <c:showBubbleSize val="0"/>
        </c:dLbls>
        <c:gapWidth val="150"/>
        <c:shape val="box"/>
        <c:axId val="91809280"/>
        <c:axId val="91811200"/>
        <c:axId val="0"/>
      </c:bar3DChart>
      <c:catAx>
        <c:axId val="91809280"/>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Concentrations</a:t>
                </a:r>
                <a:r>
                  <a:rPr lang="en-US" baseline="0">
                    <a:latin typeface="Times New Roman" pitchFamily="18" charset="0"/>
                    <a:cs typeface="Times New Roman" pitchFamily="18" charset="0"/>
                  </a:rPr>
                  <a:t> (</a:t>
                </a:r>
                <a:r>
                  <a:rPr lang="en-US">
                    <a:latin typeface="Times New Roman" pitchFamily="18" charset="0"/>
                    <a:cs typeface="Times New Roman" pitchFamily="18" charset="0"/>
                  </a:rPr>
                  <a:t>µg/ml)</a:t>
                </a:r>
              </a:p>
            </c:rich>
          </c:tx>
          <c:layout>
            <c:manualLayout>
              <c:xMode val="edge"/>
              <c:yMode val="edge"/>
              <c:x val="0.39639755257865494"/>
              <c:y val="0.94246031746031744"/>
            </c:manualLayout>
          </c:layout>
          <c:overlay val="0"/>
        </c:title>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en-US"/>
          </a:p>
        </c:txPr>
        <c:crossAx val="91811200"/>
        <c:crosses val="autoZero"/>
        <c:auto val="1"/>
        <c:lblAlgn val="ctr"/>
        <c:lblOffset val="100"/>
        <c:noMultiLvlLbl val="0"/>
      </c:catAx>
      <c:valAx>
        <c:axId val="91811200"/>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 of hemolysis</a:t>
                </a:r>
                <a:endParaRPr lang="ar-IQ">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91809280"/>
        <c:crosses val="autoZero"/>
        <c:crossBetween val="between"/>
      </c:valAx>
    </c:plotArea>
    <c:legend>
      <c:legendPos val="r"/>
      <c:layout>
        <c:manualLayout>
          <c:xMode val="edge"/>
          <c:yMode val="edge"/>
          <c:x val="0.29462759275713102"/>
          <c:y val="8.7849702997651616E-2"/>
          <c:w val="0.28780839895013122"/>
          <c:h val="0.12669978752655919"/>
        </c:manualLayout>
      </c:layout>
      <c:overlay val="0"/>
      <c:txPr>
        <a:bodyPr/>
        <a:lstStyle/>
        <a:p>
          <a:pPr>
            <a:defRPr sz="900" b="1" i="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E638DA-B07E-455D-8822-776FFD50CC7B}">
  <ds:schemaRefs>
    <ds:schemaRef ds:uri="http://schemas.openxmlformats.org/officeDocument/2006/bibliography"/>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19</TotalTime>
  <Pages>9</Pages>
  <Words>3847</Words>
  <Characters>22509</Characters>
  <Application>Microsoft Office Word</Application>
  <DocSecurity>0</DocSecurity>
  <Lines>535</Lines>
  <Paragraphs>387</Paragraphs>
  <ScaleCrop>false</ScaleCrop>
  <HeadingPairs>
    <vt:vector size="2" baseType="variant">
      <vt:variant>
        <vt:lpstr>العنوان</vt:lpstr>
      </vt:variant>
      <vt:variant>
        <vt:i4>1</vt:i4>
      </vt:variant>
    </vt:vector>
  </HeadingPairs>
  <TitlesOfParts>
    <vt:vector size="1" baseType="lpstr">
      <vt:lpstr>Title Goes Here</vt:lpstr>
    </vt:vector>
  </TitlesOfParts>
  <Company>PPI</Company>
  <LinksUpToDate>false</LinksUpToDate>
  <CharactersWithSpaces>25969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12</cp:revision>
  <cp:lastPrinted>2011-03-03T08:29:00Z</cp:lastPrinted>
  <dcterms:created xsi:type="dcterms:W3CDTF">2025-11-16T17:32:00Z</dcterms:created>
  <dcterms:modified xsi:type="dcterms:W3CDTF">2025-12-06T19:44:00Z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0d016138-27bf-456a-91e7-43e319091fb1</vt:lpwstr>
  </property>
</Properties>
</file>