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4E23" w14:textId="4062E728" w:rsidR="00887EA4" w:rsidRDefault="00463218" w:rsidP="00AB1D3D">
      <w:pPr>
        <w:spacing w:line="240" w:lineRule="auto"/>
        <w:jc w:val="center"/>
      </w:pPr>
      <w:r w:rsidRPr="00463218">
        <w:rPr>
          <w:b/>
          <w:sz w:val="36"/>
        </w:rPr>
        <w:t xml:space="preserve">Evaluation of Parasitic Contamination Loaded by American Cockroach Collected from Hospitals in </w:t>
      </w:r>
      <w:proofErr w:type="spellStart"/>
      <w:r w:rsidRPr="00463218">
        <w:rPr>
          <w:b/>
          <w:sz w:val="36"/>
        </w:rPr>
        <w:t>Dhuluiya</w:t>
      </w:r>
      <w:proofErr w:type="spellEnd"/>
      <w:r w:rsidRPr="00463218">
        <w:rPr>
          <w:b/>
          <w:sz w:val="36"/>
        </w:rPr>
        <w:t xml:space="preserve">, Salah Al-Din Province, </w:t>
      </w:r>
      <w:proofErr w:type="gramStart"/>
      <w:r w:rsidRPr="00463218">
        <w:rPr>
          <w:b/>
          <w:sz w:val="36"/>
        </w:rPr>
        <w:t>Iraq;</w:t>
      </w:r>
      <w:proofErr w:type="gramEnd"/>
      <w:r w:rsidRPr="00463218">
        <w:rPr>
          <w:b/>
          <w:sz w:val="36"/>
        </w:rPr>
        <w:t xml:space="preserve"> Implication Health Risk </w:t>
      </w:r>
      <w:r>
        <w:rPr>
          <w:b/>
          <w:sz w:val="36"/>
        </w:rPr>
        <w:t xml:space="preserve"> </w:t>
      </w:r>
    </w:p>
    <w:p w14:paraId="6D8DABBA" w14:textId="09EB9D43" w:rsidR="00AB1D3D" w:rsidRPr="00F57559" w:rsidRDefault="00AC168D" w:rsidP="00FD28A3">
      <w:pPr>
        <w:spacing w:line="240" w:lineRule="auto"/>
        <w:jc w:val="center"/>
        <w:rPr>
          <w:rtl/>
        </w:rPr>
      </w:pPr>
      <w:r w:rsidRPr="00AC168D">
        <w:rPr>
          <w:sz w:val="28"/>
        </w:rPr>
        <w:t>Mather Ahmed Hussein</w:t>
      </w:r>
      <w:r w:rsidR="00F57559">
        <w:rPr>
          <w:sz w:val="28"/>
        </w:rPr>
        <w:t xml:space="preserve"> </w:t>
      </w:r>
      <w:r w:rsidR="0082636C" w:rsidRPr="0082636C">
        <w:rPr>
          <w:sz w:val="28"/>
          <w:vertAlign w:val="superscript"/>
        </w:rPr>
        <w:t>1,</w:t>
      </w:r>
      <w:r w:rsidR="0082636C">
        <w:rPr>
          <w:rFonts w:hint="cs"/>
          <w:sz w:val="28"/>
          <w:vertAlign w:val="superscript"/>
          <w:rtl/>
        </w:rPr>
        <w:t xml:space="preserve"> </w:t>
      </w:r>
      <w:proofErr w:type="gramStart"/>
      <w:r w:rsidR="0082636C" w:rsidRPr="0082636C">
        <w:rPr>
          <w:sz w:val="28"/>
          <w:vertAlign w:val="superscript"/>
        </w:rPr>
        <w:t xml:space="preserve">a) </w:t>
      </w:r>
      <w:r w:rsidR="0057331E" w:rsidRPr="0082636C">
        <w:rPr>
          <w:sz w:val="28"/>
          <w:vertAlign w:val="superscript"/>
        </w:rPr>
        <w:t xml:space="preserve"> </w:t>
      </w:r>
      <w:r w:rsidR="0057331E">
        <w:rPr>
          <w:sz w:val="28"/>
        </w:rPr>
        <w:t>and</w:t>
      </w:r>
      <w:proofErr w:type="gramEnd"/>
      <w:r w:rsidR="0057331E">
        <w:rPr>
          <w:sz w:val="28"/>
        </w:rPr>
        <w:t xml:space="preserve"> </w:t>
      </w:r>
      <w:r w:rsidR="00F57559">
        <w:rPr>
          <w:sz w:val="28"/>
        </w:rPr>
        <w:t xml:space="preserve"> </w:t>
      </w:r>
      <w:r w:rsidRPr="00AC168D">
        <w:rPr>
          <w:sz w:val="28"/>
        </w:rPr>
        <w:t>Alaa Emad Tawfiq</w:t>
      </w:r>
      <w:r w:rsidR="0082636C">
        <w:rPr>
          <w:rFonts w:hint="cs"/>
          <w:sz w:val="28"/>
          <w:rtl/>
        </w:rPr>
        <w:t xml:space="preserve"> </w:t>
      </w:r>
      <w:r w:rsidR="00FD28A3">
        <w:rPr>
          <w:sz w:val="28"/>
          <w:vertAlign w:val="superscript"/>
        </w:rPr>
        <w:t>1</w:t>
      </w:r>
      <w:r w:rsidR="0082636C" w:rsidRPr="0082636C">
        <w:rPr>
          <w:sz w:val="28"/>
          <w:vertAlign w:val="superscript"/>
        </w:rPr>
        <w:t>,</w:t>
      </w:r>
      <w:r w:rsidR="0082636C">
        <w:rPr>
          <w:rFonts w:hint="cs"/>
          <w:sz w:val="28"/>
          <w:vertAlign w:val="superscript"/>
          <w:rtl/>
        </w:rPr>
        <w:t xml:space="preserve"> </w:t>
      </w:r>
      <w:r w:rsidR="0082636C" w:rsidRPr="0082636C">
        <w:rPr>
          <w:sz w:val="28"/>
          <w:vertAlign w:val="superscript"/>
        </w:rPr>
        <w:t>b)</w:t>
      </w:r>
    </w:p>
    <w:p w14:paraId="05C71BFD" w14:textId="5AAE1A5A" w:rsidR="00AB1D3D" w:rsidRDefault="00AB1D3D" w:rsidP="00D2172C">
      <w:pPr>
        <w:spacing w:line="240" w:lineRule="auto"/>
        <w:jc w:val="center"/>
        <w:rPr>
          <w:i/>
          <w:rtl/>
        </w:rPr>
      </w:pPr>
      <w:r w:rsidRPr="00F57559">
        <w:rPr>
          <w:rFonts w:asciiTheme="majorBidi" w:hAnsiTheme="majorBidi" w:cstheme="majorBidi"/>
          <w:i/>
          <w:rtl/>
        </w:rPr>
        <w:t xml:space="preserve"> </w:t>
      </w:r>
      <w:r w:rsidR="0098748D">
        <w:rPr>
          <w:rFonts w:asciiTheme="majorBidi" w:hAnsiTheme="majorBidi" w:cstheme="majorBidi"/>
          <w:i/>
          <w:sz w:val="18"/>
          <w:szCs w:val="20"/>
          <w:vertAlign w:val="superscript"/>
        </w:rPr>
        <w:t>1</w:t>
      </w:r>
      <w:r w:rsidR="00D2172C">
        <w:rPr>
          <w:i/>
        </w:rPr>
        <w:t xml:space="preserve"> </w:t>
      </w:r>
      <w:r w:rsidR="00D2172C" w:rsidRPr="00D2172C">
        <w:rPr>
          <w:i/>
        </w:rPr>
        <w:t xml:space="preserve">Tikrit </w:t>
      </w:r>
      <w:r w:rsidR="00D2172C">
        <w:rPr>
          <w:i/>
        </w:rPr>
        <w:t>University</w:t>
      </w:r>
      <w:r w:rsidRPr="00AB1D3D">
        <w:rPr>
          <w:i/>
        </w:rPr>
        <w:t xml:space="preserve">, College of </w:t>
      </w:r>
      <w:r w:rsidR="00F57559">
        <w:rPr>
          <w:i/>
        </w:rPr>
        <w:t>Education for Girls</w:t>
      </w:r>
      <w:r w:rsidRPr="00AB1D3D">
        <w:rPr>
          <w:i/>
        </w:rPr>
        <w:t xml:space="preserve">, Department of </w:t>
      </w:r>
      <w:r w:rsidR="00F57559">
        <w:rPr>
          <w:i/>
        </w:rPr>
        <w:t>Biology</w:t>
      </w:r>
      <w:r w:rsidRPr="00AB1D3D">
        <w:rPr>
          <w:i/>
        </w:rPr>
        <w:t>, Iraq</w:t>
      </w:r>
    </w:p>
    <w:p w14:paraId="4F0F192B" w14:textId="4DD86685" w:rsidR="00887EA4" w:rsidRDefault="00AB1D3D" w:rsidP="004F61FA">
      <w:pPr>
        <w:spacing w:after="0" w:line="240" w:lineRule="auto"/>
        <w:jc w:val="center"/>
        <w:rPr>
          <w:i/>
        </w:rPr>
      </w:pPr>
      <w:r w:rsidRPr="0082636C">
        <w:rPr>
          <w:i/>
          <w:vertAlign w:val="superscript"/>
        </w:rPr>
        <w:t>a)</w:t>
      </w:r>
      <w:r w:rsidR="0098748D">
        <w:rPr>
          <w:rFonts w:hint="cs"/>
          <w:i/>
          <w:rtl/>
        </w:rPr>
        <w:t xml:space="preserve"> </w:t>
      </w:r>
      <w:r w:rsidR="00FD28A3" w:rsidRPr="00FD28A3">
        <w:rPr>
          <w:i/>
        </w:rPr>
        <w:t xml:space="preserve">Corresponding </w:t>
      </w:r>
      <w:r w:rsidR="004F61FA" w:rsidRPr="00FD28A3">
        <w:rPr>
          <w:i/>
        </w:rPr>
        <w:t>author</w:t>
      </w:r>
      <w:r w:rsidR="004F61FA">
        <w:rPr>
          <w:i/>
        </w:rPr>
        <w:t>:</w:t>
      </w:r>
      <w:r w:rsidR="00FD28A3">
        <w:rPr>
          <w:i/>
        </w:rPr>
        <w:t xml:space="preserve"> </w:t>
      </w:r>
      <w:r w:rsidR="0098748D" w:rsidRPr="0098748D">
        <w:rPr>
          <w:i/>
        </w:rPr>
        <w:t>Mather.ahmed.hussein@gmail.com</w:t>
      </w:r>
      <w:r w:rsidR="002D125E">
        <w:rPr>
          <w:i/>
        </w:rPr>
        <w:br/>
      </w:r>
      <w:r w:rsidR="002D125E" w:rsidRPr="0082636C">
        <w:rPr>
          <w:i/>
          <w:vertAlign w:val="superscript"/>
        </w:rPr>
        <w:t>b)</w:t>
      </w:r>
      <w:r w:rsidR="00F57559">
        <w:rPr>
          <w:i/>
        </w:rPr>
        <w:t xml:space="preserve"> </w:t>
      </w:r>
      <w:r w:rsidR="00AC168D" w:rsidRPr="00AC168D">
        <w:rPr>
          <w:i/>
        </w:rPr>
        <w:t>alaa.altikrity@tu.edu.iq</w:t>
      </w:r>
      <w:r w:rsidR="0057331E">
        <w:rPr>
          <w:i/>
        </w:rPr>
        <w:t xml:space="preserve"> </w:t>
      </w:r>
    </w:p>
    <w:p w14:paraId="52DE2BCD" w14:textId="77777777" w:rsidR="004F61FA" w:rsidRDefault="004F61FA" w:rsidP="004F61FA">
      <w:pPr>
        <w:spacing w:after="0" w:line="240" w:lineRule="auto"/>
        <w:jc w:val="center"/>
      </w:pPr>
    </w:p>
    <w:p w14:paraId="2F7E2A1F" w14:textId="59AC9F6D" w:rsidR="00F57559" w:rsidRPr="00F57559" w:rsidRDefault="002D125E" w:rsidP="006C7108">
      <w:pPr>
        <w:spacing w:line="240" w:lineRule="auto"/>
        <w:ind w:left="288" w:right="288"/>
        <w:jc w:val="both"/>
        <w:rPr>
          <w:sz w:val="18"/>
          <w:szCs w:val="20"/>
        </w:rPr>
      </w:pPr>
      <w:r w:rsidRPr="002E1748">
        <w:rPr>
          <w:b/>
          <w:sz w:val="18"/>
          <w:szCs w:val="20"/>
        </w:rPr>
        <w:t>Abstract.</w:t>
      </w:r>
      <w:r w:rsidRPr="0082636C">
        <w:rPr>
          <w:b/>
          <w:sz w:val="18"/>
          <w:szCs w:val="20"/>
        </w:rPr>
        <w:t xml:space="preserve"> </w:t>
      </w:r>
      <w:r w:rsidR="0098748D">
        <w:rPr>
          <w:sz w:val="18"/>
          <w:szCs w:val="20"/>
        </w:rPr>
        <w:t xml:space="preserve"> </w:t>
      </w:r>
      <w:r w:rsidR="0098748D" w:rsidRPr="0098748D">
        <w:rPr>
          <w:sz w:val="18"/>
          <w:szCs w:val="20"/>
        </w:rPr>
        <w:t xml:space="preserve">The abundance of cockroaches in hospital environments, particularly in sewage systems, makes them potential human health risk factors through the transmission of various pathogens. </w:t>
      </w:r>
      <w:r w:rsidR="006C7108" w:rsidRPr="006C7108">
        <w:rPr>
          <w:sz w:val="18"/>
          <w:szCs w:val="20"/>
        </w:rPr>
        <w:t xml:space="preserve">This study evaluates the parasitic contamination carried by American cockroaches collected from the sewage systems in hospitals in </w:t>
      </w:r>
      <w:proofErr w:type="spellStart"/>
      <w:r w:rsidR="006C7108" w:rsidRPr="006C7108">
        <w:rPr>
          <w:sz w:val="18"/>
          <w:szCs w:val="20"/>
        </w:rPr>
        <w:t>Dhuluiya</w:t>
      </w:r>
      <w:proofErr w:type="spellEnd"/>
      <w:r w:rsidR="006C7108" w:rsidRPr="006C7108">
        <w:rPr>
          <w:sz w:val="18"/>
          <w:szCs w:val="20"/>
        </w:rPr>
        <w:t>, Salah Al-Din Province, Iraq</w:t>
      </w:r>
      <w:r w:rsidR="006C7108">
        <w:rPr>
          <w:sz w:val="18"/>
          <w:szCs w:val="20"/>
        </w:rPr>
        <w:t>.</w:t>
      </w:r>
      <w:r w:rsidR="0098748D" w:rsidRPr="0098748D">
        <w:rPr>
          <w:sz w:val="18"/>
          <w:szCs w:val="20"/>
        </w:rPr>
        <w:t xml:space="preserve"> A total of 37 American cockroaches were collected from sewage systems, and both internal and external parasites were isolated between October 2024 and March 2025. The parasites were identified microscopically using Lugol's iodine dye. The results revealed the presence of 14 different parasite species, with </w:t>
      </w:r>
      <w:proofErr w:type="spellStart"/>
      <w:r w:rsidR="0098748D" w:rsidRPr="0098748D">
        <w:rPr>
          <w:sz w:val="18"/>
          <w:szCs w:val="20"/>
        </w:rPr>
        <w:t>Nyctothyrous</w:t>
      </w:r>
      <w:proofErr w:type="spellEnd"/>
      <w:r w:rsidR="0098748D" w:rsidRPr="0098748D">
        <w:rPr>
          <w:sz w:val="18"/>
          <w:szCs w:val="20"/>
        </w:rPr>
        <w:t xml:space="preserve"> ovalis being the most prevalent gut flora. Other dangerous types, such as </w:t>
      </w:r>
      <w:proofErr w:type="spellStart"/>
      <w:r w:rsidR="0098748D" w:rsidRPr="0098748D">
        <w:rPr>
          <w:sz w:val="18"/>
          <w:szCs w:val="20"/>
        </w:rPr>
        <w:t>Strongyloides</w:t>
      </w:r>
      <w:proofErr w:type="spellEnd"/>
      <w:r w:rsidR="0098748D" w:rsidRPr="0098748D">
        <w:rPr>
          <w:sz w:val="18"/>
          <w:szCs w:val="20"/>
        </w:rPr>
        <w:t xml:space="preserve"> </w:t>
      </w:r>
      <w:proofErr w:type="spellStart"/>
      <w:r w:rsidR="0098748D" w:rsidRPr="0098748D">
        <w:rPr>
          <w:sz w:val="18"/>
          <w:szCs w:val="20"/>
        </w:rPr>
        <w:t>stercoralis</w:t>
      </w:r>
      <w:proofErr w:type="spellEnd"/>
      <w:r w:rsidR="0098748D" w:rsidRPr="0098748D">
        <w:rPr>
          <w:sz w:val="18"/>
          <w:szCs w:val="20"/>
        </w:rPr>
        <w:t xml:space="preserve"> and Enterobius vermicularis, were also identified. Additional pathogenic parasites included Ancylostoma duodenale, Trichomonas hominis, Entamoeba histolytica, Dipylidium spp., and Fasciola hepatica. This study suggests that the sewage systems in local hospitals in Salah Al-Din Province, Iraq, act as a source of medically important parasites.</w:t>
      </w:r>
      <w:r w:rsidR="0098748D">
        <w:rPr>
          <w:sz w:val="18"/>
          <w:szCs w:val="20"/>
        </w:rPr>
        <w:t xml:space="preserve"> </w:t>
      </w:r>
    </w:p>
    <w:p w14:paraId="0ED0450D" w14:textId="5432B69E" w:rsidR="0030573C" w:rsidRPr="0082636C" w:rsidRDefault="0030573C" w:rsidP="0098748D">
      <w:pPr>
        <w:spacing w:line="240" w:lineRule="auto"/>
        <w:ind w:left="288" w:right="288"/>
        <w:jc w:val="both"/>
        <w:rPr>
          <w:sz w:val="18"/>
          <w:szCs w:val="20"/>
        </w:rPr>
      </w:pPr>
      <w:r w:rsidRPr="0082636C">
        <w:rPr>
          <w:b/>
          <w:bCs/>
          <w:sz w:val="18"/>
          <w:szCs w:val="20"/>
          <w:lang w:val="en-GB"/>
        </w:rPr>
        <w:t>Keywords:</w:t>
      </w:r>
      <w:r w:rsidR="0082636C" w:rsidRPr="0082636C">
        <w:rPr>
          <w:rFonts w:hint="cs"/>
          <w:sz w:val="18"/>
          <w:szCs w:val="20"/>
          <w:rtl/>
          <w:lang w:val="en-GB"/>
        </w:rPr>
        <w:t xml:space="preserve"> </w:t>
      </w:r>
      <w:r w:rsidR="00F57559">
        <w:rPr>
          <w:sz w:val="18"/>
          <w:szCs w:val="20"/>
          <w:lang w:val="en-GB"/>
        </w:rPr>
        <w:t xml:space="preserve"> Public Risk, </w:t>
      </w:r>
      <w:proofErr w:type="spellStart"/>
      <w:r w:rsidR="0098748D" w:rsidRPr="0098748D">
        <w:rPr>
          <w:sz w:val="18"/>
          <w:szCs w:val="20"/>
          <w:lang w:val="en-GB"/>
        </w:rPr>
        <w:t>Periplaneta</w:t>
      </w:r>
      <w:proofErr w:type="spellEnd"/>
      <w:r w:rsidR="0098748D" w:rsidRPr="0098748D">
        <w:t xml:space="preserve"> </w:t>
      </w:r>
      <w:proofErr w:type="gramStart"/>
      <w:r w:rsidR="0098748D">
        <w:rPr>
          <w:sz w:val="18"/>
          <w:szCs w:val="20"/>
          <w:lang w:val="en-GB"/>
        </w:rPr>
        <w:t>A</w:t>
      </w:r>
      <w:r w:rsidR="0098748D" w:rsidRPr="0098748D">
        <w:rPr>
          <w:sz w:val="18"/>
          <w:szCs w:val="20"/>
          <w:lang w:val="en-GB"/>
        </w:rPr>
        <w:t>mericana</w:t>
      </w:r>
      <w:r w:rsidR="0098748D">
        <w:rPr>
          <w:sz w:val="18"/>
          <w:szCs w:val="20"/>
          <w:lang w:val="en-GB"/>
        </w:rPr>
        <w:t xml:space="preserve"> </w:t>
      </w:r>
      <w:r w:rsidR="00F57559">
        <w:rPr>
          <w:sz w:val="18"/>
          <w:szCs w:val="20"/>
          <w:lang w:val="en-GB"/>
        </w:rPr>
        <w:t>,</w:t>
      </w:r>
      <w:proofErr w:type="gramEnd"/>
      <w:r w:rsidR="00F57559">
        <w:rPr>
          <w:sz w:val="18"/>
          <w:szCs w:val="20"/>
          <w:lang w:val="en-GB"/>
        </w:rPr>
        <w:t xml:space="preserve"> Parasites, C</w:t>
      </w:r>
      <w:r w:rsidR="00F57559" w:rsidRPr="00F57559">
        <w:rPr>
          <w:sz w:val="18"/>
          <w:szCs w:val="20"/>
          <w:lang w:val="en-GB"/>
        </w:rPr>
        <w:t>ockroaches</w:t>
      </w:r>
      <w:r w:rsidR="0098748D">
        <w:rPr>
          <w:sz w:val="18"/>
          <w:szCs w:val="20"/>
          <w:lang w:val="en-GB"/>
        </w:rPr>
        <w:t>, Iraq.</w:t>
      </w:r>
    </w:p>
    <w:p w14:paraId="2C3C4FEE" w14:textId="77777777" w:rsidR="00887EA4" w:rsidRDefault="002D125E" w:rsidP="00DA4814">
      <w:pPr>
        <w:spacing w:line="240" w:lineRule="auto"/>
        <w:jc w:val="center"/>
      </w:pPr>
      <w:r>
        <w:rPr>
          <w:b/>
          <w:sz w:val="24"/>
        </w:rPr>
        <w:t>INTRODUCTION</w:t>
      </w:r>
    </w:p>
    <w:p w14:paraId="0E1F5849" w14:textId="70DA67FF" w:rsidR="00F57559" w:rsidRDefault="006C7108" w:rsidP="006C7108">
      <w:pPr>
        <w:spacing w:line="240" w:lineRule="auto"/>
        <w:ind w:firstLine="720"/>
        <w:jc w:val="both"/>
      </w:pPr>
      <w:r>
        <w:rPr>
          <w:rFonts w:hint="cs"/>
          <w:rtl/>
        </w:rPr>
        <w:t xml:space="preserve"> </w:t>
      </w:r>
      <w:r w:rsidR="00E44A8A">
        <w:t xml:space="preserve"> </w:t>
      </w:r>
      <w:r w:rsidRPr="006C7108">
        <w:t xml:space="preserve">Many types of cockroaches have adapted to various environmental niches, enabling them to survive under diverse conditions </w:t>
      </w:r>
      <w:r>
        <w:t xml:space="preserve">Although from 4600 species identified, ninety nine percent belong to non-human </w:t>
      </w:r>
      <w:r w:rsidR="00E44A8A">
        <w:t>[1-3]</w:t>
      </w:r>
      <w:r w:rsidR="00F57559">
        <w:t>, such as in in the tropics</w:t>
      </w:r>
      <w:r w:rsidR="00E44A8A">
        <w:t xml:space="preserve"> and subtropics of the world [4]</w:t>
      </w:r>
      <w:r>
        <w:t>.</w:t>
      </w:r>
      <w:r>
        <w:rPr>
          <w:rFonts w:hint="cs"/>
          <w:rtl/>
        </w:rPr>
        <w:t xml:space="preserve"> </w:t>
      </w:r>
      <w:r>
        <w:t>Although 4600 species have been identified, ninety-nine percent of them are non-human</w:t>
      </w:r>
      <w:r>
        <w:rPr>
          <w:rFonts w:hint="cs"/>
          <w:rtl/>
        </w:rPr>
        <w:t xml:space="preserve"> </w:t>
      </w:r>
      <w:r w:rsidR="00E44A8A">
        <w:t>[5]</w:t>
      </w:r>
      <w:r w:rsidR="00F57559">
        <w:t xml:space="preserve">. </w:t>
      </w:r>
      <w:r w:rsidRPr="006C7108">
        <w:t>However, some species, such as the German cockroach (</w:t>
      </w:r>
      <w:proofErr w:type="spellStart"/>
      <w:r w:rsidRPr="006C7108">
        <w:rPr>
          <w:i/>
          <w:iCs/>
        </w:rPr>
        <w:t>Blatella</w:t>
      </w:r>
      <w:proofErr w:type="spellEnd"/>
      <w:r w:rsidRPr="006C7108">
        <w:rPr>
          <w:i/>
          <w:iCs/>
        </w:rPr>
        <w:t xml:space="preserve"> germanica</w:t>
      </w:r>
      <w:r w:rsidRPr="006C7108">
        <w:t>) and the American cockroach (</w:t>
      </w:r>
      <w:proofErr w:type="spellStart"/>
      <w:r w:rsidRPr="006C7108">
        <w:rPr>
          <w:i/>
          <w:iCs/>
        </w:rPr>
        <w:t>Periplaneta</w:t>
      </w:r>
      <w:proofErr w:type="spellEnd"/>
      <w:r w:rsidRPr="006C7108">
        <w:rPr>
          <w:i/>
          <w:iCs/>
        </w:rPr>
        <w:t xml:space="preserve"> americana</w:t>
      </w:r>
      <w:r w:rsidRPr="006C7108">
        <w:t>), are closely associated with humans and are characterized by their widespread global presence</w:t>
      </w:r>
      <w:r>
        <w:rPr>
          <w:rFonts w:hint="cs"/>
          <w:rtl/>
        </w:rPr>
        <w:t xml:space="preserve"> </w:t>
      </w:r>
      <w:r w:rsidR="00E44A8A">
        <w:t>[6,7]</w:t>
      </w:r>
      <w:r w:rsidR="00F57559">
        <w:t>.</w:t>
      </w:r>
      <w:r w:rsidR="00F57D4B">
        <w:t xml:space="preserve"> </w:t>
      </w:r>
      <w:r w:rsidR="00F57559">
        <w:t>Depending on the World Health Organization (WHO), American cockroach became a major public health risk doe to their capability to carry mechanically many types of human pathogens like bacteria, fungi, viruses, and paras</w:t>
      </w:r>
      <w:r w:rsidR="00E44A8A">
        <w:t>ites on their body surfaces [9,10]</w:t>
      </w:r>
      <w:r>
        <w:t>.</w:t>
      </w:r>
      <w:r>
        <w:rPr>
          <w:rFonts w:hint="cs"/>
          <w:rtl/>
        </w:rPr>
        <w:t xml:space="preserve"> </w:t>
      </w:r>
      <w:r w:rsidRPr="006C7108">
        <w:t>Parasites, among the most diverse and prevalent human pathogens, are particularly common in developing countries and can cause a variety of diseases in both animals and humans</w:t>
      </w:r>
      <w:r w:rsidR="00E44A8A">
        <w:t xml:space="preserve"> [11]</w:t>
      </w:r>
      <w:r w:rsidR="00F57559">
        <w:t>, and the health risk increased due to their ability to transmission by vectors though many ways l</w:t>
      </w:r>
      <w:r w:rsidR="00E44A8A">
        <w:t>ike during food consumption [12]</w:t>
      </w:r>
      <w:r w:rsidR="00F57559">
        <w:t xml:space="preserve"> also on the exte</w:t>
      </w:r>
      <w:r w:rsidR="00E44A8A">
        <w:t>rnal surfaces of arthropods [13].</w:t>
      </w:r>
      <w:r w:rsidRPr="006C7108">
        <w:t xml:space="preserve"> Many previous studies have highlighted the significant risk posed by cockroaches in transmitting human pathogens</w:t>
      </w:r>
      <w:r w:rsidR="00F57559">
        <w:t>, as one study in Nigeria states the importance of the role of the American cockroach from the home environment in the transfer of pathological medical parasites on the outer and inner surface, and showed that 79 out of 150 American cockroaches were contaminated with medical parasites, including Entamoeba histolytica and</w:t>
      </w:r>
      <w:r w:rsidR="00E44A8A">
        <w:t xml:space="preserve"> various types of nematodes [14]</w:t>
      </w:r>
      <w:r w:rsidR="00F57559">
        <w:t xml:space="preserve">, confirmed by other previous works using different environments like university environment </w:t>
      </w:r>
      <w:r w:rsidR="00E44A8A">
        <w:t>[15]</w:t>
      </w:r>
      <w:r w:rsidR="00F57559">
        <w:t xml:space="preserve"> and in shops </w:t>
      </w:r>
      <w:r w:rsidR="00E44A8A">
        <w:t>[16]</w:t>
      </w:r>
      <w:r w:rsidR="00F57559">
        <w:t xml:space="preserve"> as well as in hospital settings (17), and this indicates that these environments can pose a medical hazard by sheltering cockroaches contaminated with medical parasites, but the assessment of the parasitic contamination in local environments in Iraq is still unclear and require further local studies. </w:t>
      </w:r>
    </w:p>
    <w:p w14:paraId="40473544" w14:textId="47DC2BD4" w:rsidR="00AB1D3D" w:rsidRDefault="00F57559" w:rsidP="00F57D4B">
      <w:pPr>
        <w:spacing w:line="240" w:lineRule="auto"/>
        <w:ind w:firstLine="720"/>
        <w:jc w:val="both"/>
      </w:pPr>
      <w:r>
        <w:t xml:space="preserve">Recently in capital, Baghdad, Iraq, a study of </w:t>
      </w:r>
      <w:r w:rsidR="00E44A8A">
        <w:t>[19]</w:t>
      </w:r>
      <w:r>
        <w:t xml:space="preserve"> shows great role of these insects in transmitting dangerous pathogens, as the American cockroaches in hospital environment, other local studies show the role of this insect in transmission bacterial pathogens </w:t>
      </w:r>
      <w:r w:rsidR="00E44A8A">
        <w:t>[18]</w:t>
      </w:r>
      <w:r>
        <w:t xml:space="preserve"> and these findings assume the importance to carry epidemiological studies in other local area, especially in hospitals environment. As many local studies </w:t>
      </w:r>
      <w:r>
        <w:lastRenderedPageBreak/>
        <w:t xml:space="preserve">prove that American cockroaches carry many types of pathogenic parasites, like Ancylostoma duodenale, </w:t>
      </w:r>
      <w:proofErr w:type="spellStart"/>
      <w:r>
        <w:t>Nyctotherus</w:t>
      </w:r>
      <w:proofErr w:type="spellEnd"/>
      <w:r>
        <w:t xml:space="preserve"> o</w:t>
      </w:r>
      <w:r w:rsidR="00E44A8A">
        <w:t>valis, Ancylostoma duodenale [20]</w:t>
      </w:r>
      <w:r>
        <w:t xml:space="preserve">, and other types including Enterobius vermicularis and Giardia species </w:t>
      </w:r>
      <w:r w:rsidR="00E44A8A">
        <w:t>[21].</w:t>
      </w:r>
      <w:r w:rsidR="00F57D4B">
        <w:t xml:space="preserve"> </w:t>
      </w:r>
      <w:r>
        <w:t xml:space="preserve">Although there have been many studies on them worldwide, the researchers believed that more thorough research should be done locally because there aren't many studies on American cockroaches, and as far as we know, no prior studies have been done on their potential role as human intestinal parasite vectors in hospitals environment in Salah al-Din Governorate. </w:t>
      </w:r>
      <w:proofErr w:type="gramStart"/>
      <w:r>
        <w:t>In order to</w:t>
      </w:r>
      <w:proofErr w:type="gramEnd"/>
      <w:r>
        <w:t xml:space="preserve"> ascertain the proportion of American cockroaches infected with medical parasites, the current study set out to isolate American cockroaches from hospitals environment within the Salah al-Din Governorate.</w:t>
      </w:r>
    </w:p>
    <w:p w14:paraId="0AEECE98" w14:textId="1528F111" w:rsidR="00F57D4B" w:rsidRPr="00AB1D3D" w:rsidRDefault="00F57D4B" w:rsidP="00F57559">
      <w:pPr>
        <w:spacing w:line="240" w:lineRule="auto"/>
        <w:ind w:firstLine="720"/>
        <w:jc w:val="both"/>
      </w:pPr>
      <w:r w:rsidRPr="00F57D4B">
        <w:t xml:space="preserve">This research is important for public health, especially in hospital settings, where American cockroaches can pose a serious health risk by carrying harmful parasites. By studying the cockroaches found in hospitals in Salah Al-Din Province, Iraq, the research sheds light on how these insects can spread diseases like </w:t>
      </w:r>
      <w:proofErr w:type="spellStart"/>
      <w:r w:rsidRPr="00F57D4B">
        <w:t>Strongyloides</w:t>
      </w:r>
      <w:proofErr w:type="spellEnd"/>
      <w:r w:rsidRPr="00F57D4B">
        <w:t xml:space="preserve"> </w:t>
      </w:r>
      <w:proofErr w:type="spellStart"/>
      <w:r w:rsidRPr="00F57D4B">
        <w:t>stercoralis</w:t>
      </w:r>
      <w:proofErr w:type="spellEnd"/>
      <w:r w:rsidRPr="00F57D4B">
        <w:t>, Enterobius vermicularis, and Fasciola hepatica. These findings are crucial for improving hygiene and infection control in hospitals, as they show how cockroaches, particularly in sewage systems, can be a hidden source of infections. This research helps raise awareness and provides valuable information for better sanitation practices, ultimately protecting the health of hospital patients, staff, and the wider community.</w:t>
      </w:r>
    </w:p>
    <w:p w14:paraId="60AD05C6" w14:textId="6A8F4446" w:rsidR="00887EA4" w:rsidRDefault="002D125E" w:rsidP="00DA4814">
      <w:pPr>
        <w:spacing w:line="240" w:lineRule="auto"/>
        <w:jc w:val="center"/>
      </w:pPr>
      <w:r>
        <w:rPr>
          <w:b/>
          <w:sz w:val="24"/>
        </w:rPr>
        <w:t>EXPERIMENTAL PART</w:t>
      </w:r>
    </w:p>
    <w:p w14:paraId="11C879CE" w14:textId="494C592B" w:rsidR="00FD01AE" w:rsidRDefault="00FD01AE" w:rsidP="00F57D4B">
      <w:pPr>
        <w:spacing w:line="240" w:lineRule="auto"/>
        <w:ind w:firstLine="720"/>
        <w:jc w:val="both"/>
      </w:pPr>
      <w:r>
        <w:t xml:space="preserve">A total of thirty-seven American cockroach specimens were collected from sewage systems of local hospitals in the </w:t>
      </w:r>
      <w:proofErr w:type="spellStart"/>
      <w:r>
        <w:t>Dhuluiya</w:t>
      </w:r>
      <w:proofErr w:type="spellEnd"/>
      <w:r>
        <w:t xml:space="preserve"> area. The collection period spanned from the beginning of October 2024 to the end of March 2025. All specimens were identified and verified by the Iraqi Natural History Center Research and Museum on December 17, 2024.</w:t>
      </w:r>
      <w:r w:rsidR="00F57D4B">
        <w:t xml:space="preserve"> </w:t>
      </w:r>
      <w:r>
        <w:t xml:space="preserve">The collected cockroaches were euthanized after being placed in sterilized containers and subjected to refrigeration at -4°C, following the method outlined by [22]. To facilitate the displacement of external parasite stages, 10 mL of </w:t>
      </w:r>
      <w:proofErr w:type="gramStart"/>
      <w:r>
        <w:t>sterile normal</w:t>
      </w:r>
      <w:proofErr w:type="gramEnd"/>
      <w:r>
        <w:t xml:space="preserve"> saline was added to each sample, which was then vigorously shaken. The samples were subsequently centrifuged at 3000 rpm for 5 minutes, and the resulting pellets were examined under a microscope. Lugol's iodine dye was applied to the pellet samples to assist in the identification of external parasites, as per the procedure described by [23].</w:t>
      </w:r>
    </w:p>
    <w:p w14:paraId="3B51ADE3" w14:textId="385942C9" w:rsidR="00FD01AE" w:rsidRDefault="00FD01AE" w:rsidP="00F57D4B">
      <w:pPr>
        <w:spacing w:line="240" w:lineRule="auto"/>
        <w:ind w:firstLine="720"/>
        <w:jc w:val="both"/>
      </w:pPr>
      <w:r>
        <w:t>The protocol established by [20] was used to isolate internal parasites from the American cockroaches. Each specimen was anatomized, and the digestive tract</w:t>
      </w:r>
      <w:r w:rsidR="00645107">
        <w:t xml:space="preserve"> (Figure 2)</w:t>
      </w:r>
      <w:r>
        <w:t xml:space="preserve"> was carefully isolated and washed with distilled water. Following this, 10 mL of normal saline was added, and the sample was centrifuged at 2000 rpm for 5 minutes. The resultant pellet was then microscopically examined for the presence of internal parasites. To aid in the identification process, the pellets were stained with Lugol's iodine dye, as indicated by [6].</w:t>
      </w:r>
      <w:r w:rsidR="00645107">
        <w:t xml:space="preserve"> </w:t>
      </w:r>
      <w:r>
        <w:t xml:space="preserve">The identification of both external and internal parasites isolated from the American cockroaches was carried out using the most recent identification keys provided by [24]. Various diagnostic characteristics, such as size, shape, and </w:t>
      </w:r>
      <w:proofErr w:type="gramStart"/>
      <w:r>
        <w:t>the number</w:t>
      </w:r>
      <w:proofErr w:type="gramEnd"/>
      <w:r>
        <w:t xml:space="preserve"> of cysts, were used in conjunction with these keys to accurately identify the parasites present in the samples.</w:t>
      </w:r>
    </w:p>
    <w:p w14:paraId="363D815C" w14:textId="394B814E" w:rsidR="00FB19C0" w:rsidRPr="00800607" w:rsidRDefault="00FB19C0" w:rsidP="00FB19C0">
      <w:pPr>
        <w:spacing w:line="240" w:lineRule="auto"/>
        <w:jc w:val="center"/>
        <w:rPr>
          <w:rFonts w:asciiTheme="majorBidi" w:hAnsiTheme="majorBidi" w:cstheme="majorBidi"/>
        </w:rPr>
      </w:pPr>
      <w:r>
        <w:rPr>
          <w:rFonts w:eastAsia="Calibri" w:cs="Simplified Arabic"/>
          <w:b/>
          <w:noProof/>
          <w:kern w:val="2"/>
          <w:sz w:val="18"/>
          <w:szCs w:val="18"/>
        </w:rPr>
        <w:drawing>
          <wp:inline distT="0" distB="0" distL="0" distR="0" wp14:anchorId="709885BA" wp14:editId="32393EC9">
            <wp:extent cx="1813740" cy="2072640"/>
            <wp:effectExtent l="0" t="0" r="0" b="381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861" cy="2081920"/>
                    </a:xfrm>
                    <a:prstGeom prst="rect">
                      <a:avLst/>
                    </a:prstGeom>
                    <a:noFill/>
                    <a:ln>
                      <a:noFill/>
                    </a:ln>
                  </pic:spPr>
                </pic:pic>
              </a:graphicData>
            </a:graphic>
          </wp:inline>
        </w:drawing>
      </w:r>
    </w:p>
    <w:p w14:paraId="277678F7" w14:textId="1E21404D" w:rsidR="00FB19C0" w:rsidRPr="00FB19C0" w:rsidRDefault="00FB19C0" w:rsidP="00FB19C0">
      <w:pPr>
        <w:spacing w:line="240" w:lineRule="auto"/>
        <w:jc w:val="center"/>
        <w:rPr>
          <w:bCs/>
          <w:sz w:val="18"/>
          <w:szCs w:val="16"/>
        </w:rPr>
      </w:pPr>
      <w:r w:rsidRPr="00FB19C0">
        <w:rPr>
          <w:b/>
          <w:sz w:val="18"/>
          <w:szCs w:val="16"/>
        </w:rPr>
        <w:t>FIGURE 1.</w:t>
      </w:r>
      <w:r w:rsidRPr="00FB19C0">
        <w:rPr>
          <w:bCs/>
          <w:sz w:val="18"/>
          <w:szCs w:val="16"/>
        </w:rPr>
        <w:t xml:space="preserve"> </w:t>
      </w:r>
      <w:r>
        <w:rPr>
          <w:bCs/>
          <w:sz w:val="18"/>
          <w:szCs w:val="16"/>
        </w:rPr>
        <w:t>Sterilized Plastic Containers Containing Cockroach S</w:t>
      </w:r>
      <w:r w:rsidRPr="00FB19C0">
        <w:rPr>
          <w:bCs/>
          <w:sz w:val="18"/>
          <w:szCs w:val="16"/>
        </w:rPr>
        <w:t>amples</w:t>
      </w:r>
      <w:r>
        <w:rPr>
          <w:bCs/>
          <w:sz w:val="18"/>
          <w:szCs w:val="16"/>
        </w:rPr>
        <w:t xml:space="preserve"> Collected for Laboratory E</w:t>
      </w:r>
      <w:r w:rsidRPr="00FB19C0">
        <w:rPr>
          <w:bCs/>
          <w:sz w:val="18"/>
          <w:szCs w:val="16"/>
        </w:rPr>
        <w:t>xamination.</w:t>
      </w:r>
    </w:p>
    <w:p w14:paraId="0D40D396" w14:textId="5D9D70B1" w:rsidR="00FB19C0" w:rsidRPr="00FB19C0" w:rsidRDefault="00FB19C0" w:rsidP="00FB19C0">
      <w:pPr>
        <w:spacing w:line="240" w:lineRule="auto"/>
        <w:jc w:val="center"/>
        <w:rPr>
          <w:b/>
          <w:bCs/>
          <w:szCs w:val="18"/>
          <w:rtl/>
          <w:lang w:bidi="ar-IQ"/>
        </w:rPr>
      </w:pPr>
      <w:r w:rsidRPr="00FB19C0">
        <w:rPr>
          <w:b/>
          <w:bCs/>
          <w:noProof/>
          <w:szCs w:val="18"/>
        </w:rPr>
        <w:lastRenderedPageBreak/>
        <w:drawing>
          <wp:inline distT="0" distB="0" distL="0" distR="0" wp14:anchorId="1A3563C2" wp14:editId="3E721930">
            <wp:extent cx="2406770" cy="2303094"/>
            <wp:effectExtent l="19050" t="19050" r="12700" b="215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000" t="2695" r="3142" b="4180"/>
                    <a:stretch/>
                  </pic:blipFill>
                  <pic:spPr bwMode="auto">
                    <a:xfrm>
                      <a:off x="0" y="0"/>
                      <a:ext cx="2406770" cy="2303094"/>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FF86039" w14:textId="7962273D" w:rsidR="00FB19C0" w:rsidRPr="00FB19C0" w:rsidRDefault="00FB19C0" w:rsidP="00FB19C0">
      <w:pPr>
        <w:spacing w:line="240" w:lineRule="auto"/>
        <w:jc w:val="center"/>
        <w:rPr>
          <w:bCs/>
          <w:sz w:val="18"/>
          <w:szCs w:val="16"/>
        </w:rPr>
      </w:pPr>
      <w:r w:rsidRPr="00FB19C0">
        <w:rPr>
          <w:b/>
          <w:sz w:val="18"/>
          <w:szCs w:val="16"/>
        </w:rPr>
        <w:t>FIGURE 2.</w:t>
      </w:r>
      <w:r w:rsidRPr="00FB19C0">
        <w:rPr>
          <w:bCs/>
          <w:sz w:val="18"/>
          <w:szCs w:val="16"/>
        </w:rPr>
        <w:t xml:space="preserve"> </w:t>
      </w:r>
      <w:r>
        <w:rPr>
          <w:bCs/>
          <w:sz w:val="18"/>
          <w:szCs w:val="16"/>
        </w:rPr>
        <w:t>The Digestive Tract of the American C</w:t>
      </w:r>
      <w:r w:rsidRPr="00FB19C0">
        <w:rPr>
          <w:bCs/>
          <w:sz w:val="18"/>
          <w:szCs w:val="16"/>
        </w:rPr>
        <w:t>ockroach.</w:t>
      </w:r>
    </w:p>
    <w:p w14:paraId="2C17D062" w14:textId="524BE2F0" w:rsidR="00887EA4" w:rsidRDefault="002D125E" w:rsidP="00DA4814">
      <w:pPr>
        <w:spacing w:line="240" w:lineRule="auto"/>
        <w:jc w:val="center"/>
      </w:pPr>
      <w:r>
        <w:rPr>
          <w:b/>
          <w:sz w:val="24"/>
        </w:rPr>
        <w:t>RESULTS AND DISCUSSION</w:t>
      </w:r>
    </w:p>
    <w:p w14:paraId="1859B136" w14:textId="3A3D1916" w:rsidR="00FD01AE" w:rsidRDefault="0057331E" w:rsidP="0098748D">
      <w:pPr>
        <w:spacing w:line="240" w:lineRule="auto"/>
        <w:ind w:firstLine="567"/>
        <w:jc w:val="both"/>
        <w:rPr>
          <w:rFonts w:asciiTheme="majorBidi" w:hAnsiTheme="majorBidi" w:cstheme="majorBidi"/>
        </w:rPr>
      </w:pPr>
      <w:r>
        <w:t xml:space="preserve"> </w:t>
      </w:r>
      <w:r w:rsidR="00F14573">
        <w:t xml:space="preserve"> </w:t>
      </w:r>
      <w:r w:rsidR="00FD01AE">
        <w:rPr>
          <w:rFonts w:hint="cs"/>
          <w:rtl/>
        </w:rPr>
        <w:t xml:space="preserve">  </w:t>
      </w:r>
      <w:r w:rsidR="00FD01AE" w:rsidRPr="00B616F1">
        <w:rPr>
          <w:rFonts w:asciiTheme="majorBidi" w:hAnsiTheme="majorBidi" w:cstheme="majorBidi"/>
        </w:rPr>
        <w:t>Results of present study as shown in table (1) show that November is preferable duration of prevalence of American cockroaches in hospitals, as the table show that 67.57% (25 samples) of total collected cockroaches were in November month, while in October and December, the study was unable to collect American cockroaches. During first period of year, present study collects 12 samples of American cockroaches distributed equally (6 sample) to January and February, while no sample collected during March.</w:t>
      </w:r>
      <w:r w:rsidR="00F57D4B">
        <w:rPr>
          <w:rFonts w:asciiTheme="majorBidi" w:hAnsiTheme="majorBidi" w:cstheme="majorBidi"/>
        </w:rPr>
        <w:t xml:space="preserve"> </w:t>
      </w:r>
      <w:r w:rsidR="00FD01AE" w:rsidRPr="00B616F1">
        <w:rPr>
          <w:rFonts w:asciiTheme="majorBidi" w:hAnsiTheme="majorBidi" w:cstheme="majorBidi"/>
        </w:rPr>
        <w:t xml:space="preserve">This study reveals presence of 14 different parasites species with different diagnostic stages, and table (2) shows that the most prevalent parasites in local hospitals were </w:t>
      </w:r>
      <w:proofErr w:type="spellStart"/>
      <w:r w:rsidR="00FD01AE" w:rsidRPr="00461EFC">
        <w:rPr>
          <w:rFonts w:asciiTheme="majorBidi" w:hAnsiTheme="majorBidi" w:cstheme="majorBidi"/>
          <w:iCs/>
        </w:rPr>
        <w:t>Nectothyrous</w:t>
      </w:r>
      <w:proofErr w:type="spellEnd"/>
      <w:r w:rsidR="00FD01AE" w:rsidRPr="00461EFC">
        <w:rPr>
          <w:rFonts w:asciiTheme="majorBidi" w:hAnsiTheme="majorBidi" w:cstheme="majorBidi"/>
          <w:iCs/>
        </w:rPr>
        <w:t xml:space="preserve"> ovalis</w:t>
      </w:r>
      <w:r w:rsidR="00FD01AE" w:rsidRPr="00B616F1">
        <w:rPr>
          <w:rFonts w:asciiTheme="majorBidi" w:hAnsiTheme="majorBidi" w:cstheme="majorBidi"/>
          <w:i/>
          <w:iCs/>
        </w:rPr>
        <w:t xml:space="preserve"> </w:t>
      </w:r>
      <w:r w:rsidR="00FD01AE" w:rsidRPr="00B616F1">
        <w:rPr>
          <w:rFonts w:asciiTheme="majorBidi" w:hAnsiTheme="majorBidi" w:cstheme="majorBidi"/>
        </w:rPr>
        <w:t xml:space="preserve">(7 samples) followed by both </w:t>
      </w:r>
      <w:proofErr w:type="spellStart"/>
      <w:r w:rsidR="00FD01AE" w:rsidRPr="00461EFC">
        <w:rPr>
          <w:rFonts w:asciiTheme="majorBidi" w:hAnsiTheme="majorBidi" w:cstheme="majorBidi"/>
          <w:iCs/>
        </w:rPr>
        <w:t>Strongyloides</w:t>
      </w:r>
      <w:proofErr w:type="spellEnd"/>
      <w:r w:rsidR="00FD01AE" w:rsidRPr="00461EFC">
        <w:rPr>
          <w:rFonts w:asciiTheme="majorBidi" w:hAnsiTheme="majorBidi" w:cstheme="majorBidi"/>
          <w:iCs/>
        </w:rPr>
        <w:t xml:space="preserve"> </w:t>
      </w:r>
      <w:proofErr w:type="spellStart"/>
      <w:r w:rsidR="00FD01AE" w:rsidRPr="00461EFC">
        <w:rPr>
          <w:rFonts w:asciiTheme="majorBidi" w:hAnsiTheme="majorBidi" w:cstheme="majorBidi"/>
          <w:iCs/>
        </w:rPr>
        <w:t>stercoralis</w:t>
      </w:r>
      <w:proofErr w:type="spellEnd"/>
      <w:r w:rsidR="00FD01AE" w:rsidRPr="00461EFC">
        <w:rPr>
          <w:rFonts w:asciiTheme="majorBidi" w:hAnsiTheme="majorBidi" w:cstheme="majorBidi"/>
          <w:iCs/>
        </w:rPr>
        <w:t xml:space="preserve"> </w:t>
      </w:r>
      <w:r w:rsidR="00FD01AE" w:rsidRPr="00461EFC">
        <w:rPr>
          <w:rFonts w:asciiTheme="majorBidi" w:hAnsiTheme="majorBidi" w:cstheme="majorBidi"/>
        </w:rPr>
        <w:t xml:space="preserve">and </w:t>
      </w:r>
      <w:r w:rsidR="00FD01AE" w:rsidRPr="00461EFC">
        <w:rPr>
          <w:rFonts w:asciiTheme="majorBidi" w:hAnsiTheme="majorBidi" w:cstheme="majorBidi"/>
          <w:iCs/>
        </w:rPr>
        <w:t xml:space="preserve">Enterobius vermicularis </w:t>
      </w:r>
      <w:r w:rsidR="00FD01AE" w:rsidRPr="00461EFC">
        <w:rPr>
          <w:rFonts w:asciiTheme="majorBidi" w:hAnsiTheme="majorBidi" w:cstheme="majorBidi"/>
        </w:rPr>
        <w:t xml:space="preserve">(4 samples for each one), 3 samples were positive for </w:t>
      </w:r>
      <w:r w:rsidR="00FD01AE" w:rsidRPr="00461EFC">
        <w:rPr>
          <w:rFonts w:asciiTheme="majorBidi" w:hAnsiTheme="majorBidi" w:cstheme="majorBidi"/>
          <w:iCs/>
        </w:rPr>
        <w:t xml:space="preserve">Ancylostoma </w:t>
      </w:r>
      <w:proofErr w:type="spellStart"/>
      <w:r w:rsidR="00FD01AE" w:rsidRPr="00461EFC">
        <w:rPr>
          <w:rFonts w:asciiTheme="majorBidi" w:hAnsiTheme="majorBidi" w:cstheme="majorBidi"/>
          <w:iCs/>
        </w:rPr>
        <w:t>duodenalis</w:t>
      </w:r>
      <w:proofErr w:type="spellEnd"/>
      <w:r w:rsidR="00FD01AE" w:rsidRPr="00461EFC">
        <w:rPr>
          <w:rFonts w:asciiTheme="majorBidi" w:hAnsiTheme="majorBidi" w:cstheme="majorBidi"/>
          <w:iCs/>
        </w:rPr>
        <w:t xml:space="preserve"> </w:t>
      </w:r>
      <w:r w:rsidR="00FD01AE" w:rsidRPr="00461EFC">
        <w:rPr>
          <w:rFonts w:asciiTheme="majorBidi" w:hAnsiTheme="majorBidi" w:cstheme="majorBidi"/>
        </w:rPr>
        <w:t xml:space="preserve">and </w:t>
      </w:r>
      <w:r w:rsidR="00FD01AE" w:rsidRPr="00461EFC">
        <w:rPr>
          <w:rFonts w:asciiTheme="majorBidi" w:hAnsiTheme="majorBidi" w:cstheme="majorBidi"/>
          <w:iCs/>
        </w:rPr>
        <w:t xml:space="preserve">Trichomonas hominis, </w:t>
      </w:r>
      <w:r w:rsidR="00FD01AE" w:rsidRPr="00461EFC">
        <w:rPr>
          <w:rFonts w:asciiTheme="majorBidi" w:hAnsiTheme="majorBidi" w:cstheme="majorBidi"/>
        </w:rPr>
        <w:t xml:space="preserve">other parasites species like </w:t>
      </w:r>
      <w:r w:rsidR="00FD01AE" w:rsidRPr="00461EFC">
        <w:rPr>
          <w:rFonts w:asciiTheme="majorBidi" w:hAnsiTheme="majorBidi" w:cstheme="majorBidi"/>
          <w:iCs/>
        </w:rPr>
        <w:t>Entamoeba histolytica</w:t>
      </w:r>
      <w:r w:rsidR="00FD01AE" w:rsidRPr="00461EFC">
        <w:rPr>
          <w:rFonts w:asciiTheme="majorBidi" w:hAnsiTheme="majorBidi" w:cstheme="majorBidi"/>
        </w:rPr>
        <w:t xml:space="preserve"> (cyst) and </w:t>
      </w:r>
      <w:r w:rsidR="00FD01AE" w:rsidRPr="00461EFC">
        <w:rPr>
          <w:rFonts w:asciiTheme="majorBidi" w:hAnsiTheme="majorBidi" w:cstheme="majorBidi"/>
          <w:iCs/>
        </w:rPr>
        <w:t>Dipylidium (eggs)</w:t>
      </w:r>
      <w:r w:rsidR="00FD01AE" w:rsidRPr="00461EFC">
        <w:rPr>
          <w:rFonts w:asciiTheme="majorBidi" w:hAnsiTheme="majorBidi" w:cstheme="majorBidi"/>
        </w:rPr>
        <w:t xml:space="preserve"> and </w:t>
      </w:r>
      <w:r w:rsidR="00FD01AE" w:rsidRPr="00461EFC">
        <w:rPr>
          <w:rFonts w:asciiTheme="majorBidi" w:hAnsiTheme="majorBidi" w:cstheme="majorBidi"/>
          <w:iCs/>
        </w:rPr>
        <w:t>Fasciola hepatica</w:t>
      </w:r>
      <w:r w:rsidR="00FD01AE" w:rsidRPr="00461EFC">
        <w:rPr>
          <w:rFonts w:asciiTheme="majorBidi" w:hAnsiTheme="majorBidi" w:cstheme="majorBidi"/>
        </w:rPr>
        <w:t xml:space="preserve"> (eggs) were appeared in twice, while </w:t>
      </w:r>
      <w:r w:rsidR="00FD01AE" w:rsidRPr="00461EFC">
        <w:rPr>
          <w:rFonts w:asciiTheme="majorBidi" w:hAnsiTheme="majorBidi" w:cstheme="majorBidi"/>
          <w:iCs/>
        </w:rPr>
        <w:t>Entamoeba coli</w:t>
      </w:r>
      <w:r w:rsidR="00FD01AE" w:rsidRPr="00461EFC">
        <w:rPr>
          <w:rFonts w:asciiTheme="majorBidi" w:hAnsiTheme="majorBidi" w:cstheme="majorBidi"/>
        </w:rPr>
        <w:t xml:space="preserve"> (cyst), </w:t>
      </w:r>
      <w:r w:rsidR="00FD01AE" w:rsidRPr="00461EFC">
        <w:rPr>
          <w:rFonts w:asciiTheme="majorBidi" w:hAnsiTheme="majorBidi" w:cstheme="majorBidi"/>
          <w:iCs/>
        </w:rPr>
        <w:t>Giardia lamblia</w:t>
      </w:r>
      <w:r w:rsidR="00FD01AE" w:rsidRPr="00461EFC">
        <w:rPr>
          <w:rFonts w:asciiTheme="majorBidi" w:hAnsiTheme="majorBidi" w:cstheme="majorBidi"/>
        </w:rPr>
        <w:t xml:space="preserve"> (trophozoite), </w:t>
      </w:r>
      <w:proofErr w:type="spellStart"/>
      <w:r w:rsidR="00FD01AE" w:rsidRPr="00461EFC">
        <w:rPr>
          <w:rFonts w:asciiTheme="majorBidi" w:hAnsiTheme="majorBidi" w:cstheme="majorBidi"/>
          <w:iCs/>
        </w:rPr>
        <w:t>Hymenolepis</w:t>
      </w:r>
      <w:proofErr w:type="spellEnd"/>
      <w:r w:rsidR="00FD01AE" w:rsidRPr="00461EFC">
        <w:rPr>
          <w:rFonts w:asciiTheme="majorBidi" w:hAnsiTheme="majorBidi" w:cstheme="majorBidi"/>
          <w:iCs/>
        </w:rPr>
        <w:t xml:space="preserve"> nana, </w:t>
      </w:r>
      <w:proofErr w:type="spellStart"/>
      <w:r w:rsidR="00FD01AE" w:rsidRPr="00461EFC">
        <w:rPr>
          <w:rFonts w:asciiTheme="majorBidi" w:hAnsiTheme="majorBidi" w:cstheme="majorBidi"/>
          <w:iCs/>
        </w:rPr>
        <w:t>Toxocara</w:t>
      </w:r>
      <w:proofErr w:type="spellEnd"/>
      <w:r w:rsidR="00FD01AE" w:rsidRPr="00461EFC">
        <w:rPr>
          <w:rFonts w:asciiTheme="majorBidi" w:hAnsiTheme="majorBidi" w:cstheme="majorBidi"/>
          <w:iCs/>
        </w:rPr>
        <w:t xml:space="preserve"> </w:t>
      </w:r>
      <w:proofErr w:type="spellStart"/>
      <w:r w:rsidR="00FD01AE" w:rsidRPr="00461EFC">
        <w:rPr>
          <w:rFonts w:asciiTheme="majorBidi" w:hAnsiTheme="majorBidi" w:cstheme="majorBidi"/>
          <w:iCs/>
        </w:rPr>
        <w:t>canis</w:t>
      </w:r>
      <w:proofErr w:type="spellEnd"/>
      <w:r w:rsidR="00FD01AE" w:rsidRPr="00461EFC">
        <w:rPr>
          <w:rFonts w:asciiTheme="majorBidi" w:hAnsiTheme="majorBidi" w:cstheme="majorBidi"/>
          <w:iCs/>
        </w:rPr>
        <w:t xml:space="preserve">, Diphyllobothrium latum, </w:t>
      </w:r>
      <w:r w:rsidR="00FD01AE" w:rsidRPr="00461EFC">
        <w:rPr>
          <w:rFonts w:asciiTheme="majorBidi" w:hAnsiTheme="majorBidi" w:cstheme="majorBidi"/>
        </w:rPr>
        <w:t xml:space="preserve">and </w:t>
      </w:r>
      <w:r w:rsidR="00FD01AE" w:rsidRPr="00461EFC">
        <w:rPr>
          <w:rFonts w:asciiTheme="majorBidi" w:hAnsiTheme="majorBidi" w:cstheme="majorBidi"/>
          <w:iCs/>
        </w:rPr>
        <w:t xml:space="preserve">Ascaris lumbricoides </w:t>
      </w:r>
      <w:r w:rsidR="00FD01AE" w:rsidRPr="00461EFC">
        <w:rPr>
          <w:rFonts w:asciiTheme="majorBidi" w:hAnsiTheme="majorBidi" w:cstheme="majorBidi"/>
        </w:rPr>
        <w:t>were appeared once</w:t>
      </w:r>
      <w:r w:rsidR="00FD01AE" w:rsidRPr="00B616F1">
        <w:rPr>
          <w:rFonts w:asciiTheme="majorBidi" w:hAnsiTheme="majorBidi" w:cstheme="majorBidi"/>
        </w:rPr>
        <w:t>.</w:t>
      </w:r>
    </w:p>
    <w:p w14:paraId="348EEE00" w14:textId="655D156C" w:rsidR="00FD01AE" w:rsidRPr="004461B8" w:rsidRDefault="0098748D" w:rsidP="003F3369">
      <w:pPr>
        <w:spacing w:after="0" w:line="240" w:lineRule="auto"/>
        <w:jc w:val="center"/>
        <w:rPr>
          <w:sz w:val="18"/>
          <w:szCs w:val="20"/>
        </w:rPr>
      </w:pPr>
      <w:r w:rsidRPr="0098748D">
        <w:rPr>
          <w:b/>
          <w:bCs/>
          <w:sz w:val="18"/>
          <w:szCs w:val="20"/>
        </w:rPr>
        <w:t xml:space="preserve">TABLE 1. </w:t>
      </w:r>
      <w:r w:rsidRPr="0098748D">
        <w:rPr>
          <w:sz w:val="18"/>
          <w:szCs w:val="20"/>
        </w:rPr>
        <w:t>Distribution of Collected Cockroaches and Percentage of Parasite Infections by Month</w:t>
      </w:r>
      <w:r>
        <w:rPr>
          <w:b/>
          <w:bCs/>
          <w:sz w:val="18"/>
          <w:szCs w:val="20"/>
        </w:rPr>
        <w:t xml:space="preserve"> </w:t>
      </w:r>
    </w:p>
    <w:tbl>
      <w:tblPr>
        <w:tblW w:w="8865" w:type="dxa"/>
        <w:jc w:val="center"/>
        <w:tblCellSpacing w:w="15" w:type="dxa"/>
        <w:tblCellMar>
          <w:top w:w="15" w:type="dxa"/>
          <w:left w:w="15" w:type="dxa"/>
          <w:bottom w:w="15" w:type="dxa"/>
          <w:right w:w="15" w:type="dxa"/>
        </w:tblCellMar>
        <w:tblLook w:val="04A0" w:firstRow="1" w:lastRow="0" w:firstColumn="1" w:lastColumn="0" w:noHBand="0" w:noVBand="1"/>
      </w:tblPr>
      <w:tblGrid>
        <w:gridCol w:w="1219"/>
        <w:gridCol w:w="2202"/>
        <w:gridCol w:w="1779"/>
        <w:gridCol w:w="1936"/>
        <w:gridCol w:w="30"/>
        <w:gridCol w:w="1496"/>
        <w:gridCol w:w="203"/>
      </w:tblGrid>
      <w:tr w:rsidR="00E806D2" w:rsidRPr="0098748D" w14:paraId="74208025" w14:textId="77777777" w:rsidTr="00E806D2">
        <w:trPr>
          <w:tblHeader/>
          <w:tblCellSpacing w:w="15" w:type="dxa"/>
          <w:jc w:val="center"/>
        </w:trPr>
        <w:tc>
          <w:tcPr>
            <w:tcW w:w="0" w:type="auto"/>
            <w:tcBorders>
              <w:top w:val="single" w:sz="4" w:space="0" w:color="auto"/>
              <w:bottom w:val="single" w:sz="4" w:space="0" w:color="auto"/>
            </w:tcBorders>
            <w:vAlign w:val="center"/>
            <w:hideMark/>
          </w:tcPr>
          <w:p w14:paraId="3716D743"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Month</w:t>
            </w:r>
          </w:p>
        </w:tc>
        <w:tc>
          <w:tcPr>
            <w:tcW w:w="2172" w:type="dxa"/>
            <w:tcBorders>
              <w:top w:val="single" w:sz="4" w:space="0" w:color="auto"/>
              <w:bottom w:val="single" w:sz="4" w:space="0" w:color="auto"/>
            </w:tcBorders>
            <w:vAlign w:val="center"/>
            <w:hideMark/>
          </w:tcPr>
          <w:p w14:paraId="024CECD3"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Number of Collected Cockroaches</w:t>
            </w:r>
          </w:p>
        </w:tc>
        <w:tc>
          <w:tcPr>
            <w:tcW w:w="1749" w:type="dxa"/>
            <w:tcBorders>
              <w:top w:val="single" w:sz="4" w:space="0" w:color="auto"/>
              <w:bottom w:val="single" w:sz="4" w:space="0" w:color="auto"/>
            </w:tcBorders>
            <w:vAlign w:val="center"/>
            <w:hideMark/>
          </w:tcPr>
          <w:p w14:paraId="14F5D31C" w14:textId="77777777" w:rsidR="00E806D2" w:rsidRDefault="0098748D" w:rsidP="0098748D">
            <w:pPr>
              <w:spacing w:after="0" w:line="240" w:lineRule="auto"/>
              <w:jc w:val="center"/>
              <w:rPr>
                <w:rFonts w:cs="Times New Roman"/>
                <w:b/>
                <w:bCs/>
                <w:sz w:val="18"/>
                <w:szCs w:val="18"/>
                <w:rtl/>
              </w:rPr>
            </w:pPr>
            <w:r w:rsidRPr="0098748D">
              <w:rPr>
                <w:rFonts w:cs="Times New Roman"/>
                <w:b/>
                <w:bCs/>
                <w:sz w:val="18"/>
                <w:szCs w:val="18"/>
              </w:rPr>
              <w:t>Percentage (%)</w:t>
            </w:r>
          </w:p>
          <w:p w14:paraId="5C261911" w14:textId="62B88A9B" w:rsidR="0098748D" w:rsidRPr="0098748D" w:rsidRDefault="00E806D2" w:rsidP="00E806D2">
            <w:pPr>
              <w:spacing w:after="0" w:line="240" w:lineRule="auto"/>
              <w:jc w:val="center"/>
              <w:rPr>
                <w:rFonts w:cs="Times New Roman"/>
                <w:b/>
                <w:bCs/>
                <w:sz w:val="18"/>
                <w:szCs w:val="18"/>
                <w:rtl/>
                <w:lang w:bidi="ar-IQ"/>
              </w:rPr>
            </w:pPr>
            <w:r w:rsidRPr="00E806D2">
              <w:rPr>
                <w:rFonts w:cs="Times New Roman"/>
                <w:b/>
                <w:bCs/>
                <w:sz w:val="18"/>
                <w:szCs w:val="18"/>
                <w:lang w:bidi="ar-IQ"/>
              </w:rPr>
              <w:t xml:space="preserve">Part/Whole </w:t>
            </w:r>
            <w:r>
              <w:rPr>
                <w:rFonts w:cs="Times New Roman" w:hint="cs"/>
                <w:b/>
                <w:bCs/>
                <w:sz w:val="18"/>
                <w:szCs w:val="18"/>
                <w:rtl/>
                <w:lang w:bidi="ar-IQ"/>
              </w:rPr>
              <w:t xml:space="preserve"> </w:t>
            </w:r>
            <m:oMath>
              <m:r>
                <m:rPr>
                  <m:sty m:val="b"/>
                </m:rPr>
                <w:rPr>
                  <w:rFonts w:ascii="Cambria Math" w:hAnsi="Cambria Math" w:cs="Times New Roman"/>
                  <w:sz w:val="18"/>
                  <w:szCs w:val="18"/>
                  <w:lang w:bidi="ar-IQ"/>
                </w:rPr>
                <m:t>×</m:t>
              </m:r>
            </m:oMath>
            <w:r w:rsidRPr="00E806D2">
              <w:rPr>
                <w:rFonts w:cs="Times New Roman"/>
                <w:b/>
                <w:bCs/>
                <w:sz w:val="18"/>
                <w:szCs w:val="18"/>
                <w:lang w:bidi="ar-IQ"/>
              </w:rPr>
              <w:t xml:space="preserve"> 100</w:t>
            </w:r>
            <w:r>
              <w:rPr>
                <w:rFonts w:cs="Times New Roman" w:hint="cs"/>
                <w:b/>
                <w:bCs/>
                <w:sz w:val="18"/>
                <w:szCs w:val="18"/>
                <w:rtl/>
                <w:lang w:bidi="ar-IQ"/>
              </w:rPr>
              <w:t>%</w:t>
            </w:r>
          </w:p>
        </w:tc>
        <w:tc>
          <w:tcPr>
            <w:tcW w:w="1906" w:type="dxa"/>
            <w:tcBorders>
              <w:top w:val="single" w:sz="4" w:space="0" w:color="auto"/>
              <w:bottom w:val="single" w:sz="4" w:space="0" w:color="auto"/>
            </w:tcBorders>
            <w:vAlign w:val="center"/>
            <w:hideMark/>
          </w:tcPr>
          <w:p w14:paraId="3C9C86C8"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Number of Affected Cockroaches</w:t>
            </w:r>
          </w:p>
        </w:tc>
        <w:tc>
          <w:tcPr>
            <w:tcW w:w="1709" w:type="dxa"/>
            <w:gridSpan w:val="3"/>
            <w:tcBorders>
              <w:top w:val="single" w:sz="4" w:space="0" w:color="auto"/>
              <w:bottom w:val="single" w:sz="4" w:space="0" w:color="auto"/>
            </w:tcBorders>
            <w:vAlign w:val="center"/>
            <w:hideMark/>
          </w:tcPr>
          <w:p w14:paraId="5AFCDEE9" w14:textId="77777777" w:rsidR="00E806D2" w:rsidRDefault="00E806D2" w:rsidP="0098748D">
            <w:pPr>
              <w:spacing w:after="0" w:line="240" w:lineRule="auto"/>
              <w:jc w:val="center"/>
              <w:rPr>
                <w:rFonts w:cs="Times New Roman"/>
                <w:b/>
                <w:bCs/>
                <w:sz w:val="18"/>
                <w:szCs w:val="18"/>
                <w:rtl/>
              </w:rPr>
            </w:pPr>
            <w:proofErr w:type="gramStart"/>
            <w:r>
              <w:rPr>
                <w:rFonts w:cs="Times New Roman"/>
                <w:b/>
                <w:bCs/>
                <w:sz w:val="18"/>
                <w:szCs w:val="18"/>
              </w:rPr>
              <w:t>Percentage</w:t>
            </w:r>
            <w:r w:rsidR="0098748D" w:rsidRPr="0098748D">
              <w:rPr>
                <w:rFonts w:cs="Times New Roman"/>
                <w:b/>
                <w:bCs/>
                <w:sz w:val="18"/>
                <w:szCs w:val="18"/>
              </w:rPr>
              <w:t>(</w:t>
            </w:r>
            <w:proofErr w:type="gramEnd"/>
            <w:r w:rsidR="0098748D" w:rsidRPr="0098748D">
              <w:rPr>
                <w:rFonts w:cs="Times New Roman"/>
                <w:b/>
                <w:bCs/>
                <w:sz w:val="18"/>
                <w:szCs w:val="18"/>
              </w:rPr>
              <w:t>%)</w:t>
            </w:r>
          </w:p>
          <w:p w14:paraId="5BEB7CD3" w14:textId="320074D3" w:rsidR="0098748D" w:rsidRPr="0098748D" w:rsidRDefault="00E806D2" w:rsidP="0098748D">
            <w:pPr>
              <w:spacing w:after="0" w:line="240" w:lineRule="auto"/>
              <w:jc w:val="center"/>
              <w:rPr>
                <w:rFonts w:cs="Times New Roman"/>
                <w:b/>
                <w:bCs/>
                <w:sz w:val="18"/>
                <w:szCs w:val="18"/>
              </w:rPr>
            </w:pPr>
            <w:r w:rsidRPr="00E806D2">
              <w:rPr>
                <w:rFonts w:cs="Times New Roman"/>
                <w:b/>
                <w:bCs/>
                <w:sz w:val="18"/>
                <w:szCs w:val="18"/>
                <w:lang w:bidi="ar-IQ"/>
              </w:rPr>
              <w:t xml:space="preserve">Part/Whole </w:t>
            </w:r>
            <w:r>
              <w:rPr>
                <w:rFonts w:cs="Times New Roman" w:hint="cs"/>
                <w:b/>
                <w:bCs/>
                <w:sz w:val="18"/>
                <w:szCs w:val="18"/>
                <w:rtl/>
                <w:lang w:bidi="ar-IQ"/>
              </w:rPr>
              <w:t xml:space="preserve"> </w:t>
            </w:r>
            <m:oMath>
              <m:r>
                <m:rPr>
                  <m:sty m:val="b"/>
                </m:rPr>
                <w:rPr>
                  <w:rFonts w:ascii="Cambria Math" w:hAnsi="Cambria Math" w:cs="Times New Roman"/>
                  <w:sz w:val="18"/>
                  <w:szCs w:val="18"/>
                  <w:lang w:bidi="ar-IQ"/>
                </w:rPr>
                <m:t>×</m:t>
              </m:r>
            </m:oMath>
            <w:r w:rsidRPr="00E806D2">
              <w:rPr>
                <w:rFonts w:cs="Times New Roman"/>
                <w:b/>
                <w:bCs/>
                <w:sz w:val="18"/>
                <w:szCs w:val="18"/>
                <w:lang w:bidi="ar-IQ"/>
              </w:rPr>
              <w:t xml:space="preserve"> 100</w:t>
            </w:r>
            <w:r>
              <w:rPr>
                <w:rFonts w:cs="Times New Roman" w:hint="cs"/>
                <w:b/>
                <w:bCs/>
                <w:sz w:val="18"/>
                <w:szCs w:val="18"/>
                <w:rtl/>
                <w:lang w:bidi="ar-IQ"/>
              </w:rPr>
              <w:t>%</w:t>
            </w:r>
          </w:p>
        </w:tc>
      </w:tr>
      <w:tr w:rsidR="00E806D2" w:rsidRPr="0098748D" w14:paraId="4968CF97" w14:textId="77777777" w:rsidTr="00E806D2">
        <w:trPr>
          <w:gridAfter w:val="1"/>
          <w:wAfter w:w="90" w:type="dxa"/>
          <w:tblCellSpacing w:w="15" w:type="dxa"/>
          <w:jc w:val="center"/>
        </w:trPr>
        <w:tc>
          <w:tcPr>
            <w:tcW w:w="0" w:type="auto"/>
            <w:vAlign w:val="center"/>
            <w:hideMark/>
          </w:tcPr>
          <w:p w14:paraId="1DE0EEF3"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October 2024</w:t>
            </w:r>
          </w:p>
        </w:tc>
        <w:tc>
          <w:tcPr>
            <w:tcW w:w="2172" w:type="dxa"/>
            <w:vAlign w:val="center"/>
            <w:hideMark/>
          </w:tcPr>
          <w:p w14:paraId="593B9C25"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1749" w:type="dxa"/>
            <w:vAlign w:val="center"/>
            <w:hideMark/>
          </w:tcPr>
          <w:p w14:paraId="5EE2164D"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gridSpan w:val="2"/>
            <w:vAlign w:val="center"/>
            <w:hideMark/>
          </w:tcPr>
          <w:p w14:paraId="227E602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vAlign w:val="center"/>
            <w:hideMark/>
          </w:tcPr>
          <w:p w14:paraId="653BFD14"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r>
      <w:tr w:rsidR="00E806D2" w:rsidRPr="0098748D" w14:paraId="5B6208AF" w14:textId="77777777" w:rsidTr="00E806D2">
        <w:trPr>
          <w:gridAfter w:val="1"/>
          <w:wAfter w:w="90" w:type="dxa"/>
          <w:tblCellSpacing w:w="15" w:type="dxa"/>
          <w:jc w:val="center"/>
        </w:trPr>
        <w:tc>
          <w:tcPr>
            <w:tcW w:w="0" w:type="auto"/>
            <w:vAlign w:val="center"/>
            <w:hideMark/>
          </w:tcPr>
          <w:p w14:paraId="54F0C033"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November 2024</w:t>
            </w:r>
          </w:p>
        </w:tc>
        <w:tc>
          <w:tcPr>
            <w:tcW w:w="2172" w:type="dxa"/>
            <w:vAlign w:val="center"/>
            <w:hideMark/>
          </w:tcPr>
          <w:p w14:paraId="330A5765"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25</w:t>
            </w:r>
          </w:p>
        </w:tc>
        <w:tc>
          <w:tcPr>
            <w:tcW w:w="1749" w:type="dxa"/>
            <w:vAlign w:val="center"/>
            <w:hideMark/>
          </w:tcPr>
          <w:p w14:paraId="2EC782A0"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67.5%</w:t>
            </w:r>
          </w:p>
        </w:tc>
        <w:tc>
          <w:tcPr>
            <w:tcW w:w="0" w:type="auto"/>
            <w:gridSpan w:val="2"/>
            <w:vAlign w:val="center"/>
            <w:hideMark/>
          </w:tcPr>
          <w:p w14:paraId="36EB1229"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11</w:t>
            </w:r>
          </w:p>
        </w:tc>
        <w:tc>
          <w:tcPr>
            <w:tcW w:w="0" w:type="auto"/>
            <w:vAlign w:val="center"/>
            <w:hideMark/>
          </w:tcPr>
          <w:p w14:paraId="73248728"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44%</w:t>
            </w:r>
          </w:p>
        </w:tc>
      </w:tr>
      <w:tr w:rsidR="00E806D2" w:rsidRPr="0098748D" w14:paraId="2C3E7C5A" w14:textId="77777777" w:rsidTr="00E806D2">
        <w:trPr>
          <w:gridAfter w:val="1"/>
          <w:wAfter w:w="90" w:type="dxa"/>
          <w:tblCellSpacing w:w="15" w:type="dxa"/>
          <w:jc w:val="center"/>
        </w:trPr>
        <w:tc>
          <w:tcPr>
            <w:tcW w:w="0" w:type="auto"/>
            <w:vAlign w:val="center"/>
            <w:hideMark/>
          </w:tcPr>
          <w:p w14:paraId="5AF404D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December 2024</w:t>
            </w:r>
          </w:p>
        </w:tc>
        <w:tc>
          <w:tcPr>
            <w:tcW w:w="2172" w:type="dxa"/>
            <w:vAlign w:val="center"/>
            <w:hideMark/>
          </w:tcPr>
          <w:p w14:paraId="5E6B12E2"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1749" w:type="dxa"/>
            <w:vAlign w:val="center"/>
            <w:hideMark/>
          </w:tcPr>
          <w:p w14:paraId="4CC05353"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gridSpan w:val="2"/>
            <w:vAlign w:val="center"/>
            <w:hideMark/>
          </w:tcPr>
          <w:p w14:paraId="09496E39"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vAlign w:val="center"/>
            <w:hideMark/>
          </w:tcPr>
          <w:p w14:paraId="611636BB"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r>
      <w:tr w:rsidR="00E806D2" w:rsidRPr="0098748D" w14:paraId="4171EDA6" w14:textId="77777777" w:rsidTr="00E806D2">
        <w:trPr>
          <w:gridAfter w:val="1"/>
          <w:wAfter w:w="90" w:type="dxa"/>
          <w:tblCellSpacing w:w="15" w:type="dxa"/>
          <w:jc w:val="center"/>
        </w:trPr>
        <w:tc>
          <w:tcPr>
            <w:tcW w:w="0" w:type="auto"/>
            <w:vAlign w:val="center"/>
            <w:hideMark/>
          </w:tcPr>
          <w:p w14:paraId="7435490E"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January 2025</w:t>
            </w:r>
          </w:p>
        </w:tc>
        <w:tc>
          <w:tcPr>
            <w:tcW w:w="2172" w:type="dxa"/>
            <w:vAlign w:val="center"/>
            <w:hideMark/>
          </w:tcPr>
          <w:p w14:paraId="3B409F6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6</w:t>
            </w:r>
          </w:p>
        </w:tc>
        <w:tc>
          <w:tcPr>
            <w:tcW w:w="1749" w:type="dxa"/>
            <w:vAlign w:val="center"/>
            <w:hideMark/>
          </w:tcPr>
          <w:p w14:paraId="39306C9E"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16.2%</w:t>
            </w:r>
          </w:p>
        </w:tc>
        <w:tc>
          <w:tcPr>
            <w:tcW w:w="0" w:type="auto"/>
            <w:gridSpan w:val="2"/>
            <w:vAlign w:val="center"/>
            <w:hideMark/>
          </w:tcPr>
          <w:p w14:paraId="11C3AB5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3</w:t>
            </w:r>
          </w:p>
        </w:tc>
        <w:tc>
          <w:tcPr>
            <w:tcW w:w="0" w:type="auto"/>
            <w:vAlign w:val="center"/>
            <w:hideMark/>
          </w:tcPr>
          <w:p w14:paraId="1A90D61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50%</w:t>
            </w:r>
          </w:p>
        </w:tc>
      </w:tr>
      <w:tr w:rsidR="00E806D2" w:rsidRPr="0098748D" w14:paraId="2E56AC48" w14:textId="77777777" w:rsidTr="00E806D2">
        <w:trPr>
          <w:gridAfter w:val="1"/>
          <w:wAfter w:w="90" w:type="dxa"/>
          <w:tblCellSpacing w:w="15" w:type="dxa"/>
          <w:jc w:val="center"/>
        </w:trPr>
        <w:tc>
          <w:tcPr>
            <w:tcW w:w="0" w:type="auto"/>
            <w:vAlign w:val="center"/>
            <w:hideMark/>
          </w:tcPr>
          <w:p w14:paraId="4AB6C31C"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February 2025</w:t>
            </w:r>
          </w:p>
        </w:tc>
        <w:tc>
          <w:tcPr>
            <w:tcW w:w="2172" w:type="dxa"/>
            <w:vAlign w:val="center"/>
            <w:hideMark/>
          </w:tcPr>
          <w:p w14:paraId="6067DFC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6</w:t>
            </w:r>
          </w:p>
        </w:tc>
        <w:tc>
          <w:tcPr>
            <w:tcW w:w="1749" w:type="dxa"/>
            <w:vAlign w:val="center"/>
            <w:hideMark/>
          </w:tcPr>
          <w:p w14:paraId="0C012154"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16.2%</w:t>
            </w:r>
          </w:p>
        </w:tc>
        <w:tc>
          <w:tcPr>
            <w:tcW w:w="0" w:type="auto"/>
            <w:gridSpan w:val="2"/>
            <w:vAlign w:val="center"/>
            <w:hideMark/>
          </w:tcPr>
          <w:p w14:paraId="226837EF"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6</w:t>
            </w:r>
          </w:p>
        </w:tc>
        <w:tc>
          <w:tcPr>
            <w:tcW w:w="0" w:type="auto"/>
            <w:vAlign w:val="center"/>
            <w:hideMark/>
          </w:tcPr>
          <w:p w14:paraId="133689F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100%</w:t>
            </w:r>
          </w:p>
        </w:tc>
      </w:tr>
      <w:tr w:rsidR="00E806D2" w:rsidRPr="0098748D" w14:paraId="5CE34CCD" w14:textId="77777777" w:rsidTr="00E806D2">
        <w:trPr>
          <w:gridAfter w:val="1"/>
          <w:wAfter w:w="90" w:type="dxa"/>
          <w:tblCellSpacing w:w="15" w:type="dxa"/>
          <w:jc w:val="center"/>
        </w:trPr>
        <w:tc>
          <w:tcPr>
            <w:tcW w:w="0" w:type="auto"/>
            <w:vAlign w:val="center"/>
            <w:hideMark/>
          </w:tcPr>
          <w:p w14:paraId="4E1C15CE"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March 2025</w:t>
            </w:r>
          </w:p>
        </w:tc>
        <w:tc>
          <w:tcPr>
            <w:tcW w:w="2172" w:type="dxa"/>
            <w:vAlign w:val="center"/>
            <w:hideMark/>
          </w:tcPr>
          <w:p w14:paraId="267D5CE6"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1749" w:type="dxa"/>
            <w:vAlign w:val="center"/>
            <w:hideMark/>
          </w:tcPr>
          <w:p w14:paraId="3261ADF6"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gridSpan w:val="2"/>
            <w:vAlign w:val="center"/>
            <w:hideMark/>
          </w:tcPr>
          <w:p w14:paraId="685B780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c>
          <w:tcPr>
            <w:tcW w:w="0" w:type="auto"/>
            <w:vAlign w:val="center"/>
            <w:hideMark/>
          </w:tcPr>
          <w:p w14:paraId="18179CB3"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w:t>
            </w:r>
          </w:p>
        </w:tc>
      </w:tr>
      <w:tr w:rsidR="00E806D2" w:rsidRPr="0098748D" w14:paraId="21843D0F" w14:textId="77777777" w:rsidTr="00E806D2">
        <w:trPr>
          <w:gridAfter w:val="1"/>
          <w:wAfter w:w="90" w:type="dxa"/>
          <w:tblCellSpacing w:w="15" w:type="dxa"/>
          <w:jc w:val="center"/>
        </w:trPr>
        <w:tc>
          <w:tcPr>
            <w:tcW w:w="0" w:type="auto"/>
            <w:tcBorders>
              <w:bottom w:val="single" w:sz="4" w:space="0" w:color="auto"/>
            </w:tcBorders>
            <w:vAlign w:val="center"/>
            <w:hideMark/>
          </w:tcPr>
          <w:p w14:paraId="17064325"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Total</w:t>
            </w:r>
          </w:p>
        </w:tc>
        <w:tc>
          <w:tcPr>
            <w:tcW w:w="2172" w:type="dxa"/>
            <w:tcBorders>
              <w:bottom w:val="single" w:sz="4" w:space="0" w:color="auto"/>
            </w:tcBorders>
            <w:vAlign w:val="center"/>
            <w:hideMark/>
          </w:tcPr>
          <w:p w14:paraId="664AA0C8"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37</w:t>
            </w:r>
          </w:p>
        </w:tc>
        <w:tc>
          <w:tcPr>
            <w:tcW w:w="1749" w:type="dxa"/>
            <w:tcBorders>
              <w:bottom w:val="single" w:sz="4" w:space="0" w:color="auto"/>
            </w:tcBorders>
            <w:vAlign w:val="center"/>
            <w:hideMark/>
          </w:tcPr>
          <w:p w14:paraId="5806F74A"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100%</w:t>
            </w:r>
          </w:p>
        </w:tc>
        <w:tc>
          <w:tcPr>
            <w:tcW w:w="0" w:type="auto"/>
            <w:gridSpan w:val="2"/>
            <w:tcBorders>
              <w:bottom w:val="single" w:sz="4" w:space="0" w:color="auto"/>
            </w:tcBorders>
            <w:vAlign w:val="center"/>
            <w:hideMark/>
          </w:tcPr>
          <w:p w14:paraId="1E49BB89"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21</w:t>
            </w:r>
          </w:p>
        </w:tc>
        <w:tc>
          <w:tcPr>
            <w:tcW w:w="0" w:type="auto"/>
            <w:tcBorders>
              <w:bottom w:val="single" w:sz="4" w:space="0" w:color="auto"/>
            </w:tcBorders>
            <w:vAlign w:val="center"/>
            <w:hideMark/>
          </w:tcPr>
          <w:p w14:paraId="0DAC2E98"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w:t>
            </w:r>
          </w:p>
        </w:tc>
      </w:tr>
    </w:tbl>
    <w:p w14:paraId="1EC12A05" w14:textId="77777777" w:rsidR="008E36B6" w:rsidRPr="008E36B6" w:rsidRDefault="008E36B6" w:rsidP="008E36B6">
      <w:pPr>
        <w:rPr>
          <w:sz w:val="2"/>
          <w:szCs w:val="2"/>
        </w:rPr>
      </w:pPr>
    </w:p>
    <w:p w14:paraId="6EB66E8C" w14:textId="0522ACA3" w:rsidR="004461B8" w:rsidRDefault="004461B8" w:rsidP="003F3369">
      <w:pPr>
        <w:spacing w:after="0" w:line="240" w:lineRule="auto"/>
        <w:jc w:val="center"/>
        <w:rPr>
          <w:rFonts w:asciiTheme="majorBidi" w:hAnsiTheme="majorBidi" w:cstheme="majorBidi"/>
          <w:sz w:val="18"/>
          <w:szCs w:val="20"/>
        </w:rPr>
      </w:pPr>
      <w:r w:rsidRPr="004461B8">
        <w:rPr>
          <w:rFonts w:asciiTheme="majorBidi" w:hAnsiTheme="majorBidi" w:cstheme="majorBidi"/>
          <w:b/>
          <w:bCs/>
          <w:sz w:val="18"/>
          <w:szCs w:val="20"/>
        </w:rPr>
        <w:t>TABLE 2</w:t>
      </w:r>
      <w:r w:rsidR="0098748D">
        <w:rPr>
          <w:rFonts w:asciiTheme="majorBidi" w:hAnsiTheme="majorBidi" w:cstheme="majorBidi"/>
          <w:sz w:val="18"/>
          <w:szCs w:val="20"/>
        </w:rPr>
        <w:t xml:space="preserve">. </w:t>
      </w:r>
      <w:r w:rsidR="0098748D" w:rsidRPr="0098748D">
        <w:rPr>
          <w:rFonts w:asciiTheme="majorBidi" w:hAnsiTheme="majorBidi" w:cstheme="majorBidi"/>
          <w:sz w:val="18"/>
          <w:szCs w:val="20"/>
        </w:rPr>
        <w:t>Parasite Species Isolated from American Cockroaches Collected from Hospital Environments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40"/>
        <w:gridCol w:w="2782"/>
        <w:gridCol w:w="1064"/>
      </w:tblGrid>
      <w:tr w:rsidR="00A6505F" w:rsidRPr="0098748D" w14:paraId="20B538A1" w14:textId="77777777" w:rsidTr="00A6505F">
        <w:trPr>
          <w:tblHeader/>
          <w:tblCellSpacing w:w="15" w:type="dxa"/>
          <w:jc w:val="center"/>
        </w:trPr>
        <w:tc>
          <w:tcPr>
            <w:tcW w:w="795" w:type="dxa"/>
            <w:tcBorders>
              <w:top w:val="nil"/>
              <w:bottom w:val="single" w:sz="4" w:space="0" w:color="auto"/>
            </w:tcBorders>
            <w:vAlign w:val="center"/>
            <w:hideMark/>
          </w:tcPr>
          <w:p w14:paraId="36B989CD"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No.</w:t>
            </w:r>
          </w:p>
        </w:tc>
        <w:tc>
          <w:tcPr>
            <w:tcW w:w="2752" w:type="dxa"/>
            <w:tcBorders>
              <w:top w:val="nil"/>
              <w:bottom w:val="single" w:sz="4" w:space="0" w:color="auto"/>
            </w:tcBorders>
            <w:vAlign w:val="center"/>
            <w:hideMark/>
          </w:tcPr>
          <w:p w14:paraId="06E85E35"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Parasites (Stage)</w:t>
            </w:r>
          </w:p>
        </w:tc>
        <w:tc>
          <w:tcPr>
            <w:tcW w:w="1019" w:type="dxa"/>
            <w:tcBorders>
              <w:top w:val="nil"/>
              <w:bottom w:val="single" w:sz="4" w:space="0" w:color="auto"/>
            </w:tcBorders>
            <w:vAlign w:val="center"/>
            <w:hideMark/>
          </w:tcPr>
          <w:p w14:paraId="1B72DDD7" w14:textId="77777777" w:rsidR="0098748D" w:rsidRPr="0098748D" w:rsidRDefault="0098748D" w:rsidP="0098748D">
            <w:pPr>
              <w:spacing w:after="0" w:line="240" w:lineRule="auto"/>
              <w:jc w:val="center"/>
              <w:rPr>
                <w:rFonts w:cs="Times New Roman"/>
                <w:b/>
                <w:bCs/>
                <w:sz w:val="18"/>
                <w:szCs w:val="18"/>
              </w:rPr>
            </w:pPr>
            <w:r w:rsidRPr="0098748D">
              <w:rPr>
                <w:rFonts w:cs="Times New Roman"/>
                <w:b/>
                <w:bCs/>
                <w:sz w:val="18"/>
                <w:szCs w:val="18"/>
              </w:rPr>
              <w:t>Number</w:t>
            </w:r>
          </w:p>
        </w:tc>
      </w:tr>
      <w:tr w:rsidR="0098748D" w:rsidRPr="0098748D" w14:paraId="77799D44" w14:textId="77777777" w:rsidTr="0098748D">
        <w:trPr>
          <w:tblCellSpacing w:w="15" w:type="dxa"/>
          <w:jc w:val="center"/>
        </w:trPr>
        <w:tc>
          <w:tcPr>
            <w:tcW w:w="795" w:type="dxa"/>
            <w:vAlign w:val="center"/>
            <w:hideMark/>
          </w:tcPr>
          <w:p w14:paraId="634A42D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c>
          <w:tcPr>
            <w:tcW w:w="2752" w:type="dxa"/>
            <w:vAlign w:val="center"/>
            <w:hideMark/>
          </w:tcPr>
          <w:p w14:paraId="32F22CF6" w14:textId="77777777" w:rsidR="0098748D" w:rsidRPr="0098748D" w:rsidRDefault="0098748D" w:rsidP="0098748D">
            <w:pPr>
              <w:spacing w:after="0" w:line="240" w:lineRule="auto"/>
              <w:jc w:val="center"/>
              <w:rPr>
                <w:rFonts w:cs="Times New Roman"/>
                <w:i/>
                <w:iCs/>
                <w:sz w:val="18"/>
                <w:szCs w:val="18"/>
              </w:rPr>
            </w:pPr>
            <w:r w:rsidRPr="0098748D">
              <w:rPr>
                <w:rFonts w:cs="Times New Roman"/>
                <w:i/>
                <w:iCs/>
                <w:sz w:val="18"/>
                <w:szCs w:val="18"/>
              </w:rPr>
              <w:t>Entamoeba coli (cyst)</w:t>
            </w:r>
          </w:p>
        </w:tc>
        <w:tc>
          <w:tcPr>
            <w:tcW w:w="1019" w:type="dxa"/>
            <w:vAlign w:val="center"/>
            <w:hideMark/>
          </w:tcPr>
          <w:p w14:paraId="0FB3957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5AC40736" w14:textId="77777777" w:rsidTr="0098748D">
        <w:trPr>
          <w:tblCellSpacing w:w="15" w:type="dxa"/>
          <w:jc w:val="center"/>
        </w:trPr>
        <w:tc>
          <w:tcPr>
            <w:tcW w:w="795" w:type="dxa"/>
            <w:vAlign w:val="center"/>
            <w:hideMark/>
          </w:tcPr>
          <w:p w14:paraId="0F932BE6"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2</w:t>
            </w:r>
          </w:p>
        </w:tc>
        <w:tc>
          <w:tcPr>
            <w:tcW w:w="2752" w:type="dxa"/>
            <w:vAlign w:val="center"/>
            <w:hideMark/>
          </w:tcPr>
          <w:p w14:paraId="1C07C324" w14:textId="77777777" w:rsidR="0098748D" w:rsidRPr="0098748D" w:rsidRDefault="0098748D" w:rsidP="0098748D">
            <w:pPr>
              <w:spacing w:after="0" w:line="240" w:lineRule="auto"/>
              <w:jc w:val="center"/>
              <w:rPr>
                <w:rFonts w:cs="Times New Roman"/>
                <w:i/>
                <w:iCs/>
                <w:sz w:val="18"/>
                <w:szCs w:val="18"/>
              </w:rPr>
            </w:pPr>
            <w:r w:rsidRPr="0098748D">
              <w:rPr>
                <w:rFonts w:cs="Times New Roman"/>
                <w:i/>
                <w:iCs/>
                <w:sz w:val="18"/>
                <w:szCs w:val="18"/>
              </w:rPr>
              <w:t>Entamoeba histolytica (cyst)</w:t>
            </w:r>
          </w:p>
        </w:tc>
        <w:tc>
          <w:tcPr>
            <w:tcW w:w="1019" w:type="dxa"/>
            <w:vAlign w:val="center"/>
            <w:hideMark/>
          </w:tcPr>
          <w:p w14:paraId="70D5F279"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2</w:t>
            </w:r>
          </w:p>
        </w:tc>
      </w:tr>
      <w:tr w:rsidR="0098748D" w:rsidRPr="0098748D" w14:paraId="5ABB8505" w14:textId="77777777" w:rsidTr="0098748D">
        <w:trPr>
          <w:tblCellSpacing w:w="15" w:type="dxa"/>
          <w:jc w:val="center"/>
        </w:trPr>
        <w:tc>
          <w:tcPr>
            <w:tcW w:w="795" w:type="dxa"/>
            <w:vAlign w:val="center"/>
            <w:hideMark/>
          </w:tcPr>
          <w:p w14:paraId="2D559B2E"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3</w:t>
            </w:r>
          </w:p>
        </w:tc>
        <w:tc>
          <w:tcPr>
            <w:tcW w:w="2752" w:type="dxa"/>
            <w:vAlign w:val="center"/>
            <w:hideMark/>
          </w:tcPr>
          <w:p w14:paraId="482EF127"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Giardia lamblia (trophozoite)</w:t>
            </w:r>
          </w:p>
        </w:tc>
        <w:tc>
          <w:tcPr>
            <w:tcW w:w="1019" w:type="dxa"/>
            <w:vAlign w:val="center"/>
            <w:hideMark/>
          </w:tcPr>
          <w:p w14:paraId="4BE63CE9"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21F6707A" w14:textId="77777777" w:rsidTr="0098748D">
        <w:trPr>
          <w:tblCellSpacing w:w="15" w:type="dxa"/>
          <w:jc w:val="center"/>
        </w:trPr>
        <w:tc>
          <w:tcPr>
            <w:tcW w:w="795" w:type="dxa"/>
            <w:vAlign w:val="center"/>
            <w:hideMark/>
          </w:tcPr>
          <w:p w14:paraId="66EAEA8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4</w:t>
            </w:r>
          </w:p>
        </w:tc>
        <w:tc>
          <w:tcPr>
            <w:tcW w:w="2752" w:type="dxa"/>
            <w:vAlign w:val="center"/>
            <w:hideMark/>
          </w:tcPr>
          <w:p w14:paraId="5D3340F6" w14:textId="77777777" w:rsidR="0098748D" w:rsidRPr="00461EFC" w:rsidRDefault="0098748D" w:rsidP="0098748D">
            <w:pPr>
              <w:spacing w:after="0" w:line="240" w:lineRule="auto"/>
              <w:jc w:val="center"/>
              <w:rPr>
                <w:rFonts w:cs="Times New Roman"/>
                <w:iCs/>
                <w:szCs w:val="20"/>
              </w:rPr>
            </w:pPr>
            <w:proofErr w:type="spellStart"/>
            <w:r w:rsidRPr="00461EFC">
              <w:rPr>
                <w:rFonts w:cs="Times New Roman"/>
                <w:iCs/>
                <w:szCs w:val="20"/>
              </w:rPr>
              <w:t>Strongyloides</w:t>
            </w:r>
            <w:proofErr w:type="spellEnd"/>
            <w:r w:rsidRPr="00461EFC">
              <w:rPr>
                <w:rFonts w:cs="Times New Roman"/>
                <w:iCs/>
                <w:szCs w:val="20"/>
              </w:rPr>
              <w:t xml:space="preserve"> </w:t>
            </w:r>
            <w:proofErr w:type="spellStart"/>
            <w:r w:rsidRPr="00461EFC">
              <w:rPr>
                <w:rFonts w:cs="Times New Roman"/>
                <w:iCs/>
                <w:szCs w:val="20"/>
              </w:rPr>
              <w:t>stercoralis</w:t>
            </w:r>
            <w:proofErr w:type="spellEnd"/>
          </w:p>
        </w:tc>
        <w:tc>
          <w:tcPr>
            <w:tcW w:w="1019" w:type="dxa"/>
            <w:vAlign w:val="center"/>
            <w:hideMark/>
          </w:tcPr>
          <w:p w14:paraId="124FFF00"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4</w:t>
            </w:r>
          </w:p>
        </w:tc>
      </w:tr>
      <w:tr w:rsidR="0098748D" w:rsidRPr="0098748D" w14:paraId="6F7FEB57" w14:textId="77777777" w:rsidTr="0098748D">
        <w:trPr>
          <w:tblCellSpacing w:w="15" w:type="dxa"/>
          <w:jc w:val="center"/>
        </w:trPr>
        <w:tc>
          <w:tcPr>
            <w:tcW w:w="795" w:type="dxa"/>
            <w:vAlign w:val="center"/>
            <w:hideMark/>
          </w:tcPr>
          <w:p w14:paraId="0645CB1F"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5</w:t>
            </w:r>
          </w:p>
        </w:tc>
        <w:tc>
          <w:tcPr>
            <w:tcW w:w="2752" w:type="dxa"/>
            <w:vAlign w:val="center"/>
            <w:hideMark/>
          </w:tcPr>
          <w:p w14:paraId="3E8E0CB9"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 xml:space="preserve">Ancylostoma </w:t>
            </w:r>
            <w:proofErr w:type="spellStart"/>
            <w:r w:rsidRPr="00461EFC">
              <w:rPr>
                <w:rFonts w:cs="Times New Roman"/>
                <w:iCs/>
                <w:szCs w:val="20"/>
              </w:rPr>
              <w:t>duodenalis</w:t>
            </w:r>
            <w:proofErr w:type="spellEnd"/>
          </w:p>
        </w:tc>
        <w:tc>
          <w:tcPr>
            <w:tcW w:w="1019" w:type="dxa"/>
            <w:vAlign w:val="center"/>
            <w:hideMark/>
          </w:tcPr>
          <w:p w14:paraId="6A8AF25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3</w:t>
            </w:r>
          </w:p>
        </w:tc>
      </w:tr>
      <w:tr w:rsidR="0098748D" w:rsidRPr="0098748D" w14:paraId="6D89FCE3" w14:textId="77777777" w:rsidTr="0098748D">
        <w:trPr>
          <w:tblCellSpacing w:w="15" w:type="dxa"/>
          <w:jc w:val="center"/>
        </w:trPr>
        <w:tc>
          <w:tcPr>
            <w:tcW w:w="795" w:type="dxa"/>
            <w:vAlign w:val="center"/>
            <w:hideMark/>
          </w:tcPr>
          <w:p w14:paraId="19744C7D"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lastRenderedPageBreak/>
              <w:t>6</w:t>
            </w:r>
          </w:p>
        </w:tc>
        <w:tc>
          <w:tcPr>
            <w:tcW w:w="2752" w:type="dxa"/>
            <w:vAlign w:val="center"/>
            <w:hideMark/>
          </w:tcPr>
          <w:p w14:paraId="1DA70FD5"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Trichomonas hominis</w:t>
            </w:r>
          </w:p>
        </w:tc>
        <w:tc>
          <w:tcPr>
            <w:tcW w:w="1019" w:type="dxa"/>
            <w:vAlign w:val="center"/>
            <w:hideMark/>
          </w:tcPr>
          <w:p w14:paraId="2D172F9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3</w:t>
            </w:r>
          </w:p>
        </w:tc>
      </w:tr>
      <w:tr w:rsidR="0098748D" w:rsidRPr="0098748D" w14:paraId="1144129C" w14:textId="77777777" w:rsidTr="0098748D">
        <w:trPr>
          <w:tblCellSpacing w:w="15" w:type="dxa"/>
          <w:jc w:val="center"/>
        </w:trPr>
        <w:tc>
          <w:tcPr>
            <w:tcW w:w="795" w:type="dxa"/>
            <w:vAlign w:val="center"/>
            <w:hideMark/>
          </w:tcPr>
          <w:p w14:paraId="61B7776A"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7</w:t>
            </w:r>
          </w:p>
        </w:tc>
        <w:tc>
          <w:tcPr>
            <w:tcW w:w="2752" w:type="dxa"/>
            <w:vAlign w:val="center"/>
            <w:hideMark/>
          </w:tcPr>
          <w:p w14:paraId="566D0D60"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Dipylidium (eggs)</w:t>
            </w:r>
          </w:p>
        </w:tc>
        <w:tc>
          <w:tcPr>
            <w:tcW w:w="1019" w:type="dxa"/>
            <w:vAlign w:val="center"/>
            <w:hideMark/>
          </w:tcPr>
          <w:p w14:paraId="30A6FCFC"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2</w:t>
            </w:r>
          </w:p>
        </w:tc>
      </w:tr>
      <w:tr w:rsidR="0098748D" w:rsidRPr="0098748D" w14:paraId="6C840D37" w14:textId="77777777" w:rsidTr="0098748D">
        <w:trPr>
          <w:tblCellSpacing w:w="15" w:type="dxa"/>
          <w:jc w:val="center"/>
        </w:trPr>
        <w:tc>
          <w:tcPr>
            <w:tcW w:w="795" w:type="dxa"/>
            <w:vAlign w:val="center"/>
            <w:hideMark/>
          </w:tcPr>
          <w:p w14:paraId="7B8AB3F3"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8</w:t>
            </w:r>
          </w:p>
        </w:tc>
        <w:tc>
          <w:tcPr>
            <w:tcW w:w="2752" w:type="dxa"/>
            <w:vAlign w:val="center"/>
            <w:hideMark/>
          </w:tcPr>
          <w:p w14:paraId="132663D9" w14:textId="77777777" w:rsidR="0098748D" w:rsidRPr="00461EFC" w:rsidRDefault="0098748D" w:rsidP="0098748D">
            <w:pPr>
              <w:spacing w:after="0" w:line="240" w:lineRule="auto"/>
              <w:jc w:val="center"/>
              <w:rPr>
                <w:rFonts w:cs="Times New Roman"/>
                <w:iCs/>
                <w:szCs w:val="20"/>
              </w:rPr>
            </w:pPr>
            <w:proofErr w:type="spellStart"/>
            <w:r w:rsidRPr="00461EFC">
              <w:rPr>
                <w:rFonts w:cs="Times New Roman"/>
                <w:iCs/>
                <w:szCs w:val="20"/>
              </w:rPr>
              <w:t>Nyctothyrous</w:t>
            </w:r>
            <w:proofErr w:type="spellEnd"/>
            <w:r w:rsidRPr="00461EFC">
              <w:rPr>
                <w:rFonts w:cs="Times New Roman"/>
                <w:iCs/>
                <w:szCs w:val="20"/>
              </w:rPr>
              <w:t xml:space="preserve"> ovalis</w:t>
            </w:r>
          </w:p>
        </w:tc>
        <w:tc>
          <w:tcPr>
            <w:tcW w:w="1019" w:type="dxa"/>
            <w:vAlign w:val="center"/>
            <w:hideMark/>
          </w:tcPr>
          <w:p w14:paraId="42D124F8"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7</w:t>
            </w:r>
          </w:p>
        </w:tc>
      </w:tr>
      <w:tr w:rsidR="0098748D" w:rsidRPr="0098748D" w14:paraId="759B1DF1" w14:textId="77777777" w:rsidTr="0098748D">
        <w:trPr>
          <w:tblCellSpacing w:w="15" w:type="dxa"/>
          <w:jc w:val="center"/>
        </w:trPr>
        <w:tc>
          <w:tcPr>
            <w:tcW w:w="795" w:type="dxa"/>
            <w:vAlign w:val="center"/>
            <w:hideMark/>
          </w:tcPr>
          <w:p w14:paraId="20FBEFFE"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9</w:t>
            </w:r>
          </w:p>
        </w:tc>
        <w:tc>
          <w:tcPr>
            <w:tcW w:w="2752" w:type="dxa"/>
            <w:vAlign w:val="center"/>
            <w:hideMark/>
          </w:tcPr>
          <w:p w14:paraId="7C32A43C" w14:textId="77777777" w:rsidR="0098748D" w:rsidRPr="00461EFC" w:rsidRDefault="0098748D" w:rsidP="0098748D">
            <w:pPr>
              <w:spacing w:after="0" w:line="240" w:lineRule="auto"/>
              <w:jc w:val="center"/>
              <w:rPr>
                <w:rFonts w:cs="Times New Roman"/>
                <w:iCs/>
                <w:szCs w:val="20"/>
              </w:rPr>
            </w:pPr>
            <w:proofErr w:type="spellStart"/>
            <w:r w:rsidRPr="00461EFC">
              <w:rPr>
                <w:rFonts w:cs="Times New Roman"/>
                <w:iCs/>
                <w:szCs w:val="20"/>
              </w:rPr>
              <w:t>Hymenolepis</w:t>
            </w:r>
            <w:proofErr w:type="spellEnd"/>
            <w:r w:rsidRPr="00461EFC">
              <w:rPr>
                <w:rFonts w:cs="Times New Roman"/>
                <w:iCs/>
                <w:szCs w:val="20"/>
              </w:rPr>
              <w:t xml:space="preserve"> nana</w:t>
            </w:r>
          </w:p>
        </w:tc>
        <w:tc>
          <w:tcPr>
            <w:tcW w:w="1019" w:type="dxa"/>
            <w:vAlign w:val="center"/>
            <w:hideMark/>
          </w:tcPr>
          <w:p w14:paraId="3DD37E25"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4396DCCC" w14:textId="77777777" w:rsidTr="0098748D">
        <w:trPr>
          <w:tblCellSpacing w:w="15" w:type="dxa"/>
          <w:jc w:val="center"/>
        </w:trPr>
        <w:tc>
          <w:tcPr>
            <w:tcW w:w="795" w:type="dxa"/>
            <w:vAlign w:val="center"/>
            <w:hideMark/>
          </w:tcPr>
          <w:p w14:paraId="5AD891D9"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10</w:t>
            </w:r>
          </w:p>
        </w:tc>
        <w:tc>
          <w:tcPr>
            <w:tcW w:w="2752" w:type="dxa"/>
            <w:vAlign w:val="center"/>
            <w:hideMark/>
          </w:tcPr>
          <w:p w14:paraId="41600FDE"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Enterobius vermicularis</w:t>
            </w:r>
          </w:p>
        </w:tc>
        <w:tc>
          <w:tcPr>
            <w:tcW w:w="1019" w:type="dxa"/>
            <w:vAlign w:val="center"/>
            <w:hideMark/>
          </w:tcPr>
          <w:p w14:paraId="1D4D8FEB"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4</w:t>
            </w:r>
          </w:p>
        </w:tc>
      </w:tr>
      <w:tr w:rsidR="0098748D" w:rsidRPr="0098748D" w14:paraId="2495F4B2" w14:textId="77777777" w:rsidTr="0098748D">
        <w:trPr>
          <w:tblCellSpacing w:w="15" w:type="dxa"/>
          <w:jc w:val="center"/>
        </w:trPr>
        <w:tc>
          <w:tcPr>
            <w:tcW w:w="795" w:type="dxa"/>
            <w:vAlign w:val="center"/>
            <w:hideMark/>
          </w:tcPr>
          <w:p w14:paraId="0DA1615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11</w:t>
            </w:r>
          </w:p>
        </w:tc>
        <w:tc>
          <w:tcPr>
            <w:tcW w:w="2752" w:type="dxa"/>
            <w:vAlign w:val="center"/>
            <w:hideMark/>
          </w:tcPr>
          <w:p w14:paraId="031F26CA"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Fasciola hepatica (eggs)</w:t>
            </w:r>
          </w:p>
        </w:tc>
        <w:tc>
          <w:tcPr>
            <w:tcW w:w="1019" w:type="dxa"/>
            <w:vAlign w:val="center"/>
            <w:hideMark/>
          </w:tcPr>
          <w:p w14:paraId="5D1FB600"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2</w:t>
            </w:r>
          </w:p>
        </w:tc>
      </w:tr>
      <w:tr w:rsidR="0098748D" w:rsidRPr="0098748D" w14:paraId="41FBFEFA" w14:textId="77777777" w:rsidTr="0098748D">
        <w:trPr>
          <w:tblCellSpacing w:w="15" w:type="dxa"/>
          <w:jc w:val="center"/>
        </w:trPr>
        <w:tc>
          <w:tcPr>
            <w:tcW w:w="795" w:type="dxa"/>
            <w:vAlign w:val="center"/>
            <w:hideMark/>
          </w:tcPr>
          <w:p w14:paraId="27D9213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12</w:t>
            </w:r>
          </w:p>
        </w:tc>
        <w:tc>
          <w:tcPr>
            <w:tcW w:w="2752" w:type="dxa"/>
            <w:vAlign w:val="center"/>
            <w:hideMark/>
          </w:tcPr>
          <w:p w14:paraId="4FDBF892" w14:textId="77777777" w:rsidR="0098748D" w:rsidRPr="00461EFC" w:rsidRDefault="0098748D" w:rsidP="0098748D">
            <w:pPr>
              <w:spacing w:after="0" w:line="240" w:lineRule="auto"/>
              <w:jc w:val="center"/>
              <w:rPr>
                <w:rFonts w:cs="Times New Roman"/>
                <w:iCs/>
                <w:szCs w:val="20"/>
              </w:rPr>
            </w:pPr>
            <w:proofErr w:type="spellStart"/>
            <w:r w:rsidRPr="00461EFC">
              <w:rPr>
                <w:rFonts w:cs="Times New Roman"/>
                <w:iCs/>
                <w:szCs w:val="20"/>
              </w:rPr>
              <w:t>Toxocara</w:t>
            </w:r>
            <w:proofErr w:type="spellEnd"/>
            <w:r w:rsidRPr="00461EFC">
              <w:rPr>
                <w:rFonts w:cs="Times New Roman"/>
                <w:iCs/>
                <w:szCs w:val="20"/>
              </w:rPr>
              <w:t xml:space="preserve"> </w:t>
            </w:r>
            <w:proofErr w:type="spellStart"/>
            <w:r w:rsidRPr="00461EFC">
              <w:rPr>
                <w:rFonts w:cs="Times New Roman"/>
                <w:iCs/>
                <w:szCs w:val="20"/>
              </w:rPr>
              <w:t>canis</w:t>
            </w:r>
            <w:proofErr w:type="spellEnd"/>
          </w:p>
        </w:tc>
        <w:tc>
          <w:tcPr>
            <w:tcW w:w="1019" w:type="dxa"/>
            <w:vAlign w:val="center"/>
            <w:hideMark/>
          </w:tcPr>
          <w:p w14:paraId="44DBDEB7"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30C6B686" w14:textId="77777777" w:rsidTr="0098748D">
        <w:trPr>
          <w:tblCellSpacing w:w="15" w:type="dxa"/>
          <w:jc w:val="center"/>
        </w:trPr>
        <w:tc>
          <w:tcPr>
            <w:tcW w:w="795" w:type="dxa"/>
            <w:vAlign w:val="center"/>
            <w:hideMark/>
          </w:tcPr>
          <w:p w14:paraId="7B71974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13</w:t>
            </w:r>
          </w:p>
        </w:tc>
        <w:tc>
          <w:tcPr>
            <w:tcW w:w="2752" w:type="dxa"/>
            <w:vAlign w:val="center"/>
            <w:hideMark/>
          </w:tcPr>
          <w:p w14:paraId="4FC4A208"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Diphyllobothrium latum</w:t>
            </w:r>
          </w:p>
        </w:tc>
        <w:tc>
          <w:tcPr>
            <w:tcW w:w="1019" w:type="dxa"/>
            <w:vAlign w:val="center"/>
            <w:hideMark/>
          </w:tcPr>
          <w:p w14:paraId="4588EBB1"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45BD17A7" w14:textId="77777777" w:rsidTr="0098748D">
        <w:trPr>
          <w:tblCellSpacing w:w="15" w:type="dxa"/>
          <w:jc w:val="center"/>
        </w:trPr>
        <w:tc>
          <w:tcPr>
            <w:tcW w:w="795" w:type="dxa"/>
            <w:vAlign w:val="center"/>
            <w:hideMark/>
          </w:tcPr>
          <w:p w14:paraId="5255089F"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14</w:t>
            </w:r>
          </w:p>
        </w:tc>
        <w:tc>
          <w:tcPr>
            <w:tcW w:w="2752" w:type="dxa"/>
            <w:vAlign w:val="center"/>
            <w:hideMark/>
          </w:tcPr>
          <w:p w14:paraId="2338A2B7" w14:textId="77777777" w:rsidR="0098748D" w:rsidRPr="00461EFC" w:rsidRDefault="0098748D" w:rsidP="0098748D">
            <w:pPr>
              <w:spacing w:after="0" w:line="240" w:lineRule="auto"/>
              <w:jc w:val="center"/>
              <w:rPr>
                <w:rFonts w:cs="Times New Roman"/>
                <w:iCs/>
                <w:szCs w:val="20"/>
              </w:rPr>
            </w:pPr>
            <w:r w:rsidRPr="00461EFC">
              <w:rPr>
                <w:rFonts w:cs="Times New Roman"/>
                <w:iCs/>
                <w:szCs w:val="20"/>
              </w:rPr>
              <w:t>Ascaris lumbricoides</w:t>
            </w:r>
          </w:p>
        </w:tc>
        <w:tc>
          <w:tcPr>
            <w:tcW w:w="1019" w:type="dxa"/>
            <w:vAlign w:val="center"/>
            <w:hideMark/>
          </w:tcPr>
          <w:p w14:paraId="4EC70FFC" w14:textId="77777777" w:rsidR="0098748D" w:rsidRPr="0098748D" w:rsidRDefault="0098748D" w:rsidP="0098748D">
            <w:pPr>
              <w:spacing w:after="0" w:line="240" w:lineRule="auto"/>
              <w:jc w:val="center"/>
              <w:rPr>
                <w:rFonts w:cs="Times New Roman"/>
                <w:sz w:val="18"/>
                <w:szCs w:val="18"/>
              </w:rPr>
            </w:pPr>
            <w:r w:rsidRPr="0098748D">
              <w:rPr>
                <w:rFonts w:cs="Times New Roman"/>
                <w:sz w:val="18"/>
                <w:szCs w:val="18"/>
              </w:rPr>
              <w:t>1</w:t>
            </w:r>
          </w:p>
        </w:tc>
      </w:tr>
      <w:tr w:rsidR="0098748D" w:rsidRPr="0098748D" w14:paraId="2A183652" w14:textId="77777777" w:rsidTr="0098748D">
        <w:trPr>
          <w:tblCellSpacing w:w="15" w:type="dxa"/>
          <w:jc w:val="center"/>
        </w:trPr>
        <w:tc>
          <w:tcPr>
            <w:tcW w:w="795" w:type="dxa"/>
            <w:vAlign w:val="center"/>
            <w:hideMark/>
          </w:tcPr>
          <w:p w14:paraId="02414B19"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Total</w:t>
            </w:r>
          </w:p>
        </w:tc>
        <w:tc>
          <w:tcPr>
            <w:tcW w:w="2752" w:type="dxa"/>
            <w:vAlign w:val="center"/>
            <w:hideMark/>
          </w:tcPr>
          <w:p w14:paraId="1DEAA100" w14:textId="77777777" w:rsidR="0098748D" w:rsidRPr="0098748D" w:rsidRDefault="0098748D" w:rsidP="0098748D">
            <w:pPr>
              <w:spacing w:after="0" w:line="240" w:lineRule="auto"/>
              <w:jc w:val="center"/>
              <w:rPr>
                <w:rFonts w:cs="Times New Roman"/>
                <w:sz w:val="18"/>
                <w:szCs w:val="18"/>
              </w:rPr>
            </w:pPr>
          </w:p>
        </w:tc>
        <w:tc>
          <w:tcPr>
            <w:tcW w:w="1019" w:type="dxa"/>
            <w:vAlign w:val="center"/>
            <w:hideMark/>
          </w:tcPr>
          <w:p w14:paraId="4D2F4934" w14:textId="77777777" w:rsidR="0098748D" w:rsidRPr="0098748D" w:rsidRDefault="0098748D" w:rsidP="0098748D">
            <w:pPr>
              <w:spacing w:after="0" w:line="240" w:lineRule="auto"/>
              <w:jc w:val="center"/>
              <w:rPr>
                <w:rFonts w:cs="Times New Roman"/>
                <w:sz w:val="18"/>
                <w:szCs w:val="18"/>
              </w:rPr>
            </w:pPr>
            <w:r w:rsidRPr="0098748D">
              <w:rPr>
                <w:rFonts w:cs="Times New Roman"/>
                <w:b/>
                <w:bCs/>
                <w:sz w:val="18"/>
                <w:szCs w:val="18"/>
              </w:rPr>
              <w:t>33</w:t>
            </w:r>
          </w:p>
        </w:tc>
      </w:tr>
    </w:tbl>
    <w:p w14:paraId="5DF104F0" w14:textId="77777777" w:rsidR="00461EFC" w:rsidRPr="003F3369" w:rsidRDefault="00461EFC" w:rsidP="003F3369">
      <w:pPr>
        <w:spacing w:after="0" w:line="240" w:lineRule="auto"/>
        <w:ind w:firstLine="567"/>
        <w:jc w:val="both"/>
        <w:rPr>
          <w:rFonts w:asciiTheme="majorBidi" w:hAnsiTheme="majorBidi" w:cstheme="majorBidi"/>
        </w:rPr>
      </w:pPr>
    </w:p>
    <w:p w14:paraId="62A41270" w14:textId="2EC88708" w:rsidR="000953A4" w:rsidRPr="00461EFC" w:rsidRDefault="000953A4" w:rsidP="008E36B6">
      <w:pPr>
        <w:spacing w:line="240" w:lineRule="auto"/>
        <w:ind w:firstLine="567"/>
        <w:jc w:val="both"/>
        <w:rPr>
          <w:rFonts w:asciiTheme="majorBidi" w:hAnsiTheme="majorBidi" w:cstheme="majorBidi"/>
        </w:rPr>
      </w:pPr>
      <w:r w:rsidRPr="00461EFC">
        <w:rPr>
          <w:rFonts w:asciiTheme="majorBidi" w:hAnsiTheme="majorBidi" w:cstheme="majorBidi"/>
          <w:iCs/>
        </w:rPr>
        <w:t>Nosocomial infections</w:t>
      </w:r>
      <w:r w:rsidRPr="00461EFC">
        <w:rPr>
          <w:rFonts w:asciiTheme="majorBidi" w:hAnsiTheme="majorBidi" w:cstheme="majorBidi"/>
        </w:rPr>
        <w:t xml:space="preserve">, also known as </w:t>
      </w:r>
      <w:r w:rsidRPr="00461EFC">
        <w:rPr>
          <w:rFonts w:asciiTheme="majorBidi" w:hAnsiTheme="majorBidi" w:cstheme="majorBidi"/>
          <w:iCs/>
        </w:rPr>
        <w:t>hospital-acquired infections</w:t>
      </w:r>
      <w:r w:rsidRPr="00461EFC">
        <w:rPr>
          <w:rFonts w:asciiTheme="majorBidi" w:hAnsiTheme="majorBidi" w:cstheme="majorBidi"/>
        </w:rPr>
        <w:t xml:space="preserve">, are a significant health concern, particularly in hospital settings where individuals may contract these infections from the hospital environment itself. A recent study indicated that these infections in hospitals in Iraq pose a critical health risk [21]. Controlling the sources of these infections is crucial for effectively managing and mitigating the associated health risks. Therefore, the present study aims to assess the parasitic contamination carried by </w:t>
      </w:r>
      <w:r w:rsidRPr="00461EFC">
        <w:rPr>
          <w:rFonts w:asciiTheme="majorBidi" w:hAnsiTheme="majorBidi" w:cstheme="majorBidi"/>
          <w:iCs/>
        </w:rPr>
        <w:t>American cockroaches</w:t>
      </w:r>
      <w:r w:rsidRPr="00461EFC">
        <w:rPr>
          <w:rFonts w:asciiTheme="majorBidi" w:hAnsiTheme="majorBidi" w:cstheme="majorBidi"/>
        </w:rPr>
        <w:t xml:space="preserve"> in hospital environments, as these cockroaches may serve as a potential source of parasitic infections acquired within </w:t>
      </w:r>
      <w:proofErr w:type="spellStart"/>
      <w:proofErr w:type="gramStart"/>
      <w:r w:rsidRPr="00461EFC">
        <w:rPr>
          <w:rFonts w:asciiTheme="majorBidi" w:hAnsiTheme="majorBidi" w:cstheme="majorBidi"/>
        </w:rPr>
        <w:t>hospitals.The</w:t>
      </w:r>
      <w:proofErr w:type="spellEnd"/>
      <w:proofErr w:type="gramEnd"/>
      <w:r w:rsidRPr="00461EFC">
        <w:rPr>
          <w:rFonts w:asciiTheme="majorBidi" w:hAnsiTheme="majorBidi" w:cstheme="majorBidi"/>
        </w:rPr>
        <w:t xml:space="preserve"> findings of the present study reveal that </w:t>
      </w:r>
      <w:proofErr w:type="spellStart"/>
      <w:r w:rsidRPr="00461EFC">
        <w:rPr>
          <w:rFonts w:asciiTheme="majorBidi" w:hAnsiTheme="majorBidi" w:cstheme="majorBidi"/>
          <w:iCs/>
        </w:rPr>
        <w:t>Nyctotherus</w:t>
      </w:r>
      <w:proofErr w:type="spellEnd"/>
      <w:r w:rsidRPr="00461EFC">
        <w:rPr>
          <w:rFonts w:asciiTheme="majorBidi" w:hAnsiTheme="majorBidi" w:cstheme="majorBidi"/>
          <w:iCs/>
        </w:rPr>
        <w:t xml:space="preserve"> ovalis</w:t>
      </w:r>
      <w:r w:rsidRPr="00461EFC">
        <w:rPr>
          <w:rFonts w:asciiTheme="majorBidi" w:hAnsiTheme="majorBidi" w:cstheme="majorBidi"/>
        </w:rPr>
        <w:t xml:space="preserve"> is the most prevalent parasite species carried by </w:t>
      </w:r>
      <w:r w:rsidRPr="00461EFC">
        <w:rPr>
          <w:rFonts w:asciiTheme="majorBidi" w:hAnsiTheme="majorBidi" w:cstheme="majorBidi"/>
          <w:iCs/>
        </w:rPr>
        <w:t>American cockroaches</w:t>
      </w:r>
      <w:r w:rsidRPr="00461EFC">
        <w:rPr>
          <w:rFonts w:asciiTheme="majorBidi" w:hAnsiTheme="majorBidi" w:cstheme="majorBidi"/>
        </w:rPr>
        <w:t xml:space="preserve">. This </w:t>
      </w:r>
      <w:proofErr w:type="gramStart"/>
      <w:r w:rsidRPr="00461EFC">
        <w:rPr>
          <w:rFonts w:asciiTheme="majorBidi" w:hAnsiTheme="majorBidi" w:cstheme="majorBidi"/>
        </w:rPr>
        <w:t>particular parasite</w:t>
      </w:r>
      <w:proofErr w:type="gramEnd"/>
      <w:r w:rsidRPr="00461EFC">
        <w:rPr>
          <w:rFonts w:asciiTheme="majorBidi" w:hAnsiTheme="majorBidi" w:cstheme="majorBidi"/>
        </w:rPr>
        <w:t xml:space="preserve"> is known to be a common part of the gut flora of cockroaches [19]. This result aligns with the findings of previous studies [17,18]. However, other research suggests that </w:t>
      </w:r>
      <w:proofErr w:type="spellStart"/>
      <w:r w:rsidRPr="00461EFC">
        <w:rPr>
          <w:rFonts w:asciiTheme="majorBidi" w:hAnsiTheme="majorBidi" w:cstheme="majorBidi"/>
          <w:iCs/>
        </w:rPr>
        <w:t>Nyctotherus</w:t>
      </w:r>
      <w:proofErr w:type="spellEnd"/>
      <w:r w:rsidRPr="00461EFC">
        <w:rPr>
          <w:rFonts w:asciiTheme="majorBidi" w:hAnsiTheme="majorBidi" w:cstheme="majorBidi"/>
          <w:iCs/>
        </w:rPr>
        <w:t xml:space="preserve"> ovalis</w:t>
      </w:r>
      <w:r w:rsidRPr="00461EFC">
        <w:rPr>
          <w:rFonts w:asciiTheme="majorBidi" w:hAnsiTheme="majorBidi" w:cstheme="majorBidi"/>
        </w:rPr>
        <w:t xml:space="preserve"> may be considered a pseudo-parasite for both humans and animals [18], with its exact impact on human health not fully understood. Nevertheless, the present study posits that this parasite may represent a potential health risk to humans, warranting further </w:t>
      </w:r>
      <w:proofErr w:type="spellStart"/>
      <w:proofErr w:type="gramStart"/>
      <w:r w:rsidRPr="00461EFC">
        <w:rPr>
          <w:rFonts w:asciiTheme="majorBidi" w:hAnsiTheme="majorBidi" w:cstheme="majorBidi"/>
        </w:rPr>
        <w:t>investigation.In</w:t>
      </w:r>
      <w:proofErr w:type="spellEnd"/>
      <w:proofErr w:type="gramEnd"/>
      <w:r w:rsidRPr="00461EFC">
        <w:rPr>
          <w:rFonts w:asciiTheme="majorBidi" w:hAnsiTheme="majorBidi" w:cstheme="majorBidi"/>
        </w:rPr>
        <w:t xml:space="preserve"> addition to </w:t>
      </w:r>
      <w:proofErr w:type="spellStart"/>
      <w:r w:rsidRPr="00461EFC">
        <w:rPr>
          <w:rFonts w:asciiTheme="majorBidi" w:hAnsiTheme="majorBidi" w:cstheme="majorBidi"/>
          <w:iCs/>
        </w:rPr>
        <w:t>Nyctotherus</w:t>
      </w:r>
      <w:proofErr w:type="spellEnd"/>
      <w:r w:rsidRPr="00461EFC">
        <w:rPr>
          <w:rFonts w:asciiTheme="majorBidi" w:hAnsiTheme="majorBidi" w:cstheme="majorBidi"/>
          <w:iCs/>
        </w:rPr>
        <w:t xml:space="preserve"> ovalis</w:t>
      </w:r>
      <w:r w:rsidRPr="00461EFC">
        <w:rPr>
          <w:rFonts w:asciiTheme="majorBidi" w:hAnsiTheme="majorBidi" w:cstheme="majorBidi"/>
        </w:rPr>
        <w:t xml:space="preserve">, the study identified two well-established human pathogenic parasites: </w:t>
      </w:r>
      <w:proofErr w:type="spellStart"/>
      <w:r w:rsidRPr="00461EFC">
        <w:rPr>
          <w:rFonts w:asciiTheme="majorBidi" w:hAnsiTheme="majorBidi" w:cstheme="majorBidi"/>
          <w:iCs/>
        </w:rPr>
        <w:t>Strongyloides</w:t>
      </w:r>
      <w:proofErr w:type="spellEnd"/>
      <w:r w:rsidRPr="00461EFC">
        <w:rPr>
          <w:rFonts w:asciiTheme="majorBidi" w:hAnsiTheme="majorBidi" w:cstheme="majorBidi"/>
          <w:iCs/>
        </w:rPr>
        <w:t xml:space="preserve"> </w:t>
      </w:r>
      <w:proofErr w:type="spellStart"/>
      <w:r w:rsidRPr="00461EFC">
        <w:rPr>
          <w:rFonts w:asciiTheme="majorBidi" w:hAnsiTheme="majorBidi" w:cstheme="majorBidi"/>
          <w:iCs/>
        </w:rPr>
        <w:t>stercoralis</w:t>
      </w:r>
      <w:proofErr w:type="spellEnd"/>
      <w:r w:rsidRPr="00461EFC">
        <w:rPr>
          <w:rFonts w:asciiTheme="majorBidi" w:hAnsiTheme="majorBidi" w:cstheme="majorBidi"/>
        </w:rPr>
        <w:t xml:space="preserve"> and </w:t>
      </w:r>
      <w:r w:rsidRPr="00461EFC">
        <w:rPr>
          <w:rFonts w:asciiTheme="majorBidi" w:hAnsiTheme="majorBidi" w:cstheme="majorBidi"/>
          <w:iCs/>
        </w:rPr>
        <w:t>Enterobius vermicularis</w:t>
      </w:r>
      <w:r w:rsidRPr="00461EFC">
        <w:rPr>
          <w:rFonts w:asciiTheme="majorBidi" w:hAnsiTheme="majorBidi" w:cstheme="majorBidi"/>
        </w:rPr>
        <w:t xml:space="preserve">. This observation is consistent with a recent study by [16], which successfully isolated both parasites and highlighted the potential public health implications of their presence. Other studies have also reached similar conclusions [14,15]. </w:t>
      </w:r>
      <w:r w:rsidRPr="00461EFC">
        <w:rPr>
          <w:rFonts w:asciiTheme="majorBidi" w:hAnsiTheme="majorBidi" w:cstheme="majorBidi"/>
          <w:iCs/>
        </w:rPr>
        <w:t>Enterobius vermicularis</w:t>
      </w:r>
      <w:r w:rsidRPr="00461EFC">
        <w:rPr>
          <w:rFonts w:asciiTheme="majorBidi" w:hAnsiTheme="majorBidi" w:cstheme="majorBidi"/>
        </w:rPr>
        <w:t xml:space="preserve"> is one of the most significant human pathogens, particularly in cooler and temperate climates, as observed in developed countries [12,13]. This parasite can lead to various diseases and is transmitted through close contact between infected and non-infected individuals or via inhalation of its eggs [11]. It is associated with several health issues, including urinary tract infections, pelvic abscesses, and salpingitis [9,10]. Additionally, recent reports suggest that </w:t>
      </w:r>
      <w:r w:rsidRPr="00461EFC">
        <w:rPr>
          <w:rFonts w:asciiTheme="majorBidi" w:hAnsiTheme="majorBidi" w:cstheme="majorBidi"/>
          <w:iCs/>
        </w:rPr>
        <w:t>Enterobius vermicularis</w:t>
      </w:r>
      <w:r w:rsidRPr="00461EFC">
        <w:rPr>
          <w:rFonts w:asciiTheme="majorBidi" w:hAnsiTheme="majorBidi" w:cstheme="majorBidi"/>
        </w:rPr>
        <w:t xml:space="preserve"> may also contribute to appendicitis [8</w:t>
      </w:r>
      <w:proofErr w:type="gramStart"/>
      <w:r w:rsidRPr="00461EFC">
        <w:rPr>
          <w:rFonts w:asciiTheme="majorBidi" w:hAnsiTheme="majorBidi" w:cstheme="majorBidi"/>
        </w:rPr>
        <w:t>].</w:t>
      </w:r>
      <w:proofErr w:type="spellStart"/>
      <w:r w:rsidRPr="00461EFC">
        <w:rPr>
          <w:rFonts w:asciiTheme="majorBidi" w:hAnsiTheme="majorBidi" w:cstheme="majorBidi"/>
          <w:iCs/>
        </w:rPr>
        <w:t>Strongyloides</w:t>
      </w:r>
      <w:proofErr w:type="spellEnd"/>
      <w:proofErr w:type="gramEnd"/>
      <w:r w:rsidRPr="00461EFC">
        <w:rPr>
          <w:rFonts w:asciiTheme="majorBidi" w:hAnsiTheme="majorBidi" w:cstheme="majorBidi"/>
          <w:iCs/>
        </w:rPr>
        <w:t xml:space="preserve"> </w:t>
      </w:r>
      <w:proofErr w:type="spellStart"/>
      <w:r w:rsidRPr="00461EFC">
        <w:rPr>
          <w:rFonts w:asciiTheme="majorBidi" w:hAnsiTheme="majorBidi" w:cstheme="majorBidi"/>
          <w:iCs/>
        </w:rPr>
        <w:t>stercoralis</w:t>
      </w:r>
      <w:proofErr w:type="spellEnd"/>
      <w:r w:rsidRPr="00461EFC">
        <w:rPr>
          <w:rFonts w:asciiTheme="majorBidi" w:hAnsiTheme="majorBidi" w:cstheme="majorBidi"/>
        </w:rPr>
        <w:t xml:space="preserve"> is another critical human pathogen responsible for </w:t>
      </w:r>
      <w:r w:rsidRPr="00461EFC">
        <w:rPr>
          <w:rFonts w:asciiTheme="majorBidi" w:hAnsiTheme="majorBidi" w:cstheme="majorBidi"/>
          <w:iCs/>
        </w:rPr>
        <w:t>strongyloidiasis</w:t>
      </w:r>
      <w:r w:rsidRPr="00461EFC">
        <w:rPr>
          <w:rFonts w:asciiTheme="majorBidi" w:hAnsiTheme="majorBidi" w:cstheme="majorBidi"/>
        </w:rPr>
        <w:t xml:space="preserve"> [7]. The presence of these parasites in hospital environments, carried by cockroaches, raises serious health concerns. It is believed that the transmission of these parasites could occur through sewage systems, particularly from municipal sewage workers in the hospital. This hypothesis is supported by the fact that all samples in this study were collected from hospital sewage. Previous studies have corroborated this idea [1], showing that sewage workers may acquire infections from exposure to contaminated </w:t>
      </w:r>
      <w:proofErr w:type="spellStart"/>
      <w:proofErr w:type="gramStart"/>
      <w:r w:rsidRPr="00461EFC">
        <w:rPr>
          <w:rFonts w:asciiTheme="majorBidi" w:hAnsiTheme="majorBidi" w:cstheme="majorBidi"/>
        </w:rPr>
        <w:t>sewage.Additionally</w:t>
      </w:r>
      <w:proofErr w:type="spellEnd"/>
      <w:proofErr w:type="gramEnd"/>
      <w:r w:rsidRPr="00461EFC">
        <w:rPr>
          <w:rFonts w:asciiTheme="majorBidi" w:hAnsiTheme="majorBidi" w:cstheme="majorBidi"/>
        </w:rPr>
        <w:t xml:space="preserve">, </w:t>
      </w:r>
      <w:r w:rsidRPr="00461EFC">
        <w:rPr>
          <w:rFonts w:asciiTheme="majorBidi" w:hAnsiTheme="majorBidi" w:cstheme="majorBidi"/>
          <w:iCs/>
        </w:rPr>
        <w:t>Ancylostoma duodenale</w:t>
      </w:r>
      <w:r w:rsidRPr="00461EFC">
        <w:rPr>
          <w:rFonts w:asciiTheme="majorBidi" w:hAnsiTheme="majorBidi" w:cstheme="majorBidi"/>
        </w:rPr>
        <w:t xml:space="preserve">, a parasite known to cause upper gastrointestinal bleeding, was also reported in recent studies [6]. </w:t>
      </w:r>
      <w:r w:rsidRPr="00461EFC">
        <w:rPr>
          <w:rFonts w:asciiTheme="majorBidi" w:hAnsiTheme="majorBidi" w:cstheme="majorBidi"/>
          <w:iCs/>
        </w:rPr>
        <w:t>Entamoeba histolytica</w:t>
      </w:r>
      <w:r w:rsidRPr="00461EFC">
        <w:rPr>
          <w:rFonts w:asciiTheme="majorBidi" w:hAnsiTheme="majorBidi" w:cstheme="majorBidi"/>
        </w:rPr>
        <w:t xml:space="preserve">, responsible for </w:t>
      </w:r>
      <w:r w:rsidRPr="00461EFC">
        <w:rPr>
          <w:rFonts w:asciiTheme="majorBidi" w:hAnsiTheme="majorBidi" w:cstheme="majorBidi"/>
          <w:iCs/>
        </w:rPr>
        <w:t>amebiasis</w:t>
      </w:r>
      <w:r w:rsidRPr="00461EFC">
        <w:rPr>
          <w:rFonts w:asciiTheme="majorBidi" w:hAnsiTheme="majorBidi" w:cstheme="majorBidi"/>
        </w:rPr>
        <w:t xml:space="preserve">, is another dangerous parasite that contributes to high global mortality rates [3]. </w:t>
      </w:r>
      <w:r w:rsidRPr="00461EFC">
        <w:rPr>
          <w:rFonts w:asciiTheme="majorBidi" w:hAnsiTheme="majorBidi" w:cstheme="majorBidi"/>
          <w:iCs/>
        </w:rPr>
        <w:t>Dipylidium caninum</w:t>
      </w:r>
      <w:r w:rsidRPr="00461EFC">
        <w:rPr>
          <w:rFonts w:asciiTheme="majorBidi" w:hAnsiTheme="majorBidi" w:cstheme="majorBidi"/>
        </w:rPr>
        <w:t xml:space="preserve">, the causative agent of </w:t>
      </w:r>
      <w:proofErr w:type="spellStart"/>
      <w:r w:rsidRPr="00461EFC">
        <w:rPr>
          <w:rFonts w:asciiTheme="majorBidi" w:hAnsiTheme="majorBidi" w:cstheme="majorBidi"/>
          <w:iCs/>
        </w:rPr>
        <w:t>dipylidiosis</w:t>
      </w:r>
      <w:proofErr w:type="spellEnd"/>
      <w:r w:rsidRPr="00461EFC">
        <w:rPr>
          <w:rFonts w:asciiTheme="majorBidi" w:hAnsiTheme="majorBidi" w:cstheme="majorBidi"/>
        </w:rPr>
        <w:t>, is a tapeworm transmitted by fleas and, less commonly, lice [2].</w:t>
      </w:r>
    </w:p>
    <w:p w14:paraId="4B644E78" w14:textId="32D9F37F" w:rsidR="008E36B6" w:rsidRDefault="000953A4" w:rsidP="000953A4">
      <w:pPr>
        <w:spacing w:line="240" w:lineRule="auto"/>
        <w:ind w:firstLine="567"/>
        <w:jc w:val="both"/>
        <w:rPr>
          <w:rFonts w:asciiTheme="majorBidi" w:hAnsiTheme="majorBidi" w:cstheme="majorBidi"/>
          <w:szCs w:val="20"/>
        </w:rPr>
      </w:pPr>
      <w:r w:rsidRPr="00461EFC">
        <w:rPr>
          <w:rFonts w:asciiTheme="majorBidi" w:hAnsiTheme="majorBidi" w:cstheme="majorBidi"/>
        </w:rPr>
        <w:t xml:space="preserve">The presence of these harmful parasites, carried by </w:t>
      </w:r>
      <w:r w:rsidRPr="00461EFC">
        <w:rPr>
          <w:rFonts w:asciiTheme="majorBidi" w:hAnsiTheme="majorBidi" w:cstheme="majorBidi"/>
          <w:iCs/>
        </w:rPr>
        <w:t>American cockroaches</w:t>
      </w:r>
      <w:r w:rsidRPr="00461EFC">
        <w:rPr>
          <w:rFonts w:asciiTheme="majorBidi" w:hAnsiTheme="majorBidi" w:cstheme="majorBidi"/>
        </w:rPr>
        <w:t xml:space="preserve"> in hospital sewage systems, highlights the critical role these insects may play in transmitting parasitic infections. This</w:t>
      </w:r>
      <w:r w:rsidRPr="000953A4">
        <w:rPr>
          <w:rFonts w:asciiTheme="majorBidi" w:hAnsiTheme="majorBidi" w:cstheme="majorBidi"/>
        </w:rPr>
        <w:t xml:space="preserve"> underscores the importance of maintaining strict hygiene and controlling potential sources of infection within </w:t>
      </w:r>
      <w:r w:rsidRPr="008E36B6">
        <w:rPr>
          <w:rFonts w:asciiTheme="majorBidi" w:hAnsiTheme="majorBidi" w:cstheme="majorBidi"/>
          <w:szCs w:val="20"/>
        </w:rPr>
        <w:t xml:space="preserve">hospital environments to reduce the risk of </w:t>
      </w:r>
      <w:r w:rsidRPr="008E36B6">
        <w:rPr>
          <w:rFonts w:asciiTheme="majorBidi" w:hAnsiTheme="majorBidi" w:cstheme="majorBidi"/>
          <w:i/>
          <w:iCs/>
          <w:szCs w:val="20"/>
        </w:rPr>
        <w:t>nosocomial infections</w:t>
      </w:r>
      <w:r w:rsidRPr="008E36B6">
        <w:rPr>
          <w:rFonts w:asciiTheme="majorBidi" w:hAnsiTheme="majorBidi" w:cstheme="majorBidi"/>
          <w:szCs w:val="20"/>
        </w:rPr>
        <w:t>.</w:t>
      </w:r>
    </w:p>
    <w:p w14:paraId="089080FC" w14:textId="77A7556F" w:rsidR="00F57D4B" w:rsidRDefault="005E3946" w:rsidP="00F57D4B">
      <w:pPr>
        <w:spacing w:after="160" w:line="240" w:lineRule="auto"/>
        <w:jc w:val="center"/>
        <w:rPr>
          <w:rFonts w:eastAsia="Calibri" w:cs="Times New Roman"/>
          <w:szCs w:val="20"/>
          <w:lang w:bidi="ar-IQ"/>
        </w:rPr>
      </w:pPr>
      <w:r w:rsidRPr="005E3946">
        <w:rPr>
          <w:rFonts w:eastAsia="Calibri" w:cs="Times New Roman"/>
          <w:noProof/>
          <w:szCs w:val="20"/>
        </w:rPr>
        <w:lastRenderedPageBreak/>
        <mc:AlternateContent>
          <mc:Choice Requires="wps">
            <w:drawing>
              <wp:anchor distT="0" distB="0" distL="114300" distR="114300" simplePos="0" relativeHeight="251663360" behindDoc="0" locked="0" layoutInCell="1" allowOverlap="1" wp14:anchorId="7FD7835D" wp14:editId="698578E2">
                <wp:simplePos x="0" y="0"/>
                <wp:positionH relativeFrom="column">
                  <wp:posOffset>4630336</wp:posOffset>
                </wp:positionH>
                <wp:positionV relativeFrom="paragraph">
                  <wp:posOffset>4039462</wp:posOffset>
                </wp:positionV>
                <wp:extent cx="353060" cy="258445"/>
                <wp:effectExtent l="0" t="0" r="27940" b="27305"/>
                <wp:wrapNone/>
                <wp:docPr id="19" name="مربع نص 19"/>
                <wp:cNvGraphicFramePr/>
                <a:graphic xmlns:a="http://schemas.openxmlformats.org/drawingml/2006/main">
                  <a:graphicData uri="http://schemas.microsoft.com/office/word/2010/wordprocessingShape">
                    <wps:wsp>
                      <wps:cNvSpPr txBox="1"/>
                      <wps:spPr>
                        <a:xfrm>
                          <a:off x="0" y="0"/>
                          <a:ext cx="353060" cy="258445"/>
                        </a:xfrm>
                        <a:prstGeom prst="rect">
                          <a:avLst/>
                        </a:prstGeom>
                        <a:solidFill>
                          <a:sysClr val="window" lastClr="FFFFFF"/>
                        </a:solidFill>
                        <a:ln w="6350">
                          <a:solidFill>
                            <a:prstClr val="black"/>
                          </a:solidFill>
                        </a:ln>
                        <a:effectLst/>
                      </wps:spPr>
                      <wps:txbx>
                        <w:txbxContent>
                          <w:p w14:paraId="04528FFB" w14:textId="709A3B47" w:rsidR="005E3946" w:rsidRDefault="005E3946" w:rsidP="005E3946">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D7835D" id="_x0000_t202" coordsize="21600,21600" o:spt="202" path="m,l,21600r21600,l21600,xe">
                <v:stroke joinstyle="miter"/>
                <v:path gradientshapeok="t" o:connecttype="rect"/>
              </v:shapetype>
              <v:shape id="مربع نص 19" o:spid="_x0000_s1026" type="#_x0000_t202" style="position:absolute;left:0;text-align:left;margin-left:364.6pt;margin-top:318.05pt;width:27.8pt;height:20.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" fillcolor="window" strokeweight=".5pt">
                <v:textbox>
                  <w:txbxContent>
                    <w:p w14:paraId="04528FFB" w14:textId="709A3B47" w:rsidR="005E3946" w:rsidRDefault="005E3946" w:rsidP="005E3946">
                      <w:r>
                        <w:t>(f)</w:t>
                      </w:r>
                    </w:p>
                  </w:txbxContent>
                </v:textbox>
              </v:shape>
            </w:pict>
          </mc:Fallback>
        </mc:AlternateContent>
      </w:r>
      <w:r w:rsidRPr="005E3946">
        <w:rPr>
          <w:rFonts w:eastAsia="Calibri" w:cs="Times New Roman"/>
          <w:noProof/>
          <w:szCs w:val="20"/>
        </w:rPr>
        <mc:AlternateContent>
          <mc:Choice Requires="wps">
            <w:drawing>
              <wp:anchor distT="0" distB="0" distL="114300" distR="114300" simplePos="0" relativeHeight="251665408" behindDoc="0" locked="0" layoutInCell="1" allowOverlap="1" wp14:anchorId="7B2959AF" wp14:editId="1FE8DCFC">
                <wp:simplePos x="0" y="0"/>
                <wp:positionH relativeFrom="column">
                  <wp:posOffset>539750</wp:posOffset>
                </wp:positionH>
                <wp:positionV relativeFrom="paragraph">
                  <wp:posOffset>4131310</wp:posOffset>
                </wp:positionV>
                <wp:extent cx="353060" cy="258445"/>
                <wp:effectExtent l="0" t="0" r="27940" b="27305"/>
                <wp:wrapNone/>
                <wp:docPr id="20" name="مربع نص 20"/>
                <wp:cNvGraphicFramePr/>
                <a:graphic xmlns:a="http://schemas.openxmlformats.org/drawingml/2006/main">
                  <a:graphicData uri="http://schemas.microsoft.com/office/word/2010/wordprocessingShape">
                    <wps:wsp>
                      <wps:cNvSpPr txBox="1"/>
                      <wps:spPr>
                        <a:xfrm>
                          <a:off x="0" y="0"/>
                          <a:ext cx="353060" cy="258445"/>
                        </a:xfrm>
                        <a:prstGeom prst="rect">
                          <a:avLst/>
                        </a:prstGeom>
                        <a:solidFill>
                          <a:sysClr val="window" lastClr="FFFFFF"/>
                        </a:solidFill>
                        <a:ln w="6350">
                          <a:solidFill>
                            <a:prstClr val="black"/>
                          </a:solidFill>
                        </a:ln>
                        <a:effectLst/>
                      </wps:spPr>
                      <wps:txbx>
                        <w:txbxContent>
                          <w:p w14:paraId="295A4C94" w14:textId="182B69A2" w:rsidR="005E3946" w:rsidRDefault="005E3946" w:rsidP="005E3946">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2959AF" id="مربع نص 20" o:spid="_x0000_s1027" type="#_x0000_t202" style="position:absolute;left:0;text-align:left;margin-left:42.5pt;margin-top:325.3pt;width:27.8pt;height:20.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" fillcolor="window" strokeweight=".5pt">
                <v:textbox>
                  <w:txbxContent>
                    <w:p w14:paraId="295A4C94" w14:textId="182B69A2" w:rsidR="005E3946" w:rsidRDefault="005E3946" w:rsidP="005E3946">
                      <w:r>
                        <w:t>(e)</w:t>
                      </w:r>
                    </w:p>
                  </w:txbxContent>
                </v:textbox>
              </v:shape>
            </w:pict>
          </mc:Fallback>
        </mc:AlternateContent>
      </w:r>
      <w:r w:rsidRPr="005E3946">
        <w:rPr>
          <w:rFonts w:eastAsia="Calibri" w:cs="Times New Roman"/>
          <w:noProof/>
          <w:szCs w:val="20"/>
        </w:rPr>
        <mc:AlternateContent>
          <mc:Choice Requires="wps">
            <w:drawing>
              <wp:anchor distT="0" distB="0" distL="114300" distR="114300" simplePos="0" relativeHeight="251667456" behindDoc="0" locked="0" layoutInCell="1" allowOverlap="1" wp14:anchorId="7F5591F2" wp14:editId="1B264E73">
                <wp:simplePos x="0" y="0"/>
                <wp:positionH relativeFrom="column">
                  <wp:posOffset>4624705</wp:posOffset>
                </wp:positionH>
                <wp:positionV relativeFrom="paragraph">
                  <wp:posOffset>2170430</wp:posOffset>
                </wp:positionV>
                <wp:extent cx="353060" cy="258445"/>
                <wp:effectExtent l="0" t="0" r="27940" b="27305"/>
                <wp:wrapNone/>
                <wp:docPr id="21" name="مربع نص 21"/>
                <wp:cNvGraphicFramePr/>
                <a:graphic xmlns:a="http://schemas.openxmlformats.org/drawingml/2006/main">
                  <a:graphicData uri="http://schemas.microsoft.com/office/word/2010/wordprocessingShape">
                    <wps:wsp>
                      <wps:cNvSpPr txBox="1"/>
                      <wps:spPr>
                        <a:xfrm>
                          <a:off x="0" y="0"/>
                          <a:ext cx="353060" cy="258445"/>
                        </a:xfrm>
                        <a:prstGeom prst="rect">
                          <a:avLst/>
                        </a:prstGeom>
                        <a:solidFill>
                          <a:sysClr val="window" lastClr="FFFFFF"/>
                        </a:solidFill>
                        <a:ln w="6350">
                          <a:solidFill>
                            <a:prstClr val="black"/>
                          </a:solidFill>
                        </a:ln>
                        <a:effectLst/>
                      </wps:spPr>
                      <wps:txbx>
                        <w:txbxContent>
                          <w:p w14:paraId="68C1FFDB" w14:textId="7FB274D3" w:rsidR="005E3946" w:rsidRDefault="005E3946" w:rsidP="005E394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591F2" id="مربع نص 21" o:spid="_x0000_s1028" type="#_x0000_t202" style="position:absolute;left:0;text-align:left;margin-left:364.15pt;margin-top:170.9pt;width:27.8pt;height:2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" fillcolor="window" strokeweight=".5pt">
                <v:textbox>
                  <w:txbxContent>
                    <w:p w14:paraId="68C1FFDB" w14:textId="7FB274D3" w:rsidR="005E3946" w:rsidRDefault="005E3946" w:rsidP="005E3946">
                      <w:r>
                        <w:t>(d)</w:t>
                      </w:r>
                    </w:p>
                  </w:txbxContent>
                </v:textbox>
              </v:shape>
            </w:pict>
          </mc:Fallback>
        </mc:AlternateContent>
      </w:r>
      <w:r w:rsidRPr="005E3946">
        <w:rPr>
          <w:rFonts w:eastAsia="Calibri" w:cs="Times New Roman"/>
          <w:noProof/>
          <w:szCs w:val="20"/>
        </w:rPr>
        <mc:AlternateContent>
          <mc:Choice Requires="wps">
            <w:drawing>
              <wp:anchor distT="0" distB="0" distL="114300" distR="114300" simplePos="0" relativeHeight="251669504" behindDoc="0" locked="0" layoutInCell="1" allowOverlap="1" wp14:anchorId="08510F10" wp14:editId="064B679B">
                <wp:simplePos x="0" y="0"/>
                <wp:positionH relativeFrom="column">
                  <wp:posOffset>498475</wp:posOffset>
                </wp:positionH>
                <wp:positionV relativeFrom="paragraph">
                  <wp:posOffset>2176145</wp:posOffset>
                </wp:positionV>
                <wp:extent cx="353060" cy="258445"/>
                <wp:effectExtent l="0" t="0" r="27940" b="27305"/>
                <wp:wrapNone/>
                <wp:docPr id="22" name="مربع نص 22"/>
                <wp:cNvGraphicFramePr/>
                <a:graphic xmlns:a="http://schemas.openxmlformats.org/drawingml/2006/main">
                  <a:graphicData uri="http://schemas.microsoft.com/office/word/2010/wordprocessingShape">
                    <wps:wsp>
                      <wps:cNvSpPr txBox="1"/>
                      <wps:spPr>
                        <a:xfrm>
                          <a:off x="0" y="0"/>
                          <a:ext cx="353060" cy="258445"/>
                        </a:xfrm>
                        <a:prstGeom prst="rect">
                          <a:avLst/>
                        </a:prstGeom>
                        <a:solidFill>
                          <a:sysClr val="window" lastClr="FFFFFF"/>
                        </a:solidFill>
                        <a:ln w="6350">
                          <a:solidFill>
                            <a:prstClr val="black"/>
                          </a:solidFill>
                        </a:ln>
                        <a:effectLst/>
                      </wps:spPr>
                      <wps:txbx>
                        <w:txbxContent>
                          <w:p w14:paraId="1DF803EE" w14:textId="524FF2FF" w:rsidR="005E3946" w:rsidRDefault="005E3946" w:rsidP="005E394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10F10" id="مربع نص 22" o:spid="_x0000_s1029" type="#_x0000_t202" style="position:absolute;left:0;text-align:left;margin-left:39.25pt;margin-top:171.35pt;width:27.8pt;height:20.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" fillcolor="window" strokeweight=".5pt">
                <v:textbox>
                  <w:txbxContent>
                    <w:p w14:paraId="1DF803EE" w14:textId="524FF2FF" w:rsidR="005E3946" w:rsidRDefault="005E3946" w:rsidP="005E3946">
                      <w:r>
                        <w:t>(c)</w:t>
                      </w:r>
                    </w:p>
                  </w:txbxContent>
                </v:textbox>
              </v:shape>
            </w:pict>
          </mc:Fallback>
        </mc:AlternateContent>
      </w:r>
      <w:r w:rsidRPr="005E3946">
        <w:rPr>
          <w:rFonts w:eastAsia="Calibri" w:cs="Times New Roman"/>
          <w:noProof/>
          <w:szCs w:val="20"/>
        </w:rPr>
        <mc:AlternateContent>
          <mc:Choice Requires="wps">
            <w:drawing>
              <wp:anchor distT="0" distB="0" distL="114300" distR="114300" simplePos="0" relativeHeight="251671552" behindDoc="0" locked="0" layoutInCell="1" allowOverlap="1" wp14:anchorId="145F3946" wp14:editId="356E8C31">
                <wp:simplePos x="0" y="0"/>
                <wp:positionH relativeFrom="column">
                  <wp:posOffset>4628048</wp:posOffset>
                </wp:positionH>
                <wp:positionV relativeFrom="paragraph">
                  <wp:posOffset>224155</wp:posOffset>
                </wp:positionV>
                <wp:extent cx="353683" cy="258792"/>
                <wp:effectExtent l="0" t="0" r="27940" b="27305"/>
                <wp:wrapNone/>
                <wp:docPr id="23" name="مربع نص 23"/>
                <wp:cNvGraphicFramePr/>
                <a:graphic xmlns:a="http://schemas.openxmlformats.org/drawingml/2006/main">
                  <a:graphicData uri="http://schemas.microsoft.com/office/word/2010/wordprocessingShape">
                    <wps:wsp>
                      <wps:cNvSpPr txBox="1"/>
                      <wps:spPr>
                        <a:xfrm>
                          <a:off x="0" y="0"/>
                          <a:ext cx="353683" cy="258792"/>
                        </a:xfrm>
                        <a:prstGeom prst="rect">
                          <a:avLst/>
                        </a:prstGeom>
                        <a:solidFill>
                          <a:sysClr val="window" lastClr="FFFFFF"/>
                        </a:solidFill>
                        <a:ln w="6350">
                          <a:solidFill>
                            <a:prstClr val="black"/>
                          </a:solidFill>
                        </a:ln>
                        <a:effectLst/>
                      </wps:spPr>
                      <wps:txbx>
                        <w:txbxContent>
                          <w:p w14:paraId="071D05C9" w14:textId="6D596600" w:rsidR="005E3946" w:rsidRDefault="005E3946" w:rsidP="005E394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F3946" id="مربع نص 23" o:spid="_x0000_s1030" type="#_x0000_t202" style="position:absolute;left:0;text-align:left;margin-left:364.4pt;margin-top:17.65pt;width:27.85pt;height:20.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" fillcolor="window" strokeweight=".5pt">
                <v:textbox>
                  <w:txbxContent>
                    <w:p w14:paraId="071D05C9" w14:textId="6D596600" w:rsidR="005E3946" w:rsidRDefault="005E3946" w:rsidP="005E3946">
                      <w:r>
                        <w:t>(b)</w:t>
                      </w:r>
                    </w:p>
                  </w:txbxContent>
                </v:textbox>
              </v:shape>
            </w:pict>
          </mc:Fallback>
        </mc:AlternateContent>
      </w:r>
      <w:r>
        <w:rPr>
          <w:rFonts w:eastAsia="Calibri" w:cs="Times New Roman"/>
          <w:noProof/>
          <w:szCs w:val="20"/>
        </w:rPr>
        <mc:AlternateContent>
          <mc:Choice Requires="wps">
            <w:drawing>
              <wp:anchor distT="0" distB="0" distL="114300" distR="114300" simplePos="0" relativeHeight="251659264" behindDoc="0" locked="0" layoutInCell="1" allowOverlap="1" wp14:anchorId="01D9ED28" wp14:editId="6C7B0203">
                <wp:simplePos x="0" y="0"/>
                <wp:positionH relativeFrom="column">
                  <wp:posOffset>435634</wp:posOffset>
                </wp:positionH>
                <wp:positionV relativeFrom="paragraph">
                  <wp:posOffset>224287</wp:posOffset>
                </wp:positionV>
                <wp:extent cx="353683" cy="258792"/>
                <wp:effectExtent l="0" t="0" r="27940" b="27305"/>
                <wp:wrapNone/>
                <wp:docPr id="17" name="مربع نص 17"/>
                <wp:cNvGraphicFramePr/>
                <a:graphic xmlns:a="http://schemas.openxmlformats.org/drawingml/2006/main">
                  <a:graphicData uri="http://schemas.microsoft.com/office/word/2010/wordprocessingShape">
                    <wps:wsp>
                      <wps:cNvSpPr txBox="1"/>
                      <wps:spPr>
                        <a:xfrm>
                          <a:off x="0" y="0"/>
                          <a:ext cx="353683"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F4830" w14:textId="05BDCE49" w:rsidR="005E3946" w:rsidRDefault="005E394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9ED28" id="مربع نص 17" o:spid="_x0000_s1031" type="#_x0000_t202" style="position:absolute;left:0;text-align:left;margin-left:34.3pt;margin-top:17.65pt;width:27.85pt;height: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" fillcolor="white [3201]" strokeweight=".5pt">
                <v:textbox>
                  <w:txbxContent>
                    <w:p w14:paraId="642F4830" w14:textId="05BDCE49" w:rsidR="005E3946" w:rsidRDefault="005E3946">
                      <w:r>
                        <w:t>(a)</w:t>
                      </w:r>
                    </w:p>
                  </w:txbxContent>
                </v:textbox>
              </v:shape>
            </w:pict>
          </mc:Fallback>
        </mc:AlternateContent>
      </w:r>
      <w:r w:rsidR="008E36B6" w:rsidRPr="008E36B6">
        <w:rPr>
          <w:rFonts w:eastAsia="Calibri" w:cs="Times New Roman"/>
          <w:noProof/>
          <w:szCs w:val="20"/>
        </w:rPr>
        <w:drawing>
          <wp:inline distT="0" distB="0" distL="0" distR="0" wp14:anchorId="35ACB61C" wp14:editId="43553EDB">
            <wp:extent cx="1604514" cy="1546160"/>
            <wp:effectExtent l="209550" t="190500" r="224790" b="226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939" r="13355" b="-1"/>
                    <a:stretch/>
                  </pic:blipFill>
                  <pic:spPr bwMode="auto">
                    <a:xfrm>
                      <a:off x="0" y="0"/>
                      <a:ext cx="1611481" cy="155287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8E36B6" w:rsidRPr="008E36B6">
        <w:rPr>
          <w:rFonts w:eastAsia="Calibri" w:cs="Times New Roman"/>
          <w:noProof/>
          <w:szCs w:val="20"/>
        </w:rPr>
        <w:drawing>
          <wp:inline distT="0" distB="0" distL="0" distR="0" wp14:anchorId="65818EFB" wp14:editId="48558806">
            <wp:extent cx="1526876" cy="1508474"/>
            <wp:effectExtent l="209550" t="190500" r="226060" b="225425"/>
            <wp:docPr id="3" name="Picture 3" descr="A microscope view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icroscope view of a cell&#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28561" r="375" b="30400"/>
                    <a:stretch/>
                  </pic:blipFill>
                  <pic:spPr bwMode="auto">
                    <a:xfrm>
                      <a:off x="0" y="0"/>
                      <a:ext cx="1535156" cy="151665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57D4B" w:rsidRPr="00F57D4B">
        <w:rPr>
          <w:rFonts w:eastAsia="Calibri" w:cs="Times New Roman"/>
          <w:szCs w:val="20"/>
          <w:lang w:bidi="ar-IQ"/>
        </w:rPr>
        <w:t xml:space="preserve"> </w:t>
      </w:r>
      <w:r w:rsidR="00F57D4B" w:rsidRPr="008E36B6">
        <w:rPr>
          <w:rFonts w:eastAsia="Calibri" w:cs="Times New Roman"/>
          <w:noProof/>
          <w:szCs w:val="20"/>
        </w:rPr>
        <w:drawing>
          <wp:inline distT="0" distB="0" distL="0" distR="0" wp14:anchorId="0A096D6F" wp14:editId="5D6F42A7">
            <wp:extent cx="1506743" cy="1449238"/>
            <wp:effectExtent l="209550" t="190500" r="227330" b="227330"/>
            <wp:docPr id="14" name="Picture 2" descr="A yellow round object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round object with small spot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35037" r="-723" b="1307"/>
                    <a:stretch/>
                  </pic:blipFill>
                  <pic:spPr bwMode="auto">
                    <a:xfrm>
                      <a:off x="0" y="0"/>
                      <a:ext cx="1502914" cy="14455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8E36B6" w:rsidRPr="008E36B6">
        <w:rPr>
          <w:rFonts w:eastAsia="Calibri" w:cs="Times New Roman"/>
          <w:noProof/>
          <w:szCs w:val="20"/>
        </w:rPr>
        <w:drawing>
          <wp:inline distT="0" distB="0" distL="0" distR="0" wp14:anchorId="0982C5E2" wp14:editId="48C1051C">
            <wp:extent cx="1518249" cy="1468908"/>
            <wp:effectExtent l="209550" t="190500" r="234950" b="226695"/>
            <wp:docPr id="4" name="Picture 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pic:cNvPicPr/>
                  </pic:nvPicPr>
                  <pic:blipFill rotWithShape="1">
                    <a:blip r:embed="rId15" cstate="print">
                      <a:extLst>
                        <a:ext uri="{28A0092B-C50C-407E-A947-70E740481C1C}">
                          <a14:useLocalDpi xmlns:a14="http://schemas.microsoft.com/office/drawing/2010/main" val="0"/>
                        </a:ext>
                      </a:extLst>
                    </a:blip>
                    <a:srcRect t="34151" r="518" b="36943"/>
                    <a:stretch/>
                  </pic:blipFill>
                  <pic:spPr bwMode="auto">
                    <a:xfrm>
                      <a:off x="0" y="0"/>
                      <a:ext cx="1521512" cy="14720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8E36B6" w:rsidRPr="008E36B6">
        <w:rPr>
          <w:rFonts w:eastAsia="Calibri" w:cs="Times New Roman"/>
          <w:noProof/>
          <w:szCs w:val="20"/>
        </w:rPr>
        <w:drawing>
          <wp:inline distT="0" distB="0" distL="0" distR="0" wp14:anchorId="62AE7991" wp14:editId="4F2E3551">
            <wp:extent cx="1587260" cy="1504157"/>
            <wp:effectExtent l="209550" t="190500" r="222885" b="229870"/>
            <wp:docPr id="5" name="Picture 5" descr="A close 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icroscope&#10;&#10;Description automatically generated"/>
                    <pic:cNvPicPr/>
                  </pic:nvPicPr>
                  <pic:blipFill rotWithShape="1">
                    <a:blip r:embed="rId16">
                      <a:extLst>
                        <a:ext uri="{28A0092B-C50C-407E-A947-70E740481C1C}">
                          <a14:useLocalDpi xmlns:a14="http://schemas.microsoft.com/office/drawing/2010/main" val="0"/>
                        </a:ext>
                      </a:extLst>
                    </a:blip>
                    <a:srcRect l="10645" t="32111" r="22874" b="37745"/>
                    <a:stretch/>
                  </pic:blipFill>
                  <pic:spPr bwMode="auto">
                    <a:xfrm>
                      <a:off x="0" y="0"/>
                      <a:ext cx="1594363" cy="1510888"/>
                    </a:xfrm>
                    <a:prstGeom prst="ellipse">
                      <a:avLst/>
                    </a:prstGeom>
                    <a:ln w="190500" cap="rnd" cmpd="sng" algn="ctr">
                      <a:solidFill>
                        <a:srgbClr val="C8C6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57D4B" w:rsidRPr="008E36B6">
        <w:rPr>
          <w:rFonts w:eastAsia="Calibri" w:cs="Times New Roman"/>
          <w:noProof/>
          <w:szCs w:val="20"/>
        </w:rPr>
        <w:drawing>
          <wp:inline distT="0" distB="0" distL="0" distR="0" wp14:anchorId="64B353D0" wp14:editId="5933BB11">
            <wp:extent cx="1559786" cy="1457864"/>
            <wp:effectExtent l="209550" t="190500" r="231140" b="2381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t="24199" r="-448" b="30224"/>
                    <a:stretch/>
                  </pic:blipFill>
                  <pic:spPr bwMode="auto">
                    <a:xfrm>
                      <a:off x="0" y="0"/>
                      <a:ext cx="1574223" cy="1471357"/>
                    </a:xfrm>
                    <a:prstGeom prst="ellipse">
                      <a:avLst/>
                    </a:prstGeom>
                    <a:ln w="190500" cap="rnd" cmpd="sng" algn="ctr">
                      <a:solidFill>
                        <a:srgbClr val="C8C6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48D4CB1F" w14:textId="30B4DAB8" w:rsidR="008E36B6" w:rsidRPr="008E36B6" w:rsidRDefault="008E36B6" w:rsidP="00E806D2">
      <w:pPr>
        <w:spacing w:after="160" w:line="240" w:lineRule="auto"/>
        <w:jc w:val="center"/>
        <w:rPr>
          <w:rFonts w:eastAsia="Calibri" w:cs="Times New Roman"/>
          <w:b/>
          <w:bCs/>
          <w:i/>
          <w:iCs/>
          <w:sz w:val="18"/>
          <w:szCs w:val="18"/>
          <w:lang w:bidi="ar-IQ"/>
        </w:rPr>
      </w:pPr>
      <w:r w:rsidRPr="008E36B6">
        <w:rPr>
          <w:rFonts w:eastAsia="Calibri" w:cs="Times New Roman"/>
          <w:b/>
          <w:bCs/>
          <w:sz w:val="18"/>
          <w:szCs w:val="18"/>
          <w:lang w:bidi="ar-IQ"/>
        </w:rPr>
        <w:t xml:space="preserve">FIGURE </w:t>
      </w:r>
      <w:r>
        <w:rPr>
          <w:rFonts w:eastAsia="Calibri" w:cs="Times New Roman"/>
          <w:b/>
          <w:bCs/>
          <w:sz w:val="18"/>
          <w:szCs w:val="18"/>
          <w:lang w:bidi="ar-IQ"/>
        </w:rPr>
        <w:t>1</w:t>
      </w:r>
      <w:r w:rsidRPr="00461EFC">
        <w:rPr>
          <w:rFonts w:eastAsia="Calibri" w:cs="Times New Roman"/>
          <w:b/>
          <w:bCs/>
          <w:sz w:val="18"/>
          <w:szCs w:val="18"/>
          <w:lang w:bidi="ar-IQ"/>
        </w:rPr>
        <w:t xml:space="preserve">. </w:t>
      </w:r>
      <w:r w:rsidR="00F6071D" w:rsidRPr="00461EFC">
        <w:rPr>
          <w:rFonts w:eastAsia="Calibri" w:cs="Times New Roman" w:hint="cs"/>
          <w:sz w:val="18"/>
          <w:szCs w:val="18"/>
          <w:rtl/>
          <w:lang w:bidi="ar-IQ"/>
        </w:rPr>
        <w:t xml:space="preserve"> </w:t>
      </w:r>
      <w:r w:rsidR="00F6071D" w:rsidRPr="00461EFC">
        <w:rPr>
          <w:rFonts w:eastAsia="Calibri" w:cs="Times New Roman"/>
          <w:sz w:val="18"/>
          <w:szCs w:val="18"/>
          <w:lang w:bidi="ar-IQ"/>
        </w:rPr>
        <w:t xml:space="preserve">Microscopic examination of parasites isolated from American cockroaches: </w:t>
      </w:r>
      <w:proofErr w:type="spellStart"/>
      <w:r w:rsidR="00F6071D" w:rsidRPr="00461EFC">
        <w:rPr>
          <w:rFonts w:eastAsia="Calibri" w:cs="Times New Roman"/>
          <w:iCs/>
          <w:sz w:val="18"/>
          <w:szCs w:val="18"/>
          <w:lang w:bidi="ar-IQ"/>
        </w:rPr>
        <w:t>Strongyloides</w:t>
      </w:r>
      <w:proofErr w:type="spellEnd"/>
      <w:r w:rsidR="00F6071D" w:rsidRPr="00461EFC">
        <w:rPr>
          <w:rFonts w:eastAsia="Calibri" w:cs="Times New Roman"/>
          <w:iCs/>
          <w:sz w:val="18"/>
          <w:szCs w:val="18"/>
          <w:lang w:bidi="ar-IQ"/>
        </w:rPr>
        <w:t xml:space="preserve"> </w:t>
      </w:r>
      <w:proofErr w:type="spellStart"/>
      <w:r w:rsidR="00F6071D" w:rsidRPr="00461EFC">
        <w:rPr>
          <w:rFonts w:eastAsia="Calibri" w:cs="Times New Roman"/>
          <w:iCs/>
          <w:sz w:val="18"/>
          <w:szCs w:val="18"/>
          <w:lang w:bidi="ar-IQ"/>
        </w:rPr>
        <w:t>stercoralis</w:t>
      </w:r>
      <w:proofErr w:type="spellEnd"/>
      <w:r w:rsidR="00F6071D" w:rsidRPr="00461EFC">
        <w:rPr>
          <w:rFonts w:eastAsia="Calibri" w:cs="Times New Roman"/>
          <w:iCs/>
          <w:sz w:val="18"/>
          <w:szCs w:val="18"/>
          <w:lang w:bidi="ar-IQ"/>
        </w:rPr>
        <w:t xml:space="preserve"> (a), </w:t>
      </w:r>
      <w:proofErr w:type="spellStart"/>
      <w:r w:rsidR="00F6071D" w:rsidRPr="00461EFC">
        <w:rPr>
          <w:rFonts w:eastAsia="Calibri" w:cs="Times New Roman"/>
          <w:iCs/>
          <w:sz w:val="18"/>
          <w:szCs w:val="18"/>
          <w:lang w:bidi="ar-IQ"/>
        </w:rPr>
        <w:t>Nectothyrous</w:t>
      </w:r>
      <w:proofErr w:type="spellEnd"/>
      <w:r w:rsidR="00F6071D" w:rsidRPr="00461EFC">
        <w:rPr>
          <w:rFonts w:eastAsia="Calibri" w:cs="Times New Roman"/>
          <w:iCs/>
          <w:sz w:val="18"/>
          <w:szCs w:val="18"/>
          <w:lang w:bidi="ar-IQ"/>
        </w:rPr>
        <w:t xml:space="preserve"> ovalis (b), Balantidium coli (c), </w:t>
      </w:r>
      <w:proofErr w:type="spellStart"/>
      <w:r w:rsidR="00F6071D" w:rsidRPr="00461EFC">
        <w:rPr>
          <w:rFonts w:eastAsia="Calibri" w:cs="Times New Roman"/>
          <w:iCs/>
          <w:sz w:val="18"/>
          <w:szCs w:val="18"/>
          <w:lang w:bidi="ar-IQ"/>
        </w:rPr>
        <w:t>Hymenolepis</w:t>
      </w:r>
      <w:proofErr w:type="spellEnd"/>
      <w:r w:rsidR="00F6071D" w:rsidRPr="00461EFC">
        <w:rPr>
          <w:rFonts w:eastAsia="Calibri" w:cs="Times New Roman"/>
          <w:iCs/>
          <w:sz w:val="18"/>
          <w:szCs w:val="18"/>
          <w:lang w:bidi="ar-IQ"/>
        </w:rPr>
        <w:t xml:space="preserve"> eggs (d), Ancylostoma duodenale (e), </w:t>
      </w:r>
      <w:r w:rsidR="00E806D2" w:rsidRPr="00461EFC">
        <w:rPr>
          <w:rFonts w:eastAsia="Calibri" w:cs="Times New Roman"/>
          <w:iCs/>
          <w:sz w:val="18"/>
          <w:szCs w:val="18"/>
          <w:lang w:bidi="ar-IQ"/>
        </w:rPr>
        <w:t xml:space="preserve">Entamoeba coli (cyst) </w:t>
      </w:r>
      <w:r w:rsidR="00E806D2">
        <w:rPr>
          <w:rFonts w:eastAsia="Calibri" w:cs="Times New Roman"/>
          <w:i/>
          <w:iCs/>
          <w:sz w:val="18"/>
          <w:szCs w:val="18"/>
          <w:lang w:bidi="ar-IQ"/>
        </w:rPr>
        <w:t>(F</w:t>
      </w:r>
      <w:r w:rsidR="00F6071D" w:rsidRPr="00F6071D">
        <w:rPr>
          <w:rFonts w:eastAsia="Calibri" w:cs="Times New Roman"/>
          <w:i/>
          <w:iCs/>
          <w:sz w:val="18"/>
          <w:szCs w:val="18"/>
          <w:lang w:bidi="ar-IQ"/>
        </w:rPr>
        <w:t>).</w:t>
      </w:r>
    </w:p>
    <w:p w14:paraId="32C3486B" w14:textId="5A6EB4B1" w:rsidR="008E36B6" w:rsidRDefault="00F6071D" w:rsidP="00F6071D">
      <w:pPr>
        <w:spacing w:line="240" w:lineRule="auto"/>
        <w:ind w:firstLine="567"/>
        <w:jc w:val="both"/>
        <w:rPr>
          <w:rFonts w:asciiTheme="majorBidi" w:hAnsiTheme="majorBidi" w:cstheme="majorBidi"/>
          <w:rtl/>
        </w:rPr>
      </w:pPr>
      <w:r w:rsidRPr="00F6071D">
        <w:rPr>
          <w:rFonts w:asciiTheme="majorBidi" w:hAnsiTheme="majorBidi" w:cstheme="majorBidi"/>
        </w:rPr>
        <w:t xml:space="preserve"> </w:t>
      </w:r>
      <w:r>
        <w:rPr>
          <w:rFonts w:asciiTheme="majorBidi" w:hAnsiTheme="majorBidi" w:cstheme="majorBidi"/>
        </w:rPr>
        <w:t xml:space="preserve"> </w:t>
      </w:r>
      <w:r w:rsidRPr="00F6071D">
        <w:rPr>
          <w:rFonts w:asciiTheme="majorBidi" w:hAnsiTheme="majorBidi" w:cstheme="majorBidi"/>
        </w:rPr>
        <w:t xml:space="preserve"> Figure 1 displays several species, each with distinctive characteristics. </w:t>
      </w:r>
      <w:proofErr w:type="spellStart"/>
      <w:r w:rsidRPr="00F6071D">
        <w:rPr>
          <w:rFonts w:asciiTheme="majorBidi" w:hAnsiTheme="majorBidi" w:cstheme="majorBidi"/>
        </w:rPr>
        <w:t>Strongyloides</w:t>
      </w:r>
      <w:proofErr w:type="spellEnd"/>
      <w:r w:rsidRPr="00F6071D">
        <w:rPr>
          <w:rFonts w:asciiTheme="majorBidi" w:hAnsiTheme="majorBidi" w:cstheme="majorBidi"/>
        </w:rPr>
        <w:t xml:space="preserve"> </w:t>
      </w:r>
      <w:proofErr w:type="spellStart"/>
      <w:r w:rsidRPr="00F6071D">
        <w:rPr>
          <w:rFonts w:asciiTheme="majorBidi" w:hAnsiTheme="majorBidi" w:cstheme="majorBidi"/>
        </w:rPr>
        <w:t>stercoralis</w:t>
      </w:r>
      <w:proofErr w:type="spellEnd"/>
      <w:r w:rsidRPr="00F6071D">
        <w:rPr>
          <w:rFonts w:asciiTheme="majorBidi" w:hAnsiTheme="majorBidi" w:cstheme="majorBidi"/>
        </w:rPr>
        <w:t xml:space="preserve"> (a), a parasitic nematode, is shown in its larval form. </w:t>
      </w:r>
      <w:proofErr w:type="spellStart"/>
      <w:r w:rsidRPr="00F6071D">
        <w:rPr>
          <w:rFonts w:asciiTheme="majorBidi" w:hAnsiTheme="majorBidi" w:cstheme="majorBidi"/>
        </w:rPr>
        <w:t>Nectothyrous</w:t>
      </w:r>
      <w:proofErr w:type="spellEnd"/>
      <w:r w:rsidRPr="00F6071D">
        <w:rPr>
          <w:rFonts w:asciiTheme="majorBidi" w:hAnsiTheme="majorBidi" w:cstheme="majorBidi"/>
        </w:rPr>
        <w:t xml:space="preserve"> ovalis (b), a ciliate organism, appears with its characteristic oval shape. Balantidium coli (c), another ciliate protozoan, is depicted with its typical appearance. The eggs of </w:t>
      </w:r>
      <w:proofErr w:type="spellStart"/>
      <w:r w:rsidRPr="00F6071D">
        <w:rPr>
          <w:rFonts w:asciiTheme="majorBidi" w:hAnsiTheme="majorBidi" w:cstheme="majorBidi"/>
        </w:rPr>
        <w:t>Hymenolepis</w:t>
      </w:r>
      <w:proofErr w:type="spellEnd"/>
      <w:r w:rsidRPr="00F6071D">
        <w:rPr>
          <w:rFonts w:asciiTheme="majorBidi" w:hAnsiTheme="majorBidi" w:cstheme="majorBidi"/>
        </w:rPr>
        <w:t xml:space="preserve"> (d), a tapeworm, are identified by their rounded shape and internal structures. The Ancylostoma duodenale (e) hookworm eggs are presented, showcasing their typical morphology. A closer examination of </w:t>
      </w:r>
      <w:proofErr w:type="spellStart"/>
      <w:r w:rsidRPr="00F6071D">
        <w:rPr>
          <w:rFonts w:asciiTheme="majorBidi" w:hAnsiTheme="majorBidi" w:cstheme="majorBidi"/>
        </w:rPr>
        <w:t>Strongyloides</w:t>
      </w:r>
      <w:proofErr w:type="spellEnd"/>
      <w:r w:rsidRPr="00F6071D">
        <w:rPr>
          <w:rFonts w:asciiTheme="majorBidi" w:hAnsiTheme="majorBidi" w:cstheme="majorBidi"/>
        </w:rPr>
        <w:t xml:space="preserve"> </w:t>
      </w:r>
      <w:proofErr w:type="spellStart"/>
      <w:r w:rsidRPr="00F6071D">
        <w:rPr>
          <w:rFonts w:asciiTheme="majorBidi" w:hAnsiTheme="majorBidi" w:cstheme="majorBidi"/>
        </w:rPr>
        <w:t>stercoralis</w:t>
      </w:r>
      <w:proofErr w:type="spellEnd"/>
      <w:r w:rsidRPr="00F6071D">
        <w:rPr>
          <w:rFonts w:asciiTheme="majorBidi" w:hAnsiTheme="majorBidi" w:cstheme="majorBidi"/>
        </w:rPr>
        <w:t xml:space="preserve"> (f) reveals more details of its larval stage. Lastly, Entamoeba coli (g) is shown in its cyst form, highlighting the defining structural features of this protozoan parasite. These images serve as important visual representations, aiding in the identification and understanding of these parasites' biology and pathogenic mechanisms.</w:t>
      </w:r>
    </w:p>
    <w:p w14:paraId="373EC925" w14:textId="44CB6CA0" w:rsidR="00E806D2" w:rsidRDefault="00E806D2" w:rsidP="00F6071D">
      <w:pPr>
        <w:spacing w:line="240" w:lineRule="auto"/>
        <w:ind w:firstLine="567"/>
        <w:jc w:val="both"/>
        <w:rPr>
          <w:rFonts w:asciiTheme="majorBidi" w:hAnsiTheme="majorBidi" w:cstheme="majorBidi"/>
        </w:rPr>
      </w:pPr>
      <w:proofErr w:type="spellStart"/>
      <w:r w:rsidRPr="00E806D2">
        <w:rPr>
          <w:rFonts w:asciiTheme="majorBidi" w:hAnsiTheme="majorBidi" w:cstheme="majorBidi"/>
        </w:rPr>
        <w:t>Nyctotherus</w:t>
      </w:r>
      <w:proofErr w:type="spellEnd"/>
      <w:r w:rsidRPr="00E806D2">
        <w:rPr>
          <w:rFonts w:asciiTheme="majorBidi" w:hAnsiTheme="majorBidi" w:cstheme="majorBidi"/>
        </w:rPr>
        <w:t xml:space="preserve"> ovalis is a predominant intestinal parasite of the American cockroach and is generally considered part of its normal flora. However, some researchers suggest that this parasite may play a role in </w:t>
      </w:r>
      <w:r w:rsidRPr="00E806D2">
        <w:rPr>
          <w:rFonts w:asciiTheme="majorBidi" w:hAnsiTheme="majorBidi" w:cstheme="majorBidi"/>
        </w:rPr>
        <w:lastRenderedPageBreak/>
        <w:t xml:space="preserve">disease transmission </w:t>
      </w:r>
      <w:proofErr w:type="gramStart"/>
      <w:r w:rsidRPr="00E806D2">
        <w:rPr>
          <w:rFonts w:asciiTheme="majorBidi" w:hAnsiTheme="majorBidi" w:cstheme="majorBidi"/>
        </w:rPr>
        <w:t>if</w:t>
      </w:r>
      <w:proofErr w:type="gramEnd"/>
      <w:r w:rsidRPr="00E806D2">
        <w:rPr>
          <w:rFonts w:asciiTheme="majorBidi" w:hAnsiTheme="majorBidi" w:cstheme="majorBidi"/>
        </w:rPr>
        <w:t xml:space="preserve"> present in unsanitary environments, such as hospitals or polluted areas, especially when the host is in poor health. Although it is generally considered a harmless parasite, there is evidence that it may be associated with some pathological symptoms when transmitted to humans under certain conditions, such as immunocompromised individuals or coinfect</w:t>
      </w:r>
      <w:r>
        <w:rPr>
          <w:rFonts w:asciiTheme="majorBidi" w:hAnsiTheme="majorBidi" w:cstheme="majorBidi"/>
        </w:rPr>
        <w:t>ion with other parasites [17][19][21]</w:t>
      </w:r>
      <w:r w:rsidRPr="00E806D2">
        <w:rPr>
          <w:rFonts w:asciiTheme="majorBidi" w:hAnsiTheme="majorBidi" w:cstheme="majorBidi"/>
        </w:rPr>
        <w:t>. Thus, further studies are needed to evaluate its potential health impact in hospital environments, where cockroaches are present in contaminated sewage systems.</w:t>
      </w:r>
    </w:p>
    <w:p w14:paraId="6A1C1F3C" w14:textId="197D283C" w:rsidR="00887EA4" w:rsidRDefault="002D125E" w:rsidP="000953A4">
      <w:pPr>
        <w:spacing w:line="240" w:lineRule="auto"/>
        <w:jc w:val="center"/>
      </w:pPr>
      <w:r>
        <w:rPr>
          <w:b/>
          <w:sz w:val="24"/>
        </w:rPr>
        <w:t>CONCLUSIONS</w:t>
      </w:r>
    </w:p>
    <w:p w14:paraId="591F50F1" w14:textId="11A3E841" w:rsidR="00957EAD" w:rsidRDefault="004461B8" w:rsidP="005E3946">
      <w:pPr>
        <w:spacing w:line="240" w:lineRule="auto"/>
        <w:ind w:firstLine="720"/>
        <w:jc w:val="both"/>
      </w:pPr>
      <w:r>
        <w:t xml:space="preserve"> </w:t>
      </w:r>
      <w:r w:rsidR="005E3946">
        <w:t xml:space="preserve"> A study conducted in the hospital sewage systems of </w:t>
      </w:r>
      <w:proofErr w:type="spellStart"/>
      <w:r w:rsidR="005E3946">
        <w:t>Dhuluiya</w:t>
      </w:r>
      <w:proofErr w:type="spellEnd"/>
      <w:r w:rsidR="005E3946">
        <w:t xml:space="preserve">, Salah Al-Din Province, Iraq, has raised significant concerns about the public health risks posed by American cockroaches. These cockroaches were found to carry 14 different types of parasites, including some that can be harmful to humans, such as </w:t>
      </w:r>
      <w:proofErr w:type="spellStart"/>
      <w:r w:rsidR="005E3946" w:rsidRPr="005E3946">
        <w:rPr>
          <w:i/>
          <w:iCs/>
        </w:rPr>
        <w:t>Strongyloides</w:t>
      </w:r>
      <w:proofErr w:type="spellEnd"/>
      <w:r w:rsidR="005E3946" w:rsidRPr="005E3946">
        <w:rPr>
          <w:i/>
          <w:iCs/>
        </w:rPr>
        <w:t xml:space="preserve"> </w:t>
      </w:r>
      <w:proofErr w:type="spellStart"/>
      <w:r w:rsidR="005E3946" w:rsidRPr="005E3946">
        <w:rPr>
          <w:i/>
          <w:iCs/>
        </w:rPr>
        <w:t>stercoralis</w:t>
      </w:r>
      <w:proofErr w:type="spellEnd"/>
      <w:r w:rsidR="005E3946" w:rsidRPr="005E3946">
        <w:rPr>
          <w:i/>
          <w:iCs/>
        </w:rPr>
        <w:t>, Enterobius vermicularis</w:t>
      </w:r>
      <w:r w:rsidR="005E3946">
        <w:t xml:space="preserve">, and </w:t>
      </w:r>
      <w:r w:rsidR="005E3946" w:rsidRPr="005E3946">
        <w:rPr>
          <w:i/>
          <w:iCs/>
        </w:rPr>
        <w:t>Fasciola hepatica</w:t>
      </w:r>
      <w:r w:rsidR="005E3946">
        <w:t xml:space="preserve">. The most common parasite found was </w:t>
      </w:r>
      <w:proofErr w:type="spellStart"/>
      <w:r w:rsidR="005E3946" w:rsidRPr="005E3946">
        <w:rPr>
          <w:i/>
          <w:iCs/>
        </w:rPr>
        <w:t>Nyctothyrous</w:t>
      </w:r>
      <w:proofErr w:type="spellEnd"/>
      <w:r w:rsidR="005E3946" w:rsidRPr="005E3946">
        <w:rPr>
          <w:i/>
          <w:iCs/>
        </w:rPr>
        <w:t xml:space="preserve"> ovalis</w:t>
      </w:r>
      <w:r w:rsidR="005E3946">
        <w:t>, a ciliate commonly found in cockroach gut flora. While its exact role in causing harm to humans isn’t fully understood, it suggests the need for further research. These findings stress the importance of maintaining strict hygiene standards and infection control measures in hospitals, particularly in sewage systems, to minimize the risk of infections. It also highlights the need for continued research into how cockroaches may act as carriers of diseases, helping us understand their role as potential vectors for human pathogens, especially in healthcare settings.</w:t>
      </w:r>
    </w:p>
    <w:p w14:paraId="5296BE23" w14:textId="658AB983" w:rsidR="00957EAD" w:rsidRPr="00957EAD" w:rsidRDefault="00957EAD" w:rsidP="00DA4814">
      <w:pPr>
        <w:spacing w:line="240" w:lineRule="auto"/>
        <w:jc w:val="center"/>
        <w:rPr>
          <w:b/>
          <w:bCs/>
          <w:sz w:val="24"/>
          <w:szCs w:val="28"/>
          <w:rtl/>
        </w:rPr>
      </w:pPr>
      <w:r w:rsidRPr="00957EAD">
        <w:rPr>
          <w:b/>
          <w:bCs/>
          <w:sz w:val="24"/>
          <w:szCs w:val="28"/>
        </w:rPr>
        <w:t>ACKNOWLEDGMENTS</w:t>
      </w:r>
    </w:p>
    <w:p w14:paraId="1E2C1DD5" w14:textId="3AA70E9E" w:rsidR="00F11089" w:rsidRPr="00F11089" w:rsidRDefault="0057331E" w:rsidP="004461B8">
      <w:pPr>
        <w:spacing w:line="240" w:lineRule="auto"/>
        <w:ind w:firstLine="720"/>
        <w:jc w:val="both"/>
      </w:pPr>
      <w:r>
        <w:t xml:space="preserve"> </w:t>
      </w:r>
      <w:r w:rsidR="004461B8">
        <w:t xml:space="preserve"> </w:t>
      </w:r>
      <w:r w:rsidR="005E3946" w:rsidRPr="005E3946">
        <w:t>I would like to express my deepest gratitude to the University of Tikrit, College of Education for Girls, Department of Biology, and to my supervisor, Alaa Emad Tawfiq, for their continuous support and guidance throughout my academic journey. Their encouragement has been invaluable to my success.</w:t>
      </w:r>
    </w:p>
    <w:p w14:paraId="66AA71B8" w14:textId="77777777" w:rsidR="00887EA4" w:rsidRDefault="002D125E" w:rsidP="00DA4814">
      <w:pPr>
        <w:spacing w:line="240" w:lineRule="auto"/>
        <w:jc w:val="center"/>
      </w:pPr>
      <w:r>
        <w:rPr>
          <w:b/>
          <w:sz w:val="24"/>
        </w:rPr>
        <w:t>REFERENCES</w:t>
      </w:r>
    </w:p>
    <w:p w14:paraId="08BB9A66"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F. Hassanein, I. Masoud, &amp; A. Shehata, "Infection hazard of exposure to intestinal parasites, H. pylori, and hepatitis viruses among municipal sewage workers: a neglected high-risk population," </w:t>
      </w:r>
      <w:proofErr w:type="spellStart"/>
      <w:r w:rsidRPr="00FD28A3">
        <w:rPr>
          <w:rFonts w:cs="Times New Roman"/>
          <w:i/>
          <w:iCs/>
          <w:color w:val="1B1C1D"/>
          <w:szCs w:val="20"/>
          <w:bdr w:val="none" w:sz="0" w:space="0" w:color="auto" w:frame="1"/>
        </w:rPr>
        <w:t>Parasitol</w:t>
      </w:r>
      <w:proofErr w:type="spellEnd"/>
      <w:r w:rsidRPr="00FD28A3">
        <w:rPr>
          <w:rFonts w:cs="Times New Roman"/>
          <w:i/>
          <w:iCs/>
          <w:color w:val="1B1C1D"/>
          <w:szCs w:val="20"/>
          <w:bdr w:val="none" w:sz="0" w:space="0" w:color="auto" w:frame="1"/>
        </w:rPr>
        <w:t>. United J.</w:t>
      </w:r>
      <w:r w:rsidRPr="00FD28A3">
        <w:rPr>
          <w:rFonts w:cs="Times New Roman"/>
          <w:color w:val="1B1C1D"/>
          <w:szCs w:val="20"/>
        </w:rPr>
        <w:t xml:space="preserve">, vol. 12, no. 2, pp. 130-138, 2019. </w:t>
      </w:r>
      <w:proofErr w:type="gramStart"/>
      <w:r w:rsidRPr="00FD28A3">
        <w:rPr>
          <w:rFonts w:cs="Times New Roman"/>
          <w:color w:val="1B1C1D"/>
          <w:szCs w:val="20"/>
        </w:rPr>
        <w:t>DOI :</w:t>
      </w:r>
      <w:proofErr w:type="gramEnd"/>
      <w:r w:rsidRPr="00FD28A3">
        <w:rPr>
          <w:rFonts w:cs="Times New Roman"/>
          <w:color w:val="1B1C1D"/>
          <w:szCs w:val="20"/>
        </w:rPr>
        <w:t xml:space="preserve"> 10.23749/</w:t>
      </w:r>
      <w:proofErr w:type="gramStart"/>
      <w:r w:rsidRPr="00FD28A3">
        <w:rPr>
          <w:rFonts w:cs="Times New Roman"/>
          <w:color w:val="1B1C1D"/>
          <w:szCs w:val="20"/>
        </w:rPr>
        <w:t>mdl.v</w:t>
      </w:r>
      <w:proofErr w:type="gramEnd"/>
      <w:r w:rsidRPr="00FD28A3">
        <w:rPr>
          <w:rFonts w:cs="Times New Roman"/>
          <w:color w:val="1B1C1D"/>
          <w:szCs w:val="20"/>
        </w:rPr>
        <w:t>114i2.14300</w:t>
      </w:r>
    </w:p>
    <w:p w14:paraId="201EF6C6"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J. Rousseau, A. Castro, T. Novo, &amp; C. Maia, "Dipylidium caninum in the twenty-first century: epidemiological studies and reported cases in companion animals and humans," </w:t>
      </w:r>
      <w:r w:rsidRPr="00FD28A3">
        <w:rPr>
          <w:rFonts w:cs="Times New Roman"/>
          <w:i/>
          <w:iCs/>
          <w:color w:val="1B1C1D"/>
          <w:szCs w:val="20"/>
          <w:bdr w:val="none" w:sz="0" w:space="0" w:color="auto" w:frame="1"/>
        </w:rPr>
        <w:t>Parasites Vectors</w:t>
      </w:r>
      <w:r w:rsidRPr="00FD28A3">
        <w:rPr>
          <w:rFonts w:cs="Times New Roman"/>
          <w:color w:val="1B1C1D"/>
          <w:szCs w:val="20"/>
        </w:rPr>
        <w:t xml:space="preserve">, vol. 15, no. 1, p. 131, 2022. </w:t>
      </w:r>
      <w:proofErr w:type="gramStart"/>
      <w:r w:rsidRPr="00FD28A3">
        <w:rPr>
          <w:rFonts w:cs="Times New Roman"/>
          <w:color w:val="1B1C1D"/>
          <w:szCs w:val="20"/>
        </w:rPr>
        <w:t>DOI :</w:t>
      </w:r>
      <w:proofErr w:type="gramEnd"/>
      <w:r w:rsidRPr="00FD28A3">
        <w:rPr>
          <w:rFonts w:cs="Times New Roman"/>
          <w:color w:val="1B1C1D"/>
          <w:szCs w:val="20"/>
        </w:rPr>
        <w:t xml:space="preserve"> 10.1186/s13071-022-05243-5</w:t>
      </w:r>
    </w:p>
    <w:p w14:paraId="5EEDDADA"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M. Kantor, A. Abrantes, A. Estevez, A. Schiller, J. Torrent, J. Gascon, ... &amp; C. Ochner, "Entamoeba histolytica: updates in clinical manifestation, pathogenesis, and vaccine development," </w:t>
      </w:r>
      <w:r w:rsidRPr="00FD28A3">
        <w:rPr>
          <w:rFonts w:cs="Times New Roman"/>
          <w:i/>
          <w:iCs/>
          <w:color w:val="1B1C1D"/>
          <w:szCs w:val="20"/>
          <w:bdr w:val="none" w:sz="0" w:space="0" w:color="auto" w:frame="1"/>
        </w:rPr>
        <w:t>Can. J. Gastroenterol. Hepatol.</w:t>
      </w:r>
      <w:r w:rsidRPr="00FD28A3">
        <w:rPr>
          <w:rFonts w:cs="Times New Roman"/>
          <w:color w:val="1B1C1D"/>
          <w:szCs w:val="20"/>
        </w:rPr>
        <w:t xml:space="preserve">, vol. 2018, p. 4601420, 2018. </w:t>
      </w:r>
      <w:proofErr w:type="gramStart"/>
      <w:r w:rsidRPr="00FD28A3">
        <w:rPr>
          <w:rFonts w:cs="Times New Roman"/>
          <w:color w:val="1B1C1D"/>
          <w:szCs w:val="20"/>
        </w:rPr>
        <w:t>DOI :</w:t>
      </w:r>
      <w:proofErr w:type="gramEnd"/>
      <w:r w:rsidRPr="00FD28A3">
        <w:rPr>
          <w:rFonts w:cs="Times New Roman"/>
          <w:color w:val="1B1C1D"/>
          <w:szCs w:val="20"/>
        </w:rPr>
        <w:t xml:space="preserve"> 10.1155/2018/4601420</w:t>
      </w:r>
    </w:p>
    <w:p w14:paraId="65F1BDA0"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T. Edwards, P. Burke, H. Smalley, &amp; G. Hobbs, "Trichomonas vaginalis: Clinical relevance, pathogenicity and diagnosis," </w:t>
      </w:r>
      <w:r w:rsidRPr="00FD28A3">
        <w:rPr>
          <w:rFonts w:cs="Times New Roman"/>
          <w:i/>
          <w:iCs/>
          <w:color w:val="1B1C1D"/>
          <w:szCs w:val="20"/>
          <w:bdr w:val="none" w:sz="0" w:space="0" w:color="auto" w:frame="1"/>
        </w:rPr>
        <w:t xml:space="preserve">Crit. Rev. </w:t>
      </w:r>
      <w:proofErr w:type="spellStart"/>
      <w:r w:rsidRPr="00FD28A3">
        <w:rPr>
          <w:rFonts w:cs="Times New Roman"/>
          <w:i/>
          <w:iCs/>
          <w:color w:val="1B1C1D"/>
          <w:szCs w:val="20"/>
          <w:bdr w:val="none" w:sz="0" w:space="0" w:color="auto" w:frame="1"/>
        </w:rPr>
        <w:t>Microbiol</w:t>
      </w:r>
      <w:proofErr w:type="spellEnd"/>
      <w:r w:rsidRPr="00FD28A3">
        <w:rPr>
          <w:rFonts w:cs="Times New Roman"/>
          <w:i/>
          <w:iCs/>
          <w:color w:val="1B1C1D"/>
          <w:szCs w:val="20"/>
          <w:bdr w:val="none" w:sz="0" w:space="0" w:color="auto" w:frame="1"/>
        </w:rPr>
        <w:t>.</w:t>
      </w:r>
      <w:r w:rsidRPr="00FD28A3">
        <w:rPr>
          <w:rFonts w:cs="Times New Roman"/>
          <w:color w:val="1B1C1D"/>
          <w:szCs w:val="20"/>
        </w:rPr>
        <w:t xml:space="preserve">, vol. 42, no. 3, pp. 406-417, 2016. </w:t>
      </w:r>
      <w:proofErr w:type="gramStart"/>
      <w:r w:rsidRPr="00FD28A3">
        <w:rPr>
          <w:rFonts w:cs="Times New Roman"/>
          <w:color w:val="1B1C1D"/>
          <w:szCs w:val="20"/>
        </w:rPr>
        <w:t>DOI :</w:t>
      </w:r>
      <w:proofErr w:type="gramEnd"/>
      <w:r w:rsidRPr="00FD28A3">
        <w:rPr>
          <w:rFonts w:cs="Times New Roman"/>
          <w:color w:val="1B1C1D"/>
          <w:szCs w:val="20"/>
        </w:rPr>
        <w:t xml:space="preserve"> 10.1016/B978-0-443-22204-7.00003-4</w:t>
      </w:r>
    </w:p>
    <w:p w14:paraId="06049A91"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P. </w:t>
      </w:r>
      <w:proofErr w:type="spellStart"/>
      <w:r w:rsidRPr="00FD28A3">
        <w:rPr>
          <w:rFonts w:cs="Times New Roman"/>
          <w:color w:val="1B1C1D"/>
          <w:szCs w:val="20"/>
        </w:rPr>
        <w:t>Karadbhajne</w:t>
      </w:r>
      <w:proofErr w:type="spellEnd"/>
      <w:r w:rsidRPr="00FD28A3">
        <w:rPr>
          <w:rFonts w:cs="Times New Roman"/>
          <w:color w:val="1B1C1D"/>
          <w:szCs w:val="20"/>
        </w:rPr>
        <w:t xml:space="preserve">, A. </w:t>
      </w:r>
      <w:proofErr w:type="spellStart"/>
      <w:r w:rsidRPr="00FD28A3">
        <w:rPr>
          <w:rFonts w:cs="Times New Roman"/>
          <w:color w:val="1B1C1D"/>
          <w:szCs w:val="20"/>
        </w:rPr>
        <w:t>Tambekar</w:t>
      </w:r>
      <w:proofErr w:type="spellEnd"/>
      <w:r w:rsidRPr="00FD28A3">
        <w:rPr>
          <w:rFonts w:cs="Times New Roman"/>
          <w:color w:val="1B1C1D"/>
          <w:szCs w:val="20"/>
        </w:rPr>
        <w:t xml:space="preserve">, A. </w:t>
      </w:r>
      <w:proofErr w:type="spellStart"/>
      <w:r w:rsidRPr="00FD28A3">
        <w:rPr>
          <w:rFonts w:cs="Times New Roman"/>
          <w:color w:val="1B1C1D"/>
          <w:szCs w:val="20"/>
        </w:rPr>
        <w:t>Gaidhane</w:t>
      </w:r>
      <w:proofErr w:type="spellEnd"/>
      <w:r w:rsidRPr="00FD28A3">
        <w:rPr>
          <w:rFonts w:cs="Times New Roman"/>
          <w:color w:val="1B1C1D"/>
          <w:szCs w:val="20"/>
        </w:rPr>
        <w:t xml:space="preserve">, Z. Q. Syed, &amp; S. </w:t>
      </w:r>
      <w:proofErr w:type="spellStart"/>
      <w:r w:rsidRPr="00FD28A3">
        <w:rPr>
          <w:rFonts w:cs="Times New Roman"/>
          <w:color w:val="1B1C1D"/>
          <w:szCs w:val="20"/>
        </w:rPr>
        <w:t>Gaidhane</w:t>
      </w:r>
      <w:proofErr w:type="spellEnd"/>
      <w:r w:rsidRPr="00FD28A3">
        <w:rPr>
          <w:rFonts w:cs="Times New Roman"/>
          <w:color w:val="1B1C1D"/>
          <w:szCs w:val="20"/>
        </w:rPr>
        <w:t xml:space="preserve">, "A Case Report on Ancylostoma Duodenale Infection in Pregnant Woman," </w:t>
      </w:r>
      <w:proofErr w:type="spellStart"/>
      <w:r w:rsidRPr="00FD28A3">
        <w:rPr>
          <w:rFonts w:cs="Times New Roman"/>
          <w:i/>
          <w:iCs/>
          <w:color w:val="1B1C1D"/>
          <w:szCs w:val="20"/>
          <w:bdr w:val="none" w:sz="0" w:space="0" w:color="auto" w:frame="1"/>
        </w:rPr>
        <w:t>Biosci</w:t>
      </w:r>
      <w:proofErr w:type="spellEnd"/>
      <w:r w:rsidRPr="00FD28A3">
        <w:rPr>
          <w:rFonts w:cs="Times New Roman"/>
          <w:i/>
          <w:iCs/>
          <w:color w:val="1B1C1D"/>
          <w:szCs w:val="20"/>
          <w:bdr w:val="none" w:sz="0" w:space="0" w:color="auto" w:frame="1"/>
        </w:rPr>
        <w:t>. Biotech. Res. Commun.</w:t>
      </w:r>
      <w:r w:rsidRPr="00FD28A3">
        <w:rPr>
          <w:rFonts w:cs="Times New Roman"/>
          <w:color w:val="1B1C1D"/>
          <w:szCs w:val="20"/>
        </w:rPr>
        <w:t xml:space="preserve">, vol. 14, pp. 100-103, 2021. </w:t>
      </w:r>
      <w:proofErr w:type="gramStart"/>
      <w:r w:rsidRPr="00FD28A3">
        <w:rPr>
          <w:rFonts w:cs="Times New Roman"/>
          <w:color w:val="1B1C1D"/>
          <w:szCs w:val="20"/>
        </w:rPr>
        <w:t>DOI :</w:t>
      </w:r>
      <w:proofErr w:type="gramEnd"/>
      <w:r w:rsidRPr="00FD28A3">
        <w:rPr>
          <w:rFonts w:cs="Times New Roman"/>
          <w:color w:val="1B1C1D"/>
          <w:szCs w:val="20"/>
        </w:rPr>
        <w:t xml:space="preserve"> 10.21786/</w:t>
      </w:r>
      <w:proofErr w:type="spellStart"/>
      <w:r w:rsidRPr="00FD28A3">
        <w:rPr>
          <w:rFonts w:cs="Times New Roman"/>
          <w:color w:val="1B1C1D"/>
          <w:szCs w:val="20"/>
        </w:rPr>
        <w:t>bbrc</w:t>
      </w:r>
      <w:proofErr w:type="spellEnd"/>
      <w:r w:rsidRPr="00FD28A3">
        <w:rPr>
          <w:rFonts w:cs="Times New Roman"/>
          <w:color w:val="1B1C1D"/>
          <w:szCs w:val="20"/>
        </w:rPr>
        <w:t>/14.6.23</w:t>
      </w:r>
    </w:p>
    <w:p w14:paraId="79AA4E51"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A. C. Ronquillo, L. B. </w:t>
      </w:r>
      <w:proofErr w:type="spellStart"/>
      <w:r w:rsidRPr="00FD28A3">
        <w:rPr>
          <w:rFonts w:cs="Times New Roman"/>
          <w:color w:val="1B1C1D"/>
          <w:szCs w:val="20"/>
        </w:rPr>
        <w:t>Puelles</w:t>
      </w:r>
      <w:proofErr w:type="spellEnd"/>
      <w:r w:rsidRPr="00FD28A3">
        <w:rPr>
          <w:rFonts w:cs="Times New Roman"/>
          <w:color w:val="1B1C1D"/>
          <w:szCs w:val="20"/>
        </w:rPr>
        <w:t xml:space="preserve">, L. P. Espinoza, V. A. Sánchez, &amp; J. Luis Pinto Valdivia, "Ancylostoma duodenale as a cause of upper gastrointestinal bleeding: a case report," </w:t>
      </w:r>
      <w:r w:rsidRPr="00FD28A3">
        <w:rPr>
          <w:rFonts w:cs="Times New Roman"/>
          <w:i/>
          <w:iCs/>
          <w:color w:val="1B1C1D"/>
          <w:szCs w:val="20"/>
          <w:bdr w:val="none" w:sz="0" w:space="0" w:color="auto" w:frame="1"/>
        </w:rPr>
        <w:t>Braz. J. Infect. Dis.</w:t>
      </w:r>
      <w:r w:rsidRPr="00FD28A3">
        <w:rPr>
          <w:rFonts w:cs="Times New Roman"/>
          <w:color w:val="1B1C1D"/>
          <w:szCs w:val="20"/>
        </w:rPr>
        <w:t>, vol. 23, no. 6, pp. 471-473, 2019. DOI: 10.1016/j.bjid.2019.09.002</w:t>
      </w:r>
    </w:p>
    <w:p w14:paraId="158B689F"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D. </w:t>
      </w:r>
      <w:proofErr w:type="spellStart"/>
      <w:r w:rsidRPr="00FD28A3">
        <w:rPr>
          <w:rFonts w:cs="Times New Roman"/>
          <w:color w:val="1B1C1D"/>
          <w:szCs w:val="20"/>
        </w:rPr>
        <w:t>Buonfrate</w:t>
      </w:r>
      <w:proofErr w:type="spellEnd"/>
      <w:r w:rsidRPr="00FD28A3">
        <w:rPr>
          <w:rFonts w:cs="Times New Roman"/>
          <w:color w:val="1B1C1D"/>
          <w:szCs w:val="20"/>
        </w:rPr>
        <w:t xml:space="preserve">, F. </w:t>
      </w:r>
      <w:proofErr w:type="spellStart"/>
      <w:r w:rsidRPr="00FD28A3">
        <w:rPr>
          <w:rFonts w:cs="Times New Roman"/>
          <w:color w:val="1B1C1D"/>
          <w:szCs w:val="20"/>
        </w:rPr>
        <w:t>Formenti</w:t>
      </w:r>
      <w:proofErr w:type="spellEnd"/>
      <w:r w:rsidRPr="00FD28A3">
        <w:rPr>
          <w:rFonts w:cs="Times New Roman"/>
          <w:color w:val="1B1C1D"/>
          <w:szCs w:val="20"/>
        </w:rPr>
        <w:t xml:space="preserve">, F. Perandin, &amp; Z. Bisoffi, "Novel </w:t>
      </w:r>
      <w:proofErr w:type="gramStart"/>
      <w:r w:rsidRPr="00FD28A3">
        <w:rPr>
          <w:rFonts w:cs="Times New Roman"/>
          <w:color w:val="1B1C1D"/>
          <w:szCs w:val="20"/>
        </w:rPr>
        <w:t>approaches to</w:t>
      </w:r>
      <w:proofErr w:type="gramEnd"/>
      <w:r w:rsidRPr="00FD28A3">
        <w:rPr>
          <w:rFonts w:cs="Times New Roman"/>
          <w:color w:val="1B1C1D"/>
          <w:szCs w:val="20"/>
        </w:rPr>
        <w:t xml:space="preserve"> the diagnosis of </w:t>
      </w:r>
      <w:proofErr w:type="spellStart"/>
      <w:r w:rsidRPr="00FD28A3">
        <w:rPr>
          <w:rFonts w:cs="Times New Roman"/>
          <w:color w:val="1B1C1D"/>
          <w:szCs w:val="20"/>
        </w:rPr>
        <w:t>Strongyloides</w:t>
      </w:r>
      <w:proofErr w:type="spellEnd"/>
      <w:r w:rsidRPr="00FD28A3">
        <w:rPr>
          <w:rFonts w:cs="Times New Roman"/>
          <w:color w:val="1B1C1D"/>
          <w:szCs w:val="20"/>
        </w:rPr>
        <w:t xml:space="preserve"> </w:t>
      </w:r>
      <w:proofErr w:type="spellStart"/>
      <w:r w:rsidRPr="00FD28A3">
        <w:rPr>
          <w:rFonts w:cs="Times New Roman"/>
          <w:color w:val="1B1C1D"/>
          <w:szCs w:val="20"/>
        </w:rPr>
        <w:t>stercoralis</w:t>
      </w:r>
      <w:proofErr w:type="spellEnd"/>
      <w:r w:rsidRPr="00FD28A3">
        <w:rPr>
          <w:rFonts w:cs="Times New Roman"/>
          <w:color w:val="1B1C1D"/>
          <w:szCs w:val="20"/>
        </w:rPr>
        <w:t xml:space="preserve"> infection," </w:t>
      </w:r>
      <w:r w:rsidRPr="00FD28A3">
        <w:rPr>
          <w:rFonts w:cs="Times New Roman"/>
          <w:i/>
          <w:iCs/>
          <w:color w:val="1B1C1D"/>
          <w:szCs w:val="20"/>
          <w:bdr w:val="none" w:sz="0" w:space="0" w:color="auto" w:frame="1"/>
        </w:rPr>
        <w:t xml:space="preserve">Clin. </w:t>
      </w:r>
      <w:proofErr w:type="spellStart"/>
      <w:r w:rsidRPr="00FD28A3">
        <w:rPr>
          <w:rFonts w:cs="Times New Roman"/>
          <w:i/>
          <w:iCs/>
          <w:color w:val="1B1C1D"/>
          <w:szCs w:val="20"/>
          <w:bdr w:val="none" w:sz="0" w:space="0" w:color="auto" w:frame="1"/>
        </w:rPr>
        <w:t>Microbiol</w:t>
      </w:r>
      <w:proofErr w:type="spellEnd"/>
      <w:r w:rsidRPr="00FD28A3">
        <w:rPr>
          <w:rFonts w:cs="Times New Roman"/>
          <w:i/>
          <w:iCs/>
          <w:color w:val="1B1C1D"/>
          <w:szCs w:val="20"/>
          <w:bdr w:val="none" w:sz="0" w:space="0" w:color="auto" w:frame="1"/>
        </w:rPr>
        <w:t>. Infect.</w:t>
      </w:r>
      <w:r w:rsidRPr="00FD28A3">
        <w:rPr>
          <w:rFonts w:cs="Times New Roman"/>
          <w:color w:val="1B1C1D"/>
          <w:szCs w:val="20"/>
        </w:rPr>
        <w:t>, vol. 21, no. 6, pp. 543-552, 2015. DOI: 10.1016/j.cmi.2015.04.001</w:t>
      </w:r>
    </w:p>
    <w:p w14:paraId="20396485"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A. Taghipour, M. </w:t>
      </w:r>
      <w:proofErr w:type="spellStart"/>
      <w:r w:rsidRPr="00FD28A3">
        <w:rPr>
          <w:rFonts w:cs="Times New Roman"/>
          <w:color w:val="1B1C1D"/>
          <w:szCs w:val="20"/>
        </w:rPr>
        <w:t>Olfatifar</w:t>
      </w:r>
      <w:proofErr w:type="spellEnd"/>
      <w:r w:rsidRPr="00FD28A3">
        <w:rPr>
          <w:rFonts w:cs="Times New Roman"/>
          <w:color w:val="1B1C1D"/>
          <w:szCs w:val="20"/>
        </w:rPr>
        <w:t xml:space="preserve">, E. Javanmard, M. Norouzi, H. </w:t>
      </w:r>
      <w:proofErr w:type="spellStart"/>
      <w:r w:rsidRPr="00FD28A3">
        <w:rPr>
          <w:rFonts w:cs="Times New Roman"/>
          <w:color w:val="1B1C1D"/>
          <w:szCs w:val="20"/>
        </w:rPr>
        <w:t>Mirjalali</w:t>
      </w:r>
      <w:proofErr w:type="spellEnd"/>
      <w:r w:rsidRPr="00FD28A3">
        <w:rPr>
          <w:rFonts w:cs="Times New Roman"/>
          <w:color w:val="1B1C1D"/>
          <w:szCs w:val="20"/>
        </w:rPr>
        <w:t xml:space="preserve">, &amp; M. R. Zali, "The neglected role of Enterobius vermicularis in appendicitis: A systematic review and meta-analysis," </w:t>
      </w:r>
      <w:proofErr w:type="spellStart"/>
      <w:r w:rsidRPr="00FD28A3">
        <w:rPr>
          <w:rFonts w:cs="Times New Roman"/>
          <w:i/>
          <w:iCs/>
          <w:color w:val="1B1C1D"/>
          <w:szCs w:val="20"/>
          <w:bdr w:val="none" w:sz="0" w:space="0" w:color="auto" w:frame="1"/>
        </w:rPr>
        <w:t>PLoS</w:t>
      </w:r>
      <w:proofErr w:type="spellEnd"/>
      <w:r w:rsidRPr="00FD28A3">
        <w:rPr>
          <w:rFonts w:cs="Times New Roman"/>
          <w:i/>
          <w:iCs/>
          <w:color w:val="1B1C1D"/>
          <w:szCs w:val="20"/>
          <w:bdr w:val="none" w:sz="0" w:space="0" w:color="auto" w:frame="1"/>
        </w:rPr>
        <w:t xml:space="preserve"> One</w:t>
      </w:r>
      <w:r w:rsidRPr="00FD28A3">
        <w:rPr>
          <w:rFonts w:cs="Times New Roman"/>
          <w:color w:val="1B1C1D"/>
          <w:szCs w:val="20"/>
        </w:rPr>
        <w:t>, vol. 15, no. 4, p. e0232143, 2020. DOI: 10.1371/journal.pone.0232143</w:t>
      </w:r>
    </w:p>
    <w:p w14:paraId="54D2041A"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S. Choudhury, B. Kumar, &amp; D. K. Pal, "Enterobius vermicularis infestation of urinary tract leading to recurrent urinary tract infection," </w:t>
      </w:r>
      <w:r w:rsidRPr="00FD28A3">
        <w:rPr>
          <w:rFonts w:cs="Times New Roman"/>
          <w:i/>
          <w:iCs/>
          <w:color w:val="1B1C1D"/>
          <w:szCs w:val="20"/>
          <w:bdr w:val="none" w:sz="0" w:space="0" w:color="auto" w:frame="1"/>
        </w:rPr>
        <w:t xml:space="preserve">Trop. </w:t>
      </w:r>
      <w:proofErr w:type="spellStart"/>
      <w:r w:rsidRPr="00FD28A3">
        <w:rPr>
          <w:rFonts w:cs="Times New Roman"/>
          <w:i/>
          <w:iCs/>
          <w:color w:val="1B1C1D"/>
          <w:szCs w:val="20"/>
          <w:bdr w:val="none" w:sz="0" w:space="0" w:color="auto" w:frame="1"/>
        </w:rPr>
        <w:t>Parasitol</w:t>
      </w:r>
      <w:proofErr w:type="spellEnd"/>
      <w:r w:rsidRPr="00FD28A3">
        <w:rPr>
          <w:rFonts w:cs="Times New Roman"/>
          <w:i/>
          <w:iCs/>
          <w:color w:val="1B1C1D"/>
          <w:szCs w:val="20"/>
          <w:bdr w:val="none" w:sz="0" w:space="0" w:color="auto" w:frame="1"/>
        </w:rPr>
        <w:t>.</w:t>
      </w:r>
      <w:r w:rsidRPr="00FD28A3">
        <w:rPr>
          <w:rFonts w:cs="Times New Roman"/>
          <w:color w:val="1B1C1D"/>
          <w:szCs w:val="20"/>
        </w:rPr>
        <w:t>, vol. 7, no. 2, pp. 119-121, 2017. DOI: 10.4103/tp.TP_76_17</w:t>
      </w:r>
    </w:p>
    <w:p w14:paraId="17F445B8"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lastRenderedPageBreak/>
        <w:t xml:space="preserve">A. Peixoto, R. Gonçalves, M. Silva, R. Gaspar, R. Silva, R. Portugal, &amp; G. Macedo, "Eosinophilic </w:t>
      </w:r>
      <w:proofErr w:type="spellStart"/>
      <w:r w:rsidRPr="00FD28A3">
        <w:rPr>
          <w:rFonts w:cs="Times New Roman"/>
          <w:color w:val="1B1C1D"/>
          <w:szCs w:val="20"/>
        </w:rPr>
        <w:t>ileocolitis</w:t>
      </w:r>
      <w:proofErr w:type="spellEnd"/>
      <w:r w:rsidRPr="00FD28A3">
        <w:rPr>
          <w:rFonts w:cs="Times New Roman"/>
          <w:color w:val="1B1C1D"/>
          <w:szCs w:val="20"/>
        </w:rPr>
        <w:t xml:space="preserve"> due to Enterobius vermicularis infection: a rare cause of anemia," </w:t>
      </w:r>
      <w:r w:rsidRPr="00FD28A3">
        <w:rPr>
          <w:rFonts w:cs="Times New Roman"/>
          <w:i/>
          <w:iCs/>
          <w:color w:val="1B1C1D"/>
          <w:szCs w:val="20"/>
          <w:bdr w:val="none" w:sz="0" w:space="0" w:color="auto" w:frame="1"/>
        </w:rPr>
        <w:t>Int. J. Colorectal Dis.</w:t>
      </w:r>
      <w:r w:rsidRPr="00FD28A3">
        <w:rPr>
          <w:rFonts w:cs="Times New Roman"/>
          <w:color w:val="1B1C1D"/>
          <w:szCs w:val="20"/>
        </w:rPr>
        <w:t>, vol. 31, no. 3, p. 743, 2016. DOI: 10.1007/s00384-015-2239-1</w:t>
      </w:r>
    </w:p>
    <w:p w14:paraId="11236961"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I. Cranston, N. Potgieter, S. Mathebula, &amp; J. H. </w:t>
      </w:r>
      <w:proofErr w:type="spellStart"/>
      <w:r w:rsidRPr="00FD28A3">
        <w:rPr>
          <w:rFonts w:cs="Times New Roman"/>
          <w:color w:val="1B1C1D"/>
          <w:szCs w:val="20"/>
        </w:rPr>
        <w:t>Ensink</w:t>
      </w:r>
      <w:proofErr w:type="spellEnd"/>
      <w:r w:rsidRPr="00FD28A3">
        <w:rPr>
          <w:rFonts w:cs="Times New Roman"/>
          <w:color w:val="1B1C1D"/>
          <w:szCs w:val="20"/>
        </w:rPr>
        <w:t xml:space="preserve">, "Transmission of Enterobius vermicularis eggs through hands of school children in rural South Africa," </w:t>
      </w:r>
      <w:r w:rsidRPr="00FD28A3">
        <w:rPr>
          <w:rFonts w:cs="Times New Roman"/>
          <w:i/>
          <w:iCs/>
          <w:color w:val="1B1C1D"/>
          <w:szCs w:val="20"/>
          <w:bdr w:val="none" w:sz="0" w:space="0" w:color="auto" w:frame="1"/>
        </w:rPr>
        <w:t>Acta Trop.</w:t>
      </w:r>
      <w:r w:rsidRPr="00FD28A3">
        <w:rPr>
          <w:rFonts w:cs="Times New Roman"/>
          <w:color w:val="1B1C1D"/>
          <w:szCs w:val="20"/>
        </w:rPr>
        <w:t>, vol. 150, pp. 94-96, 2015. DOI: 10.1016/j.actatropica.2015.07.001</w:t>
      </w:r>
    </w:p>
    <w:p w14:paraId="168E774C"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S. Wang, Z. Yao, Y. Hou, D. Wang, H. Zhang, J. Ma, ... &amp; S. Liu, "Prevalence of Enterobius vermicularis among preschool children in 2003 and 2013 in Xinxiang city, Henan province, Central China," </w:t>
      </w:r>
      <w:r w:rsidRPr="00FD28A3">
        <w:rPr>
          <w:rFonts w:cs="Times New Roman"/>
          <w:i/>
          <w:iCs/>
          <w:color w:val="1B1C1D"/>
          <w:szCs w:val="20"/>
          <w:bdr w:val="none" w:sz="0" w:space="0" w:color="auto" w:frame="1"/>
        </w:rPr>
        <w:t>Parasite</w:t>
      </w:r>
      <w:r w:rsidRPr="00FD28A3">
        <w:rPr>
          <w:rFonts w:cs="Times New Roman"/>
          <w:color w:val="1B1C1D"/>
          <w:szCs w:val="20"/>
        </w:rPr>
        <w:t>, vol. 23, p. 30, 2016. DOI: 10.1051/parasite/2016030</w:t>
      </w:r>
    </w:p>
    <w:p w14:paraId="728355E7"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M. </w:t>
      </w:r>
      <w:proofErr w:type="spellStart"/>
      <w:r w:rsidRPr="00FD28A3">
        <w:rPr>
          <w:rFonts w:cs="Times New Roman"/>
          <w:color w:val="1B1C1D"/>
          <w:szCs w:val="20"/>
        </w:rPr>
        <w:t>Moosazadeh</w:t>
      </w:r>
      <w:proofErr w:type="spellEnd"/>
      <w:r w:rsidRPr="00FD28A3">
        <w:rPr>
          <w:rFonts w:cs="Times New Roman"/>
          <w:color w:val="1B1C1D"/>
          <w:szCs w:val="20"/>
        </w:rPr>
        <w:t xml:space="preserve">, G. Abedi, M. Afshari, S. A. Mahdavi, F. </w:t>
      </w:r>
      <w:proofErr w:type="spellStart"/>
      <w:r w:rsidRPr="00FD28A3">
        <w:rPr>
          <w:rFonts w:cs="Times New Roman"/>
          <w:color w:val="1B1C1D"/>
          <w:szCs w:val="20"/>
        </w:rPr>
        <w:t>Farshidi</w:t>
      </w:r>
      <w:proofErr w:type="spellEnd"/>
      <w:r w:rsidRPr="00FD28A3">
        <w:rPr>
          <w:rFonts w:cs="Times New Roman"/>
          <w:color w:val="1B1C1D"/>
          <w:szCs w:val="20"/>
        </w:rPr>
        <w:t xml:space="preserve">, &amp; E. </w:t>
      </w:r>
      <w:proofErr w:type="spellStart"/>
      <w:r w:rsidRPr="00FD28A3">
        <w:rPr>
          <w:rFonts w:cs="Times New Roman"/>
          <w:color w:val="1B1C1D"/>
          <w:szCs w:val="20"/>
        </w:rPr>
        <w:t>Kheradmand</w:t>
      </w:r>
      <w:proofErr w:type="spellEnd"/>
      <w:r w:rsidRPr="00FD28A3">
        <w:rPr>
          <w:rFonts w:cs="Times New Roman"/>
          <w:color w:val="1B1C1D"/>
          <w:szCs w:val="20"/>
        </w:rPr>
        <w:t xml:space="preserve">, "Prevalence of Enterobius vermicularis among children in Iran: A systematic review and meta-analysis," </w:t>
      </w:r>
      <w:proofErr w:type="spellStart"/>
      <w:r w:rsidRPr="00FD28A3">
        <w:rPr>
          <w:rFonts w:cs="Times New Roman"/>
          <w:i/>
          <w:iCs/>
          <w:color w:val="1B1C1D"/>
          <w:szCs w:val="20"/>
          <w:bdr w:val="none" w:sz="0" w:space="0" w:color="auto" w:frame="1"/>
        </w:rPr>
        <w:t>Osong</w:t>
      </w:r>
      <w:proofErr w:type="spellEnd"/>
      <w:r w:rsidRPr="00FD28A3">
        <w:rPr>
          <w:rFonts w:cs="Times New Roman"/>
          <w:i/>
          <w:iCs/>
          <w:color w:val="1B1C1D"/>
          <w:szCs w:val="20"/>
          <w:bdr w:val="none" w:sz="0" w:space="0" w:color="auto" w:frame="1"/>
        </w:rPr>
        <w:t xml:space="preserve"> Public Health Res. </w:t>
      </w:r>
      <w:proofErr w:type="spellStart"/>
      <w:r w:rsidRPr="00FD28A3">
        <w:rPr>
          <w:rFonts w:cs="Times New Roman"/>
          <w:i/>
          <w:iCs/>
          <w:color w:val="1B1C1D"/>
          <w:szCs w:val="20"/>
          <w:bdr w:val="none" w:sz="0" w:space="0" w:color="auto" w:frame="1"/>
        </w:rPr>
        <w:t>Perspect</w:t>
      </w:r>
      <w:proofErr w:type="spellEnd"/>
      <w:r w:rsidRPr="00FD28A3">
        <w:rPr>
          <w:rFonts w:cs="Times New Roman"/>
          <w:i/>
          <w:iCs/>
          <w:color w:val="1B1C1D"/>
          <w:szCs w:val="20"/>
          <w:bdr w:val="none" w:sz="0" w:space="0" w:color="auto" w:frame="1"/>
        </w:rPr>
        <w:t>.</w:t>
      </w:r>
      <w:r w:rsidRPr="00FD28A3">
        <w:rPr>
          <w:rFonts w:cs="Times New Roman"/>
          <w:color w:val="1B1C1D"/>
          <w:szCs w:val="20"/>
        </w:rPr>
        <w:t>, vol. 8, no. 2, pp. 108, 2017. DOI: 10.24171/j.phrp.2017.8.2.03</w:t>
      </w:r>
    </w:p>
    <w:p w14:paraId="33838112"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A. V. Akeju, T. A. Olusi, &amp; R. T. E. Obi, "Intestinal parasites associated with American cockroach (</w:t>
      </w:r>
      <w:proofErr w:type="spellStart"/>
      <w:r w:rsidRPr="00FD28A3">
        <w:rPr>
          <w:rFonts w:cs="Times New Roman"/>
          <w:color w:val="1B1C1D"/>
          <w:szCs w:val="20"/>
        </w:rPr>
        <w:t>Periplaneta</w:t>
      </w:r>
      <w:proofErr w:type="spellEnd"/>
      <w:r w:rsidRPr="00FD28A3">
        <w:rPr>
          <w:rFonts w:cs="Times New Roman"/>
          <w:color w:val="1B1C1D"/>
          <w:szCs w:val="20"/>
        </w:rPr>
        <w:t xml:space="preserve"> americana) in Akure, Ondo state, Nigeria," </w:t>
      </w:r>
      <w:r w:rsidRPr="00FD28A3">
        <w:rPr>
          <w:rFonts w:cs="Times New Roman"/>
          <w:i/>
          <w:iCs/>
          <w:color w:val="1B1C1D"/>
          <w:szCs w:val="20"/>
          <w:bdr w:val="none" w:sz="0" w:space="0" w:color="auto" w:frame="1"/>
        </w:rPr>
        <w:t xml:space="preserve">J. </w:t>
      </w:r>
      <w:proofErr w:type="spellStart"/>
      <w:r w:rsidRPr="00FD28A3">
        <w:rPr>
          <w:rFonts w:cs="Times New Roman"/>
          <w:i/>
          <w:iCs/>
          <w:color w:val="1B1C1D"/>
          <w:szCs w:val="20"/>
          <w:bdr w:val="none" w:sz="0" w:space="0" w:color="auto" w:frame="1"/>
        </w:rPr>
        <w:t>Parasit</w:t>
      </w:r>
      <w:proofErr w:type="spellEnd"/>
      <w:r w:rsidRPr="00FD28A3">
        <w:rPr>
          <w:rFonts w:cs="Times New Roman"/>
          <w:i/>
          <w:iCs/>
          <w:color w:val="1B1C1D"/>
          <w:szCs w:val="20"/>
          <w:bdr w:val="none" w:sz="0" w:space="0" w:color="auto" w:frame="1"/>
        </w:rPr>
        <w:t>. Dis.</w:t>
      </w:r>
      <w:r w:rsidRPr="00FD28A3">
        <w:rPr>
          <w:rFonts w:cs="Times New Roman"/>
          <w:color w:val="1B1C1D"/>
          <w:szCs w:val="20"/>
        </w:rPr>
        <w:t>, vol. 48, no. 1, pp. 67-73, 2024. DOI: 10.1007/s12639-023-01561-4</w:t>
      </w:r>
    </w:p>
    <w:p w14:paraId="56FB56A5"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M. A. Irawan, Y. C. </w:t>
      </w:r>
      <w:proofErr w:type="spellStart"/>
      <w:r w:rsidRPr="00FD28A3">
        <w:rPr>
          <w:rFonts w:cs="Times New Roman"/>
          <w:color w:val="1B1C1D"/>
          <w:szCs w:val="20"/>
        </w:rPr>
        <w:t>Panggabean</w:t>
      </w:r>
      <w:proofErr w:type="spellEnd"/>
      <w:r w:rsidRPr="00FD28A3">
        <w:rPr>
          <w:rFonts w:cs="Times New Roman"/>
          <w:color w:val="1B1C1D"/>
          <w:szCs w:val="20"/>
        </w:rPr>
        <w:t xml:space="preserve">, D. A. </w:t>
      </w:r>
      <w:proofErr w:type="spellStart"/>
      <w:r w:rsidRPr="00FD28A3">
        <w:rPr>
          <w:rFonts w:cs="Times New Roman"/>
          <w:color w:val="1B1C1D"/>
          <w:szCs w:val="20"/>
        </w:rPr>
        <w:t>Dalimunthe</w:t>
      </w:r>
      <w:proofErr w:type="spellEnd"/>
      <w:r w:rsidRPr="00FD28A3">
        <w:rPr>
          <w:rFonts w:cs="Times New Roman"/>
          <w:color w:val="1B1C1D"/>
          <w:szCs w:val="20"/>
        </w:rPr>
        <w:t xml:space="preserve">, &amp; L. Siahaan, "Prevalence of Cockroach Density, Gastrointestinal Disorders, and Identification of Parasites in Cockroaches in Helvetia Deli Serdang Village," </w:t>
      </w:r>
      <w:r w:rsidRPr="00FD28A3">
        <w:rPr>
          <w:rFonts w:cs="Times New Roman"/>
          <w:i/>
          <w:iCs/>
          <w:color w:val="1B1C1D"/>
          <w:szCs w:val="20"/>
          <w:bdr w:val="none" w:sz="0" w:space="0" w:color="auto" w:frame="1"/>
        </w:rPr>
        <w:t>J. Endocrinol.</w:t>
      </w:r>
      <w:r w:rsidRPr="00FD28A3">
        <w:rPr>
          <w:rFonts w:cs="Times New Roman"/>
          <w:color w:val="1B1C1D"/>
          <w:szCs w:val="20"/>
        </w:rPr>
        <w:t>, vol. 2686, p. 0856, 2025.</w:t>
      </w:r>
    </w:p>
    <w:p w14:paraId="0337E03F"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J. S. Ngwamah, A. Mathias, &amp; Y. B. </w:t>
      </w:r>
      <w:proofErr w:type="spellStart"/>
      <w:r w:rsidRPr="00FD28A3">
        <w:rPr>
          <w:rFonts w:cs="Times New Roman"/>
          <w:color w:val="1B1C1D"/>
          <w:szCs w:val="20"/>
        </w:rPr>
        <w:t>Dakum</w:t>
      </w:r>
      <w:proofErr w:type="spellEnd"/>
      <w:r w:rsidRPr="00FD28A3">
        <w:rPr>
          <w:rFonts w:cs="Times New Roman"/>
          <w:color w:val="1B1C1D"/>
          <w:szCs w:val="20"/>
        </w:rPr>
        <w:t xml:space="preserve">, "Evaluation of the role of cockroaches as a vector of medically important parasites carried in Lokoja, Kogi State, Nigeria," </w:t>
      </w:r>
      <w:r w:rsidRPr="00FD28A3">
        <w:rPr>
          <w:rFonts w:cs="Times New Roman"/>
          <w:i/>
          <w:iCs/>
          <w:color w:val="1B1C1D"/>
          <w:szCs w:val="20"/>
          <w:bdr w:val="none" w:sz="0" w:space="0" w:color="auto" w:frame="1"/>
        </w:rPr>
        <w:t xml:space="preserve">J. Appl. </w:t>
      </w:r>
      <w:proofErr w:type="spellStart"/>
      <w:r w:rsidRPr="00FD28A3">
        <w:rPr>
          <w:rFonts w:cs="Times New Roman"/>
          <w:i/>
          <w:iCs/>
          <w:color w:val="1B1C1D"/>
          <w:szCs w:val="20"/>
          <w:bdr w:val="none" w:sz="0" w:space="0" w:color="auto" w:frame="1"/>
        </w:rPr>
        <w:t>Entomol</w:t>
      </w:r>
      <w:proofErr w:type="spellEnd"/>
      <w:r w:rsidRPr="00FD28A3">
        <w:rPr>
          <w:rFonts w:cs="Times New Roman"/>
          <w:i/>
          <w:iCs/>
          <w:color w:val="1B1C1D"/>
          <w:szCs w:val="20"/>
          <w:bdr w:val="none" w:sz="0" w:space="0" w:color="auto" w:frame="1"/>
        </w:rPr>
        <w:t>.</w:t>
      </w:r>
      <w:r w:rsidRPr="00FD28A3">
        <w:rPr>
          <w:rFonts w:cs="Times New Roman"/>
          <w:color w:val="1B1C1D"/>
          <w:szCs w:val="20"/>
        </w:rPr>
        <w:t>, vol. 1, no. 1, pp. 01-05, 2021.</w:t>
      </w:r>
    </w:p>
    <w:p w14:paraId="11A27E5F"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L. P. Van der </w:t>
      </w:r>
      <w:proofErr w:type="spellStart"/>
      <w:r w:rsidRPr="00FD28A3">
        <w:rPr>
          <w:rFonts w:cs="Times New Roman"/>
          <w:color w:val="1B1C1D"/>
          <w:szCs w:val="20"/>
        </w:rPr>
        <w:t>Geest</w:t>
      </w:r>
      <w:proofErr w:type="spellEnd"/>
      <w:r w:rsidRPr="00FD28A3">
        <w:rPr>
          <w:rFonts w:cs="Times New Roman"/>
          <w:color w:val="1B1C1D"/>
          <w:szCs w:val="20"/>
        </w:rPr>
        <w:t xml:space="preserve">, S. L. Elliot, J. A. J. </w:t>
      </w:r>
      <w:proofErr w:type="spellStart"/>
      <w:r w:rsidRPr="00FD28A3">
        <w:rPr>
          <w:rFonts w:cs="Times New Roman"/>
          <w:color w:val="1B1C1D"/>
          <w:szCs w:val="20"/>
        </w:rPr>
        <w:t>Breeuwer</w:t>
      </w:r>
      <w:proofErr w:type="spellEnd"/>
      <w:r w:rsidRPr="00FD28A3">
        <w:rPr>
          <w:rFonts w:cs="Times New Roman"/>
          <w:color w:val="1B1C1D"/>
          <w:szCs w:val="20"/>
        </w:rPr>
        <w:t xml:space="preserve">, &amp; E. A. M. Beerling, "Diseases of mites," </w:t>
      </w:r>
      <w:r w:rsidRPr="00FD28A3">
        <w:rPr>
          <w:rFonts w:cs="Times New Roman"/>
          <w:i/>
          <w:iCs/>
          <w:color w:val="1B1C1D"/>
          <w:szCs w:val="20"/>
          <w:bdr w:val="none" w:sz="0" w:space="0" w:color="auto" w:frame="1"/>
        </w:rPr>
        <w:t xml:space="preserve">Exp. Appl. </w:t>
      </w:r>
      <w:proofErr w:type="spellStart"/>
      <w:r w:rsidRPr="00FD28A3">
        <w:rPr>
          <w:rFonts w:cs="Times New Roman"/>
          <w:i/>
          <w:iCs/>
          <w:color w:val="1B1C1D"/>
          <w:szCs w:val="20"/>
          <w:bdr w:val="none" w:sz="0" w:space="0" w:color="auto" w:frame="1"/>
        </w:rPr>
        <w:t>Acarol</w:t>
      </w:r>
      <w:proofErr w:type="spellEnd"/>
      <w:r w:rsidRPr="00FD28A3">
        <w:rPr>
          <w:rFonts w:cs="Times New Roman"/>
          <w:i/>
          <w:iCs/>
          <w:color w:val="1B1C1D"/>
          <w:szCs w:val="20"/>
          <w:bdr w:val="none" w:sz="0" w:space="0" w:color="auto" w:frame="1"/>
        </w:rPr>
        <w:t>.</w:t>
      </w:r>
      <w:r w:rsidRPr="00FD28A3">
        <w:rPr>
          <w:rFonts w:cs="Times New Roman"/>
          <w:color w:val="1B1C1D"/>
          <w:szCs w:val="20"/>
        </w:rPr>
        <w:t>, vol. 24, no. 7, pp. 497-560, 2000. DOI: 10.1023/A:1026510621315</w:t>
      </w:r>
    </w:p>
    <w:p w14:paraId="21D6BFCF"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S. Johny, A. </w:t>
      </w:r>
      <w:proofErr w:type="spellStart"/>
      <w:r w:rsidRPr="00FD28A3">
        <w:rPr>
          <w:rFonts w:cs="Times New Roman"/>
          <w:color w:val="1B1C1D"/>
          <w:szCs w:val="20"/>
        </w:rPr>
        <w:t>Merisko</w:t>
      </w:r>
      <w:proofErr w:type="spellEnd"/>
      <w:r w:rsidRPr="00FD28A3">
        <w:rPr>
          <w:rFonts w:cs="Times New Roman"/>
          <w:color w:val="1B1C1D"/>
          <w:szCs w:val="20"/>
        </w:rPr>
        <w:t xml:space="preserve">, &amp; D. W. Whitman, "Efficacy of eleven antimicrobials against a gregarine parasite (Apicomplexa: Protozoa)," </w:t>
      </w:r>
      <w:r w:rsidRPr="00FD28A3">
        <w:rPr>
          <w:rFonts w:cs="Times New Roman"/>
          <w:i/>
          <w:iCs/>
          <w:color w:val="1B1C1D"/>
          <w:szCs w:val="20"/>
          <w:bdr w:val="none" w:sz="0" w:space="0" w:color="auto" w:frame="1"/>
        </w:rPr>
        <w:t xml:space="preserve">Ann. Clin. </w:t>
      </w:r>
      <w:proofErr w:type="spellStart"/>
      <w:r w:rsidRPr="00FD28A3">
        <w:rPr>
          <w:rFonts w:cs="Times New Roman"/>
          <w:i/>
          <w:iCs/>
          <w:color w:val="1B1C1D"/>
          <w:szCs w:val="20"/>
          <w:bdr w:val="none" w:sz="0" w:space="0" w:color="auto" w:frame="1"/>
        </w:rPr>
        <w:t>Microbiol</w:t>
      </w:r>
      <w:proofErr w:type="spellEnd"/>
      <w:r w:rsidRPr="00FD28A3">
        <w:rPr>
          <w:rFonts w:cs="Times New Roman"/>
          <w:i/>
          <w:iCs/>
          <w:color w:val="1B1C1D"/>
          <w:szCs w:val="20"/>
          <w:bdr w:val="none" w:sz="0" w:space="0" w:color="auto" w:frame="1"/>
        </w:rPr>
        <w:t>. Antimicrobials</w:t>
      </w:r>
      <w:r w:rsidRPr="00FD28A3">
        <w:rPr>
          <w:rFonts w:cs="Times New Roman"/>
          <w:color w:val="1B1C1D"/>
          <w:szCs w:val="20"/>
        </w:rPr>
        <w:t>, vol. 6, no. 1, p. 15, 2007. DOI: 10.1186/1476-0711-6-15</w:t>
      </w:r>
    </w:p>
    <w:p w14:paraId="468922A5"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R. B. Lopes, &amp; S. B. Alves, "Effect of Gregarina sp. parasitism on the susceptibility of Blattella germanica to some control agents," </w:t>
      </w:r>
      <w:r w:rsidRPr="00FD28A3">
        <w:rPr>
          <w:rFonts w:cs="Times New Roman"/>
          <w:i/>
          <w:iCs/>
          <w:color w:val="1B1C1D"/>
          <w:szCs w:val="20"/>
          <w:bdr w:val="none" w:sz="0" w:space="0" w:color="auto" w:frame="1"/>
        </w:rPr>
        <w:t xml:space="preserve">J. </w:t>
      </w:r>
      <w:proofErr w:type="spellStart"/>
      <w:r w:rsidRPr="00FD28A3">
        <w:rPr>
          <w:rFonts w:cs="Times New Roman"/>
          <w:i/>
          <w:iCs/>
          <w:color w:val="1B1C1D"/>
          <w:szCs w:val="20"/>
          <w:bdr w:val="none" w:sz="0" w:space="0" w:color="auto" w:frame="1"/>
        </w:rPr>
        <w:t>Invertebr</w:t>
      </w:r>
      <w:proofErr w:type="spellEnd"/>
      <w:r w:rsidRPr="00FD28A3">
        <w:rPr>
          <w:rFonts w:cs="Times New Roman"/>
          <w:i/>
          <w:iCs/>
          <w:color w:val="1B1C1D"/>
          <w:szCs w:val="20"/>
          <w:bdr w:val="none" w:sz="0" w:space="0" w:color="auto" w:frame="1"/>
        </w:rPr>
        <w:t xml:space="preserve">. </w:t>
      </w:r>
      <w:proofErr w:type="spellStart"/>
      <w:r w:rsidRPr="00FD28A3">
        <w:rPr>
          <w:rFonts w:cs="Times New Roman"/>
          <w:i/>
          <w:iCs/>
          <w:color w:val="1B1C1D"/>
          <w:szCs w:val="20"/>
          <w:bdr w:val="none" w:sz="0" w:space="0" w:color="auto" w:frame="1"/>
        </w:rPr>
        <w:t>Pathol</w:t>
      </w:r>
      <w:proofErr w:type="spellEnd"/>
      <w:r w:rsidRPr="00FD28A3">
        <w:rPr>
          <w:rFonts w:cs="Times New Roman"/>
          <w:i/>
          <w:iCs/>
          <w:color w:val="1B1C1D"/>
          <w:szCs w:val="20"/>
          <w:bdr w:val="none" w:sz="0" w:space="0" w:color="auto" w:frame="1"/>
        </w:rPr>
        <w:t>.</w:t>
      </w:r>
      <w:r w:rsidRPr="00FD28A3">
        <w:rPr>
          <w:rFonts w:cs="Times New Roman"/>
          <w:color w:val="1B1C1D"/>
          <w:szCs w:val="20"/>
        </w:rPr>
        <w:t>, vol. 88, no. 3, pp. 261-264, 2005. DOI: 10.1016/j.jip.2005.06.002</w:t>
      </w:r>
    </w:p>
    <w:p w14:paraId="1602E17F" w14:textId="77777777" w:rsidR="00FD28A3" w:rsidRPr="00FD28A3"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A. F. Monegro, V. Muppidi, &amp; H. </w:t>
      </w:r>
      <w:proofErr w:type="spellStart"/>
      <w:r w:rsidRPr="00FD28A3">
        <w:rPr>
          <w:rFonts w:cs="Times New Roman"/>
          <w:color w:val="1B1C1D"/>
          <w:szCs w:val="20"/>
        </w:rPr>
        <w:t>Regunath</w:t>
      </w:r>
      <w:proofErr w:type="spellEnd"/>
      <w:r w:rsidRPr="00FD28A3">
        <w:rPr>
          <w:rFonts w:cs="Times New Roman"/>
          <w:color w:val="1B1C1D"/>
          <w:szCs w:val="20"/>
        </w:rPr>
        <w:t xml:space="preserve">, "Hospital-Acquired Infections (Archived)," </w:t>
      </w:r>
      <w:proofErr w:type="spellStart"/>
      <w:r w:rsidRPr="00FD28A3">
        <w:rPr>
          <w:rFonts w:cs="Times New Roman"/>
          <w:i/>
          <w:iCs/>
          <w:color w:val="1B1C1D"/>
          <w:szCs w:val="20"/>
          <w:bdr w:val="none" w:sz="0" w:space="0" w:color="auto" w:frame="1"/>
        </w:rPr>
        <w:t>StatPearls</w:t>
      </w:r>
      <w:proofErr w:type="spellEnd"/>
      <w:r w:rsidRPr="00FD28A3">
        <w:rPr>
          <w:rFonts w:cs="Times New Roman"/>
          <w:i/>
          <w:iCs/>
          <w:color w:val="1B1C1D"/>
          <w:szCs w:val="20"/>
          <w:bdr w:val="none" w:sz="0" w:space="0" w:color="auto" w:frame="1"/>
        </w:rPr>
        <w:t xml:space="preserve"> [Internet]</w:t>
      </w:r>
      <w:r w:rsidRPr="00FD28A3">
        <w:rPr>
          <w:rFonts w:cs="Times New Roman"/>
          <w:color w:val="1B1C1D"/>
          <w:szCs w:val="20"/>
        </w:rPr>
        <w:t xml:space="preserve">, Treasure Island (FL): </w:t>
      </w:r>
      <w:proofErr w:type="spellStart"/>
      <w:r w:rsidRPr="00FD28A3">
        <w:rPr>
          <w:rFonts w:cs="Times New Roman"/>
          <w:color w:val="1B1C1D"/>
          <w:szCs w:val="20"/>
        </w:rPr>
        <w:t>StatPearls</w:t>
      </w:r>
      <w:proofErr w:type="spellEnd"/>
      <w:r w:rsidRPr="00FD28A3">
        <w:rPr>
          <w:rFonts w:cs="Times New Roman"/>
          <w:color w:val="1B1C1D"/>
          <w:szCs w:val="20"/>
        </w:rPr>
        <w:t xml:space="preserve"> Publishing, 2023 Feb 12, PMID: 28722887, 2025.</w:t>
      </w:r>
    </w:p>
    <w:p w14:paraId="2D5C8560" w14:textId="11D9B263" w:rsidR="00AD7A45" w:rsidRPr="004F61FA" w:rsidRDefault="00FD28A3" w:rsidP="004F61FA">
      <w:pPr>
        <w:numPr>
          <w:ilvl w:val="0"/>
          <w:numId w:val="15"/>
        </w:numPr>
        <w:spacing w:before="100" w:beforeAutospacing="1" w:after="0" w:line="240" w:lineRule="auto"/>
        <w:ind w:left="360"/>
        <w:rPr>
          <w:rFonts w:cs="Times New Roman"/>
          <w:color w:val="1B1C1D"/>
          <w:szCs w:val="20"/>
        </w:rPr>
      </w:pPr>
      <w:r w:rsidRPr="00FD28A3">
        <w:rPr>
          <w:rFonts w:cs="Times New Roman"/>
          <w:color w:val="1B1C1D"/>
          <w:szCs w:val="20"/>
        </w:rPr>
        <w:t xml:space="preserve">A. M. Mustafa, R. Q. Salih, H. A. Yaseen, W. A. </w:t>
      </w:r>
      <w:proofErr w:type="spellStart"/>
      <w:r w:rsidRPr="00FD28A3">
        <w:rPr>
          <w:rFonts w:cs="Times New Roman"/>
          <w:color w:val="1B1C1D"/>
          <w:szCs w:val="20"/>
        </w:rPr>
        <w:t>Hamadameen</w:t>
      </w:r>
      <w:proofErr w:type="spellEnd"/>
      <w:r w:rsidRPr="00FD28A3">
        <w:rPr>
          <w:rFonts w:cs="Times New Roman"/>
          <w:color w:val="1B1C1D"/>
          <w:szCs w:val="20"/>
        </w:rPr>
        <w:t xml:space="preserve">, S. H. </w:t>
      </w:r>
      <w:proofErr w:type="spellStart"/>
      <w:r w:rsidRPr="00FD28A3">
        <w:rPr>
          <w:rFonts w:cs="Times New Roman"/>
          <w:color w:val="1B1C1D"/>
          <w:szCs w:val="20"/>
        </w:rPr>
        <w:t>Kakamad</w:t>
      </w:r>
      <w:proofErr w:type="spellEnd"/>
      <w:r w:rsidRPr="00FD28A3">
        <w:rPr>
          <w:rFonts w:cs="Times New Roman"/>
          <w:color w:val="1B1C1D"/>
          <w:szCs w:val="20"/>
        </w:rPr>
        <w:t xml:space="preserve">, F. Abdullah, ... &amp; S. S. Abdalla, "Evolution of Antimicrobial Resistance in Community vs. Hospital-Acquired Infections," </w:t>
      </w:r>
      <w:proofErr w:type="spellStart"/>
      <w:r w:rsidRPr="00FD28A3">
        <w:rPr>
          <w:rFonts w:cs="Times New Roman"/>
          <w:i/>
          <w:iCs/>
          <w:color w:val="1B1C1D"/>
          <w:szCs w:val="20"/>
          <w:bdr w:val="none" w:sz="0" w:space="0" w:color="auto" w:frame="1"/>
        </w:rPr>
        <w:t>Barw</w:t>
      </w:r>
      <w:proofErr w:type="spellEnd"/>
      <w:r w:rsidRPr="00FD28A3">
        <w:rPr>
          <w:rFonts w:cs="Times New Roman"/>
          <w:i/>
          <w:iCs/>
          <w:color w:val="1B1C1D"/>
          <w:szCs w:val="20"/>
          <w:bdr w:val="none" w:sz="0" w:space="0" w:color="auto" w:frame="1"/>
        </w:rPr>
        <w:t xml:space="preserve"> Med. J.</w:t>
      </w:r>
      <w:r w:rsidRPr="00FD28A3">
        <w:rPr>
          <w:rFonts w:cs="Times New Roman"/>
          <w:color w:val="1B1C1D"/>
          <w:szCs w:val="20"/>
        </w:rPr>
        <w:t>, 2025.</w:t>
      </w:r>
      <w:r w:rsidR="00523364">
        <w:rPr>
          <w:rFonts w:cs="Times New Roman"/>
          <w:color w:val="1B1C1D"/>
          <w:szCs w:val="20"/>
        </w:rPr>
        <w:t xml:space="preserve"> </w:t>
      </w:r>
    </w:p>
    <w:sectPr w:rsidR="00AD7A45" w:rsidRPr="004F61FA" w:rsidSect="00247579">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CCA3F" w14:textId="77777777" w:rsidR="00162656" w:rsidRDefault="00162656" w:rsidP="00957EAD">
      <w:pPr>
        <w:spacing w:after="0" w:line="240" w:lineRule="auto"/>
      </w:pPr>
      <w:r>
        <w:separator/>
      </w:r>
    </w:p>
  </w:endnote>
  <w:endnote w:type="continuationSeparator" w:id="0">
    <w:p w14:paraId="3898EE05" w14:textId="77777777" w:rsidR="00162656" w:rsidRDefault="00162656"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33235"/>
      <w:docPartObj>
        <w:docPartGallery w:val="Page Numbers (Bottom of Page)"/>
        <w:docPartUnique/>
      </w:docPartObj>
    </w:sdtPr>
    <w:sdtContent>
      <w:p w14:paraId="1378049F" w14:textId="6521ED93" w:rsidR="00957EAD" w:rsidRDefault="00957EAD" w:rsidP="00957EAD">
        <w:pPr>
          <w:pStyle w:val="Footer"/>
          <w:jc w:val="center"/>
        </w:pPr>
        <w:r>
          <w:fldChar w:fldCharType="begin"/>
        </w:r>
        <w:r>
          <w:instrText>PAGE   \* MERGEFORMAT</w:instrText>
        </w:r>
        <w:r>
          <w:fldChar w:fldCharType="separate"/>
        </w:r>
        <w:r w:rsidR="00A53C91" w:rsidRPr="00A53C91">
          <w:rPr>
            <w:rFonts w:cs="Times New Roman"/>
            <w:noProof/>
            <w:szCs w:val="20"/>
            <w:lang w:val="ar-SA"/>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E2B5A" w14:textId="77777777" w:rsidR="00162656" w:rsidRDefault="00162656" w:rsidP="00957EAD">
      <w:pPr>
        <w:spacing w:after="0" w:line="240" w:lineRule="auto"/>
      </w:pPr>
      <w:r>
        <w:separator/>
      </w:r>
    </w:p>
  </w:footnote>
  <w:footnote w:type="continuationSeparator" w:id="0">
    <w:p w14:paraId="45FFEBB8" w14:textId="77777777" w:rsidR="00162656" w:rsidRDefault="00162656" w:rsidP="0095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BC3A09"/>
    <w:multiLevelType w:val="multilevel"/>
    <w:tmpl w:val="57B2D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E4670B"/>
    <w:multiLevelType w:val="multilevel"/>
    <w:tmpl w:val="B116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C71C23"/>
    <w:multiLevelType w:val="multilevel"/>
    <w:tmpl w:val="672E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596B1D"/>
    <w:multiLevelType w:val="multilevel"/>
    <w:tmpl w:val="0F28B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FA55E9"/>
    <w:multiLevelType w:val="hybridMultilevel"/>
    <w:tmpl w:val="A46660C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8A10FB5"/>
    <w:multiLevelType w:val="multilevel"/>
    <w:tmpl w:val="9588F6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918440040">
    <w:abstractNumId w:val="8"/>
  </w:num>
  <w:num w:numId="2" w16cid:durableId="2143494819">
    <w:abstractNumId w:val="6"/>
  </w:num>
  <w:num w:numId="3" w16cid:durableId="253782898">
    <w:abstractNumId w:val="5"/>
  </w:num>
  <w:num w:numId="4" w16cid:durableId="363870601">
    <w:abstractNumId w:val="4"/>
  </w:num>
  <w:num w:numId="5" w16cid:durableId="547494160">
    <w:abstractNumId w:val="7"/>
  </w:num>
  <w:num w:numId="6" w16cid:durableId="1403216933">
    <w:abstractNumId w:val="3"/>
  </w:num>
  <w:num w:numId="7" w16cid:durableId="618609702">
    <w:abstractNumId w:val="2"/>
  </w:num>
  <w:num w:numId="8" w16cid:durableId="545340113">
    <w:abstractNumId w:val="1"/>
  </w:num>
  <w:num w:numId="9" w16cid:durableId="2011324235">
    <w:abstractNumId w:val="0"/>
  </w:num>
  <w:num w:numId="10" w16cid:durableId="457801564">
    <w:abstractNumId w:val="13"/>
  </w:num>
  <w:num w:numId="11" w16cid:durableId="1537887133">
    <w:abstractNumId w:val="10"/>
  </w:num>
  <w:num w:numId="12" w16cid:durableId="563836194">
    <w:abstractNumId w:val="11"/>
  </w:num>
  <w:num w:numId="13" w16cid:durableId="1181428016">
    <w:abstractNumId w:val="12"/>
  </w:num>
  <w:num w:numId="14" w16cid:durableId="1711414152">
    <w:abstractNumId w:val="14"/>
  </w:num>
  <w:num w:numId="15" w16cid:durableId="6118582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1024"/>
    <w:rsid w:val="00034616"/>
    <w:rsid w:val="000464C0"/>
    <w:rsid w:val="0006063C"/>
    <w:rsid w:val="000953A4"/>
    <w:rsid w:val="000D307D"/>
    <w:rsid w:val="001226E9"/>
    <w:rsid w:val="0015074B"/>
    <w:rsid w:val="00162656"/>
    <w:rsid w:val="00174DF8"/>
    <w:rsid w:val="001C3781"/>
    <w:rsid w:val="001F6D18"/>
    <w:rsid w:val="00247579"/>
    <w:rsid w:val="00274412"/>
    <w:rsid w:val="0029639D"/>
    <w:rsid w:val="002B128A"/>
    <w:rsid w:val="002D125E"/>
    <w:rsid w:val="002E1748"/>
    <w:rsid w:val="0030573C"/>
    <w:rsid w:val="00326F90"/>
    <w:rsid w:val="00346577"/>
    <w:rsid w:val="00360101"/>
    <w:rsid w:val="003F3369"/>
    <w:rsid w:val="003F649D"/>
    <w:rsid w:val="004461B8"/>
    <w:rsid w:val="00461EFC"/>
    <w:rsid w:val="00463218"/>
    <w:rsid w:val="004903D6"/>
    <w:rsid w:val="004B541B"/>
    <w:rsid w:val="004F61FA"/>
    <w:rsid w:val="00523364"/>
    <w:rsid w:val="0057331E"/>
    <w:rsid w:val="0058675E"/>
    <w:rsid w:val="00594A6B"/>
    <w:rsid w:val="005C6643"/>
    <w:rsid w:val="005E3946"/>
    <w:rsid w:val="00621355"/>
    <w:rsid w:val="00645107"/>
    <w:rsid w:val="006A6F6A"/>
    <w:rsid w:val="006C7108"/>
    <w:rsid w:val="00742F8F"/>
    <w:rsid w:val="00813DDC"/>
    <w:rsid w:val="0082636C"/>
    <w:rsid w:val="00833575"/>
    <w:rsid w:val="0085540D"/>
    <w:rsid w:val="00870025"/>
    <w:rsid w:val="00870605"/>
    <w:rsid w:val="00887EA4"/>
    <w:rsid w:val="008A7C60"/>
    <w:rsid w:val="008C339D"/>
    <w:rsid w:val="008E36B6"/>
    <w:rsid w:val="00926847"/>
    <w:rsid w:val="00957EAD"/>
    <w:rsid w:val="00957FF0"/>
    <w:rsid w:val="0098748D"/>
    <w:rsid w:val="00992480"/>
    <w:rsid w:val="009E0C6A"/>
    <w:rsid w:val="00A4785B"/>
    <w:rsid w:val="00A50A56"/>
    <w:rsid w:val="00A53C91"/>
    <w:rsid w:val="00A61799"/>
    <w:rsid w:val="00A6505F"/>
    <w:rsid w:val="00A76139"/>
    <w:rsid w:val="00AA0E11"/>
    <w:rsid w:val="00AA1D8D"/>
    <w:rsid w:val="00AA665B"/>
    <w:rsid w:val="00AB1D3D"/>
    <w:rsid w:val="00AC168D"/>
    <w:rsid w:val="00AD7A45"/>
    <w:rsid w:val="00AE333D"/>
    <w:rsid w:val="00B47730"/>
    <w:rsid w:val="00BA6DCC"/>
    <w:rsid w:val="00CB0664"/>
    <w:rsid w:val="00CC4FFE"/>
    <w:rsid w:val="00D2172C"/>
    <w:rsid w:val="00D27B3B"/>
    <w:rsid w:val="00D54D55"/>
    <w:rsid w:val="00D56A09"/>
    <w:rsid w:val="00D66F77"/>
    <w:rsid w:val="00DA4814"/>
    <w:rsid w:val="00DC7AAF"/>
    <w:rsid w:val="00E44A8A"/>
    <w:rsid w:val="00E620D2"/>
    <w:rsid w:val="00E806D2"/>
    <w:rsid w:val="00EB6582"/>
    <w:rsid w:val="00F11089"/>
    <w:rsid w:val="00F14573"/>
    <w:rsid w:val="00F379FD"/>
    <w:rsid w:val="00F57559"/>
    <w:rsid w:val="00F57D4B"/>
    <w:rsid w:val="00F6071D"/>
    <w:rsid w:val="00FB19C0"/>
    <w:rsid w:val="00FB373D"/>
    <w:rsid w:val="00FC693F"/>
    <w:rsid w:val="00FD01AE"/>
    <w:rsid w:val="00FD2373"/>
    <w:rsid w:val="00FD28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09E9E"/>
  <w14:defaultImageDpi w14:val="300"/>
  <w15:docId w15:val="{15FD7312-91A5-4028-B5D1-022D531A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2818">
      <w:bodyDiv w:val="1"/>
      <w:marLeft w:val="0"/>
      <w:marRight w:val="0"/>
      <w:marTop w:val="0"/>
      <w:marBottom w:val="0"/>
      <w:divBdr>
        <w:top w:val="none" w:sz="0" w:space="0" w:color="auto"/>
        <w:left w:val="none" w:sz="0" w:space="0" w:color="auto"/>
        <w:bottom w:val="none" w:sz="0" w:space="0" w:color="auto"/>
        <w:right w:val="none" w:sz="0" w:space="0" w:color="auto"/>
      </w:divBdr>
    </w:div>
    <w:div w:id="266037525">
      <w:bodyDiv w:val="1"/>
      <w:marLeft w:val="0"/>
      <w:marRight w:val="0"/>
      <w:marTop w:val="0"/>
      <w:marBottom w:val="0"/>
      <w:divBdr>
        <w:top w:val="none" w:sz="0" w:space="0" w:color="auto"/>
        <w:left w:val="none" w:sz="0" w:space="0" w:color="auto"/>
        <w:bottom w:val="none" w:sz="0" w:space="0" w:color="auto"/>
        <w:right w:val="none" w:sz="0" w:space="0" w:color="auto"/>
      </w:divBdr>
      <w:divsChild>
        <w:div w:id="1828092046">
          <w:marLeft w:val="0"/>
          <w:marRight w:val="0"/>
          <w:marTop w:val="0"/>
          <w:marBottom w:val="0"/>
          <w:divBdr>
            <w:top w:val="none" w:sz="0" w:space="0" w:color="auto"/>
            <w:left w:val="none" w:sz="0" w:space="0" w:color="auto"/>
            <w:bottom w:val="none" w:sz="0" w:space="0" w:color="auto"/>
            <w:right w:val="none" w:sz="0" w:space="0" w:color="auto"/>
          </w:divBdr>
          <w:divsChild>
            <w:div w:id="886333062">
              <w:marLeft w:val="0"/>
              <w:marRight w:val="0"/>
              <w:marTop w:val="0"/>
              <w:marBottom w:val="0"/>
              <w:divBdr>
                <w:top w:val="none" w:sz="0" w:space="0" w:color="auto"/>
                <w:left w:val="none" w:sz="0" w:space="0" w:color="auto"/>
                <w:bottom w:val="none" w:sz="0" w:space="0" w:color="auto"/>
                <w:right w:val="none" w:sz="0" w:space="0" w:color="auto"/>
              </w:divBdr>
              <w:divsChild>
                <w:div w:id="809830725">
                  <w:marLeft w:val="0"/>
                  <w:marRight w:val="0"/>
                  <w:marTop w:val="0"/>
                  <w:marBottom w:val="0"/>
                  <w:divBdr>
                    <w:top w:val="none" w:sz="0" w:space="0" w:color="auto"/>
                    <w:left w:val="none" w:sz="0" w:space="0" w:color="auto"/>
                    <w:bottom w:val="none" w:sz="0" w:space="0" w:color="auto"/>
                    <w:right w:val="none" w:sz="0" w:space="0" w:color="auto"/>
                  </w:divBdr>
                  <w:divsChild>
                    <w:div w:id="186254394">
                      <w:marLeft w:val="0"/>
                      <w:marRight w:val="0"/>
                      <w:marTop w:val="0"/>
                      <w:marBottom w:val="0"/>
                      <w:divBdr>
                        <w:top w:val="none" w:sz="0" w:space="0" w:color="auto"/>
                        <w:left w:val="none" w:sz="0" w:space="0" w:color="auto"/>
                        <w:bottom w:val="none" w:sz="0" w:space="0" w:color="auto"/>
                        <w:right w:val="none" w:sz="0" w:space="0" w:color="auto"/>
                      </w:divBdr>
                      <w:divsChild>
                        <w:div w:id="1954356616">
                          <w:marLeft w:val="0"/>
                          <w:marRight w:val="0"/>
                          <w:marTop w:val="0"/>
                          <w:marBottom w:val="0"/>
                          <w:divBdr>
                            <w:top w:val="none" w:sz="0" w:space="0" w:color="auto"/>
                            <w:left w:val="none" w:sz="0" w:space="0" w:color="auto"/>
                            <w:bottom w:val="none" w:sz="0" w:space="0" w:color="auto"/>
                            <w:right w:val="none" w:sz="0" w:space="0" w:color="auto"/>
                          </w:divBdr>
                          <w:divsChild>
                            <w:div w:id="423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442171">
      <w:bodyDiv w:val="1"/>
      <w:marLeft w:val="0"/>
      <w:marRight w:val="0"/>
      <w:marTop w:val="0"/>
      <w:marBottom w:val="0"/>
      <w:divBdr>
        <w:top w:val="none" w:sz="0" w:space="0" w:color="auto"/>
        <w:left w:val="none" w:sz="0" w:space="0" w:color="auto"/>
        <w:bottom w:val="none" w:sz="0" w:space="0" w:color="auto"/>
        <w:right w:val="none" w:sz="0" w:space="0" w:color="auto"/>
      </w:divBdr>
    </w:div>
    <w:div w:id="309873099">
      <w:bodyDiv w:val="1"/>
      <w:marLeft w:val="0"/>
      <w:marRight w:val="0"/>
      <w:marTop w:val="0"/>
      <w:marBottom w:val="0"/>
      <w:divBdr>
        <w:top w:val="none" w:sz="0" w:space="0" w:color="auto"/>
        <w:left w:val="none" w:sz="0" w:space="0" w:color="auto"/>
        <w:bottom w:val="none" w:sz="0" w:space="0" w:color="auto"/>
        <w:right w:val="none" w:sz="0" w:space="0" w:color="auto"/>
      </w:divBdr>
    </w:div>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361906100">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4556">
      <w:bodyDiv w:val="1"/>
      <w:marLeft w:val="0"/>
      <w:marRight w:val="0"/>
      <w:marTop w:val="0"/>
      <w:marBottom w:val="0"/>
      <w:divBdr>
        <w:top w:val="none" w:sz="0" w:space="0" w:color="auto"/>
        <w:left w:val="none" w:sz="0" w:space="0" w:color="auto"/>
        <w:bottom w:val="none" w:sz="0" w:space="0" w:color="auto"/>
        <w:right w:val="none" w:sz="0" w:space="0" w:color="auto"/>
      </w:divBdr>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650985462">
      <w:bodyDiv w:val="1"/>
      <w:marLeft w:val="0"/>
      <w:marRight w:val="0"/>
      <w:marTop w:val="0"/>
      <w:marBottom w:val="0"/>
      <w:divBdr>
        <w:top w:val="none" w:sz="0" w:space="0" w:color="auto"/>
        <w:left w:val="none" w:sz="0" w:space="0" w:color="auto"/>
        <w:bottom w:val="none" w:sz="0" w:space="0" w:color="auto"/>
        <w:right w:val="none" w:sz="0" w:space="0" w:color="auto"/>
      </w:divBdr>
    </w:div>
    <w:div w:id="716007361">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905409853">
      <w:bodyDiv w:val="1"/>
      <w:marLeft w:val="0"/>
      <w:marRight w:val="0"/>
      <w:marTop w:val="0"/>
      <w:marBottom w:val="0"/>
      <w:divBdr>
        <w:top w:val="none" w:sz="0" w:space="0" w:color="auto"/>
        <w:left w:val="none" w:sz="0" w:space="0" w:color="auto"/>
        <w:bottom w:val="none" w:sz="0" w:space="0" w:color="auto"/>
        <w:right w:val="none" w:sz="0" w:space="0" w:color="auto"/>
      </w:divBdr>
    </w:div>
    <w:div w:id="1161968851">
      <w:bodyDiv w:val="1"/>
      <w:marLeft w:val="0"/>
      <w:marRight w:val="0"/>
      <w:marTop w:val="0"/>
      <w:marBottom w:val="0"/>
      <w:divBdr>
        <w:top w:val="none" w:sz="0" w:space="0" w:color="auto"/>
        <w:left w:val="none" w:sz="0" w:space="0" w:color="auto"/>
        <w:bottom w:val="none" w:sz="0" w:space="0" w:color="auto"/>
        <w:right w:val="none" w:sz="0" w:space="0" w:color="auto"/>
      </w:divBdr>
    </w:div>
    <w:div w:id="1223977765">
      <w:bodyDiv w:val="1"/>
      <w:marLeft w:val="0"/>
      <w:marRight w:val="0"/>
      <w:marTop w:val="0"/>
      <w:marBottom w:val="0"/>
      <w:divBdr>
        <w:top w:val="none" w:sz="0" w:space="0" w:color="auto"/>
        <w:left w:val="none" w:sz="0" w:space="0" w:color="auto"/>
        <w:bottom w:val="none" w:sz="0" w:space="0" w:color="auto"/>
        <w:right w:val="none" w:sz="0" w:space="0" w:color="auto"/>
      </w:divBdr>
    </w:div>
    <w:div w:id="1236015707">
      <w:bodyDiv w:val="1"/>
      <w:marLeft w:val="0"/>
      <w:marRight w:val="0"/>
      <w:marTop w:val="0"/>
      <w:marBottom w:val="0"/>
      <w:divBdr>
        <w:top w:val="none" w:sz="0" w:space="0" w:color="auto"/>
        <w:left w:val="none" w:sz="0" w:space="0" w:color="auto"/>
        <w:bottom w:val="none" w:sz="0" w:space="0" w:color="auto"/>
        <w:right w:val="none" w:sz="0" w:space="0" w:color="auto"/>
      </w:divBdr>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23318866">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1486168932">
      <w:bodyDiv w:val="1"/>
      <w:marLeft w:val="0"/>
      <w:marRight w:val="0"/>
      <w:marTop w:val="0"/>
      <w:marBottom w:val="0"/>
      <w:divBdr>
        <w:top w:val="none" w:sz="0" w:space="0" w:color="auto"/>
        <w:left w:val="none" w:sz="0" w:space="0" w:color="auto"/>
        <w:bottom w:val="none" w:sz="0" w:space="0" w:color="auto"/>
        <w:right w:val="none" w:sz="0" w:space="0" w:color="auto"/>
      </w:divBdr>
    </w:div>
    <w:div w:id="1528176374">
      <w:bodyDiv w:val="1"/>
      <w:marLeft w:val="0"/>
      <w:marRight w:val="0"/>
      <w:marTop w:val="0"/>
      <w:marBottom w:val="0"/>
      <w:divBdr>
        <w:top w:val="none" w:sz="0" w:space="0" w:color="auto"/>
        <w:left w:val="none" w:sz="0" w:space="0" w:color="auto"/>
        <w:bottom w:val="none" w:sz="0" w:space="0" w:color="auto"/>
        <w:right w:val="none" w:sz="0" w:space="0" w:color="auto"/>
      </w:divBdr>
    </w:div>
    <w:div w:id="1566261311">
      <w:bodyDiv w:val="1"/>
      <w:marLeft w:val="0"/>
      <w:marRight w:val="0"/>
      <w:marTop w:val="0"/>
      <w:marBottom w:val="0"/>
      <w:divBdr>
        <w:top w:val="none" w:sz="0" w:space="0" w:color="auto"/>
        <w:left w:val="none" w:sz="0" w:space="0" w:color="auto"/>
        <w:bottom w:val="none" w:sz="0" w:space="0" w:color="auto"/>
        <w:right w:val="none" w:sz="0" w:space="0" w:color="auto"/>
      </w:divBdr>
    </w:div>
    <w:div w:id="1951087179">
      <w:bodyDiv w:val="1"/>
      <w:marLeft w:val="0"/>
      <w:marRight w:val="0"/>
      <w:marTop w:val="0"/>
      <w:marBottom w:val="0"/>
      <w:divBdr>
        <w:top w:val="none" w:sz="0" w:space="0" w:color="auto"/>
        <w:left w:val="none" w:sz="0" w:space="0" w:color="auto"/>
        <w:bottom w:val="none" w:sz="0" w:space="0" w:color="auto"/>
        <w:right w:val="none" w:sz="0" w:space="0" w:color="auto"/>
      </w:divBdr>
    </w:div>
    <w:div w:id="1959487837">
      <w:bodyDiv w:val="1"/>
      <w:marLeft w:val="0"/>
      <w:marRight w:val="0"/>
      <w:marTop w:val="0"/>
      <w:marBottom w:val="0"/>
      <w:divBdr>
        <w:top w:val="none" w:sz="0" w:space="0" w:color="auto"/>
        <w:left w:val="none" w:sz="0" w:space="0" w:color="auto"/>
        <w:bottom w:val="none" w:sz="0" w:space="0" w:color="auto"/>
        <w:right w:val="none" w:sz="0" w:space="0" w:color="auto"/>
      </w:divBdr>
    </w:div>
    <w:div w:id="2000617595">
      <w:bodyDiv w:val="1"/>
      <w:marLeft w:val="0"/>
      <w:marRight w:val="0"/>
      <w:marTop w:val="0"/>
      <w:marBottom w:val="0"/>
      <w:divBdr>
        <w:top w:val="none" w:sz="0" w:space="0" w:color="auto"/>
        <w:left w:val="none" w:sz="0" w:space="0" w:color="auto"/>
        <w:bottom w:val="none" w:sz="0" w:space="0" w:color="auto"/>
        <w:right w:val="none" w:sz="0" w:space="0" w:color="auto"/>
      </w:divBdr>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
    <w:div w:id="2094080022">
      <w:bodyDiv w:val="1"/>
      <w:marLeft w:val="0"/>
      <w:marRight w:val="0"/>
      <w:marTop w:val="0"/>
      <w:marBottom w:val="0"/>
      <w:divBdr>
        <w:top w:val="none" w:sz="0" w:space="0" w:color="auto"/>
        <w:left w:val="none" w:sz="0" w:space="0" w:color="auto"/>
        <w:bottom w:val="none" w:sz="0" w:space="0" w:color="auto"/>
        <w:right w:val="none" w:sz="0" w:space="0" w:color="auto"/>
      </w:divBdr>
    </w:div>
    <w:div w:id="2137871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C1D0-3F3B-45C9-871E-CA31A215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3251</Words>
  <Characters>18534</Characters>
  <Application>Microsoft Office Word</Application>
  <DocSecurity>0</DocSecurity>
  <Lines>154</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21742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13</cp:revision>
  <cp:lastPrinted>2025-07-27T20:34:00Z</cp:lastPrinted>
  <dcterms:created xsi:type="dcterms:W3CDTF">2025-08-23T13:25:00Z</dcterms:created>
  <dcterms:modified xsi:type="dcterms:W3CDTF">2025-12-06T19:44:00Z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da364678-b72c-4de0-adeb-23b478fab463</vt:lpwstr>
  </property>
</Properties>
</file>