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9B70" w14:textId="77777777" w:rsidR="006109CD" w:rsidRDefault="006109CD" w:rsidP="00D30640">
      <w:pPr>
        <w:pStyle w:val="PaperTitle"/>
        <w:spacing w:before="0"/>
      </w:pPr>
    </w:p>
    <w:p w14:paraId="3B9815EA" w14:textId="2AF09616" w:rsidR="0016385D" w:rsidRPr="00075EA6" w:rsidRDefault="002B797C" w:rsidP="00D30640">
      <w:pPr>
        <w:pStyle w:val="PaperTitle"/>
        <w:spacing w:before="0"/>
        <w:rPr>
          <w:b w:val="0"/>
          <w:bCs/>
          <w:sz w:val="24"/>
          <w:szCs w:val="24"/>
        </w:rPr>
      </w:pPr>
      <w:r w:rsidRPr="002B797C">
        <w:t xml:space="preserve">Explore </w:t>
      </w:r>
      <w:r>
        <w:t xml:space="preserve">Risk </w:t>
      </w:r>
      <w:r w:rsidR="00F06193">
        <w:t>Factors'</w:t>
      </w:r>
      <w:r>
        <w:t xml:space="preserve"> Role i</w:t>
      </w:r>
      <w:r w:rsidRPr="002B797C">
        <w:t>n Developing Iraqi Females' Infertility</w:t>
      </w:r>
    </w:p>
    <w:p w14:paraId="548D96A3" w14:textId="2FBD80AC" w:rsidR="00C14B14" w:rsidRDefault="002B797C" w:rsidP="002B797C">
      <w:pPr>
        <w:pStyle w:val="AuthorName"/>
        <w:rPr>
          <w:sz w:val="20"/>
          <w:lang w:val="en-GB" w:eastAsia="en-GB"/>
        </w:rPr>
      </w:pPr>
      <w:r w:rsidRPr="002B797C">
        <w:t>Hiba Hussein Resen</w:t>
      </w:r>
      <w:r w:rsidR="00783FF6" w:rsidRPr="2F830975">
        <w:rPr>
          <w:vertAlign w:val="superscript"/>
        </w:rPr>
        <w:t>1, a</w:t>
      </w:r>
      <w:r w:rsidR="00EF6940" w:rsidRPr="2F830975">
        <w:rPr>
          <w:vertAlign w:val="superscript"/>
        </w:rPr>
        <w:t>)</w:t>
      </w:r>
      <w:r>
        <w:t>,</w:t>
      </w:r>
      <w:r w:rsidR="001427FE">
        <w:t xml:space="preserve"> </w:t>
      </w:r>
      <w:r w:rsidRPr="002B797C">
        <w:t>Wafaa Sabri Mahood</w:t>
      </w:r>
      <w:r w:rsidR="00E57AE8">
        <w:rPr>
          <w:vertAlign w:val="superscript"/>
        </w:rPr>
        <w:t>1</w:t>
      </w:r>
      <w:r w:rsidR="00783FF6">
        <w:rPr>
          <w:vertAlign w:val="superscript"/>
        </w:rPr>
        <w:t>, b</w:t>
      </w:r>
      <w:r w:rsidRPr="2F830975">
        <w:rPr>
          <w:vertAlign w:val="superscript"/>
        </w:rPr>
        <w:t>)</w:t>
      </w:r>
      <w:r w:rsidR="0016385D">
        <w:t xml:space="preserve"> and </w:t>
      </w:r>
      <w:r w:rsidRPr="002B797C">
        <w:t>Asmaa M. Salih Almohaidi</w:t>
      </w:r>
      <w:r w:rsidR="00E57AE8">
        <w:rPr>
          <w:vertAlign w:val="superscript"/>
        </w:rPr>
        <w:t>2</w:t>
      </w:r>
      <w:r w:rsidR="00783FF6">
        <w:rPr>
          <w:vertAlign w:val="superscript"/>
        </w:rPr>
        <w:t>,</w:t>
      </w:r>
      <w:r w:rsidR="001117C0">
        <w:rPr>
          <w:vertAlign w:val="superscript"/>
        </w:rPr>
        <w:t xml:space="preserve"> </w:t>
      </w:r>
      <w:r w:rsidR="00783FF6">
        <w:rPr>
          <w:vertAlign w:val="superscript"/>
        </w:rPr>
        <w:t>c</w:t>
      </w:r>
      <w:r w:rsidR="003A5C85" w:rsidRPr="2F830975">
        <w:rPr>
          <w:vertAlign w:val="superscript"/>
        </w:rPr>
        <w:t>)</w:t>
      </w:r>
    </w:p>
    <w:p w14:paraId="39574C77" w14:textId="11156B2A" w:rsidR="00EB1611" w:rsidRPr="00E81044" w:rsidRDefault="00027428" w:rsidP="00E57AE8">
      <w:pPr>
        <w:pStyle w:val="AuthorAffiliation"/>
      </w:pPr>
      <w:r w:rsidRPr="00E81044">
        <w:rPr>
          <w:vertAlign w:val="superscript"/>
        </w:rPr>
        <w:t>1</w:t>
      </w:r>
      <w:r w:rsidR="00073829" w:rsidRPr="00E81044">
        <w:t>Department of Bio</w:t>
      </w:r>
      <w:r w:rsidR="005F39F6" w:rsidRPr="00E81044">
        <w:t>logy, College of Education for Pure Science</w:t>
      </w:r>
      <w:r w:rsidR="0054048B" w:rsidRPr="00E81044">
        <w:t>,</w:t>
      </w:r>
      <w:r w:rsidR="005F39F6" w:rsidRPr="00E81044">
        <w:t xml:space="preserve"> Ibn Al-Haith</w:t>
      </w:r>
      <w:r w:rsidR="00073829" w:rsidRPr="00E81044">
        <w:t>am, University of Baghdad</w:t>
      </w:r>
      <w:r w:rsidR="005F39F6" w:rsidRPr="00E81044">
        <w:t>, Baghdad, Iraq</w:t>
      </w:r>
      <w:r w:rsidR="00E81044">
        <w:t>.</w:t>
      </w:r>
      <w:r w:rsidR="00E57AE8" w:rsidRPr="00E81044">
        <w:br/>
      </w:r>
      <w:r w:rsidR="00E81044">
        <w:rPr>
          <w:vertAlign w:val="superscript"/>
        </w:rPr>
        <w:t>2</w:t>
      </w:r>
      <w:r w:rsidR="00EB1611" w:rsidRPr="00E81044">
        <w:t xml:space="preserve">Department of Biology, College </w:t>
      </w:r>
      <w:r w:rsidR="006F7EBB" w:rsidRPr="00E81044">
        <w:t xml:space="preserve">of </w:t>
      </w:r>
      <w:r w:rsidR="00EB1611" w:rsidRPr="00E81044">
        <w:t>Science for Women, University of Baghdad, Iraq.</w:t>
      </w:r>
    </w:p>
    <w:p w14:paraId="5E05E235" w14:textId="0FF1C803" w:rsidR="003A5C85" w:rsidRPr="00E81044" w:rsidRDefault="00C14B14" w:rsidP="00EB1611">
      <w:pPr>
        <w:pStyle w:val="AuthorAffiliation"/>
        <w:rPr>
          <w:lang w:bidi="ar-IQ"/>
        </w:rPr>
      </w:pPr>
      <w:r w:rsidRPr="00E81044">
        <w:br/>
      </w:r>
      <w:r w:rsidR="00003D7C" w:rsidRPr="00E81044">
        <w:rPr>
          <w:szCs w:val="28"/>
          <w:vertAlign w:val="superscript"/>
        </w:rPr>
        <w:t>a)</w:t>
      </w:r>
      <w:r w:rsidR="00003D7C" w:rsidRPr="00E81044">
        <w:t xml:space="preserve"> </w:t>
      </w:r>
      <w:r w:rsidR="00E57AE8" w:rsidRPr="00E81044">
        <w:rPr>
          <w:szCs w:val="28"/>
          <w:lang w:bidi="ar-IQ"/>
        </w:rPr>
        <w:t>Corresponding author</w:t>
      </w:r>
      <w:r w:rsidR="0050548E">
        <w:rPr>
          <w:sz w:val="14"/>
          <w:lang w:bidi="ar-IQ"/>
        </w:rPr>
        <w:t>:</w:t>
      </w:r>
      <w:r w:rsidR="00E57AE8" w:rsidRPr="00E81044">
        <w:t xml:space="preserve"> </w:t>
      </w:r>
      <w:r w:rsidR="00EB1611" w:rsidRPr="00E81044">
        <w:t>heba.risan2202@ihcoedu.uobaghdad.edu.iq</w:t>
      </w:r>
      <w:r w:rsidR="001D469C" w:rsidRPr="00E81044">
        <w:br/>
      </w:r>
      <w:proofErr w:type="gramStart"/>
      <w:r w:rsidR="003A5C85" w:rsidRPr="00E81044">
        <w:rPr>
          <w:szCs w:val="28"/>
          <w:vertAlign w:val="superscript"/>
        </w:rPr>
        <w:t>b)</w:t>
      </w:r>
      <w:r w:rsidR="00EB1611" w:rsidRPr="00E81044">
        <w:t>wafaa.s.m@ihcoedu.uobaghdad.edu.iq</w:t>
      </w:r>
      <w:proofErr w:type="gramEnd"/>
    </w:p>
    <w:p w14:paraId="6BB68A01" w14:textId="64AB7504" w:rsidR="00EB1611" w:rsidRPr="00E81044" w:rsidRDefault="00EB1611" w:rsidP="00EB1611">
      <w:pPr>
        <w:pStyle w:val="AuthorAffiliation"/>
        <w:rPr>
          <w:lang w:bidi="ar-IQ"/>
        </w:rPr>
      </w:pPr>
      <w:r w:rsidRPr="00E81044">
        <w:rPr>
          <w:szCs w:val="28"/>
          <w:vertAlign w:val="superscript"/>
        </w:rPr>
        <w:t>c)</w:t>
      </w:r>
      <w:r w:rsidRPr="00E81044">
        <w:rPr>
          <w:lang w:bidi="ar-IQ"/>
        </w:rPr>
        <w:t>asmaams_bio@csw.uobaghdad.edu.iq</w:t>
      </w:r>
    </w:p>
    <w:p w14:paraId="66EA3975" w14:textId="71541623" w:rsidR="00AE6111" w:rsidRDefault="0016385D" w:rsidP="00EB1611">
      <w:pPr>
        <w:pStyle w:val="Abstract"/>
      </w:pPr>
      <w:r w:rsidRPr="00075EA6">
        <w:rPr>
          <w:b/>
          <w:bCs/>
        </w:rPr>
        <w:t>Abstract.</w:t>
      </w:r>
      <w:r w:rsidRPr="00075EA6">
        <w:t xml:space="preserve"> </w:t>
      </w:r>
      <w:r w:rsidR="00EB1611" w:rsidRPr="00EB1611">
        <w:t>Infertility is a public health</w:t>
      </w:r>
      <w:r w:rsidR="009F0815">
        <w:t xml:space="preserve"> issue</w:t>
      </w:r>
      <w:r w:rsidR="00EB1611" w:rsidRPr="00EB1611">
        <w:t xml:space="preserve">, affecting 10–15% of Iraqi women of reproductive age. </w:t>
      </w:r>
      <w:r w:rsidR="009F0815">
        <w:t>This review summarizes</w:t>
      </w:r>
      <w:r w:rsidR="00EB1611" w:rsidRPr="00EB1611">
        <w:t xml:space="preserve"> major risk factors contributing to female infertility in Iraq, with emphasis on local evidence</w:t>
      </w:r>
      <w:r w:rsidR="009F0815">
        <w:t xml:space="preserve">. Key factors include </w:t>
      </w:r>
      <w:r w:rsidR="00EB1611" w:rsidRPr="00EB1611">
        <w:t xml:space="preserve">polycystic ovary syndrome (21–53%), tubal disorders (3–61%), ovulatory dysfunction (8–56%), obesity, and pelvic infections. Endocrine abnormalities such as hyperprolactinemia (~6%) and thyroid dysfunction (0.7–4%) were also identified. Regional </w:t>
      </w:r>
      <w:r w:rsidR="009F0815">
        <w:t xml:space="preserve">differences reflect disparities </w:t>
      </w:r>
      <w:r w:rsidR="00EB1611" w:rsidRPr="00EB1611">
        <w:t>in healthcare access, lifestyle</w:t>
      </w:r>
      <w:r w:rsidR="00B12B5F">
        <w:t xml:space="preserve">, and </w:t>
      </w:r>
      <w:r w:rsidR="006F7EBB">
        <w:t>exposure to infectious diseases</w:t>
      </w:r>
      <w:r w:rsidR="00EB1611">
        <w:t xml:space="preserve">. </w:t>
      </w:r>
      <w:r w:rsidR="006F7EBB">
        <w:t>Infertility</w:t>
      </w:r>
      <w:r w:rsidR="00EB1611" w:rsidRPr="00EB1611">
        <w:t xml:space="preserve"> in Iraq is a multifactorial condition influenced by lifestyle</w:t>
      </w:r>
      <w:r w:rsidR="00B12B5F">
        <w:t>,</w:t>
      </w:r>
      <w:r w:rsidR="00EB1611" w:rsidRPr="00EB1611">
        <w:t xml:space="preserve"> endocrine</w:t>
      </w:r>
      <w:r w:rsidR="00B12B5F">
        <w:t>,</w:t>
      </w:r>
      <w:r w:rsidR="00EB1611" w:rsidRPr="00EB1611">
        <w:t xml:space="preserve"> structural</w:t>
      </w:r>
      <w:r w:rsidR="00B12B5F">
        <w:t>,</w:t>
      </w:r>
      <w:r w:rsidR="00EB1611" w:rsidRPr="00EB1611">
        <w:t xml:space="preserve"> and infectious causes. Effective management requires a multidisciplinary </w:t>
      </w:r>
      <w:r w:rsidR="00B12B5F">
        <w:t xml:space="preserve">approach, including </w:t>
      </w:r>
      <w:r w:rsidR="00EB1611" w:rsidRPr="00EB1611">
        <w:t xml:space="preserve">lifestyle modification, infection control, and early diagnostic services. Future Iraqi studies should </w:t>
      </w:r>
      <w:r w:rsidR="00B12B5F">
        <w:t>investigate</w:t>
      </w:r>
      <w:r w:rsidR="00EB1611" w:rsidRPr="00EB1611">
        <w:t xml:space="preserve"> molecular and genetic pathways to improve </w:t>
      </w:r>
      <w:r w:rsidR="00884DE6">
        <w:t xml:space="preserve">prevention </w:t>
      </w:r>
      <w:r w:rsidR="00EB1611" w:rsidRPr="00EB1611">
        <w:t>and treatment</w:t>
      </w:r>
      <w:r w:rsidR="00EB1611">
        <w:t>.</w:t>
      </w:r>
      <w:r w:rsidR="00AE6111">
        <w:t xml:space="preserve"> </w:t>
      </w:r>
    </w:p>
    <w:p w14:paraId="270CE254" w14:textId="018EFA6D" w:rsidR="00AE6111" w:rsidRDefault="00AE6111" w:rsidP="00576429">
      <w:pPr>
        <w:pStyle w:val="Abstract"/>
      </w:pPr>
      <w:r w:rsidRPr="00AE6111">
        <w:rPr>
          <w:b/>
          <w:bCs/>
        </w:rPr>
        <w:t xml:space="preserve">Keywords: </w:t>
      </w:r>
      <w:r w:rsidR="00576429">
        <w:t>Infertility</w:t>
      </w:r>
      <w:r w:rsidR="00EB1611" w:rsidRPr="00EB1611">
        <w:t xml:space="preserve">, Risk factors, </w:t>
      </w:r>
      <w:r w:rsidR="00884DE6">
        <w:t xml:space="preserve">Hormonal disorders, </w:t>
      </w:r>
      <w:r w:rsidR="00EB1611" w:rsidRPr="00EB1611">
        <w:t xml:space="preserve">PCOS, </w:t>
      </w:r>
      <w:r w:rsidR="00884DE6">
        <w:t>Iraq</w:t>
      </w:r>
      <w:r w:rsidR="00AE1017" w:rsidRPr="00EB1611">
        <w:t>.</w:t>
      </w:r>
    </w:p>
    <w:p w14:paraId="5240E3FB" w14:textId="452E1F5D" w:rsidR="003A287B" w:rsidRPr="00075EA6" w:rsidRDefault="00AE6111" w:rsidP="00AE6111">
      <w:pPr>
        <w:pStyle w:val="Heading1"/>
        <w:rPr>
          <w:b w:val="0"/>
          <w:caps w:val="0"/>
          <w:sz w:val="20"/>
        </w:rPr>
      </w:pPr>
      <w:r w:rsidRPr="00AE6111">
        <w:t>Introduction</w:t>
      </w:r>
    </w:p>
    <w:p w14:paraId="03BD44D6" w14:textId="27F12388" w:rsidR="00576429" w:rsidRDefault="00576429" w:rsidP="009B01F8">
      <w:pPr>
        <w:pStyle w:val="Paragraph"/>
      </w:pPr>
      <w:r>
        <w:t>Infertility is a growing global health concern, affecting an estimated 8–12% of couples of reproductive age, with female factors contributing to nearly half of these cases</w:t>
      </w:r>
      <w:r w:rsidR="00037740">
        <w:t xml:space="preserve"> [1, 2]</w:t>
      </w:r>
      <w:r>
        <w:t xml:space="preserve">. The World Health Organization (WHO) defines infertility as the failure to achieve pregnancy after 12 months or more of regular unprotected intercourse </w:t>
      </w:r>
      <w:r w:rsidR="00037740">
        <w:t>[</w:t>
      </w:r>
      <w:r w:rsidR="009B01F8">
        <w:t>3</w:t>
      </w:r>
      <w:r w:rsidR="00037740">
        <w:t>]</w:t>
      </w:r>
      <w:r>
        <w:t>. While infertility is a universal condition, its prevalence and risk determinants vary considerably across regions due to demographic, environmental, genetic, and lifestyle factors</w:t>
      </w:r>
      <w:r w:rsidR="00037740">
        <w:t xml:space="preserve"> [4]</w:t>
      </w:r>
      <w:r>
        <w:t>.</w:t>
      </w:r>
    </w:p>
    <w:p w14:paraId="1E7702EE" w14:textId="5825CA98" w:rsidR="00B1000D" w:rsidRDefault="00576429" w:rsidP="009B01F8">
      <w:pPr>
        <w:pStyle w:val="Paragraph"/>
      </w:pPr>
      <w:r>
        <w:t>In Iraq, infertility represents a significant reproductive health burden, with reported prevalence ranging between 10–15% among married women of childbearing age</w:t>
      </w:r>
      <w:r w:rsidR="00037740">
        <w:t xml:space="preserve"> [5, 6]</w:t>
      </w:r>
      <w:r w:rsidR="00C77A78">
        <w:t>.</w:t>
      </w:r>
      <w:r>
        <w:t xml:space="preserve"> Several studies from different Iraqi governorates have identified diverse risk factors, including polycystic ovary syndrome (PCOS), tubal disorders, pelvic inflammatory disease (PID), hormonal imbalances such as hyperprolactinemia and thyroid dysfunction, as well as lifestyle-related contributors such as obesity and smoking </w:t>
      </w:r>
      <w:r w:rsidR="00037740">
        <w:t>[7, 8]</w:t>
      </w:r>
      <w:r w:rsidR="00C77A78">
        <w:t xml:space="preserve">. </w:t>
      </w:r>
      <w:r>
        <w:t>Importantly, the distribution of these risk factors shows regional variation within Iraq, reflecting differences in healthcare access, infection control, and lifestyle patterns</w:t>
      </w:r>
      <w:r w:rsidR="00037740">
        <w:t xml:space="preserve"> [9]</w:t>
      </w:r>
      <w:r>
        <w:t xml:space="preserve">. </w:t>
      </w:r>
      <w:r w:rsidR="006F7EBB">
        <w:t>This review aims</w:t>
      </w:r>
      <w:r>
        <w:t xml:space="preserve"> to explore the role of major risk factors in the development of infertility among Iraqi women. Specifically, it seeks to summarize the available local evidence on sociodemographic, lifestyle, hormonal, infectious, and anatomical contributors, while highlighting their prevalence, mechanisms of action, and regional variations across Iraq. By integrating findings from recent Iraqi studies with global literature, this review intends to provide a comprehensive understanding of infertility determinants in Iraqi females, thereby supporting clinicians, researchers, and policymakers in developing more targeted diagnostic and preventive strategies</w:t>
      </w:r>
      <w:r w:rsidR="001226B4">
        <w:t>.</w:t>
      </w:r>
    </w:p>
    <w:p w14:paraId="6208AC76" w14:textId="406BC722" w:rsidR="001226B4" w:rsidRPr="00075EA6" w:rsidRDefault="00576429" w:rsidP="003E6FF9">
      <w:pPr>
        <w:pStyle w:val="Heading1"/>
        <w:rPr>
          <w:b w:val="0"/>
          <w:caps w:val="0"/>
          <w:sz w:val="20"/>
        </w:rPr>
      </w:pPr>
      <w:r w:rsidRPr="00576429">
        <w:t>Risk Factors for Female Infertility in Iraq</w:t>
      </w:r>
    </w:p>
    <w:p w14:paraId="578753A5" w14:textId="215CAF92" w:rsidR="00725861" w:rsidRDefault="00576429" w:rsidP="009B01F8">
      <w:pPr>
        <w:pStyle w:val="Paragraph"/>
      </w:pPr>
      <w:r w:rsidRPr="00576429">
        <w:t xml:space="preserve">Infertility is a multifactorial condition resulting from a wide range of biological, anatomical, and lifestyle-related influences. Globally, nearly 10–15% of couples are affected, with female factors contributing to about half of the cases </w:t>
      </w:r>
      <w:r w:rsidR="00037740">
        <w:lastRenderedPageBreak/>
        <w:t>[10]</w:t>
      </w:r>
      <w:r w:rsidRPr="00576429">
        <w:t xml:space="preserve">. The classification of risk factors is essential to understanding both the etiology and management of infertility, as it encompasses hormonal, ovulatory, structural, infectious, and unexplained categories </w:t>
      </w:r>
      <w:r w:rsidR="00037740">
        <w:t>[11]</w:t>
      </w:r>
      <w:r w:rsidRPr="00576429">
        <w:t xml:space="preserve">. In Iraq, infertility represents a growing public health challenge, with reported prevalence rates ranging from 10% to 15% among women of reproductive age </w:t>
      </w:r>
      <w:r w:rsidR="00037740">
        <w:t>[</w:t>
      </w:r>
      <w:r w:rsidR="003E2CBA">
        <w:t>12, 13</w:t>
      </w:r>
      <w:r w:rsidR="00037740">
        <w:t>]</w:t>
      </w:r>
      <w:r w:rsidRPr="00576429">
        <w:t>. Recent local studies have highlighted that risk factors vary considerably across regions, reflecting differences in healthcare access, cultural practices, and environmental exposures. Therefore, reviewing these factors within the Iraqi context provides critical insights into their relative contributions and offers guidance for improved diagnostic and therapeutic strategies (Table 1)</w:t>
      </w:r>
      <w:r w:rsidR="003E6FF9">
        <w:t>.</w:t>
      </w:r>
      <w:r w:rsidR="00725861">
        <w:t xml:space="preserve"> </w:t>
      </w:r>
    </w:p>
    <w:p w14:paraId="4024EC21" w14:textId="0BD14BCB" w:rsidR="00155B67" w:rsidRPr="00075EA6" w:rsidRDefault="00576429" w:rsidP="003E6FF9">
      <w:pPr>
        <w:pStyle w:val="Heading2"/>
      </w:pPr>
      <w:r w:rsidRPr="00576429">
        <w:rPr>
          <w:bCs/>
        </w:rPr>
        <w:t>S</w:t>
      </w:r>
      <w:r w:rsidR="00C34CE8">
        <w:rPr>
          <w:bCs/>
        </w:rPr>
        <w:t>OCIODEMOGRAPHIC FACTORS</w:t>
      </w:r>
    </w:p>
    <w:p w14:paraId="6383771E" w14:textId="3110AFE2" w:rsidR="00155B67" w:rsidRPr="00075EA6" w:rsidRDefault="00576429" w:rsidP="00502C4B">
      <w:pPr>
        <w:pStyle w:val="Paragraph"/>
      </w:pPr>
      <w:r w:rsidRPr="00576429">
        <w:t xml:space="preserve">Sociodemographic characteristics play an important role in infertility, as age, socioeconomic status, and cultural practices strongly influence reproductive health outcomes. Globally, advanced maternal age is recognized as a key determinant of infertility, with a marked decline in fertility potential after the age of 35 years </w:t>
      </w:r>
      <w:r w:rsidR="003E2CBA">
        <w:t>[14</w:t>
      </w:r>
      <w:r w:rsidR="00037740">
        <w:t>]</w:t>
      </w:r>
      <w:r w:rsidRPr="00576429">
        <w:t>. Iraqi local studies have emphasized the significance of these factors. Ahmed &amp; Othman</w:t>
      </w:r>
      <w:r w:rsidR="003E2CBA">
        <w:t xml:space="preserve"> [15</w:t>
      </w:r>
      <w:r w:rsidR="00302449">
        <w:t>]</w:t>
      </w:r>
      <w:r w:rsidRPr="00576429">
        <w:t xml:space="preserve"> reported that the majority of infertile women in Kirkuk were within the 25–36 years age group, indicating that infertility affects women during their peak reproductive years. It was observed that low educational attainment and rural residence were associated with higher infertility rates in </w:t>
      </w:r>
      <w:r w:rsidR="00E91EB6">
        <w:t xml:space="preserve">the </w:t>
      </w:r>
      <w:r w:rsidRPr="00576429">
        <w:t xml:space="preserve">Najaf government </w:t>
      </w:r>
      <w:r w:rsidR="003E2CBA">
        <w:t>[16</w:t>
      </w:r>
      <w:r w:rsidR="00302449">
        <w:t>]</w:t>
      </w:r>
      <w:r w:rsidR="00223616">
        <w:t xml:space="preserve">. </w:t>
      </w:r>
      <w:r w:rsidRPr="00576429">
        <w:t xml:space="preserve">Similarly, a study in </w:t>
      </w:r>
      <w:r w:rsidR="00E91EB6">
        <w:t>the Babylon government</w:t>
      </w:r>
      <w:r w:rsidRPr="00576429">
        <w:t xml:space="preserve"> study highlighted the role of consanguineous marriage, which accounted for a substantial proportion of infertile couples, reflecting cultural traditions that may increase the risk of genetic and reproductive disorders </w:t>
      </w:r>
      <w:r w:rsidR="003E2CBA">
        <w:t>[17</w:t>
      </w:r>
      <w:r w:rsidR="00302449">
        <w:t>]</w:t>
      </w:r>
      <w:r w:rsidR="00223616">
        <w:t xml:space="preserve">. </w:t>
      </w:r>
      <w:r w:rsidRPr="00576429">
        <w:t xml:space="preserve">Moreover, socioeconomic challenges and limited access to specialized infertility care were reported as additional barriers, particularly in rural settings </w:t>
      </w:r>
      <w:r w:rsidR="003E2CBA">
        <w:t>[12, 13</w:t>
      </w:r>
      <w:r w:rsidR="00302449">
        <w:t>]</w:t>
      </w:r>
      <w:r w:rsidRPr="00576429">
        <w:t>. Collectively, these findings suggest that beyond biological causes, sociodemographic conditions significantly shape the burden and distribution of infertility among Iraqi women</w:t>
      </w:r>
      <w:r w:rsidR="003E2CBA">
        <w:t xml:space="preserve"> [18</w:t>
      </w:r>
      <w:r w:rsidR="00302449">
        <w:t>]</w:t>
      </w:r>
      <w:r w:rsidR="003E6FF9" w:rsidRPr="003E6FF9">
        <w:t>.</w:t>
      </w:r>
    </w:p>
    <w:p w14:paraId="457D9E87" w14:textId="050D7F49" w:rsidR="00616F3B" w:rsidRPr="00075EA6" w:rsidRDefault="00576429" w:rsidP="003E6FF9">
      <w:pPr>
        <w:pStyle w:val="Heading2"/>
      </w:pPr>
      <w:r w:rsidRPr="00576429">
        <w:rPr>
          <w:bCs/>
        </w:rPr>
        <w:t>H</w:t>
      </w:r>
      <w:r w:rsidR="00C34CE8">
        <w:rPr>
          <w:bCs/>
        </w:rPr>
        <w:t>ORMONAL FACTORS</w:t>
      </w:r>
    </w:p>
    <w:p w14:paraId="0E1EA587" w14:textId="385D925B" w:rsidR="00616F3B" w:rsidRDefault="00576429" w:rsidP="00502C4B">
      <w:pPr>
        <w:pStyle w:val="Paragraph"/>
      </w:pPr>
      <w:r w:rsidRPr="00576429">
        <w:t xml:space="preserve">Hormonal disorders are among the leading contributors to female infertility worldwide, often resulting in ovulatory dysfunction, menstrual irregularities, and impaired follicular development </w:t>
      </w:r>
      <w:r w:rsidR="00302449">
        <w:t>[11]</w:t>
      </w:r>
      <w:r w:rsidRPr="00576429">
        <w:t xml:space="preserve">. In Iraq, several studies confirm the prominent role of these disorders. Ahmed and Othman </w:t>
      </w:r>
      <w:r w:rsidR="003E2CBA">
        <w:t>[15</w:t>
      </w:r>
      <w:r w:rsidR="00331C14">
        <w:t>]</w:t>
      </w:r>
      <w:r w:rsidR="00D36BEA">
        <w:t xml:space="preserve"> </w:t>
      </w:r>
      <w:r w:rsidRPr="00576429">
        <w:t xml:space="preserve">reported hormonal disturbances in 15.2% of infertile women in Kirkuk, while Hussam et al. </w:t>
      </w:r>
      <w:r w:rsidR="003E2CBA">
        <w:t xml:space="preserve"> [19</w:t>
      </w:r>
      <w:r w:rsidR="00302449">
        <w:t>]</w:t>
      </w:r>
      <w:r w:rsidR="00D36BEA">
        <w:t xml:space="preserve"> </w:t>
      </w:r>
      <w:r w:rsidRPr="00576429">
        <w:t xml:space="preserve">found 3.48% in Baghdad. Within this group, polycystic ovary syndrome (PCOS) is the most frequent cause, ranging from 21% in Babylon </w:t>
      </w:r>
      <w:r w:rsidR="003E2CBA">
        <w:t>[17</w:t>
      </w:r>
      <w:r w:rsidR="00302449">
        <w:t>]</w:t>
      </w:r>
      <w:r w:rsidR="00D36BEA">
        <w:t xml:space="preserve"> </w:t>
      </w:r>
      <w:r w:rsidRPr="00576429">
        <w:t xml:space="preserve">to 53.3% in Diyala </w:t>
      </w:r>
      <w:r w:rsidR="00302449">
        <w:t>[</w:t>
      </w:r>
      <w:r w:rsidR="003E2CBA">
        <w:t>20</w:t>
      </w:r>
      <w:r w:rsidR="00302449">
        <w:t>]</w:t>
      </w:r>
      <w:r w:rsidRPr="00576429">
        <w:t xml:space="preserve">. Other endocrine factors include hypothyroidism (0.7–4%), hyperprolactinemia (5.9%), hypogonadism (2.1%), and hormonal deficiency (49.9%) </w:t>
      </w:r>
      <w:r w:rsidR="00302449">
        <w:t>[</w:t>
      </w:r>
      <w:r w:rsidR="003E2CBA">
        <w:t>12</w:t>
      </w:r>
      <w:r w:rsidR="00D36BEA">
        <w:t>,</w:t>
      </w:r>
      <w:r w:rsidR="003E2CBA">
        <w:t xml:space="preserve"> 19, 21</w:t>
      </w:r>
      <w:r w:rsidR="00302449">
        <w:t>]</w:t>
      </w:r>
      <w:r w:rsidRPr="00576429">
        <w:t>. These findings reflect both the diversity and high burden of endocrine disorders in the Iraqi population.</w:t>
      </w:r>
    </w:p>
    <w:p w14:paraId="512346CF" w14:textId="39944845" w:rsidR="00576429" w:rsidRPr="00075EA6" w:rsidRDefault="00576429" w:rsidP="00576429">
      <w:pPr>
        <w:pStyle w:val="Heading2"/>
      </w:pPr>
      <w:r w:rsidRPr="00576429">
        <w:rPr>
          <w:bCs/>
        </w:rPr>
        <w:t>O</w:t>
      </w:r>
      <w:r w:rsidR="008840B3">
        <w:rPr>
          <w:bCs/>
        </w:rPr>
        <w:t>VULATORY AND MENSTRUAL FACTORS</w:t>
      </w:r>
      <w:r w:rsidRPr="00576429">
        <w:rPr>
          <w:bCs/>
        </w:rPr>
        <w:t xml:space="preserve"> </w:t>
      </w:r>
    </w:p>
    <w:p w14:paraId="48C0E391" w14:textId="5D7A266A" w:rsidR="00616F3B" w:rsidRPr="00075EA6" w:rsidRDefault="00576429" w:rsidP="00502C4B">
      <w:pPr>
        <w:pStyle w:val="Paragraph"/>
      </w:pPr>
      <w:r w:rsidRPr="00576429">
        <w:t xml:space="preserve">Regular ovulation is essential for fertility, and disturbances in the hypothalamic-pituitary-ovarian axis can lead to infertility </w:t>
      </w:r>
      <w:r w:rsidR="003E2CBA">
        <w:t>[22</w:t>
      </w:r>
      <w:r w:rsidR="00302449">
        <w:t>]</w:t>
      </w:r>
      <w:r w:rsidRPr="00576429">
        <w:t xml:space="preserve">. In Iraq, ovulatory and menstrual problems are highly prevalent. Menstrual disorders were found in 33% of cases in Kirkuk </w:t>
      </w:r>
      <w:r w:rsidR="003E2CBA">
        <w:t>[15</w:t>
      </w:r>
      <w:r w:rsidR="00302449">
        <w:t>]</w:t>
      </w:r>
      <w:r w:rsidR="005E2143">
        <w:t xml:space="preserve"> </w:t>
      </w:r>
      <w:r w:rsidRPr="00576429">
        <w:t>and 66% in Najaf</w:t>
      </w:r>
      <w:r w:rsidR="003E2CBA">
        <w:t xml:space="preserve"> [16</w:t>
      </w:r>
      <w:r w:rsidR="00302449">
        <w:t>]</w:t>
      </w:r>
      <w:r w:rsidR="00502C4B">
        <w:t xml:space="preserve">. </w:t>
      </w:r>
      <w:r w:rsidRPr="00576429">
        <w:t>Ovulation problems varied considerably, from 8% in Diyala</w:t>
      </w:r>
      <w:r w:rsidR="003E2CBA">
        <w:t xml:space="preserve"> [20</w:t>
      </w:r>
      <w:r w:rsidR="00302449">
        <w:t>]</w:t>
      </w:r>
      <w:r w:rsidRPr="00576429">
        <w:t xml:space="preserve"> to 56.1% in Baghdad </w:t>
      </w:r>
      <w:r w:rsidR="003E2CBA">
        <w:t>[19</w:t>
      </w:r>
      <w:r w:rsidR="00302449">
        <w:t>]</w:t>
      </w:r>
      <w:r w:rsidRPr="00576429">
        <w:t xml:space="preserve">, with 13% in Babylon </w:t>
      </w:r>
      <w:r w:rsidR="003E2CBA">
        <w:t>[17</w:t>
      </w:r>
      <w:r w:rsidR="00302449">
        <w:t>]</w:t>
      </w:r>
      <w:r w:rsidRPr="00576429">
        <w:t xml:space="preserve">. Reduced ovarian reserve was observed in 20% of women in </w:t>
      </w:r>
      <w:proofErr w:type="spellStart"/>
      <w:r w:rsidRPr="00576429">
        <w:t>Thi-Qar</w:t>
      </w:r>
      <w:proofErr w:type="spellEnd"/>
      <w:r w:rsidRPr="00576429">
        <w:t xml:space="preserve"> </w:t>
      </w:r>
      <w:r w:rsidR="00302449">
        <w:t>[24]</w:t>
      </w:r>
      <w:r w:rsidRPr="00576429">
        <w:t>. These findings emphasize ovulatory dysfunction as a central contributor to infertility in Iraqi women</w:t>
      </w:r>
      <w:r w:rsidR="008840B3">
        <w:t xml:space="preserve">, </w:t>
      </w:r>
      <w:r w:rsidR="00B57FDC">
        <w:t>Kirby Bauer disk diffusion m</w:t>
      </w:r>
      <w:r w:rsidR="00B57FDC" w:rsidRPr="00B57FDC">
        <w:t>ethod</w:t>
      </w:r>
    </w:p>
    <w:p w14:paraId="7E1D4776" w14:textId="2070EE77" w:rsidR="00B57FDC" w:rsidRPr="00075EA6" w:rsidRDefault="00576429" w:rsidP="00B57FDC">
      <w:pPr>
        <w:pStyle w:val="Heading2"/>
      </w:pPr>
      <w:r w:rsidRPr="00576429">
        <w:rPr>
          <w:bCs/>
        </w:rPr>
        <w:t>S</w:t>
      </w:r>
      <w:r w:rsidR="008840B3">
        <w:rPr>
          <w:bCs/>
        </w:rPr>
        <w:t>TRUCTURAL AND ANATOMICAL FACTORS</w:t>
      </w:r>
      <w:r w:rsidRPr="00576429">
        <w:rPr>
          <w:bCs/>
        </w:rPr>
        <w:t xml:space="preserve"> </w:t>
      </w:r>
    </w:p>
    <w:p w14:paraId="444B847C" w14:textId="4A6EB483" w:rsidR="00B57FDC" w:rsidRDefault="00576429" w:rsidP="00F700FC">
      <w:pPr>
        <w:pStyle w:val="Paragraph"/>
      </w:pPr>
      <w:r w:rsidRPr="00576429">
        <w:t xml:space="preserve">Structural abnormalities of the female reproductive tract, including tubal occlusion, uterine malformations, and fibroids, are well-known contributors to infertility worldwide </w:t>
      </w:r>
      <w:r w:rsidR="003E2CBA">
        <w:t>[24, 25</w:t>
      </w:r>
      <w:r w:rsidR="00302449">
        <w:t>]</w:t>
      </w:r>
      <w:r w:rsidRPr="00576429">
        <w:t xml:space="preserve">. In Iraq, tubal disorders show wide variation, with prevalence ranging from 3.2% in Kirkuk </w:t>
      </w:r>
      <w:r w:rsidR="003E2CBA">
        <w:t>[15</w:t>
      </w:r>
      <w:r w:rsidR="00302449">
        <w:t>]</w:t>
      </w:r>
      <w:r w:rsidR="00FB2759">
        <w:t xml:space="preserve"> </w:t>
      </w:r>
      <w:r w:rsidRPr="00576429">
        <w:t xml:space="preserve">to 61.7% in Baghdad </w:t>
      </w:r>
      <w:r w:rsidR="003E2CBA">
        <w:t>[26</w:t>
      </w:r>
      <w:r w:rsidR="00302449">
        <w:t>]</w:t>
      </w:r>
      <w:r w:rsidRPr="00576429">
        <w:t>, while intermediate values of 5–15% were recorded in Diyala, Baghdad, and Najaf</w:t>
      </w:r>
      <w:r w:rsidR="00302449">
        <w:t xml:space="preserve"> [17, 21, 28]</w:t>
      </w:r>
      <w:r w:rsidRPr="00576429">
        <w:t xml:space="preserve">. Uterine factors were less frequent, reported at 1.4–7.4%, but fibroids were particularly common in Babylon, affecting 26% of infertile women </w:t>
      </w:r>
      <w:r w:rsidR="003E2CBA">
        <w:t>[17</w:t>
      </w:r>
      <w:r w:rsidR="00302449">
        <w:t>]</w:t>
      </w:r>
      <w:r w:rsidRPr="00576429">
        <w:t xml:space="preserve">. Endometriosis and endometrioma were reported in 2–12% and \~1% of cases, respectively </w:t>
      </w:r>
      <w:r w:rsidR="003E2CBA">
        <w:t>[17, 28</w:t>
      </w:r>
      <w:r w:rsidR="00AE2EA6">
        <w:t>]</w:t>
      </w:r>
      <w:r w:rsidRPr="00576429">
        <w:t>. These findings suggest that structural causes remain clinically significant in Iraqi infertility</w:t>
      </w:r>
      <w:r w:rsidR="00B57FDC" w:rsidRPr="00B57FDC">
        <w:t>.</w:t>
      </w:r>
    </w:p>
    <w:p w14:paraId="5FEE2624" w14:textId="1B4C02A9" w:rsidR="00B57FDC" w:rsidRPr="00075EA6" w:rsidRDefault="00576429" w:rsidP="00B57FDC">
      <w:pPr>
        <w:pStyle w:val="Heading2"/>
      </w:pPr>
      <w:r w:rsidRPr="00576429">
        <w:rPr>
          <w:bCs/>
        </w:rPr>
        <w:lastRenderedPageBreak/>
        <w:t>I</w:t>
      </w:r>
      <w:r w:rsidR="00305603">
        <w:rPr>
          <w:bCs/>
        </w:rPr>
        <w:t>NFECTIOUS FACTORS</w:t>
      </w:r>
    </w:p>
    <w:p w14:paraId="4E3A1695" w14:textId="3AB92ED1" w:rsidR="00B57FDC" w:rsidRDefault="00576429" w:rsidP="003E2CBA">
      <w:pPr>
        <w:pStyle w:val="Paragraph"/>
      </w:pPr>
      <w:r w:rsidRPr="00576429">
        <w:t>Infections of the reproductive tract, if untreated, can result in pelvic inflammatory disease (PID), tubal occlusion, and subsequent infertility</w:t>
      </w:r>
      <w:r w:rsidR="00AE2EA6">
        <w:t xml:space="preserve"> [</w:t>
      </w:r>
      <w:r w:rsidR="003E2CBA">
        <w:t>29</w:t>
      </w:r>
      <w:r w:rsidR="00AE2EA6">
        <w:t>]</w:t>
      </w:r>
      <w:r w:rsidRPr="00576429">
        <w:t xml:space="preserve">. In the Iraqi context, infections are a major concern. Pelvic inflammatory disease accounted for 10% of infertility in Najaf </w:t>
      </w:r>
      <w:r w:rsidR="003E2CBA">
        <w:t>[16</w:t>
      </w:r>
      <w:r w:rsidR="00AE2EA6">
        <w:t>]</w:t>
      </w:r>
      <w:r w:rsidRPr="00576429">
        <w:t>, while microbial infections were reported in 34.3% of infertile women in Baghdad</w:t>
      </w:r>
      <w:r w:rsidR="003E2CBA">
        <w:t xml:space="preserve"> [27</w:t>
      </w:r>
      <w:r w:rsidR="00AE2EA6">
        <w:t>]</w:t>
      </w:r>
      <w:r w:rsidRPr="00576429">
        <w:t xml:space="preserve">. In addition, fallopian tube–related disorders associated with infection were reported in 4–10% of cases in </w:t>
      </w:r>
      <w:proofErr w:type="spellStart"/>
      <w:r w:rsidRPr="00576429">
        <w:t>Thi-Qar</w:t>
      </w:r>
      <w:proofErr w:type="spellEnd"/>
      <w:r w:rsidRPr="00576429">
        <w:t xml:space="preserve"> and Babylon </w:t>
      </w:r>
      <w:r w:rsidR="00AE2EA6">
        <w:t>[</w:t>
      </w:r>
      <w:r w:rsidR="00E958D8">
        <w:t>1</w:t>
      </w:r>
      <w:r w:rsidR="003E2CBA">
        <w:t>7, 23</w:t>
      </w:r>
      <w:r w:rsidR="00AE2EA6">
        <w:t>]</w:t>
      </w:r>
      <w:r w:rsidRPr="00576429">
        <w:t>. These findings highlight the ongoing burden of infection-related infertility in Iraq</w:t>
      </w:r>
      <w:r>
        <w:t>.</w:t>
      </w:r>
    </w:p>
    <w:p w14:paraId="21914B08" w14:textId="6676A01D" w:rsidR="00B57FDC" w:rsidRPr="00075EA6" w:rsidRDefault="00576429" w:rsidP="00B57FDC">
      <w:pPr>
        <w:pStyle w:val="Heading2"/>
      </w:pPr>
      <w:r w:rsidRPr="00576429">
        <w:rPr>
          <w:bCs/>
        </w:rPr>
        <w:t>U</w:t>
      </w:r>
      <w:r w:rsidR="00EA4D2F">
        <w:rPr>
          <w:bCs/>
        </w:rPr>
        <w:t>NEXPLAINED INFERTILITY</w:t>
      </w:r>
    </w:p>
    <w:p w14:paraId="5DF823BB" w14:textId="096A009E" w:rsidR="00B57FDC" w:rsidRDefault="00576429" w:rsidP="0064255F">
      <w:pPr>
        <w:pStyle w:val="Paragraph"/>
      </w:pPr>
      <w:r w:rsidRPr="00576429">
        <w:t xml:space="preserve">Despite advances in diagnostics, a proportion of infertility cases remain unexplained, which globally accounts for about 10–20% of cases </w:t>
      </w:r>
      <w:r w:rsidR="00AE2EA6">
        <w:t>[10]</w:t>
      </w:r>
      <w:r w:rsidRPr="00576429">
        <w:t xml:space="preserve">. In Iraq, unexplained infertility was reported in 6% of cases in </w:t>
      </w:r>
      <w:proofErr w:type="spellStart"/>
      <w:r w:rsidRPr="00576429">
        <w:t>Thi-Qar</w:t>
      </w:r>
      <w:proofErr w:type="spellEnd"/>
      <w:r w:rsidRPr="00576429">
        <w:t xml:space="preserve"> </w:t>
      </w:r>
      <w:r w:rsidR="00AE2EA6">
        <w:t>[</w:t>
      </w:r>
      <w:r w:rsidR="003E2CBA">
        <w:t>23</w:t>
      </w:r>
      <w:r w:rsidR="00AE2EA6">
        <w:t>]</w:t>
      </w:r>
      <w:r w:rsidR="0064255F">
        <w:t xml:space="preserve"> </w:t>
      </w:r>
      <w:r w:rsidRPr="00576429">
        <w:t xml:space="preserve">and 10% in Baghdad </w:t>
      </w:r>
      <w:r w:rsidR="003E2CBA">
        <w:t>[27</w:t>
      </w:r>
      <w:r w:rsidR="00AE2EA6">
        <w:t>]</w:t>
      </w:r>
      <w:r w:rsidRPr="00576429">
        <w:t>. These unexplained cases point to the limitations of routine investigations in Iraq and the need for advanced diagnostic modalities such as genetic and immunological testing</w:t>
      </w:r>
      <w:r w:rsidR="00B57FDC" w:rsidRPr="00B57FDC">
        <w:t>.</w:t>
      </w:r>
    </w:p>
    <w:p w14:paraId="70A4D52D" w14:textId="0D5A2750" w:rsidR="005D35D6" w:rsidRPr="00075EA6" w:rsidRDefault="00DF2717" w:rsidP="005D35D6">
      <w:pPr>
        <w:pStyle w:val="Heading2"/>
      </w:pPr>
      <w:r>
        <w:rPr>
          <w:bCs/>
        </w:rPr>
        <w:t>T</w:t>
      </w:r>
      <w:r w:rsidR="001936FD">
        <w:rPr>
          <w:bCs/>
        </w:rPr>
        <w:t>HE</w:t>
      </w:r>
      <w:r>
        <w:rPr>
          <w:bCs/>
        </w:rPr>
        <w:t xml:space="preserve"> C</w:t>
      </w:r>
      <w:r w:rsidR="001936FD">
        <w:rPr>
          <w:bCs/>
        </w:rPr>
        <w:t>ONTRIBUTORY FACTORS</w:t>
      </w:r>
    </w:p>
    <w:p w14:paraId="2F8ADD78" w14:textId="7C40A27B" w:rsidR="00AE1017" w:rsidRDefault="00576429" w:rsidP="003E2CBA">
      <w:pPr>
        <w:pStyle w:val="Paragraph"/>
      </w:pPr>
      <w:r>
        <w:t xml:space="preserve">In addition to the major categories of infertility determinants, several other contributory factors have been identified in Iraqi studies. Metabolic and lifestyle factors, particularly obesity and insulin resistance, exacerbate hormonal disturbances and ovulatory dysfunction. While frequently studied under PCOS, these risk factors also contribute independently to infertility by disrupting glucose and lipid metabolism </w:t>
      </w:r>
      <w:r w:rsidR="00AE2EA6">
        <w:t>[</w:t>
      </w:r>
      <w:r w:rsidR="003E2CBA">
        <w:t>19, 30</w:t>
      </w:r>
      <w:r w:rsidR="00AE2EA6">
        <w:t>]</w:t>
      </w:r>
      <w:r>
        <w:t>.</w:t>
      </w:r>
    </w:p>
    <w:p w14:paraId="41392163" w14:textId="77777777" w:rsidR="005A2F15" w:rsidRDefault="005A2F15" w:rsidP="003E2CBA">
      <w:pPr>
        <w:pStyle w:val="Paragraph"/>
      </w:pPr>
    </w:p>
    <w:tbl>
      <w:tblPr>
        <w:tblStyle w:val="TableGrid"/>
        <w:tblW w:w="8913" w:type="dxa"/>
        <w:tblInd w:w="360" w:type="dxa"/>
        <w:tblBorders>
          <w:left w:val="none" w:sz="0" w:space="0" w:color="auto"/>
          <w:right w:val="none" w:sz="0" w:space="0" w:color="auto"/>
          <w:insideH w:val="none" w:sz="0" w:space="0" w:color="auto"/>
        </w:tblBorders>
        <w:tblLook w:val="04A0" w:firstRow="1" w:lastRow="0" w:firstColumn="1" w:lastColumn="0" w:noHBand="0" w:noVBand="1"/>
      </w:tblPr>
      <w:tblGrid>
        <w:gridCol w:w="1958"/>
        <w:gridCol w:w="3778"/>
        <w:gridCol w:w="1493"/>
        <w:gridCol w:w="1684"/>
      </w:tblGrid>
      <w:tr w:rsidR="0031565B" w:rsidRPr="00845C64" w14:paraId="169A79A7" w14:textId="77777777" w:rsidTr="00115135">
        <w:trPr>
          <w:trHeight w:val="140"/>
        </w:trPr>
        <w:tc>
          <w:tcPr>
            <w:tcW w:w="0" w:type="auto"/>
            <w:gridSpan w:val="4"/>
            <w:tcBorders>
              <w:top w:val="nil"/>
              <w:bottom w:val="single" w:sz="4" w:space="0" w:color="auto"/>
            </w:tcBorders>
          </w:tcPr>
          <w:p w14:paraId="2553B02D" w14:textId="2B47B631" w:rsidR="0031565B" w:rsidRPr="00845C64" w:rsidRDefault="0031565B" w:rsidP="0031565B">
            <w:pPr>
              <w:jc w:val="center"/>
              <w:rPr>
                <w:sz w:val="18"/>
                <w:szCs w:val="18"/>
              </w:rPr>
            </w:pPr>
            <w:r w:rsidRPr="00845C64">
              <w:rPr>
                <w:b/>
                <w:bCs/>
                <w:color w:val="000000" w:themeColor="text1"/>
                <w:sz w:val="18"/>
                <w:szCs w:val="18"/>
              </w:rPr>
              <w:t>TABLE 1.</w:t>
            </w:r>
            <w:r w:rsidRPr="00845C64">
              <w:rPr>
                <w:sz w:val="18"/>
                <w:szCs w:val="18"/>
              </w:rPr>
              <w:t xml:space="preserve"> Risk factors of female infertility in Iraq (Based on local studies)</w:t>
            </w:r>
          </w:p>
        </w:tc>
      </w:tr>
      <w:tr w:rsidR="00461A39" w:rsidRPr="00845C64" w14:paraId="6F76A8F3" w14:textId="77777777" w:rsidTr="00115135">
        <w:trPr>
          <w:trHeight w:val="271"/>
        </w:trPr>
        <w:tc>
          <w:tcPr>
            <w:tcW w:w="0" w:type="auto"/>
            <w:tcBorders>
              <w:top w:val="single" w:sz="4" w:space="0" w:color="auto"/>
              <w:bottom w:val="single" w:sz="4" w:space="0" w:color="auto"/>
              <w:right w:val="nil"/>
            </w:tcBorders>
          </w:tcPr>
          <w:p w14:paraId="5E32B33D" w14:textId="77777777" w:rsidR="0031565B" w:rsidRPr="00845C64" w:rsidRDefault="0031565B" w:rsidP="0031565B">
            <w:pPr>
              <w:jc w:val="center"/>
              <w:rPr>
                <w:sz w:val="18"/>
                <w:szCs w:val="18"/>
              </w:rPr>
            </w:pPr>
            <w:r w:rsidRPr="00845C64">
              <w:rPr>
                <w:sz w:val="18"/>
                <w:szCs w:val="18"/>
              </w:rPr>
              <w:t>Risk Factor</w:t>
            </w:r>
          </w:p>
        </w:tc>
        <w:tc>
          <w:tcPr>
            <w:tcW w:w="0" w:type="auto"/>
            <w:tcBorders>
              <w:top w:val="single" w:sz="4" w:space="0" w:color="auto"/>
              <w:left w:val="nil"/>
              <w:bottom w:val="single" w:sz="4" w:space="0" w:color="auto"/>
              <w:right w:val="nil"/>
            </w:tcBorders>
          </w:tcPr>
          <w:p w14:paraId="5A13242B" w14:textId="77777777" w:rsidR="0031565B" w:rsidRPr="00845C64" w:rsidRDefault="0031565B" w:rsidP="0031565B">
            <w:pPr>
              <w:jc w:val="center"/>
              <w:rPr>
                <w:sz w:val="18"/>
                <w:szCs w:val="18"/>
              </w:rPr>
            </w:pPr>
            <w:r w:rsidRPr="00845C64">
              <w:rPr>
                <w:sz w:val="18"/>
                <w:szCs w:val="18"/>
              </w:rPr>
              <w:t>References</w:t>
            </w:r>
          </w:p>
        </w:tc>
        <w:tc>
          <w:tcPr>
            <w:tcW w:w="0" w:type="auto"/>
            <w:tcBorders>
              <w:top w:val="single" w:sz="4" w:space="0" w:color="auto"/>
              <w:left w:val="nil"/>
              <w:bottom w:val="single" w:sz="4" w:space="0" w:color="auto"/>
              <w:right w:val="nil"/>
            </w:tcBorders>
          </w:tcPr>
          <w:p w14:paraId="2B5F6CE0" w14:textId="77777777" w:rsidR="0031565B" w:rsidRPr="00845C64" w:rsidRDefault="0031565B" w:rsidP="0031565B">
            <w:pPr>
              <w:jc w:val="center"/>
              <w:rPr>
                <w:sz w:val="18"/>
                <w:szCs w:val="18"/>
              </w:rPr>
            </w:pPr>
            <w:r w:rsidRPr="00845C64">
              <w:rPr>
                <w:sz w:val="18"/>
                <w:szCs w:val="18"/>
              </w:rPr>
              <w:t>Year(s)</w:t>
            </w:r>
          </w:p>
        </w:tc>
        <w:tc>
          <w:tcPr>
            <w:tcW w:w="0" w:type="auto"/>
            <w:tcBorders>
              <w:top w:val="single" w:sz="4" w:space="0" w:color="auto"/>
              <w:left w:val="nil"/>
              <w:bottom w:val="single" w:sz="4" w:space="0" w:color="auto"/>
            </w:tcBorders>
          </w:tcPr>
          <w:p w14:paraId="06E08C65" w14:textId="77777777" w:rsidR="0031565B" w:rsidRPr="00845C64" w:rsidRDefault="0031565B" w:rsidP="0031565B">
            <w:pPr>
              <w:jc w:val="center"/>
              <w:rPr>
                <w:sz w:val="18"/>
                <w:szCs w:val="18"/>
              </w:rPr>
            </w:pPr>
            <w:r w:rsidRPr="00845C64">
              <w:rPr>
                <w:sz w:val="18"/>
                <w:szCs w:val="18"/>
              </w:rPr>
              <w:t>Prevalence impact Ratio (%)</w:t>
            </w:r>
          </w:p>
        </w:tc>
      </w:tr>
      <w:tr w:rsidR="00AD37D3" w:rsidRPr="00845C64" w14:paraId="777AA585" w14:textId="77777777" w:rsidTr="00115135">
        <w:trPr>
          <w:trHeight w:val="140"/>
        </w:trPr>
        <w:tc>
          <w:tcPr>
            <w:tcW w:w="0" w:type="auto"/>
            <w:tcBorders>
              <w:top w:val="single" w:sz="4" w:space="0" w:color="auto"/>
              <w:right w:val="nil"/>
            </w:tcBorders>
          </w:tcPr>
          <w:p w14:paraId="363C5D33" w14:textId="77777777" w:rsidR="0031565B" w:rsidRPr="00845C64" w:rsidRDefault="0031565B" w:rsidP="0031565B">
            <w:pPr>
              <w:jc w:val="center"/>
              <w:rPr>
                <w:sz w:val="18"/>
                <w:szCs w:val="18"/>
              </w:rPr>
            </w:pPr>
            <w:r w:rsidRPr="00845C64">
              <w:rPr>
                <w:sz w:val="18"/>
                <w:szCs w:val="18"/>
              </w:rPr>
              <w:t>Hormonal disorder</w:t>
            </w:r>
          </w:p>
        </w:tc>
        <w:tc>
          <w:tcPr>
            <w:tcW w:w="0" w:type="auto"/>
            <w:tcBorders>
              <w:top w:val="single" w:sz="4" w:space="0" w:color="auto"/>
              <w:left w:val="nil"/>
              <w:right w:val="nil"/>
            </w:tcBorders>
          </w:tcPr>
          <w:p w14:paraId="44D04F29" w14:textId="2947EB76" w:rsidR="0031565B" w:rsidRPr="00845C64" w:rsidRDefault="0031565B" w:rsidP="00AD37D3">
            <w:pPr>
              <w:jc w:val="center"/>
              <w:rPr>
                <w:sz w:val="18"/>
                <w:szCs w:val="18"/>
              </w:rPr>
            </w:pPr>
            <w:r w:rsidRPr="00845C64">
              <w:rPr>
                <w:sz w:val="18"/>
                <w:szCs w:val="18"/>
              </w:rPr>
              <w:t>Ahmed &amp; Othman</w:t>
            </w:r>
            <w:r w:rsidR="003E2CBA">
              <w:rPr>
                <w:sz w:val="18"/>
                <w:szCs w:val="18"/>
              </w:rPr>
              <w:t xml:space="preserve"> [15</w:t>
            </w:r>
            <w:r w:rsidR="00AE2EA6">
              <w:rPr>
                <w:sz w:val="18"/>
                <w:szCs w:val="18"/>
              </w:rPr>
              <w:t>]</w:t>
            </w:r>
            <w:r w:rsidRPr="00845C64">
              <w:rPr>
                <w:sz w:val="18"/>
                <w:szCs w:val="18"/>
              </w:rPr>
              <w:t xml:space="preserve">; Hussam et al. </w:t>
            </w:r>
            <w:r w:rsidR="003E2CBA">
              <w:rPr>
                <w:sz w:val="18"/>
                <w:szCs w:val="18"/>
              </w:rPr>
              <w:t>[19</w:t>
            </w:r>
            <w:r w:rsidR="00AE2EA6">
              <w:rPr>
                <w:sz w:val="18"/>
                <w:szCs w:val="18"/>
              </w:rPr>
              <w:t>]</w:t>
            </w:r>
            <w:r w:rsidR="00E652B2">
              <w:rPr>
                <w:sz w:val="18"/>
                <w:szCs w:val="18"/>
              </w:rPr>
              <w:t xml:space="preserve"> </w:t>
            </w:r>
          </w:p>
        </w:tc>
        <w:tc>
          <w:tcPr>
            <w:tcW w:w="0" w:type="auto"/>
            <w:tcBorders>
              <w:top w:val="single" w:sz="4" w:space="0" w:color="auto"/>
              <w:left w:val="nil"/>
              <w:right w:val="nil"/>
            </w:tcBorders>
          </w:tcPr>
          <w:p w14:paraId="0679A560" w14:textId="77777777" w:rsidR="0031565B" w:rsidRPr="00845C64" w:rsidRDefault="0031565B" w:rsidP="0031565B">
            <w:pPr>
              <w:jc w:val="center"/>
              <w:rPr>
                <w:sz w:val="18"/>
                <w:szCs w:val="18"/>
              </w:rPr>
            </w:pPr>
            <w:r w:rsidRPr="00845C64">
              <w:rPr>
                <w:sz w:val="18"/>
                <w:szCs w:val="18"/>
              </w:rPr>
              <w:t>2016; 2023</w:t>
            </w:r>
          </w:p>
        </w:tc>
        <w:tc>
          <w:tcPr>
            <w:tcW w:w="0" w:type="auto"/>
            <w:tcBorders>
              <w:top w:val="single" w:sz="4" w:space="0" w:color="auto"/>
              <w:left w:val="nil"/>
            </w:tcBorders>
          </w:tcPr>
          <w:p w14:paraId="03CA0050" w14:textId="77777777" w:rsidR="0031565B" w:rsidRPr="00845C64" w:rsidRDefault="0031565B" w:rsidP="0031565B">
            <w:pPr>
              <w:jc w:val="center"/>
              <w:rPr>
                <w:sz w:val="18"/>
                <w:szCs w:val="18"/>
              </w:rPr>
            </w:pPr>
            <w:r w:rsidRPr="00845C64">
              <w:rPr>
                <w:sz w:val="18"/>
                <w:szCs w:val="18"/>
              </w:rPr>
              <w:t>15.2%; 3.48%</w:t>
            </w:r>
          </w:p>
        </w:tc>
      </w:tr>
      <w:tr w:rsidR="00AD37D3" w:rsidRPr="00845C64" w14:paraId="0BF6A1B9" w14:textId="77777777" w:rsidTr="00115135">
        <w:trPr>
          <w:trHeight w:val="271"/>
        </w:trPr>
        <w:tc>
          <w:tcPr>
            <w:tcW w:w="0" w:type="auto"/>
            <w:tcBorders>
              <w:right w:val="nil"/>
            </w:tcBorders>
          </w:tcPr>
          <w:p w14:paraId="372CE2D1" w14:textId="77777777" w:rsidR="0031565B" w:rsidRPr="00845C64" w:rsidRDefault="0031565B" w:rsidP="0031565B">
            <w:pPr>
              <w:jc w:val="center"/>
              <w:rPr>
                <w:sz w:val="18"/>
                <w:szCs w:val="18"/>
              </w:rPr>
            </w:pPr>
            <w:r w:rsidRPr="00845C64">
              <w:rPr>
                <w:sz w:val="18"/>
                <w:szCs w:val="18"/>
              </w:rPr>
              <w:t>Miscarriage history</w:t>
            </w:r>
          </w:p>
        </w:tc>
        <w:tc>
          <w:tcPr>
            <w:tcW w:w="0" w:type="auto"/>
            <w:tcBorders>
              <w:left w:val="nil"/>
              <w:right w:val="nil"/>
            </w:tcBorders>
          </w:tcPr>
          <w:p w14:paraId="50063D5F" w14:textId="78EBAA39" w:rsidR="0031565B" w:rsidRPr="00845C64" w:rsidRDefault="0031565B" w:rsidP="00AD37D3">
            <w:pPr>
              <w:jc w:val="center"/>
              <w:rPr>
                <w:sz w:val="18"/>
                <w:szCs w:val="18"/>
              </w:rPr>
            </w:pPr>
            <w:r w:rsidRPr="00845C64">
              <w:rPr>
                <w:sz w:val="18"/>
                <w:szCs w:val="18"/>
              </w:rPr>
              <w:t xml:space="preserve">Ahmed &amp; </w:t>
            </w:r>
            <w:r w:rsidR="0054048B" w:rsidRPr="00845C64">
              <w:rPr>
                <w:sz w:val="18"/>
                <w:szCs w:val="18"/>
              </w:rPr>
              <w:t xml:space="preserve">Othman </w:t>
            </w:r>
            <w:r w:rsidR="003E2CBA">
              <w:rPr>
                <w:sz w:val="18"/>
                <w:szCs w:val="18"/>
              </w:rPr>
              <w:t>[15</w:t>
            </w:r>
            <w:r w:rsidR="00AE2EA6">
              <w:rPr>
                <w:sz w:val="18"/>
                <w:szCs w:val="18"/>
              </w:rPr>
              <w:t>]</w:t>
            </w:r>
            <w:r w:rsidRPr="00845C64">
              <w:rPr>
                <w:sz w:val="18"/>
                <w:szCs w:val="18"/>
              </w:rPr>
              <w:t>; Al-Najjar</w:t>
            </w:r>
            <w:r w:rsidR="003E2CBA">
              <w:rPr>
                <w:sz w:val="18"/>
                <w:szCs w:val="18"/>
              </w:rPr>
              <w:t xml:space="preserve"> [16</w:t>
            </w:r>
            <w:r w:rsidR="00AE2EA6">
              <w:rPr>
                <w:sz w:val="18"/>
                <w:szCs w:val="18"/>
              </w:rPr>
              <w:t>]</w:t>
            </w:r>
            <w:r w:rsidRPr="00845C64">
              <w:rPr>
                <w:sz w:val="18"/>
                <w:szCs w:val="18"/>
              </w:rPr>
              <w:t xml:space="preserve">; Jasim et al. </w:t>
            </w:r>
            <w:r w:rsidR="003E2CBA">
              <w:rPr>
                <w:sz w:val="18"/>
                <w:szCs w:val="18"/>
              </w:rPr>
              <w:t>[17</w:t>
            </w:r>
            <w:r w:rsidR="006929A7">
              <w:rPr>
                <w:sz w:val="18"/>
                <w:szCs w:val="18"/>
              </w:rPr>
              <w:t>]</w:t>
            </w:r>
          </w:p>
        </w:tc>
        <w:tc>
          <w:tcPr>
            <w:tcW w:w="0" w:type="auto"/>
            <w:tcBorders>
              <w:left w:val="nil"/>
              <w:right w:val="nil"/>
            </w:tcBorders>
          </w:tcPr>
          <w:p w14:paraId="1A6D505D" w14:textId="77777777" w:rsidR="0031565B" w:rsidRPr="00845C64" w:rsidRDefault="0031565B" w:rsidP="0031565B">
            <w:pPr>
              <w:jc w:val="center"/>
              <w:rPr>
                <w:sz w:val="18"/>
                <w:szCs w:val="18"/>
              </w:rPr>
            </w:pPr>
            <w:r w:rsidRPr="00845C64">
              <w:rPr>
                <w:sz w:val="18"/>
                <w:szCs w:val="18"/>
              </w:rPr>
              <w:t>2016; 2023; 2024</w:t>
            </w:r>
          </w:p>
        </w:tc>
        <w:tc>
          <w:tcPr>
            <w:tcW w:w="0" w:type="auto"/>
            <w:tcBorders>
              <w:left w:val="nil"/>
            </w:tcBorders>
          </w:tcPr>
          <w:p w14:paraId="6EB0B402" w14:textId="77777777" w:rsidR="0031565B" w:rsidRPr="00845C64" w:rsidRDefault="0031565B" w:rsidP="0031565B">
            <w:pPr>
              <w:jc w:val="center"/>
              <w:rPr>
                <w:sz w:val="18"/>
                <w:szCs w:val="18"/>
              </w:rPr>
            </w:pPr>
            <w:r w:rsidRPr="00845C64">
              <w:rPr>
                <w:sz w:val="18"/>
                <w:szCs w:val="18"/>
              </w:rPr>
              <w:t>25.8%; 48%; 5%</w:t>
            </w:r>
          </w:p>
        </w:tc>
      </w:tr>
      <w:tr w:rsidR="00AD37D3" w:rsidRPr="00845C64" w14:paraId="61597B55" w14:textId="77777777" w:rsidTr="00115135">
        <w:trPr>
          <w:trHeight w:val="282"/>
        </w:trPr>
        <w:tc>
          <w:tcPr>
            <w:tcW w:w="0" w:type="auto"/>
            <w:tcBorders>
              <w:right w:val="nil"/>
            </w:tcBorders>
          </w:tcPr>
          <w:p w14:paraId="0FA6E664" w14:textId="77777777" w:rsidR="0031565B" w:rsidRPr="00845C64" w:rsidRDefault="0031565B" w:rsidP="0031565B">
            <w:pPr>
              <w:jc w:val="center"/>
              <w:rPr>
                <w:sz w:val="18"/>
                <w:szCs w:val="18"/>
              </w:rPr>
            </w:pPr>
            <w:r w:rsidRPr="00845C64">
              <w:rPr>
                <w:sz w:val="18"/>
                <w:szCs w:val="18"/>
              </w:rPr>
              <w:t>Tubal disorder (blockage)</w:t>
            </w:r>
          </w:p>
        </w:tc>
        <w:tc>
          <w:tcPr>
            <w:tcW w:w="0" w:type="auto"/>
            <w:tcBorders>
              <w:left w:val="nil"/>
              <w:right w:val="nil"/>
            </w:tcBorders>
          </w:tcPr>
          <w:p w14:paraId="10E135F1" w14:textId="32F6BE1C" w:rsidR="0031565B" w:rsidRPr="00845C64" w:rsidRDefault="0031565B" w:rsidP="00F325E2">
            <w:pPr>
              <w:jc w:val="center"/>
              <w:rPr>
                <w:sz w:val="18"/>
                <w:szCs w:val="18"/>
              </w:rPr>
            </w:pPr>
            <w:r w:rsidRPr="00845C64">
              <w:rPr>
                <w:sz w:val="18"/>
                <w:szCs w:val="18"/>
              </w:rPr>
              <w:t xml:space="preserve">Ahmed &amp; Othman </w:t>
            </w:r>
            <w:r w:rsidR="006929A7">
              <w:rPr>
                <w:sz w:val="18"/>
                <w:szCs w:val="18"/>
              </w:rPr>
              <w:t>[</w:t>
            </w:r>
            <w:r w:rsidR="003E2CBA">
              <w:rPr>
                <w:sz w:val="18"/>
                <w:szCs w:val="18"/>
              </w:rPr>
              <w:t>15</w:t>
            </w:r>
            <w:r w:rsidR="00F325E2">
              <w:rPr>
                <w:sz w:val="18"/>
                <w:szCs w:val="18"/>
              </w:rPr>
              <w:t>]</w:t>
            </w:r>
            <w:r w:rsidRPr="00845C64">
              <w:rPr>
                <w:sz w:val="18"/>
                <w:szCs w:val="18"/>
              </w:rPr>
              <w:t>; Al-Ani et al.</w:t>
            </w:r>
            <w:r w:rsidR="003E2CBA">
              <w:rPr>
                <w:sz w:val="18"/>
                <w:szCs w:val="18"/>
              </w:rPr>
              <w:t xml:space="preserve"> </w:t>
            </w:r>
            <w:r w:rsidR="003E2CBA" w:rsidRPr="00115135">
              <w:rPr>
                <w:sz w:val="18"/>
                <w:szCs w:val="18"/>
                <w:lang w:val="fr-FR"/>
              </w:rPr>
              <w:t>[20</w:t>
            </w:r>
            <w:r w:rsidR="00F325E2" w:rsidRPr="00115135">
              <w:rPr>
                <w:sz w:val="18"/>
                <w:szCs w:val="18"/>
                <w:lang w:val="fr-FR"/>
              </w:rPr>
              <w:t>]</w:t>
            </w:r>
            <w:r w:rsidRPr="00115135">
              <w:rPr>
                <w:sz w:val="18"/>
                <w:szCs w:val="18"/>
                <w:lang w:val="fr-FR"/>
              </w:rPr>
              <w:t xml:space="preserve">; Salman et al. </w:t>
            </w:r>
            <w:r w:rsidR="003E2CBA" w:rsidRPr="00115135">
              <w:rPr>
                <w:sz w:val="18"/>
                <w:szCs w:val="18"/>
                <w:lang w:val="fr-FR"/>
              </w:rPr>
              <w:t>[27</w:t>
            </w:r>
            <w:r w:rsidR="00F325E2" w:rsidRPr="00115135">
              <w:rPr>
                <w:sz w:val="18"/>
                <w:szCs w:val="18"/>
                <w:lang w:val="fr-FR"/>
              </w:rPr>
              <w:t>]</w:t>
            </w:r>
            <w:r w:rsidRPr="00115135">
              <w:rPr>
                <w:sz w:val="18"/>
                <w:szCs w:val="18"/>
                <w:lang w:val="fr-FR"/>
              </w:rPr>
              <w:t>; Al-</w:t>
            </w:r>
            <w:proofErr w:type="spellStart"/>
            <w:r w:rsidR="0054048B" w:rsidRPr="00115135">
              <w:rPr>
                <w:sz w:val="18"/>
                <w:szCs w:val="18"/>
                <w:lang w:val="fr-FR"/>
              </w:rPr>
              <w:t>Najjar</w:t>
            </w:r>
            <w:proofErr w:type="spellEnd"/>
            <w:r w:rsidR="0054048B" w:rsidRPr="00115135">
              <w:rPr>
                <w:sz w:val="18"/>
                <w:szCs w:val="18"/>
                <w:lang w:val="fr-FR"/>
              </w:rPr>
              <w:t xml:space="preserve"> </w:t>
            </w:r>
            <w:r w:rsidR="003E2CBA" w:rsidRPr="00115135">
              <w:rPr>
                <w:sz w:val="18"/>
                <w:szCs w:val="18"/>
                <w:lang w:val="fr-FR"/>
              </w:rPr>
              <w:t>[16</w:t>
            </w:r>
            <w:r w:rsidR="00F325E2" w:rsidRPr="00115135">
              <w:rPr>
                <w:sz w:val="18"/>
                <w:szCs w:val="18"/>
                <w:lang w:val="fr-FR"/>
              </w:rPr>
              <w:t>]</w:t>
            </w:r>
            <w:r w:rsidRPr="00115135">
              <w:rPr>
                <w:sz w:val="18"/>
                <w:szCs w:val="18"/>
                <w:lang w:val="fr-FR"/>
              </w:rPr>
              <w:t>; Hussam et al.</w:t>
            </w:r>
            <w:r w:rsidR="003E2CBA" w:rsidRPr="00115135">
              <w:rPr>
                <w:sz w:val="18"/>
                <w:szCs w:val="18"/>
                <w:lang w:val="fr-FR"/>
              </w:rPr>
              <w:t xml:space="preserve"> </w:t>
            </w:r>
            <w:r w:rsidR="003E2CBA">
              <w:rPr>
                <w:sz w:val="18"/>
                <w:szCs w:val="18"/>
              </w:rPr>
              <w:t>[19</w:t>
            </w:r>
            <w:r w:rsidR="00F325E2">
              <w:rPr>
                <w:sz w:val="18"/>
                <w:szCs w:val="18"/>
              </w:rPr>
              <w:t>]</w:t>
            </w:r>
            <w:r w:rsidRPr="00845C64">
              <w:rPr>
                <w:sz w:val="18"/>
                <w:szCs w:val="18"/>
              </w:rPr>
              <w:t xml:space="preserve"> </w:t>
            </w:r>
          </w:p>
        </w:tc>
        <w:tc>
          <w:tcPr>
            <w:tcW w:w="0" w:type="auto"/>
            <w:tcBorders>
              <w:left w:val="nil"/>
              <w:right w:val="nil"/>
            </w:tcBorders>
          </w:tcPr>
          <w:p w14:paraId="2ADF0717" w14:textId="77777777" w:rsidR="0031565B" w:rsidRPr="00845C64" w:rsidRDefault="0031565B" w:rsidP="0031565B">
            <w:pPr>
              <w:jc w:val="center"/>
              <w:rPr>
                <w:sz w:val="18"/>
                <w:szCs w:val="18"/>
              </w:rPr>
            </w:pPr>
            <w:r w:rsidRPr="00845C64">
              <w:rPr>
                <w:sz w:val="18"/>
                <w:szCs w:val="18"/>
              </w:rPr>
              <w:t>2016; 2021; 2022; 2023; 2023</w:t>
            </w:r>
          </w:p>
        </w:tc>
        <w:tc>
          <w:tcPr>
            <w:tcW w:w="0" w:type="auto"/>
            <w:tcBorders>
              <w:left w:val="nil"/>
            </w:tcBorders>
          </w:tcPr>
          <w:p w14:paraId="491FBB19" w14:textId="77777777" w:rsidR="0031565B" w:rsidRPr="00845C64" w:rsidRDefault="0031565B" w:rsidP="0031565B">
            <w:pPr>
              <w:jc w:val="center"/>
              <w:rPr>
                <w:sz w:val="18"/>
                <w:szCs w:val="18"/>
              </w:rPr>
            </w:pPr>
            <w:r w:rsidRPr="00845C64">
              <w:rPr>
                <w:sz w:val="18"/>
                <w:szCs w:val="18"/>
              </w:rPr>
              <w:t>3.2%; 15%; 5.6%; 8%; 61.79%</w:t>
            </w:r>
          </w:p>
        </w:tc>
      </w:tr>
      <w:tr w:rsidR="00AD37D3" w:rsidRPr="00845C64" w14:paraId="085C3236" w14:textId="77777777" w:rsidTr="00115135">
        <w:trPr>
          <w:trHeight w:val="271"/>
        </w:trPr>
        <w:tc>
          <w:tcPr>
            <w:tcW w:w="0" w:type="auto"/>
            <w:tcBorders>
              <w:right w:val="nil"/>
            </w:tcBorders>
          </w:tcPr>
          <w:p w14:paraId="40DD5022" w14:textId="77777777" w:rsidR="0031565B" w:rsidRPr="00845C64" w:rsidRDefault="0031565B" w:rsidP="0031565B">
            <w:pPr>
              <w:jc w:val="center"/>
              <w:rPr>
                <w:sz w:val="18"/>
                <w:szCs w:val="18"/>
              </w:rPr>
            </w:pPr>
            <w:r w:rsidRPr="00845C64">
              <w:rPr>
                <w:sz w:val="18"/>
                <w:szCs w:val="18"/>
              </w:rPr>
              <w:t>Uterine factors</w:t>
            </w:r>
          </w:p>
        </w:tc>
        <w:tc>
          <w:tcPr>
            <w:tcW w:w="0" w:type="auto"/>
            <w:tcBorders>
              <w:left w:val="nil"/>
              <w:right w:val="nil"/>
            </w:tcBorders>
          </w:tcPr>
          <w:p w14:paraId="0558038B" w14:textId="6C5C34BC" w:rsidR="0031565B" w:rsidRPr="00845C64" w:rsidRDefault="0031565B" w:rsidP="00AD37D3">
            <w:pPr>
              <w:jc w:val="center"/>
              <w:rPr>
                <w:sz w:val="18"/>
                <w:szCs w:val="18"/>
              </w:rPr>
            </w:pPr>
            <w:r w:rsidRPr="00845C64">
              <w:rPr>
                <w:sz w:val="18"/>
                <w:szCs w:val="18"/>
              </w:rPr>
              <w:t>Ahmed &amp; Othman</w:t>
            </w:r>
            <w:r w:rsidR="003E2CBA">
              <w:rPr>
                <w:sz w:val="18"/>
                <w:szCs w:val="18"/>
              </w:rPr>
              <w:t xml:space="preserve"> [15</w:t>
            </w:r>
            <w:r w:rsidR="00F325E2">
              <w:rPr>
                <w:sz w:val="18"/>
                <w:szCs w:val="18"/>
              </w:rPr>
              <w:t>]</w:t>
            </w:r>
            <w:r w:rsidRPr="00845C64">
              <w:rPr>
                <w:sz w:val="18"/>
                <w:szCs w:val="18"/>
              </w:rPr>
              <w:t xml:space="preserve">; Al-Ani et al. </w:t>
            </w:r>
            <w:r w:rsidR="003E2CBA">
              <w:rPr>
                <w:sz w:val="18"/>
                <w:szCs w:val="18"/>
              </w:rPr>
              <w:t>[12</w:t>
            </w:r>
            <w:r w:rsidR="00F325E2">
              <w:rPr>
                <w:sz w:val="18"/>
                <w:szCs w:val="18"/>
              </w:rPr>
              <w:t>]</w:t>
            </w:r>
            <w:r w:rsidRPr="00845C64">
              <w:rPr>
                <w:sz w:val="18"/>
                <w:szCs w:val="18"/>
              </w:rPr>
              <w:t xml:space="preserve">; Salman et al. </w:t>
            </w:r>
            <w:r w:rsidR="003E2CBA">
              <w:rPr>
                <w:sz w:val="18"/>
                <w:szCs w:val="18"/>
              </w:rPr>
              <w:t>[27</w:t>
            </w:r>
            <w:r w:rsidR="00F325E2">
              <w:rPr>
                <w:sz w:val="18"/>
                <w:szCs w:val="18"/>
              </w:rPr>
              <w:t>]</w:t>
            </w:r>
            <w:r w:rsidR="00C800BD">
              <w:rPr>
                <w:sz w:val="18"/>
                <w:szCs w:val="18"/>
              </w:rPr>
              <w:t xml:space="preserve"> </w:t>
            </w:r>
          </w:p>
        </w:tc>
        <w:tc>
          <w:tcPr>
            <w:tcW w:w="0" w:type="auto"/>
            <w:tcBorders>
              <w:left w:val="nil"/>
              <w:right w:val="nil"/>
            </w:tcBorders>
          </w:tcPr>
          <w:p w14:paraId="1C8CA126" w14:textId="77777777" w:rsidR="0031565B" w:rsidRPr="00845C64" w:rsidRDefault="0031565B" w:rsidP="0031565B">
            <w:pPr>
              <w:jc w:val="center"/>
              <w:rPr>
                <w:sz w:val="18"/>
                <w:szCs w:val="18"/>
              </w:rPr>
            </w:pPr>
            <w:r w:rsidRPr="00845C64">
              <w:rPr>
                <w:sz w:val="18"/>
                <w:szCs w:val="18"/>
              </w:rPr>
              <w:t>2016; 2021; 2022</w:t>
            </w:r>
          </w:p>
        </w:tc>
        <w:tc>
          <w:tcPr>
            <w:tcW w:w="0" w:type="auto"/>
            <w:tcBorders>
              <w:left w:val="nil"/>
            </w:tcBorders>
          </w:tcPr>
          <w:p w14:paraId="5A0EE461" w14:textId="77777777" w:rsidR="0031565B" w:rsidRPr="00845C64" w:rsidRDefault="0031565B" w:rsidP="0031565B">
            <w:pPr>
              <w:jc w:val="center"/>
              <w:rPr>
                <w:sz w:val="18"/>
                <w:szCs w:val="18"/>
              </w:rPr>
            </w:pPr>
            <w:r w:rsidRPr="00845C64">
              <w:rPr>
                <w:sz w:val="18"/>
                <w:szCs w:val="18"/>
              </w:rPr>
              <w:t>5%; 7.4%; 1.4%</w:t>
            </w:r>
          </w:p>
        </w:tc>
      </w:tr>
      <w:tr w:rsidR="00AD37D3" w:rsidRPr="00845C64" w14:paraId="74D18578" w14:textId="77777777" w:rsidTr="00115135">
        <w:trPr>
          <w:trHeight w:val="140"/>
        </w:trPr>
        <w:tc>
          <w:tcPr>
            <w:tcW w:w="0" w:type="auto"/>
            <w:tcBorders>
              <w:right w:val="nil"/>
            </w:tcBorders>
          </w:tcPr>
          <w:p w14:paraId="53FEF458" w14:textId="77777777" w:rsidR="0031565B" w:rsidRPr="00845C64" w:rsidRDefault="0031565B" w:rsidP="0031565B">
            <w:pPr>
              <w:jc w:val="center"/>
              <w:rPr>
                <w:sz w:val="18"/>
                <w:szCs w:val="18"/>
              </w:rPr>
            </w:pPr>
            <w:r w:rsidRPr="00845C64">
              <w:rPr>
                <w:sz w:val="18"/>
                <w:szCs w:val="18"/>
              </w:rPr>
              <w:t>Ovarian cystectomy</w:t>
            </w:r>
          </w:p>
        </w:tc>
        <w:tc>
          <w:tcPr>
            <w:tcW w:w="0" w:type="auto"/>
            <w:tcBorders>
              <w:left w:val="nil"/>
              <w:right w:val="nil"/>
            </w:tcBorders>
          </w:tcPr>
          <w:p w14:paraId="76F0ACAE" w14:textId="313349F7" w:rsidR="0031565B" w:rsidRPr="00845C64" w:rsidRDefault="0031565B" w:rsidP="00AD37D3">
            <w:pPr>
              <w:jc w:val="center"/>
              <w:rPr>
                <w:sz w:val="18"/>
                <w:szCs w:val="18"/>
              </w:rPr>
            </w:pPr>
            <w:r w:rsidRPr="00845C64">
              <w:rPr>
                <w:sz w:val="18"/>
                <w:szCs w:val="18"/>
              </w:rPr>
              <w:t xml:space="preserve">Ahmed &amp; Othman </w:t>
            </w:r>
            <w:r w:rsidR="003E2CBA">
              <w:rPr>
                <w:sz w:val="18"/>
                <w:szCs w:val="18"/>
              </w:rPr>
              <w:t>[15</w:t>
            </w:r>
            <w:r w:rsidR="00F325E2">
              <w:rPr>
                <w:sz w:val="18"/>
                <w:szCs w:val="18"/>
              </w:rPr>
              <w:t>]</w:t>
            </w:r>
            <w:r w:rsidR="00497AA9">
              <w:rPr>
                <w:sz w:val="18"/>
                <w:szCs w:val="18"/>
              </w:rPr>
              <w:t xml:space="preserve"> </w:t>
            </w:r>
          </w:p>
        </w:tc>
        <w:tc>
          <w:tcPr>
            <w:tcW w:w="0" w:type="auto"/>
            <w:tcBorders>
              <w:left w:val="nil"/>
              <w:right w:val="nil"/>
            </w:tcBorders>
          </w:tcPr>
          <w:p w14:paraId="0A1D91D1" w14:textId="77777777" w:rsidR="0031565B" w:rsidRPr="00845C64" w:rsidRDefault="0031565B" w:rsidP="0031565B">
            <w:pPr>
              <w:jc w:val="center"/>
              <w:rPr>
                <w:sz w:val="18"/>
                <w:szCs w:val="18"/>
              </w:rPr>
            </w:pPr>
            <w:r w:rsidRPr="00845C64">
              <w:rPr>
                <w:sz w:val="18"/>
                <w:szCs w:val="18"/>
              </w:rPr>
              <w:t>2016</w:t>
            </w:r>
          </w:p>
        </w:tc>
        <w:tc>
          <w:tcPr>
            <w:tcW w:w="0" w:type="auto"/>
            <w:tcBorders>
              <w:left w:val="nil"/>
            </w:tcBorders>
          </w:tcPr>
          <w:p w14:paraId="2B6FA31E" w14:textId="77777777" w:rsidR="0031565B" w:rsidRPr="00845C64" w:rsidRDefault="0031565B" w:rsidP="0031565B">
            <w:pPr>
              <w:jc w:val="center"/>
              <w:rPr>
                <w:sz w:val="18"/>
                <w:szCs w:val="18"/>
              </w:rPr>
            </w:pPr>
            <w:r w:rsidRPr="00845C64">
              <w:rPr>
                <w:sz w:val="18"/>
                <w:szCs w:val="18"/>
              </w:rPr>
              <w:t>8%</w:t>
            </w:r>
          </w:p>
        </w:tc>
      </w:tr>
      <w:tr w:rsidR="00AD37D3" w:rsidRPr="00845C64" w14:paraId="5CF554FF" w14:textId="77777777" w:rsidTr="00115135">
        <w:trPr>
          <w:trHeight w:val="140"/>
        </w:trPr>
        <w:tc>
          <w:tcPr>
            <w:tcW w:w="0" w:type="auto"/>
            <w:tcBorders>
              <w:right w:val="nil"/>
            </w:tcBorders>
          </w:tcPr>
          <w:p w14:paraId="24FA490D" w14:textId="77777777" w:rsidR="0031565B" w:rsidRPr="00845C64" w:rsidRDefault="0031565B" w:rsidP="0031565B">
            <w:pPr>
              <w:jc w:val="center"/>
              <w:rPr>
                <w:sz w:val="18"/>
                <w:szCs w:val="18"/>
              </w:rPr>
            </w:pPr>
            <w:r w:rsidRPr="00845C64">
              <w:rPr>
                <w:sz w:val="18"/>
                <w:szCs w:val="18"/>
              </w:rPr>
              <w:t>Menstrual disorder</w:t>
            </w:r>
          </w:p>
        </w:tc>
        <w:tc>
          <w:tcPr>
            <w:tcW w:w="0" w:type="auto"/>
            <w:tcBorders>
              <w:left w:val="nil"/>
              <w:right w:val="nil"/>
            </w:tcBorders>
          </w:tcPr>
          <w:p w14:paraId="30D14653" w14:textId="42D3BFDB" w:rsidR="0031565B" w:rsidRPr="00845C64" w:rsidRDefault="0031565B" w:rsidP="00AD37D3">
            <w:pPr>
              <w:jc w:val="center"/>
              <w:rPr>
                <w:sz w:val="18"/>
                <w:szCs w:val="18"/>
              </w:rPr>
            </w:pPr>
            <w:r w:rsidRPr="00845C64">
              <w:rPr>
                <w:sz w:val="18"/>
                <w:szCs w:val="18"/>
              </w:rPr>
              <w:t>Ahmed &amp; Othman</w:t>
            </w:r>
            <w:r w:rsidR="003E2CBA">
              <w:rPr>
                <w:sz w:val="18"/>
                <w:szCs w:val="18"/>
              </w:rPr>
              <w:t xml:space="preserve"> [15</w:t>
            </w:r>
            <w:r w:rsidR="00F325E2">
              <w:rPr>
                <w:sz w:val="18"/>
                <w:szCs w:val="18"/>
              </w:rPr>
              <w:t>]</w:t>
            </w:r>
            <w:r w:rsidRPr="00845C64">
              <w:rPr>
                <w:sz w:val="18"/>
                <w:szCs w:val="18"/>
              </w:rPr>
              <w:t>; Al-Najjar</w:t>
            </w:r>
            <w:r w:rsidR="003E2CBA">
              <w:rPr>
                <w:sz w:val="18"/>
                <w:szCs w:val="18"/>
              </w:rPr>
              <w:t xml:space="preserve"> [16</w:t>
            </w:r>
            <w:r w:rsidR="00F325E2">
              <w:rPr>
                <w:sz w:val="18"/>
                <w:szCs w:val="18"/>
              </w:rPr>
              <w:t>]</w:t>
            </w:r>
            <w:r w:rsidRPr="00845C64">
              <w:rPr>
                <w:sz w:val="18"/>
                <w:szCs w:val="18"/>
              </w:rPr>
              <w:t xml:space="preserve"> </w:t>
            </w:r>
          </w:p>
        </w:tc>
        <w:tc>
          <w:tcPr>
            <w:tcW w:w="0" w:type="auto"/>
            <w:tcBorders>
              <w:left w:val="nil"/>
              <w:right w:val="nil"/>
            </w:tcBorders>
          </w:tcPr>
          <w:p w14:paraId="6783A662" w14:textId="77777777" w:rsidR="0031565B" w:rsidRPr="00845C64" w:rsidRDefault="0031565B" w:rsidP="0031565B">
            <w:pPr>
              <w:jc w:val="center"/>
              <w:rPr>
                <w:sz w:val="18"/>
                <w:szCs w:val="18"/>
              </w:rPr>
            </w:pPr>
            <w:r w:rsidRPr="00845C64">
              <w:rPr>
                <w:sz w:val="18"/>
                <w:szCs w:val="18"/>
              </w:rPr>
              <w:t>2016; 2023</w:t>
            </w:r>
          </w:p>
        </w:tc>
        <w:tc>
          <w:tcPr>
            <w:tcW w:w="0" w:type="auto"/>
            <w:tcBorders>
              <w:left w:val="nil"/>
            </w:tcBorders>
          </w:tcPr>
          <w:p w14:paraId="4092DB56" w14:textId="77777777" w:rsidR="0031565B" w:rsidRPr="00845C64" w:rsidRDefault="0031565B" w:rsidP="0031565B">
            <w:pPr>
              <w:jc w:val="center"/>
              <w:rPr>
                <w:sz w:val="18"/>
                <w:szCs w:val="18"/>
              </w:rPr>
            </w:pPr>
            <w:r w:rsidRPr="00845C64">
              <w:rPr>
                <w:sz w:val="18"/>
                <w:szCs w:val="18"/>
              </w:rPr>
              <w:t>33%; 66%</w:t>
            </w:r>
          </w:p>
        </w:tc>
      </w:tr>
      <w:tr w:rsidR="00AD37D3" w:rsidRPr="00845C64" w14:paraId="4321EA50" w14:textId="77777777" w:rsidTr="00115135">
        <w:trPr>
          <w:trHeight w:val="140"/>
        </w:trPr>
        <w:tc>
          <w:tcPr>
            <w:tcW w:w="0" w:type="auto"/>
            <w:tcBorders>
              <w:right w:val="nil"/>
            </w:tcBorders>
          </w:tcPr>
          <w:p w14:paraId="4ACAA3E9" w14:textId="77777777" w:rsidR="0031565B" w:rsidRPr="00845C64" w:rsidRDefault="0031565B" w:rsidP="0031565B">
            <w:pPr>
              <w:jc w:val="center"/>
              <w:rPr>
                <w:sz w:val="18"/>
                <w:szCs w:val="18"/>
              </w:rPr>
            </w:pPr>
            <w:r w:rsidRPr="00845C64">
              <w:rPr>
                <w:sz w:val="18"/>
                <w:szCs w:val="18"/>
              </w:rPr>
              <w:t>Ovulation problems</w:t>
            </w:r>
          </w:p>
        </w:tc>
        <w:tc>
          <w:tcPr>
            <w:tcW w:w="0" w:type="auto"/>
            <w:tcBorders>
              <w:left w:val="nil"/>
              <w:right w:val="nil"/>
            </w:tcBorders>
          </w:tcPr>
          <w:p w14:paraId="5AFF035A" w14:textId="32DAC7D4" w:rsidR="0031565B" w:rsidRPr="00845C64" w:rsidRDefault="0031565B" w:rsidP="00AD37D3">
            <w:pPr>
              <w:jc w:val="center"/>
              <w:rPr>
                <w:sz w:val="18"/>
                <w:szCs w:val="18"/>
              </w:rPr>
            </w:pPr>
            <w:r w:rsidRPr="00115135">
              <w:rPr>
                <w:sz w:val="18"/>
                <w:szCs w:val="18"/>
                <w:lang w:val="fr-FR"/>
              </w:rPr>
              <w:t>Hussam et al.</w:t>
            </w:r>
            <w:r w:rsidR="003E2CBA" w:rsidRPr="00115135">
              <w:rPr>
                <w:sz w:val="18"/>
                <w:szCs w:val="18"/>
                <w:lang w:val="fr-FR"/>
              </w:rPr>
              <w:t xml:space="preserve"> [19</w:t>
            </w:r>
            <w:r w:rsidR="00F325E2" w:rsidRPr="00115135">
              <w:rPr>
                <w:sz w:val="18"/>
                <w:szCs w:val="18"/>
                <w:lang w:val="fr-FR"/>
              </w:rPr>
              <w:t>]</w:t>
            </w:r>
            <w:r w:rsidRPr="00115135">
              <w:rPr>
                <w:sz w:val="18"/>
                <w:szCs w:val="18"/>
                <w:lang w:val="fr-FR"/>
              </w:rPr>
              <w:t xml:space="preserve">; </w:t>
            </w:r>
            <w:proofErr w:type="spellStart"/>
            <w:r w:rsidRPr="00115135">
              <w:rPr>
                <w:sz w:val="18"/>
                <w:szCs w:val="18"/>
                <w:lang w:val="fr-FR"/>
              </w:rPr>
              <w:t>Jasim</w:t>
            </w:r>
            <w:proofErr w:type="spellEnd"/>
            <w:r w:rsidRPr="00115135">
              <w:rPr>
                <w:sz w:val="18"/>
                <w:szCs w:val="18"/>
                <w:lang w:val="fr-FR"/>
              </w:rPr>
              <w:t xml:space="preserve"> et al. </w:t>
            </w:r>
            <w:r w:rsidR="003E2CBA">
              <w:rPr>
                <w:sz w:val="18"/>
                <w:szCs w:val="18"/>
              </w:rPr>
              <w:t>[17</w:t>
            </w:r>
            <w:r w:rsidR="00F325E2">
              <w:rPr>
                <w:sz w:val="18"/>
                <w:szCs w:val="18"/>
              </w:rPr>
              <w:t>]</w:t>
            </w:r>
            <w:r w:rsidR="00CA68FF">
              <w:rPr>
                <w:sz w:val="18"/>
                <w:szCs w:val="18"/>
              </w:rPr>
              <w:t xml:space="preserve"> </w:t>
            </w:r>
          </w:p>
        </w:tc>
        <w:tc>
          <w:tcPr>
            <w:tcW w:w="0" w:type="auto"/>
            <w:tcBorders>
              <w:left w:val="nil"/>
              <w:right w:val="nil"/>
            </w:tcBorders>
          </w:tcPr>
          <w:p w14:paraId="04306825" w14:textId="77777777" w:rsidR="0031565B" w:rsidRPr="00845C64" w:rsidRDefault="0031565B" w:rsidP="0031565B">
            <w:pPr>
              <w:jc w:val="center"/>
              <w:rPr>
                <w:sz w:val="18"/>
                <w:szCs w:val="18"/>
              </w:rPr>
            </w:pPr>
            <w:r w:rsidRPr="00845C64">
              <w:rPr>
                <w:sz w:val="18"/>
                <w:szCs w:val="18"/>
              </w:rPr>
              <w:t>2023; 2024</w:t>
            </w:r>
          </w:p>
        </w:tc>
        <w:tc>
          <w:tcPr>
            <w:tcW w:w="0" w:type="auto"/>
            <w:tcBorders>
              <w:left w:val="nil"/>
            </w:tcBorders>
          </w:tcPr>
          <w:p w14:paraId="5017FBC1" w14:textId="77777777" w:rsidR="0031565B" w:rsidRPr="00845C64" w:rsidRDefault="0031565B" w:rsidP="0031565B">
            <w:pPr>
              <w:jc w:val="center"/>
              <w:rPr>
                <w:sz w:val="18"/>
                <w:szCs w:val="18"/>
              </w:rPr>
            </w:pPr>
            <w:r w:rsidRPr="00845C64">
              <w:rPr>
                <w:sz w:val="18"/>
                <w:szCs w:val="18"/>
              </w:rPr>
              <w:t>56.12%; 13%</w:t>
            </w:r>
          </w:p>
        </w:tc>
      </w:tr>
      <w:tr w:rsidR="00AD37D3" w:rsidRPr="00845C64" w14:paraId="3CCDCE2E" w14:textId="77777777" w:rsidTr="00115135">
        <w:trPr>
          <w:trHeight w:val="140"/>
        </w:trPr>
        <w:tc>
          <w:tcPr>
            <w:tcW w:w="0" w:type="auto"/>
            <w:tcBorders>
              <w:right w:val="nil"/>
            </w:tcBorders>
          </w:tcPr>
          <w:p w14:paraId="0726D8AE" w14:textId="77777777" w:rsidR="0031565B" w:rsidRPr="00845C64" w:rsidRDefault="0031565B" w:rsidP="0031565B">
            <w:pPr>
              <w:jc w:val="center"/>
              <w:rPr>
                <w:sz w:val="18"/>
                <w:szCs w:val="18"/>
              </w:rPr>
            </w:pPr>
            <w:r w:rsidRPr="00845C64">
              <w:rPr>
                <w:sz w:val="18"/>
                <w:szCs w:val="18"/>
              </w:rPr>
              <w:t>Hormone deficit</w:t>
            </w:r>
          </w:p>
        </w:tc>
        <w:tc>
          <w:tcPr>
            <w:tcW w:w="0" w:type="auto"/>
            <w:tcBorders>
              <w:left w:val="nil"/>
              <w:right w:val="nil"/>
            </w:tcBorders>
          </w:tcPr>
          <w:p w14:paraId="785347FA" w14:textId="1D474D33" w:rsidR="0031565B" w:rsidRPr="00845C64" w:rsidRDefault="0031565B" w:rsidP="003E2CBA">
            <w:pPr>
              <w:jc w:val="center"/>
              <w:rPr>
                <w:sz w:val="18"/>
                <w:szCs w:val="18"/>
              </w:rPr>
            </w:pPr>
            <w:r w:rsidRPr="00845C64">
              <w:rPr>
                <w:sz w:val="18"/>
                <w:szCs w:val="18"/>
              </w:rPr>
              <w:t xml:space="preserve">Hussam et al. </w:t>
            </w:r>
            <w:r w:rsidR="00F325E2">
              <w:rPr>
                <w:sz w:val="18"/>
                <w:szCs w:val="18"/>
              </w:rPr>
              <w:t>[</w:t>
            </w:r>
            <w:r w:rsidR="003E2CBA">
              <w:rPr>
                <w:sz w:val="18"/>
                <w:szCs w:val="18"/>
              </w:rPr>
              <w:t>19</w:t>
            </w:r>
            <w:r w:rsidR="00F325E2">
              <w:rPr>
                <w:sz w:val="18"/>
                <w:szCs w:val="18"/>
              </w:rPr>
              <w:t>]</w:t>
            </w:r>
            <w:r w:rsidR="00E652B2">
              <w:rPr>
                <w:sz w:val="18"/>
                <w:szCs w:val="18"/>
              </w:rPr>
              <w:t xml:space="preserve"> </w:t>
            </w:r>
          </w:p>
        </w:tc>
        <w:tc>
          <w:tcPr>
            <w:tcW w:w="0" w:type="auto"/>
            <w:tcBorders>
              <w:left w:val="nil"/>
              <w:right w:val="nil"/>
            </w:tcBorders>
          </w:tcPr>
          <w:p w14:paraId="2DFD2793" w14:textId="77777777" w:rsidR="0031565B" w:rsidRPr="00845C64" w:rsidRDefault="0031565B" w:rsidP="0031565B">
            <w:pPr>
              <w:jc w:val="center"/>
              <w:rPr>
                <w:sz w:val="18"/>
                <w:szCs w:val="18"/>
              </w:rPr>
            </w:pPr>
            <w:r w:rsidRPr="00845C64">
              <w:rPr>
                <w:sz w:val="18"/>
                <w:szCs w:val="18"/>
              </w:rPr>
              <w:t>2023</w:t>
            </w:r>
          </w:p>
        </w:tc>
        <w:tc>
          <w:tcPr>
            <w:tcW w:w="0" w:type="auto"/>
            <w:tcBorders>
              <w:left w:val="nil"/>
            </w:tcBorders>
          </w:tcPr>
          <w:p w14:paraId="63E3FF80" w14:textId="77777777" w:rsidR="0031565B" w:rsidRPr="00845C64" w:rsidRDefault="0031565B" w:rsidP="0031565B">
            <w:pPr>
              <w:jc w:val="center"/>
              <w:rPr>
                <w:sz w:val="18"/>
                <w:szCs w:val="18"/>
              </w:rPr>
            </w:pPr>
            <w:r w:rsidRPr="00845C64">
              <w:rPr>
                <w:sz w:val="18"/>
                <w:szCs w:val="18"/>
              </w:rPr>
              <w:t>49.92%</w:t>
            </w:r>
          </w:p>
        </w:tc>
      </w:tr>
      <w:tr w:rsidR="00AD37D3" w:rsidRPr="00845C64" w14:paraId="3F79000B" w14:textId="77777777" w:rsidTr="00115135">
        <w:trPr>
          <w:trHeight w:val="131"/>
        </w:trPr>
        <w:tc>
          <w:tcPr>
            <w:tcW w:w="0" w:type="auto"/>
            <w:tcBorders>
              <w:right w:val="nil"/>
            </w:tcBorders>
          </w:tcPr>
          <w:p w14:paraId="3E6B9E24" w14:textId="41C2E0BB" w:rsidR="0031565B" w:rsidRPr="00845C64" w:rsidRDefault="0031565B" w:rsidP="0031565B">
            <w:pPr>
              <w:jc w:val="center"/>
              <w:rPr>
                <w:sz w:val="18"/>
                <w:szCs w:val="18"/>
              </w:rPr>
            </w:pPr>
            <w:r w:rsidRPr="00845C64">
              <w:rPr>
                <w:sz w:val="18"/>
                <w:szCs w:val="18"/>
              </w:rPr>
              <w:t xml:space="preserve">Small size of </w:t>
            </w:r>
            <w:r w:rsidR="0054048B">
              <w:rPr>
                <w:sz w:val="18"/>
                <w:szCs w:val="18"/>
              </w:rPr>
              <w:t xml:space="preserve">the </w:t>
            </w:r>
            <w:r w:rsidRPr="00845C64">
              <w:rPr>
                <w:sz w:val="18"/>
                <w:szCs w:val="18"/>
              </w:rPr>
              <w:t>uterus</w:t>
            </w:r>
          </w:p>
        </w:tc>
        <w:tc>
          <w:tcPr>
            <w:tcW w:w="0" w:type="auto"/>
            <w:tcBorders>
              <w:left w:val="nil"/>
              <w:right w:val="nil"/>
            </w:tcBorders>
          </w:tcPr>
          <w:p w14:paraId="419EA657" w14:textId="2A40D47F" w:rsidR="0031565B" w:rsidRPr="00845C64" w:rsidRDefault="0031565B" w:rsidP="00AD37D3">
            <w:pPr>
              <w:jc w:val="center"/>
              <w:rPr>
                <w:sz w:val="18"/>
                <w:szCs w:val="18"/>
              </w:rPr>
            </w:pPr>
            <w:r w:rsidRPr="00845C64">
              <w:rPr>
                <w:sz w:val="18"/>
                <w:szCs w:val="18"/>
              </w:rPr>
              <w:t xml:space="preserve">Hussam et al. </w:t>
            </w:r>
            <w:r w:rsidR="003E2CBA">
              <w:rPr>
                <w:sz w:val="18"/>
                <w:szCs w:val="18"/>
              </w:rPr>
              <w:t>[26</w:t>
            </w:r>
            <w:r w:rsidR="00F325E2">
              <w:rPr>
                <w:sz w:val="18"/>
                <w:szCs w:val="18"/>
              </w:rPr>
              <w:t>]</w:t>
            </w:r>
            <w:r w:rsidR="008A146A">
              <w:rPr>
                <w:sz w:val="18"/>
                <w:szCs w:val="18"/>
              </w:rPr>
              <w:t xml:space="preserve"> </w:t>
            </w:r>
          </w:p>
        </w:tc>
        <w:tc>
          <w:tcPr>
            <w:tcW w:w="0" w:type="auto"/>
            <w:tcBorders>
              <w:left w:val="nil"/>
              <w:right w:val="nil"/>
            </w:tcBorders>
          </w:tcPr>
          <w:p w14:paraId="7E603A95" w14:textId="77777777" w:rsidR="0031565B" w:rsidRPr="00845C64" w:rsidRDefault="0031565B" w:rsidP="0031565B">
            <w:pPr>
              <w:jc w:val="center"/>
              <w:rPr>
                <w:sz w:val="18"/>
                <w:szCs w:val="18"/>
              </w:rPr>
            </w:pPr>
            <w:r w:rsidRPr="00845C64">
              <w:rPr>
                <w:sz w:val="18"/>
                <w:szCs w:val="18"/>
              </w:rPr>
              <w:t>2023</w:t>
            </w:r>
          </w:p>
        </w:tc>
        <w:tc>
          <w:tcPr>
            <w:tcW w:w="0" w:type="auto"/>
            <w:tcBorders>
              <w:left w:val="nil"/>
            </w:tcBorders>
          </w:tcPr>
          <w:p w14:paraId="4CB4644F" w14:textId="77777777" w:rsidR="0031565B" w:rsidRPr="00845C64" w:rsidRDefault="0031565B" w:rsidP="0031565B">
            <w:pPr>
              <w:jc w:val="center"/>
              <w:rPr>
                <w:sz w:val="18"/>
                <w:szCs w:val="18"/>
              </w:rPr>
            </w:pPr>
            <w:r w:rsidRPr="00845C64">
              <w:rPr>
                <w:sz w:val="18"/>
                <w:szCs w:val="18"/>
              </w:rPr>
              <w:t>36.2%</w:t>
            </w:r>
          </w:p>
        </w:tc>
      </w:tr>
      <w:tr w:rsidR="00AD37D3" w:rsidRPr="00845C64" w14:paraId="278ED261" w14:textId="77777777" w:rsidTr="00115135">
        <w:trPr>
          <w:trHeight w:val="140"/>
        </w:trPr>
        <w:tc>
          <w:tcPr>
            <w:tcW w:w="0" w:type="auto"/>
            <w:tcBorders>
              <w:right w:val="nil"/>
            </w:tcBorders>
          </w:tcPr>
          <w:p w14:paraId="20037B91" w14:textId="77777777" w:rsidR="0031565B" w:rsidRPr="00845C64" w:rsidRDefault="0031565B" w:rsidP="0031565B">
            <w:pPr>
              <w:jc w:val="center"/>
              <w:rPr>
                <w:sz w:val="18"/>
                <w:szCs w:val="18"/>
              </w:rPr>
            </w:pPr>
            <w:r w:rsidRPr="00845C64">
              <w:rPr>
                <w:sz w:val="18"/>
                <w:szCs w:val="18"/>
              </w:rPr>
              <w:t>Ovulation dysfunction</w:t>
            </w:r>
          </w:p>
        </w:tc>
        <w:tc>
          <w:tcPr>
            <w:tcW w:w="0" w:type="auto"/>
            <w:tcBorders>
              <w:left w:val="nil"/>
              <w:right w:val="nil"/>
            </w:tcBorders>
          </w:tcPr>
          <w:p w14:paraId="40A82DC9" w14:textId="23BDB73E" w:rsidR="0031565B" w:rsidRPr="00845C64" w:rsidRDefault="0031565B" w:rsidP="00AD37D3">
            <w:pPr>
              <w:jc w:val="center"/>
              <w:rPr>
                <w:sz w:val="18"/>
                <w:szCs w:val="18"/>
              </w:rPr>
            </w:pPr>
            <w:r w:rsidRPr="00845C64">
              <w:rPr>
                <w:sz w:val="18"/>
                <w:szCs w:val="18"/>
              </w:rPr>
              <w:t xml:space="preserve">Al-Ani et al. </w:t>
            </w:r>
            <w:r w:rsidR="003E2CBA">
              <w:rPr>
                <w:sz w:val="18"/>
                <w:szCs w:val="18"/>
              </w:rPr>
              <w:t>[20</w:t>
            </w:r>
            <w:r w:rsidR="00F325E2">
              <w:rPr>
                <w:sz w:val="18"/>
                <w:szCs w:val="18"/>
              </w:rPr>
              <w:t>]</w:t>
            </w:r>
            <w:r w:rsidR="00795B4C">
              <w:rPr>
                <w:sz w:val="18"/>
                <w:szCs w:val="18"/>
              </w:rPr>
              <w:t xml:space="preserve"> </w:t>
            </w:r>
          </w:p>
        </w:tc>
        <w:tc>
          <w:tcPr>
            <w:tcW w:w="0" w:type="auto"/>
            <w:tcBorders>
              <w:left w:val="nil"/>
              <w:right w:val="nil"/>
            </w:tcBorders>
          </w:tcPr>
          <w:p w14:paraId="0EF15622" w14:textId="77777777" w:rsidR="0031565B" w:rsidRPr="00845C64" w:rsidRDefault="0031565B" w:rsidP="0031565B">
            <w:pPr>
              <w:jc w:val="center"/>
              <w:rPr>
                <w:sz w:val="18"/>
                <w:szCs w:val="18"/>
              </w:rPr>
            </w:pPr>
            <w:r w:rsidRPr="00845C64">
              <w:rPr>
                <w:sz w:val="18"/>
                <w:szCs w:val="18"/>
              </w:rPr>
              <w:t>2021</w:t>
            </w:r>
          </w:p>
        </w:tc>
        <w:tc>
          <w:tcPr>
            <w:tcW w:w="0" w:type="auto"/>
            <w:tcBorders>
              <w:left w:val="nil"/>
            </w:tcBorders>
          </w:tcPr>
          <w:p w14:paraId="5B820F39" w14:textId="77777777" w:rsidR="0031565B" w:rsidRPr="00845C64" w:rsidRDefault="0031565B" w:rsidP="0031565B">
            <w:pPr>
              <w:jc w:val="center"/>
              <w:rPr>
                <w:sz w:val="18"/>
                <w:szCs w:val="18"/>
              </w:rPr>
            </w:pPr>
            <w:r w:rsidRPr="00845C64">
              <w:rPr>
                <w:sz w:val="18"/>
                <w:szCs w:val="18"/>
              </w:rPr>
              <w:t>8%</w:t>
            </w:r>
          </w:p>
        </w:tc>
      </w:tr>
      <w:tr w:rsidR="00AD37D3" w:rsidRPr="00845C64" w14:paraId="6C7C4911" w14:textId="77777777" w:rsidTr="00115135">
        <w:trPr>
          <w:trHeight w:val="140"/>
        </w:trPr>
        <w:tc>
          <w:tcPr>
            <w:tcW w:w="0" w:type="auto"/>
            <w:tcBorders>
              <w:right w:val="nil"/>
            </w:tcBorders>
          </w:tcPr>
          <w:p w14:paraId="2D299075" w14:textId="77777777" w:rsidR="0031565B" w:rsidRPr="00845C64" w:rsidRDefault="0031565B" w:rsidP="0031565B">
            <w:pPr>
              <w:jc w:val="center"/>
              <w:rPr>
                <w:sz w:val="18"/>
                <w:szCs w:val="18"/>
              </w:rPr>
            </w:pPr>
            <w:r w:rsidRPr="00845C64">
              <w:rPr>
                <w:sz w:val="18"/>
                <w:szCs w:val="18"/>
              </w:rPr>
              <w:t>Hypothyroidism</w:t>
            </w:r>
          </w:p>
        </w:tc>
        <w:tc>
          <w:tcPr>
            <w:tcW w:w="0" w:type="auto"/>
            <w:tcBorders>
              <w:left w:val="nil"/>
              <w:right w:val="nil"/>
            </w:tcBorders>
          </w:tcPr>
          <w:p w14:paraId="2E979B57" w14:textId="763D8A2D" w:rsidR="0031565B" w:rsidRPr="00845C64" w:rsidRDefault="0031565B" w:rsidP="00AD37D3">
            <w:pPr>
              <w:jc w:val="center"/>
              <w:rPr>
                <w:sz w:val="18"/>
                <w:szCs w:val="18"/>
              </w:rPr>
            </w:pPr>
            <w:proofErr w:type="spellStart"/>
            <w:r w:rsidRPr="00115135">
              <w:rPr>
                <w:sz w:val="18"/>
                <w:szCs w:val="18"/>
                <w:lang w:val="fr-FR"/>
              </w:rPr>
              <w:t>Al-Ani</w:t>
            </w:r>
            <w:proofErr w:type="spellEnd"/>
            <w:r w:rsidRPr="00115135">
              <w:rPr>
                <w:sz w:val="18"/>
                <w:szCs w:val="18"/>
                <w:lang w:val="fr-FR"/>
              </w:rPr>
              <w:t xml:space="preserve"> et al. </w:t>
            </w:r>
            <w:r w:rsidR="003E2CBA" w:rsidRPr="00115135">
              <w:rPr>
                <w:sz w:val="18"/>
                <w:szCs w:val="18"/>
                <w:lang w:val="fr-FR"/>
              </w:rPr>
              <w:t>[12</w:t>
            </w:r>
            <w:r w:rsidR="00F325E2" w:rsidRPr="00115135">
              <w:rPr>
                <w:sz w:val="18"/>
                <w:szCs w:val="18"/>
                <w:lang w:val="fr-FR"/>
              </w:rPr>
              <w:t>]</w:t>
            </w:r>
            <w:r w:rsidRPr="00115135">
              <w:rPr>
                <w:sz w:val="18"/>
                <w:szCs w:val="18"/>
                <w:lang w:val="fr-FR"/>
              </w:rPr>
              <w:t xml:space="preserve">; Saeed et al. </w:t>
            </w:r>
            <w:r w:rsidR="003E2CBA">
              <w:rPr>
                <w:sz w:val="18"/>
                <w:szCs w:val="18"/>
              </w:rPr>
              <w:t>[21</w:t>
            </w:r>
            <w:r w:rsidR="00F325E2">
              <w:rPr>
                <w:sz w:val="18"/>
                <w:szCs w:val="18"/>
              </w:rPr>
              <w:t>]</w:t>
            </w:r>
            <w:r w:rsidR="00461A39">
              <w:rPr>
                <w:sz w:val="18"/>
                <w:szCs w:val="18"/>
              </w:rPr>
              <w:t xml:space="preserve"> </w:t>
            </w:r>
          </w:p>
        </w:tc>
        <w:tc>
          <w:tcPr>
            <w:tcW w:w="0" w:type="auto"/>
            <w:tcBorders>
              <w:left w:val="nil"/>
              <w:right w:val="nil"/>
            </w:tcBorders>
          </w:tcPr>
          <w:p w14:paraId="092F3359" w14:textId="77777777" w:rsidR="0031565B" w:rsidRPr="00845C64" w:rsidRDefault="0031565B" w:rsidP="0031565B">
            <w:pPr>
              <w:jc w:val="center"/>
              <w:rPr>
                <w:sz w:val="18"/>
                <w:szCs w:val="18"/>
              </w:rPr>
            </w:pPr>
            <w:r w:rsidRPr="00845C64">
              <w:rPr>
                <w:sz w:val="18"/>
                <w:szCs w:val="18"/>
              </w:rPr>
              <w:t>2021; 2021</w:t>
            </w:r>
          </w:p>
        </w:tc>
        <w:tc>
          <w:tcPr>
            <w:tcW w:w="0" w:type="auto"/>
            <w:tcBorders>
              <w:left w:val="nil"/>
            </w:tcBorders>
          </w:tcPr>
          <w:p w14:paraId="72D18F88" w14:textId="77777777" w:rsidR="0031565B" w:rsidRPr="00845C64" w:rsidRDefault="0031565B" w:rsidP="0031565B">
            <w:pPr>
              <w:jc w:val="center"/>
              <w:rPr>
                <w:sz w:val="18"/>
                <w:szCs w:val="18"/>
              </w:rPr>
            </w:pPr>
            <w:r w:rsidRPr="00845C64">
              <w:rPr>
                <w:sz w:val="18"/>
                <w:szCs w:val="18"/>
              </w:rPr>
              <w:t>0.7%; 4%</w:t>
            </w:r>
          </w:p>
        </w:tc>
      </w:tr>
      <w:tr w:rsidR="00AD37D3" w:rsidRPr="00845C64" w14:paraId="23502B4D" w14:textId="77777777" w:rsidTr="00115135">
        <w:trPr>
          <w:trHeight w:val="140"/>
        </w:trPr>
        <w:tc>
          <w:tcPr>
            <w:tcW w:w="0" w:type="auto"/>
            <w:tcBorders>
              <w:right w:val="nil"/>
            </w:tcBorders>
          </w:tcPr>
          <w:p w14:paraId="770C0A55" w14:textId="77777777" w:rsidR="0031565B" w:rsidRPr="00845C64" w:rsidRDefault="0031565B" w:rsidP="0031565B">
            <w:pPr>
              <w:jc w:val="center"/>
              <w:rPr>
                <w:sz w:val="18"/>
                <w:szCs w:val="18"/>
              </w:rPr>
            </w:pPr>
            <w:r w:rsidRPr="00845C64">
              <w:rPr>
                <w:sz w:val="18"/>
                <w:szCs w:val="18"/>
              </w:rPr>
              <w:t>Hyperprolactinemia</w:t>
            </w:r>
          </w:p>
        </w:tc>
        <w:tc>
          <w:tcPr>
            <w:tcW w:w="0" w:type="auto"/>
            <w:tcBorders>
              <w:left w:val="nil"/>
              <w:right w:val="nil"/>
            </w:tcBorders>
          </w:tcPr>
          <w:p w14:paraId="23F55425" w14:textId="74F80EB7" w:rsidR="0031565B" w:rsidRPr="00845C64" w:rsidRDefault="0031565B" w:rsidP="00AD37D3">
            <w:pPr>
              <w:jc w:val="center"/>
              <w:rPr>
                <w:sz w:val="18"/>
                <w:szCs w:val="18"/>
              </w:rPr>
            </w:pPr>
            <w:r w:rsidRPr="00845C64">
              <w:rPr>
                <w:sz w:val="18"/>
                <w:szCs w:val="18"/>
              </w:rPr>
              <w:t xml:space="preserve">Al-Ani et al. </w:t>
            </w:r>
            <w:r w:rsidR="003E2CBA">
              <w:rPr>
                <w:sz w:val="18"/>
                <w:szCs w:val="18"/>
              </w:rPr>
              <w:t>[12</w:t>
            </w:r>
            <w:r w:rsidR="00F325E2">
              <w:rPr>
                <w:sz w:val="18"/>
                <w:szCs w:val="18"/>
              </w:rPr>
              <w:t>]</w:t>
            </w:r>
          </w:p>
        </w:tc>
        <w:tc>
          <w:tcPr>
            <w:tcW w:w="0" w:type="auto"/>
            <w:tcBorders>
              <w:left w:val="nil"/>
              <w:right w:val="nil"/>
            </w:tcBorders>
          </w:tcPr>
          <w:p w14:paraId="15A9CD43" w14:textId="77777777" w:rsidR="0031565B" w:rsidRPr="00845C64" w:rsidRDefault="0031565B" w:rsidP="0031565B">
            <w:pPr>
              <w:jc w:val="center"/>
              <w:rPr>
                <w:sz w:val="18"/>
                <w:szCs w:val="18"/>
              </w:rPr>
            </w:pPr>
            <w:r w:rsidRPr="00845C64">
              <w:rPr>
                <w:sz w:val="18"/>
                <w:szCs w:val="18"/>
              </w:rPr>
              <w:t>2021</w:t>
            </w:r>
          </w:p>
        </w:tc>
        <w:tc>
          <w:tcPr>
            <w:tcW w:w="0" w:type="auto"/>
            <w:tcBorders>
              <w:left w:val="nil"/>
            </w:tcBorders>
          </w:tcPr>
          <w:p w14:paraId="2E343133" w14:textId="77777777" w:rsidR="0031565B" w:rsidRPr="00845C64" w:rsidRDefault="0031565B" w:rsidP="0031565B">
            <w:pPr>
              <w:jc w:val="center"/>
              <w:rPr>
                <w:sz w:val="18"/>
                <w:szCs w:val="18"/>
              </w:rPr>
            </w:pPr>
            <w:r w:rsidRPr="00845C64">
              <w:rPr>
                <w:sz w:val="18"/>
                <w:szCs w:val="18"/>
              </w:rPr>
              <w:t>5.9%</w:t>
            </w:r>
          </w:p>
        </w:tc>
      </w:tr>
      <w:tr w:rsidR="00AD37D3" w:rsidRPr="00845C64" w14:paraId="12F6E713" w14:textId="77777777" w:rsidTr="00115135">
        <w:trPr>
          <w:trHeight w:val="140"/>
        </w:trPr>
        <w:tc>
          <w:tcPr>
            <w:tcW w:w="0" w:type="auto"/>
            <w:tcBorders>
              <w:right w:val="nil"/>
            </w:tcBorders>
          </w:tcPr>
          <w:p w14:paraId="5599DE2C" w14:textId="77777777" w:rsidR="0031565B" w:rsidRPr="00845C64" w:rsidRDefault="0031565B" w:rsidP="0031565B">
            <w:pPr>
              <w:jc w:val="center"/>
              <w:rPr>
                <w:sz w:val="18"/>
                <w:szCs w:val="18"/>
              </w:rPr>
            </w:pPr>
            <w:r w:rsidRPr="00845C64">
              <w:rPr>
                <w:sz w:val="18"/>
                <w:szCs w:val="18"/>
              </w:rPr>
              <w:t>Endometrioma</w:t>
            </w:r>
          </w:p>
        </w:tc>
        <w:tc>
          <w:tcPr>
            <w:tcW w:w="0" w:type="auto"/>
            <w:tcBorders>
              <w:left w:val="nil"/>
              <w:right w:val="nil"/>
            </w:tcBorders>
          </w:tcPr>
          <w:p w14:paraId="0AED167A" w14:textId="085FA19B" w:rsidR="0031565B" w:rsidRPr="00845C64" w:rsidRDefault="0031565B" w:rsidP="00AD37D3">
            <w:pPr>
              <w:jc w:val="center"/>
              <w:rPr>
                <w:sz w:val="18"/>
                <w:szCs w:val="18"/>
              </w:rPr>
            </w:pPr>
            <w:r w:rsidRPr="00845C64">
              <w:rPr>
                <w:sz w:val="18"/>
                <w:szCs w:val="18"/>
              </w:rPr>
              <w:t xml:space="preserve">Al-Ani et al. </w:t>
            </w:r>
            <w:r w:rsidR="003E2CBA">
              <w:rPr>
                <w:sz w:val="18"/>
                <w:szCs w:val="18"/>
              </w:rPr>
              <w:t>[12</w:t>
            </w:r>
            <w:r w:rsidR="00F325E2">
              <w:rPr>
                <w:sz w:val="18"/>
                <w:szCs w:val="18"/>
              </w:rPr>
              <w:t>]</w:t>
            </w:r>
          </w:p>
        </w:tc>
        <w:tc>
          <w:tcPr>
            <w:tcW w:w="0" w:type="auto"/>
            <w:tcBorders>
              <w:left w:val="nil"/>
              <w:right w:val="nil"/>
            </w:tcBorders>
          </w:tcPr>
          <w:p w14:paraId="44840DA7" w14:textId="77777777" w:rsidR="0031565B" w:rsidRPr="00845C64" w:rsidRDefault="0031565B" w:rsidP="0031565B">
            <w:pPr>
              <w:jc w:val="center"/>
              <w:rPr>
                <w:sz w:val="18"/>
                <w:szCs w:val="18"/>
              </w:rPr>
            </w:pPr>
            <w:r w:rsidRPr="00845C64">
              <w:rPr>
                <w:sz w:val="18"/>
                <w:szCs w:val="18"/>
              </w:rPr>
              <w:t>2021</w:t>
            </w:r>
          </w:p>
        </w:tc>
        <w:tc>
          <w:tcPr>
            <w:tcW w:w="0" w:type="auto"/>
            <w:tcBorders>
              <w:left w:val="nil"/>
            </w:tcBorders>
          </w:tcPr>
          <w:p w14:paraId="190C9683" w14:textId="77777777" w:rsidR="0031565B" w:rsidRPr="00845C64" w:rsidRDefault="0031565B" w:rsidP="0031565B">
            <w:pPr>
              <w:jc w:val="center"/>
              <w:rPr>
                <w:sz w:val="18"/>
                <w:szCs w:val="18"/>
              </w:rPr>
            </w:pPr>
            <w:r w:rsidRPr="00845C64">
              <w:rPr>
                <w:sz w:val="18"/>
                <w:szCs w:val="18"/>
              </w:rPr>
              <w:t>1%</w:t>
            </w:r>
          </w:p>
        </w:tc>
      </w:tr>
      <w:tr w:rsidR="00AD37D3" w:rsidRPr="00845C64" w14:paraId="78139FC2" w14:textId="77777777" w:rsidTr="00115135">
        <w:trPr>
          <w:trHeight w:val="131"/>
        </w:trPr>
        <w:tc>
          <w:tcPr>
            <w:tcW w:w="0" w:type="auto"/>
            <w:tcBorders>
              <w:right w:val="nil"/>
            </w:tcBorders>
          </w:tcPr>
          <w:p w14:paraId="250B8252" w14:textId="77777777" w:rsidR="0031565B" w:rsidRPr="00845C64" w:rsidRDefault="0031565B" w:rsidP="0031565B">
            <w:pPr>
              <w:jc w:val="center"/>
              <w:rPr>
                <w:sz w:val="18"/>
                <w:szCs w:val="18"/>
              </w:rPr>
            </w:pPr>
            <w:r w:rsidRPr="00845C64">
              <w:rPr>
                <w:sz w:val="18"/>
                <w:szCs w:val="18"/>
              </w:rPr>
              <w:t>Hypogonadism</w:t>
            </w:r>
          </w:p>
        </w:tc>
        <w:tc>
          <w:tcPr>
            <w:tcW w:w="0" w:type="auto"/>
            <w:tcBorders>
              <w:left w:val="nil"/>
              <w:right w:val="nil"/>
            </w:tcBorders>
          </w:tcPr>
          <w:p w14:paraId="45934307" w14:textId="2A389C5B" w:rsidR="0031565B" w:rsidRPr="00845C64" w:rsidRDefault="0031565B" w:rsidP="00AD37D3">
            <w:pPr>
              <w:jc w:val="center"/>
              <w:rPr>
                <w:sz w:val="18"/>
                <w:szCs w:val="18"/>
              </w:rPr>
            </w:pPr>
            <w:r w:rsidRPr="00845C64">
              <w:rPr>
                <w:sz w:val="18"/>
                <w:szCs w:val="18"/>
              </w:rPr>
              <w:t xml:space="preserve">Al-Ani et al. </w:t>
            </w:r>
            <w:r w:rsidR="003E2CBA">
              <w:rPr>
                <w:sz w:val="18"/>
                <w:szCs w:val="18"/>
              </w:rPr>
              <w:t>[12</w:t>
            </w:r>
            <w:r w:rsidR="00F325E2">
              <w:rPr>
                <w:sz w:val="18"/>
                <w:szCs w:val="18"/>
              </w:rPr>
              <w:t>]</w:t>
            </w:r>
          </w:p>
        </w:tc>
        <w:tc>
          <w:tcPr>
            <w:tcW w:w="0" w:type="auto"/>
            <w:tcBorders>
              <w:left w:val="nil"/>
              <w:right w:val="nil"/>
            </w:tcBorders>
          </w:tcPr>
          <w:p w14:paraId="3D7F4912" w14:textId="77777777" w:rsidR="0031565B" w:rsidRPr="00845C64" w:rsidRDefault="0031565B" w:rsidP="0031565B">
            <w:pPr>
              <w:jc w:val="center"/>
              <w:rPr>
                <w:sz w:val="18"/>
                <w:szCs w:val="18"/>
              </w:rPr>
            </w:pPr>
            <w:r w:rsidRPr="00845C64">
              <w:rPr>
                <w:sz w:val="18"/>
                <w:szCs w:val="18"/>
              </w:rPr>
              <w:t>2021</w:t>
            </w:r>
          </w:p>
        </w:tc>
        <w:tc>
          <w:tcPr>
            <w:tcW w:w="0" w:type="auto"/>
            <w:tcBorders>
              <w:left w:val="nil"/>
            </w:tcBorders>
          </w:tcPr>
          <w:p w14:paraId="57231619" w14:textId="77777777" w:rsidR="0031565B" w:rsidRPr="00845C64" w:rsidRDefault="0031565B" w:rsidP="0031565B">
            <w:pPr>
              <w:jc w:val="center"/>
              <w:rPr>
                <w:sz w:val="18"/>
                <w:szCs w:val="18"/>
              </w:rPr>
            </w:pPr>
            <w:r w:rsidRPr="00845C64">
              <w:rPr>
                <w:sz w:val="18"/>
                <w:szCs w:val="18"/>
              </w:rPr>
              <w:t>2.1%</w:t>
            </w:r>
          </w:p>
        </w:tc>
      </w:tr>
      <w:tr w:rsidR="00AD37D3" w:rsidRPr="00845C64" w14:paraId="49DED486" w14:textId="77777777" w:rsidTr="00115135">
        <w:trPr>
          <w:trHeight w:val="282"/>
        </w:trPr>
        <w:tc>
          <w:tcPr>
            <w:tcW w:w="0" w:type="auto"/>
            <w:tcBorders>
              <w:right w:val="nil"/>
            </w:tcBorders>
          </w:tcPr>
          <w:p w14:paraId="23E4DE26" w14:textId="77777777" w:rsidR="0031565B" w:rsidRPr="00845C64" w:rsidRDefault="0031565B" w:rsidP="0031565B">
            <w:pPr>
              <w:jc w:val="center"/>
              <w:rPr>
                <w:sz w:val="18"/>
                <w:szCs w:val="18"/>
              </w:rPr>
            </w:pPr>
            <w:r w:rsidRPr="00845C64">
              <w:rPr>
                <w:sz w:val="18"/>
                <w:szCs w:val="18"/>
              </w:rPr>
              <w:t>Pelvic inflammatory diseases</w:t>
            </w:r>
          </w:p>
        </w:tc>
        <w:tc>
          <w:tcPr>
            <w:tcW w:w="0" w:type="auto"/>
            <w:tcBorders>
              <w:left w:val="nil"/>
              <w:right w:val="nil"/>
            </w:tcBorders>
          </w:tcPr>
          <w:p w14:paraId="1E2B1745" w14:textId="3D8407C5" w:rsidR="0031565B" w:rsidRPr="00845C64" w:rsidRDefault="0031565B" w:rsidP="00AD37D3">
            <w:pPr>
              <w:jc w:val="center"/>
              <w:rPr>
                <w:sz w:val="18"/>
                <w:szCs w:val="18"/>
              </w:rPr>
            </w:pPr>
            <w:r w:rsidRPr="00845C64">
              <w:rPr>
                <w:sz w:val="18"/>
                <w:szCs w:val="18"/>
              </w:rPr>
              <w:t xml:space="preserve">Al-Najjar </w:t>
            </w:r>
            <w:r w:rsidR="003E2CBA">
              <w:rPr>
                <w:sz w:val="18"/>
                <w:szCs w:val="18"/>
              </w:rPr>
              <w:t>[16</w:t>
            </w:r>
            <w:r w:rsidR="00F325E2">
              <w:rPr>
                <w:sz w:val="18"/>
                <w:szCs w:val="18"/>
              </w:rPr>
              <w:t>]</w:t>
            </w:r>
          </w:p>
        </w:tc>
        <w:tc>
          <w:tcPr>
            <w:tcW w:w="0" w:type="auto"/>
            <w:tcBorders>
              <w:left w:val="nil"/>
              <w:right w:val="nil"/>
            </w:tcBorders>
          </w:tcPr>
          <w:p w14:paraId="76288622" w14:textId="77777777" w:rsidR="0031565B" w:rsidRPr="00845C64" w:rsidRDefault="0031565B" w:rsidP="0031565B">
            <w:pPr>
              <w:jc w:val="center"/>
              <w:rPr>
                <w:sz w:val="18"/>
                <w:szCs w:val="18"/>
              </w:rPr>
            </w:pPr>
            <w:r w:rsidRPr="00845C64">
              <w:rPr>
                <w:sz w:val="18"/>
                <w:szCs w:val="18"/>
              </w:rPr>
              <w:t>2023</w:t>
            </w:r>
          </w:p>
        </w:tc>
        <w:tc>
          <w:tcPr>
            <w:tcW w:w="0" w:type="auto"/>
            <w:tcBorders>
              <w:left w:val="nil"/>
            </w:tcBorders>
          </w:tcPr>
          <w:p w14:paraId="0BAEBEEA" w14:textId="77777777" w:rsidR="0031565B" w:rsidRPr="00845C64" w:rsidRDefault="0031565B" w:rsidP="0031565B">
            <w:pPr>
              <w:jc w:val="center"/>
              <w:rPr>
                <w:sz w:val="18"/>
                <w:szCs w:val="18"/>
              </w:rPr>
            </w:pPr>
            <w:r w:rsidRPr="00845C64">
              <w:rPr>
                <w:sz w:val="18"/>
                <w:szCs w:val="18"/>
              </w:rPr>
              <w:t>10%</w:t>
            </w:r>
          </w:p>
        </w:tc>
      </w:tr>
      <w:tr w:rsidR="00AD37D3" w:rsidRPr="00845C64" w14:paraId="5F1F7F43" w14:textId="77777777" w:rsidTr="00115135">
        <w:trPr>
          <w:trHeight w:val="140"/>
        </w:trPr>
        <w:tc>
          <w:tcPr>
            <w:tcW w:w="0" w:type="auto"/>
            <w:tcBorders>
              <w:right w:val="nil"/>
            </w:tcBorders>
          </w:tcPr>
          <w:p w14:paraId="048BF765" w14:textId="77777777" w:rsidR="0031565B" w:rsidRPr="00845C64" w:rsidRDefault="0031565B" w:rsidP="0031565B">
            <w:pPr>
              <w:jc w:val="center"/>
              <w:rPr>
                <w:sz w:val="18"/>
                <w:szCs w:val="18"/>
              </w:rPr>
            </w:pPr>
            <w:r w:rsidRPr="00845C64">
              <w:rPr>
                <w:sz w:val="18"/>
                <w:szCs w:val="18"/>
              </w:rPr>
              <w:t>Ectopic pregnancy</w:t>
            </w:r>
          </w:p>
        </w:tc>
        <w:tc>
          <w:tcPr>
            <w:tcW w:w="0" w:type="auto"/>
            <w:tcBorders>
              <w:left w:val="nil"/>
              <w:right w:val="nil"/>
            </w:tcBorders>
          </w:tcPr>
          <w:p w14:paraId="089E8196" w14:textId="5ED9DD0B" w:rsidR="0031565B" w:rsidRPr="00845C64" w:rsidRDefault="0031565B" w:rsidP="00AD37D3">
            <w:pPr>
              <w:jc w:val="center"/>
              <w:rPr>
                <w:sz w:val="18"/>
                <w:szCs w:val="18"/>
              </w:rPr>
            </w:pPr>
            <w:r w:rsidRPr="00845C64">
              <w:rPr>
                <w:sz w:val="18"/>
                <w:szCs w:val="18"/>
              </w:rPr>
              <w:t xml:space="preserve">Al-Najjar </w:t>
            </w:r>
            <w:r w:rsidR="003E2CBA">
              <w:rPr>
                <w:sz w:val="18"/>
                <w:szCs w:val="18"/>
              </w:rPr>
              <w:t>[16</w:t>
            </w:r>
            <w:r w:rsidR="00F325E2">
              <w:rPr>
                <w:sz w:val="18"/>
                <w:szCs w:val="18"/>
              </w:rPr>
              <w:t>]</w:t>
            </w:r>
            <w:r w:rsidR="00E652B2">
              <w:rPr>
                <w:sz w:val="18"/>
                <w:szCs w:val="18"/>
              </w:rPr>
              <w:t xml:space="preserve"> </w:t>
            </w:r>
          </w:p>
        </w:tc>
        <w:tc>
          <w:tcPr>
            <w:tcW w:w="0" w:type="auto"/>
            <w:tcBorders>
              <w:left w:val="nil"/>
              <w:right w:val="nil"/>
            </w:tcBorders>
          </w:tcPr>
          <w:p w14:paraId="43DE0B31" w14:textId="77777777" w:rsidR="0031565B" w:rsidRPr="00845C64" w:rsidRDefault="0031565B" w:rsidP="0031565B">
            <w:pPr>
              <w:jc w:val="center"/>
              <w:rPr>
                <w:sz w:val="18"/>
                <w:szCs w:val="18"/>
              </w:rPr>
            </w:pPr>
            <w:r w:rsidRPr="00845C64">
              <w:rPr>
                <w:sz w:val="18"/>
                <w:szCs w:val="18"/>
              </w:rPr>
              <w:t>2023</w:t>
            </w:r>
          </w:p>
        </w:tc>
        <w:tc>
          <w:tcPr>
            <w:tcW w:w="0" w:type="auto"/>
            <w:tcBorders>
              <w:left w:val="nil"/>
            </w:tcBorders>
          </w:tcPr>
          <w:p w14:paraId="38603D61" w14:textId="77777777" w:rsidR="0031565B" w:rsidRPr="00845C64" w:rsidRDefault="0031565B" w:rsidP="0031565B">
            <w:pPr>
              <w:jc w:val="center"/>
              <w:rPr>
                <w:sz w:val="18"/>
                <w:szCs w:val="18"/>
              </w:rPr>
            </w:pPr>
            <w:r w:rsidRPr="00845C64">
              <w:rPr>
                <w:sz w:val="18"/>
                <w:szCs w:val="18"/>
              </w:rPr>
              <w:t>2%</w:t>
            </w:r>
          </w:p>
        </w:tc>
      </w:tr>
      <w:tr w:rsidR="00AD37D3" w:rsidRPr="00845C64" w14:paraId="05B8A286" w14:textId="77777777" w:rsidTr="00115135">
        <w:trPr>
          <w:trHeight w:val="140"/>
        </w:trPr>
        <w:tc>
          <w:tcPr>
            <w:tcW w:w="0" w:type="auto"/>
            <w:tcBorders>
              <w:right w:val="nil"/>
            </w:tcBorders>
          </w:tcPr>
          <w:p w14:paraId="5662230D" w14:textId="77777777" w:rsidR="0031565B" w:rsidRPr="00845C64" w:rsidRDefault="0031565B" w:rsidP="0031565B">
            <w:pPr>
              <w:jc w:val="center"/>
              <w:rPr>
                <w:sz w:val="18"/>
                <w:szCs w:val="18"/>
              </w:rPr>
            </w:pPr>
            <w:r w:rsidRPr="00845C64">
              <w:rPr>
                <w:sz w:val="18"/>
                <w:szCs w:val="18"/>
              </w:rPr>
              <w:t>Microbial infections</w:t>
            </w:r>
          </w:p>
        </w:tc>
        <w:tc>
          <w:tcPr>
            <w:tcW w:w="0" w:type="auto"/>
            <w:tcBorders>
              <w:left w:val="nil"/>
              <w:right w:val="nil"/>
            </w:tcBorders>
          </w:tcPr>
          <w:p w14:paraId="0DE79147" w14:textId="4BBB5470" w:rsidR="0031565B" w:rsidRPr="00845C64" w:rsidRDefault="0031565B" w:rsidP="00AD37D3">
            <w:pPr>
              <w:jc w:val="center"/>
              <w:rPr>
                <w:sz w:val="18"/>
                <w:szCs w:val="18"/>
              </w:rPr>
            </w:pPr>
            <w:r w:rsidRPr="00845C64">
              <w:rPr>
                <w:sz w:val="18"/>
                <w:szCs w:val="18"/>
              </w:rPr>
              <w:t>Salman et al.</w:t>
            </w:r>
            <w:r w:rsidR="003E2CBA">
              <w:rPr>
                <w:sz w:val="18"/>
                <w:szCs w:val="18"/>
              </w:rPr>
              <w:t xml:space="preserve"> [27</w:t>
            </w:r>
            <w:r w:rsidR="00F325E2">
              <w:rPr>
                <w:sz w:val="18"/>
                <w:szCs w:val="18"/>
              </w:rPr>
              <w:t>]</w:t>
            </w:r>
            <w:r w:rsidRPr="00845C64">
              <w:rPr>
                <w:sz w:val="18"/>
                <w:szCs w:val="18"/>
              </w:rPr>
              <w:t xml:space="preserve"> </w:t>
            </w:r>
          </w:p>
        </w:tc>
        <w:tc>
          <w:tcPr>
            <w:tcW w:w="0" w:type="auto"/>
            <w:tcBorders>
              <w:left w:val="nil"/>
              <w:right w:val="nil"/>
            </w:tcBorders>
          </w:tcPr>
          <w:p w14:paraId="07BD0552" w14:textId="77777777" w:rsidR="0031565B" w:rsidRPr="00845C64" w:rsidRDefault="0031565B" w:rsidP="0031565B">
            <w:pPr>
              <w:jc w:val="center"/>
              <w:rPr>
                <w:sz w:val="18"/>
                <w:szCs w:val="18"/>
              </w:rPr>
            </w:pPr>
            <w:r w:rsidRPr="00845C64">
              <w:rPr>
                <w:sz w:val="18"/>
                <w:szCs w:val="18"/>
              </w:rPr>
              <w:t>2022</w:t>
            </w:r>
          </w:p>
        </w:tc>
        <w:tc>
          <w:tcPr>
            <w:tcW w:w="0" w:type="auto"/>
            <w:tcBorders>
              <w:left w:val="nil"/>
            </w:tcBorders>
          </w:tcPr>
          <w:p w14:paraId="7981DAED" w14:textId="77777777" w:rsidR="0031565B" w:rsidRPr="00845C64" w:rsidRDefault="0031565B" w:rsidP="0031565B">
            <w:pPr>
              <w:jc w:val="center"/>
              <w:rPr>
                <w:sz w:val="18"/>
                <w:szCs w:val="18"/>
              </w:rPr>
            </w:pPr>
            <w:r w:rsidRPr="00845C64">
              <w:rPr>
                <w:sz w:val="18"/>
                <w:szCs w:val="18"/>
              </w:rPr>
              <w:t>34.3%</w:t>
            </w:r>
          </w:p>
        </w:tc>
      </w:tr>
      <w:tr w:rsidR="00AD37D3" w:rsidRPr="00845C64" w14:paraId="21C1FE3B" w14:textId="77777777" w:rsidTr="00115135">
        <w:trPr>
          <w:trHeight w:val="131"/>
        </w:trPr>
        <w:tc>
          <w:tcPr>
            <w:tcW w:w="0" w:type="auto"/>
            <w:tcBorders>
              <w:right w:val="nil"/>
            </w:tcBorders>
          </w:tcPr>
          <w:p w14:paraId="173F9BDD" w14:textId="77777777" w:rsidR="0031565B" w:rsidRPr="00845C64" w:rsidRDefault="0031565B" w:rsidP="0031565B">
            <w:pPr>
              <w:jc w:val="center"/>
              <w:rPr>
                <w:sz w:val="18"/>
                <w:szCs w:val="18"/>
              </w:rPr>
            </w:pPr>
            <w:r w:rsidRPr="00845C64">
              <w:rPr>
                <w:sz w:val="18"/>
                <w:szCs w:val="18"/>
              </w:rPr>
              <w:t>Endometriosis</w:t>
            </w:r>
          </w:p>
        </w:tc>
        <w:tc>
          <w:tcPr>
            <w:tcW w:w="0" w:type="auto"/>
            <w:tcBorders>
              <w:left w:val="nil"/>
              <w:right w:val="nil"/>
            </w:tcBorders>
          </w:tcPr>
          <w:p w14:paraId="7E4B3510" w14:textId="7F222E49" w:rsidR="0031565B" w:rsidRPr="00845C64" w:rsidRDefault="0031565B" w:rsidP="00AD37D3">
            <w:pPr>
              <w:jc w:val="center"/>
              <w:rPr>
                <w:sz w:val="18"/>
                <w:szCs w:val="18"/>
              </w:rPr>
            </w:pPr>
            <w:r w:rsidRPr="00115135">
              <w:rPr>
                <w:sz w:val="18"/>
                <w:szCs w:val="18"/>
                <w:lang w:val="fr-FR"/>
              </w:rPr>
              <w:t>Saeed et al.</w:t>
            </w:r>
            <w:r w:rsidR="003E2CBA" w:rsidRPr="00115135">
              <w:rPr>
                <w:sz w:val="18"/>
                <w:szCs w:val="18"/>
                <w:lang w:val="fr-FR"/>
              </w:rPr>
              <w:t xml:space="preserve"> [23</w:t>
            </w:r>
            <w:r w:rsidR="00F325E2" w:rsidRPr="00115135">
              <w:rPr>
                <w:sz w:val="18"/>
                <w:szCs w:val="18"/>
                <w:lang w:val="fr-FR"/>
              </w:rPr>
              <w:t>]</w:t>
            </w:r>
            <w:r w:rsidRPr="00115135">
              <w:rPr>
                <w:sz w:val="18"/>
                <w:szCs w:val="18"/>
                <w:lang w:val="fr-FR"/>
              </w:rPr>
              <w:t xml:space="preserve">; </w:t>
            </w:r>
            <w:proofErr w:type="spellStart"/>
            <w:r w:rsidRPr="00115135">
              <w:rPr>
                <w:sz w:val="18"/>
                <w:szCs w:val="18"/>
                <w:lang w:val="fr-FR"/>
              </w:rPr>
              <w:t>Jasim</w:t>
            </w:r>
            <w:proofErr w:type="spellEnd"/>
            <w:r w:rsidRPr="00115135">
              <w:rPr>
                <w:sz w:val="18"/>
                <w:szCs w:val="18"/>
                <w:lang w:val="fr-FR"/>
              </w:rPr>
              <w:t xml:space="preserve"> et al. </w:t>
            </w:r>
            <w:r w:rsidR="003E2CBA">
              <w:rPr>
                <w:sz w:val="18"/>
                <w:szCs w:val="18"/>
              </w:rPr>
              <w:t>[17</w:t>
            </w:r>
            <w:r w:rsidR="00F325E2">
              <w:rPr>
                <w:sz w:val="18"/>
                <w:szCs w:val="18"/>
              </w:rPr>
              <w:t>]</w:t>
            </w:r>
            <w:r w:rsidR="00CA68FF">
              <w:rPr>
                <w:sz w:val="18"/>
                <w:szCs w:val="18"/>
              </w:rPr>
              <w:t xml:space="preserve"> </w:t>
            </w:r>
          </w:p>
        </w:tc>
        <w:tc>
          <w:tcPr>
            <w:tcW w:w="0" w:type="auto"/>
            <w:tcBorders>
              <w:left w:val="nil"/>
              <w:right w:val="nil"/>
            </w:tcBorders>
          </w:tcPr>
          <w:p w14:paraId="263FA777" w14:textId="77777777" w:rsidR="0031565B" w:rsidRPr="00845C64" w:rsidRDefault="0031565B" w:rsidP="0031565B">
            <w:pPr>
              <w:jc w:val="center"/>
              <w:rPr>
                <w:sz w:val="18"/>
                <w:szCs w:val="18"/>
              </w:rPr>
            </w:pPr>
            <w:r w:rsidRPr="00845C64">
              <w:rPr>
                <w:sz w:val="18"/>
                <w:szCs w:val="18"/>
              </w:rPr>
              <w:t>2021; 2024</w:t>
            </w:r>
          </w:p>
        </w:tc>
        <w:tc>
          <w:tcPr>
            <w:tcW w:w="0" w:type="auto"/>
            <w:tcBorders>
              <w:left w:val="nil"/>
            </w:tcBorders>
          </w:tcPr>
          <w:p w14:paraId="7308556C" w14:textId="77777777" w:rsidR="0031565B" w:rsidRPr="00845C64" w:rsidRDefault="0031565B" w:rsidP="0031565B">
            <w:pPr>
              <w:jc w:val="center"/>
              <w:rPr>
                <w:sz w:val="18"/>
                <w:szCs w:val="18"/>
              </w:rPr>
            </w:pPr>
            <w:r w:rsidRPr="00845C64">
              <w:rPr>
                <w:sz w:val="18"/>
                <w:szCs w:val="18"/>
              </w:rPr>
              <w:t>2%; 12%</w:t>
            </w:r>
          </w:p>
        </w:tc>
      </w:tr>
      <w:tr w:rsidR="00AD37D3" w:rsidRPr="00845C64" w14:paraId="0525EA6E" w14:textId="77777777" w:rsidTr="00115135">
        <w:trPr>
          <w:trHeight w:val="57"/>
        </w:trPr>
        <w:tc>
          <w:tcPr>
            <w:tcW w:w="0" w:type="auto"/>
            <w:tcBorders>
              <w:right w:val="nil"/>
            </w:tcBorders>
          </w:tcPr>
          <w:p w14:paraId="2A42E9CA" w14:textId="77777777" w:rsidR="0031565B" w:rsidRPr="00845C64" w:rsidRDefault="0031565B" w:rsidP="0031565B">
            <w:pPr>
              <w:jc w:val="center"/>
              <w:rPr>
                <w:sz w:val="18"/>
                <w:szCs w:val="18"/>
              </w:rPr>
            </w:pPr>
            <w:r w:rsidRPr="00845C64">
              <w:rPr>
                <w:sz w:val="18"/>
                <w:szCs w:val="18"/>
              </w:rPr>
              <w:t>Uterine cyst</w:t>
            </w:r>
          </w:p>
        </w:tc>
        <w:tc>
          <w:tcPr>
            <w:tcW w:w="0" w:type="auto"/>
            <w:tcBorders>
              <w:left w:val="nil"/>
              <w:right w:val="nil"/>
            </w:tcBorders>
          </w:tcPr>
          <w:p w14:paraId="640FA161" w14:textId="156E5B16" w:rsidR="0031565B" w:rsidRPr="00845C64" w:rsidRDefault="003E2CBA" w:rsidP="00AD37D3">
            <w:pPr>
              <w:jc w:val="center"/>
              <w:rPr>
                <w:sz w:val="18"/>
                <w:szCs w:val="18"/>
              </w:rPr>
            </w:pPr>
            <w:r>
              <w:rPr>
                <w:sz w:val="18"/>
                <w:szCs w:val="18"/>
              </w:rPr>
              <w:t>Saeed et al. [21</w:t>
            </w:r>
            <w:r w:rsidR="00F325E2">
              <w:rPr>
                <w:sz w:val="18"/>
                <w:szCs w:val="18"/>
              </w:rPr>
              <w:t>]</w:t>
            </w:r>
            <w:r w:rsidR="00461A39">
              <w:rPr>
                <w:sz w:val="18"/>
                <w:szCs w:val="18"/>
              </w:rPr>
              <w:t xml:space="preserve"> </w:t>
            </w:r>
          </w:p>
        </w:tc>
        <w:tc>
          <w:tcPr>
            <w:tcW w:w="0" w:type="auto"/>
            <w:tcBorders>
              <w:left w:val="nil"/>
              <w:right w:val="nil"/>
            </w:tcBorders>
          </w:tcPr>
          <w:p w14:paraId="46AEEC84" w14:textId="77777777" w:rsidR="0031565B" w:rsidRPr="00845C64" w:rsidRDefault="0031565B" w:rsidP="0031565B">
            <w:pPr>
              <w:jc w:val="center"/>
              <w:rPr>
                <w:sz w:val="18"/>
                <w:szCs w:val="18"/>
              </w:rPr>
            </w:pPr>
            <w:r w:rsidRPr="00845C64">
              <w:rPr>
                <w:sz w:val="18"/>
                <w:szCs w:val="18"/>
              </w:rPr>
              <w:t>2021</w:t>
            </w:r>
          </w:p>
        </w:tc>
        <w:tc>
          <w:tcPr>
            <w:tcW w:w="0" w:type="auto"/>
            <w:tcBorders>
              <w:left w:val="nil"/>
            </w:tcBorders>
          </w:tcPr>
          <w:p w14:paraId="3FB45B78" w14:textId="77777777" w:rsidR="0031565B" w:rsidRPr="00845C64" w:rsidRDefault="0031565B" w:rsidP="0031565B">
            <w:pPr>
              <w:jc w:val="center"/>
              <w:rPr>
                <w:sz w:val="18"/>
                <w:szCs w:val="18"/>
              </w:rPr>
            </w:pPr>
            <w:r w:rsidRPr="00845C64">
              <w:rPr>
                <w:sz w:val="18"/>
                <w:szCs w:val="18"/>
              </w:rPr>
              <w:t>8%</w:t>
            </w:r>
          </w:p>
        </w:tc>
      </w:tr>
      <w:tr w:rsidR="00AD37D3" w:rsidRPr="00845C64" w14:paraId="0798DC49" w14:textId="77777777" w:rsidTr="00115135">
        <w:trPr>
          <w:trHeight w:val="140"/>
        </w:trPr>
        <w:tc>
          <w:tcPr>
            <w:tcW w:w="0" w:type="auto"/>
            <w:tcBorders>
              <w:right w:val="nil"/>
            </w:tcBorders>
          </w:tcPr>
          <w:p w14:paraId="1A9F3DA7" w14:textId="77777777" w:rsidR="0031565B" w:rsidRPr="00845C64" w:rsidRDefault="0031565B" w:rsidP="0031565B">
            <w:pPr>
              <w:jc w:val="center"/>
              <w:rPr>
                <w:sz w:val="18"/>
                <w:szCs w:val="18"/>
              </w:rPr>
            </w:pPr>
            <w:r w:rsidRPr="00845C64">
              <w:rPr>
                <w:sz w:val="18"/>
                <w:szCs w:val="18"/>
              </w:rPr>
              <w:t>Fallopian disorder</w:t>
            </w:r>
          </w:p>
        </w:tc>
        <w:tc>
          <w:tcPr>
            <w:tcW w:w="0" w:type="auto"/>
            <w:tcBorders>
              <w:left w:val="nil"/>
              <w:right w:val="nil"/>
            </w:tcBorders>
          </w:tcPr>
          <w:p w14:paraId="6A0CF247" w14:textId="2D491089" w:rsidR="0031565B" w:rsidRPr="00845C64" w:rsidRDefault="0031565B" w:rsidP="00AD37D3">
            <w:pPr>
              <w:jc w:val="center"/>
              <w:rPr>
                <w:sz w:val="18"/>
                <w:szCs w:val="18"/>
              </w:rPr>
            </w:pPr>
            <w:r w:rsidRPr="00115135">
              <w:rPr>
                <w:sz w:val="18"/>
                <w:szCs w:val="18"/>
                <w:lang w:val="fr-FR"/>
              </w:rPr>
              <w:t xml:space="preserve">Saeed et al. </w:t>
            </w:r>
            <w:r w:rsidR="003E2CBA" w:rsidRPr="00115135">
              <w:rPr>
                <w:sz w:val="18"/>
                <w:szCs w:val="18"/>
                <w:lang w:val="fr-FR"/>
              </w:rPr>
              <w:t>[28</w:t>
            </w:r>
            <w:r w:rsidR="00F325E2" w:rsidRPr="00115135">
              <w:rPr>
                <w:sz w:val="18"/>
                <w:szCs w:val="18"/>
                <w:lang w:val="fr-FR"/>
              </w:rPr>
              <w:t>]</w:t>
            </w:r>
            <w:r w:rsidRPr="00115135">
              <w:rPr>
                <w:sz w:val="18"/>
                <w:szCs w:val="18"/>
                <w:lang w:val="fr-FR"/>
              </w:rPr>
              <w:t xml:space="preserve">; </w:t>
            </w:r>
            <w:proofErr w:type="spellStart"/>
            <w:r w:rsidRPr="00115135">
              <w:rPr>
                <w:sz w:val="18"/>
                <w:szCs w:val="18"/>
                <w:lang w:val="fr-FR"/>
              </w:rPr>
              <w:t>Jasim</w:t>
            </w:r>
            <w:proofErr w:type="spellEnd"/>
            <w:r w:rsidRPr="00115135">
              <w:rPr>
                <w:sz w:val="18"/>
                <w:szCs w:val="18"/>
                <w:lang w:val="fr-FR"/>
              </w:rPr>
              <w:t xml:space="preserve"> et al. </w:t>
            </w:r>
            <w:r w:rsidR="00F325E2">
              <w:rPr>
                <w:sz w:val="18"/>
                <w:szCs w:val="18"/>
              </w:rPr>
              <w:t>[</w:t>
            </w:r>
            <w:r w:rsidR="003E2CBA">
              <w:rPr>
                <w:sz w:val="18"/>
                <w:szCs w:val="18"/>
              </w:rPr>
              <w:t>17</w:t>
            </w:r>
            <w:r w:rsidR="00F325E2">
              <w:rPr>
                <w:sz w:val="18"/>
                <w:szCs w:val="18"/>
              </w:rPr>
              <w:t>]</w:t>
            </w:r>
          </w:p>
        </w:tc>
        <w:tc>
          <w:tcPr>
            <w:tcW w:w="0" w:type="auto"/>
            <w:tcBorders>
              <w:left w:val="nil"/>
              <w:right w:val="nil"/>
            </w:tcBorders>
          </w:tcPr>
          <w:p w14:paraId="0DB779FE" w14:textId="77777777" w:rsidR="0031565B" w:rsidRPr="00845C64" w:rsidRDefault="0031565B" w:rsidP="0031565B">
            <w:pPr>
              <w:jc w:val="center"/>
              <w:rPr>
                <w:sz w:val="18"/>
                <w:szCs w:val="18"/>
              </w:rPr>
            </w:pPr>
            <w:r w:rsidRPr="00845C64">
              <w:rPr>
                <w:sz w:val="18"/>
                <w:szCs w:val="18"/>
              </w:rPr>
              <w:t>2021; 2024</w:t>
            </w:r>
          </w:p>
        </w:tc>
        <w:tc>
          <w:tcPr>
            <w:tcW w:w="0" w:type="auto"/>
            <w:tcBorders>
              <w:left w:val="nil"/>
            </w:tcBorders>
          </w:tcPr>
          <w:p w14:paraId="52CFC3D6" w14:textId="77777777" w:rsidR="0031565B" w:rsidRPr="00845C64" w:rsidRDefault="0031565B" w:rsidP="0031565B">
            <w:pPr>
              <w:jc w:val="center"/>
              <w:rPr>
                <w:sz w:val="18"/>
                <w:szCs w:val="18"/>
              </w:rPr>
            </w:pPr>
            <w:r w:rsidRPr="00845C64">
              <w:rPr>
                <w:sz w:val="18"/>
                <w:szCs w:val="18"/>
              </w:rPr>
              <w:t>10%; 4%</w:t>
            </w:r>
          </w:p>
        </w:tc>
      </w:tr>
      <w:tr w:rsidR="00AD37D3" w:rsidRPr="00845C64" w14:paraId="2BFA09BA" w14:textId="77777777" w:rsidTr="00115135">
        <w:trPr>
          <w:trHeight w:val="140"/>
        </w:trPr>
        <w:tc>
          <w:tcPr>
            <w:tcW w:w="0" w:type="auto"/>
            <w:tcBorders>
              <w:right w:val="nil"/>
            </w:tcBorders>
          </w:tcPr>
          <w:p w14:paraId="0E479372" w14:textId="77777777" w:rsidR="0031565B" w:rsidRPr="00845C64" w:rsidRDefault="0031565B" w:rsidP="0031565B">
            <w:pPr>
              <w:jc w:val="center"/>
              <w:rPr>
                <w:sz w:val="18"/>
                <w:szCs w:val="18"/>
              </w:rPr>
            </w:pPr>
            <w:r w:rsidRPr="00845C64">
              <w:rPr>
                <w:sz w:val="18"/>
                <w:szCs w:val="18"/>
              </w:rPr>
              <w:t>Ovarian reserve</w:t>
            </w:r>
          </w:p>
        </w:tc>
        <w:tc>
          <w:tcPr>
            <w:tcW w:w="0" w:type="auto"/>
            <w:tcBorders>
              <w:left w:val="nil"/>
              <w:right w:val="nil"/>
            </w:tcBorders>
          </w:tcPr>
          <w:p w14:paraId="6AF0355B" w14:textId="03F5C603" w:rsidR="0031565B" w:rsidRPr="00845C64" w:rsidRDefault="0031565B" w:rsidP="00AD37D3">
            <w:pPr>
              <w:jc w:val="center"/>
              <w:rPr>
                <w:sz w:val="18"/>
                <w:szCs w:val="18"/>
              </w:rPr>
            </w:pPr>
            <w:r w:rsidRPr="00845C64">
              <w:rPr>
                <w:sz w:val="18"/>
                <w:szCs w:val="18"/>
              </w:rPr>
              <w:t>Saeed et al.</w:t>
            </w:r>
            <w:r w:rsidR="003E2CBA">
              <w:rPr>
                <w:sz w:val="18"/>
                <w:szCs w:val="18"/>
              </w:rPr>
              <w:t xml:space="preserve"> [21</w:t>
            </w:r>
            <w:r w:rsidR="00F325E2">
              <w:rPr>
                <w:sz w:val="18"/>
                <w:szCs w:val="18"/>
              </w:rPr>
              <w:t>]</w:t>
            </w:r>
            <w:r w:rsidRPr="00845C64">
              <w:rPr>
                <w:sz w:val="18"/>
                <w:szCs w:val="18"/>
              </w:rPr>
              <w:t xml:space="preserve"> </w:t>
            </w:r>
          </w:p>
        </w:tc>
        <w:tc>
          <w:tcPr>
            <w:tcW w:w="0" w:type="auto"/>
            <w:tcBorders>
              <w:left w:val="nil"/>
              <w:right w:val="nil"/>
            </w:tcBorders>
          </w:tcPr>
          <w:p w14:paraId="1C3BE610" w14:textId="77777777" w:rsidR="0031565B" w:rsidRPr="00845C64" w:rsidRDefault="0031565B" w:rsidP="0031565B">
            <w:pPr>
              <w:jc w:val="center"/>
              <w:rPr>
                <w:sz w:val="18"/>
                <w:szCs w:val="18"/>
              </w:rPr>
            </w:pPr>
            <w:r w:rsidRPr="00845C64">
              <w:rPr>
                <w:sz w:val="18"/>
                <w:szCs w:val="18"/>
              </w:rPr>
              <w:t>2021</w:t>
            </w:r>
          </w:p>
        </w:tc>
        <w:tc>
          <w:tcPr>
            <w:tcW w:w="0" w:type="auto"/>
            <w:tcBorders>
              <w:left w:val="nil"/>
            </w:tcBorders>
          </w:tcPr>
          <w:p w14:paraId="40F5ACFC" w14:textId="77777777" w:rsidR="0031565B" w:rsidRPr="00845C64" w:rsidRDefault="0031565B" w:rsidP="0031565B">
            <w:pPr>
              <w:jc w:val="center"/>
              <w:rPr>
                <w:sz w:val="18"/>
                <w:szCs w:val="18"/>
              </w:rPr>
            </w:pPr>
            <w:r w:rsidRPr="00845C64">
              <w:rPr>
                <w:sz w:val="18"/>
                <w:szCs w:val="18"/>
              </w:rPr>
              <w:t>20%</w:t>
            </w:r>
          </w:p>
        </w:tc>
      </w:tr>
      <w:tr w:rsidR="00AD37D3" w:rsidRPr="00845C64" w14:paraId="07578A37" w14:textId="77777777" w:rsidTr="00115135">
        <w:trPr>
          <w:trHeight w:val="131"/>
        </w:trPr>
        <w:tc>
          <w:tcPr>
            <w:tcW w:w="0" w:type="auto"/>
            <w:tcBorders>
              <w:right w:val="nil"/>
            </w:tcBorders>
          </w:tcPr>
          <w:p w14:paraId="3253F7AB" w14:textId="77777777" w:rsidR="0031565B" w:rsidRPr="00845C64" w:rsidRDefault="0031565B" w:rsidP="0031565B">
            <w:pPr>
              <w:jc w:val="center"/>
              <w:rPr>
                <w:sz w:val="18"/>
                <w:szCs w:val="18"/>
              </w:rPr>
            </w:pPr>
            <w:r w:rsidRPr="00845C64">
              <w:rPr>
                <w:sz w:val="18"/>
                <w:szCs w:val="18"/>
              </w:rPr>
              <w:t>Unexplained</w:t>
            </w:r>
          </w:p>
        </w:tc>
        <w:tc>
          <w:tcPr>
            <w:tcW w:w="0" w:type="auto"/>
            <w:tcBorders>
              <w:left w:val="nil"/>
              <w:right w:val="nil"/>
            </w:tcBorders>
          </w:tcPr>
          <w:p w14:paraId="5A511F74" w14:textId="51F3DB90" w:rsidR="0031565B" w:rsidRPr="00845C64" w:rsidRDefault="0031565B" w:rsidP="00AD37D3">
            <w:pPr>
              <w:jc w:val="center"/>
              <w:rPr>
                <w:sz w:val="18"/>
                <w:szCs w:val="18"/>
              </w:rPr>
            </w:pPr>
            <w:r w:rsidRPr="00115135">
              <w:rPr>
                <w:sz w:val="18"/>
                <w:szCs w:val="18"/>
                <w:lang w:val="fr-FR"/>
              </w:rPr>
              <w:t>Saeed et al.</w:t>
            </w:r>
            <w:r w:rsidR="003E2CBA" w:rsidRPr="00115135">
              <w:rPr>
                <w:sz w:val="18"/>
                <w:szCs w:val="18"/>
                <w:lang w:val="fr-FR"/>
              </w:rPr>
              <w:t xml:space="preserve"> [23</w:t>
            </w:r>
            <w:r w:rsidR="00F325E2" w:rsidRPr="00115135">
              <w:rPr>
                <w:sz w:val="18"/>
                <w:szCs w:val="18"/>
                <w:lang w:val="fr-FR"/>
              </w:rPr>
              <w:t>]</w:t>
            </w:r>
            <w:r w:rsidRPr="00115135">
              <w:rPr>
                <w:sz w:val="18"/>
                <w:szCs w:val="18"/>
                <w:lang w:val="fr-FR"/>
              </w:rPr>
              <w:t xml:space="preserve">; Salman et al. </w:t>
            </w:r>
            <w:r w:rsidR="003E2CBA">
              <w:rPr>
                <w:sz w:val="18"/>
                <w:szCs w:val="18"/>
              </w:rPr>
              <w:t>[27</w:t>
            </w:r>
            <w:r w:rsidR="00F325E2">
              <w:rPr>
                <w:sz w:val="18"/>
                <w:szCs w:val="18"/>
              </w:rPr>
              <w:t>]</w:t>
            </w:r>
            <w:r w:rsidR="00C800BD">
              <w:rPr>
                <w:sz w:val="18"/>
                <w:szCs w:val="18"/>
              </w:rPr>
              <w:t xml:space="preserve"> </w:t>
            </w:r>
          </w:p>
        </w:tc>
        <w:tc>
          <w:tcPr>
            <w:tcW w:w="0" w:type="auto"/>
            <w:tcBorders>
              <w:left w:val="nil"/>
              <w:right w:val="nil"/>
            </w:tcBorders>
          </w:tcPr>
          <w:p w14:paraId="75309827" w14:textId="77777777" w:rsidR="0031565B" w:rsidRPr="00845C64" w:rsidRDefault="0031565B" w:rsidP="0031565B">
            <w:pPr>
              <w:jc w:val="center"/>
              <w:rPr>
                <w:sz w:val="18"/>
                <w:szCs w:val="18"/>
              </w:rPr>
            </w:pPr>
            <w:r w:rsidRPr="00845C64">
              <w:rPr>
                <w:sz w:val="18"/>
                <w:szCs w:val="18"/>
              </w:rPr>
              <w:t>2021; 2022</w:t>
            </w:r>
          </w:p>
        </w:tc>
        <w:tc>
          <w:tcPr>
            <w:tcW w:w="0" w:type="auto"/>
            <w:tcBorders>
              <w:left w:val="nil"/>
            </w:tcBorders>
          </w:tcPr>
          <w:p w14:paraId="644A0966" w14:textId="77777777" w:rsidR="0031565B" w:rsidRPr="00845C64" w:rsidRDefault="0031565B" w:rsidP="0031565B">
            <w:pPr>
              <w:jc w:val="center"/>
              <w:rPr>
                <w:sz w:val="18"/>
                <w:szCs w:val="18"/>
              </w:rPr>
            </w:pPr>
            <w:r w:rsidRPr="00845C64">
              <w:rPr>
                <w:sz w:val="18"/>
                <w:szCs w:val="18"/>
              </w:rPr>
              <w:t>6%; 10%</w:t>
            </w:r>
          </w:p>
        </w:tc>
      </w:tr>
      <w:tr w:rsidR="00AD37D3" w:rsidRPr="00845C64" w14:paraId="232D0329" w14:textId="77777777" w:rsidTr="00115135">
        <w:trPr>
          <w:trHeight w:val="140"/>
        </w:trPr>
        <w:tc>
          <w:tcPr>
            <w:tcW w:w="0" w:type="auto"/>
            <w:tcBorders>
              <w:right w:val="nil"/>
            </w:tcBorders>
          </w:tcPr>
          <w:p w14:paraId="445E12A2" w14:textId="77777777" w:rsidR="0031565B" w:rsidRPr="00845C64" w:rsidRDefault="0031565B" w:rsidP="0031565B">
            <w:pPr>
              <w:jc w:val="center"/>
              <w:rPr>
                <w:sz w:val="18"/>
                <w:szCs w:val="18"/>
              </w:rPr>
            </w:pPr>
            <w:r w:rsidRPr="00845C64">
              <w:rPr>
                <w:sz w:val="18"/>
                <w:szCs w:val="18"/>
              </w:rPr>
              <w:t>Fibroid</w:t>
            </w:r>
          </w:p>
        </w:tc>
        <w:tc>
          <w:tcPr>
            <w:tcW w:w="0" w:type="auto"/>
            <w:tcBorders>
              <w:left w:val="nil"/>
              <w:right w:val="nil"/>
            </w:tcBorders>
          </w:tcPr>
          <w:p w14:paraId="67FDA299" w14:textId="5BEC6E14" w:rsidR="0031565B" w:rsidRPr="00845C64" w:rsidRDefault="0031565B" w:rsidP="00AD37D3">
            <w:pPr>
              <w:jc w:val="center"/>
              <w:rPr>
                <w:sz w:val="18"/>
                <w:szCs w:val="18"/>
              </w:rPr>
            </w:pPr>
            <w:r w:rsidRPr="00845C64">
              <w:rPr>
                <w:sz w:val="18"/>
                <w:szCs w:val="18"/>
              </w:rPr>
              <w:t>Jasim et al.</w:t>
            </w:r>
            <w:r w:rsidR="003E2CBA">
              <w:rPr>
                <w:sz w:val="18"/>
                <w:szCs w:val="18"/>
              </w:rPr>
              <w:t xml:space="preserve"> [17</w:t>
            </w:r>
            <w:r w:rsidR="00F325E2">
              <w:rPr>
                <w:sz w:val="18"/>
                <w:szCs w:val="18"/>
              </w:rPr>
              <w:t>]</w:t>
            </w:r>
            <w:r w:rsidRPr="00845C64">
              <w:rPr>
                <w:sz w:val="18"/>
                <w:szCs w:val="18"/>
              </w:rPr>
              <w:t xml:space="preserve"> </w:t>
            </w:r>
          </w:p>
        </w:tc>
        <w:tc>
          <w:tcPr>
            <w:tcW w:w="0" w:type="auto"/>
            <w:tcBorders>
              <w:left w:val="nil"/>
              <w:right w:val="nil"/>
            </w:tcBorders>
          </w:tcPr>
          <w:p w14:paraId="0853A7F2" w14:textId="77777777" w:rsidR="0031565B" w:rsidRPr="00845C64" w:rsidRDefault="0031565B" w:rsidP="0031565B">
            <w:pPr>
              <w:jc w:val="center"/>
              <w:rPr>
                <w:sz w:val="18"/>
                <w:szCs w:val="18"/>
              </w:rPr>
            </w:pPr>
            <w:r w:rsidRPr="00845C64">
              <w:rPr>
                <w:sz w:val="18"/>
                <w:szCs w:val="18"/>
              </w:rPr>
              <w:t>2024</w:t>
            </w:r>
          </w:p>
        </w:tc>
        <w:tc>
          <w:tcPr>
            <w:tcW w:w="0" w:type="auto"/>
            <w:tcBorders>
              <w:left w:val="nil"/>
            </w:tcBorders>
          </w:tcPr>
          <w:p w14:paraId="0C5E92A9" w14:textId="77777777" w:rsidR="0031565B" w:rsidRPr="00845C64" w:rsidRDefault="0031565B" w:rsidP="0031565B">
            <w:pPr>
              <w:jc w:val="center"/>
              <w:rPr>
                <w:sz w:val="18"/>
                <w:szCs w:val="18"/>
              </w:rPr>
            </w:pPr>
            <w:r w:rsidRPr="00845C64">
              <w:rPr>
                <w:sz w:val="18"/>
                <w:szCs w:val="18"/>
              </w:rPr>
              <w:t>26%</w:t>
            </w:r>
          </w:p>
        </w:tc>
      </w:tr>
      <w:tr w:rsidR="00AD37D3" w:rsidRPr="00845C64" w14:paraId="5BF08393" w14:textId="77777777" w:rsidTr="00115135">
        <w:trPr>
          <w:trHeight w:val="271"/>
        </w:trPr>
        <w:tc>
          <w:tcPr>
            <w:tcW w:w="0" w:type="auto"/>
            <w:tcBorders>
              <w:bottom w:val="single" w:sz="4" w:space="0" w:color="auto"/>
              <w:right w:val="nil"/>
            </w:tcBorders>
          </w:tcPr>
          <w:p w14:paraId="10DF045A" w14:textId="77777777" w:rsidR="0031565B" w:rsidRPr="00845C64" w:rsidRDefault="0031565B" w:rsidP="0031565B">
            <w:pPr>
              <w:jc w:val="center"/>
              <w:rPr>
                <w:sz w:val="18"/>
                <w:szCs w:val="18"/>
              </w:rPr>
            </w:pPr>
            <w:r w:rsidRPr="00845C64">
              <w:rPr>
                <w:sz w:val="18"/>
                <w:szCs w:val="18"/>
              </w:rPr>
              <w:t>PCOS</w:t>
            </w:r>
          </w:p>
        </w:tc>
        <w:tc>
          <w:tcPr>
            <w:tcW w:w="0" w:type="auto"/>
            <w:tcBorders>
              <w:left w:val="nil"/>
              <w:bottom w:val="single" w:sz="4" w:space="0" w:color="auto"/>
              <w:right w:val="nil"/>
            </w:tcBorders>
          </w:tcPr>
          <w:p w14:paraId="56B6BCF9" w14:textId="65C5DC2E" w:rsidR="0031565B" w:rsidRPr="00845C64" w:rsidRDefault="0031565B" w:rsidP="00AD37D3">
            <w:pPr>
              <w:jc w:val="center"/>
              <w:rPr>
                <w:sz w:val="18"/>
                <w:szCs w:val="18"/>
              </w:rPr>
            </w:pPr>
            <w:proofErr w:type="spellStart"/>
            <w:r w:rsidRPr="00115135">
              <w:rPr>
                <w:sz w:val="18"/>
                <w:szCs w:val="18"/>
                <w:lang w:val="fr-FR"/>
              </w:rPr>
              <w:t>Al-Ani</w:t>
            </w:r>
            <w:proofErr w:type="spellEnd"/>
            <w:r w:rsidRPr="00115135">
              <w:rPr>
                <w:sz w:val="18"/>
                <w:szCs w:val="18"/>
                <w:lang w:val="fr-FR"/>
              </w:rPr>
              <w:t xml:space="preserve"> et al. </w:t>
            </w:r>
            <w:r w:rsidR="003E2CBA" w:rsidRPr="00115135">
              <w:rPr>
                <w:sz w:val="18"/>
                <w:szCs w:val="18"/>
                <w:lang w:val="fr-FR"/>
              </w:rPr>
              <w:t>[20</w:t>
            </w:r>
            <w:r w:rsidR="00F325E2" w:rsidRPr="00115135">
              <w:rPr>
                <w:sz w:val="18"/>
                <w:szCs w:val="18"/>
                <w:lang w:val="fr-FR"/>
              </w:rPr>
              <w:t>]</w:t>
            </w:r>
            <w:r w:rsidRPr="00115135">
              <w:rPr>
                <w:sz w:val="18"/>
                <w:szCs w:val="18"/>
                <w:lang w:val="fr-FR"/>
              </w:rPr>
              <w:t>; Saeed et al.</w:t>
            </w:r>
            <w:r w:rsidR="003E2CBA" w:rsidRPr="00115135">
              <w:rPr>
                <w:sz w:val="18"/>
                <w:szCs w:val="18"/>
                <w:lang w:val="fr-FR"/>
              </w:rPr>
              <w:t xml:space="preserve"> [21</w:t>
            </w:r>
            <w:r w:rsidR="00F325E2" w:rsidRPr="00115135">
              <w:rPr>
                <w:sz w:val="18"/>
                <w:szCs w:val="18"/>
                <w:lang w:val="fr-FR"/>
              </w:rPr>
              <w:t>]</w:t>
            </w:r>
            <w:r w:rsidRPr="00115135">
              <w:rPr>
                <w:sz w:val="18"/>
                <w:szCs w:val="18"/>
                <w:lang w:val="fr-FR"/>
              </w:rPr>
              <w:t xml:space="preserve">; Salman </w:t>
            </w:r>
            <w:r w:rsidR="003E2CBA" w:rsidRPr="00115135">
              <w:rPr>
                <w:sz w:val="18"/>
                <w:szCs w:val="18"/>
                <w:lang w:val="fr-FR"/>
              </w:rPr>
              <w:t>[13</w:t>
            </w:r>
            <w:r w:rsidR="00F325E2" w:rsidRPr="00115135">
              <w:rPr>
                <w:sz w:val="18"/>
                <w:szCs w:val="18"/>
                <w:lang w:val="fr-FR"/>
              </w:rPr>
              <w:t>]</w:t>
            </w:r>
            <w:r w:rsidR="0092530C" w:rsidRPr="00115135">
              <w:rPr>
                <w:sz w:val="18"/>
                <w:szCs w:val="18"/>
                <w:lang w:val="fr-FR"/>
              </w:rPr>
              <w:t xml:space="preserve"> </w:t>
            </w:r>
            <w:r w:rsidRPr="00115135">
              <w:rPr>
                <w:sz w:val="18"/>
                <w:szCs w:val="18"/>
                <w:lang w:val="fr-FR"/>
              </w:rPr>
              <w:t>et al.; Al-</w:t>
            </w:r>
            <w:proofErr w:type="spellStart"/>
            <w:r w:rsidRPr="00115135">
              <w:rPr>
                <w:sz w:val="18"/>
                <w:szCs w:val="18"/>
                <w:lang w:val="fr-FR"/>
              </w:rPr>
              <w:t>Najjar</w:t>
            </w:r>
            <w:proofErr w:type="spellEnd"/>
            <w:r w:rsidRPr="00115135">
              <w:rPr>
                <w:sz w:val="18"/>
                <w:szCs w:val="18"/>
                <w:lang w:val="fr-FR"/>
              </w:rPr>
              <w:t xml:space="preserve"> </w:t>
            </w:r>
            <w:r w:rsidR="003E2CBA" w:rsidRPr="00115135">
              <w:rPr>
                <w:sz w:val="18"/>
                <w:szCs w:val="18"/>
                <w:lang w:val="fr-FR"/>
              </w:rPr>
              <w:t>[16</w:t>
            </w:r>
            <w:r w:rsidR="00F325E2" w:rsidRPr="00115135">
              <w:rPr>
                <w:sz w:val="18"/>
                <w:szCs w:val="18"/>
                <w:lang w:val="fr-FR"/>
              </w:rPr>
              <w:t>]</w:t>
            </w:r>
            <w:r w:rsidRPr="00115135">
              <w:rPr>
                <w:sz w:val="18"/>
                <w:szCs w:val="18"/>
                <w:lang w:val="fr-FR"/>
              </w:rPr>
              <w:t xml:space="preserve">; </w:t>
            </w:r>
            <w:proofErr w:type="spellStart"/>
            <w:r w:rsidRPr="00115135">
              <w:rPr>
                <w:sz w:val="18"/>
                <w:szCs w:val="18"/>
                <w:lang w:val="fr-FR"/>
              </w:rPr>
              <w:t>Jasim</w:t>
            </w:r>
            <w:proofErr w:type="spellEnd"/>
            <w:r w:rsidRPr="00115135">
              <w:rPr>
                <w:sz w:val="18"/>
                <w:szCs w:val="18"/>
                <w:lang w:val="fr-FR"/>
              </w:rPr>
              <w:t xml:space="preserve"> et al.</w:t>
            </w:r>
            <w:r w:rsidR="003E2CBA" w:rsidRPr="00115135">
              <w:rPr>
                <w:sz w:val="18"/>
                <w:szCs w:val="18"/>
                <w:lang w:val="fr-FR"/>
              </w:rPr>
              <w:t xml:space="preserve"> </w:t>
            </w:r>
            <w:r w:rsidR="003E2CBA">
              <w:rPr>
                <w:sz w:val="18"/>
                <w:szCs w:val="18"/>
              </w:rPr>
              <w:t>[17</w:t>
            </w:r>
            <w:r w:rsidR="00F325E2">
              <w:rPr>
                <w:sz w:val="18"/>
                <w:szCs w:val="18"/>
              </w:rPr>
              <w:t>]</w:t>
            </w:r>
          </w:p>
        </w:tc>
        <w:tc>
          <w:tcPr>
            <w:tcW w:w="0" w:type="auto"/>
            <w:tcBorders>
              <w:left w:val="nil"/>
              <w:bottom w:val="single" w:sz="4" w:space="0" w:color="auto"/>
              <w:right w:val="nil"/>
            </w:tcBorders>
          </w:tcPr>
          <w:p w14:paraId="3B7C72DA" w14:textId="77777777" w:rsidR="0031565B" w:rsidRPr="00845C64" w:rsidRDefault="0031565B" w:rsidP="0031565B">
            <w:pPr>
              <w:jc w:val="center"/>
              <w:rPr>
                <w:sz w:val="18"/>
                <w:szCs w:val="18"/>
              </w:rPr>
            </w:pPr>
            <w:r w:rsidRPr="00845C64">
              <w:rPr>
                <w:sz w:val="18"/>
                <w:szCs w:val="18"/>
              </w:rPr>
              <w:t>2021; 2021; 2022; 2023; 2024</w:t>
            </w:r>
          </w:p>
        </w:tc>
        <w:tc>
          <w:tcPr>
            <w:tcW w:w="0" w:type="auto"/>
            <w:tcBorders>
              <w:left w:val="nil"/>
              <w:bottom w:val="single" w:sz="4" w:space="0" w:color="auto"/>
            </w:tcBorders>
          </w:tcPr>
          <w:p w14:paraId="304ED93B" w14:textId="77777777" w:rsidR="0031565B" w:rsidRPr="00845C64" w:rsidRDefault="0031565B" w:rsidP="0031565B">
            <w:pPr>
              <w:jc w:val="center"/>
              <w:rPr>
                <w:sz w:val="18"/>
                <w:szCs w:val="18"/>
              </w:rPr>
            </w:pPr>
            <w:r w:rsidRPr="00845C64">
              <w:rPr>
                <w:sz w:val="18"/>
                <w:szCs w:val="18"/>
              </w:rPr>
              <w:t>53.3%; 33.2%; 46%; 30%; 21%</w:t>
            </w:r>
          </w:p>
        </w:tc>
      </w:tr>
    </w:tbl>
    <w:p w14:paraId="46DCEC12" w14:textId="7A5E4D7C" w:rsidR="00664827" w:rsidRDefault="00664827" w:rsidP="00664827">
      <w:pPr>
        <w:pStyle w:val="Paragraph"/>
        <w:ind w:firstLine="0"/>
      </w:pPr>
    </w:p>
    <w:p w14:paraId="280FB6A3" w14:textId="2F5FA119" w:rsidR="00AE1017" w:rsidRDefault="00AE1017" w:rsidP="00F67757">
      <w:pPr>
        <w:pStyle w:val="Paragraph"/>
      </w:pPr>
      <w:r w:rsidRPr="00AE1017">
        <w:lastRenderedPageBreak/>
        <w:t>Genetic and congenital anomalies, though less common, represent another source of infertility. Reports of small uterine size (36.2%) and congenital uterine anomalies underscore the role of developmental</w:t>
      </w:r>
      <w:r w:rsidR="008B2DB2">
        <w:t xml:space="preserve"> f</w:t>
      </w:r>
      <w:r w:rsidR="003E2CBA">
        <w:t>actors in impaired fertility [26</w:t>
      </w:r>
      <w:r w:rsidR="008B2DB2">
        <w:t>]</w:t>
      </w:r>
      <w:r w:rsidRPr="00AE1017">
        <w:t xml:space="preserve">. </w:t>
      </w:r>
    </w:p>
    <w:p w14:paraId="0ECF900D" w14:textId="7E7EC727" w:rsidR="00AE1017" w:rsidRDefault="00AE1017" w:rsidP="00F67757">
      <w:pPr>
        <w:pStyle w:val="Paragraph"/>
      </w:pPr>
      <w:r w:rsidRPr="00AE1017">
        <w:t xml:space="preserve">Iatrogenic causes such as ovarian cystectomy, documented </w:t>
      </w:r>
      <w:r w:rsidR="008B2DB2">
        <w:t>in 8% of infertile Iraqi women</w:t>
      </w:r>
      <w:r w:rsidR="00A720AB">
        <w:t xml:space="preserve"> [11</w:t>
      </w:r>
      <w:r w:rsidR="008B2DB2">
        <w:t>]</w:t>
      </w:r>
      <w:r w:rsidRPr="00AE1017">
        <w:t>, can compromise ovarian reserve and reduce fertility potential, particularly when surgical interventions are repeated or performed at a young age.  Finally, a proportion of cases remains categorized as unexplained infertility, account</w:t>
      </w:r>
      <w:r w:rsidR="008B2DB2">
        <w:t>in</w:t>
      </w:r>
      <w:r w:rsidR="00A720AB">
        <w:t>g for 6–10% in local surveys [13, 28</w:t>
      </w:r>
      <w:r w:rsidR="008B2DB2">
        <w:t>]</w:t>
      </w:r>
      <w:r w:rsidRPr="00AE1017">
        <w:t>. This underscores the need for advanced molecular, hormonal, and immunological studies, such as investigations into VEGF expression and autoimmune markers</w:t>
      </w:r>
      <w:r w:rsidR="0054048B">
        <w:t>,</w:t>
      </w:r>
      <w:r w:rsidRPr="00AE1017">
        <w:t xml:space="preserve"> to better clarify hidden causes. Collectively, these additional factors highlight the multifactorial nature of infertility in Iraq and the necessity of integrating clinical, metabolic, surgical, and molecular perspectives in both diagnosis and management.</w:t>
      </w:r>
    </w:p>
    <w:p w14:paraId="21C3B98D" w14:textId="3288A45D" w:rsidR="005D35D6" w:rsidRPr="00075EA6" w:rsidRDefault="00DF2717" w:rsidP="00D43763">
      <w:pPr>
        <w:pStyle w:val="Heading1"/>
      </w:pPr>
      <w:r w:rsidRPr="00D43763">
        <w:t>Pathophysiological</w:t>
      </w:r>
      <w:r>
        <w:rPr>
          <w:bCs/>
        </w:rPr>
        <w:t xml:space="preserve"> I</w:t>
      </w:r>
      <w:r w:rsidRPr="00DF2717">
        <w:rPr>
          <w:bCs/>
        </w:rPr>
        <w:t>nsights</w:t>
      </w:r>
    </w:p>
    <w:p w14:paraId="6CB22100" w14:textId="70282E88" w:rsidR="005D35D6" w:rsidRDefault="00DF2717" w:rsidP="00AD37D3">
      <w:pPr>
        <w:pStyle w:val="Paragraph"/>
      </w:pPr>
      <w:r w:rsidRPr="00DF2717">
        <w:t xml:space="preserve">Infertility is not only defined by the presence of risk factors but also by the underlying biological mechanisms that impair ovulation, fertilization, or implantation </w:t>
      </w:r>
      <w:r w:rsidR="00A720AB">
        <w:t>[31</w:t>
      </w:r>
      <w:r w:rsidR="00331C14">
        <w:t>]</w:t>
      </w:r>
      <w:r w:rsidRPr="00DF2717">
        <w:t>. In the Iraqi context, the most prevalent contributors include polycystic ovary syndrome (PCOS), hormonal disturbances such as hyperprolactinemia, and pelvic infections, each exerting distinct but interrelated patho</w:t>
      </w:r>
      <w:r w:rsidR="00D43763">
        <w:t>physiological effects (Table 2)</w:t>
      </w:r>
      <w:r w:rsidR="005D35D6" w:rsidRPr="005D35D6">
        <w:t>.</w:t>
      </w:r>
    </w:p>
    <w:p w14:paraId="73707854" w14:textId="6350AF5D" w:rsidR="005D35D6" w:rsidRPr="00D43763" w:rsidRDefault="00D43763" w:rsidP="005D35D6">
      <w:pPr>
        <w:pStyle w:val="Heading2"/>
      </w:pPr>
      <w:r w:rsidRPr="00D43763">
        <w:rPr>
          <w:bCs/>
        </w:rPr>
        <w:t>Polycystic Ovary Syndrome (PCOS) and Obesity</w:t>
      </w:r>
    </w:p>
    <w:p w14:paraId="6964ACD1" w14:textId="6576D2A9" w:rsidR="005D35D6" w:rsidRPr="005B67E0" w:rsidRDefault="00D2080C" w:rsidP="00A720AB">
      <w:pPr>
        <w:pStyle w:val="Paragraph"/>
      </w:pPr>
      <w:r w:rsidRPr="00D43763">
        <w:rPr>
          <w:bCs/>
        </w:rPr>
        <w:t xml:space="preserve">Polycystic Ovary Syndrome </w:t>
      </w:r>
      <w:r>
        <w:rPr>
          <w:bCs/>
        </w:rPr>
        <w:t>(</w:t>
      </w:r>
      <w:r w:rsidR="00D43763">
        <w:t>PCOS</w:t>
      </w:r>
      <w:r>
        <w:t>)</w:t>
      </w:r>
      <w:r w:rsidR="00D43763">
        <w:t xml:space="preserve"> is the most common endocrine disorder associated with infertility among Iraqi women, with prevalence ranging between 21% in Babylon </w:t>
      </w:r>
      <w:r w:rsidR="00A720AB">
        <w:t>[17</w:t>
      </w:r>
      <w:r w:rsidR="00331C14">
        <w:t>]</w:t>
      </w:r>
      <w:r w:rsidR="0092530C">
        <w:t xml:space="preserve"> </w:t>
      </w:r>
      <w:r w:rsidR="00D43763">
        <w:t xml:space="preserve">and 53.3% in Diyala </w:t>
      </w:r>
      <w:r w:rsidR="00A720AB">
        <w:t>[20</w:t>
      </w:r>
      <w:r w:rsidR="008B2DB2">
        <w:t>]</w:t>
      </w:r>
      <w:r w:rsidR="00D43763">
        <w:t xml:space="preserve">. The syndrome is characterized by insulin resistance, compensatory hyperinsulinemia, and hyperandrogenism, which impair follicular maturation and lead to anovulation. Insulin resistance stimulates ovarian theca cells to produce excess androgens, disrupting the hypothalamic-pituitary-ovarian (HPO) axis and reducing the quality of ovulation </w:t>
      </w:r>
      <w:r w:rsidR="00A720AB">
        <w:t>[10</w:t>
      </w:r>
      <w:r w:rsidR="008B2DB2">
        <w:t>]</w:t>
      </w:r>
      <w:r w:rsidR="00D43763">
        <w:t>. Obesity amplifies this dysfunction by increasing visceral adiposity, which worsens insulin resistance and alters adipokines such as adiponectin and leptin. Iraqi studies have shown that women with PCOS frequently present with overweight or obesity, further linking metabolic imbalance to infertility</w:t>
      </w:r>
      <w:r w:rsidR="00A720AB">
        <w:t xml:space="preserve"> [11</w:t>
      </w:r>
      <w:r w:rsidR="008B2DB2">
        <w:t xml:space="preserve">, </w:t>
      </w:r>
      <w:r w:rsidR="00A720AB">
        <w:t>19, 32</w:t>
      </w:r>
      <w:r w:rsidR="008B2DB2">
        <w:t>]</w:t>
      </w:r>
      <w:r w:rsidR="00D43763">
        <w:t>.</w:t>
      </w:r>
    </w:p>
    <w:p w14:paraId="1DCF7DF6" w14:textId="358E08D5" w:rsidR="005D35D6" w:rsidRPr="00075EA6" w:rsidRDefault="00D43763" w:rsidP="005D35D6">
      <w:pPr>
        <w:pStyle w:val="Heading2"/>
      </w:pPr>
      <w:r w:rsidRPr="00D43763">
        <w:rPr>
          <w:bCs/>
        </w:rPr>
        <w:t>Hormonal Disorders: Hyperprolactinemia and Thyroid Dysfunction</w:t>
      </w:r>
    </w:p>
    <w:p w14:paraId="4857A521" w14:textId="0DC63BA7" w:rsidR="00D43763" w:rsidRDefault="00D43763" w:rsidP="00783FF6">
      <w:pPr>
        <w:pStyle w:val="Paragraph"/>
      </w:pPr>
      <w:r>
        <w:t xml:space="preserve">Hormonal disturbances beyond PCOS also play a central role in infertility. Hyperprolactinemia, documented at 5.9% in Diyala </w:t>
      </w:r>
      <w:r w:rsidR="00A720AB">
        <w:t>[20</w:t>
      </w:r>
      <w:r w:rsidR="008B2DB2">
        <w:t>]</w:t>
      </w:r>
      <w:r>
        <w:t xml:space="preserve">, disrupts reproductive endocrinology by suppressing GnRH </w:t>
      </w:r>
      <w:proofErr w:type="spellStart"/>
      <w:r>
        <w:t>pulsatility</w:t>
      </w:r>
      <w:proofErr w:type="spellEnd"/>
      <w:r>
        <w:t xml:space="preserve">, leading to decreased luteinizing hormone (LH) and follicle-stimulating hormone (FSH) secretion, thus preventing ovulation </w:t>
      </w:r>
      <w:r w:rsidR="00A720AB">
        <w:t>[33</w:t>
      </w:r>
      <w:r w:rsidR="008B2DB2">
        <w:t>]</w:t>
      </w:r>
      <w:r>
        <w:t>. Locally, Iraqi data confirm that women with hyperprolactinemia experience significant ovulatory dysfuncti</w:t>
      </w:r>
      <w:r w:rsidR="008055B9">
        <w:t>o</w:t>
      </w:r>
      <w:r w:rsidR="008B2DB2">
        <w:t xml:space="preserve">n </w:t>
      </w:r>
      <w:r w:rsidR="00A720AB">
        <w:t>and menstrual irregularities [12</w:t>
      </w:r>
      <w:r w:rsidR="008B2DB2">
        <w:t>]</w:t>
      </w:r>
      <w:r>
        <w:t>. Similarly, thyroid dysfunction, especially hypothyroidism, identified in 0.7–4% of Iraqi infertile women</w:t>
      </w:r>
      <w:r w:rsidR="00A720AB">
        <w:t xml:space="preserve"> [12, 21</w:t>
      </w:r>
      <w:r w:rsidR="008B2DB2">
        <w:t>]</w:t>
      </w:r>
      <w:r w:rsidR="008055B9">
        <w:t xml:space="preserve">, </w:t>
      </w:r>
      <w:r>
        <w:t xml:space="preserve">contributes to infertility by altering gonadotropin release, impairing luteal function, and affecting endometrial receptivity </w:t>
      </w:r>
      <w:r w:rsidR="00A720AB">
        <w:t>[34</w:t>
      </w:r>
      <w:r w:rsidR="008B2DB2">
        <w:t>]</w:t>
      </w:r>
      <w:r w:rsidR="005B67E0">
        <w:t>.</w:t>
      </w:r>
    </w:p>
    <w:p w14:paraId="302D90C9" w14:textId="1DABD2D8" w:rsidR="00D43763" w:rsidRPr="00075EA6" w:rsidRDefault="00D43763" w:rsidP="00D43763">
      <w:pPr>
        <w:pStyle w:val="Heading2"/>
      </w:pPr>
      <w:r w:rsidRPr="00D43763">
        <w:rPr>
          <w:bCs/>
        </w:rPr>
        <w:t>Pelvic Inflammatory Disease (PID) and Reproductive Tract Infections</w:t>
      </w:r>
    </w:p>
    <w:p w14:paraId="0E0A1BDF" w14:textId="13EA028A" w:rsidR="00EB2BCA" w:rsidRDefault="00D43763" w:rsidP="006109CD">
      <w:pPr>
        <w:pStyle w:val="Paragraph"/>
      </w:pPr>
      <w:r w:rsidRPr="00D43763">
        <w:t xml:space="preserve">Infections of the genital tract represent a major but preventable cause of infertility. Pelvic inflammatory disease (PID) induces salpingitis, fibrosis, and tubal occlusion, directly blocking gamete transport and increasing ectopic pregnancy risk </w:t>
      </w:r>
      <w:r w:rsidR="00A720AB">
        <w:t>[35</w:t>
      </w:r>
      <w:r w:rsidR="008B2DB2">
        <w:t>]</w:t>
      </w:r>
      <w:r w:rsidRPr="00D43763">
        <w:t>. Iraqi studies underscore this burden:</w:t>
      </w:r>
      <w:r w:rsidR="004B1651">
        <w:t xml:space="preserve"> </w:t>
      </w:r>
      <w:r w:rsidR="004B1651" w:rsidRPr="00D43763">
        <w:rPr>
          <w:bCs/>
        </w:rPr>
        <w:t xml:space="preserve">Pelvic Inflammatory Disease </w:t>
      </w:r>
      <w:r w:rsidR="004B1651">
        <w:t>(</w:t>
      </w:r>
      <w:r w:rsidRPr="00D43763">
        <w:t>PID</w:t>
      </w:r>
      <w:r w:rsidR="004B1651">
        <w:t>)</w:t>
      </w:r>
      <w:r w:rsidR="00F06193">
        <w:t xml:space="preserve"> </w:t>
      </w:r>
      <w:r w:rsidRPr="00D43763">
        <w:t xml:space="preserve">was observed in 10% of infertile women in Najaf </w:t>
      </w:r>
      <w:r w:rsidR="00A720AB">
        <w:t>[16</w:t>
      </w:r>
      <w:r w:rsidR="008B2DB2">
        <w:t>]</w:t>
      </w:r>
      <w:r w:rsidRPr="00D43763">
        <w:t>, while microbial infections were reported in 34.3% of cases in Baghdad</w:t>
      </w:r>
      <w:r w:rsidR="008B2DB2">
        <w:t xml:space="preserve"> [</w:t>
      </w:r>
      <w:r w:rsidR="00A720AB">
        <w:t>27</w:t>
      </w:r>
      <w:r w:rsidR="008B2DB2">
        <w:t>]</w:t>
      </w:r>
      <w:r w:rsidRPr="00D43763">
        <w:t xml:space="preserve">. Fallopian tube abnormalities secondary to infections were also documented in </w:t>
      </w:r>
      <w:proofErr w:type="spellStart"/>
      <w:r w:rsidRPr="00D43763">
        <w:t>Thi-Qar</w:t>
      </w:r>
      <w:proofErr w:type="spellEnd"/>
      <w:r w:rsidRPr="00D43763">
        <w:t xml:space="preserve"> and Babylon at 4–10% prevalence </w:t>
      </w:r>
      <w:r w:rsidR="00A720AB">
        <w:t>[17, 23</w:t>
      </w:r>
      <w:r w:rsidR="008B2DB2">
        <w:t>]</w:t>
      </w:r>
      <w:r w:rsidRPr="00D43763">
        <w:t>. These findings illustrate how infections remain a prominent cause of tubal factor infertility in Iraq, aggravated by limited access to early treatment and preventive care</w:t>
      </w:r>
      <w:r>
        <w:t>.</w:t>
      </w:r>
    </w:p>
    <w:p w14:paraId="34DBF80E" w14:textId="77777777" w:rsidR="00EB2BCA" w:rsidRDefault="00EB2BCA" w:rsidP="00EB2BCA">
      <w:pPr>
        <w:pStyle w:val="Paragraph"/>
      </w:pPr>
    </w:p>
    <w:tbl>
      <w:tblPr>
        <w:tblStyle w:val="TableGrid"/>
        <w:tblW w:w="0" w:type="auto"/>
        <w:tblLook w:val="04A0" w:firstRow="1" w:lastRow="0" w:firstColumn="1" w:lastColumn="0" w:noHBand="0" w:noVBand="1"/>
      </w:tblPr>
      <w:tblGrid>
        <w:gridCol w:w="1728"/>
        <w:gridCol w:w="3344"/>
        <w:gridCol w:w="2137"/>
        <w:gridCol w:w="2151"/>
      </w:tblGrid>
      <w:tr w:rsidR="00845C64" w:rsidRPr="00845C64" w14:paraId="58E287AD" w14:textId="77777777" w:rsidTr="00845C64">
        <w:tc>
          <w:tcPr>
            <w:tcW w:w="0" w:type="auto"/>
            <w:gridSpan w:val="4"/>
            <w:tcBorders>
              <w:top w:val="nil"/>
              <w:left w:val="nil"/>
              <w:bottom w:val="single" w:sz="4" w:space="0" w:color="auto"/>
              <w:right w:val="nil"/>
            </w:tcBorders>
          </w:tcPr>
          <w:p w14:paraId="0D1E279E" w14:textId="754B284C" w:rsidR="00845C64" w:rsidRPr="00845C64" w:rsidRDefault="00845C64" w:rsidP="003A006E">
            <w:pPr>
              <w:jc w:val="center"/>
              <w:rPr>
                <w:rFonts w:eastAsiaTheme="majorEastAsia"/>
                <w:sz w:val="18"/>
                <w:szCs w:val="18"/>
              </w:rPr>
            </w:pPr>
            <w:r>
              <w:rPr>
                <w:b/>
                <w:bCs/>
                <w:color w:val="000000" w:themeColor="text1"/>
                <w:sz w:val="18"/>
                <w:szCs w:val="18"/>
              </w:rPr>
              <w:t>TABLE 2</w:t>
            </w:r>
            <w:r w:rsidRPr="00845C64">
              <w:rPr>
                <w:b/>
                <w:bCs/>
                <w:color w:val="000000" w:themeColor="text1"/>
                <w:sz w:val="18"/>
                <w:szCs w:val="18"/>
              </w:rPr>
              <w:t>.</w:t>
            </w:r>
            <w:r w:rsidRPr="00845C64">
              <w:rPr>
                <w:sz w:val="18"/>
                <w:szCs w:val="18"/>
              </w:rPr>
              <w:t xml:space="preserve"> Pathophysiological Insights of major infertility risk factors in Iraqi females</w:t>
            </w:r>
            <w:r>
              <w:rPr>
                <w:rFonts w:eastAsiaTheme="majorEastAsia"/>
                <w:sz w:val="18"/>
                <w:szCs w:val="18"/>
              </w:rPr>
              <w:t>.</w:t>
            </w:r>
          </w:p>
        </w:tc>
      </w:tr>
      <w:tr w:rsidR="00F1753C" w:rsidRPr="00845C64" w14:paraId="0BC217FD" w14:textId="77777777" w:rsidTr="00845C64">
        <w:tc>
          <w:tcPr>
            <w:tcW w:w="0" w:type="auto"/>
            <w:tcBorders>
              <w:left w:val="nil"/>
              <w:bottom w:val="single" w:sz="4" w:space="0" w:color="auto"/>
              <w:right w:val="nil"/>
            </w:tcBorders>
            <w:hideMark/>
          </w:tcPr>
          <w:p w14:paraId="6ED484DA" w14:textId="77777777" w:rsidR="00845C64" w:rsidRPr="00845C64" w:rsidRDefault="00845C64" w:rsidP="003A006E">
            <w:pPr>
              <w:jc w:val="center"/>
              <w:rPr>
                <w:rFonts w:eastAsiaTheme="majorEastAsia"/>
                <w:sz w:val="18"/>
                <w:szCs w:val="18"/>
              </w:rPr>
            </w:pPr>
            <w:r w:rsidRPr="00845C64">
              <w:rPr>
                <w:rFonts w:eastAsiaTheme="majorEastAsia"/>
                <w:sz w:val="18"/>
                <w:szCs w:val="18"/>
              </w:rPr>
              <w:t>Factor</w:t>
            </w:r>
          </w:p>
        </w:tc>
        <w:tc>
          <w:tcPr>
            <w:tcW w:w="0" w:type="auto"/>
            <w:tcBorders>
              <w:left w:val="nil"/>
              <w:bottom w:val="single" w:sz="4" w:space="0" w:color="auto"/>
              <w:right w:val="nil"/>
            </w:tcBorders>
            <w:hideMark/>
          </w:tcPr>
          <w:p w14:paraId="69F99F2C" w14:textId="77777777" w:rsidR="00845C64" w:rsidRPr="00845C64" w:rsidRDefault="00845C64" w:rsidP="003A006E">
            <w:pPr>
              <w:jc w:val="center"/>
              <w:rPr>
                <w:rFonts w:eastAsiaTheme="majorEastAsia"/>
                <w:sz w:val="18"/>
                <w:szCs w:val="18"/>
              </w:rPr>
            </w:pPr>
            <w:r w:rsidRPr="00845C64">
              <w:rPr>
                <w:rFonts w:eastAsiaTheme="majorEastAsia"/>
                <w:sz w:val="18"/>
                <w:szCs w:val="18"/>
              </w:rPr>
              <w:t>Pathophysiological Mechanism</w:t>
            </w:r>
          </w:p>
        </w:tc>
        <w:tc>
          <w:tcPr>
            <w:tcW w:w="0" w:type="auto"/>
            <w:tcBorders>
              <w:left w:val="nil"/>
              <w:bottom w:val="single" w:sz="4" w:space="0" w:color="auto"/>
              <w:right w:val="nil"/>
            </w:tcBorders>
            <w:hideMark/>
          </w:tcPr>
          <w:p w14:paraId="285C3E1E" w14:textId="77777777" w:rsidR="00845C64" w:rsidRPr="00845C64" w:rsidRDefault="00845C64" w:rsidP="003A006E">
            <w:pPr>
              <w:jc w:val="center"/>
              <w:rPr>
                <w:rFonts w:eastAsiaTheme="majorEastAsia"/>
                <w:sz w:val="18"/>
                <w:szCs w:val="18"/>
              </w:rPr>
            </w:pPr>
            <w:r w:rsidRPr="00845C64">
              <w:rPr>
                <w:rFonts w:eastAsiaTheme="majorEastAsia"/>
                <w:sz w:val="18"/>
                <w:szCs w:val="18"/>
              </w:rPr>
              <w:t>Impact on Fertility</w:t>
            </w:r>
          </w:p>
        </w:tc>
        <w:tc>
          <w:tcPr>
            <w:tcW w:w="0" w:type="auto"/>
            <w:tcBorders>
              <w:left w:val="nil"/>
              <w:bottom w:val="single" w:sz="4" w:space="0" w:color="auto"/>
              <w:right w:val="nil"/>
            </w:tcBorders>
            <w:hideMark/>
          </w:tcPr>
          <w:p w14:paraId="75C7C449" w14:textId="77777777" w:rsidR="00845C64" w:rsidRPr="00845C64" w:rsidRDefault="00845C64" w:rsidP="003A006E">
            <w:pPr>
              <w:jc w:val="center"/>
              <w:rPr>
                <w:rFonts w:eastAsiaTheme="majorEastAsia"/>
                <w:sz w:val="18"/>
                <w:szCs w:val="18"/>
              </w:rPr>
            </w:pPr>
            <w:r w:rsidRPr="00845C64">
              <w:rPr>
                <w:rFonts w:eastAsiaTheme="majorEastAsia"/>
                <w:sz w:val="18"/>
                <w:szCs w:val="18"/>
              </w:rPr>
              <w:t>Local Evidence (Iraq)</w:t>
            </w:r>
          </w:p>
        </w:tc>
      </w:tr>
      <w:tr w:rsidR="00F1753C" w:rsidRPr="00845C64" w14:paraId="1C5A96F7" w14:textId="77777777" w:rsidTr="00845C64">
        <w:tc>
          <w:tcPr>
            <w:tcW w:w="0" w:type="auto"/>
            <w:tcBorders>
              <w:top w:val="single" w:sz="4" w:space="0" w:color="auto"/>
              <w:left w:val="nil"/>
              <w:bottom w:val="nil"/>
              <w:right w:val="nil"/>
            </w:tcBorders>
            <w:hideMark/>
          </w:tcPr>
          <w:p w14:paraId="301EF4F1" w14:textId="77777777" w:rsidR="00845C64" w:rsidRPr="00845C64" w:rsidRDefault="00845C64" w:rsidP="003A006E">
            <w:pPr>
              <w:jc w:val="center"/>
              <w:rPr>
                <w:rFonts w:eastAsiaTheme="majorEastAsia"/>
                <w:sz w:val="18"/>
                <w:szCs w:val="18"/>
              </w:rPr>
            </w:pPr>
            <w:r w:rsidRPr="00845C64">
              <w:rPr>
                <w:rFonts w:eastAsiaTheme="majorEastAsia"/>
                <w:sz w:val="18"/>
                <w:szCs w:val="18"/>
              </w:rPr>
              <w:t>PCOS &amp; Obesity</w:t>
            </w:r>
          </w:p>
        </w:tc>
        <w:tc>
          <w:tcPr>
            <w:tcW w:w="0" w:type="auto"/>
            <w:tcBorders>
              <w:top w:val="single" w:sz="4" w:space="0" w:color="auto"/>
              <w:left w:val="nil"/>
              <w:bottom w:val="nil"/>
              <w:right w:val="nil"/>
            </w:tcBorders>
            <w:hideMark/>
          </w:tcPr>
          <w:p w14:paraId="2EA78596" w14:textId="77777777" w:rsidR="00845C64" w:rsidRPr="00845C64" w:rsidRDefault="00845C64" w:rsidP="003A006E">
            <w:pPr>
              <w:jc w:val="center"/>
              <w:rPr>
                <w:rFonts w:eastAsiaTheme="majorEastAsia"/>
                <w:sz w:val="18"/>
                <w:szCs w:val="18"/>
              </w:rPr>
            </w:pPr>
            <w:r w:rsidRPr="00845C64">
              <w:rPr>
                <w:rFonts w:eastAsiaTheme="majorEastAsia"/>
                <w:sz w:val="18"/>
                <w:szCs w:val="18"/>
              </w:rPr>
              <w:t>Insulin resistance → hyperinsulinemia → ↑ androgen production → anovulation</w:t>
            </w:r>
          </w:p>
        </w:tc>
        <w:tc>
          <w:tcPr>
            <w:tcW w:w="0" w:type="auto"/>
            <w:tcBorders>
              <w:top w:val="single" w:sz="4" w:space="0" w:color="auto"/>
              <w:left w:val="nil"/>
              <w:bottom w:val="nil"/>
              <w:right w:val="nil"/>
            </w:tcBorders>
            <w:hideMark/>
          </w:tcPr>
          <w:p w14:paraId="6BBCA2A2" w14:textId="77777777" w:rsidR="00845C64" w:rsidRPr="00845C64" w:rsidRDefault="00845C64" w:rsidP="003A006E">
            <w:pPr>
              <w:jc w:val="center"/>
              <w:rPr>
                <w:rFonts w:eastAsiaTheme="majorEastAsia"/>
                <w:sz w:val="18"/>
                <w:szCs w:val="18"/>
              </w:rPr>
            </w:pPr>
            <w:r w:rsidRPr="00845C64">
              <w:rPr>
                <w:rFonts w:eastAsiaTheme="majorEastAsia"/>
                <w:sz w:val="18"/>
                <w:szCs w:val="18"/>
              </w:rPr>
              <w:t>Irregular cycles, anovulation, reduced oocyte quality</w:t>
            </w:r>
          </w:p>
        </w:tc>
        <w:tc>
          <w:tcPr>
            <w:tcW w:w="0" w:type="auto"/>
            <w:tcBorders>
              <w:top w:val="single" w:sz="4" w:space="0" w:color="auto"/>
              <w:left w:val="nil"/>
              <w:bottom w:val="nil"/>
              <w:right w:val="nil"/>
            </w:tcBorders>
            <w:hideMark/>
          </w:tcPr>
          <w:p w14:paraId="3EB80435" w14:textId="41721285" w:rsidR="00845C64" w:rsidRPr="00845C64" w:rsidRDefault="00A720AB" w:rsidP="00EB2BCA">
            <w:pPr>
              <w:jc w:val="center"/>
              <w:rPr>
                <w:rFonts w:eastAsiaTheme="majorEastAsia"/>
                <w:sz w:val="18"/>
                <w:szCs w:val="18"/>
              </w:rPr>
            </w:pPr>
            <w:proofErr w:type="spellStart"/>
            <w:r w:rsidRPr="00115135">
              <w:rPr>
                <w:rFonts w:eastAsiaTheme="majorEastAsia"/>
                <w:sz w:val="18"/>
                <w:szCs w:val="18"/>
                <w:lang w:val="fr-FR"/>
              </w:rPr>
              <w:t>Al-Ani</w:t>
            </w:r>
            <w:proofErr w:type="spellEnd"/>
            <w:r w:rsidRPr="00115135">
              <w:rPr>
                <w:rFonts w:eastAsiaTheme="majorEastAsia"/>
                <w:sz w:val="18"/>
                <w:szCs w:val="18"/>
                <w:lang w:val="fr-FR"/>
              </w:rPr>
              <w:t xml:space="preserve"> et al. [12</w:t>
            </w:r>
            <w:proofErr w:type="gramStart"/>
            <w:r w:rsidR="00331C14" w:rsidRPr="00115135">
              <w:rPr>
                <w:rFonts w:eastAsiaTheme="majorEastAsia"/>
                <w:sz w:val="18"/>
                <w:szCs w:val="18"/>
                <w:lang w:val="fr-FR"/>
              </w:rPr>
              <w:t>]</w:t>
            </w:r>
            <w:r w:rsidR="00EB2BCA" w:rsidRPr="00115135">
              <w:rPr>
                <w:rFonts w:eastAsiaTheme="majorEastAsia"/>
                <w:sz w:val="18"/>
                <w:szCs w:val="18"/>
                <w:lang w:val="fr-FR"/>
              </w:rPr>
              <w:t>;</w:t>
            </w:r>
            <w:proofErr w:type="gramEnd"/>
            <w:r w:rsidR="00EB2BCA" w:rsidRPr="00115135">
              <w:rPr>
                <w:rFonts w:eastAsiaTheme="majorEastAsia"/>
                <w:sz w:val="18"/>
                <w:szCs w:val="18"/>
                <w:lang w:val="fr-FR"/>
              </w:rPr>
              <w:t xml:space="preserve"> </w:t>
            </w:r>
            <w:proofErr w:type="spellStart"/>
            <w:r w:rsidR="00EB2BCA" w:rsidRPr="00115135">
              <w:rPr>
                <w:rFonts w:eastAsiaTheme="majorEastAsia"/>
                <w:sz w:val="18"/>
                <w:szCs w:val="18"/>
                <w:lang w:val="fr-FR"/>
              </w:rPr>
              <w:t>Jasim</w:t>
            </w:r>
            <w:proofErr w:type="spellEnd"/>
            <w:r w:rsidR="00EB2BCA" w:rsidRPr="00115135">
              <w:rPr>
                <w:rFonts w:eastAsiaTheme="majorEastAsia"/>
                <w:sz w:val="18"/>
                <w:szCs w:val="18"/>
                <w:lang w:val="fr-FR"/>
              </w:rPr>
              <w:t xml:space="preserve"> et al.</w:t>
            </w:r>
            <w:r w:rsidR="00845C64" w:rsidRPr="00115135">
              <w:rPr>
                <w:rFonts w:eastAsiaTheme="majorEastAsia"/>
                <w:sz w:val="18"/>
                <w:szCs w:val="18"/>
                <w:lang w:val="fr-FR"/>
              </w:rPr>
              <w:t xml:space="preserve"> </w:t>
            </w:r>
            <w:r>
              <w:rPr>
                <w:rFonts w:eastAsiaTheme="majorEastAsia"/>
                <w:sz w:val="18"/>
                <w:szCs w:val="18"/>
              </w:rPr>
              <w:t>[17</w:t>
            </w:r>
            <w:r w:rsidR="00331C14">
              <w:rPr>
                <w:rFonts w:eastAsiaTheme="majorEastAsia"/>
                <w:sz w:val="18"/>
                <w:szCs w:val="18"/>
              </w:rPr>
              <w:t>]</w:t>
            </w:r>
            <w:r w:rsidR="00EB2BCA">
              <w:rPr>
                <w:rFonts w:eastAsiaTheme="majorEastAsia"/>
                <w:sz w:val="18"/>
                <w:szCs w:val="18"/>
              </w:rPr>
              <w:t xml:space="preserve">; Hussam et al. </w:t>
            </w:r>
            <w:r>
              <w:rPr>
                <w:rFonts w:eastAsiaTheme="majorEastAsia"/>
                <w:sz w:val="18"/>
                <w:szCs w:val="18"/>
              </w:rPr>
              <w:t>[19</w:t>
            </w:r>
            <w:r w:rsidR="00331C14">
              <w:rPr>
                <w:rFonts w:eastAsiaTheme="majorEastAsia"/>
                <w:sz w:val="18"/>
                <w:szCs w:val="18"/>
              </w:rPr>
              <w:t>]</w:t>
            </w:r>
          </w:p>
          <w:p w14:paraId="3486398D" w14:textId="43584AAB" w:rsidR="00845C64" w:rsidRPr="00845C64" w:rsidRDefault="00EB2BCA" w:rsidP="00331C14">
            <w:pPr>
              <w:jc w:val="center"/>
              <w:rPr>
                <w:rFonts w:eastAsiaTheme="majorEastAsia"/>
                <w:sz w:val="18"/>
                <w:szCs w:val="18"/>
              </w:rPr>
            </w:pPr>
            <w:r>
              <w:rPr>
                <w:rFonts w:eastAsiaTheme="majorEastAsia"/>
                <w:sz w:val="18"/>
                <w:szCs w:val="18"/>
              </w:rPr>
              <w:t xml:space="preserve">Mohammed and Haddad </w:t>
            </w:r>
            <w:r w:rsidR="00A720AB">
              <w:rPr>
                <w:rFonts w:eastAsiaTheme="majorEastAsia"/>
                <w:sz w:val="18"/>
                <w:szCs w:val="18"/>
              </w:rPr>
              <w:t>[32</w:t>
            </w:r>
            <w:r w:rsidR="00331C14">
              <w:rPr>
                <w:rFonts w:eastAsiaTheme="majorEastAsia"/>
                <w:sz w:val="18"/>
                <w:szCs w:val="18"/>
              </w:rPr>
              <w:t>]</w:t>
            </w:r>
          </w:p>
        </w:tc>
      </w:tr>
      <w:tr w:rsidR="00F1753C" w:rsidRPr="00845C64" w14:paraId="33AE0608" w14:textId="77777777" w:rsidTr="00845C64">
        <w:tc>
          <w:tcPr>
            <w:tcW w:w="0" w:type="auto"/>
            <w:tcBorders>
              <w:top w:val="nil"/>
              <w:left w:val="nil"/>
              <w:bottom w:val="nil"/>
              <w:right w:val="nil"/>
            </w:tcBorders>
            <w:hideMark/>
          </w:tcPr>
          <w:p w14:paraId="5A5E32CF" w14:textId="77777777" w:rsidR="00845C64" w:rsidRPr="00845C64" w:rsidRDefault="00845C64" w:rsidP="003A006E">
            <w:pPr>
              <w:jc w:val="center"/>
              <w:rPr>
                <w:rFonts w:eastAsiaTheme="majorEastAsia"/>
                <w:sz w:val="18"/>
                <w:szCs w:val="18"/>
              </w:rPr>
            </w:pPr>
            <w:r w:rsidRPr="00845C64">
              <w:rPr>
                <w:rFonts w:eastAsiaTheme="majorEastAsia"/>
                <w:sz w:val="18"/>
                <w:szCs w:val="18"/>
              </w:rPr>
              <w:lastRenderedPageBreak/>
              <w:t>Hyperprolactinemia</w:t>
            </w:r>
          </w:p>
        </w:tc>
        <w:tc>
          <w:tcPr>
            <w:tcW w:w="0" w:type="auto"/>
            <w:tcBorders>
              <w:top w:val="nil"/>
              <w:left w:val="nil"/>
              <w:bottom w:val="nil"/>
              <w:right w:val="nil"/>
            </w:tcBorders>
            <w:hideMark/>
          </w:tcPr>
          <w:p w14:paraId="6AD00810" w14:textId="77777777" w:rsidR="00845C64" w:rsidRPr="00845C64" w:rsidRDefault="00845C64" w:rsidP="003A006E">
            <w:pPr>
              <w:jc w:val="center"/>
              <w:rPr>
                <w:rFonts w:eastAsiaTheme="majorEastAsia"/>
                <w:sz w:val="18"/>
                <w:szCs w:val="18"/>
              </w:rPr>
            </w:pPr>
            <w:r w:rsidRPr="00845C64">
              <w:rPr>
                <w:rFonts w:eastAsiaTheme="majorEastAsia"/>
                <w:sz w:val="18"/>
                <w:szCs w:val="18"/>
              </w:rPr>
              <w:t xml:space="preserve">↑ Prolactin → inhibition of GnRH </w:t>
            </w:r>
            <w:proofErr w:type="spellStart"/>
            <w:r w:rsidRPr="00845C64">
              <w:rPr>
                <w:rFonts w:eastAsiaTheme="majorEastAsia"/>
                <w:sz w:val="18"/>
                <w:szCs w:val="18"/>
              </w:rPr>
              <w:t>pulsatility</w:t>
            </w:r>
            <w:proofErr w:type="spellEnd"/>
            <w:r w:rsidRPr="00845C64">
              <w:rPr>
                <w:rFonts w:eastAsiaTheme="majorEastAsia"/>
                <w:sz w:val="18"/>
                <w:szCs w:val="18"/>
              </w:rPr>
              <w:t xml:space="preserve"> → ↓ LH &amp; FSH secretion</w:t>
            </w:r>
          </w:p>
        </w:tc>
        <w:tc>
          <w:tcPr>
            <w:tcW w:w="0" w:type="auto"/>
            <w:tcBorders>
              <w:top w:val="nil"/>
              <w:left w:val="nil"/>
              <w:bottom w:val="nil"/>
              <w:right w:val="nil"/>
            </w:tcBorders>
            <w:hideMark/>
          </w:tcPr>
          <w:p w14:paraId="49D237FC" w14:textId="77777777" w:rsidR="00845C64" w:rsidRPr="00845C64" w:rsidRDefault="00845C64" w:rsidP="003A006E">
            <w:pPr>
              <w:jc w:val="center"/>
              <w:rPr>
                <w:rFonts w:eastAsiaTheme="majorEastAsia"/>
                <w:sz w:val="18"/>
                <w:szCs w:val="18"/>
              </w:rPr>
            </w:pPr>
            <w:r w:rsidRPr="00845C64">
              <w:rPr>
                <w:rFonts w:eastAsiaTheme="majorEastAsia"/>
                <w:sz w:val="18"/>
                <w:szCs w:val="18"/>
              </w:rPr>
              <w:t>Ovulatory dysfunction, amenorrhea, infertility</w:t>
            </w:r>
          </w:p>
        </w:tc>
        <w:tc>
          <w:tcPr>
            <w:tcW w:w="0" w:type="auto"/>
            <w:tcBorders>
              <w:top w:val="nil"/>
              <w:left w:val="nil"/>
              <w:bottom w:val="nil"/>
              <w:right w:val="nil"/>
            </w:tcBorders>
            <w:hideMark/>
          </w:tcPr>
          <w:p w14:paraId="20BAA739" w14:textId="4FB38FEC" w:rsidR="00845C64" w:rsidRPr="00845C64" w:rsidRDefault="00A720AB" w:rsidP="00EB2BCA">
            <w:pPr>
              <w:jc w:val="center"/>
              <w:rPr>
                <w:rFonts w:eastAsiaTheme="majorEastAsia"/>
                <w:sz w:val="18"/>
                <w:szCs w:val="18"/>
              </w:rPr>
            </w:pPr>
            <w:r>
              <w:rPr>
                <w:rFonts w:eastAsiaTheme="majorEastAsia"/>
                <w:sz w:val="18"/>
                <w:szCs w:val="18"/>
              </w:rPr>
              <w:t>Al-Ani et al. [12</w:t>
            </w:r>
            <w:r w:rsidR="00331C14">
              <w:rPr>
                <w:rFonts w:eastAsiaTheme="majorEastAsia"/>
                <w:sz w:val="18"/>
                <w:szCs w:val="18"/>
              </w:rPr>
              <w:t>]</w:t>
            </w:r>
          </w:p>
        </w:tc>
      </w:tr>
      <w:tr w:rsidR="00F1753C" w:rsidRPr="00845C64" w14:paraId="3B57F87F" w14:textId="77777777" w:rsidTr="00845C64">
        <w:tc>
          <w:tcPr>
            <w:tcW w:w="0" w:type="auto"/>
            <w:tcBorders>
              <w:top w:val="nil"/>
              <w:left w:val="nil"/>
              <w:bottom w:val="nil"/>
              <w:right w:val="nil"/>
            </w:tcBorders>
            <w:hideMark/>
          </w:tcPr>
          <w:p w14:paraId="362A2FF5" w14:textId="77777777" w:rsidR="00845C64" w:rsidRPr="00845C64" w:rsidRDefault="00845C64" w:rsidP="003A006E">
            <w:pPr>
              <w:jc w:val="center"/>
              <w:rPr>
                <w:rFonts w:eastAsiaTheme="majorEastAsia"/>
                <w:sz w:val="18"/>
                <w:szCs w:val="18"/>
              </w:rPr>
            </w:pPr>
            <w:r w:rsidRPr="00845C64">
              <w:rPr>
                <w:rFonts w:eastAsiaTheme="majorEastAsia"/>
                <w:sz w:val="18"/>
                <w:szCs w:val="18"/>
              </w:rPr>
              <w:t>Hypothyroidism</w:t>
            </w:r>
          </w:p>
        </w:tc>
        <w:tc>
          <w:tcPr>
            <w:tcW w:w="0" w:type="auto"/>
            <w:tcBorders>
              <w:top w:val="nil"/>
              <w:left w:val="nil"/>
              <w:bottom w:val="nil"/>
              <w:right w:val="nil"/>
            </w:tcBorders>
            <w:hideMark/>
          </w:tcPr>
          <w:p w14:paraId="0B7E95AF" w14:textId="77777777" w:rsidR="00845C64" w:rsidRPr="00845C64" w:rsidRDefault="00845C64" w:rsidP="003A006E">
            <w:pPr>
              <w:jc w:val="center"/>
              <w:rPr>
                <w:rFonts w:eastAsiaTheme="majorEastAsia"/>
                <w:sz w:val="18"/>
                <w:szCs w:val="18"/>
              </w:rPr>
            </w:pPr>
            <w:r w:rsidRPr="00845C64">
              <w:rPr>
                <w:rFonts w:eastAsiaTheme="majorEastAsia"/>
                <w:sz w:val="18"/>
                <w:szCs w:val="18"/>
              </w:rPr>
              <w:t>Altered thyroid hormones → impaired gonadotropin secretion → luteal phase defect</w:t>
            </w:r>
          </w:p>
        </w:tc>
        <w:tc>
          <w:tcPr>
            <w:tcW w:w="0" w:type="auto"/>
            <w:tcBorders>
              <w:top w:val="nil"/>
              <w:left w:val="nil"/>
              <w:bottom w:val="nil"/>
              <w:right w:val="nil"/>
            </w:tcBorders>
            <w:hideMark/>
          </w:tcPr>
          <w:p w14:paraId="12411F96" w14:textId="77777777" w:rsidR="00845C64" w:rsidRPr="00845C64" w:rsidRDefault="00845C64" w:rsidP="003A006E">
            <w:pPr>
              <w:jc w:val="center"/>
              <w:rPr>
                <w:rFonts w:eastAsiaTheme="majorEastAsia"/>
                <w:sz w:val="18"/>
                <w:szCs w:val="18"/>
              </w:rPr>
            </w:pPr>
            <w:r w:rsidRPr="00845C64">
              <w:rPr>
                <w:rFonts w:eastAsiaTheme="majorEastAsia"/>
                <w:sz w:val="18"/>
                <w:szCs w:val="18"/>
              </w:rPr>
              <w:t>Menstrual irregularity, implantation failure</w:t>
            </w:r>
          </w:p>
        </w:tc>
        <w:tc>
          <w:tcPr>
            <w:tcW w:w="0" w:type="auto"/>
            <w:tcBorders>
              <w:top w:val="nil"/>
              <w:left w:val="nil"/>
              <w:bottom w:val="nil"/>
              <w:right w:val="nil"/>
            </w:tcBorders>
            <w:hideMark/>
          </w:tcPr>
          <w:p w14:paraId="67657C21" w14:textId="2094CAA9" w:rsidR="00845C64" w:rsidRPr="00845C64" w:rsidRDefault="00EB2BCA" w:rsidP="00EB2BCA">
            <w:pPr>
              <w:jc w:val="center"/>
              <w:rPr>
                <w:rFonts w:eastAsiaTheme="majorEastAsia"/>
                <w:sz w:val="18"/>
                <w:szCs w:val="18"/>
              </w:rPr>
            </w:pPr>
            <w:r w:rsidRPr="00115135">
              <w:rPr>
                <w:rFonts w:eastAsiaTheme="majorEastAsia"/>
                <w:sz w:val="18"/>
                <w:szCs w:val="18"/>
                <w:lang w:val="fr-FR"/>
              </w:rPr>
              <w:t xml:space="preserve">Saeed et al. </w:t>
            </w:r>
            <w:r w:rsidR="00A720AB" w:rsidRPr="00115135">
              <w:rPr>
                <w:rFonts w:eastAsiaTheme="majorEastAsia"/>
                <w:sz w:val="18"/>
                <w:szCs w:val="18"/>
                <w:lang w:val="fr-FR"/>
              </w:rPr>
              <w:t>[23</w:t>
            </w:r>
            <w:proofErr w:type="gramStart"/>
            <w:r w:rsidR="00331C14" w:rsidRPr="00115135">
              <w:rPr>
                <w:rFonts w:eastAsiaTheme="majorEastAsia"/>
                <w:sz w:val="18"/>
                <w:szCs w:val="18"/>
                <w:lang w:val="fr-FR"/>
              </w:rPr>
              <w:t>]</w:t>
            </w:r>
            <w:r w:rsidR="00845C64" w:rsidRPr="00115135">
              <w:rPr>
                <w:rFonts w:eastAsiaTheme="majorEastAsia"/>
                <w:sz w:val="18"/>
                <w:szCs w:val="18"/>
                <w:lang w:val="fr-FR"/>
              </w:rPr>
              <w:t>;</w:t>
            </w:r>
            <w:proofErr w:type="gramEnd"/>
            <w:r w:rsidR="00845C64" w:rsidRPr="00115135">
              <w:rPr>
                <w:rFonts w:eastAsiaTheme="majorEastAsia"/>
                <w:sz w:val="18"/>
                <w:szCs w:val="18"/>
                <w:lang w:val="fr-FR"/>
              </w:rPr>
              <w:t xml:space="preserve"> </w:t>
            </w:r>
            <w:proofErr w:type="spellStart"/>
            <w:r w:rsidR="00845C64" w:rsidRPr="00115135">
              <w:rPr>
                <w:rFonts w:eastAsiaTheme="majorEastAsia"/>
                <w:sz w:val="18"/>
                <w:szCs w:val="18"/>
                <w:lang w:val="fr-FR"/>
              </w:rPr>
              <w:t>Al-Ani</w:t>
            </w:r>
            <w:proofErr w:type="spellEnd"/>
            <w:r w:rsidR="00A720AB" w:rsidRPr="00115135">
              <w:rPr>
                <w:rFonts w:eastAsiaTheme="majorEastAsia"/>
                <w:sz w:val="18"/>
                <w:szCs w:val="18"/>
                <w:lang w:val="fr-FR"/>
              </w:rPr>
              <w:t xml:space="preserve"> et al. </w:t>
            </w:r>
            <w:r w:rsidR="00A720AB">
              <w:rPr>
                <w:rFonts w:eastAsiaTheme="majorEastAsia"/>
                <w:sz w:val="18"/>
                <w:szCs w:val="18"/>
              </w:rPr>
              <w:t>[12</w:t>
            </w:r>
            <w:r w:rsidR="00331C14">
              <w:rPr>
                <w:rFonts w:eastAsiaTheme="majorEastAsia"/>
                <w:sz w:val="18"/>
                <w:szCs w:val="18"/>
              </w:rPr>
              <w:t>]</w:t>
            </w:r>
          </w:p>
        </w:tc>
      </w:tr>
      <w:tr w:rsidR="00F1753C" w:rsidRPr="00F37C3E" w14:paraId="2470677B" w14:textId="77777777" w:rsidTr="00845C64">
        <w:tc>
          <w:tcPr>
            <w:tcW w:w="0" w:type="auto"/>
            <w:tcBorders>
              <w:top w:val="nil"/>
              <w:left w:val="nil"/>
              <w:right w:val="nil"/>
            </w:tcBorders>
            <w:hideMark/>
          </w:tcPr>
          <w:p w14:paraId="38E4F94D" w14:textId="77777777" w:rsidR="00845C64" w:rsidRPr="00845C64" w:rsidRDefault="00845C64" w:rsidP="003A006E">
            <w:pPr>
              <w:jc w:val="center"/>
              <w:rPr>
                <w:rFonts w:eastAsiaTheme="majorEastAsia"/>
                <w:sz w:val="18"/>
                <w:szCs w:val="18"/>
              </w:rPr>
            </w:pPr>
            <w:r w:rsidRPr="00845C64">
              <w:rPr>
                <w:rFonts w:eastAsiaTheme="majorEastAsia"/>
                <w:sz w:val="18"/>
                <w:szCs w:val="18"/>
              </w:rPr>
              <w:t>Pelvic Infections / PID</w:t>
            </w:r>
          </w:p>
        </w:tc>
        <w:tc>
          <w:tcPr>
            <w:tcW w:w="0" w:type="auto"/>
            <w:tcBorders>
              <w:top w:val="nil"/>
              <w:left w:val="nil"/>
              <w:right w:val="nil"/>
            </w:tcBorders>
            <w:hideMark/>
          </w:tcPr>
          <w:p w14:paraId="433CDEA8" w14:textId="77777777" w:rsidR="00845C64" w:rsidRPr="00845C64" w:rsidRDefault="00845C64" w:rsidP="003A006E">
            <w:pPr>
              <w:jc w:val="center"/>
              <w:rPr>
                <w:rFonts w:eastAsiaTheme="majorEastAsia"/>
                <w:sz w:val="18"/>
                <w:szCs w:val="18"/>
              </w:rPr>
            </w:pPr>
            <w:r w:rsidRPr="00845C64">
              <w:rPr>
                <w:rFonts w:eastAsiaTheme="majorEastAsia"/>
                <w:sz w:val="18"/>
                <w:szCs w:val="18"/>
              </w:rPr>
              <w:t>Chronic infection → tubal inflammation &amp; fibrosis → tubal blockage/ectopic pregnancy</w:t>
            </w:r>
          </w:p>
        </w:tc>
        <w:tc>
          <w:tcPr>
            <w:tcW w:w="0" w:type="auto"/>
            <w:tcBorders>
              <w:top w:val="nil"/>
              <w:left w:val="nil"/>
              <w:right w:val="nil"/>
            </w:tcBorders>
            <w:hideMark/>
          </w:tcPr>
          <w:p w14:paraId="1136AB26" w14:textId="77777777" w:rsidR="00845C64" w:rsidRPr="00845C64" w:rsidRDefault="00845C64" w:rsidP="003A006E">
            <w:pPr>
              <w:jc w:val="center"/>
              <w:rPr>
                <w:rFonts w:eastAsiaTheme="majorEastAsia"/>
                <w:sz w:val="18"/>
                <w:szCs w:val="18"/>
              </w:rPr>
            </w:pPr>
            <w:r w:rsidRPr="00845C64">
              <w:rPr>
                <w:rFonts w:eastAsiaTheme="majorEastAsia"/>
                <w:sz w:val="18"/>
                <w:szCs w:val="18"/>
              </w:rPr>
              <w:t>Tubal factor infertility, ↑ ectopic pregnancy risk</w:t>
            </w:r>
          </w:p>
        </w:tc>
        <w:tc>
          <w:tcPr>
            <w:tcW w:w="0" w:type="auto"/>
            <w:tcBorders>
              <w:top w:val="nil"/>
              <w:left w:val="nil"/>
              <w:right w:val="nil"/>
            </w:tcBorders>
            <w:hideMark/>
          </w:tcPr>
          <w:p w14:paraId="79509BA8" w14:textId="76D33726" w:rsidR="00845C64" w:rsidRPr="00115135" w:rsidRDefault="00EB2BCA" w:rsidP="00EB2BCA">
            <w:pPr>
              <w:jc w:val="center"/>
              <w:rPr>
                <w:rFonts w:eastAsiaTheme="majorEastAsia"/>
                <w:sz w:val="18"/>
                <w:szCs w:val="18"/>
                <w:lang w:val="fr-FR"/>
              </w:rPr>
            </w:pPr>
            <w:r w:rsidRPr="00115135">
              <w:rPr>
                <w:rFonts w:eastAsiaTheme="majorEastAsia"/>
                <w:sz w:val="18"/>
                <w:szCs w:val="18"/>
                <w:lang w:val="fr-FR"/>
              </w:rPr>
              <w:t xml:space="preserve">Salman et al. </w:t>
            </w:r>
            <w:r w:rsidR="00A720AB" w:rsidRPr="00115135">
              <w:rPr>
                <w:rFonts w:eastAsiaTheme="majorEastAsia"/>
                <w:sz w:val="18"/>
                <w:szCs w:val="18"/>
                <w:lang w:val="fr-FR"/>
              </w:rPr>
              <w:t>[27</w:t>
            </w:r>
            <w:proofErr w:type="gramStart"/>
            <w:r w:rsidR="00331C14" w:rsidRPr="00115135">
              <w:rPr>
                <w:rFonts w:eastAsiaTheme="majorEastAsia"/>
                <w:sz w:val="18"/>
                <w:szCs w:val="18"/>
                <w:lang w:val="fr-FR"/>
              </w:rPr>
              <w:t>]</w:t>
            </w:r>
            <w:r w:rsidR="00845C64" w:rsidRPr="00115135">
              <w:rPr>
                <w:rFonts w:eastAsiaTheme="majorEastAsia"/>
                <w:sz w:val="18"/>
                <w:szCs w:val="18"/>
                <w:lang w:val="fr-FR"/>
              </w:rPr>
              <w:t>;</w:t>
            </w:r>
            <w:proofErr w:type="gramEnd"/>
            <w:r w:rsidR="00845C64" w:rsidRPr="00115135">
              <w:rPr>
                <w:rFonts w:eastAsiaTheme="majorEastAsia"/>
                <w:sz w:val="18"/>
                <w:szCs w:val="18"/>
                <w:lang w:val="fr-FR"/>
              </w:rPr>
              <w:t xml:space="preserve"> Al-</w:t>
            </w:r>
            <w:proofErr w:type="spellStart"/>
            <w:r w:rsidR="00845C64" w:rsidRPr="00115135">
              <w:rPr>
                <w:rFonts w:eastAsiaTheme="majorEastAsia"/>
                <w:sz w:val="18"/>
                <w:szCs w:val="18"/>
                <w:lang w:val="fr-FR"/>
              </w:rPr>
              <w:t>Najjar</w:t>
            </w:r>
            <w:proofErr w:type="spellEnd"/>
            <w:r w:rsidR="00A720AB" w:rsidRPr="00115135">
              <w:rPr>
                <w:rFonts w:eastAsiaTheme="majorEastAsia"/>
                <w:sz w:val="18"/>
                <w:szCs w:val="18"/>
                <w:lang w:val="fr-FR"/>
              </w:rPr>
              <w:t xml:space="preserve"> [16</w:t>
            </w:r>
            <w:r w:rsidR="00331C14" w:rsidRPr="00115135">
              <w:rPr>
                <w:rFonts w:eastAsiaTheme="majorEastAsia"/>
                <w:sz w:val="18"/>
                <w:szCs w:val="18"/>
                <w:lang w:val="fr-FR"/>
              </w:rPr>
              <w:t>]</w:t>
            </w:r>
          </w:p>
        </w:tc>
      </w:tr>
    </w:tbl>
    <w:p w14:paraId="55960B30" w14:textId="77777777" w:rsidR="00D43763" w:rsidRPr="00115135" w:rsidRDefault="00D43763" w:rsidP="00D43763">
      <w:pPr>
        <w:pStyle w:val="Paragraph"/>
        <w:ind w:firstLine="0"/>
        <w:rPr>
          <w:lang w:val="fr-FR"/>
        </w:rPr>
      </w:pPr>
    </w:p>
    <w:p w14:paraId="6B4B485B" w14:textId="2FC42E83" w:rsidR="00BA3B3D" w:rsidRDefault="005A7E7B" w:rsidP="005B67E0">
      <w:pPr>
        <w:pStyle w:val="Paragraph"/>
      </w:pPr>
      <w:r>
        <w:t>As illustrated in Fig.</w:t>
      </w:r>
      <w:r w:rsidR="00E075AC" w:rsidRPr="00E075AC">
        <w:t xml:space="preserve"> 1, insulin resistance and compensatory hyperinsulinemia contribute to PCOS by increasing androgen production, decreasing SHBG, and disrupting ovulation</w:t>
      </w:r>
      <w:r w:rsidR="005B67E0" w:rsidRPr="005B67E0">
        <w:t>.</w:t>
      </w:r>
    </w:p>
    <w:p w14:paraId="2186F6B0" w14:textId="77777777" w:rsidR="005B67E0" w:rsidRDefault="005B67E0" w:rsidP="005B67E0">
      <w:pPr>
        <w:pStyle w:val="Paragraph"/>
      </w:pPr>
    </w:p>
    <w:tbl>
      <w:tblPr>
        <w:tblStyle w:val="TableGrid"/>
        <w:tblW w:w="0" w:type="auto"/>
        <w:tblInd w:w="175" w:type="dxa"/>
        <w:tblBorders>
          <w:insideH w:val="none" w:sz="0" w:space="0" w:color="auto"/>
        </w:tblBorders>
        <w:tblLook w:val="04A0" w:firstRow="1" w:lastRow="0" w:firstColumn="1" w:lastColumn="0" w:noHBand="0" w:noVBand="1"/>
      </w:tblPr>
      <w:tblGrid>
        <w:gridCol w:w="9074"/>
      </w:tblGrid>
      <w:tr w:rsidR="00FE5C64" w14:paraId="14DFF34A" w14:textId="77777777" w:rsidTr="00115135">
        <w:trPr>
          <w:trHeight w:val="2446"/>
        </w:trPr>
        <w:tc>
          <w:tcPr>
            <w:tcW w:w="9074" w:type="dxa"/>
            <w:tcBorders>
              <w:bottom w:val="single" w:sz="4" w:space="0" w:color="auto"/>
            </w:tcBorders>
          </w:tcPr>
          <w:p w14:paraId="2C6E0C70" w14:textId="118DD942" w:rsidR="00FE5C64" w:rsidRDefault="005A7E7B" w:rsidP="0099393C">
            <w:pPr>
              <w:pStyle w:val="Paragraph"/>
              <w:ind w:firstLine="0"/>
              <w:jc w:val="center"/>
            </w:pPr>
            <w:r w:rsidRPr="000548EC">
              <w:rPr>
                <w:noProof/>
                <w:sz w:val="28"/>
                <w:szCs w:val="28"/>
              </w:rPr>
              <w:drawing>
                <wp:inline distT="0" distB="0" distL="0" distR="0" wp14:anchorId="09D46A95" wp14:editId="6B4ED478">
                  <wp:extent cx="4848225" cy="2976697"/>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61851" cy="2985063"/>
                          </a:xfrm>
                          <a:prstGeom prst="rect">
                            <a:avLst/>
                          </a:prstGeom>
                        </pic:spPr>
                      </pic:pic>
                    </a:graphicData>
                  </a:graphic>
                </wp:inline>
              </w:drawing>
            </w:r>
          </w:p>
        </w:tc>
      </w:tr>
    </w:tbl>
    <w:p w14:paraId="4BCC477D" w14:textId="2AFFD36A" w:rsidR="00FC69EC" w:rsidRPr="00783FF6" w:rsidRDefault="005A7E7B" w:rsidP="00783FF6">
      <w:pPr>
        <w:pStyle w:val="Paragraph"/>
        <w:jc w:val="center"/>
        <w:rPr>
          <w:sz w:val="18"/>
          <w:szCs w:val="18"/>
        </w:rPr>
      </w:pPr>
      <w:r w:rsidRPr="00EB2BCA">
        <w:rPr>
          <w:b/>
          <w:caps/>
          <w:sz w:val="18"/>
          <w:szCs w:val="18"/>
        </w:rPr>
        <w:t>Figure 1</w:t>
      </w:r>
      <w:r w:rsidR="00FE5C64" w:rsidRPr="00EB2BCA">
        <w:rPr>
          <w:b/>
          <w:caps/>
          <w:sz w:val="18"/>
          <w:szCs w:val="18"/>
        </w:rPr>
        <w:t>.</w:t>
      </w:r>
      <w:r w:rsidR="00FE5C64" w:rsidRPr="00EB2BCA">
        <w:rPr>
          <w:sz w:val="18"/>
          <w:szCs w:val="18"/>
        </w:rPr>
        <w:t xml:space="preserve"> </w:t>
      </w:r>
      <w:r w:rsidRPr="00EB2BCA">
        <w:rPr>
          <w:sz w:val="18"/>
          <w:szCs w:val="18"/>
        </w:rPr>
        <w:t>Pathophysiological mechanisms linking insulin resistance, hyperinsulinemia, and polycystic ovary syndrome (PCOS)-related infertility</w:t>
      </w:r>
      <w:r w:rsidR="00722BC3">
        <w:rPr>
          <w:sz w:val="18"/>
          <w:szCs w:val="18"/>
        </w:rPr>
        <w:t xml:space="preserve"> [36</w:t>
      </w:r>
      <w:r w:rsidR="00331C14">
        <w:rPr>
          <w:sz w:val="18"/>
          <w:szCs w:val="18"/>
        </w:rPr>
        <w:t>]</w:t>
      </w:r>
      <w:r w:rsidR="00FC69EC" w:rsidRPr="00EB2BCA">
        <w:rPr>
          <w:sz w:val="18"/>
          <w:szCs w:val="18"/>
        </w:rPr>
        <w:t>.</w:t>
      </w:r>
    </w:p>
    <w:p w14:paraId="7B01763D" w14:textId="23125E18" w:rsidR="00BA3B3D" w:rsidRPr="00075EA6" w:rsidRDefault="005A7E7B" w:rsidP="00AB5BC8">
      <w:pPr>
        <w:pStyle w:val="Heading1"/>
      </w:pPr>
      <w:r w:rsidRPr="005A7E7B">
        <w:t>Public Health &amp; Clinical Implications</w:t>
      </w:r>
    </w:p>
    <w:p w14:paraId="76B5D9D6" w14:textId="35078A75" w:rsidR="005A7E7B" w:rsidRDefault="005A7E7B" w:rsidP="00A720AB">
      <w:pPr>
        <w:pStyle w:val="Paragraph"/>
      </w:pPr>
      <w:r>
        <w:t>Infertility among Iraqi women is not only a clinical concern but also a pressing public health and social issue. The most prominent contributors, obesity, recurrent pelvic infections, and hormonal disturbances</w:t>
      </w:r>
      <w:r w:rsidR="0054048B">
        <w:t>,</w:t>
      </w:r>
      <w:r>
        <w:t xml:space="preserve"> are deeply intertwined with broader health determinants. Obesity, highly prevalent among Iraqi women, particularly those diagnosed with PCOS, is associated with insulin resistance, menstrual irregularities, and ovulatory dysfunction</w:t>
      </w:r>
      <w:r w:rsidR="00A720AB">
        <w:t xml:space="preserve"> [11</w:t>
      </w:r>
      <w:r w:rsidR="00331C14">
        <w:t xml:space="preserve">, </w:t>
      </w:r>
      <w:r w:rsidR="00A720AB">
        <w:t>19</w:t>
      </w:r>
      <w:r w:rsidR="00331C14">
        <w:t>]</w:t>
      </w:r>
      <w:r>
        <w:t xml:space="preserve">. Beyond reproductive outcomes, obesity heightens the risk of chronic diseases such as type 2 diabetes and cardiovascular disorders, magnifying its public health burden. Similarly, recurrent pelvic infections represent a major local challenge, with studies reporting prevalence rates up to 34.3% in Baghdad </w:t>
      </w:r>
      <w:r w:rsidR="00A720AB">
        <w:t>[27</w:t>
      </w:r>
      <w:r w:rsidR="00331C14">
        <w:t>]</w:t>
      </w:r>
      <w:r w:rsidR="00DE2E16">
        <w:t xml:space="preserve"> </w:t>
      </w:r>
      <w:r>
        <w:t xml:space="preserve">and 10% in Najaf </w:t>
      </w:r>
      <w:r w:rsidR="00A720AB">
        <w:t>[16</w:t>
      </w:r>
      <w:r w:rsidR="00331C14">
        <w:t>]</w:t>
      </w:r>
      <w:r>
        <w:t>. These infections cause irreversible tubal damage, leading to blocked fallopian tubes, ectopic pregnancies, and secondary infertility.</w:t>
      </w:r>
    </w:p>
    <w:p w14:paraId="3972CF58" w14:textId="3E6710E7" w:rsidR="005A7E7B" w:rsidRDefault="005A7E7B" w:rsidP="00D100AF">
      <w:pPr>
        <w:pStyle w:val="Paragraph"/>
      </w:pPr>
      <w:r>
        <w:t>From a health systems perspective, these findings emphasize the need for preventive strategies. Lifestyle modification campaigns focused on diet, physical activity, and weight management are essential to reduce obesity-related infertility. Likewise, reproductive health education addressing hygiene, prevention of sexually transmitted infections, and timely medical consultation could significantly lower infection-related infertility. Early screening programs for endocrine disorders, PCOS, thyroid dysfunction, and microbial infections should be integrated into primary healthcare services to ensure earlier diagnosis and improved treatment outcomes</w:t>
      </w:r>
      <w:r w:rsidR="00A720AB">
        <w:t xml:space="preserve"> [12</w:t>
      </w:r>
      <w:r w:rsidR="00331C14">
        <w:t>]</w:t>
      </w:r>
      <w:r>
        <w:t>. Specialized infertility centers in Iraq have made advances in diagnostics and assisted reproductive technologies (ART). However, access remains uneven, with women in rural or low-income settings facing barriers due to financial constraints and lack of awareness. Strengthening referral systems, decentralizing infertility services, and providing subsidized care could help bridge these gaps.</w:t>
      </w:r>
    </w:p>
    <w:p w14:paraId="04E1C53A" w14:textId="0B32A1A5" w:rsidR="005A7E7B" w:rsidRDefault="005A7E7B" w:rsidP="00A720AB">
      <w:pPr>
        <w:pStyle w:val="Paragraph"/>
      </w:pPr>
      <w:r>
        <w:lastRenderedPageBreak/>
        <w:t>Importantly, infertility in Iraq also carries a significant psychological and sociocultural burden. In a society where fertility is highly valued, childlessness can lead to stigma, marital strain, and emotional distress. Women often face disproportionate blame for infertility, even when male factors are involved</w:t>
      </w:r>
      <w:r w:rsidR="00331C14">
        <w:t xml:space="preserve"> [1</w:t>
      </w:r>
      <w:r w:rsidR="00A720AB">
        <w:t>7</w:t>
      </w:r>
      <w:r w:rsidR="00331C14">
        <w:t>]</w:t>
      </w:r>
      <w:r>
        <w:t>. These psychosocial dimensions underscore the need for incorporating counseling services, mental health support, and community-based awareness programs within infertility care.</w:t>
      </w:r>
    </w:p>
    <w:p w14:paraId="7098DA0A" w14:textId="70EADD7A" w:rsidR="000B1B74" w:rsidRDefault="005A7E7B" w:rsidP="005A7E7B">
      <w:pPr>
        <w:pStyle w:val="Paragraph"/>
      </w:pPr>
      <w:r>
        <w:t>Finally, broader socioeconomic changes in Iraq, including urbanization, improved living standards, and shifts toward delayed childbearing, sedentary lifestyles, and dietary transitions, are shaping the epidemiology of infertility. These transitions increase exposure to risk factors such as obesity, metabolic disorders, and stress-related hormonal imbalances. Addressing infertility in Iraq thus requires a multisectoral public health response that integrates medical, psychological, and social interventions</w:t>
      </w:r>
      <w:r w:rsidR="005F4F0C" w:rsidRPr="005F4F0C">
        <w:t>.</w:t>
      </w:r>
    </w:p>
    <w:p w14:paraId="238F91B4" w14:textId="3FC2347C" w:rsidR="00D87E2A" w:rsidRDefault="00037740" w:rsidP="00037740">
      <w:pPr>
        <w:pStyle w:val="Heading1"/>
        <w:rPr>
          <w:b w:val="0"/>
          <w:caps w:val="0"/>
          <w:sz w:val="20"/>
        </w:rPr>
      </w:pPr>
      <w:r>
        <w:rPr>
          <w:rFonts w:asciiTheme="majorBidi" w:hAnsiTheme="majorBidi" w:cstheme="majorBidi"/>
        </w:rPr>
        <w:t>Conclusion</w:t>
      </w:r>
    </w:p>
    <w:p w14:paraId="55D56508" w14:textId="7376C79B" w:rsidR="00D87E2A" w:rsidRPr="00A24F3D" w:rsidRDefault="005A7E7B" w:rsidP="003B0050">
      <w:pPr>
        <w:pStyle w:val="Paragraph"/>
      </w:pPr>
      <w:r w:rsidRPr="005A7E7B">
        <w:rPr>
          <w:rFonts w:asciiTheme="majorBidi" w:hAnsiTheme="majorBidi" w:cstheme="majorBidi"/>
        </w:rPr>
        <w:t xml:space="preserve">Female infertility in Iraq is largely driven by factors such as polycystic ovary syndrome, hormonal disturbances, obesity, and recurrent pelvic infections. These risks highlight the need for a deeper understanding of the biological mechanisms that disrupt fertility. Future research should focus on molecular and hormonal markers, </w:t>
      </w:r>
      <w:r w:rsidR="008D2201">
        <w:rPr>
          <w:rFonts w:asciiTheme="majorBidi" w:hAnsiTheme="majorBidi" w:cstheme="majorBidi"/>
          <w:sz w:val="18"/>
          <w:szCs w:val="18"/>
        </w:rPr>
        <w:t>including Vascular</w:t>
      </w:r>
      <w:r w:rsidR="008D2201" w:rsidRPr="008D2201">
        <w:rPr>
          <w:sz w:val="18"/>
          <w:szCs w:val="18"/>
        </w:rPr>
        <w:t xml:space="preserve"> Endothelial Growth Factor</w:t>
      </w:r>
      <w:r w:rsidR="008D2201">
        <w:rPr>
          <w:rFonts w:asciiTheme="majorBidi" w:hAnsiTheme="majorBidi" w:cstheme="majorBidi" w:hint="cs"/>
          <w:rtl/>
        </w:rPr>
        <w:t xml:space="preserve"> </w:t>
      </w:r>
      <w:r w:rsidR="00F06193">
        <w:rPr>
          <w:rFonts w:asciiTheme="majorBidi" w:hAnsiTheme="majorBidi" w:cstheme="majorBidi"/>
        </w:rPr>
        <w:t>(</w:t>
      </w:r>
      <w:r w:rsidRPr="005A7E7B">
        <w:rPr>
          <w:rFonts w:asciiTheme="majorBidi" w:hAnsiTheme="majorBidi" w:cstheme="majorBidi"/>
        </w:rPr>
        <w:t>VEGF</w:t>
      </w:r>
      <w:r w:rsidR="00F06193">
        <w:rPr>
          <w:rFonts w:asciiTheme="majorBidi" w:hAnsiTheme="majorBidi" w:cstheme="majorBidi"/>
        </w:rPr>
        <w:t>)</w:t>
      </w:r>
      <w:r w:rsidRPr="005A7E7B">
        <w:rPr>
          <w:rFonts w:asciiTheme="majorBidi" w:hAnsiTheme="majorBidi" w:cstheme="majorBidi"/>
        </w:rPr>
        <w:t xml:space="preserve"> and immune-related factors, to improve diagnosis and treatment strategies. On a broader scale, national programs are required to combine prevention, early screening, and accessible therapeutic options, ensuring that both clinical care and public health efforts work together to reduce the burden of infertility among Iraqi women</w:t>
      </w:r>
      <w:r w:rsidR="00D87E2A">
        <w:rPr>
          <w:rFonts w:asciiTheme="majorBidi" w:hAnsiTheme="majorBidi" w:cstheme="majorBidi"/>
        </w:rPr>
        <w:t>.</w:t>
      </w:r>
    </w:p>
    <w:p w14:paraId="7691B80C" w14:textId="72B9686E" w:rsidR="00613B4D" w:rsidRPr="00075EA6" w:rsidRDefault="0016385D" w:rsidP="002A19C8">
      <w:pPr>
        <w:pStyle w:val="Heading1"/>
      </w:pPr>
      <w:r w:rsidRPr="00075EA6">
        <w:rPr>
          <w:rFonts w:asciiTheme="majorBidi" w:hAnsiTheme="majorBidi" w:cstheme="majorBidi"/>
        </w:rPr>
        <w:t>Acknowledgments</w:t>
      </w:r>
    </w:p>
    <w:p w14:paraId="4F4EA3E3" w14:textId="5895343E" w:rsidR="000B3A2D" w:rsidRPr="00075EA6" w:rsidRDefault="002A19C8" w:rsidP="005A7E7B">
      <w:pPr>
        <w:pStyle w:val="Paragraph"/>
        <w:rPr>
          <w:rFonts w:asciiTheme="majorBidi" w:hAnsiTheme="majorBidi" w:cstheme="majorBidi"/>
        </w:rPr>
      </w:pPr>
      <w:r w:rsidRPr="002A19C8">
        <w:rPr>
          <w:rFonts w:asciiTheme="majorBidi" w:hAnsiTheme="majorBidi" w:cstheme="majorBidi"/>
          <w:rtl/>
        </w:rPr>
        <w:t xml:space="preserve"> </w:t>
      </w:r>
      <w:r w:rsidR="005A7E7B">
        <w:rPr>
          <w:rFonts w:asciiTheme="majorBidi" w:hAnsiTheme="majorBidi" w:cstheme="majorBidi"/>
        </w:rPr>
        <w:t>We</w:t>
      </w:r>
      <w:r w:rsidR="005A7E7B" w:rsidRPr="005A7E7B">
        <w:rPr>
          <w:rFonts w:asciiTheme="majorBidi" w:hAnsiTheme="majorBidi" w:cstheme="majorBidi"/>
        </w:rPr>
        <w:t xml:space="preserve"> would like to express </w:t>
      </w:r>
      <w:r w:rsidR="0054048B">
        <w:rPr>
          <w:rFonts w:asciiTheme="majorBidi" w:hAnsiTheme="majorBidi" w:cstheme="majorBidi"/>
        </w:rPr>
        <w:t>our</w:t>
      </w:r>
      <w:r w:rsidR="005A7E7B" w:rsidRPr="005A7E7B">
        <w:rPr>
          <w:rFonts w:asciiTheme="majorBidi" w:hAnsiTheme="majorBidi" w:cstheme="majorBidi"/>
        </w:rPr>
        <w:t xml:space="preserve"> sincere gratitude to the College of Education for Pure Science – Ibn Al-Haitham, University of Baghdad, for their valuable support and for providing the opportunity to </w:t>
      </w:r>
      <w:r w:rsidR="005A7E7B">
        <w:rPr>
          <w:rFonts w:asciiTheme="majorBidi" w:hAnsiTheme="majorBidi" w:cstheme="majorBidi"/>
        </w:rPr>
        <w:t>accomplish this review research</w:t>
      </w:r>
      <w:r w:rsidR="005E71ED">
        <w:rPr>
          <w:rFonts w:asciiTheme="majorBidi" w:hAnsiTheme="majorBidi" w:cstheme="majorBidi"/>
        </w:rPr>
        <w:t>.</w:t>
      </w:r>
    </w:p>
    <w:p w14:paraId="7D026FC8" w14:textId="53063ADF" w:rsidR="006E44DE" w:rsidRDefault="0016385D" w:rsidP="006A4577">
      <w:pPr>
        <w:pStyle w:val="Heading1"/>
      </w:pPr>
      <w:r w:rsidRPr="00075EA6">
        <w:rPr>
          <w:rFonts w:asciiTheme="majorBidi" w:hAnsiTheme="majorBidi" w:cstheme="majorBidi"/>
        </w:rPr>
        <w:t>References</w:t>
      </w:r>
    </w:p>
    <w:p w14:paraId="0F2450E4" w14:textId="0F751832" w:rsidR="00D4517C" w:rsidRPr="00115135" w:rsidRDefault="00D4517C" w:rsidP="00CF25F8">
      <w:pPr>
        <w:pStyle w:val="Reference"/>
        <w:numPr>
          <w:ilvl w:val="0"/>
          <w:numId w:val="12"/>
        </w:numPr>
        <w:ind w:left="284" w:hanging="284"/>
        <w:jc w:val="left"/>
      </w:pPr>
      <w:r w:rsidRPr="00115135">
        <w:t xml:space="preserve">M. N. Mascarenhas, S. R. Flaxman, T. Boerma, S. Vanderpoel and G. A. Stevens, </w:t>
      </w:r>
      <w:proofErr w:type="spellStart"/>
      <w:r w:rsidRPr="00115135">
        <w:t>PLoS</w:t>
      </w:r>
      <w:proofErr w:type="spellEnd"/>
      <w:r w:rsidRPr="00115135">
        <w:t xml:space="preserve"> Med. </w:t>
      </w:r>
      <w:r w:rsidRPr="00115135">
        <w:rPr>
          <w:b/>
          <w:bCs/>
        </w:rPr>
        <w:t>9</w:t>
      </w:r>
      <w:r w:rsidRPr="00115135">
        <w:t xml:space="preserve">(12), e1001356 (2012). </w:t>
      </w:r>
      <w:hyperlink r:id="rId10" w:history="1">
        <w:r w:rsidR="002619F6" w:rsidRPr="00115135">
          <w:rPr>
            <w:rStyle w:val="Hyperlink"/>
            <w:color w:val="auto"/>
            <w:u w:val="none"/>
          </w:rPr>
          <w:t>https://doi.org/10.1371/journal.pmed.1001356</w:t>
        </w:r>
      </w:hyperlink>
      <w:r w:rsidR="002619F6" w:rsidRPr="00115135">
        <w:t xml:space="preserve">. </w:t>
      </w:r>
    </w:p>
    <w:p w14:paraId="540D47D7" w14:textId="691F508C" w:rsidR="00D4517C" w:rsidRPr="00115135" w:rsidRDefault="00D4517C" w:rsidP="00CF25F8">
      <w:pPr>
        <w:pStyle w:val="Reference"/>
        <w:numPr>
          <w:ilvl w:val="0"/>
          <w:numId w:val="12"/>
        </w:numPr>
        <w:ind w:left="284" w:hanging="284"/>
        <w:jc w:val="left"/>
      </w:pPr>
      <w:r w:rsidRPr="00115135">
        <w:t xml:space="preserve">M. Vander Borght and C. Wyns, Clin. </w:t>
      </w:r>
      <w:proofErr w:type="spellStart"/>
      <w:r w:rsidRPr="00115135">
        <w:t>Biochem</w:t>
      </w:r>
      <w:proofErr w:type="spellEnd"/>
      <w:r w:rsidRPr="00115135">
        <w:t xml:space="preserve">. </w:t>
      </w:r>
      <w:r w:rsidRPr="00115135">
        <w:rPr>
          <w:b/>
          <w:bCs/>
        </w:rPr>
        <w:t>62</w:t>
      </w:r>
      <w:r w:rsidRPr="00115135">
        <w:t xml:space="preserve">, 2–10 (2018). </w:t>
      </w:r>
      <w:hyperlink r:id="rId11" w:history="1">
        <w:r w:rsidR="002619F6" w:rsidRPr="00115135">
          <w:rPr>
            <w:rStyle w:val="Hyperlink"/>
            <w:color w:val="auto"/>
            <w:u w:val="none"/>
          </w:rPr>
          <w:t>https://doi.org/10.1016/j.clinbiochem.2018.03.012</w:t>
        </w:r>
      </w:hyperlink>
      <w:r w:rsidR="002619F6" w:rsidRPr="00115135">
        <w:t xml:space="preserve">. </w:t>
      </w:r>
    </w:p>
    <w:p w14:paraId="7B877447" w14:textId="77777777" w:rsidR="005546B5" w:rsidRPr="00115135" w:rsidRDefault="002619F6" w:rsidP="00CF25F8">
      <w:pPr>
        <w:pStyle w:val="Reference"/>
        <w:numPr>
          <w:ilvl w:val="0"/>
          <w:numId w:val="12"/>
        </w:numPr>
        <w:ind w:left="284" w:hanging="284"/>
        <w:jc w:val="left"/>
      </w:pPr>
      <w:r w:rsidRPr="00115135">
        <w:t xml:space="preserve">World Health Organization, Infertility. </w:t>
      </w:r>
      <w:r w:rsidRPr="00115135">
        <w:rPr>
          <w:i/>
          <w:iCs/>
        </w:rPr>
        <w:t>WHO Fact Sheet</w:t>
      </w:r>
      <w:r w:rsidR="00D4517C" w:rsidRPr="00115135">
        <w:t xml:space="preserve"> (2020). </w:t>
      </w:r>
      <w:hyperlink r:id="rId12" w:history="1">
        <w:r w:rsidRPr="00115135">
          <w:rPr>
            <w:rStyle w:val="Hyperlink"/>
            <w:color w:val="auto"/>
            <w:u w:val="none"/>
          </w:rPr>
          <w:t>https://www.who.int/news-room/fact-sheets/detail/infeility</w:t>
        </w:r>
      </w:hyperlink>
      <w:r w:rsidRPr="00115135">
        <w:t xml:space="preserve">. </w:t>
      </w:r>
    </w:p>
    <w:p w14:paraId="42CBD6CC" w14:textId="1684D1D0" w:rsidR="00D4517C" w:rsidRPr="00115135" w:rsidRDefault="00D4517C" w:rsidP="00CF25F8">
      <w:pPr>
        <w:pStyle w:val="Reference"/>
        <w:numPr>
          <w:ilvl w:val="0"/>
          <w:numId w:val="12"/>
        </w:numPr>
        <w:ind w:left="284" w:hanging="284"/>
        <w:jc w:val="left"/>
      </w:pPr>
      <w:r w:rsidRPr="00115135">
        <w:t xml:space="preserve">S. J. Al Fleafil, A. A. M. Faisal and R. A. Mahood, Iraqi J. </w:t>
      </w:r>
      <w:proofErr w:type="spellStart"/>
      <w:r w:rsidRPr="00115135">
        <w:t>Biotechnol</w:t>
      </w:r>
      <w:proofErr w:type="spellEnd"/>
      <w:r w:rsidRPr="00115135">
        <w:t xml:space="preserve">. </w:t>
      </w:r>
      <w:r w:rsidRPr="00115135">
        <w:rPr>
          <w:b/>
          <w:bCs/>
        </w:rPr>
        <w:t>20</w:t>
      </w:r>
      <w:r w:rsidRPr="00115135">
        <w:t>(1), 38–45 (2021).</w:t>
      </w:r>
      <w:r w:rsidR="005546B5" w:rsidRPr="00115135">
        <w:t xml:space="preserve"> </w:t>
      </w:r>
      <w:hyperlink r:id="rId13" w:history="1">
        <w:r w:rsidR="005546B5" w:rsidRPr="00115135">
          <w:rPr>
            <w:rStyle w:val="Hyperlink"/>
            <w:color w:val="auto"/>
            <w:u w:val="none"/>
          </w:rPr>
          <w:t>https://jige.uobaghdad.edu.iq/index.php/IJB/issue/view/38</w:t>
        </w:r>
      </w:hyperlink>
      <w:r w:rsidR="005546B5" w:rsidRPr="00115135">
        <w:t xml:space="preserve">. </w:t>
      </w:r>
    </w:p>
    <w:p w14:paraId="201E41D3" w14:textId="0F9D3A58" w:rsidR="00125A65" w:rsidRPr="00115135" w:rsidRDefault="000A0F84" w:rsidP="00CF25F8">
      <w:pPr>
        <w:pStyle w:val="Reference"/>
        <w:numPr>
          <w:ilvl w:val="0"/>
          <w:numId w:val="12"/>
        </w:numPr>
        <w:ind w:left="284" w:hanging="284"/>
        <w:jc w:val="left"/>
      </w:pPr>
      <w:r w:rsidRPr="00115135">
        <w:t>Al-</w:t>
      </w:r>
      <w:proofErr w:type="spellStart"/>
      <w:r w:rsidRPr="00115135">
        <w:t>Namil</w:t>
      </w:r>
      <w:proofErr w:type="spellEnd"/>
      <w:r w:rsidRPr="00115135">
        <w:t>, S., MA. Al-Diab, J., and</w:t>
      </w:r>
      <w:r w:rsidR="00125A65" w:rsidRPr="00115135">
        <w:t xml:space="preserve"> N. Abdulnabi, A. </w:t>
      </w:r>
      <w:r w:rsidRPr="00115135">
        <w:t>Med J</w:t>
      </w:r>
      <w:r w:rsidR="00125A65" w:rsidRPr="00115135">
        <w:t xml:space="preserve"> </w:t>
      </w:r>
      <w:r w:rsidRPr="00115135">
        <w:t>Basrah Univ.</w:t>
      </w:r>
      <w:r w:rsidR="00125A65" w:rsidRPr="00115135">
        <w:t xml:space="preserve"> </w:t>
      </w:r>
      <w:r w:rsidR="00125A65" w:rsidRPr="00115135">
        <w:rPr>
          <w:b/>
          <w:bCs/>
        </w:rPr>
        <w:t>36</w:t>
      </w:r>
      <w:r w:rsidR="00125A65" w:rsidRPr="00115135">
        <w:t>(1), 45-48</w:t>
      </w:r>
      <w:r w:rsidRPr="00115135">
        <w:t xml:space="preserve"> (2018</w:t>
      </w:r>
      <w:proofErr w:type="gramStart"/>
      <w:r w:rsidRPr="00115135">
        <w:t>).</w:t>
      </w:r>
      <w:r w:rsidR="00125A65" w:rsidRPr="00115135">
        <w:t>.</w:t>
      </w:r>
      <w:proofErr w:type="gramEnd"/>
      <w:r w:rsidR="00125A65" w:rsidRPr="00115135">
        <w:t xml:space="preserve"> </w:t>
      </w:r>
      <w:hyperlink r:id="rId14" w:history="1">
        <w:r w:rsidR="00125A65" w:rsidRPr="00115135">
          <w:rPr>
            <w:rStyle w:val="Hyperlink"/>
            <w:color w:val="auto"/>
            <w:u w:val="none"/>
          </w:rPr>
          <w:t>https://doi.org/10.33762/mjbu.2018.145198</w:t>
        </w:r>
      </w:hyperlink>
    </w:p>
    <w:p w14:paraId="6FB15C7A" w14:textId="1EE05B60" w:rsidR="00D4517C" w:rsidRPr="00115135" w:rsidRDefault="00D4517C" w:rsidP="00CF25F8">
      <w:pPr>
        <w:pStyle w:val="Reference"/>
        <w:numPr>
          <w:ilvl w:val="0"/>
          <w:numId w:val="12"/>
        </w:numPr>
        <w:ind w:left="284" w:hanging="284"/>
        <w:jc w:val="left"/>
        <w:rPr>
          <w:lang w:val="fr-FR"/>
        </w:rPr>
      </w:pPr>
      <w:r w:rsidRPr="00115135">
        <w:t xml:space="preserve">T. K. Adnan and L. A. Salih, Iraqi J. Agric. </w:t>
      </w:r>
      <w:proofErr w:type="spellStart"/>
      <w:r w:rsidRPr="00115135">
        <w:rPr>
          <w:lang w:val="fr-FR"/>
        </w:rPr>
        <w:t>Sci</w:t>
      </w:r>
      <w:proofErr w:type="spellEnd"/>
      <w:r w:rsidRPr="00115135">
        <w:rPr>
          <w:lang w:val="fr-FR"/>
        </w:rPr>
        <w:t xml:space="preserve">. </w:t>
      </w:r>
      <w:r w:rsidRPr="00115135">
        <w:rPr>
          <w:b/>
          <w:bCs/>
          <w:lang w:val="fr-FR"/>
        </w:rPr>
        <w:t>55</w:t>
      </w:r>
      <w:r w:rsidRPr="00115135">
        <w:rPr>
          <w:lang w:val="fr-FR"/>
        </w:rPr>
        <w:t>(2), 868–874 (2024).</w:t>
      </w:r>
      <w:r w:rsidR="006F620C" w:rsidRPr="00115135">
        <w:rPr>
          <w:lang w:val="fr-FR"/>
        </w:rPr>
        <w:t xml:space="preserve"> </w:t>
      </w:r>
      <w:r w:rsidR="006F620C">
        <w:fldChar w:fldCharType="begin"/>
      </w:r>
      <w:r w:rsidR="006F620C" w:rsidRPr="00F37C3E">
        <w:rPr>
          <w:lang w:val="fr-FR"/>
        </w:rPr>
        <w:instrText>HYPERLINK "https://doi.org/10.36103/s3hdsy08"</w:instrText>
      </w:r>
      <w:r w:rsidR="006F620C">
        <w:fldChar w:fldCharType="separate"/>
      </w:r>
      <w:r w:rsidR="006F620C" w:rsidRPr="00115135">
        <w:rPr>
          <w:rStyle w:val="Hyperlink"/>
          <w:color w:val="auto"/>
          <w:u w:val="none"/>
          <w:lang w:val="fr-FR"/>
        </w:rPr>
        <w:t>https://doi.org/10.36103/s3hdsy08</w:t>
      </w:r>
      <w:r w:rsidR="006F620C">
        <w:fldChar w:fldCharType="end"/>
      </w:r>
      <w:r w:rsidR="006F620C" w:rsidRPr="00115135">
        <w:rPr>
          <w:lang w:val="fr-FR"/>
        </w:rPr>
        <w:t xml:space="preserve">. </w:t>
      </w:r>
    </w:p>
    <w:p w14:paraId="60DFAFE9" w14:textId="02DA5FE0" w:rsidR="00D4517C" w:rsidRPr="00115135" w:rsidRDefault="00D4517C" w:rsidP="00CF25F8">
      <w:pPr>
        <w:pStyle w:val="Reference"/>
        <w:numPr>
          <w:ilvl w:val="0"/>
          <w:numId w:val="12"/>
        </w:numPr>
        <w:ind w:left="284" w:hanging="284"/>
        <w:jc w:val="left"/>
        <w:rPr>
          <w:lang w:val="fr-FR"/>
        </w:rPr>
      </w:pPr>
      <w:r w:rsidRPr="00115135">
        <w:t>H. H. Al-Moussawi and S. S. Al-</w:t>
      </w:r>
      <w:proofErr w:type="spellStart"/>
      <w:r w:rsidRPr="00115135">
        <w:t>Dujaily</w:t>
      </w:r>
      <w:proofErr w:type="spellEnd"/>
      <w:r w:rsidRPr="00115135">
        <w:t xml:space="preserve">, J. Glob. </w:t>
      </w:r>
      <w:r w:rsidRPr="00115135">
        <w:rPr>
          <w:lang w:val="fr-FR"/>
        </w:rPr>
        <w:t xml:space="preserve">Pharma </w:t>
      </w:r>
      <w:proofErr w:type="spellStart"/>
      <w:r w:rsidRPr="00115135">
        <w:rPr>
          <w:lang w:val="fr-FR"/>
        </w:rPr>
        <w:t>Technol</w:t>
      </w:r>
      <w:proofErr w:type="spellEnd"/>
      <w:r w:rsidRPr="00115135">
        <w:rPr>
          <w:lang w:val="fr-FR"/>
        </w:rPr>
        <w:t xml:space="preserve">. </w:t>
      </w:r>
      <w:r w:rsidRPr="00115135">
        <w:rPr>
          <w:b/>
          <w:bCs/>
          <w:lang w:val="fr-FR"/>
        </w:rPr>
        <w:t>11</w:t>
      </w:r>
      <w:r w:rsidRPr="00115135">
        <w:rPr>
          <w:lang w:val="fr-FR"/>
        </w:rPr>
        <w:t>(2), 158–163 (2019).</w:t>
      </w:r>
      <w:r w:rsidR="00856B5B" w:rsidRPr="00115135">
        <w:rPr>
          <w:lang w:val="fr-FR"/>
        </w:rPr>
        <w:t xml:space="preserve"> </w:t>
      </w:r>
      <w:r w:rsidR="00856B5B">
        <w:fldChar w:fldCharType="begin"/>
      </w:r>
      <w:r w:rsidR="00856B5B" w:rsidRPr="00F37C3E">
        <w:rPr>
          <w:lang w:val="fr-FR"/>
        </w:rPr>
        <w:instrText>HYPERLINK "https://doi.org/10.36103/ijas.v55i2.3338"</w:instrText>
      </w:r>
      <w:r w:rsidR="00856B5B">
        <w:fldChar w:fldCharType="separate"/>
      </w:r>
      <w:r w:rsidR="00856B5B" w:rsidRPr="00115135">
        <w:rPr>
          <w:rStyle w:val="Hyperlink"/>
          <w:color w:val="auto"/>
          <w:u w:val="none"/>
          <w:lang w:val="fr-FR"/>
        </w:rPr>
        <w:t>https://doi.org/10.36103/ijas.v55i2.3338</w:t>
      </w:r>
      <w:r w:rsidR="00856B5B">
        <w:fldChar w:fldCharType="end"/>
      </w:r>
      <w:r w:rsidR="00856B5B" w:rsidRPr="00115135">
        <w:rPr>
          <w:lang w:val="fr-FR"/>
        </w:rPr>
        <w:t>.</w:t>
      </w:r>
    </w:p>
    <w:p w14:paraId="5AE31080" w14:textId="70848E3D" w:rsidR="00D4517C" w:rsidRPr="00115135" w:rsidRDefault="00D4517C" w:rsidP="00CF25F8">
      <w:pPr>
        <w:pStyle w:val="Reference"/>
        <w:numPr>
          <w:ilvl w:val="0"/>
          <w:numId w:val="12"/>
        </w:numPr>
        <w:ind w:left="284" w:hanging="284"/>
        <w:jc w:val="left"/>
      </w:pPr>
      <w:r w:rsidRPr="00115135">
        <w:t xml:space="preserve">S. S. </w:t>
      </w:r>
      <w:proofErr w:type="spellStart"/>
      <w:r w:rsidRPr="00115135">
        <w:t>Jumaa</w:t>
      </w:r>
      <w:proofErr w:type="spellEnd"/>
      <w:r w:rsidRPr="00115135">
        <w:t xml:space="preserve">, A. M. Alwan and K. K. Al-Zubaidi, Iraqi J. Med. Sci. </w:t>
      </w:r>
      <w:r w:rsidRPr="00115135">
        <w:rPr>
          <w:b/>
          <w:bCs/>
        </w:rPr>
        <w:t>18</w:t>
      </w:r>
      <w:r w:rsidRPr="00115135">
        <w:t>(3), 310–317 (2020).</w:t>
      </w:r>
      <w:r w:rsidR="00F31EC9" w:rsidRPr="00115135">
        <w:t xml:space="preserve"> </w:t>
      </w:r>
      <w:hyperlink r:id="rId15" w:history="1">
        <w:r w:rsidR="00784F1A" w:rsidRPr="00115135">
          <w:rPr>
            <w:rStyle w:val="Hyperlink"/>
            <w:color w:val="auto"/>
            <w:u w:val="none"/>
          </w:rPr>
          <w:t>https://doi.org/10.24996/ijs.2022.63.3.18</w:t>
        </w:r>
      </w:hyperlink>
    </w:p>
    <w:p w14:paraId="27FE47FB" w14:textId="17A1B133" w:rsidR="00D4517C" w:rsidRPr="00115135" w:rsidRDefault="00D4517C" w:rsidP="00CF25F8">
      <w:pPr>
        <w:pStyle w:val="Reference"/>
        <w:numPr>
          <w:ilvl w:val="0"/>
          <w:numId w:val="12"/>
        </w:numPr>
        <w:ind w:left="284" w:hanging="284"/>
        <w:jc w:val="left"/>
      </w:pPr>
      <w:r w:rsidRPr="00115135">
        <w:t xml:space="preserve">L. S. Mohammed and N. I. A. Haddad, Iraqi J. Sci. </w:t>
      </w:r>
      <w:r w:rsidRPr="00115135">
        <w:rPr>
          <w:b/>
          <w:bCs/>
        </w:rPr>
        <w:t>65</w:t>
      </w:r>
      <w:r w:rsidRPr="00115135">
        <w:t xml:space="preserve">(8), 4179–4188 (2024). </w:t>
      </w:r>
      <w:hyperlink r:id="rId16" w:history="1">
        <w:r w:rsidR="00F31EC9" w:rsidRPr="00115135">
          <w:rPr>
            <w:rStyle w:val="Hyperlink"/>
            <w:color w:val="auto"/>
            <w:u w:val="none"/>
          </w:rPr>
          <w:t>https://doi.org/10.24996/ijs.2024.65.8.4</w:t>
        </w:r>
      </w:hyperlink>
      <w:r w:rsidR="002619F6" w:rsidRPr="00115135">
        <w:t xml:space="preserve">. </w:t>
      </w:r>
    </w:p>
    <w:p w14:paraId="5A7086B3" w14:textId="73D660AF" w:rsidR="00125A65" w:rsidRPr="00115135" w:rsidRDefault="000A0F84" w:rsidP="00CF25F8">
      <w:pPr>
        <w:pStyle w:val="Reference"/>
        <w:numPr>
          <w:ilvl w:val="0"/>
          <w:numId w:val="12"/>
        </w:numPr>
        <w:ind w:left="284" w:hanging="284"/>
        <w:jc w:val="left"/>
      </w:pPr>
      <w:r w:rsidRPr="00115135">
        <w:t>S. Dyer,</w:t>
      </w:r>
      <w:r w:rsidR="00125A65" w:rsidRPr="00115135">
        <w:t xml:space="preserve"> </w:t>
      </w:r>
      <w:r w:rsidRPr="00115135">
        <w:t xml:space="preserve">G.M. </w:t>
      </w:r>
      <w:r w:rsidR="00125A65" w:rsidRPr="00115135">
        <w:t xml:space="preserve">Chambers, </w:t>
      </w:r>
      <w:r w:rsidRPr="00115135">
        <w:t xml:space="preserve">G.D. </w:t>
      </w:r>
      <w:r w:rsidR="00125A65" w:rsidRPr="00115135">
        <w:t xml:space="preserve">Adamson, </w:t>
      </w:r>
      <w:r w:rsidRPr="00115135">
        <w:t xml:space="preserve">M. </w:t>
      </w:r>
      <w:r w:rsidR="00125A65" w:rsidRPr="00115135">
        <w:t xml:space="preserve">Banker, </w:t>
      </w:r>
      <w:r w:rsidRPr="00115135">
        <w:t xml:space="preserve">J. </w:t>
      </w:r>
      <w:r w:rsidR="00125A65" w:rsidRPr="00115135">
        <w:t xml:space="preserve">De Mouzon, </w:t>
      </w:r>
      <w:r w:rsidRPr="00115135">
        <w:t xml:space="preserve">O. </w:t>
      </w:r>
      <w:r w:rsidR="00125A65" w:rsidRPr="00115135">
        <w:t xml:space="preserve">Ishihara, </w:t>
      </w:r>
      <w:r w:rsidRPr="00115135">
        <w:t xml:space="preserve">M. </w:t>
      </w:r>
      <w:r w:rsidR="00125A65" w:rsidRPr="00115135">
        <w:t xml:space="preserve">Kupka, </w:t>
      </w:r>
      <w:r w:rsidRPr="00115135">
        <w:t xml:space="preserve">R. </w:t>
      </w:r>
      <w:r w:rsidR="00125A65" w:rsidRPr="00115135">
        <w:t xml:space="preserve">Mansour, </w:t>
      </w:r>
      <w:r w:rsidRPr="00115135">
        <w:t>and F. Zegers-Hochschild</w:t>
      </w:r>
      <w:r w:rsidR="00125A65" w:rsidRPr="00115135">
        <w:t xml:space="preserve">, </w:t>
      </w:r>
      <w:r w:rsidR="00125A65" w:rsidRPr="00115135">
        <w:rPr>
          <w:b/>
          <w:bCs/>
        </w:rPr>
        <w:t>41</w:t>
      </w:r>
      <w:r w:rsidR="00125A65" w:rsidRPr="00115135">
        <w:t>(1), 6-9</w:t>
      </w:r>
      <w:r w:rsidRPr="00115135">
        <w:t xml:space="preserve"> (2020)</w:t>
      </w:r>
      <w:r w:rsidR="00125A65" w:rsidRPr="00115135">
        <w:t xml:space="preserve">. </w:t>
      </w:r>
      <w:hyperlink r:id="rId17" w:history="1">
        <w:r w:rsidR="00125A65" w:rsidRPr="00115135">
          <w:rPr>
            <w:rStyle w:val="Hyperlink"/>
            <w:color w:val="auto"/>
            <w:u w:val="none"/>
          </w:rPr>
          <w:t>https://doi.org/10.1016/j.rbmo.2020.03.007</w:t>
        </w:r>
      </w:hyperlink>
    </w:p>
    <w:p w14:paraId="2BE0D88A" w14:textId="3164B0CD" w:rsidR="00D4517C" w:rsidRPr="00115135" w:rsidRDefault="005E5168" w:rsidP="00CF25F8">
      <w:pPr>
        <w:pStyle w:val="Reference"/>
        <w:numPr>
          <w:ilvl w:val="0"/>
          <w:numId w:val="12"/>
        </w:numPr>
        <w:ind w:left="284" w:hanging="284"/>
        <w:jc w:val="left"/>
      </w:pPr>
      <w:r w:rsidRPr="00115135">
        <w:t xml:space="preserve">M. P. Dougherty, A. M. Poch, L. P. </w:t>
      </w:r>
      <w:proofErr w:type="spellStart"/>
      <w:r w:rsidRPr="00115135">
        <w:t>Chorich</w:t>
      </w:r>
      <w:proofErr w:type="spellEnd"/>
      <w:r w:rsidRPr="00115135">
        <w:t xml:space="preserve">, Z. A. Hawkins, H. Xu, R. A. Roman and L.C. Layman, N. Engl. J. Med. </w:t>
      </w:r>
      <w:r w:rsidRPr="00115135">
        <w:rPr>
          <w:b/>
          <w:bCs/>
        </w:rPr>
        <w:t>388</w:t>
      </w:r>
      <w:r w:rsidRPr="00115135">
        <w:t>(11), 1055–1056 (2023)</w:t>
      </w:r>
      <w:r w:rsidR="00D4517C" w:rsidRPr="00115135">
        <w:t>.</w:t>
      </w:r>
      <w:r w:rsidRPr="00115135">
        <w:t xml:space="preserve"> </w:t>
      </w:r>
      <w:hyperlink r:id="rId18" w:history="1">
        <w:r w:rsidRPr="00115135">
          <w:rPr>
            <w:rStyle w:val="Hyperlink"/>
            <w:color w:val="auto"/>
            <w:u w:val="none"/>
          </w:rPr>
          <w:t>https://www.nejm.org/doi/full/10.1056/NEJMc2211539</w:t>
        </w:r>
      </w:hyperlink>
      <w:r w:rsidRPr="00115135">
        <w:t xml:space="preserve">. </w:t>
      </w:r>
    </w:p>
    <w:p w14:paraId="4277965D" w14:textId="77777777" w:rsidR="00A70DE1" w:rsidRPr="00115135" w:rsidRDefault="00D4517C" w:rsidP="00CF25F8">
      <w:pPr>
        <w:pStyle w:val="Reference"/>
        <w:numPr>
          <w:ilvl w:val="0"/>
          <w:numId w:val="12"/>
        </w:numPr>
        <w:ind w:left="284" w:hanging="284"/>
        <w:jc w:val="left"/>
      </w:pPr>
      <w:r w:rsidRPr="00115135">
        <w:t>S. M. Al-Ani, E. A. Al-Kasser and F. M. Al-</w:t>
      </w:r>
      <w:proofErr w:type="spellStart"/>
      <w:r w:rsidRPr="00115135">
        <w:t>Aboosy</w:t>
      </w:r>
      <w:proofErr w:type="spellEnd"/>
      <w:r w:rsidRPr="00115135">
        <w:t xml:space="preserve">, Iraqi Med. J. </w:t>
      </w:r>
      <w:r w:rsidRPr="00115135">
        <w:rPr>
          <w:b/>
          <w:bCs/>
        </w:rPr>
        <w:t>67</w:t>
      </w:r>
      <w:r w:rsidRPr="00115135">
        <w:t>(1), 26–30 (2021).</w:t>
      </w:r>
      <w:r w:rsidR="00A80FC6" w:rsidRPr="00115135">
        <w:t xml:space="preserve"> </w:t>
      </w:r>
      <w:hyperlink r:id="rId19" w:history="1">
        <w:r w:rsidR="00A80FC6" w:rsidRPr="00115135">
          <w:rPr>
            <w:rStyle w:val="Hyperlink"/>
            <w:color w:val="auto"/>
            <w:u w:val="none"/>
          </w:rPr>
          <w:t>https://imj.edu.iq/wp-content/uploads/2023/03/05-The-Etiological-Factors-of-infertility-among-Couples-Attending-the-Infertility-Clinic-of-Baghdad-Teaching-Hospital-during-the-Years-2013-and-2014.pdf</w:t>
        </w:r>
      </w:hyperlink>
      <w:r w:rsidR="00A80FC6" w:rsidRPr="00115135">
        <w:t xml:space="preserve">. </w:t>
      </w:r>
    </w:p>
    <w:p w14:paraId="524013AA" w14:textId="77777777" w:rsidR="008B5467" w:rsidRPr="00115135" w:rsidRDefault="00D4517C" w:rsidP="00CF25F8">
      <w:pPr>
        <w:pStyle w:val="Reference"/>
        <w:numPr>
          <w:ilvl w:val="0"/>
          <w:numId w:val="12"/>
        </w:numPr>
        <w:ind w:left="284" w:hanging="284"/>
        <w:jc w:val="left"/>
      </w:pPr>
      <w:r w:rsidRPr="00115135">
        <w:t>S. T. Salman, S. K. Khalaf and A. A. Hussain, Int. J. Health Sci. (II), 1175–1186 (2022).</w:t>
      </w:r>
      <w:r w:rsidR="00A70DE1" w:rsidRPr="00115135">
        <w:t xml:space="preserve"> </w:t>
      </w:r>
      <w:hyperlink r:id="rId20" w:history="1">
        <w:r w:rsidR="00A70DE1" w:rsidRPr="00115135">
          <w:rPr>
            <w:rStyle w:val="Hyperlink"/>
            <w:color w:val="auto"/>
            <w:u w:val="none"/>
          </w:rPr>
          <w:t>https://doi.org/10.53730/ijhs.v6nS2.5154</w:t>
        </w:r>
      </w:hyperlink>
      <w:r w:rsidR="00A70DE1" w:rsidRPr="00115135">
        <w:t xml:space="preserve">. </w:t>
      </w:r>
    </w:p>
    <w:p w14:paraId="4DE91CCB" w14:textId="7F3F2FCE" w:rsidR="00326AE0" w:rsidRPr="00115135" w:rsidRDefault="008B5467" w:rsidP="00CF25F8">
      <w:pPr>
        <w:pStyle w:val="Reference"/>
        <w:numPr>
          <w:ilvl w:val="0"/>
          <w:numId w:val="12"/>
        </w:numPr>
        <w:ind w:left="284" w:hanging="284"/>
        <w:jc w:val="left"/>
      </w:pPr>
      <w:r w:rsidRPr="00115135">
        <w:lastRenderedPageBreak/>
        <w:t xml:space="preserve">B. C. J. M. Fauser, G. D. Adamson, J. Boivin, G. M. Chambers, C. de </w:t>
      </w:r>
      <w:proofErr w:type="spellStart"/>
      <w:r w:rsidRPr="00115135">
        <w:t>Geyter</w:t>
      </w:r>
      <w:proofErr w:type="spellEnd"/>
      <w:r w:rsidRPr="00115135">
        <w:t xml:space="preserve">, S. Dyer, M. C. </w:t>
      </w:r>
      <w:proofErr w:type="spellStart"/>
      <w:r w:rsidRPr="00115135">
        <w:t>Inhorn</w:t>
      </w:r>
      <w:proofErr w:type="spellEnd"/>
      <w:r w:rsidRPr="00115135">
        <w:t xml:space="preserve">, L. Schmidt, G. I. </w:t>
      </w:r>
      <w:proofErr w:type="spellStart"/>
      <w:r w:rsidRPr="00115135">
        <w:t>Serour</w:t>
      </w:r>
      <w:proofErr w:type="spellEnd"/>
      <w:r w:rsidRPr="00115135">
        <w:t xml:space="preserve">, B. </w:t>
      </w:r>
      <w:proofErr w:type="spellStart"/>
      <w:r w:rsidRPr="00115135">
        <w:t>Tarlatzis</w:t>
      </w:r>
      <w:proofErr w:type="spellEnd"/>
      <w:r w:rsidRPr="00115135">
        <w:t xml:space="preserve">, F. Zegers-Hochschild and IFFS Demographics &amp; Access to Care Review Board, Hum. </w:t>
      </w:r>
      <w:proofErr w:type="spellStart"/>
      <w:r w:rsidRPr="00115135">
        <w:t>Reprod</w:t>
      </w:r>
      <w:proofErr w:type="spellEnd"/>
      <w:r w:rsidRPr="00115135">
        <w:t xml:space="preserve">. Update </w:t>
      </w:r>
      <w:r w:rsidRPr="00115135">
        <w:rPr>
          <w:b/>
          <w:bCs/>
        </w:rPr>
        <w:t>30</w:t>
      </w:r>
      <w:r w:rsidRPr="00115135">
        <w:t>(2), 153–173</w:t>
      </w:r>
      <w:r w:rsidR="00D4517C" w:rsidRPr="00115135">
        <w:t>.</w:t>
      </w:r>
      <w:r w:rsidRPr="00115135">
        <w:t xml:space="preserve"> (2024). </w:t>
      </w:r>
      <w:hyperlink r:id="rId21" w:history="1">
        <w:r w:rsidRPr="00115135">
          <w:rPr>
            <w:rStyle w:val="Hyperlink"/>
            <w:color w:val="auto"/>
            <w:u w:val="none"/>
          </w:rPr>
          <w:t>https://doi.org/10.1093/humupd/dmad028</w:t>
        </w:r>
      </w:hyperlink>
      <w:r w:rsidRPr="00115135">
        <w:t xml:space="preserve">. </w:t>
      </w:r>
    </w:p>
    <w:p w14:paraId="2B72064C" w14:textId="6C255C78" w:rsidR="00822AA6" w:rsidRPr="00115135" w:rsidRDefault="00822AA6" w:rsidP="00CF25F8">
      <w:pPr>
        <w:pStyle w:val="Reference"/>
        <w:numPr>
          <w:ilvl w:val="0"/>
          <w:numId w:val="12"/>
        </w:numPr>
        <w:ind w:left="284" w:hanging="284"/>
        <w:jc w:val="left"/>
      </w:pPr>
      <w:r w:rsidRPr="00115135">
        <w:t>F. S. Ahmed and A. A. Othman, Iraqi J. Obst</w:t>
      </w:r>
      <w:r w:rsidR="00651A6C" w:rsidRPr="00115135">
        <w:t xml:space="preserve">et. Gynecol. </w:t>
      </w:r>
      <w:r w:rsidR="00651A6C" w:rsidRPr="00115135">
        <w:rPr>
          <w:b/>
          <w:bCs/>
        </w:rPr>
        <w:t>39</w:t>
      </w:r>
      <w:r w:rsidR="00651A6C" w:rsidRPr="00115135">
        <w:t>(2), 25–32 (2016</w:t>
      </w:r>
      <w:r w:rsidRPr="00115135">
        <w:t>).</w:t>
      </w:r>
      <w:r w:rsidR="00C41C80" w:rsidRPr="00115135">
        <w:t xml:space="preserve"> </w:t>
      </w:r>
      <w:hyperlink r:id="rId22" w:history="1">
        <w:r w:rsidR="00C41C80" w:rsidRPr="00115135">
          <w:rPr>
            <w:rStyle w:val="Hyperlink"/>
            <w:color w:val="auto"/>
            <w:u w:val="none"/>
          </w:rPr>
          <w:t>https://doi.org/10.15218 /zjms.2016.0046</w:t>
        </w:r>
      </w:hyperlink>
      <w:r w:rsidR="00C41C80" w:rsidRPr="00115135">
        <w:t>.</w:t>
      </w:r>
    </w:p>
    <w:p w14:paraId="4E2EAC22" w14:textId="576017E8" w:rsidR="00822AA6" w:rsidRPr="00115135" w:rsidRDefault="00E57AE8" w:rsidP="00CF25F8">
      <w:pPr>
        <w:pStyle w:val="Reference"/>
        <w:numPr>
          <w:ilvl w:val="0"/>
          <w:numId w:val="12"/>
        </w:numPr>
        <w:ind w:left="284" w:hanging="284"/>
        <w:jc w:val="left"/>
      </w:pPr>
      <w:r w:rsidRPr="00115135">
        <w:t xml:space="preserve">M. </w:t>
      </w:r>
      <w:proofErr w:type="spellStart"/>
      <w:r w:rsidRPr="00115135">
        <w:t>Qtait</w:t>
      </w:r>
      <w:proofErr w:type="spellEnd"/>
      <w:r w:rsidR="00DA3783" w:rsidRPr="00115135">
        <w:t xml:space="preserve">. Kufa </w:t>
      </w:r>
      <w:r w:rsidRPr="00115135">
        <w:t xml:space="preserve">J Nursing Sci. </w:t>
      </w:r>
      <w:r w:rsidRPr="00115135">
        <w:rPr>
          <w:b/>
          <w:bCs/>
        </w:rPr>
        <w:t>13</w:t>
      </w:r>
      <w:r w:rsidRPr="00115135">
        <w:t xml:space="preserve">(1) (2023). </w:t>
      </w:r>
      <w:r w:rsidR="00DA3783" w:rsidRPr="00115135">
        <w:t xml:space="preserve"> </w:t>
      </w:r>
      <w:hyperlink r:id="rId23" w:history="1">
        <w:r w:rsidR="00DA3783" w:rsidRPr="00115135">
          <w:rPr>
            <w:rStyle w:val="Hyperlink"/>
            <w:color w:val="auto"/>
            <w:u w:val="none"/>
          </w:rPr>
          <w:t>https://doi.org/10.36321/kjns.vi20231.9715</w:t>
        </w:r>
      </w:hyperlink>
      <w:r w:rsidR="00822AA6" w:rsidRPr="00115135">
        <w:t>.</w:t>
      </w:r>
    </w:p>
    <w:p w14:paraId="27F0E4D4" w14:textId="77777777" w:rsidR="00D57B32" w:rsidRPr="00115135" w:rsidRDefault="00822AA6" w:rsidP="00CF25F8">
      <w:pPr>
        <w:pStyle w:val="Reference"/>
        <w:numPr>
          <w:ilvl w:val="0"/>
          <w:numId w:val="12"/>
        </w:numPr>
        <w:ind w:left="284" w:hanging="284"/>
        <w:jc w:val="left"/>
      </w:pPr>
      <w:r w:rsidRPr="00115135">
        <w:t xml:space="preserve">S. H. Jasim, H. A. Mahmood and R. M. Saleh, Babylon Med. J. </w:t>
      </w:r>
      <w:r w:rsidRPr="00115135">
        <w:rPr>
          <w:b/>
          <w:bCs/>
        </w:rPr>
        <w:t>22</w:t>
      </w:r>
      <w:r w:rsidRPr="00115135">
        <w:t>(1), 33–42 (2024).</w:t>
      </w:r>
    </w:p>
    <w:p w14:paraId="6E3EBA42" w14:textId="5F876D9C" w:rsidR="00822AA6" w:rsidRPr="00115135" w:rsidRDefault="00822AA6" w:rsidP="00CF25F8">
      <w:pPr>
        <w:pStyle w:val="Reference"/>
        <w:numPr>
          <w:ilvl w:val="0"/>
          <w:numId w:val="12"/>
        </w:numPr>
        <w:ind w:left="284" w:hanging="284"/>
        <w:jc w:val="left"/>
      </w:pPr>
      <w:r w:rsidRPr="00115135">
        <w:t>E. A. F. Al-</w:t>
      </w:r>
      <w:proofErr w:type="spellStart"/>
      <w:r w:rsidRPr="00115135">
        <w:t>Bandawi</w:t>
      </w:r>
      <w:proofErr w:type="spellEnd"/>
      <w:r w:rsidRPr="00115135">
        <w:t xml:space="preserve">, E. F. Al-Jumaili and Z. K. Alhusni, Iraqi J. </w:t>
      </w:r>
      <w:proofErr w:type="spellStart"/>
      <w:r w:rsidRPr="00115135">
        <w:t>Biotechnol</w:t>
      </w:r>
      <w:proofErr w:type="spellEnd"/>
      <w:r w:rsidRPr="00115135">
        <w:t xml:space="preserve">. </w:t>
      </w:r>
      <w:r w:rsidRPr="00115135">
        <w:rPr>
          <w:b/>
          <w:bCs/>
        </w:rPr>
        <w:t>23</w:t>
      </w:r>
      <w:r w:rsidRPr="00115135">
        <w:t>(2), 39–46 (2024).</w:t>
      </w:r>
      <w:r w:rsidR="00D57B32" w:rsidRPr="00115135">
        <w:t xml:space="preserve"> </w:t>
      </w:r>
      <w:hyperlink r:id="rId24" w:history="1">
        <w:r w:rsidR="00D57B32" w:rsidRPr="00115135">
          <w:rPr>
            <w:rStyle w:val="Hyperlink"/>
            <w:color w:val="auto"/>
            <w:u w:val="none"/>
          </w:rPr>
          <w:t>https://jige.uobaghdad.edu.iq/index.php/IJB/issue/view/44</w:t>
        </w:r>
      </w:hyperlink>
      <w:r w:rsidR="00D57B32" w:rsidRPr="00115135">
        <w:t xml:space="preserve">. </w:t>
      </w:r>
    </w:p>
    <w:p w14:paraId="7D754CF4" w14:textId="74122ED0" w:rsidR="00822AA6" w:rsidRPr="00115135" w:rsidRDefault="00822AA6" w:rsidP="00CF25F8">
      <w:pPr>
        <w:pStyle w:val="Reference"/>
        <w:numPr>
          <w:ilvl w:val="0"/>
          <w:numId w:val="12"/>
        </w:numPr>
        <w:ind w:left="284" w:hanging="284"/>
        <w:jc w:val="left"/>
      </w:pPr>
      <w:r w:rsidRPr="00115135">
        <w:t>K. H. Hussam, S. M. Al-Khalidi and M. T. Kareem, Baghdad J.</w:t>
      </w:r>
      <w:r w:rsidR="00651A6C" w:rsidRPr="00115135">
        <w:t xml:space="preserve"> Endocrinol. </w:t>
      </w:r>
      <w:r w:rsidR="00651A6C" w:rsidRPr="00115135">
        <w:rPr>
          <w:b/>
          <w:bCs/>
        </w:rPr>
        <w:t>5</w:t>
      </w:r>
      <w:r w:rsidR="00651A6C" w:rsidRPr="00115135">
        <w:t>(2), 99–107 (2023</w:t>
      </w:r>
      <w:r w:rsidRPr="00115135">
        <w:t>).</w:t>
      </w:r>
    </w:p>
    <w:p w14:paraId="256CF019" w14:textId="0AEF8F10" w:rsidR="00822AA6" w:rsidRPr="00115135" w:rsidRDefault="00822AA6" w:rsidP="00CF25F8">
      <w:pPr>
        <w:pStyle w:val="Reference"/>
        <w:numPr>
          <w:ilvl w:val="0"/>
          <w:numId w:val="12"/>
        </w:numPr>
        <w:ind w:left="284" w:hanging="284"/>
        <w:jc w:val="left"/>
      </w:pPr>
      <w:r w:rsidRPr="00115135">
        <w:t>H. A. Al-Ani, Z. K. Al-</w:t>
      </w:r>
      <w:proofErr w:type="spellStart"/>
      <w:r w:rsidRPr="00115135">
        <w:t>Mahdawi</w:t>
      </w:r>
      <w:proofErr w:type="spellEnd"/>
      <w:r w:rsidRPr="00115135">
        <w:t xml:space="preserve"> and R. H. Al-Jubouri, Diyala J. Med. </w:t>
      </w:r>
      <w:r w:rsidRPr="00115135">
        <w:rPr>
          <w:b/>
          <w:bCs/>
        </w:rPr>
        <w:t>21</w:t>
      </w:r>
      <w:r w:rsidRPr="00115135">
        <w:t>(1), 45–55 (2021b).</w:t>
      </w:r>
    </w:p>
    <w:p w14:paraId="60620C79" w14:textId="4A87A8CF" w:rsidR="000A0F84" w:rsidRPr="00115135" w:rsidRDefault="00822AA6" w:rsidP="00CF25F8">
      <w:pPr>
        <w:pStyle w:val="Reference"/>
        <w:numPr>
          <w:ilvl w:val="0"/>
          <w:numId w:val="12"/>
        </w:numPr>
        <w:tabs>
          <w:tab w:val="num" w:pos="284"/>
        </w:tabs>
        <w:ind w:left="284" w:hanging="284"/>
        <w:jc w:val="left"/>
      </w:pPr>
      <w:r w:rsidRPr="00115135">
        <w:t>R. H. Saeed, A. M. S. Al-</w:t>
      </w:r>
      <w:proofErr w:type="spellStart"/>
      <w:r w:rsidRPr="00115135">
        <w:t>Mohaidi</w:t>
      </w:r>
      <w:proofErr w:type="spellEnd"/>
      <w:r w:rsidRPr="00115135">
        <w:t xml:space="preserve"> and N. K. Ismail, Int. J. Drug Deliv</w:t>
      </w:r>
      <w:r w:rsidR="00651A6C" w:rsidRPr="00115135">
        <w:t xml:space="preserve">. Technol. </w:t>
      </w:r>
      <w:r w:rsidR="00651A6C" w:rsidRPr="00115135">
        <w:rPr>
          <w:b/>
          <w:bCs/>
        </w:rPr>
        <w:t>11</w:t>
      </w:r>
      <w:r w:rsidR="00651A6C" w:rsidRPr="00115135">
        <w:t>(3), 685–689 (2021</w:t>
      </w:r>
      <w:r w:rsidR="00722BC3" w:rsidRPr="00115135">
        <w:t xml:space="preserve">). </w:t>
      </w:r>
      <w:hyperlink r:id="rId25" w:history="1">
        <w:r w:rsidR="00722BC3" w:rsidRPr="00115135">
          <w:rPr>
            <w:rStyle w:val="Hyperlink"/>
            <w:color w:val="auto"/>
            <w:u w:val="none"/>
          </w:rPr>
          <w:t>https://doi.org/10.25258/ijddt.11.3.6</w:t>
        </w:r>
      </w:hyperlink>
      <w:r w:rsidR="000A0F84" w:rsidRPr="00115135">
        <w:rPr>
          <w:rStyle w:val="Hyperlink"/>
          <w:color w:val="auto"/>
          <w:u w:val="none"/>
        </w:rPr>
        <w:t xml:space="preserve">.   </w:t>
      </w:r>
    </w:p>
    <w:p w14:paraId="50471926" w14:textId="2C857744" w:rsidR="00822AA6" w:rsidRPr="00115135" w:rsidRDefault="009038D5" w:rsidP="00CF25F8">
      <w:pPr>
        <w:pStyle w:val="Reference"/>
        <w:numPr>
          <w:ilvl w:val="0"/>
          <w:numId w:val="12"/>
        </w:numPr>
        <w:ind w:left="284" w:hanging="284"/>
        <w:jc w:val="left"/>
      </w:pPr>
      <w:r w:rsidRPr="00115135">
        <w:t xml:space="preserve">M. Skowrońska, M. Pawłowski and R. Milewski, J. Clin. Med. </w:t>
      </w:r>
      <w:r w:rsidRPr="00115135">
        <w:rPr>
          <w:b/>
          <w:bCs/>
        </w:rPr>
        <w:t>12</w:t>
      </w:r>
      <w:r w:rsidRPr="00115135">
        <w:t xml:space="preserve">(19), 6275 (2023). </w:t>
      </w:r>
      <w:hyperlink r:id="rId26" w:history="1">
        <w:bookmarkStart w:id="0" w:name="_Hlk208922412"/>
        <w:r w:rsidRPr="00115135">
          <w:rPr>
            <w:rStyle w:val="Hyperlink"/>
            <w:color w:val="auto"/>
            <w:u w:val="none"/>
          </w:rPr>
          <w:t>https://doi.org/</w:t>
        </w:r>
        <w:bookmarkEnd w:id="0"/>
        <w:r w:rsidRPr="00115135">
          <w:rPr>
            <w:rStyle w:val="Hyperlink"/>
            <w:color w:val="auto"/>
            <w:u w:val="none"/>
          </w:rPr>
          <w:t>10.3390/jcm1219627</w:t>
        </w:r>
      </w:hyperlink>
      <w:r w:rsidR="00822AA6" w:rsidRPr="00115135">
        <w:t>.</w:t>
      </w:r>
      <w:r w:rsidRPr="00115135">
        <w:t xml:space="preserve"> </w:t>
      </w:r>
    </w:p>
    <w:p w14:paraId="59FFC1A1" w14:textId="77777777" w:rsidR="000C6173" w:rsidRPr="00115135" w:rsidRDefault="00822AA6" w:rsidP="00CF25F8">
      <w:pPr>
        <w:pStyle w:val="Reference"/>
        <w:numPr>
          <w:ilvl w:val="0"/>
          <w:numId w:val="12"/>
        </w:numPr>
        <w:ind w:left="284" w:hanging="284"/>
        <w:jc w:val="left"/>
      </w:pPr>
      <w:r w:rsidRPr="00115135">
        <w:t xml:space="preserve">M. A. Saeed, H. A. Kareem and S. A. Al-Taie, Med. J. Basrah Univ. </w:t>
      </w:r>
      <w:r w:rsidRPr="00115135">
        <w:rPr>
          <w:b/>
          <w:bCs/>
        </w:rPr>
        <w:t>39</w:t>
      </w:r>
      <w:r w:rsidRPr="00115135">
        <w:t>(3), 115–124</w:t>
      </w:r>
      <w:r w:rsidR="00651A6C" w:rsidRPr="00115135">
        <w:t xml:space="preserve"> (2021</w:t>
      </w:r>
      <w:r w:rsidRPr="00115135">
        <w:t>).</w:t>
      </w:r>
    </w:p>
    <w:p w14:paraId="4D397F4C" w14:textId="77777777" w:rsidR="00E57AE8" w:rsidRPr="00115135" w:rsidRDefault="000C6173" w:rsidP="00CF25F8">
      <w:pPr>
        <w:pStyle w:val="Reference"/>
        <w:numPr>
          <w:ilvl w:val="0"/>
          <w:numId w:val="12"/>
        </w:numPr>
        <w:ind w:left="284" w:hanging="284"/>
        <w:jc w:val="left"/>
      </w:pPr>
      <w:r w:rsidRPr="00115135">
        <w:t xml:space="preserve">P. G. Signorile, R. </w:t>
      </w:r>
      <w:proofErr w:type="spellStart"/>
      <w:r w:rsidRPr="00115135">
        <w:t>Viceconte</w:t>
      </w:r>
      <w:proofErr w:type="spellEnd"/>
      <w:r w:rsidRPr="00115135">
        <w:t xml:space="preserve"> and A. Baldi, Front. Med. </w:t>
      </w:r>
      <w:r w:rsidRPr="00115135">
        <w:rPr>
          <w:b/>
          <w:bCs/>
        </w:rPr>
        <w:t>9</w:t>
      </w:r>
      <w:r w:rsidRPr="00115135">
        <w:t xml:space="preserve">, 879015 (2022). </w:t>
      </w:r>
      <w:hyperlink r:id="rId27" w:history="1">
        <w:r w:rsidRPr="00115135">
          <w:rPr>
            <w:rStyle w:val="Hyperlink"/>
            <w:color w:val="auto"/>
            <w:u w:val="none"/>
          </w:rPr>
          <w:t>https://doi.org/10.3389/fmed.2022.879015</w:t>
        </w:r>
      </w:hyperlink>
      <w:r w:rsidR="00822AA6" w:rsidRPr="00115135">
        <w:t>.</w:t>
      </w:r>
      <w:r w:rsidRPr="00115135">
        <w:t xml:space="preserve"> </w:t>
      </w:r>
    </w:p>
    <w:p w14:paraId="7D0709F1" w14:textId="73F548E0" w:rsidR="000D7883" w:rsidRPr="00115135" w:rsidRDefault="00822AA6" w:rsidP="00CF25F8">
      <w:pPr>
        <w:pStyle w:val="Reference"/>
        <w:numPr>
          <w:ilvl w:val="0"/>
          <w:numId w:val="12"/>
        </w:numPr>
        <w:ind w:left="284" w:hanging="284"/>
        <w:jc w:val="left"/>
        <w:rPr>
          <w:lang w:val="fr-FR"/>
        </w:rPr>
      </w:pPr>
      <w:r w:rsidRPr="00115135">
        <w:t>S. F. Mirza, R. H. Saeed, A. M. S. Al-</w:t>
      </w:r>
      <w:proofErr w:type="spellStart"/>
      <w:r w:rsidRPr="00115135">
        <w:t>Mohaidi</w:t>
      </w:r>
      <w:proofErr w:type="spellEnd"/>
      <w:r w:rsidRPr="00115135">
        <w:t xml:space="preserve"> and I. J. H. Al-</w:t>
      </w:r>
      <w:proofErr w:type="spellStart"/>
      <w:r w:rsidRPr="00115135">
        <w:t>Janabi</w:t>
      </w:r>
      <w:proofErr w:type="spellEnd"/>
      <w:r w:rsidRPr="00115135">
        <w:t xml:space="preserve">, Res. </w:t>
      </w:r>
      <w:proofErr w:type="spellStart"/>
      <w:r w:rsidRPr="00115135">
        <w:rPr>
          <w:lang w:val="fr-FR"/>
        </w:rPr>
        <w:t>Militaris</w:t>
      </w:r>
      <w:proofErr w:type="spellEnd"/>
      <w:r w:rsidRPr="00115135">
        <w:rPr>
          <w:lang w:val="fr-FR"/>
        </w:rPr>
        <w:t xml:space="preserve"> </w:t>
      </w:r>
      <w:r w:rsidRPr="00115135">
        <w:rPr>
          <w:b/>
          <w:bCs/>
          <w:lang w:val="fr-FR"/>
        </w:rPr>
        <w:t>12</w:t>
      </w:r>
      <w:r w:rsidRPr="00115135">
        <w:rPr>
          <w:lang w:val="fr-FR"/>
        </w:rPr>
        <w:t>(2), 6916–6927 (2022).</w:t>
      </w:r>
      <w:r w:rsidR="00E57AE8" w:rsidRPr="00115135">
        <w:rPr>
          <w:lang w:val="fr-FR"/>
        </w:rPr>
        <w:t xml:space="preserve"> </w:t>
      </w:r>
      <w:r w:rsidR="000D7883">
        <w:fldChar w:fldCharType="begin"/>
      </w:r>
      <w:r w:rsidR="000D7883" w:rsidRPr="00F37C3E">
        <w:rPr>
          <w:lang w:val="fr-FR"/>
        </w:rPr>
        <w:instrText>HYPERLINK "http://www.scopus.com/inward/record.url?eid=2-s2.0-85142093641&amp;partnerID=MN8TOARS" \t "_blank"</w:instrText>
      </w:r>
      <w:r w:rsidR="000D7883">
        <w:fldChar w:fldCharType="separate"/>
      </w:r>
      <w:r w:rsidR="000D7883" w:rsidRPr="00115135">
        <w:rPr>
          <w:rFonts w:cs="Noto Sans" w:hint="cs"/>
          <w:spacing w:val="4"/>
          <w:lang w:val="fr-FR"/>
        </w:rPr>
        <w:t>http://www.scopus.com/inward/record.url?eid=2-s2.0-85142093641&amp;partnerID=MN8TOARS</w:t>
      </w:r>
      <w:r w:rsidR="000D7883">
        <w:fldChar w:fldCharType="end"/>
      </w:r>
    </w:p>
    <w:p w14:paraId="7DDA67FD" w14:textId="77359C09" w:rsidR="00822AA6" w:rsidRPr="00115135" w:rsidRDefault="00822AA6" w:rsidP="00CF25F8">
      <w:pPr>
        <w:pStyle w:val="Reference"/>
        <w:numPr>
          <w:ilvl w:val="0"/>
          <w:numId w:val="12"/>
        </w:numPr>
        <w:ind w:left="284" w:hanging="284"/>
        <w:jc w:val="left"/>
      </w:pPr>
      <w:r w:rsidRPr="00115135">
        <w:t xml:space="preserve">F. Hussam, S. Abdulhameed Khudair, W. K. </w:t>
      </w:r>
      <w:proofErr w:type="spellStart"/>
      <w:r w:rsidRPr="00115135">
        <w:t>Alkhafaje</w:t>
      </w:r>
      <w:proofErr w:type="spellEnd"/>
      <w:r w:rsidRPr="00115135">
        <w:t xml:space="preserve">, Y. S. </w:t>
      </w:r>
      <w:proofErr w:type="spellStart"/>
      <w:r w:rsidRPr="00115135">
        <w:t>Alnass</w:t>
      </w:r>
      <w:r w:rsidR="000A0F84" w:rsidRPr="00115135">
        <w:t>ar</w:t>
      </w:r>
      <w:proofErr w:type="spellEnd"/>
      <w:r w:rsidR="000A0F84" w:rsidRPr="00115135">
        <w:t>, R. M. Kaoud, A. Najm Abed</w:t>
      </w:r>
      <w:r w:rsidRPr="00115135">
        <w:t xml:space="preserve"> and H. Ali Numan, J. Obstet. Gynecol</w:t>
      </w:r>
      <w:r w:rsidR="00651A6C" w:rsidRPr="00115135">
        <w:t xml:space="preserve">. Cancer Res. </w:t>
      </w:r>
      <w:r w:rsidR="00651A6C" w:rsidRPr="00115135">
        <w:rPr>
          <w:b/>
          <w:bCs/>
        </w:rPr>
        <w:t>8</w:t>
      </w:r>
      <w:r w:rsidR="00651A6C" w:rsidRPr="00115135">
        <w:t>(1), 47–52 (2023</w:t>
      </w:r>
      <w:r w:rsidRPr="00115135">
        <w:t>).</w:t>
      </w:r>
      <w:r w:rsidR="00A97286" w:rsidRPr="00115135">
        <w:t xml:space="preserve"> </w:t>
      </w:r>
      <w:hyperlink r:id="rId28" w:history="1">
        <w:r w:rsidR="00A97286" w:rsidRPr="00115135">
          <w:rPr>
            <w:rStyle w:val="Hyperlink"/>
            <w:color w:val="auto"/>
            <w:u w:val="none"/>
          </w:rPr>
          <w:t>https://doi.org/10.30699/jogcr.8.1.47</w:t>
        </w:r>
      </w:hyperlink>
      <w:r w:rsidR="00A97286" w:rsidRPr="00115135">
        <w:t xml:space="preserve">. </w:t>
      </w:r>
    </w:p>
    <w:p w14:paraId="7311486F" w14:textId="5A46292F" w:rsidR="00822AA6" w:rsidRPr="00115135" w:rsidRDefault="00822AA6" w:rsidP="00CF25F8">
      <w:pPr>
        <w:pStyle w:val="Reference"/>
        <w:numPr>
          <w:ilvl w:val="0"/>
          <w:numId w:val="12"/>
        </w:numPr>
        <w:ind w:left="284" w:hanging="284"/>
        <w:jc w:val="left"/>
      </w:pPr>
      <w:r w:rsidRPr="00115135">
        <w:t xml:space="preserve">Z. H. Salman, A. R. Ali and R. S. Hassan, Iraqi J. Med. Sci. </w:t>
      </w:r>
      <w:r w:rsidRPr="00115135">
        <w:rPr>
          <w:b/>
          <w:bCs/>
        </w:rPr>
        <w:t>20</w:t>
      </w:r>
      <w:r w:rsidRPr="00115135">
        <w:t>(4), 421–430 (20</w:t>
      </w:r>
      <w:r w:rsidR="00651A6C" w:rsidRPr="00115135">
        <w:t>22</w:t>
      </w:r>
      <w:r w:rsidRPr="00115135">
        <w:t>).</w:t>
      </w:r>
    </w:p>
    <w:p w14:paraId="2F84E242" w14:textId="6288C40B" w:rsidR="00705940" w:rsidRPr="00115135" w:rsidRDefault="00822AA6" w:rsidP="00CF25F8">
      <w:pPr>
        <w:pStyle w:val="Reference"/>
        <w:numPr>
          <w:ilvl w:val="0"/>
          <w:numId w:val="12"/>
        </w:numPr>
        <w:ind w:left="284" w:hanging="284"/>
        <w:jc w:val="left"/>
      </w:pPr>
      <w:r w:rsidRPr="00115135">
        <w:t>R. H. Saeed, A. M. Salih Al-</w:t>
      </w:r>
      <w:proofErr w:type="spellStart"/>
      <w:r w:rsidRPr="00115135">
        <w:t>Mohaidi</w:t>
      </w:r>
      <w:proofErr w:type="spellEnd"/>
      <w:r w:rsidRPr="00115135">
        <w:t xml:space="preserve"> and I. J. Hammadi Al-Janabi, </w:t>
      </w:r>
      <w:proofErr w:type="spellStart"/>
      <w:r w:rsidRPr="00115135">
        <w:t>Bi</w:t>
      </w:r>
      <w:r w:rsidR="00EA0678" w:rsidRPr="00115135">
        <w:t>ochem</w:t>
      </w:r>
      <w:proofErr w:type="spellEnd"/>
      <w:r w:rsidR="00EA0678" w:rsidRPr="00115135">
        <w:t xml:space="preserve">. Cell. Arch. </w:t>
      </w:r>
      <w:r w:rsidR="00EA0678" w:rsidRPr="00115135">
        <w:rPr>
          <w:b/>
          <w:bCs/>
        </w:rPr>
        <w:t>21</w:t>
      </w:r>
      <w:r w:rsidR="00EA0678" w:rsidRPr="00115135">
        <w:t>(2), (2021</w:t>
      </w:r>
      <w:r w:rsidRPr="00115135">
        <w:t>).</w:t>
      </w:r>
      <w:r w:rsidR="004D541A" w:rsidRPr="00115135">
        <w:t xml:space="preserve"> </w:t>
      </w:r>
      <w:hyperlink r:id="rId29" w:history="1">
        <w:r w:rsidR="00705940" w:rsidRPr="00115135">
          <w:rPr>
            <w:rStyle w:val="Hyperlink"/>
            <w:color w:val="auto"/>
            <w:u w:val="none"/>
          </w:rPr>
          <w:t>https://connectjournals.com/03896.2021.21.3593</w:t>
        </w:r>
      </w:hyperlink>
    </w:p>
    <w:p w14:paraId="422F075B" w14:textId="63D497BB" w:rsidR="00822AA6" w:rsidRPr="00115135" w:rsidRDefault="00822AA6" w:rsidP="00CF25F8">
      <w:pPr>
        <w:pStyle w:val="Reference"/>
        <w:numPr>
          <w:ilvl w:val="0"/>
          <w:numId w:val="12"/>
        </w:numPr>
        <w:ind w:left="284" w:hanging="284"/>
        <w:jc w:val="left"/>
      </w:pPr>
      <w:r w:rsidRPr="00115135">
        <w:t xml:space="preserve">Sharma and D. Shrivastava, </w:t>
      </w:r>
      <w:proofErr w:type="spellStart"/>
      <w:r w:rsidRPr="00115135">
        <w:t>Cureus</w:t>
      </w:r>
      <w:proofErr w:type="spellEnd"/>
      <w:r w:rsidRPr="00115135">
        <w:t xml:space="preserve"> </w:t>
      </w:r>
      <w:r w:rsidRPr="00115135">
        <w:rPr>
          <w:b/>
          <w:bCs/>
        </w:rPr>
        <w:t>14</w:t>
      </w:r>
      <w:r w:rsidRPr="00115135">
        <w:t xml:space="preserve">(10), e30320 (2022). </w:t>
      </w:r>
      <w:hyperlink r:id="rId30" w:history="1">
        <w:r w:rsidR="002619F6" w:rsidRPr="00115135">
          <w:rPr>
            <w:rStyle w:val="Hyperlink"/>
            <w:color w:val="auto"/>
            <w:u w:val="none"/>
          </w:rPr>
          <w:t>https://doi.org/10.7759/cureus.30320</w:t>
        </w:r>
      </w:hyperlink>
      <w:r w:rsidR="002619F6" w:rsidRPr="00115135">
        <w:t xml:space="preserve">. </w:t>
      </w:r>
    </w:p>
    <w:p w14:paraId="30E722B7" w14:textId="77777777" w:rsidR="0049360E" w:rsidRPr="00115135" w:rsidRDefault="00822AA6" w:rsidP="00CF25F8">
      <w:pPr>
        <w:pStyle w:val="Reference"/>
        <w:numPr>
          <w:ilvl w:val="0"/>
          <w:numId w:val="12"/>
        </w:numPr>
        <w:ind w:left="284" w:hanging="284"/>
        <w:jc w:val="left"/>
      </w:pPr>
      <w:r w:rsidRPr="00115135">
        <w:t xml:space="preserve">F. M. Khaleel, K. K. </w:t>
      </w:r>
      <w:proofErr w:type="spellStart"/>
      <w:r w:rsidRPr="00115135">
        <w:t>Ghudhaib</w:t>
      </w:r>
      <w:proofErr w:type="spellEnd"/>
      <w:r w:rsidRPr="00115135">
        <w:t xml:space="preserve"> and F. E. Ali, Baghdad Sci. J. </w:t>
      </w:r>
      <w:r w:rsidRPr="00115135">
        <w:rPr>
          <w:b/>
          <w:bCs/>
        </w:rPr>
        <w:t>20</w:t>
      </w:r>
      <w:r w:rsidRPr="00115135">
        <w:t xml:space="preserve">(4), 35 (2023). </w:t>
      </w:r>
      <w:hyperlink r:id="rId31" w:history="1">
        <w:r w:rsidR="00EA0678" w:rsidRPr="00115135">
          <w:rPr>
            <w:rStyle w:val="Hyperlink"/>
            <w:color w:val="auto"/>
            <w:u w:val="none"/>
          </w:rPr>
          <w:t>https://doi.org/10.21123/bsj.2023.9081</w:t>
        </w:r>
      </w:hyperlink>
      <w:r w:rsidR="00EA0678" w:rsidRPr="00115135">
        <w:t xml:space="preserve">. </w:t>
      </w:r>
    </w:p>
    <w:p w14:paraId="4ABC8410" w14:textId="77777777" w:rsidR="0049360E" w:rsidRPr="00115135" w:rsidRDefault="00822AA6" w:rsidP="00CF25F8">
      <w:pPr>
        <w:pStyle w:val="Reference"/>
        <w:numPr>
          <w:ilvl w:val="0"/>
          <w:numId w:val="12"/>
        </w:numPr>
        <w:ind w:left="284" w:hanging="284"/>
        <w:jc w:val="left"/>
      </w:pPr>
      <w:r w:rsidRPr="00115135">
        <w:t xml:space="preserve">R. A. Yousif and A. M. S. </w:t>
      </w:r>
      <w:proofErr w:type="spellStart"/>
      <w:r w:rsidRPr="00115135">
        <w:t>Almohaidi</w:t>
      </w:r>
      <w:proofErr w:type="spellEnd"/>
      <w:r w:rsidRPr="00115135">
        <w:t xml:space="preserve">, Baghdad Sci. J. </w:t>
      </w:r>
      <w:r w:rsidRPr="00115135">
        <w:rPr>
          <w:b/>
          <w:bCs/>
        </w:rPr>
        <w:t>22</w:t>
      </w:r>
      <w:r w:rsidRPr="00115135">
        <w:t xml:space="preserve">(3), 850–859 (2025). </w:t>
      </w:r>
      <w:hyperlink r:id="rId32" w:history="1">
        <w:r w:rsidR="0049360E" w:rsidRPr="00115135">
          <w:rPr>
            <w:rStyle w:val="Hyperlink"/>
            <w:color w:val="auto"/>
            <w:u w:val="none"/>
          </w:rPr>
          <w:t>https://doi.org/10.21123/bsj.2024.8217</w:t>
        </w:r>
      </w:hyperlink>
      <w:r w:rsidR="0049360E" w:rsidRPr="00115135">
        <w:t xml:space="preserve">. </w:t>
      </w:r>
    </w:p>
    <w:p w14:paraId="5634C9FF" w14:textId="3D2349F1" w:rsidR="00822AA6" w:rsidRPr="00115135" w:rsidRDefault="00822AA6" w:rsidP="00CF25F8">
      <w:pPr>
        <w:pStyle w:val="Reference"/>
        <w:numPr>
          <w:ilvl w:val="0"/>
          <w:numId w:val="12"/>
        </w:numPr>
        <w:ind w:left="284" w:hanging="284"/>
        <w:jc w:val="left"/>
      </w:pPr>
      <w:r w:rsidRPr="00115135">
        <w:t>L. S. Mohammed and N. I. Haddad, Iraqi</w:t>
      </w:r>
      <w:r w:rsidR="0049360E" w:rsidRPr="00115135">
        <w:t xml:space="preserve"> J. Sci. </w:t>
      </w:r>
      <w:r w:rsidR="0049360E" w:rsidRPr="00115135">
        <w:rPr>
          <w:b/>
          <w:bCs/>
        </w:rPr>
        <w:t>65</w:t>
      </w:r>
      <w:r w:rsidR="0049360E" w:rsidRPr="00115135">
        <w:t>(9), 4901–4911 (2024</w:t>
      </w:r>
      <w:r w:rsidRPr="00115135">
        <w:t xml:space="preserve">). </w:t>
      </w:r>
      <w:hyperlink r:id="rId33" w:history="1">
        <w:r w:rsidR="0049360E" w:rsidRPr="00115135">
          <w:rPr>
            <w:rStyle w:val="Hyperlink"/>
            <w:color w:val="auto"/>
            <w:u w:val="none"/>
          </w:rPr>
          <w:t>https://doi.org/10.24996/ijs.2024.65.9.7</w:t>
        </w:r>
      </w:hyperlink>
      <w:r w:rsidR="0049360E" w:rsidRPr="00115135">
        <w:t xml:space="preserve">. </w:t>
      </w:r>
    </w:p>
    <w:p w14:paraId="1CC1CC59" w14:textId="77777777" w:rsidR="0049360E" w:rsidRPr="00115135" w:rsidRDefault="00822AA6" w:rsidP="00CF25F8">
      <w:pPr>
        <w:pStyle w:val="Reference"/>
        <w:numPr>
          <w:ilvl w:val="0"/>
          <w:numId w:val="12"/>
        </w:numPr>
        <w:ind w:left="284" w:hanging="284"/>
        <w:jc w:val="left"/>
      </w:pPr>
      <w:r w:rsidRPr="00115135">
        <w:t xml:space="preserve">S. Melmed and D. L. Kleinberg, </w:t>
      </w:r>
      <w:proofErr w:type="spellStart"/>
      <w:r w:rsidRPr="00115135">
        <w:t>Endocr</w:t>
      </w:r>
      <w:proofErr w:type="spellEnd"/>
      <w:r w:rsidRPr="00115135">
        <w:t xml:space="preserve">. Rev. </w:t>
      </w:r>
      <w:r w:rsidRPr="00115135">
        <w:rPr>
          <w:b/>
          <w:bCs/>
        </w:rPr>
        <w:t>43</w:t>
      </w:r>
      <w:r w:rsidRPr="00115135">
        <w:t xml:space="preserve">(2), 179–205 (2022). </w:t>
      </w:r>
      <w:hyperlink r:id="rId34" w:history="1">
        <w:r w:rsidRPr="00115135">
          <w:rPr>
            <w:rStyle w:val="Hyperlink"/>
            <w:color w:val="auto"/>
            <w:u w:val="none"/>
          </w:rPr>
          <w:t>https://doi.org/10.1210/endrev/bnab033</w:t>
        </w:r>
      </w:hyperlink>
      <w:r w:rsidRPr="00115135">
        <w:t xml:space="preserve">. </w:t>
      </w:r>
    </w:p>
    <w:p w14:paraId="3C1CBCBC" w14:textId="51C9213D" w:rsidR="00822AA6" w:rsidRPr="00115135" w:rsidRDefault="00822AA6" w:rsidP="00CF25F8">
      <w:pPr>
        <w:pStyle w:val="Reference"/>
        <w:numPr>
          <w:ilvl w:val="0"/>
          <w:numId w:val="12"/>
        </w:numPr>
        <w:ind w:left="284" w:hanging="284"/>
        <w:jc w:val="left"/>
        <w:rPr>
          <w:lang w:val="fr-FR"/>
        </w:rPr>
      </w:pPr>
      <w:r w:rsidRPr="00115135">
        <w:t>N. J. Al-</w:t>
      </w:r>
      <w:proofErr w:type="spellStart"/>
      <w:r w:rsidRPr="00115135">
        <w:t>Shahery</w:t>
      </w:r>
      <w:proofErr w:type="spellEnd"/>
      <w:r w:rsidRPr="00115135">
        <w:t xml:space="preserve">, Int. J. Drug Deliv. </w:t>
      </w:r>
      <w:proofErr w:type="spellStart"/>
      <w:r w:rsidRPr="00115135">
        <w:rPr>
          <w:lang w:val="fr-FR"/>
        </w:rPr>
        <w:t>Technol</w:t>
      </w:r>
      <w:proofErr w:type="spellEnd"/>
      <w:r w:rsidRPr="00115135">
        <w:rPr>
          <w:lang w:val="fr-FR"/>
        </w:rPr>
        <w:t xml:space="preserve">. </w:t>
      </w:r>
      <w:r w:rsidRPr="00115135">
        <w:rPr>
          <w:b/>
          <w:bCs/>
          <w:lang w:val="fr-FR"/>
        </w:rPr>
        <w:t>9</w:t>
      </w:r>
      <w:r w:rsidRPr="00115135">
        <w:rPr>
          <w:lang w:val="fr-FR"/>
        </w:rPr>
        <w:t>(3), 289–294 (2019).</w:t>
      </w:r>
      <w:r w:rsidR="0049360E" w:rsidRPr="00115135">
        <w:rPr>
          <w:lang w:val="fr-FR"/>
        </w:rPr>
        <w:t xml:space="preserve"> </w:t>
      </w:r>
      <w:r w:rsidR="0049360E">
        <w:fldChar w:fldCharType="begin"/>
      </w:r>
      <w:r w:rsidR="0049360E" w:rsidRPr="00F37C3E">
        <w:rPr>
          <w:lang w:val="fr-FR"/>
        </w:rPr>
        <w:instrText>HYPERLINK "http://impactfactor.org/PDF/IJDDT/9/IJDDT,Vol9,Issue2,Article27.pdf"</w:instrText>
      </w:r>
      <w:r w:rsidR="0049360E">
        <w:fldChar w:fldCharType="separate"/>
      </w:r>
      <w:r w:rsidR="0049360E" w:rsidRPr="00115135">
        <w:rPr>
          <w:rStyle w:val="Hyperlink"/>
          <w:color w:val="auto"/>
          <w:u w:val="none"/>
          <w:lang w:val="fr-FR"/>
        </w:rPr>
        <w:t>http://impactfactor.org/PDF/IJDDT/9/IJDDT,Vol9,Issue2,Article27.pdf</w:t>
      </w:r>
      <w:r w:rsidR="0049360E">
        <w:fldChar w:fldCharType="end"/>
      </w:r>
      <w:r w:rsidR="0049360E" w:rsidRPr="00115135">
        <w:rPr>
          <w:lang w:val="fr-FR"/>
        </w:rPr>
        <w:t xml:space="preserve">. </w:t>
      </w:r>
      <w:r w:rsidRPr="00115135">
        <w:rPr>
          <w:lang w:val="fr-FR"/>
        </w:rPr>
        <w:t xml:space="preserve"> </w:t>
      </w:r>
    </w:p>
    <w:p w14:paraId="3D8956C4" w14:textId="1CC713B1" w:rsidR="00822AA6" w:rsidRPr="00115135" w:rsidRDefault="00822AA6" w:rsidP="00CF25F8">
      <w:pPr>
        <w:pStyle w:val="Reference"/>
        <w:numPr>
          <w:ilvl w:val="0"/>
          <w:numId w:val="12"/>
        </w:numPr>
        <w:ind w:left="284" w:hanging="284"/>
        <w:jc w:val="left"/>
      </w:pPr>
      <w:r w:rsidRPr="00115135">
        <w:t xml:space="preserve">R. Sharma, K. R. Biedenharn, J. M. Fedor and A. Agarwal, </w:t>
      </w:r>
      <w:proofErr w:type="spellStart"/>
      <w:r w:rsidRPr="00115135">
        <w:t>Reprod</w:t>
      </w:r>
      <w:proofErr w:type="spellEnd"/>
      <w:r w:rsidRPr="00115135">
        <w:t xml:space="preserve">. Biol. Endocrinol. </w:t>
      </w:r>
      <w:r w:rsidRPr="00115135">
        <w:rPr>
          <w:b/>
          <w:bCs/>
        </w:rPr>
        <w:t>19</w:t>
      </w:r>
      <w:r w:rsidRPr="00115135">
        <w:t xml:space="preserve">(1), 1–15 (2021). </w:t>
      </w:r>
      <w:hyperlink r:id="rId35" w:history="1">
        <w:r w:rsidRPr="00115135">
          <w:rPr>
            <w:rStyle w:val="Hyperlink"/>
            <w:color w:val="auto"/>
            <w:u w:val="none"/>
          </w:rPr>
          <w:t>https://doi.org/10.1186/s12958-021-00718-8</w:t>
        </w:r>
      </w:hyperlink>
      <w:r w:rsidRPr="00115135">
        <w:t xml:space="preserve">. </w:t>
      </w:r>
    </w:p>
    <w:p w14:paraId="1D10F3F7" w14:textId="443E806D" w:rsidR="00822AA6" w:rsidRPr="00115135" w:rsidRDefault="00822AA6" w:rsidP="00CF25F8">
      <w:pPr>
        <w:pStyle w:val="Reference"/>
        <w:numPr>
          <w:ilvl w:val="0"/>
          <w:numId w:val="12"/>
        </w:numPr>
        <w:ind w:left="284" w:hanging="284"/>
        <w:jc w:val="left"/>
      </w:pPr>
      <w:r w:rsidRPr="00115135">
        <w:t xml:space="preserve">Y. Zhao, L. Fu, R. Li, M. Li and Y. Du, J. Ovarian Res. </w:t>
      </w:r>
      <w:r w:rsidRPr="00115135">
        <w:rPr>
          <w:b/>
          <w:bCs/>
        </w:rPr>
        <w:t>16</w:t>
      </w:r>
      <w:r w:rsidRPr="00115135">
        <w:t xml:space="preserve">(1), 101 (2023). </w:t>
      </w:r>
      <w:hyperlink r:id="rId36" w:history="1">
        <w:r w:rsidRPr="00115135">
          <w:rPr>
            <w:rStyle w:val="Hyperlink"/>
            <w:color w:val="auto"/>
            <w:u w:val="none"/>
          </w:rPr>
          <w:t>https://doi.org/10.1186/s13048-022-01091-0</w:t>
        </w:r>
      </w:hyperlink>
      <w:r w:rsidRPr="00115135">
        <w:t xml:space="preserve">. </w:t>
      </w:r>
    </w:p>
    <w:p w14:paraId="21191B7D" w14:textId="77777777" w:rsidR="00471F7F" w:rsidRPr="00115135" w:rsidRDefault="00471F7F" w:rsidP="00F37C3E">
      <w:pPr>
        <w:pStyle w:val="Reference"/>
        <w:numPr>
          <w:ilvl w:val="0"/>
          <w:numId w:val="0"/>
        </w:numPr>
      </w:pPr>
    </w:p>
    <w:sectPr w:rsidR="00471F7F" w:rsidRPr="00115135" w:rsidSect="00115135">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2C93"/>
    <w:multiLevelType w:val="multilevel"/>
    <w:tmpl w:val="8988BAE0"/>
    <w:lvl w:ilvl="0">
      <w:start w:val="4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2" w15:restartNumberingAfterBreak="0">
    <w:nsid w:val="2B192AF0"/>
    <w:multiLevelType w:val="multilevel"/>
    <w:tmpl w:val="EE222C7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557479"/>
    <w:multiLevelType w:val="hybridMultilevel"/>
    <w:tmpl w:val="3BA6D3C4"/>
    <w:lvl w:ilvl="0" w:tplc="0409000F">
      <w:start w:val="1"/>
      <w:numFmt w:val="decimal"/>
      <w:lvlText w:val="%1."/>
      <w:lvlJc w:val="left"/>
      <w:pPr>
        <w:ind w:left="720" w:hanging="360"/>
      </w:pPr>
    </w:lvl>
    <w:lvl w:ilvl="1" w:tplc="8CBED3A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773B8A"/>
    <w:multiLevelType w:val="multilevel"/>
    <w:tmpl w:val="AD74C2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D94C9B"/>
    <w:multiLevelType w:val="multilevel"/>
    <w:tmpl w:val="552A8E1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9"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abstractNum w:abstractNumId="10" w15:restartNumberingAfterBreak="0">
    <w:nsid w:val="7D1E4491"/>
    <w:multiLevelType w:val="multilevel"/>
    <w:tmpl w:val="51B2A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2444798">
    <w:abstractNumId w:val="4"/>
  </w:num>
  <w:num w:numId="2" w16cid:durableId="1773353988">
    <w:abstractNumId w:val="3"/>
  </w:num>
  <w:num w:numId="3" w16cid:durableId="129565047">
    <w:abstractNumId w:val="8"/>
  </w:num>
  <w:num w:numId="4" w16cid:durableId="667755932">
    <w:abstractNumId w:val="10"/>
  </w:num>
  <w:num w:numId="5" w16cid:durableId="1416240969">
    <w:abstractNumId w:val="6"/>
  </w:num>
  <w:num w:numId="6" w16cid:durableId="202447157">
    <w:abstractNumId w:val="7"/>
  </w:num>
  <w:num w:numId="7" w16cid:durableId="1961960375">
    <w:abstractNumId w:val="2"/>
  </w:num>
  <w:num w:numId="8" w16cid:durableId="80225887">
    <w:abstractNumId w:val="0"/>
  </w:num>
  <w:num w:numId="9" w16cid:durableId="737244753">
    <w:abstractNumId w:val="4"/>
  </w:num>
  <w:num w:numId="10" w16cid:durableId="2006349736">
    <w:abstractNumId w:val="4"/>
  </w:num>
  <w:num w:numId="11" w16cid:durableId="1545673628">
    <w:abstractNumId w:val="4"/>
  </w:num>
  <w:num w:numId="12" w16cid:durableId="1147404593">
    <w:abstractNumId w:val="5"/>
  </w:num>
  <w:num w:numId="13" w16cid:durableId="1990357061">
    <w:abstractNumId w:val="4"/>
  </w:num>
  <w:num w:numId="14" w16cid:durableId="96566304">
    <w:abstractNumId w:val="4"/>
  </w:num>
  <w:num w:numId="15" w16cid:durableId="153072599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37740"/>
    <w:rsid w:val="00066FED"/>
    <w:rsid w:val="00073829"/>
    <w:rsid w:val="00075EA6"/>
    <w:rsid w:val="0007709F"/>
    <w:rsid w:val="000771DF"/>
    <w:rsid w:val="00086F62"/>
    <w:rsid w:val="00090674"/>
    <w:rsid w:val="0009320B"/>
    <w:rsid w:val="00096AE0"/>
    <w:rsid w:val="000A0F84"/>
    <w:rsid w:val="000B1B74"/>
    <w:rsid w:val="000B3A2D"/>
    <w:rsid w:val="000B49C0"/>
    <w:rsid w:val="000C0009"/>
    <w:rsid w:val="000C6173"/>
    <w:rsid w:val="000D7883"/>
    <w:rsid w:val="000E382F"/>
    <w:rsid w:val="000E75CD"/>
    <w:rsid w:val="000E7ECA"/>
    <w:rsid w:val="001036BA"/>
    <w:rsid w:val="001117C0"/>
    <w:rsid w:val="001146DC"/>
    <w:rsid w:val="00114AB1"/>
    <w:rsid w:val="00115135"/>
    <w:rsid w:val="001226B4"/>
    <w:rsid w:val="001230FF"/>
    <w:rsid w:val="00125A65"/>
    <w:rsid w:val="00130BD7"/>
    <w:rsid w:val="00131AB7"/>
    <w:rsid w:val="001373D9"/>
    <w:rsid w:val="001427FE"/>
    <w:rsid w:val="00150BAE"/>
    <w:rsid w:val="00155B67"/>
    <w:rsid w:val="001562AF"/>
    <w:rsid w:val="00161A5B"/>
    <w:rsid w:val="0016385D"/>
    <w:rsid w:val="0016782F"/>
    <w:rsid w:val="00186105"/>
    <w:rsid w:val="001936FD"/>
    <w:rsid w:val="001937E9"/>
    <w:rsid w:val="001964E5"/>
    <w:rsid w:val="001A6294"/>
    <w:rsid w:val="001B263B"/>
    <w:rsid w:val="001B476A"/>
    <w:rsid w:val="001C450B"/>
    <w:rsid w:val="001C764F"/>
    <w:rsid w:val="001C7BB3"/>
    <w:rsid w:val="001D469C"/>
    <w:rsid w:val="001E1DCD"/>
    <w:rsid w:val="0021619E"/>
    <w:rsid w:val="00223616"/>
    <w:rsid w:val="00225D8E"/>
    <w:rsid w:val="0023171B"/>
    <w:rsid w:val="00236BFC"/>
    <w:rsid w:val="00237437"/>
    <w:rsid w:val="002403FE"/>
    <w:rsid w:val="002436E9"/>
    <w:rsid w:val="002502FD"/>
    <w:rsid w:val="002619F6"/>
    <w:rsid w:val="00265CAF"/>
    <w:rsid w:val="00274622"/>
    <w:rsid w:val="00285D24"/>
    <w:rsid w:val="00290390"/>
    <w:rsid w:val="002915D3"/>
    <w:rsid w:val="002924DB"/>
    <w:rsid w:val="002941DA"/>
    <w:rsid w:val="002A0A33"/>
    <w:rsid w:val="002A19C8"/>
    <w:rsid w:val="002A746A"/>
    <w:rsid w:val="002B07BD"/>
    <w:rsid w:val="002B3B3A"/>
    <w:rsid w:val="002B5648"/>
    <w:rsid w:val="002B797C"/>
    <w:rsid w:val="002C0099"/>
    <w:rsid w:val="002E3C35"/>
    <w:rsid w:val="002F5298"/>
    <w:rsid w:val="00302449"/>
    <w:rsid w:val="00305603"/>
    <w:rsid w:val="0031565B"/>
    <w:rsid w:val="00326AE0"/>
    <w:rsid w:val="003317B8"/>
    <w:rsid w:val="00331C14"/>
    <w:rsid w:val="00337E4F"/>
    <w:rsid w:val="00340C36"/>
    <w:rsid w:val="00346A9D"/>
    <w:rsid w:val="003621AA"/>
    <w:rsid w:val="00366618"/>
    <w:rsid w:val="0039376F"/>
    <w:rsid w:val="00395B92"/>
    <w:rsid w:val="003A287B"/>
    <w:rsid w:val="003A5C85"/>
    <w:rsid w:val="003A61B1"/>
    <w:rsid w:val="003B0050"/>
    <w:rsid w:val="003D6312"/>
    <w:rsid w:val="003E2CBA"/>
    <w:rsid w:val="003E6FF9"/>
    <w:rsid w:val="003E7C74"/>
    <w:rsid w:val="003F0657"/>
    <w:rsid w:val="003F31C6"/>
    <w:rsid w:val="0040225B"/>
    <w:rsid w:val="00402DA2"/>
    <w:rsid w:val="00425AC2"/>
    <w:rsid w:val="00435FB5"/>
    <w:rsid w:val="004429DC"/>
    <w:rsid w:val="0044771F"/>
    <w:rsid w:val="00461A39"/>
    <w:rsid w:val="0046271B"/>
    <w:rsid w:val="00471F7F"/>
    <w:rsid w:val="004818F6"/>
    <w:rsid w:val="0049360E"/>
    <w:rsid w:val="00497368"/>
    <w:rsid w:val="00497AA9"/>
    <w:rsid w:val="004B151D"/>
    <w:rsid w:val="004B1651"/>
    <w:rsid w:val="004C5E65"/>
    <w:rsid w:val="004C7243"/>
    <w:rsid w:val="004D27FB"/>
    <w:rsid w:val="004D541A"/>
    <w:rsid w:val="004E21DE"/>
    <w:rsid w:val="004E3C57"/>
    <w:rsid w:val="004E3CB2"/>
    <w:rsid w:val="00502C4B"/>
    <w:rsid w:val="0050548E"/>
    <w:rsid w:val="00525813"/>
    <w:rsid w:val="00530A3E"/>
    <w:rsid w:val="0053513F"/>
    <w:rsid w:val="0054048B"/>
    <w:rsid w:val="005546B5"/>
    <w:rsid w:val="00574405"/>
    <w:rsid w:val="005745A1"/>
    <w:rsid w:val="00576429"/>
    <w:rsid w:val="00584B48"/>
    <w:rsid w:val="005854B0"/>
    <w:rsid w:val="00590459"/>
    <w:rsid w:val="005A0E21"/>
    <w:rsid w:val="005A2F15"/>
    <w:rsid w:val="005A7E7B"/>
    <w:rsid w:val="005B2AA1"/>
    <w:rsid w:val="005B3A34"/>
    <w:rsid w:val="005B6262"/>
    <w:rsid w:val="005B67E0"/>
    <w:rsid w:val="005D35D6"/>
    <w:rsid w:val="005D49AF"/>
    <w:rsid w:val="005E2143"/>
    <w:rsid w:val="005E35CE"/>
    <w:rsid w:val="005E415C"/>
    <w:rsid w:val="005E5168"/>
    <w:rsid w:val="005E71ED"/>
    <w:rsid w:val="005E7946"/>
    <w:rsid w:val="005F2269"/>
    <w:rsid w:val="005F39F6"/>
    <w:rsid w:val="005F4F0C"/>
    <w:rsid w:val="005F7475"/>
    <w:rsid w:val="006109CD"/>
    <w:rsid w:val="00611299"/>
    <w:rsid w:val="00612237"/>
    <w:rsid w:val="00613B4D"/>
    <w:rsid w:val="00616365"/>
    <w:rsid w:val="00616F3B"/>
    <w:rsid w:val="006249A7"/>
    <w:rsid w:val="0064225B"/>
    <w:rsid w:val="0064255F"/>
    <w:rsid w:val="00651A6C"/>
    <w:rsid w:val="00664827"/>
    <w:rsid w:val="006763F9"/>
    <w:rsid w:val="006929A7"/>
    <w:rsid w:val="006949BC"/>
    <w:rsid w:val="006A4577"/>
    <w:rsid w:val="006D1229"/>
    <w:rsid w:val="006D372F"/>
    <w:rsid w:val="006D5D8C"/>
    <w:rsid w:val="006D7A18"/>
    <w:rsid w:val="006E4474"/>
    <w:rsid w:val="006E44C0"/>
    <w:rsid w:val="006E44DE"/>
    <w:rsid w:val="006F620C"/>
    <w:rsid w:val="006F7EBB"/>
    <w:rsid w:val="00701388"/>
    <w:rsid w:val="007016AA"/>
    <w:rsid w:val="0070240D"/>
    <w:rsid w:val="00705940"/>
    <w:rsid w:val="00712A25"/>
    <w:rsid w:val="00722BC3"/>
    <w:rsid w:val="00723B7F"/>
    <w:rsid w:val="00725861"/>
    <w:rsid w:val="00725B34"/>
    <w:rsid w:val="0073393A"/>
    <w:rsid w:val="0073539D"/>
    <w:rsid w:val="00767B8A"/>
    <w:rsid w:val="00775481"/>
    <w:rsid w:val="007819D5"/>
    <w:rsid w:val="00783FF6"/>
    <w:rsid w:val="00784F1A"/>
    <w:rsid w:val="00795B4C"/>
    <w:rsid w:val="007A233B"/>
    <w:rsid w:val="007B4863"/>
    <w:rsid w:val="007C65E6"/>
    <w:rsid w:val="007D406B"/>
    <w:rsid w:val="007D4407"/>
    <w:rsid w:val="007E1CA3"/>
    <w:rsid w:val="007F34C6"/>
    <w:rsid w:val="008055B9"/>
    <w:rsid w:val="00806DE3"/>
    <w:rsid w:val="00812D62"/>
    <w:rsid w:val="00812F29"/>
    <w:rsid w:val="00821713"/>
    <w:rsid w:val="00822AA6"/>
    <w:rsid w:val="00827050"/>
    <w:rsid w:val="0083278B"/>
    <w:rsid w:val="00834538"/>
    <w:rsid w:val="00845C64"/>
    <w:rsid w:val="00850E89"/>
    <w:rsid w:val="00856B5B"/>
    <w:rsid w:val="008840B3"/>
    <w:rsid w:val="00884DE6"/>
    <w:rsid w:val="008930E4"/>
    <w:rsid w:val="00893821"/>
    <w:rsid w:val="008A146A"/>
    <w:rsid w:val="008A7B9C"/>
    <w:rsid w:val="008B2DB2"/>
    <w:rsid w:val="008B39FA"/>
    <w:rsid w:val="008B4754"/>
    <w:rsid w:val="008B5467"/>
    <w:rsid w:val="008D2201"/>
    <w:rsid w:val="008E6A7A"/>
    <w:rsid w:val="008F1038"/>
    <w:rsid w:val="008F7046"/>
    <w:rsid w:val="009005FC"/>
    <w:rsid w:val="009038D5"/>
    <w:rsid w:val="00913AF4"/>
    <w:rsid w:val="00922E5A"/>
    <w:rsid w:val="0092530C"/>
    <w:rsid w:val="00937EA0"/>
    <w:rsid w:val="00943315"/>
    <w:rsid w:val="00946C27"/>
    <w:rsid w:val="00950769"/>
    <w:rsid w:val="0099393C"/>
    <w:rsid w:val="009A4F3D"/>
    <w:rsid w:val="009B01F8"/>
    <w:rsid w:val="009B696B"/>
    <w:rsid w:val="009B7671"/>
    <w:rsid w:val="009E5BA1"/>
    <w:rsid w:val="009F056E"/>
    <w:rsid w:val="009F0815"/>
    <w:rsid w:val="00A24F3D"/>
    <w:rsid w:val="00A26DCD"/>
    <w:rsid w:val="00A306D1"/>
    <w:rsid w:val="00A314BB"/>
    <w:rsid w:val="00A3215E"/>
    <w:rsid w:val="00A32B7D"/>
    <w:rsid w:val="00A5596B"/>
    <w:rsid w:val="00A646B3"/>
    <w:rsid w:val="00A6739B"/>
    <w:rsid w:val="00A70DE1"/>
    <w:rsid w:val="00A720AB"/>
    <w:rsid w:val="00A80FC6"/>
    <w:rsid w:val="00A90413"/>
    <w:rsid w:val="00A97286"/>
    <w:rsid w:val="00AA728C"/>
    <w:rsid w:val="00AA7C44"/>
    <w:rsid w:val="00AB0A9C"/>
    <w:rsid w:val="00AB5BC8"/>
    <w:rsid w:val="00AB7119"/>
    <w:rsid w:val="00AC08AF"/>
    <w:rsid w:val="00AD37D3"/>
    <w:rsid w:val="00AD5855"/>
    <w:rsid w:val="00AE1017"/>
    <w:rsid w:val="00AE2EA6"/>
    <w:rsid w:val="00AE6111"/>
    <w:rsid w:val="00AE7500"/>
    <w:rsid w:val="00AE7F87"/>
    <w:rsid w:val="00AF3542"/>
    <w:rsid w:val="00AF5ABE"/>
    <w:rsid w:val="00B00415"/>
    <w:rsid w:val="00B03C2A"/>
    <w:rsid w:val="00B1000D"/>
    <w:rsid w:val="00B10134"/>
    <w:rsid w:val="00B12B5F"/>
    <w:rsid w:val="00B16BFE"/>
    <w:rsid w:val="00B500E5"/>
    <w:rsid w:val="00B57FDC"/>
    <w:rsid w:val="00B97708"/>
    <w:rsid w:val="00BA39BB"/>
    <w:rsid w:val="00BA3B3D"/>
    <w:rsid w:val="00BA769D"/>
    <w:rsid w:val="00BB7EEA"/>
    <w:rsid w:val="00BD1909"/>
    <w:rsid w:val="00BD6AB6"/>
    <w:rsid w:val="00BE5E16"/>
    <w:rsid w:val="00BE5FD1"/>
    <w:rsid w:val="00C06E05"/>
    <w:rsid w:val="00C14B14"/>
    <w:rsid w:val="00C17370"/>
    <w:rsid w:val="00C2054D"/>
    <w:rsid w:val="00C252EB"/>
    <w:rsid w:val="00C26EC0"/>
    <w:rsid w:val="00C34CE8"/>
    <w:rsid w:val="00C3771E"/>
    <w:rsid w:val="00C41C80"/>
    <w:rsid w:val="00C56C77"/>
    <w:rsid w:val="00C7239F"/>
    <w:rsid w:val="00C77A78"/>
    <w:rsid w:val="00C800BD"/>
    <w:rsid w:val="00C84923"/>
    <w:rsid w:val="00CA68FF"/>
    <w:rsid w:val="00CB7B3E"/>
    <w:rsid w:val="00CC739D"/>
    <w:rsid w:val="00CD14C8"/>
    <w:rsid w:val="00CF25F8"/>
    <w:rsid w:val="00CF7CE5"/>
    <w:rsid w:val="00D04468"/>
    <w:rsid w:val="00D100AF"/>
    <w:rsid w:val="00D2080C"/>
    <w:rsid w:val="00D30640"/>
    <w:rsid w:val="00D3551E"/>
    <w:rsid w:val="00D36257"/>
    <w:rsid w:val="00D36BEA"/>
    <w:rsid w:val="00D43763"/>
    <w:rsid w:val="00D4517C"/>
    <w:rsid w:val="00D4687E"/>
    <w:rsid w:val="00D53A12"/>
    <w:rsid w:val="00D57B32"/>
    <w:rsid w:val="00D87E2A"/>
    <w:rsid w:val="00D91353"/>
    <w:rsid w:val="00DA3783"/>
    <w:rsid w:val="00DB0C43"/>
    <w:rsid w:val="00DE2E16"/>
    <w:rsid w:val="00DE3354"/>
    <w:rsid w:val="00DF2717"/>
    <w:rsid w:val="00DF7DCD"/>
    <w:rsid w:val="00E075AC"/>
    <w:rsid w:val="00E40E68"/>
    <w:rsid w:val="00E50B7D"/>
    <w:rsid w:val="00E57834"/>
    <w:rsid w:val="00E57AE8"/>
    <w:rsid w:val="00E652B2"/>
    <w:rsid w:val="00E81044"/>
    <w:rsid w:val="00E904A1"/>
    <w:rsid w:val="00E91EB6"/>
    <w:rsid w:val="00E958D8"/>
    <w:rsid w:val="00EA0027"/>
    <w:rsid w:val="00EA0678"/>
    <w:rsid w:val="00EA4D2F"/>
    <w:rsid w:val="00EB1611"/>
    <w:rsid w:val="00EB2BCA"/>
    <w:rsid w:val="00EB7D28"/>
    <w:rsid w:val="00EC0D0C"/>
    <w:rsid w:val="00ED4A2C"/>
    <w:rsid w:val="00EE3D0F"/>
    <w:rsid w:val="00EE506D"/>
    <w:rsid w:val="00EF6940"/>
    <w:rsid w:val="00F06193"/>
    <w:rsid w:val="00F103A2"/>
    <w:rsid w:val="00F1753C"/>
    <w:rsid w:val="00F2044A"/>
    <w:rsid w:val="00F20BFC"/>
    <w:rsid w:val="00F24D5F"/>
    <w:rsid w:val="00F263E4"/>
    <w:rsid w:val="00F31EC9"/>
    <w:rsid w:val="00F325E2"/>
    <w:rsid w:val="00F37C3E"/>
    <w:rsid w:val="00F43DA9"/>
    <w:rsid w:val="00F67757"/>
    <w:rsid w:val="00F700FC"/>
    <w:rsid w:val="00F70160"/>
    <w:rsid w:val="00F726C3"/>
    <w:rsid w:val="00F820CA"/>
    <w:rsid w:val="00F8554C"/>
    <w:rsid w:val="00F95F82"/>
    <w:rsid w:val="00F97A90"/>
    <w:rsid w:val="00FB2759"/>
    <w:rsid w:val="00FC2F35"/>
    <w:rsid w:val="00FC3FD7"/>
    <w:rsid w:val="00FC69EC"/>
    <w:rsid w:val="00FD1579"/>
    <w:rsid w:val="00FD1FC6"/>
    <w:rsid w:val="00FE5869"/>
    <w:rsid w:val="00FE5C64"/>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FD7413C7-BF46-446C-8C94-550A1B27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1">
    <w:name w:val="إشارة لم يتم حلها1"/>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character" w:styleId="PlaceholderText">
    <w:name w:val="Placeholder Text"/>
    <w:basedOn w:val="DefaultParagraphFont"/>
    <w:uiPriority w:val="99"/>
    <w:semiHidden/>
    <w:rsid w:val="005D35D6"/>
    <w:rPr>
      <w:color w:val="808080"/>
    </w:rPr>
  </w:style>
  <w:style w:type="paragraph" w:customStyle="1" w:styleId="Default">
    <w:name w:val="Default"/>
    <w:qFormat/>
    <w:rsid w:val="005745A1"/>
    <w:pPr>
      <w:autoSpaceDE w:val="0"/>
      <w:autoSpaceDN w:val="0"/>
      <w:adjustRightInd w:val="0"/>
    </w:pPr>
    <w:rPr>
      <w:rFonts w:eastAsiaTheme="minorHAnsi"/>
      <w:color w:val="000000"/>
      <w:sz w:val="24"/>
      <w:szCs w:val="24"/>
      <w:lang w:val="en-US" w:eastAsia="en-US"/>
    </w:rPr>
  </w:style>
  <w:style w:type="table" w:styleId="LightShading-Accent3">
    <w:name w:val="Light Shading Accent 3"/>
    <w:basedOn w:val="TableNormal"/>
    <w:uiPriority w:val="60"/>
    <w:rsid w:val="005745A1"/>
    <w:rPr>
      <w:rFonts w:asciiTheme="minorHAnsi" w:eastAsiaTheme="minorHAnsi"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UnresolvedMention1">
    <w:name w:val="Unresolved Mention1"/>
    <w:basedOn w:val="DefaultParagraphFont"/>
    <w:uiPriority w:val="99"/>
    <w:semiHidden/>
    <w:unhideWhenUsed/>
    <w:rsid w:val="00F31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61">
      <w:bodyDiv w:val="1"/>
      <w:marLeft w:val="0"/>
      <w:marRight w:val="0"/>
      <w:marTop w:val="0"/>
      <w:marBottom w:val="0"/>
      <w:divBdr>
        <w:top w:val="none" w:sz="0" w:space="0" w:color="auto"/>
        <w:left w:val="none" w:sz="0" w:space="0" w:color="auto"/>
        <w:bottom w:val="none" w:sz="0" w:space="0" w:color="auto"/>
        <w:right w:val="none" w:sz="0" w:space="0" w:color="auto"/>
      </w:divBdr>
    </w:div>
    <w:div w:id="68157709">
      <w:bodyDiv w:val="1"/>
      <w:marLeft w:val="0"/>
      <w:marRight w:val="0"/>
      <w:marTop w:val="0"/>
      <w:marBottom w:val="0"/>
      <w:divBdr>
        <w:top w:val="none" w:sz="0" w:space="0" w:color="auto"/>
        <w:left w:val="none" w:sz="0" w:space="0" w:color="auto"/>
        <w:bottom w:val="none" w:sz="0" w:space="0" w:color="auto"/>
        <w:right w:val="none" w:sz="0" w:space="0" w:color="auto"/>
      </w:divBdr>
    </w:div>
    <w:div w:id="274168643">
      <w:bodyDiv w:val="1"/>
      <w:marLeft w:val="0"/>
      <w:marRight w:val="0"/>
      <w:marTop w:val="0"/>
      <w:marBottom w:val="0"/>
      <w:divBdr>
        <w:top w:val="none" w:sz="0" w:space="0" w:color="auto"/>
        <w:left w:val="none" w:sz="0" w:space="0" w:color="auto"/>
        <w:bottom w:val="none" w:sz="0" w:space="0" w:color="auto"/>
        <w:right w:val="none" w:sz="0" w:space="0" w:color="auto"/>
      </w:divBdr>
    </w:div>
    <w:div w:id="558326321">
      <w:bodyDiv w:val="1"/>
      <w:marLeft w:val="0"/>
      <w:marRight w:val="0"/>
      <w:marTop w:val="0"/>
      <w:marBottom w:val="0"/>
      <w:divBdr>
        <w:top w:val="none" w:sz="0" w:space="0" w:color="auto"/>
        <w:left w:val="none" w:sz="0" w:space="0" w:color="auto"/>
        <w:bottom w:val="none" w:sz="0" w:space="0" w:color="auto"/>
        <w:right w:val="none" w:sz="0" w:space="0" w:color="auto"/>
      </w:divBdr>
    </w:div>
    <w:div w:id="664555579">
      <w:bodyDiv w:val="1"/>
      <w:marLeft w:val="0"/>
      <w:marRight w:val="0"/>
      <w:marTop w:val="0"/>
      <w:marBottom w:val="0"/>
      <w:divBdr>
        <w:top w:val="none" w:sz="0" w:space="0" w:color="auto"/>
        <w:left w:val="none" w:sz="0" w:space="0" w:color="auto"/>
        <w:bottom w:val="none" w:sz="0" w:space="0" w:color="auto"/>
        <w:right w:val="none" w:sz="0" w:space="0" w:color="auto"/>
      </w:divBdr>
    </w:div>
    <w:div w:id="753206568">
      <w:bodyDiv w:val="1"/>
      <w:marLeft w:val="0"/>
      <w:marRight w:val="0"/>
      <w:marTop w:val="0"/>
      <w:marBottom w:val="0"/>
      <w:divBdr>
        <w:top w:val="none" w:sz="0" w:space="0" w:color="auto"/>
        <w:left w:val="none" w:sz="0" w:space="0" w:color="auto"/>
        <w:bottom w:val="none" w:sz="0" w:space="0" w:color="auto"/>
        <w:right w:val="none" w:sz="0" w:space="0" w:color="auto"/>
      </w:divBdr>
    </w:div>
    <w:div w:id="801852996">
      <w:bodyDiv w:val="1"/>
      <w:marLeft w:val="0"/>
      <w:marRight w:val="0"/>
      <w:marTop w:val="0"/>
      <w:marBottom w:val="0"/>
      <w:divBdr>
        <w:top w:val="none" w:sz="0" w:space="0" w:color="auto"/>
        <w:left w:val="none" w:sz="0" w:space="0" w:color="auto"/>
        <w:bottom w:val="none" w:sz="0" w:space="0" w:color="auto"/>
        <w:right w:val="none" w:sz="0" w:space="0" w:color="auto"/>
      </w:divBdr>
    </w:div>
    <w:div w:id="851652587">
      <w:bodyDiv w:val="1"/>
      <w:marLeft w:val="0"/>
      <w:marRight w:val="0"/>
      <w:marTop w:val="0"/>
      <w:marBottom w:val="0"/>
      <w:divBdr>
        <w:top w:val="none" w:sz="0" w:space="0" w:color="auto"/>
        <w:left w:val="none" w:sz="0" w:space="0" w:color="auto"/>
        <w:bottom w:val="none" w:sz="0" w:space="0" w:color="auto"/>
        <w:right w:val="none" w:sz="0" w:space="0" w:color="auto"/>
      </w:divBdr>
    </w:div>
    <w:div w:id="927273273">
      <w:bodyDiv w:val="1"/>
      <w:marLeft w:val="0"/>
      <w:marRight w:val="0"/>
      <w:marTop w:val="0"/>
      <w:marBottom w:val="0"/>
      <w:divBdr>
        <w:top w:val="none" w:sz="0" w:space="0" w:color="auto"/>
        <w:left w:val="none" w:sz="0" w:space="0" w:color="auto"/>
        <w:bottom w:val="none" w:sz="0" w:space="0" w:color="auto"/>
        <w:right w:val="none" w:sz="0" w:space="0" w:color="auto"/>
      </w:divBdr>
    </w:div>
    <w:div w:id="929848136">
      <w:bodyDiv w:val="1"/>
      <w:marLeft w:val="0"/>
      <w:marRight w:val="0"/>
      <w:marTop w:val="0"/>
      <w:marBottom w:val="0"/>
      <w:divBdr>
        <w:top w:val="none" w:sz="0" w:space="0" w:color="auto"/>
        <w:left w:val="none" w:sz="0" w:space="0" w:color="auto"/>
        <w:bottom w:val="none" w:sz="0" w:space="0" w:color="auto"/>
        <w:right w:val="none" w:sz="0" w:space="0" w:color="auto"/>
      </w:divBdr>
    </w:div>
    <w:div w:id="1033773179">
      <w:bodyDiv w:val="1"/>
      <w:marLeft w:val="0"/>
      <w:marRight w:val="0"/>
      <w:marTop w:val="0"/>
      <w:marBottom w:val="0"/>
      <w:divBdr>
        <w:top w:val="none" w:sz="0" w:space="0" w:color="auto"/>
        <w:left w:val="none" w:sz="0" w:space="0" w:color="auto"/>
        <w:bottom w:val="none" w:sz="0" w:space="0" w:color="auto"/>
        <w:right w:val="none" w:sz="0" w:space="0" w:color="auto"/>
      </w:divBdr>
    </w:div>
    <w:div w:id="1215046348">
      <w:bodyDiv w:val="1"/>
      <w:marLeft w:val="0"/>
      <w:marRight w:val="0"/>
      <w:marTop w:val="0"/>
      <w:marBottom w:val="0"/>
      <w:divBdr>
        <w:top w:val="none" w:sz="0" w:space="0" w:color="auto"/>
        <w:left w:val="none" w:sz="0" w:space="0" w:color="auto"/>
        <w:bottom w:val="none" w:sz="0" w:space="0" w:color="auto"/>
        <w:right w:val="none" w:sz="0" w:space="0" w:color="auto"/>
      </w:divBdr>
    </w:div>
    <w:div w:id="1250768157">
      <w:bodyDiv w:val="1"/>
      <w:marLeft w:val="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301155066">
      <w:bodyDiv w:val="1"/>
      <w:marLeft w:val="0"/>
      <w:marRight w:val="0"/>
      <w:marTop w:val="0"/>
      <w:marBottom w:val="0"/>
      <w:divBdr>
        <w:top w:val="none" w:sz="0" w:space="0" w:color="auto"/>
        <w:left w:val="none" w:sz="0" w:space="0" w:color="auto"/>
        <w:bottom w:val="none" w:sz="0" w:space="0" w:color="auto"/>
        <w:right w:val="none" w:sz="0" w:space="0" w:color="auto"/>
      </w:divBdr>
    </w:div>
    <w:div w:id="1318416329">
      <w:bodyDiv w:val="1"/>
      <w:marLeft w:val="0"/>
      <w:marRight w:val="0"/>
      <w:marTop w:val="0"/>
      <w:marBottom w:val="0"/>
      <w:divBdr>
        <w:top w:val="none" w:sz="0" w:space="0" w:color="auto"/>
        <w:left w:val="none" w:sz="0" w:space="0" w:color="auto"/>
        <w:bottom w:val="none" w:sz="0" w:space="0" w:color="auto"/>
        <w:right w:val="none" w:sz="0" w:space="0" w:color="auto"/>
      </w:divBdr>
    </w:div>
    <w:div w:id="1347712239">
      <w:bodyDiv w:val="1"/>
      <w:marLeft w:val="0"/>
      <w:marRight w:val="0"/>
      <w:marTop w:val="0"/>
      <w:marBottom w:val="0"/>
      <w:divBdr>
        <w:top w:val="none" w:sz="0" w:space="0" w:color="auto"/>
        <w:left w:val="none" w:sz="0" w:space="0" w:color="auto"/>
        <w:bottom w:val="none" w:sz="0" w:space="0" w:color="auto"/>
        <w:right w:val="none" w:sz="0" w:space="0" w:color="auto"/>
      </w:divBdr>
    </w:div>
    <w:div w:id="1513958261">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46874262">
      <w:bodyDiv w:val="1"/>
      <w:marLeft w:val="0"/>
      <w:marRight w:val="0"/>
      <w:marTop w:val="0"/>
      <w:marBottom w:val="0"/>
      <w:divBdr>
        <w:top w:val="none" w:sz="0" w:space="0" w:color="auto"/>
        <w:left w:val="none" w:sz="0" w:space="0" w:color="auto"/>
        <w:bottom w:val="none" w:sz="0" w:space="0" w:color="auto"/>
        <w:right w:val="none" w:sz="0" w:space="0" w:color="auto"/>
      </w:divBdr>
    </w:div>
    <w:div w:id="1819616280">
      <w:bodyDiv w:val="1"/>
      <w:marLeft w:val="0"/>
      <w:marRight w:val="0"/>
      <w:marTop w:val="0"/>
      <w:marBottom w:val="0"/>
      <w:divBdr>
        <w:top w:val="none" w:sz="0" w:space="0" w:color="auto"/>
        <w:left w:val="none" w:sz="0" w:space="0" w:color="auto"/>
        <w:bottom w:val="none" w:sz="0" w:space="0" w:color="auto"/>
        <w:right w:val="none" w:sz="0" w:space="0" w:color="auto"/>
      </w:divBdr>
    </w:div>
    <w:div w:id="1931161991">
      <w:bodyDiv w:val="1"/>
      <w:marLeft w:val="0"/>
      <w:marRight w:val="0"/>
      <w:marTop w:val="0"/>
      <w:marBottom w:val="0"/>
      <w:divBdr>
        <w:top w:val="none" w:sz="0" w:space="0" w:color="auto"/>
        <w:left w:val="none" w:sz="0" w:space="0" w:color="auto"/>
        <w:bottom w:val="none" w:sz="0" w:space="0" w:color="auto"/>
        <w:right w:val="none" w:sz="0" w:space="0" w:color="auto"/>
      </w:divBdr>
    </w:div>
    <w:div w:id="1952584562">
      <w:bodyDiv w:val="1"/>
      <w:marLeft w:val="0"/>
      <w:marRight w:val="0"/>
      <w:marTop w:val="0"/>
      <w:marBottom w:val="0"/>
      <w:divBdr>
        <w:top w:val="none" w:sz="0" w:space="0" w:color="auto"/>
        <w:left w:val="none" w:sz="0" w:space="0" w:color="auto"/>
        <w:bottom w:val="none" w:sz="0" w:space="0" w:color="auto"/>
        <w:right w:val="none" w:sz="0" w:space="0" w:color="auto"/>
      </w:divBdr>
    </w:div>
    <w:div w:id="200685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ige.uobaghdad.edu.iq/index.php/IJB/issue/view/38" TargetMode="External"/><Relationship Id="rId18" Type="http://schemas.openxmlformats.org/officeDocument/2006/relationships/hyperlink" Target="https://www.nejm.org/doi/full/10.1056/NEJMc2211539" TargetMode="External"/><Relationship Id="rId26" Type="http://schemas.openxmlformats.org/officeDocument/2006/relationships/hyperlink" Target="https://doi.org/10.3390/jcm1219627" TargetMode="External"/><Relationship Id="rId21" Type="http://schemas.openxmlformats.org/officeDocument/2006/relationships/hyperlink" Target="https://doi.org/10.1093/humupd/dmad028" TargetMode="External"/><Relationship Id="rId34" Type="http://schemas.openxmlformats.org/officeDocument/2006/relationships/hyperlink" Target="https://doi.org/10.1210/endrev/bnab033" TargetMode="External"/><Relationship Id="rId7" Type="http://schemas.openxmlformats.org/officeDocument/2006/relationships/settings" Target="settings.xml"/><Relationship Id="rId12" Type="http://schemas.openxmlformats.org/officeDocument/2006/relationships/hyperlink" Target="https://www.who.int/news-room/fact-sheets/detail/infeility" TargetMode="External"/><Relationship Id="rId17" Type="http://schemas.openxmlformats.org/officeDocument/2006/relationships/hyperlink" Target="https://doi.org/10.1016/j.rbmo.2020.03.007" TargetMode="External"/><Relationship Id="rId25" Type="http://schemas.openxmlformats.org/officeDocument/2006/relationships/hyperlink" Target="https://doi.org/10.25258/ijddt.11.3.6" TargetMode="External"/><Relationship Id="rId33" Type="http://schemas.openxmlformats.org/officeDocument/2006/relationships/hyperlink" Target="https://doi.org/10.24996/ijs.2024.65.9.7"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24996/ijs.2024.65.8.4" TargetMode="External"/><Relationship Id="rId20" Type="http://schemas.openxmlformats.org/officeDocument/2006/relationships/hyperlink" Target="https://doi.org/10.53730/ijhs.v6nS2.5154" TargetMode="External"/><Relationship Id="rId29" Type="http://schemas.openxmlformats.org/officeDocument/2006/relationships/hyperlink" Target="https://connectjournals.com/03896.2021.21.359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016/j.clinbiochem.2018.03.012" TargetMode="External"/><Relationship Id="rId24" Type="http://schemas.openxmlformats.org/officeDocument/2006/relationships/hyperlink" Target="https://jige.uobaghdad.edu.iq/index.php/IJB/issue/view/44" TargetMode="External"/><Relationship Id="rId32" Type="http://schemas.openxmlformats.org/officeDocument/2006/relationships/hyperlink" Target="https://doi.org/10.21123/bsj.2024.8217"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doi.org/10.24996/ijs.2022.63.3.18" TargetMode="External"/><Relationship Id="rId23" Type="http://schemas.openxmlformats.org/officeDocument/2006/relationships/hyperlink" Target="https://doi.org/10.36321/kjns.vi20231.9715" TargetMode="External"/><Relationship Id="rId28" Type="http://schemas.openxmlformats.org/officeDocument/2006/relationships/hyperlink" Target="https://doi.org/10.30699/jogcr.8.1.47" TargetMode="External"/><Relationship Id="rId36" Type="http://schemas.openxmlformats.org/officeDocument/2006/relationships/hyperlink" Target="https://doi.org/10.1186/s13048-022-01091-0" TargetMode="External"/><Relationship Id="rId10" Type="http://schemas.openxmlformats.org/officeDocument/2006/relationships/hyperlink" Target="https://doi.org/10.1371/journal.pmed.1001356" TargetMode="External"/><Relationship Id="rId19" Type="http://schemas.openxmlformats.org/officeDocument/2006/relationships/hyperlink" Target="https://imj.edu.iq/wp-content/uploads/2023/03/05-The-Etiological-Factors-of-infertility-among-Couples-Attending-the-Infertility-Clinic-of-Baghdad-Teaching-Hospital-during-the-Years-2013-and-2014.pdf" TargetMode="External"/><Relationship Id="rId31" Type="http://schemas.openxmlformats.org/officeDocument/2006/relationships/hyperlink" Target="https://doi.org/10.21123/bsj.2023.9081"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doi.org/10.33762/mjbu.2018.145198" TargetMode="External"/><Relationship Id="rId22" Type="http://schemas.openxmlformats.org/officeDocument/2006/relationships/hyperlink" Target="https://doi.org/10.15218%20/zjms.2016.0046" TargetMode="External"/><Relationship Id="rId27" Type="http://schemas.openxmlformats.org/officeDocument/2006/relationships/hyperlink" Target="https://doi.org/10.3389/fmed.2022.879015" TargetMode="External"/><Relationship Id="rId30" Type="http://schemas.openxmlformats.org/officeDocument/2006/relationships/hyperlink" Target="https://doi.org/10.7759/cureus.30320" TargetMode="External"/><Relationship Id="rId35" Type="http://schemas.openxmlformats.org/officeDocument/2006/relationships/hyperlink" Target="https://doi.org/10.1186/s12958-021-00718-8"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79ECC4-4D47-482F-B371-798470D3D44D}">
  <ds:schemaRefs>
    <ds:schemaRef ds:uri="http://schemas.openxmlformats.org/officeDocument/2006/bibliography"/>
  </ds:schemaRefs>
</ds:datastoreItem>
</file>

<file path=customXml/itemProps4.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14</TotalTime>
  <Pages>7</Pages>
  <Words>4128</Words>
  <Characters>23530</Characters>
  <Application>Microsoft Office Word</Application>
  <DocSecurity>0</DocSecurity>
  <Lines>196</Lines>
  <Paragraphs>55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Title Goes Here</vt:lpstr>
      <vt:lpstr>Title Goes Here</vt:lpstr>
    </vt:vector>
  </TitlesOfParts>
  <Company>PPI</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Chafic Salame</cp:lastModifiedBy>
  <cp:revision>14</cp:revision>
  <cp:lastPrinted>2025-11-06T13:32:00Z</cp:lastPrinted>
  <dcterms:created xsi:type="dcterms:W3CDTF">2025-11-15T12:39:00Z</dcterms:created>
  <dcterms:modified xsi:type="dcterms:W3CDTF">2025-12-06T19:48:00Z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fd1939cc-df31-46b2-9342-113104bfc8b9</vt:lpwstr>
  </property>
</Properties>
</file>