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9F80" w14:textId="77777777" w:rsidR="00050D0C" w:rsidRPr="001939D1" w:rsidRDefault="00050D0C" w:rsidP="00B86FBD">
      <w:pPr>
        <w:pStyle w:val="PaperTitle"/>
      </w:pPr>
      <w:r w:rsidRPr="001939D1">
        <w:t>The Role of Some Biochemical Markers in the Pathogenesis of Diabetic Nephropathy</w:t>
      </w:r>
    </w:p>
    <w:p w14:paraId="28E9C1C8" w14:textId="4D8B7450" w:rsidR="00050D0C" w:rsidRPr="00CA35CA" w:rsidRDefault="00250CD2" w:rsidP="00B86FBD">
      <w:pPr>
        <w:pStyle w:val="AuthorName"/>
        <w:rPr>
          <w:b/>
          <w:bCs/>
          <w:vertAlign w:val="superscript"/>
        </w:rPr>
      </w:pPr>
      <w:r>
        <w:t>Daroon Essam Raffik</w:t>
      </w:r>
      <w:r w:rsidR="00CC1FC0" w:rsidRPr="00CC1FC0">
        <w:rPr>
          <w:vertAlign w:val="superscript"/>
        </w:rPr>
        <w:t>1</w:t>
      </w:r>
      <w:r w:rsidR="00A361D4">
        <w:rPr>
          <w:vertAlign w:val="superscript"/>
        </w:rPr>
        <w:t>, a)</w:t>
      </w:r>
      <w:r w:rsidR="002A2B1C" w:rsidRPr="002A2B1C">
        <w:t>,</w:t>
      </w:r>
      <w:r w:rsidR="00050D0C" w:rsidRPr="002A2B1C">
        <w:rPr>
          <w:position w:val="7"/>
        </w:rPr>
        <w:t xml:space="preserve"> </w:t>
      </w:r>
      <w:r w:rsidR="00050D0C" w:rsidRPr="001939D1">
        <w:t xml:space="preserve">Amina Hamed </w:t>
      </w:r>
      <w:r w:rsidR="00DC76AE">
        <w:t>Ahmed</w:t>
      </w:r>
      <w:r w:rsidR="00DC76AE" w:rsidRPr="00DC76AE">
        <w:rPr>
          <w:vertAlign w:val="superscript"/>
        </w:rPr>
        <w:t>2</w:t>
      </w:r>
      <w:r w:rsidR="00A361D4">
        <w:rPr>
          <w:vertAlign w:val="superscript"/>
        </w:rPr>
        <w:t>, b)</w:t>
      </w:r>
      <w:r w:rsidR="00A361D4" w:rsidRPr="00A361D4">
        <w:rPr>
          <w:b/>
          <w:bCs/>
          <w:spacing w:val="-2"/>
          <w:position w:val="7"/>
        </w:rPr>
        <w:t xml:space="preserve"> </w:t>
      </w:r>
      <w:r w:rsidR="00DC76AE">
        <w:t>and A</w:t>
      </w:r>
      <w:r w:rsidR="00050D0C" w:rsidRPr="001939D1">
        <w:t>bdullah Adil Raoof</w:t>
      </w:r>
      <w:r w:rsidR="009A1ECF">
        <w:rPr>
          <w:vertAlign w:val="superscript"/>
        </w:rPr>
        <w:t>2</w:t>
      </w:r>
      <w:r w:rsidR="00A361D4">
        <w:rPr>
          <w:vertAlign w:val="superscript"/>
        </w:rPr>
        <w:t>, c</w:t>
      </w:r>
      <w:r w:rsidR="009A1ECF">
        <w:rPr>
          <w:vertAlign w:val="superscript"/>
        </w:rPr>
        <w:t>)</w:t>
      </w:r>
    </w:p>
    <w:p w14:paraId="2ABBE648" w14:textId="37C36EA3" w:rsidR="00050D0C" w:rsidRPr="00E97CBD" w:rsidRDefault="00DC76AE" w:rsidP="00B86FBD">
      <w:pPr>
        <w:pStyle w:val="AuthorAffiliation"/>
      </w:pPr>
      <w:r w:rsidRPr="00E97CBD">
        <w:rPr>
          <w:vertAlign w:val="superscript"/>
        </w:rPr>
        <w:t>1</w:t>
      </w:r>
      <w:r w:rsidR="00050D0C" w:rsidRPr="00E97CBD">
        <w:t>University of Kirkuk, College of Science, Department of Chemistry, Kirkuk, Iraq</w:t>
      </w:r>
      <w:r w:rsidR="00A361D4">
        <w:t>.</w:t>
      </w:r>
      <w:r w:rsidR="00050D0C" w:rsidRPr="00E97CBD">
        <w:t xml:space="preserve">               </w:t>
      </w:r>
    </w:p>
    <w:p w14:paraId="41E15AA7" w14:textId="36C83342" w:rsidR="00CA35CA" w:rsidRPr="00E97CBD" w:rsidRDefault="00DC76AE" w:rsidP="00B86FBD">
      <w:pPr>
        <w:pStyle w:val="AuthorAffiliation"/>
      </w:pPr>
      <w:r w:rsidRPr="00E97CBD">
        <w:rPr>
          <w:vertAlign w:val="superscript"/>
        </w:rPr>
        <w:t>2</w:t>
      </w:r>
      <w:r w:rsidRPr="00E97CBD">
        <w:t xml:space="preserve"> </w:t>
      </w:r>
      <w:r w:rsidR="00050D0C" w:rsidRPr="00E97CBD">
        <w:t>Kirkuk University College of Medicine</w:t>
      </w:r>
      <w:r w:rsidR="00E97CBD" w:rsidRPr="00E97CBD">
        <w:t xml:space="preserve"> [KUCOM]</w:t>
      </w:r>
      <w:r w:rsidR="00050D0C" w:rsidRPr="00E97CBD">
        <w:t>, Kirkuk, Iraq</w:t>
      </w:r>
      <w:r w:rsidR="00E97CBD" w:rsidRPr="00E97CBD">
        <w:t>.</w:t>
      </w:r>
    </w:p>
    <w:p w14:paraId="135AECED" w14:textId="77777777" w:rsidR="00E97CBD" w:rsidRPr="00E97CBD" w:rsidRDefault="00E97CBD" w:rsidP="00B86FBD">
      <w:pPr>
        <w:pStyle w:val="AuthorAffiliation"/>
        <w:rPr>
          <w:vertAlign w:val="superscript"/>
        </w:rPr>
      </w:pPr>
    </w:p>
    <w:p w14:paraId="42F69824" w14:textId="3932A038" w:rsidR="00050D0C" w:rsidRPr="00E97CBD" w:rsidRDefault="00E97CBD" w:rsidP="00B86FBD">
      <w:pPr>
        <w:pStyle w:val="AuthorEmail"/>
        <w:rPr>
          <w:i/>
          <w:color w:val="000000" w:themeColor="text1"/>
        </w:rPr>
      </w:pPr>
      <w:r w:rsidRPr="00E97CBD">
        <w:rPr>
          <w:i/>
          <w:color w:val="000000" w:themeColor="text1"/>
          <w:vertAlign w:val="superscript"/>
        </w:rPr>
        <w:t>a)</w:t>
      </w:r>
      <w:r w:rsidRPr="00E97CBD">
        <w:rPr>
          <w:i/>
          <w:color w:val="000000" w:themeColor="text1"/>
        </w:rPr>
        <w:t xml:space="preserve"> </w:t>
      </w:r>
      <w:r w:rsidR="009A1ECF" w:rsidRPr="00E97CBD">
        <w:rPr>
          <w:i/>
          <w:color w:val="000000" w:themeColor="text1"/>
        </w:rPr>
        <w:t>Corresponding author</w:t>
      </w:r>
      <w:r>
        <w:rPr>
          <w:i/>
          <w:color w:val="000000" w:themeColor="text1"/>
        </w:rPr>
        <w:t>:</w:t>
      </w:r>
      <w:r w:rsidR="009A1ECF" w:rsidRPr="00E97CBD">
        <w:rPr>
          <w:i/>
          <w:color w:val="000000" w:themeColor="text1"/>
        </w:rPr>
        <w:t xml:space="preserve"> </w:t>
      </w:r>
      <w:r w:rsidR="00050D0C" w:rsidRPr="00E97CBD">
        <w:rPr>
          <w:rFonts w:asciiTheme="majorBidi" w:hAnsiTheme="majorBidi" w:cstheme="majorBidi"/>
          <w:i/>
          <w:color w:val="000000" w:themeColor="text1"/>
        </w:rPr>
        <w:t>daroonessam@uokirkuk.edu.iq</w:t>
      </w:r>
      <w:r w:rsidR="00050D0C" w:rsidRPr="00E97CBD">
        <w:rPr>
          <w:i/>
          <w:color w:val="000000" w:themeColor="text1"/>
        </w:rPr>
        <w:t xml:space="preserve"> </w:t>
      </w:r>
    </w:p>
    <w:p w14:paraId="3A9FFF62" w14:textId="08E98AA7" w:rsidR="009A1ECF" w:rsidRPr="00E97CBD" w:rsidRDefault="00CC1FC0" w:rsidP="00B86FBD">
      <w:pPr>
        <w:pStyle w:val="AuthorEmail"/>
        <w:rPr>
          <w:rStyle w:val="Hyperlink"/>
          <w:rFonts w:asciiTheme="majorBidi" w:hAnsiTheme="majorBidi" w:cstheme="majorBidi"/>
          <w:i/>
          <w:color w:val="000000" w:themeColor="text1"/>
          <w:u w:val="none"/>
        </w:rPr>
      </w:pPr>
      <w:proofErr w:type="gramStart"/>
      <w:r w:rsidRPr="00E97CBD">
        <w:rPr>
          <w:i/>
          <w:color w:val="000000" w:themeColor="text1"/>
          <w:vertAlign w:val="superscript"/>
        </w:rPr>
        <w:t>b)</w:t>
      </w:r>
      <w:r w:rsidR="00050D0C" w:rsidRPr="00E97CBD">
        <w:rPr>
          <w:rFonts w:asciiTheme="majorBidi" w:hAnsiTheme="majorBidi" w:cstheme="majorBidi"/>
          <w:i/>
          <w:color w:val="000000" w:themeColor="text1"/>
        </w:rPr>
        <w:t>aminahamed2007@uokirkuk.edu.iq</w:t>
      </w:r>
      <w:proofErr w:type="gramEnd"/>
    </w:p>
    <w:p w14:paraId="5DDBC33D" w14:textId="72F579DA" w:rsidR="009A1ECF" w:rsidRPr="00E97CBD" w:rsidRDefault="009A1ECF" w:rsidP="00B86FBD">
      <w:pPr>
        <w:pStyle w:val="AuthorEmail"/>
        <w:rPr>
          <w:rStyle w:val="Hyperlink"/>
          <w:rFonts w:asciiTheme="majorBidi" w:hAnsiTheme="majorBidi" w:cstheme="majorBidi"/>
          <w:i/>
          <w:color w:val="000000" w:themeColor="text1"/>
          <w:u w:val="none"/>
        </w:rPr>
      </w:pPr>
      <w:r w:rsidRPr="00E97CBD">
        <w:rPr>
          <w:rStyle w:val="Hyperlink"/>
          <w:rFonts w:asciiTheme="majorBidi" w:hAnsiTheme="majorBidi" w:cstheme="majorBidi"/>
          <w:i/>
          <w:color w:val="000000" w:themeColor="text1"/>
          <w:u w:val="none"/>
        </w:rPr>
        <w:t xml:space="preserve"> </w:t>
      </w:r>
      <w:r w:rsidRPr="00E97CBD">
        <w:rPr>
          <w:rStyle w:val="Hyperlink"/>
          <w:rFonts w:asciiTheme="majorBidi" w:hAnsiTheme="majorBidi" w:cstheme="majorBidi"/>
          <w:i/>
          <w:color w:val="000000" w:themeColor="text1"/>
          <w:u w:val="none"/>
          <w:vertAlign w:val="superscript"/>
        </w:rPr>
        <w:t>c)</w:t>
      </w:r>
      <w:r w:rsidRPr="00E97CBD">
        <w:rPr>
          <w:rStyle w:val="Hyperlink"/>
          <w:rFonts w:asciiTheme="majorBidi" w:hAnsiTheme="majorBidi" w:cstheme="majorBidi"/>
          <w:i/>
          <w:color w:val="000000" w:themeColor="text1"/>
          <w:u w:val="none"/>
        </w:rPr>
        <w:t>dr.abdullahkoprulu@uokiruk.edu.iq</w:t>
      </w:r>
    </w:p>
    <w:p w14:paraId="43471176" w14:textId="2A5A9C48" w:rsidR="00703840" w:rsidRPr="00F44E4C" w:rsidRDefault="00050D0C" w:rsidP="00B86FBD">
      <w:pPr>
        <w:pStyle w:val="Abstract"/>
        <w:ind w:left="0" w:right="0"/>
        <w:rPr>
          <w:szCs w:val="18"/>
        </w:rPr>
      </w:pPr>
      <w:r w:rsidRPr="00F44E4C">
        <w:rPr>
          <w:b/>
          <w:bCs/>
          <w:szCs w:val="18"/>
        </w:rPr>
        <w:t>Abstract</w:t>
      </w:r>
      <w:r w:rsidR="00F44E4C" w:rsidRPr="00F44E4C">
        <w:rPr>
          <w:b/>
          <w:bCs/>
          <w:szCs w:val="18"/>
        </w:rPr>
        <w:t>.</w:t>
      </w:r>
      <w:r w:rsidR="00DC76AE" w:rsidRPr="00F44E4C">
        <w:rPr>
          <w:szCs w:val="18"/>
        </w:rPr>
        <w:t xml:space="preserve"> </w:t>
      </w:r>
      <w:r w:rsidRPr="00F44E4C">
        <w:rPr>
          <w:szCs w:val="18"/>
        </w:rPr>
        <w:t xml:space="preserve">One of the main causes of </w:t>
      </w:r>
      <w:r w:rsidR="00703840" w:rsidRPr="00F44E4C">
        <w:rPr>
          <w:szCs w:val="18"/>
        </w:rPr>
        <w:t>end-stage</w:t>
      </w:r>
      <w:r w:rsidRPr="00F44E4C">
        <w:rPr>
          <w:szCs w:val="18"/>
        </w:rPr>
        <w:t xml:space="preserve"> renal disease </w:t>
      </w:r>
      <w:r w:rsidR="00703840" w:rsidRPr="00F44E4C">
        <w:rPr>
          <w:szCs w:val="18"/>
        </w:rPr>
        <w:t>worldwide</w:t>
      </w:r>
      <w:r w:rsidRPr="00F44E4C">
        <w:rPr>
          <w:szCs w:val="18"/>
        </w:rPr>
        <w:t xml:space="preserve"> is diabetic nephropathy (DN). For prompt intervention and better patient outcomes, early detection of biochemical markers linked to DN pathogenesis is essential. Objectives: the pathophysiology of diabetic nephropathy was examined in relation to inflammatory indicators (C-reactive protein [CRP], tumor necrosis factor-alpha [TNF-α]), α-Klotho, and glycemic control markers (glycated hemoglobin [HbA1c], glycated albumin, and </w:t>
      </w:r>
      <w:r w:rsidR="00703840" w:rsidRPr="00F44E4C">
        <w:rPr>
          <w:szCs w:val="18"/>
        </w:rPr>
        <w:t>ractopamines</w:t>
      </w:r>
      <w:proofErr w:type="gramStart"/>
      <w:r w:rsidRPr="00F44E4C">
        <w:rPr>
          <w:szCs w:val="18"/>
        </w:rPr>
        <w:t>).</w:t>
      </w:r>
      <w:r w:rsidR="00DC76AE" w:rsidRPr="00F44E4C">
        <w:rPr>
          <w:szCs w:val="18"/>
        </w:rPr>
        <w:t>.</w:t>
      </w:r>
      <w:proofErr w:type="gramEnd"/>
      <w:r w:rsidR="00DC76AE" w:rsidRPr="00F44E4C">
        <w:rPr>
          <w:szCs w:val="18"/>
        </w:rPr>
        <w:t xml:space="preserve"> </w:t>
      </w:r>
      <w:r w:rsidRPr="00F44E4C">
        <w:rPr>
          <w:bCs/>
          <w:szCs w:val="18"/>
        </w:rPr>
        <w:t xml:space="preserve">Methods: </w:t>
      </w:r>
      <w:r w:rsidRPr="00F44E4C">
        <w:rPr>
          <w:szCs w:val="18"/>
        </w:rPr>
        <w:t xml:space="preserve">Between October 2024 and April 2025, a </w:t>
      </w:r>
      <w:r w:rsidR="00703840" w:rsidRPr="00F44E4C">
        <w:rPr>
          <w:szCs w:val="18"/>
        </w:rPr>
        <w:t>six-month cross-sectional</w:t>
      </w:r>
      <w:r w:rsidRPr="00F44E4C">
        <w:rPr>
          <w:szCs w:val="18"/>
        </w:rPr>
        <w:t xml:space="preserve"> study was carried out at Azadi Teaching Hospital and Kirkuk Teaching Hospital. 360 individuals were carefully split into four groups for the study: 90 patients with diabetes who did not have nephropathy, 90 patients with chronic renal disease (CRD), 90 patients with diabetic nephropathy, and 90 healthy controls. Standardized laboratory procedures were used to analyze biochemical parameters. Analysis of variance (ANOVA), post-hoc testing, correlation analysis, and multivariate regression analysis were all included in the statistical analysis.</w:t>
      </w:r>
      <w:r w:rsidR="00DC76AE" w:rsidRPr="00F44E4C">
        <w:rPr>
          <w:szCs w:val="18"/>
        </w:rPr>
        <w:t xml:space="preserve"> </w:t>
      </w:r>
      <w:r w:rsidRPr="00F44E4C">
        <w:rPr>
          <w:szCs w:val="18"/>
        </w:rPr>
        <w:t xml:space="preserve">TNF-α concentrations (204.13±86.17 </w:t>
      </w:r>
      <w:proofErr w:type="spellStart"/>
      <w:r w:rsidRPr="00F44E4C">
        <w:rPr>
          <w:szCs w:val="18"/>
        </w:rPr>
        <w:t>p</w:t>
      </w:r>
      <w:r w:rsidRPr="00F44E4C">
        <w:rPr>
          <w:szCs w:val="18"/>
          <w:vertAlign w:val="subscript"/>
        </w:rPr>
        <w:t>g</w:t>
      </w:r>
      <w:proofErr w:type="spellEnd"/>
      <w:r w:rsidRPr="00F44E4C">
        <w:rPr>
          <w:szCs w:val="18"/>
        </w:rPr>
        <w:t xml:space="preserve">/mL vs. 32.28±13.97 </w:t>
      </w:r>
      <w:proofErr w:type="spellStart"/>
      <w:r w:rsidRPr="00F44E4C">
        <w:rPr>
          <w:szCs w:val="18"/>
        </w:rPr>
        <w:t>p</w:t>
      </w:r>
      <w:r w:rsidRPr="00F44E4C">
        <w:rPr>
          <w:szCs w:val="18"/>
          <w:vertAlign w:val="subscript"/>
        </w:rPr>
        <w:t>g</w:t>
      </w:r>
      <w:proofErr w:type="spellEnd"/>
      <w:r w:rsidRPr="00F44E4C">
        <w:rPr>
          <w:szCs w:val="18"/>
        </w:rPr>
        <w:t xml:space="preserve">/mL, p&lt;0.001) and CRP levels (14.27±4.01 mg/L vs. 4.48±1.58 mg/L, p&lt;0.001) were substantially higher in diabetic patients with nephropathy than in controls. Patients with diabetic nephropathy had significantly lower α-Klotho levels (201.27±81.42 </w:t>
      </w:r>
      <w:proofErr w:type="spellStart"/>
      <w:r w:rsidRPr="00F44E4C">
        <w:rPr>
          <w:szCs w:val="18"/>
        </w:rPr>
        <w:t>p</w:t>
      </w:r>
      <w:r w:rsidRPr="00F44E4C">
        <w:rPr>
          <w:szCs w:val="18"/>
          <w:vertAlign w:val="subscript"/>
        </w:rPr>
        <w:t>g</w:t>
      </w:r>
      <w:proofErr w:type="spellEnd"/>
      <w:r w:rsidRPr="00F44E4C">
        <w:rPr>
          <w:szCs w:val="18"/>
        </w:rPr>
        <w:t xml:space="preserve">/mL compared to 1173.04±271.04 </w:t>
      </w:r>
      <w:proofErr w:type="spellStart"/>
      <w:r w:rsidRPr="00F44E4C">
        <w:rPr>
          <w:szCs w:val="18"/>
        </w:rPr>
        <w:t>p</w:t>
      </w:r>
      <w:r w:rsidRPr="00F44E4C">
        <w:rPr>
          <w:szCs w:val="18"/>
          <w:vertAlign w:val="subscript"/>
        </w:rPr>
        <w:t>g</w:t>
      </w:r>
      <w:proofErr w:type="spellEnd"/>
      <w:r w:rsidRPr="00F44E4C">
        <w:rPr>
          <w:szCs w:val="18"/>
        </w:rPr>
        <w:t xml:space="preserve">/mL in controls, p&lt;0.001). Glycated albumin showed a stronger association with diabetic complications (r=0.78, p&lt;0.001) among glycemic control indicators than </w:t>
      </w:r>
      <w:r w:rsidR="00703840" w:rsidRPr="00F44E4C">
        <w:rPr>
          <w:szCs w:val="18"/>
        </w:rPr>
        <w:t>ractopamines</w:t>
      </w:r>
      <w:r w:rsidRPr="00F44E4C">
        <w:rPr>
          <w:szCs w:val="18"/>
        </w:rPr>
        <w:t xml:space="preserve"> (r=0.44, p&lt;0.01) and HbA1c (r=0.61, p&lt;0.001).</w:t>
      </w:r>
      <w:r w:rsidR="00DC76AE" w:rsidRPr="00F44E4C">
        <w:rPr>
          <w:szCs w:val="18"/>
        </w:rPr>
        <w:t xml:space="preserve"> </w:t>
      </w:r>
      <w:r w:rsidRPr="00F44E4C">
        <w:rPr>
          <w:szCs w:val="18"/>
        </w:rPr>
        <w:t>The pathophysiology of diabetic nephropathy is significantly influenced by inflammatory indicators and α-Klotho deficiency.  Compared to conventional glycemic indicators, glycated albumin seems to be a more sensitive and trustworthy indicator for evaluating glycemic control in individuals with diabetic nephropathy.</w:t>
      </w:r>
    </w:p>
    <w:p w14:paraId="005B9144" w14:textId="39B3D6E0" w:rsidR="00703840" w:rsidRPr="00F44E4C" w:rsidRDefault="00703840" w:rsidP="00B86FBD">
      <w:pPr>
        <w:pStyle w:val="Abstract"/>
        <w:ind w:left="0" w:right="0"/>
        <w:rPr>
          <w:szCs w:val="18"/>
        </w:rPr>
      </w:pPr>
      <w:r w:rsidRPr="00F44E4C">
        <w:rPr>
          <w:rFonts w:asciiTheme="majorBidi" w:hAnsiTheme="majorBidi" w:cstheme="majorBidi"/>
          <w:b/>
          <w:bCs/>
          <w:szCs w:val="18"/>
        </w:rPr>
        <w:t>Keywords:</w:t>
      </w:r>
      <w:r w:rsidRPr="00F44E4C">
        <w:rPr>
          <w:rFonts w:asciiTheme="majorBidi" w:hAnsiTheme="majorBidi" w:cstheme="majorBidi"/>
          <w:szCs w:val="18"/>
        </w:rPr>
        <w:t xml:space="preserve"> Diabetic nephropathy, inflammatory markers, α-Klotho, glycated albumin, CRP, TNF-α</w:t>
      </w:r>
    </w:p>
    <w:p w14:paraId="7CF50005" w14:textId="2A5AE186" w:rsidR="00703840" w:rsidRPr="001939D1" w:rsidRDefault="00703840" w:rsidP="00B86FBD">
      <w:pPr>
        <w:pStyle w:val="BodyText"/>
        <w:rPr>
          <w:rFonts w:asciiTheme="majorBidi" w:hAnsiTheme="majorBidi" w:cstheme="majorBidi"/>
        </w:rPr>
        <w:sectPr w:rsidR="00703840" w:rsidRPr="001939D1" w:rsidSect="00B86FBD">
          <w:footerReference w:type="default" r:id="rId11"/>
          <w:pgSz w:w="11520" w:h="15660"/>
          <w:pgMar w:top="1440" w:right="1440" w:bottom="1440" w:left="1440" w:header="0" w:footer="600" w:gutter="0"/>
          <w:pgNumType w:start="28"/>
          <w:cols w:space="720"/>
        </w:sectPr>
      </w:pPr>
    </w:p>
    <w:p w14:paraId="5E0EBBE5" w14:textId="77777777" w:rsidR="00050D0C" w:rsidRPr="00050D0C" w:rsidRDefault="00050D0C" w:rsidP="00B86FBD">
      <w:pPr>
        <w:pStyle w:val="Heading1"/>
      </w:pPr>
      <w:bookmarkStart w:id="0" w:name="Introduction"/>
      <w:bookmarkEnd w:id="0"/>
      <w:r w:rsidRPr="00050D0C">
        <w:t>Introduction</w:t>
      </w:r>
      <w:bookmarkStart w:id="1" w:name="Patients_and_Methods"/>
      <w:bookmarkEnd w:id="1"/>
      <w:r w:rsidRPr="00050D0C">
        <w:t xml:space="preserve"> </w:t>
      </w:r>
    </w:p>
    <w:p w14:paraId="764B3899" w14:textId="5529C727" w:rsidR="00050D0C" w:rsidRPr="001939D1" w:rsidRDefault="00050D0C" w:rsidP="00B86FBD">
      <w:pPr>
        <w:jc w:val="both"/>
        <w:rPr>
          <w:rFonts w:asciiTheme="majorBidi" w:hAnsiTheme="majorBidi" w:cstheme="majorBidi"/>
          <w:sz w:val="20"/>
        </w:rPr>
      </w:pPr>
      <w:r w:rsidRPr="001939D1">
        <w:rPr>
          <w:rFonts w:asciiTheme="majorBidi" w:hAnsiTheme="majorBidi" w:cstheme="majorBidi"/>
          <w:sz w:val="20"/>
        </w:rPr>
        <w:t>One of the most severe microvascular consequences of diabetes mellitus is diabetic nephropathy (DN), which affects 20-40% of diabetic individuals and is the primary cause of end-stage renal disease (ESRD) worldwide. Diabetic nephropathy is a microvascular complication that affects people with type 1 diabetes (</w:t>
      </w:r>
      <w:r w:rsidR="00703840">
        <w:rPr>
          <w:rFonts w:asciiTheme="majorBidi" w:hAnsiTheme="majorBidi" w:cstheme="majorBidi"/>
          <w:sz w:val="20"/>
        </w:rPr>
        <w:t>T1D</w:t>
      </w:r>
      <w:r w:rsidRPr="001939D1">
        <w:rPr>
          <w:rFonts w:asciiTheme="majorBidi" w:hAnsiTheme="majorBidi" w:cstheme="majorBidi"/>
          <w:sz w:val="20"/>
        </w:rPr>
        <w:t>) and type 2 diabetes (T2D). It shows up as a progressive loss in glomerular filtration rate (GFR) and persistent albuminuria</w:t>
      </w:r>
      <w:r w:rsidR="00703840">
        <w:rPr>
          <w:rFonts w:asciiTheme="majorBidi" w:hAnsiTheme="majorBidi" w:cstheme="majorBidi"/>
          <w:sz w:val="20"/>
        </w:rPr>
        <w:t>.</w:t>
      </w:r>
      <w:r w:rsidRPr="001939D1">
        <w:rPr>
          <w:rFonts w:asciiTheme="majorBidi" w:hAnsiTheme="majorBidi" w:cstheme="majorBidi"/>
          <w:sz w:val="20"/>
        </w:rPr>
        <w:t xml:space="preserve"> Diabetic nephropathy is becoming </w:t>
      </w:r>
      <w:proofErr w:type="gramStart"/>
      <w:r w:rsidRPr="001939D1">
        <w:rPr>
          <w:rFonts w:asciiTheme="majorBidi" w:hAnsiTheme="majorBidi" w:cstheme="majorBidi"/>
          <w:sz w:val="20"/>
        </w:rPr>
        <w:t>more and more</w:t>
      </w:r>
      <w:proofErr w:type="gramEnd"/>
      <w:r w:rsidRPr="001939D1">
        <w:rPr>
          <w:rFonts w:asciiTheme="majorBidi" w:hAnsiTheme="majorBidi" w:cstheme="majorBidi"/>
          <w:sz w:val="20"/>
        </w:rPr>
        <w:t xml:space="preserve"> prevalent worldwide, with major socioeconomic implications for healthcare systems everywhere. Complex, multifactorial interactions</w:t>
      </w:r>
      <w:r w:rsidR="00703840">
        <w:rPr>
          <w:rFonts w:asciiTheme="majorBidi" w:hAnsiTheme="majorBidi" w:cstheme="majorBidi"/>
          <w:sz w:val="20"/>
        </w:rPr>
        <w:t>,</w:t>
      </w:r>
      <w:r w:rsidRPr="001939D1">
        <w:rPr>
          <w:rFonts w:asciiTheme="majorBidi" w:hAnsiTheme="majorBidi" w:cstheme="majorBidi"/>
          <w:sz w:val="20"/>
        </w:rPr>
        <w:t xml:space="preserve"> including hemodynamic changes, metabolic abnormalities, and inflammatory cascades</w:t>
      </w:r>
      <w:r w:rsidR="00703840">
        <w:rPr>
          <w:rFonts w:asciiTheme="majorBidi" w:hAnsiTheme="majorBidi" w:cstheme="majorBidi"/>
          <w:sz w:val="20"/>
        </w:rPr>
        <w:t>,</w:t>
      </w:r>
      <w:r w:rsidRPr="001939D1">
        <w:rPr>
          <w:rFonts w:asciiTheme="majorBidi" w:hAnsiTheme="majorBidi" w:cstheme="majorBidi"/>
          <w:sz w:val="20"/>
        </w:rPr>
        <w:t xml:space="preserve"> are hallmarks of the pathophysiology of DN. These interactions eventually come together to cause progressive renal tissue destruction and functional </w:t>
      </w:r>
      <w:proofErr w:type="gramStart"/>
      <w:r w:rsidR="00703840" w:rsidRPr="001939D1">
        <w:rPr>
          <w:rFonts w:asciiTheme="majorBidi" w:hAnsiTheme="majorBidi" w:cstheme="majorBidi"/>
          <w:sz w:val="20"/>
        </w:rPr>
        <w:t>decline</w:t>
      </w:r>
      <w:r w:rsidR="009F4B4E">
        <w:rPr>
          <w:rFonts w:asciiTheme="majorBidi" w:hAnsiTheme="majorBidi" w:cstheme="majorBidi"/>
          <w:sz w:val="20"/>
        </w:rPr>
        <w:t>[</w:t>
      </w:r>
      <w:proofErr w:type="gramEnd"/>
      <w:r w:rsidR="009F4B4E">
        <w:rPr>
          <w:rFonts w:asciiTheme="majorBidi" w:hAnsiTheme="majorBidi" w:cstheme="majorBidi"/>
          <w:sz w:val="20"/>
        </w:rPr>
        <w:t>1]</w:t>
      </w:r>
      <w:r w:rsidRPr="001939D1">
        <w:rPr>
          <w:rFonts w:asciiTheme="majorBidi" w:hAnsiTheme="majorBidi" w:cstheme="majorBidi"/>
          <w:sz w:val="20"/>
        </w:rPr>
        <w:t xml:space="preserve">. Glycemic control has been the main emphasis of the conventional </w:t>
      </w:r>
      <w:r w:rsidRPr="001939D1">
        <w:rPr>
          <w:rFonts w:asciiTheme="majorBidi" w:hAnsiTheme="majorBidi" w:cstheme="majorBidi"/>
          <w:sz w:val="20"/>
        </w:rPr>
        <w:lastRenderedPageBreak/>
        <w:t xml:space="preserve">paradigm of managing diabetic nephropathy, with </w:t>
      </w:r>
      <w:proofErr w:type="spellStart"/>
      <w:r w:rsidRPr="001939D1">
        <w:rPr>
          <w:rFonts w:asciiTheme="majorBidi" w:hAnsiTheme="majorBidi" w:cstheme="majorBidi"/>
          <w:sz w:val="20"/>
        </w:rPr>
        <w:t>HbAlc</w:t>
      </w:r>
      <w:proofErr w:type="spellEnd"/>
      <w:r w:rsidRPr="001939D1">
        <w:rPr>
          <w:rFonts w:asciiTheme="majorBidi" w:hAnsiTheme="majorBidi" w:cstheme="majorBidi"/>
          <w:sz w:val="20"/>
        </w:rPr>
        <w:t xml:space="preserve"> acting as the key biomarker for tracking the effectiveness of treatment. This strategy has been seriously called into question by new data, which show that the pathophysiology of DN goes far beyond straightforward hyperglycemic damage. Recent studies have demonstrated the crucial role that chronic inflammation plays in the development and course of diabetic nephropathy, with inflammatory mediators acting as both potential therapeutic targets and pathogenic drivers </w:t>
      </w:r>
      <w:r w:rsidR="009F4B4E">
        <w:rPr>
          <w:rFonts w:asciiTheme="majorBidi" w:hAnsiTheme="majorBidi" w:cstheme="majorBidi"/>
          <w:sz w:val="20"/>
        </w:rPr>
        <w:t>[2]</w:t>
      </w:r>
      <w:r w:rsidRPr="001939D1">
        <w:rPr>
          <w:rFonts w:asciiTheme="majorBidi" w:hAnsiTheme="majorBidi" w:cstheme="majorBidi"/>
          <w:sz w:val="20"/>
        </w:rPr>
        <w:t xml:space="preserve">. Targeting oxidative stress and chronic inflammation, two pathogenic mechanisms that are crucial to the etiology and development of DN, is a potentially effective treatment approach. Due to a wealth of clinical and experimental data showing that patients with diabetic nephropathy have higher levels of inflammatory biomarkers than those without renal dysfunction, the inflammatory hypothesis of DN has gained significant traction </w:t>
      </w:r>
      <w:r w:rsidR="009F4B4E">
        <w:rPr>
          <w:rFonts w:asciiTheme="majorBidi" w:hAnsiTheme="majorBidi" w:cstheme="majorBidi"/>
          <w:sz w:val="20"/>
        </w:rPr>
        <w:t>[3]</w:t>
      </w:r>
      <w:r w:rsidRPr="001939D1">
        <w:rPr>
          <w:rFonts w:asciiTheme="majorBidi" w:hAnsiTheme="majorBidi" w:cstheme="majorBidi"/>
          <w:sz w:val="20"/>
        </w:rPr>
        <w:t xml:space="preserve">. Studies have shown that protein oxidation measures are useful in evaluating the course of the disease and the effectiveness of treatment, making them important markers of oxidative stress in diabetic complications </w:t>
      </w:r>
      <w:r w:rsidR="009F4B4E">
        <w:rPr>
          <w:rFonts w:asciiTheme="majorBidi" w:hAnsiTheme="majorBidi" w:cstheme="majorBidi"/>
          <w:sz w:val="20"/>
        </w:rPr>
        <w:t>[4]</w:t>
      </w:r>
      <w:r w:rsidRPr="001939D1">
        <w:rPr>
          <w:rFonts w:asciiTheme="majorBidi" w:hAnsiTheme="majorBidi" w:cstheme="majorBidi"/>
          <w:sz w:val="20"/>
        </w:rPr>
        <w:t>. These characteristics may be used as novel biomarkers for the early detection and monitoring of renal injury, and they offer important insights into the molecular mechanisms driving diabetic nephropathy Among the inflammatory mediators linked to the pathophysiology of diabetic nephropathy, tumor necrosis factor alpha (TNF-a) and C-reactive protein (CRP) have been identified as particularly significant contributors to the development and progression of the disease. A pro-inflammatory condition that is favorable to oxidative stress is produced by upregulating the gene transcription of inflammatory mediators, including IL-1, IL-6, IL-7, IL-8, and TNF-a. The chronic inflammatory state that underlies diabetic patients with nephropathy is reflected in the constantly high levels of C-reactive protein, an acute-phase reactant that is largely generated by hepatocytes in response to inflammatory stimuli. Urinary albumin excretion is independently linked to increased inflammatory markers in early type 2 diabetic nephropathy</w:t>
      </w:r>
      <w:r w:rsidR="00F54630">
        <w:rPr>
          <w:rFonts w:asciiTheme="majorBidi" w:hAnsiTheme="majorBidi" w:cstheme="majorBidi"/>
          <w:sz w:val="20"/>
        </w:rPr>
        <w:t>.</w:t>
      </w:r>
    </w:p>
    <w:p w14:paraId="68389039" w14:textId="4000678A" w:rsidR="00050D0C" w:rsidRPr="001939D1" w:rsidRDefault="00050D0C" w:rsidP="00B86FBD">
      <w:pPr>
        <w:jc w:val="both"/>
        <w:rPr>
          <w:rFonts w:asciiTheme="majorBidi" w:hAnsiTheme="majorBidi" w:cstheme="majorBidi"/>
          <w:sz w:val="20"/>
        </w:rPr>
      </w:pPr>
      <w:r w:rsidRPr="001939D1">
        <w:rPr>
          <w:rFonts w:asciiTheme="majorBidi" w:hAnsiTheme="majorBidi" w:cstheme="majorBidi"/>
          <w:sz w:val="20"/>
        </w:rPr>
        <w:t>A pleiotropic cytokine with a variety of biological roles, TNF-α promotes endothelial dysfunction, increases vascular permeability, and contributes to insulin resistance, all of which are key components of the inflammatory cascade. Inflammatory markers such as the neutrophil-to-lymphocyte ratio (NLR), platelet-to-lymphocyte ratio (PLR), systemic immune-inflammation index (SII), and red blood cell distribution width (RDW) have been suggested as possible predictors of DN development, as evidenced by recent retrospe</w:t>
      </w:r>
      <w:r w:rsidR="009F4B4E">
        <w:rPr>
          <w:rFonts w:asciiTheme="majorBidi" w:hAnsiTheme="majorBidi" w:cstheme="majorBidi"/>
          <w:sz w:val="20"/>
        </w:rPr>
        <w:t>ctive studies and meta-</w:t>
      </w:r>
      <w:proofErr w:type="gramStart"/>
      <w:r w:rsidR="009F4B4E">
        <w:rPr>
          <w:rFonts w:asciiTheme="majorBidi" w:hAnsiTheme="majorBidi" w:cstheme="majorBidi"/>
          <w:sz w:val="20"/>
        </w:rPr>
        <w:t>analyses[</w:t>
      </w:r>
      <w:proofErr w:type="gramEnd"/>
      <w:r w:rsidR="009F4B4E">
        <w:rPr>
          <w:rFonts w:asciiTheme="majorBidi" w:hAnsiTheme="majorBidi" w:cstheme="majorBidi"/>
          <w:sz w:val="20"/>
        </w:rPr>
        <w:t>5]</w:t>
      </w:r>
      <w:r w:rsidRPr="001939D1">
        <w:rPr>
          <w:rFonts w:asciiTheme="majorBidi" w:hAnsiTheme="majorBidi" w:cstheme="majorBidi"/>
          <w:sz w:val="20"/>
        </w:rPr>
        <w:t xml:space="preserve">. Our knowledge of the pathophysiology of diabetic nephropathy has been completely transformed by the identification and description of a-Klotho as an anti-aging protein with strong </w:t>
      </w:r>
      <w:r w:rsidR="00EB2CDE">
        <w:rPr>
          <w:rFonts w:asciiTheme="majorBidi" w:hAnsiTheme="majorBidi" w:cstheme="majorBidi"/>
          <w:sz w:val="20"/>
        </w:rPr>
        <w:t>renal</w:t>
      </w:r>
      <w:r w:rsidR="00703840" w:rsidRPr="001939D1">
        <w:rPr>
          <w:rFonts w:asciiTheme="majorBidi" w:hAnsiTheme="majorBidi" w:cstheme="majorBidi"/>
          <w:sz w:val="20"/>
        </w:rPr>
        <w:t xml:space="preserve"> protective</w:t>
      </w:r>
      <w:r w:rsidRPr="001939D1">
        <w:rPr>
          <w:rFonts w:asciiTheme="majorBidi" w:hAnsiTheme="majorBidi" w:cstheme="majorBidi"/>
          <w:sz w:val="20"/>
        </w:rPr>
        <w:t xml:space="preserve"> qualities. A protein recognized for its anti-aging </w:t>
      </w:r>
      <w:r w:rsidR="00703840" w:rsidRPr="001939D1">
        <w:rPr>
          <w:rFonts w:asciiTheme="majorBidi" w:hAnsiTheme="majorBidi" w:cstheme="majorBidi"/>
          <w:sz w:val="20"/>
        </w:rPr>
        <w:t>qualities</w:t>
      </w:r>
      <w:r w:rsidR="00703840">
        <w:rPr>
          <w:rFonts w:asciiTheme="majorBidi" w:hAnsiTheme="majorBidi" w:cstheme="majorBidi"/>
          <w:sz w:val="20"/>
        </w:rPr>
        <w:t>,</w:t>
      </w:r>
      <w:r w:rsidRPr="001939D1">
        <w:rPr>
          <w:rFonts w:asciiTheme="majorBidi" w:hAnsiTheme="majorBidi" w:cstheme="majorBidi"/>
          <w:sz w:val="20"/>
        </w:rPr>
        <w:t xml:space="preserve"> a-Klotho has been demonstrated to postpone the onset of age-related illnesses</w:t>
      </w:r>
      <w:r w:rsidR="00703840">
        <w:rPr>
          <w:rFonts w:asciiTheme="majorBidi" w:hAnsiTheme="majorBidi" w:cstheme="majorBidi"/>
          <w:sz w:val="20"/>
        </w:rPr>
        <w:t>.</w:t>
      </w:r>
      <w:r w:rsidRPr="001939D1">
        <w:rPr>
          <w:rFonts w:asciiTheme="majorBidi" w:hAnsiTheme="majorBidi" w:cstheme="majorBidi"/>
          <w:sz w:val="20"/>
        </w:rPr>
        <w:t xml:space="preserve"> a-Klotho was first discovered to be a gene whose absence causes mice to age more quickly. Since then, it has been understood to be a multipurpose humoral factor with a wide range of biological functions, such as Controlling mineral metabolism, preserving vascular integrity, and regulating inflammatory reactions. In both humans and animals, early diabetic nephropathy has been consistently associated with decreased renal a-Klotho expression. This suggests that a-Klotho deficiency may occur before overt nephropathy develops. a-Klotho has a variety of </w:t>
      </w:r>
      <w:r w:rsidR="00EB2CDE" w:rsidRPr="001939D1">
        <w:rPr>
          <w:rFonts w:asciiTheme="majorBidi" w:hAnsiTheme="majorBidi" w:cstheme="majorBidi"/>
          <w:sz w:val="20"/>
        </w:rPr>
        <w:t>Reno protective</w:t>
      </w:r>
      <w:r w:rsidRPr="001939D1">
        <w:rPr>
          <w:rFonts w:asciiTheme="majorBidi" w:hAnsiTheme="majorBidi" w:cstheme="majorBidi"/>
          <w:sz w:val="20"/>
        </w:rPr>
        <w:t xml:space="preserve"> mechanisms, including direct modulation of tubular and glomerular function, antioxidant qualities, and anti-inflammatory actions. A multifunctional protein called Klotho (KL) has been shown to have </w:t>
      </w:r>
      <w:r w:rsidR="00EB2CDE" w:rsidRPr="001939D1">
        <w:rPr>
          <w:rFonts w:asciiTheme="majorBidi" w:hAnsiTheme="majorBidi" w:cstheme="majorBidi"/>
          <w:sz w:val="20"/>
        </w:rPr>
        <w:t>Reno protective</w:t>
      </w:r>
      <w:r w:rsidRPr="001939D1">
        <w:rPr>
          <w:rFonts w:asciiTheme="majorBidi" w:hAnsiTheme="majorBidi" w:cstheme="majorBidi"/>
          <w:sz w:val="20"/>
        </w:rPr>
        <w:t xml:space="preserve"> effects. Experimental research indicates that </w:t>
      </w:r>
      <w:proofErr w:type="gramStart"/>
      <w:r w:rsidRPr="001939D1">
        <w:rPr>
          <w:rFonts w:asciiTheme="majorBidi" w:hAnsiTheme="majorBidi" w:cstheme="majorBidi"/>
          <w:sz w:val="20"/>
        </w:rPr>
        <w:t>supplementing with</w:t>
      </w:r>
      <w:proofErr w:type="gramEnd"/>
      <w:r w:rsidRPr="001939D1">
        <w:rPr>
          <w:rFonts w:asciiTheme="majorBidi" w:hAnsiTheme="majorBidi" w:cstheme="majorBidi"/>
          <w:sz w:val="20"/>
        </w:rPr>
        <w:t xml:space="preserve"> Klotho can reduce diabetic kidney damage in </w:t>
      </w:r>
      <w:r w:rsidR="00EB2CDE">
        <w:rPr>
          <w:rFonts w:asciiTheme="majorBidi" w:hAnsiTheme="majorBidi" w:cstheme="majorBidi"/>
          <w:sz w:val="20"/>
        </w:rPr>
        <w:t>several</w:t>
      </w:r>
      <w:r w:rsidRPr="001939D1">
        <w:rPr>
          <w:rFonts w:asciiTheme="majorBidi" w:hAnsiTheme="majorBidi" w:cstheme="majorBidi"/>
          <w:sz w:val="20"/>
        </w:rPr>
        <w:t xml:space="preserve"> ways. Recent studies have demonstrated that klotho stimulates AMPK-PGC1a expression to have a mitochondria-protective impact in diabetic kidney disease, underscoring the intricate molecular underpinnings behind its </w:t>
      </w:r>
      <w:proofErr w:type="spellStart"/>
      <w:r w:rsidRPr="001939D1">
        <w:rPr>
          <w:rFonts w:asciiTheme="majorBidi" w:hAnsiTheme="majorBidi" w:cstheme="majorBidi"/>
          <w:sz w:val="20"/>
        </w:rPr>
        <w:t>renoprotective</w:t>
      </w:r>
      <w:proofErr w:type="spellEnd"/>
      <w:r w:rsidRPr="001939D1">
        <w:rPr>
          <w:rFonts w:asciiTheme="majorBidi" w:hAnsiTheme="majorBidi" w:cstheme="majorBidi"/>
          <w:sz w:val="20"/>
        </w:rPr>
        <w:t xml:space="preserve"> properties </w:t>
      </w:r>
      <w:r w:rsidR="009F4B4E">
        <w:rPr>
          <w:rFonts w:asciiTheme="majorBidi" w:hAnsiTheme="majorBidi" w:cstheme="majorBidi"/>
          <w:sz w:val="20"/>
        </w:rPr>
        <w:t>[6]</w:t>
      </w:r>
      <w:r w:rsidRPr="001939D1">
        <w:rPr>
          <w:rFonts w:asciiTheme="majorBidi" w:hAnsiTheme="majorBidi" w:cstheme="majorBidi"/>
          <w:sz w:val="20"/>
        </w:rPr>
        <w:t>.</w:t>
      </w:r>
      <w:r w:rsidR="00EB2CDE">
        <w:rPr>
          <w:rFonts w:asciiTheme="majorBidi" w:hAnsiTheme="majorBidi" w:cstheme="majorBidi"/>
          <w:sz w:val="20"/>
        </w:rPr>
        <w:t xml:space="preserve"> </w:t>
      </w:r>
      <w:r w:rsidRPr="001939D1">
        <w:rPr>
          <w:rFonts w:asciiTheme="majorBidi" w:hAnsiTheme="majorBidi" w:cstheme="majorBidi"/>
          <w:sz w:val="20"/>
        </w:rPr>
        <w:t xml:space="preserve">There </w:t>
      </w:r>
      <w:proofErr w:type="gramStart"/>
      <w:r w:rsidRPr="001939D1">
        <w:rPr>
          <w:rFonts w:asciiTheme="majorBidi" w:hAnsiTheme="majorBidi" w:cstheme="majorBidi"/>
          <w:sz w:val="20"/>
        </w:rPr>
        <w:t>is</w:t>
      </w:r>
      <w:proofErr w:type="gramEnd"/>
      <w:r w:rsidRPr="001939D1">
        <w:rPr>
          <w:rFonts w:asciiTheme="majorBidi" w:hAnsiTheme="majorBidi" w:cstheme="majorBidi"/>
          <w:sz w:val="20"/>
        </w:rPr>
        <w:t xml:space="preserve"> ongoing clinical research and discussion over the best method for glucose monitoring in individuals with diabetic nephropathy. Despite being the gold standard for glycemic assessment for many years, HbA1c has shown limits in certain patient populations, especially those with chronic renal disease. In contrast to HbA1c, glycated albumin (GA) indicates both postprandial PG levels and short-term glycemic management. Alternative glycemic biomarkers may be required because </w:t>
      </w:r>
      <w:proofErr w:type="gramStart"/>
      <w:r w:rsidRPr="001939D1">
        <w:rPr>
          <w:rFonts w:asciiTheme="majorBidi" w:hAnsiTheme="majorBidi" w:cstheme="majorBidi"/>
          <w:sz w:val="20"/>
        </w:rPr>
        <w:t>to</w:t>
      </w:r>
      <w:proofErr w:type="gramEnd"/>
      <w:r w:rsidRPr="001939D1">
        <w:rPr>
          <w:rFonts w:asciiTheme="majorBidi" w:hAnsiTheme="majorBidi" w:cstheme="majorBidi"/>
          <w:sz w:val="20"/>
        </w:rPr>
        <w:t xml:space="preserve"> the substantial impact that chronic kidney disease-related changes in protein metabolism, anemia, and red blood cell turnover can have on HbA1c reliability. In contrast to HbA1c, which measures glycemic control over a longer </w:t>
      </w:r>
      <w:proofErr w:type="gramStart"/>
      <w:r w:rsidRPr="001939D1">
        <w:rPr>
          <w:rFonts w:asciiTheme="majorBidi" w:hAnsiTheme="majorBidi" w:cstheme="majorBidi"/>
          <w:sz w:val="20"/>
        </w:rPr>
        <w:t>period of time</w:t>
      </w:r>
      <w:proofErr w:type="gramEnd"/>
      <w:r w:rsidRPr="001939D1">
        <w:rPr>
          <w:rFonts w:asciiTheme="majorBidi" w:hAnsiTheme="majorBidi" w:cstheme="majorBidi"/>
          <w:sz w:val="20"/>
        </w:rPr>
        <w:t xml:space="preserve"> (2–3 months), glycated albumin has become a viable substitute indication.</w:t>
      </w:r>
      <w:r w:rsidR="00047903">
        <w:rPr>
          <w:rFonts w:asciiTheme="majorBidi" w:hAnsiTheme="majorBidi" w:cstheme="majorBidi"/>
          <w:sz w:val="20"/>
        </w:rPr>
        <w:t xml:space="preserve"> </w:t>
      </w:r>
      <w:r w:rsidR="00047903" w:rsidRPr="00047903">
        <w:rPr>
          <w:sz w:val="20"/>
        </w:rPr>
        <w:t xml:space="preserve">Glycemic state over the previous two to three weeks is reflected in glycated albumin, the precursor of advanced glycation end products, which </w:t>
      </w:r>
      <w:proofErr w:type="gramStart"/>
      <w:r w:rsidR="00047903" w:rsidRPr="00047903">
        <w:rPr>
          <w:sz w:val="20"/>
        </w:rPr>
        <w:t>actually performs</w:t>
      </w:r>
      <w:proofErr w:type="gramEnd"/>
      <w:r w:rsidR="00047903" w:rsidRPr="00047903">
        <w:rPr>
          <w:sz w:val="20"/>
        </w:rPr>
        <w:t xml:space="preserve"> better at glycemic monitoring than HbA1c. Glycated albumin is the preferable sign for evaluating glycemic control in advanced chronic renal disease, according to multiple studies. It has a better connection with data from continuous glucose monitoring than HbA1c. Additionally, regardless of HbA1c, variability in GA may be a more accurate indicator of the development of diabetic nephropathy in type 2 diabetic patients, indicating its potential use for risk stratification as well as glycemic </w:t>
      </w:r>
      <w:proofErr w:type="gramStart"/>
      <w:r w:rsidR="00047903" w:rsidRPr="00047903">
        <w:rPr>
          <w:sz w:val="20"/>
        </w:rPr>
        <w:t>surveillance</w:t>
      </w:r>
      <w:r w:rsidR="00047903">
        <w:rPr>
          <w:sz w:val="20"/>
        </w:rPr>
        <w:t>[</w:t>
      </w:r>
      <w:proofErr w:type="gramEnd"/>
      <w:r w:rsidR="00047903">
        <w:rPr>
          <w:sz w:val="20"/>
        </w:rPr>
        <w:t xml:space="preserve">7,8]. </w:t>
      </w:r>
      <w:r w:rsidRPr="001939D1">
        <w:rPr>
          <w:rFonts w:asciiTheme="majorBidi" w:hAnsiTheme="majorBidi" w:cstheme="majorBidi"/>
          <w:sz w:val="20"/>
        </w:rPr>
        <w:t xml:space="preserve">Patients with diabetic nephropathy have also been studied for </w:t>
      </w:r>
      <w:proofErr w:type="spellStart"/>
      <w:r w:rsidRPr="001939D1">
        <w:rPr>
          <w:rFonts w:asciiTheme="majorBidi" w:hAnsiTheme="majorBidi" w:cstheme="majorBidi"/>
          <w:sz w:val="20"/>
        </w:rPr>
        <w:t>fructosamine</w:t>
      </w:r>
      <w:proofErr w:type="spellEnd"/>
      <w:r w:rsidRPr="001939D1">
        <w:rPr>
          <w:rFonts w:asciiTheme="majorBidi" w:hAnsiTheme="majorBidi" w:cstheme="majorBidi"/>
          <w:sz w:val="20"/>
        </w:rPr>
        <w:t xml:space="preserve">, </w:t>
      </w:r>
      <w:r w:rsidRPr="001939D1">
        <w:rPr>
          <w:rFonts w:asciiTheme="majorBidi" w:hAnsiTheme="majorBidi" w:cstheme="majorBidi"/>
          <w:sz w:val="20"/>
        </w:rPr>
        <w:lastRenderedPageBreak/>
        <w:t xml:space="preserve">another potential glycemic biomarker that reflects glycemic control over 1-2 weeks, </w:t>
      </w:r>
      <w:r w:rsidR="00EB2CDE">
        <w:rPr>
          <w:rFonts w:asciiTheme="majorBidi" w:hAnsiTheme="majorBidi" w:cstheme="majorBidi"/>
          <w:sz w:val="20"/>
        </w:rPr>
        <w:t>although</w:t>
      </w:r>
      <w:r w:rsidRPr="001939D1">
        <w:rPr>
          <w:rFonts w:asciiTheme="majorBidi" w:hAnsiTheme="majorBidi" w:cstheme="majorBidi"/>
          <w:sz w:val="20"/>
        </w:rPr>
        <w:t xml:space="preserve"> the results have been less reliable than those of glycated albumin. Since the GA/HbA1c ratio is linked to diabetic retinopathy but not diabetic nephropathy in type 2 diabetic patients, the relationship between these various glycemic indicators and diabetic complications is still complicated. This suggests that different glycemic indicators may be useful for different diabetic complications. It is assumed that renal anemia and proteinuria, respectively, have an impact on HbA1c and GA in patients with diabetic nephropathy (DN) as the disease progresses, underscoring the intricate relationships between renal function and the accuracy of glycemic biomarkers </w:t>
      </w:r>
      <w:r w:rsidR="00047903">
        <w:rPr>
          <w:rFonts w:asciiTheme="majorBidi" w:hAnsiTheme="majorBidi" w:cstheme="majorBidi"/>
          <w:sz w:val="20"/>
        </w:rPr>
        <w:t>[9]</w:t>
      </w:r>
      <w:r w:rsidRPr="001939D1">
        <w:rPr>
          <w:rFonts w:asciiTheme="majorBidi" w:hAnsiTheme="majorBidi" w:cstheme="majorBidi"/>
          <w:sz w:val="20"/>
        </w:rPr>
        <w:t xml:space="preserve">. The care of diabetic nephropathy has undergone a paradigm shift toward precision medicine with the incorporation of inflammatory markers, a-Klotho evaluation, and improved glucose monitoring. This </w:t>
      </w:r>
      <w:r w:rsidR="00EB2CDE">
        <w:rPr>
          <w:rFonts w:asciiTheme="majorBidi" w:hAnsiTheme="majorBidi" w:cstheme="majorBidi"/>
          <w:sz w:val="20"/>
        </w:rPr>
        <w:t>all-encompassing</w:t>
      </w:r>
      <w:r w:rsidRPr="001939D1">
        <w:rPr>
          <w:rFonts w:asciiTheme="majorBidi" w:hAnsiTheme="majorBidi" w:cstheme="majorBidi"/>
          <w:sz w:val="20"/>
        </w:rPr>
        <w:t xml:space="preserve"> strategy acknowledges the limits of conventional </w:t>
      </w:r>
      <w:proofErr w:type="gramStart"/>
      <w:r w:rsidRPr="001939D1">
        <w:rPr>
          <w:rFonts w:asciiTheme="majorBidi" w:hAnsiTheme="majorBidi" w:cstheme="majorBidi"/>
          <w:sz w:val="20"/>
        </w:rPr>
        <w:t>single-biomarker</w:t>
      </w:r>
      <w:proofErr w:type="gramEnd"/>
      <w:r w:rsidRPr="001939D1">
        <w:rPr>
          <w:rFonts w:asciiTheme="majorBidi" w:hAnsiTheme="majorBidi" w:cstheme="majorBidi"/>
          <w:sz w:val="20"/>
        </w:rPr>
        <w:t xml:space="preserve"> approaches as well as the complex nature of DN etiology. To improve patient outcomes and create focused treatment interventions, it is essential to comprehend the intricate interactions between inflammation, hyperglycemia, and protective factors like a-Klotho </w:t>
      </w:r>
      <w:r w:rsidR="00047903">
        <w:rPr>
          <w:rFonts w:asciiTheme="majorBidi" w:hAnsiTheme="majorBidi" w:cstheme="majorBidi"/>
          <w:sz w:val="20"/>
        </w:rPr>
        <w:t>[10]</w:t>
      </w:r>
      <w:r w:rsidRPr="001939D1">
        <w:rPr>
          <w:rFonts w:asciiTheme="majorBidi" w:hAnsiTheme="majorBidi" w:cstheme="majorBidi"/>
          <w:sz w:val="20"/>
          <w:vertAlign w:val="superscript"/>
        </w:rPr>
        <w:t xml:space="preserve"> </w:t>
      </w:r>
      <w:r w:rsidRPr="001939D1">
        <w:rPr>
          <w:rFonts w:asciiTheme="majorBidi" w:hAnsiTheme="majorBidi" w:cstheme="majorBidi"/>
          <w:sz w:val="20"/>
        </w:rPr>
        <w:t xml:space="preserve">.The goal of the current work is to present a thorough examination of these biochemical indicators in the pathophysiology of diabetic nephropathy, examining both their individual and combined roles in the development and progression of the disease </w:t>
      </w:r>
      <w:r w:rsidR="00047903">
        <w:rPr>
          <w:rFonts w:asciiTheme="majorBidi" w:hAnsiTheme="majorBidi" w:cstheme="majorBidi"/>
          <w:sz w:val="20"/>
        </w:rPr>
        <w:t>[11]</w:t>
      </w:r>
      <w:r w:rsidRPr="001939D1">
        <w:rPr>
          <w:rFonts w:asciiTheme="majorBidi" w:hAnsiTheme="majorBidi" w:cstheme="majorBidi"/>
          <w:sz w:val="20"/>
        </w:rPr>
        <w:t xml:space="preserve">.This study aims to improve our knowledge of DN pathophysiology and guide evidence-based clinical practice by investigating the connections between inflammatory markers, a-Klotho levels, and other glycemic control indicators in various patient populations. The results of this study could help create new diabetic nephropathy diagnostic algorithms, risk assessment instruments, and treatment goals, which would ultimately enhance the treatment and outcomes for patients with this debilitating condition </w:t>
      </w:r>
      <w:r w:rsidR="00047903">
        <w:rPr>
          <w:rFonts w:asciiTheme="majorBidi" w:hAnsiTheme="majorBidi" w:cstheme="majorBidi"/>
          <w:sz w:val="20"/>
        </w:rPr>
        <w:t>[12]</w:t>
      </w:r>
      <w:r w:rsidRPr="001939D1">
        <w:rPr>
          <w:rFonts w:asciiTheme="majorBidi" w:hAnsiTheme="majorBidi" w:cstheme="majorBidi"/>
          <w:sz w:val="20"/>
        </w:rPr>
        <w:t xml:space="preserve">. </w:t>
      </w:r>
    </w:p>
    <w:p w14:paraId="2B09F063" w14:textId="77777777" w:rsidR="00050D0C" w:rsidRPr="001939D1" w:rsidRDefault="00050D0C" w:rsidP="00B86FBD">
      <w:pPr>
        <w:pStyle w:val="Heading1"/>
        <w:rPr>
          <w:vertAlign w:val="superscript"/>
        </w:rPr>
      </w:pPr>
      <w:r w:rsidRPr="001939D1">
        <w:t>Patients</w:t>
      </w:r>
      <w:r w:rsidRPr="001939D1">
        <w:rPr>
          <w:spacing w:val="-8"/>
        </w:rPr>
        <w:t xml:space="preserve"> </w:t>
      </w:r>
      <w:r w:rsidRPr="001939D1">
        <w:t>and</w:t>
      </w:r>
      <w:r w:rsidRPr="001939D1">
        <w:rPr>
          <w:spacing w:val="-7"/>
        </w:rPr>
        <w:t xml:space="preserve"> </w:t>
      </w:r>
      <w:r w:rsidRPr="001939D1">
        <w:rPr>
          <w:spacing w:val="-2"/>
        </w:rPr>
        <w:t>Methods</w:t>
      </w:r>
    </w:p>
    <w:p w14:paraId="3F8286E8" w14:textId="62E455FB" w:rsidR="00050D0C" w:rsidRPr="001939D1" w:rsidRDefault="00050D0C" w:rsidP="00B86FBD">
      <w:pPr>
        <w:jc w:val="both"/>
        <w:rPr>
          <w:rFonts w:asciiTheme="majorBidi" w:hAnsiTheme="majorBidi" w:cstheme="majorBidi"/>
          <w:sz w:val="20"/>
        </w:rPr>
      </w:pPr>
      <w:r w:rsidRPr="001939D1">
        <w:rPr>
          <w:rFonts w:asciiTheme="majorBidi" w:hAnsiTheme="majorBidi" w:cstheme="majorBidi"/>
          <w:sz w:val="20"/>
        </w:rPr>
        <w:t xml:space="preserve">This study was cross-sectional in nature 360 people were recruited and divided into four groups: 90 patients with diabetic nephropathy, 90 patients with chronic kidney disease (non-diabetic CRD), 90 patients with type 2 diabetes mellitus without nephropathy, and 90 healthy controls without either kidney disease or diabetes. Participants between the ages of 18 and 75 and who had a stable clinical condition and a verified diagnosis of either type 2 diabetes mellitus or chronic renal disease were eligible. People with active infections, inflammatory diseases, cancers, recent hospitalizations, acute renal injury, type 1 diabetes, and pregnancy were not included. Information on demographics, such as age, gender, and place of residence, was gathered via structured interviews, and blood pressure and anthropometric measurements were taken according to conventional protocols. A 12-hour overnight fast was followed by the collection of fasting blood samples to evaluate several metabolic markers. </w:t>
      </w:r>
      <w:proofErr w:type="spellStart"/>
      <w:r w:rsidRPr="001939D1">
        <w:rPr>
          <w:rFonts w:asciiTheme="majorBidi" w:hAnsiTheme="majorBidi" w:cstheme="majorBidi"/>
          <w:sz w:val="20"/>
        </w:rPr>
        <w:t>Exuctosamine</w:t>
      </w:r>
      <w:proofErr w:type="spellEnd"/>
      <w:r w:rsidRPr="001939D1">
        <w:rPr>
          <w:rFonts w:asciiTheme="majorBidi" w:hAnsiTheme="majorBidi" w:cstheme="majorBidi"/>
          <w:sz w:val="20"/>
        </w:rPr>
        <w:t>, glycated albumin, and HbA1c were examples of glycemic indicators. Serum creatinine, blood urea nitrogen, estimated glomerular filtration rate (eGFR), and microalbuminuria were used to assess renal function. Tumor necrosis factor-alpha (TNF-a) and C-reactive protein (CRP) were examples of inflammatory indicators, and a-Klotho was one of the other parameters assessed.</w:t>
      </w:r>
    </w:p>
    <w:p w14:paraId="0D7E5005" w14:textId="77777777" w:rsidR="00050D0C" w:rsidRPr="001939D1" w:rsidRDefault="00050D0C" w:rsidP="00B86FBD">
      <w:pPr>
        <w:pStyle w:val="Heading1"/>
      </w:pPr>
      <w:r w:rsidRPr="001939D1">
        <w:t xml:space="preserve"> Statistical analysis</w:t>
      </w:r>
    </w:p>
    <w:p w14:paraId="789FB686" w14:textId="0A1371EF" w:rsidR="00050D0C" w:rsidRPr="001939D1" w:rsidRDefault="00050D0C" w:rsidP="00B86FBD">
      <w:pPr>
        <w:jc w:val="both"/>
        <w:rPr>
          <w:rFonts w:asciiTheme="majorBidi" w:hAnsiTheme="majorBidi" w:cstheme="majorBidi"/>
          <w:sz w:val="20"/>
        </w:rPr>
      </w:pPr>
      <w:r w:rsidRPr="001939D1">
        <w:rPr>
          <w:rFonts w:asciiTheme="majorBidi" w:hAnsiTheme="majorBidi" w:cstheme="majorBidi"/>
          <w:sz w:val="20"/>
        </w:rPr>
        <w:t xml:space="preserve">SPSS version 26.0 was used to conduct </w:t>
      </w:r>
      <w:proofErr w:type="gramStart"/>
      <w:r w:rsidRPr="001939D1">
        <w:rPr>
          <w:rFonts w:asciiTheme="majorBidi" w:hAnsiTheme="majorBidi" w:cstheme="majorBidi"/>
          <w:sz w:val="20"/>
        </w:rPr>
        <w:t>the statistical</w:t>
      </w:r>
      <w:proofErr w:type="gramEnd"/>
      <w:r w:rsidRPr="001939D1">
        <w:rPr>
          <w:rFonts w:asciiTheme="majorBidi" w:hAnsiTheme="majorBidi" w:cstheme="majorBidi"/>
          <w:sz w:val="20"/>
        </w:rPr>
        <w:t xml:space="preserve"> analysis. For continuous variables, data were presented as mean ± standard deviation; for categorical variables, frequencies were presented as percentages. The post-hoc Tukey's test was performed for multiple comparisons after the means of the groups were compared using a one-way ANOVA. To evaluate the correlations between variables, a Pearson correlation analysis was used. P-values less than 0.05 were regarded as statistically significant.</w:t>
      </w:r>
    </w:p>
    <w:p w14:paraId="491CAC32" w14:textId="2706A588" w:rsidR="00050D0C" w:rsidRPr="00703840" w:rsidRDefault="00050D0C" w:rsidP="00B86FBD">
      <w:pPr>
        <w:pStyle w:val="Heading1"/>
      </w:pPr>
      <w:bookmarkStart w:id="2" w:name="Results"/>
      <w:bookmarkEnd w:id="2"/>
      <w:r w:rsidRPr="00050D0C">
        <w:t xml:space="preserve">Results </w:t>
      </w:r>
      <w:bookmarkStart w:id="3" w:name="Discussions"/>
      <w:bookmarkEnd w:id="3"/>
    </w:p>
    <w:p w14:paraId="6C06C8D6" w14:textId="489DE7F3" w:rsidR="00050D0C" w:rsidRPr="001939D1" w:rsidRDefault="00050D0C" w:rsidP="00B86FBD">
      <w:pPr>
        <w:pStyle w:val="Heading2"/>
        <w:rPr>
          <w:rFonts w:eastAsia="MS Gothic"/>
        </w:rPr>
      </w:pPr>
      <w:r w:rsidRPr="001939D1">
        <w:rPr>
          <w:rFonts w:eastAsia="MS Gothic"/>
        </w:rPr>
        <w:t>Demographic Characteristics</w:t>
      </w:r>
    </w:p>
    <w:p w14:paraId="5B53AF4E" w14:textId="3BA1316A" w:rsidR="00050D0C" w:rsidRPr="001939D1" w:rsidRDefault="00050D0C" w:rsidP="00B86FBD">
      <w:pPr>
        <w:jc w:val="both"/>
        <w:rPr>
          <w:rFonts w:asciiTheme="majorBidi" w:hAnsiTheme="majorBidi" w:cstheme="majorBidi"/>
          <w:sz w:val="20"/>
        </w:rPr>
      </w:pPr>
      <w:r w:rsidRPr="001939D1">
        <w:rPr>
          <w:rFonts w:asciiTheme="majorBidi" w:hAnsiTheme="majorBidi" w:cstheme="majorBidi"/>
          <w:sz w:val="20"/>
        </w:rPr>
        <w:t>The average age of the 360 participants in the study was 58.5±15.2 years. There were 198 females (53.6%) and 162 males (46.0%) in the demographic distribution. 75% of participants (25.0%) reported living in a rural area, whereas 198 individuals (55.0%) reported living in an urban area.</w:t>
      </w:r>
    </w:p>
    <w:p w14:paraId="2C40223F" w14:textId="77777777" w:rsidR="00B86FBD" w:rsidRDefault="00B86FBD" w:rsidP="00B86FBD">
      <w:pPr>
        <w:pStyle w:val="TableCaption"/>
        <w:rPr>
          <w:rFonts w:eastAsia="MS Gothic"/>
          <w:b/>
          <w:bCs/>
        </w:rPr>
      </w:pPr>
    </w:p>
    <w:p w14:paraId="34791D07" w14:textId="22337C9C" w:rsidR="00050D0C" w:rsidRPr="001939D1" w:rsidRDefault="00F54630" w:rsidP="00B86FBD">
      <w:pPr>
        <w:pStyle w:val="TableCaption"/>
        <w:rPr>
          <w:rFonts w:eastAsia="MS Mincho"/>
        </w:rPr>
      </w:pPr>
      <w:r w:rsidRPr="00F54630">
        <w:rPr>
          <w:rFonts w:eastAsia="MS Gothic"/>
          <w:b/>
          <w:bCs/>
        </w:rPr>
        <w:lastRenderedPageBreak/>
        <w:t>TABLE 1.</w:t>
      </w:r>
      <w:r w:rsidR="00050D0C" w:rsidRPr="001939D1">
        <w:rPr>
          <w:rFonts w:eastAsia="MS Gothic"/>
        </w:rPr>
        <w:t xml:space="preserve"> Demographic characteristics of study participants</w:t>
      </w:r>
    </w:p>
    <w:tbl>
      <w:tblPr>
        <w:tblStyle w:val="10"/>
        <w:tblW w:w="0" w:type="auto"/>
        <w:tblLook w:val="04A0" w:firstRow="1" w:lastRow="0" w:firstColumn="1" w:lastColumn="0" w:noHBand="0" w:noVBand="1"/>
      </w:tblPr>
      <w:tblGrid>
        <w:gridCol w:w="1747"/>
        <w:gridCol w:w="1721"/>
        <w:gridCol w:w="1721"/>
        <w:gridCol w:w="1721"/>
        <w:gridCol w:w="1720"/>
      </w:tblGrid>
      <w:tr w:rsidR="00050D0C" w:rsidRPr="001939D1" w14:paraId="4192F155" w14:textId="77777777" w:rsidTr="00035253">
        <w:tc>
          <w:tcPr>
            <w:tcW w:w="1755" w:type="dxa"/>
          </w:tcPr>
          <w:p w14:paraId="255B5948"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Parameter</w:t>
            </w:r>
          </w:p>
        </w:tc>
        <w:tc>
          <w:tcPr>
            <w:tcW w:w="1728" w:type="dxa"/>
          </w:tcPr>
          <w:p w14:paraId="3C7CDA6D"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Diabetes (n=90)</w:t>
            </w:r>
          </w:p>
        </w:tc>
        <w:tc>
          <w:tcPr>
            <w:tcW w:w="1728" w:type="dxa"/>
          </w:tcPr>
          <w:p w14:paraId="1CD45513"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Kidney Disease (n=90)</w:t>
            </w:r>
          </w:p>
        </w:tc>
        <w:tc>
          <w:tcPr>
            <w:tcW w:w="1728" w:type="dxa"/>
          </w:tcPr>
          <w:p w14:paraId="18D08CB3"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Diabetes with Kidney Disease (n=90)</w:t>
            </w:r>
          </w:p>
        </w:tc>
        <w:tc>
          <w:tcPr>
            <w:tcW w:w="1728" w:type="dxa"/>
          </w:tcPr>
          <w:p w14:paraId="13B27DDB"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Healthy Controls (n=90)</w:t>
            </w:r>
          </w:p>
        </w:tc>
      </w:tr>
      <w:tr w:rsidR="00050D0C" w:rsidRPr="001939D1" w14:paraId="72D19DEB" w14:textId="77777777" w:rsidTr="00035253">
        <w:tc>
          <w:tcPr>
            <w:tcW w:w="1755" w:type="dxa"/>
          </w:tcPr>
          <w:p w14:paraId="3D411B40"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Age (years)</w:t>
            </w:r>
          </w:p>
        </w:tc>
        <w:tc>
          <w:tcPr>
            <w:tcW w:w="1728" w:type="dxa"/>
          </w:tcPr>
          <w:p w14:paraId="05BF4A22"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58.0±18.05</w:t>
            </w:r>
          </w:p>
        </w:tc>
        <w:tc>
          <w:tcPr>
            <w:tcW w:w="1728" w:type="dxa"/>
          </w:tcPr>
          <w:p w14:paraId="168BB2B3"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54.0±20.17</w:t>
            </w:r>
          </w:p>
        </w:tc>
        <w:tc>
          <w:tcPr>
            <w:tcW w:w="1728" w:type="dxa"/>
          </w:tcPr>
          <w:p w14:paraId="08534749"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58.0±22.64</w:t>
            </w:r>
          </w:p>
        </w:tc>
        <w:tc>
          <w:tcPr>
            <w:tcW w:w="1728" w:type="dxa"/>
          </w:tcPr>
          <w:p w14:paraId="7DE26F37"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39.0±10.0</w:t>
            </w:r>
          </w:p>
        </w:tc>
      </w:tr>
      <w:tr w:rsidR="00050D0C" w:rsidRPr="001939D1" w14:paraId="17C66A93" w14:textId="77777777" w:rsidTr="00035253">
        <w:tc>
          <w:tcPr>
            <w:tcW w:w="1755" w:type="dxa"/>
          </w:tcPr>
          <w:p w14:paraId="6EA433D5"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Gender</w:t>
            </w:r>
          </w:p>
        </w:tc>
        <w:tc>
          <w:tcPr>
            <w:tcW w:w="1728" w:type="dxa"/>
          </w:tcPr>
          <w:p w14:paraId="2C656F23" w14:textId="77777777" w:rsidR="00050D0C" w:rsidRPr="001939D1" w:rsidRDefault="00050D0C" w:rsidP="00B86FBD">
            <w:pPr>
              <w:rPr>
                <w:rFonts w:asciiTheme="majorBidi" w:hAnsiTheme="majorBidi" w:cstheme="majorBidi"/>
                <w:sz w:val="20"/>
                <w:szCs w:val="20"/>
              </w:rPr>
            </w:pPr>
          </w:p>
        </w:tc>
        <w:tc>
          <w:tcPr>
            <w:tcW w:w="1728" w:type="dxa"/>
          </w:tcPr>
          <w:p w14:paraId="4A6555D3" w14:textId="77777777" w:rsidR="00050D0C" w:rsidRPr="001939D1" w:rsidRDefault="00050D0C" w:rsidP="00B86FBD">
            <w:pPr>
              <w:rPr>
                <w:rFonts w:asciiTheme="majorBidi" w:hAnsiTheme="majorBidi" w:cstheme="majorBidi"/>
                <w:sz w:val="20"/>
                <w:szCs w:val="20"/>
              </w:rPr>
            </w:pPr>
          </w:p>
        </w:tc>
        <w:tc>
          <w:tcPr>
            <w:tcW w:w="1728" w:type="dxa"/>
          </w:tcPr>
          <w:p w14:paraId="2C9A5DC4" w14:textId="77777777" w:rsidR="00050D0C" w:rsidRPr="001939D1" w:rsidRDefault="00050D0C" w:rsidP="00B86FBD">
            <w:pPr>
              <w:rPr>
                <w:rFonts w:asciiTheme="majorBidi" w:hAnsiTheme="majorBidi" w:cstheme="majorBidi"/>
                <w:sz w:val="20"/>
                <w:szCs w:val="20"/>
              </w:rPr>
            </w:pPr>
          </w:p>
        </w:tc>
        <w:tc>
          <w:tcPr>
            <w:tcW w:w="1728" w:type="dxa"/>
          </w:tcPr>
          <w:p w14:paraId="390BE113" w14:textId="77777777" w:rsidR="00050D0C" w:rsidRPr="001939D1" w:rsidRDefault="00050D0C" w:rsidP="00B86FBD">
            <w:pPr>
              <w:rPr>
                <w:rFonts w:asciiTheme="majorBidi" w:hAnsiTheme="majorBidi" w:cstheme="majorBidi"/>
                <w:sz w:val="20"/>
                <w:szCs w:val="20"/>
              </w:rPr>
            </w:pPr>
          </w:p>
        </w:tc>
      </w:tr>
      <w:tr w:rsidR="00050D0C" w:rsidRPr="001939D1" w14:paraId="022246E3" w14:textId="77777777" w:rsidTr="00035253">
        <w:tc>
          <w:tcPr>
            <w:tcW w:w="1755" w:type="dxa"/>
          </w:tcPr>
          <w:p w14:paraId="31F3469F"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Male</w:t>
            </w:r>
          </w:p>
        </w:tc>
        <w:tc>
          <w:tcPr>
            <w:tcW w:w="1728" w:type="dxa"/>
          </w:tcPr>
          <w:p w14:paraId="5CE90499"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45 (50.0%)</w:t>
            </w:r>
          </w:p>
        </w:tc>
        <w:tc>
          <w:tcPr>
            <w:tcW w:w="1728" w:type="dxa"/>
          </w:tcPr>
          <w:p w14:paraId="72623C51"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50 (55.6%)</w:t>
            </w:r>
          </w:p>
        </w:tc>
        <w:tc>
          <w:tcPr>
            <w:tcW w:w="1728" w:type="dxa"/>
          </w:tcPr>
          <w:p w14:paraId="3DB0EE5B"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48 (53.3%)</w:t>
            </w:r>
          </w:p>
        </w:tc>
        <w:tc>
          <w:tcPr>
            <w:tcW w:w="1728" w:type="dxa"/>
          </w:tcPr>
          <w:p w14:paraId="47B4E782"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24 (26.7%)</w:t>
            </w:r>
          </w:p>
        </w:tc>
      </w:tr>
      <w:tr w:rsidR="00050D0C" w:rsidRPr="001939D1" w14:paraId="423EE66A" w14:textId="77777777" w:rsidTr="00035253">
        <w:tc>
          <w:tcPr>
            <w:tcW w:w="1755" w:type="dxa"/>
          </w:tcPr>
          <w:p w14:paraId="78063213"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Female</w:t>
            </w:r>
          </w:p>
        </w:tc>
        <w:tc>
          <w:tcPr>
            <w:tcW w:w="1728" w:type="dxa"/>
          </w:tcPr>
          <w:p w14:paraId="20BC0B47"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45(50.0%)</w:t>
            </w:r>
          </w:p>
        </w:tc>
        <w:tc>
          <w:tcPr>
            <w:tcW w:w="1728" w:type="dxa"/>
          </w:tcPr>
          <w:p w14:paraId="69095D76"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40 (44.4%)</w:t>
            </w:r>
          </w:p>
        </w:tc>
        <w:tc>
          <w:tcPr>
            <w:tcW w:w="1728" w:type="dxa"/>
          </w:tcPr>
          <w:p w14:paraId="27535A53"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42 (46.7%)</w:t>
            </w:r>
          </w:p>
        </w:tc>
        <w:tc>
          <w:tcPr>
            <w:tcW w:w="1728" w:type="dxa"/>
          </w:tcPr>
          <w:p w14:paraId="43BCEF8E"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66 (73.3%)</w:t>
            </w:r>
          </w:p>
        </w:tc>
      </w:tr>
      <w:tr w:rsidR="00050D0C" w:rsidRPr="001939D1" w14:paraId="797DF64F" w14:textId="77777777" w:rsidTr="00035253">
        <w:tc>
          <w:tcPr>
            <w:tcW w:w="1755" w:type="dxa"/>
          </w:tcPr>
          <w:p w14:paraId="021A4375"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Residence</w:t>
            </w:r>
          </w:p>
        </w:tc>
        <w:tc>
          <w:tcPr>
            <w:tcW w:w="1728" w:type="dxa"/>
          </w:tcPr>
          <w:p w14:paraId="449A95E7" w14:textId="77777777" w:rsidR="00050D0C" w:rsidRPr="001939D1" w:rsidRDefault="00050D0C" w:rsidP="00B86FBD">
            <w:pPr>
              <w:rPr>
                <w:rFonts w:asciiTheme="majorBidi" w:hAnsiTheme="majorBidi" w:cstheme="majorBidi"/>
                <w:sz w:val="20"/>
                <w:szCs w:val="20"/>
              </w:rPr>
            </w:pPr>
          </w:p>
        </w:tc>
        <w:tc>
          <w:tcPr>
            <w:tcW w:w="1728" w:type="dxa"/>
          </w:tcPr>
          <w:p w14:paraId="797593D0" w14:textId="77777777" w:rsidR="00050D0C" w:rsidRPr="001939D1" w:rsidRDefault="00050D0C" w:rsidP="00B86FBD">
            <w:pPr>
              <w:rPr>
                <w:rFonts w:asciiTheme="majorBidi" w:hAnsiTheme="majorBidi" w:cstheme="majorBidi"/>
                <w:sz w:val="20"/>
                <w:szCs w:val="20"/>
              </w:rPr>
            </w:pPr>
          </w:p>
        </w:tc>
        <w:tc>
          <w:tcPr>
            <w:tcW w:w="1728" w:type="dxa"/>
          </w:tcPr>
          <w:p w14:paraId="2EB47BB0" w14:textId="77777777" w:rsidR="00050D0C" w:rsidRPr="001939D1" w:rsidRDefault="00050D0C" w:rsidP="00B86FBD">
            <w:pPr>
              <w:rPr>
                <w:rFonts w:asciiTheme="majorBidi" w:hAnsiTheme="majorBidi" w:cstheme="majorBidi"/>
                <w:sz w:val="20"/>
                <w:szCs w:val="20"/>
              </w:rPr>
            </w:pPr>
          </w:p>
        </w:tc>
        <w:tc>
          <w:tcPr>
            <w:tcW w:w="1728" w:type="dxa"/>
          </w:tcPr>
          <w:p w14:paraId="5CF9E2C8" w14:textId="77777777" w:rsidR="00050D0C" w:rsidRPr="001939D1" w:rsidRDefault="00050D0C" w:rsidP="00B86FBD">
            <w:pPr>
              <w:rPr>
                <w:rFonts w:asciiTheme="majorBidi" w:hAnsiTheme="majorBidi" w:cstheme="majorBidi"/>
                <w:sz w:val="20"/>
                <w:szCs w:val="20"/>
              </w:rPr>
            </w:pPr>
          </w:p>
        </w:tc>
      </w:tr>
      <w:tr w:rsidR="00050D0C" w:rsidRPr="001939D1" w14:paraId="70CCCC73" w14:textId="77777777" w:rsidTr="00035253">
        <w:tc>
          <w:tcPr>
            <w:tcW w:w="1755" w:type="dxa"/>
          </w:tcPr>
          <w:p w14:paraId="705F24DD"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Rural</w:t>
            </w:r>
          </w:p>
        </w:tc>
        <w:tc>
          <w:tcPr>
            <w:tcW w:w="1728" w:type="dxa"/>
          </w:tcPr>
          <w:p w14:paraId="0D162F58"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21 (26.7%)</w:t>
            </w:r>
          </w:p>
        </w:tc>
        <w:tc>
          <w:tcPr>
            <w:tcW w:w="1728" w:type="dxa"/>
          </w:tcPr>
          <w:p w14:paraId="2722FC97"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17 (18.9%)</w:t>
            </w:r>
          </w:p>
        </w:tc>
        <w:tc>
          <w:tcPr>
            <w:tcW w:w="1728" w:type="dxa"/>
          </w:tcPr>
          <w:p w14:paraId="0440FA7C"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17 (18.9%)</w:t>
            </w:r>
          </w:p>
        </w:tc>
        <w:tc>
          <w:tcPr>
            <w:tcW w:w="1728" w:type="dxa"/>
          </w:tcPr>
          <w:p w14:paraId="4BD6216A"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17 (18.9%)</w:t>
            </w:r>
          </w:p>
        </w:tc>
      </w:tr>
    </w:tbl>
    <w:p w14:paraId="69F342F2" w14:textId="5C49F135" w:rsidR="00050D0C" w:rsidRPr="001939D1" w:rsidRDefault="00050D0C" w:rsidP="00B86FBD">
      <w:pPr>
        <w:pStyle w:val="Heading2"/>
        <w:rPr>
          <w:rFonts w:eastAsia="MS Gothic"/>
        </w:rPr>
      </w:pPr>
      <w:r w:rsidRPr="001939D1">
        <w:rPr>
          <w:rFonts w:eastAsia="MS Gothic"/>
        </w:rPr>
        <w:t>Inflammatory Markers Analysis</w:t>
      </w:r>
    </w:p>
    <w:p w14:paraId="345C25FE" w14:textId="1871BB04" w:rsidR="00050D0C" w:rsidRPr="001939D1" w:rsidRDefault="00050D0C" w:rsidP="00B86FBD">
      <w:pPr>
        <w:jc w:val="both"/>
        <w:rPr>
          <w:rFonts w:asciiTheme="majorBidi" w:hAnsiTheme="majorBidi" w:cstheme="majorBidi"/>
          <w:sz w:val="20"/>
        </w:rPr>
      </w:pPr>
      <w:r w:rsidRPr="001939D1">
        <w:rPr>
          <w:rFonts w:asciiTheme="majorBidi" w:hAnsiTheme="majorBidi" w:cstheme="majorBidi"/>
          <w:sz w:val="20"/>
        </w:rPr>
        <w:t xml:space="preserve">The research groups' levels of TNF-α and CRP increased gradually, according to the examination of inflammatory markers. Compared to diabetic patients without nephropathy (6.84±1.99 mg/L), nephropathy patients without diabetes (9.45±2.61 mg/L), and healthy controls (4.48±1.58 mg/L), diabetic patients with nephropathy had significantly higher CRP levels (14.27±4.01 mg/L) (p&lt;0.001). </w:t>
      </w:r>
      <w:r w:rsidRPr="001939D1">
        <w:rPr>
          <w:rFonts w:asciiTheme="majorBidi" w:hAnsiTheme="majorBidi" w:cstheme="majorBidi"/>
          <w:sz w:val="20"/>
        </w:rPr>
        <w:br/>
        <w:t xml:space="preserve">Likewise, TNF-α levels were significantly higher in the group with diabetic nephropathy (204.13±86.17 </w:t>
      </w:r>
      <w:proofErr w:type="spellStart"/>
      <w:r w:rsidRPr="001939D1">
        <w:rPr>
          <w:rFonts w:asciiTheme="majorBidi" w:hAnsiTheme="majorBidi" w:cstheme="majorBidi"/>
          <w:sz w:val="20"/>
        </w:rPr>
        <w:t>pg</w:t>
      </w:r>
      <w:proofErr w:type="spellEnd"/>
      <w:r w:rsidRPr="001939D1">
        <w:rPr>
          <w:rFonts w:asciiTheme="majorBidi" w:hAnsiTheme="majorBidi" w:cstheme="majorBidi"/>
          <w:sz w:val="20"/>
        </w:rPr>
        <w:t xml:space="preserve">/mL) than in any other group. In comparison to controls (32.28±13.97 </w:t>
      </w:r>
      <w:proofErr w:type="spellStart"/>
      <w:r w:rsidRPr="001939D1">
        <w:rPr>
          <w:rFonts w:asciiTheme="majorBidi" w:hAnsiTheme="majorBidi" w:cstheme="majorBidi"/>
          <w:sz w:val="20"/>
        </w:rPr>
        <w:t>pg</w:t>
      </w:r>
      <w:proofErr w:type="spellEnd"/>
      <w:r w:rsidRPr="001939D1">
        <w:rPr>
          <w:rFonts w:asciiTheme="majorBidi" w:hAnsiTheme="majorBidi" w:cstheme="majorBidi"/>
          <w:sz w:val="20"/>
        </w:rPr>
        <w:t xml:space="preserve">/mL), the diabetes group had moderately raised TNF-α levels (84.21±25.36 </w:t>
      </w:r>
      <w:proofErr w:type="spellStart"/>
      <w:r w:rsidRPr="001939D1">
        <w:rPr>
          <w:rFonts w:asciiTheme="majorBidi" w:hAnsiTheme="majorBidi" w:cstheme="majorBidi"/>
          <w:sz w:val="20"/>
        </w:rPr>
        <w:t>pg</w:t>
      </w:r>
      <w:proofErr w:type="spellEnd"/>
      <w:r w:rsidRPr="001939D1">
        <w:rPr>
          <w:rFonts w:asciiTheme="majorBidi" w:hAnsiTheme="majorBidi" w:cstheme="majorBidi"/>
          <w:sz w:val="20"/>
        </w:rPr>
        <w:t xml:space="preserve">/mL), while the nephropathy group had intermediate elevation (159.41±71.03 </w:t>
      </w:r>
      <w:proofErr w:type="spellStart"/>
      <w:r w:rsidRPr="001939D1">
        <w:rPr>
          <w:rFonts w:asciiTheme="majorBidi" w:hAnsiTheme="majorBidi" w:cstheme="majorBidi"/>
          <w:sz w:val="20"/>
        </w:rPr>
        <w:t>pg</w:t>
      </w:r>
      <w:proofErr w:type="spellEnd"/>
      <w:r w:rsidRPr="001939D1">
        <w:rPr>
          <w:rFonts w:asciiTheme="majorBidi" w:hAnsiTheme="majorBidi" w:cstheme="majorBidi"/>
          <w:sz w:val="20"/>
        </w:rPr>
        <w:t>/mL).</w:t>
      </w:r>
    </w:p>
    <w:p w14:paraId="4E2A4036" w14:textId="77777777" w:rsidR="00050D0C" w:rsidRPr="001939D1" w:rsidRDefault="00050D0C" w:rsidP="00B86FBD">
      <w:pPr>
        <w:rPr>
          <w:rFonts w:asciiTheme="majorBidi" w:hAnsiTheme="majorBidi" w:cstheme="majorBidi"/>
          <w:sz w:val="20"/>
        </w:rPr>
      </w:pPr>
    </w:p>
    <w:p w14:paraId="26221A4B" w14:textId="7F010076" w:rsidR="00847FB2" w:rsidRPr="001939D1" w:rsidRDefault="00F54630" w:rsidP="00B86FBD">
      <w:pPr>
        <w:pStyle w:val="TableCaption"/>
        <w:spacing w:before="0"/>
      </w:pPr>
      <w:r w:rsidRPr="00F54630">
        <w:rPr>
          <w:b/>
          <w:bCs/>
        </w:rPr>
        <w:t>TABLE 2.</w:t>
      </w:r>
      <w:r w:rsidRPr="001939D1">
        <w:t xml:space="preserve"> </w:t>
      </w:r>
      <w:r w:rsidR="00050D0C" w:rsidRPr="001939D1">
        <w:t>Distribution of Study Participants by CKD Stage Based on eGFR</w:t>
      </w:r>
    </w:p>
    <w:tbl>
      <w:tblPr>
        <w:tblStyle w:val="TableGrid"/>
        <w:tblW w:w="0" w:type="auto"/>
        <w:tblLook w:val="04A0" w:firstRow="1" w:lastRow="0" w:firstColumn="1" w:lastColumn="0" w:noHBand="0" w:noVBand="1"/>
      </w:tblPr>
      <w:tblGrid>
        <w:gridCol w:w="1080"/>
        <w:gridCol w:w="1615"/>
        <w:gridCol w:w="1143"/>
        <w:gridCol w:w="1261"/>
        <w:gridCol w:w="1261"/>
        <w:gridCol w:w="1135"/>
        <w:gridCol w:w="1135"/>
      </w:tblGrid>
      <w:tr w:rsidR="00050D0C" w:rsidRPr="001939D1" w14:paraId="6AA94B29" w14:textId="77777777" w:rsidTr="00035253">
        <w:tc>
          <w:tcPr>
            <w:tcW w:w="1234" w:type="dxa"/>
            <w:tcBorders>
              <w:top w:val="single" w:sz="4" w:space="0" w:color="auto"/>
              <w:left w:val="single" w:sz="4" w:space="0" w:color="auto"/>
              <w:bottom w:val="single" w:sz="4" w:space="0" w:color="auto"/>
              <w:right w:val="single" w:sz="4" w:space="0" w:color="auto"/>
            </w:tcBorders>
            <w:hideMark/>
          </w:tcPr>
          <w:p w14:paraId="613F00E5"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CKD Stage</w:t>
            </w:r>
          </w:p>
        </w:tc>
        <w:tc>
          <w:tcPr>
            <w:tcW w:w="1234" w:type="dxa"/>
            <w:tcBorders>
              <w:top w:val="single" w:sz="4" w:space="0" w:color="auto"/>
              <w:left w:val="single" w:sz="4" w:space="0" w:color="auto"/>
              <w:bottom w:val="single" w:sz="4" w:space="0" w:color="auto"/>
              <w:right w:val="single" w:sz="4" w:space="0" w:color="auto"/>
            </w:tcBorders>
            <w:hideMark/>
          </w:tcPr>
          <w:p w14:paraId="49123260"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eGFR Range (mL/min/1.73m²)</w:t>
            </w:r>
          </w:p>
        </w:tc>
        <w:tc>
          <w:tcPr>
            <w:tcW w:w="1234" w:type="dxa"/>
            <w:tcBorders>
              <w:top w:val="single" w:sz="4" w:space="0" w:color="auto"/>
              <w:left w:val="single" w:sz="4" w:space="0" w:color="auto"/>
              <w:bottom w:val="single" w:sz="4" w:space="0" w:color="auto"/>
              <w:right w:val="single" w:sz="4" w:space="0" w:color="auto"/>
            </w:tcBorders>
            <w:hideMark/>
          </w:tcPr>
          <w:p w14:paraId="5A2356E7"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Diabetic (n=90)</w:t>
            </w:r>
          </w:p>
        </w:tc>
        <w:tc>
          <w:tcPr>
            <w:tcW w:w="1234" w:type="dxa"/>
            <w:tcBorders>
              <w:top w:val="single" w:sz="4" w:space="0" w:color="auto"/>
              <w:left w:val="single" w:sz="4" w:space="0" w:color="auto"/>
              <w:bottom w:val="single" w:sz="4" w:space="0" w:color="auto"/>
              <w:right w:val="single" w:sz="4" w:space="0" w:color="auto"/>
            </w:tcBorders>
            <w:hideMark/>
          </w:tcPr>
          <w:p w14:paraId="18C9C771"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Nephropathy (n=90)</w:t>
            </w:r>
          </w:p>
        </w:tc>
        <w:tc>
          <w:tcPr>
            <w:tcW w:w="1234" w:type="dxa"/>
            <w:tcBorders>
              <w:top w:val="single" w:sz="4" w:space="0" w:color="auto"/>
              <w:left w:val="single" w:sz="4" w:space="0" w:color="auto"/>
              <w:bottom w:val="single" w:sz="4" w:space="0" w:color="auto"/>
              <w:right w:val="single" w:sz="4" w:space="0" w:color="auto"/>
            </w:tcBorders>
            <w:hideMark/>
          </w:tcPr>
          <w:p w14:paraId="0FF506A1"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Diabetes with Nephropathy (n=90)</w:t>
            </w:r>
          </w:p>
        </w:tc>
        <w:tc>
          <w:tcPr>
            <w:tcW w:w="1234" w:type="dxa"/>
            <w:tcBorders>
              <w:top w:val="single" w:sz="4" w:space="0" w:color="auto"/>
              <w:left w:val="single" w:sz="4" w:space="0" w:color="auto"/>
              <w:bottom w:val="single" w:sz="4" w:space="0" w:color="auto"/>
              <w:right w:val="single" w:sz="4" w:space="0" w:color="auto"/>
            </w:tcBorders>
            <w:hideMark/>
          </w:tcPr>
          <w:p w14:paraId="460C1A64"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Control (n=90)</w:t>
            </w:r>
          </w:p>
        </w:tc>
        <w:tc>
          <w:tcPr>
            <w:tcW w:w="1234" w:type="dxa"/>
            <w:tcBorders>
              <w:top w:val="single" w:sz="4" w:space="0" w:color="auto"/>
              <w:left w:val="single" w:sz="4" w:space="0" w:color="auto"/>
              <w:bottom w:val="single" w:sz="4" w:space="0" w:color="auto"/>
              <w:right w:val="single" w:sz="4" w:space="0" w:color="auto"/>
            </w:tcBorders>
            <w:hideMark/>
          </w:tcPr>
          <w:p w14:paraId="595D483E"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Total (n=360)</w:t>
            </w:r>
          </w:p>
        </w:tc>
      </w:tr>
      <w:tr w:rsidR="00050D0C" w:rsidRPr="001939D1" w14:paraId="7380006C" w14:textId="77777777" w:rsidTr="00035253">
        <w:tc>
          <w:tcPr>
            <w:tcW w:w="1234" w:type="dxa"/>
            <w:tcBorders>
              <w:top w:val="single" w:sz="4" w:space="0" w:color="auto"/>
              <w:left w:val="single" w:sz="4" w:space="0" w:color="auto"/>
              <w:bottom w:val="single" w:sz="4" w:space="0" w:color="auto"/>
              <w:right w:val="single" w:sz="4" w:space="0" w:color="auto"/>
            </w:tcBorders>
            <w:hideMark/>
          </w:tcPr>
          <w:p w14:paraId="7BB55F86"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Stage 1</w:t>
            </w:r>
          </w:p>
        </w:tc>
        <w:tc>
          <w:tcPr>
            <w:tcW w:w="1234" w:type="dxa"/>
            <w:tcBorders>
              <w:top w:val="single" w:sz="4" w:space="0" w:color="auto"/>
              <w:left w:val="single" w:sz="4" w:space="0" w:color="auto"/>
              <w:bottom w:val="single" w:sz="4" w:space="0" w:color="auto"/>
              <w:right w:val="single" w:sz="4" w:space="0" w:color="auto"/>
            </w:tcBorders>
            <w:hideMark/>
          </w:tcPr>
          <w:p w14:paraId="781E8CA4"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≥90</w:t>
            </w:r>
          </w:p>
        </w:tc>
        <w:tc>
          <w:tcPr>
            <w:tcW w:w="1234" w:type="dxa"/>
            <w:tcBorders>
              <w:top w:val="single" w:sz="4" w:space="0" w:color="auto"/>
              <w:left w:val="single" w:sz="4" w:space="0" w:color="auto"/>
              <w:bottom w:val="single" w:sz="4" w:space="0" w:color="auto"/>
              <w:right w:val="single" w:sz="4" w:space="0" w:color="auto"/>
            </w:tcBorders>
            <w:hideMark/>
          </w:tcPr>
          <w:p w14:paraId="47065E3F"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45 (50.0%)</w:t>
            </w:r>
          </w:p>
        </w:tc>
        <w:tc>
          <w:tcPr>
            <w:tcW w:w="1234" w:type="dxa"/>
            <w:tcBorders>
              <w:top w:val="single" w:sz="4" w:space="0" w:color="auto"/>
              <w:left w:val="single" w:sz="4" w:space="0" w:color="auto"/>
              <w:bottom w:val="single" w:sz="4" w:space="0" w:color="auto"/>
              <w:right w:val="single" w:sz="4" w:space="0" w:color="auto"/>
            </w:tcBorders>
            <w:hideMark/>
          </w:tcPr>
          <w:p w14:paraId="5A5A7BAA"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15 (16.7%)</w:t>
            </w:r>
          </w:p>
        </w:tc>
        <w:tc>
          <w:tcPr>
            <w:tcW w:w="1234" w:type="dxa"/>
            <w:tcBorders>
              <w:top w:val="single" w:sz="4" w:space="0" w:color="auto"/>
              <w:left w:val="single" w:sz="4" w:space="0" w:color="auto"/>
              <w:bottom w:val="single" w:sz="4" w:space="0" w:color="auto"/>
              <w:right w:val="single" w:sz="4" w:space="0" w:color="auto"/>
            </w:tcBorders>
            <w:hideMark/>
          </w:tcPr>
          <w:p w14:paraId="5C470E5C"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8 (8.9%)</w:t>
            </w:r>
          </w:p>
        </w:tc>
        <w:tc>
          <w:tcPr>
            <w:tcW w:w="1234" w:type="dxa"/>
            <w:tcBorders>
              <w:top w:val="single" w:sz="4" w:space="0" w:color="auto"/>
              <w:left w:val="single" w:sz="4" w:space="0" w:color="auto"/>
              <w:bottom w:val="single" w:sz="4" w:space="0" w:color="auto"/>
              <w:right w:val="single" w:sz="4" w:space="0" w:color="auto"/>
            </w:tcBorders>
            <w:hideMark/>
          </w:tcPr>
          <w:p w14:paraId="2CFEC4F4"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85 (94.4%)</w:t>
            </w:r>
          </w:p>
        </w:tc>
        <w:tc>
          <w:tcPr>
            <w:tcW w:w="1234" w:type="dxa"/>
            <w:tcBorders>
              <w:top w:val="single" w:sz="4" w:space="0" w:color="auto"/>
              <w:left w:val="single" w:sz="4" w:space="0" w:color="auto"/>
              <w:bottom w:val="single" w:sz="4" w:space="0" w:color="auto"/>
              <w:right w:val="single" w:sz="4" w:space="0" w:color="auto"/>
            </w:tcBorders>
            <w:hideMark/>
          </w:tcPr>
          <w:p w14:paraId="44D67CD6"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153 (42.5%)</w:t>
            </w:r>
          </w:p>
        </w:tc>
      </w:tr>
      <w:tr w:rsidR="00050D0C" w:rsidRPr="001939D1" w14:paraId="704BCC03" w14:textId="77777777" w:rsidTr="00035253">
        <w:tc>
          <w:tcPr>
            <w:tcW w:w="1234" w:type="dxa"/>
            <w:tcBorders>
              <w:top w:val="single" w:sz="4" w:space="0" w:color="auto"/>
              <w:left w:val="single" w:sz="4" w:space="0" w:color="auto"/>
              <w:bottom w:val="single" w:sz="4" w:space="0" w:color="auto"/>
              <w:right w:val="single" w:sz="4" w:space="0" w:color="auto"/>
            </w:tcBorders>
            <w:hideMark/>
          </w:tcPr>
          <w:p w14:paraId="109D118B"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Stage 2</w:t>
            </w:r>
          </w:p>
        </w:tc>
        <w:tc>
          <w:tcPr>
            <w:tcW w:w="1234" w:type="dxa"/>
            <w:tcBorders>
              <w:top w:val="single" w:sz="4" w:space="0" w:color="auto"/>
              <w:left w:val="single" w:sz="4" w:space="0" w:color="auto"/>
              <w:bottom w:val="single" w:sz="4" w:space="0" w:color="auto"/>
              <w:right w:val="single" w:sz="4" w:space="0" w:color="auto"/>
            </w:tcBorders>
            <w:hideMark/>
          </w:tcPr>
          <w:p w14:paraId="74B6C0F5"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60-89</w:t>
            </w:r>
          </w:p>
        </w:tc>
        <w:tc>
          <w:tcPr>
            <w:tcW w:w="1234" w:type="dxa"/>
            <w:tcBorders>
              <w:top w:val="single" w:sz="4" w:space="0" w:color="auto"/>
              <w:left w:val="single" w:sz="4" w:space="0" w:color="auto"/>
              <w:bottom w:val="single" w:sz="4" w:space="0" w:color="auto"/>
              <w:right w:val="single" w:sz="4" w:space="0" w:color="auto"/>
            </w:tcBorders>
            <w:hideMark/>
          </w:tcPr>
          <w:p w14:paraId="22157170"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35 (38.9%)</w:t>
            </w:r>
          </w:p>
        </w:tc>
        <w:tc>
          <w:tcPr>
            <w:tcW w:w="1234" w:type="dxa"/>
            <w:tcBorders>
              <w:top w:val="single" w:sz="4" w:space="0" w:color="auto"/>
              <w:left w:val="single" w:sz="4" w:space="0" w:color="auto"/>
              <w:bottom w:val="single" w:sz="4" w:space="0" w:color="auto"/>
              <w:right w:val="single" w:sz="4" w:space="0" w:color="auto"/>
            </w:tcBorders>
            <w:hideMark/>
          </w:tcPr>
          <w:p w14:paraId="2BADA809"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25 (27.8%)</w:t>
            </w:r>
          </w:p>
        </w:tc>
        <w:tc>
          <w:tcPr>
            <w:tcW w:w="1234" w:type="dxa"/>
            <w:tcBorders>
              <w:top w:val="single" w:sz="4" w:space="0" w:color="auto"/>
              <w:left w:val="single" w:sz="4" w:space="0" w:color="auto"/>
              <w:bottom w:val="single" w:sz="4" w:space="0" w:color="auto"/>
              <w:right w:val="single" w:sz="4" w:space="0" w:color="auto"/>
            </w:tcBorders>
            <w:hideMark/>
          </w:tcPr>
          <w:p w14:paraId="40142CA6"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15 (16.7%)</w:t>
            </w:r>
          </w:p>
        </w:tc>
        <w:tc>
          <w:tcPr>
            <w:tcW w:w="1234" w:type="dxa"/>
            <w:tcBorders>
              <w:top w:val="single" w:sz="4" w:space="0" w:color="auto"/>
              <w:left w:val="single" w:sz="4" w:space="0" w:color="auto"/>
              <w:bottom w:val="single" w:sz="4" w:space="0" w:color="auto"/>
              <w:right w:val="single" w:sz="4" w:space="0" w:color="auto"/>
            </w:tcBorders>
            <w:hideMark/>
          </w:tcPr>
          <w:p w14:paraId="6101ABCD"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5 (5.6%)</w:t>
            </w:r>
          </w:p>
        </w:tc>
        <w:tc>
          <w:tcPr>
            <w:tcW w:w="1234" w:type="dxa"/>
            <w:tcBorders>
              <w:top w:val="single" w:sz="4" w:space="0" w:color="auto"/>
              <w:left w:val="single" w:sz="4" w:space="0" w:color="auto"/>
              <w:bottom w:val="single" w:sz="4" w:space="0" w:color="auto"/>
              <w:right w:val="single" w:sz="4" w:space="0" w:color="auto"/>
            </w:tcBorders>
            <w:hideMark/>
          </w:tcPr>
          <w:p w14:paraId="1828CCF7"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80 (22.2%)</w:t>
            </w:r>
          </w:p>
        </w:tc>
      </w:tr>
      <w:tr w:rsidR="00050D0C" w:rsidRPr="001939D1" w14:paraId="33AFA47A" w14:textId="77777777" w:rsidTr="00035253">
        <w:tc>
          <w:tcPr>
            <w:tcW w:w="1234" w:type="dxa"/>
            <w:tcBorders>
              <w:top w:val="single" w:sz="4" w:space="0" w:color="auto"/>
              <w:left w:val="single" w:sz="4" w:space="0" w:color="auto"/>
              <w:bottom w:val="single" w:sz="4" w:space="0" w:color="auto"/>
              <w:right w:val="single" w:sz="4" w:space="0" w:color="auto"/>
            </w:tcBorders>
            <w:hideMark/>
          </w:tcPr>
          <w:p w14:paraId="26DE7658"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Stage 3a</w:t>
            </w:r>
          </w:p>
        </w:tc>
        <w:tc>
          <w:tcPr>
            <w:tcW w:w="1234" w:type="dxa"/>
            <w:tcBorders>
              <w:top w:val="single" w:sz="4" w:space="0" w:color="auto"/>
              <w:left w:val="single" w:sz="4" w:space="0" w:color="auto"/>
              <w:bottom w:val="single" w:sz="4" w:space="0" w:color="auto"/>
              <w:right w:val="single" w:sz="4" w:space="0" w:color="auto"/>
            </w:tcBorders>
            <w:hideMark/>
          </w:tcPr>
          <w:p w14:paraId="3F6ECD22"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45-59</w:t>
            </w:r>
          </w:p>
        </w:tc>
        <w:tc>
          <w:tcPr>
            <w:tcW w:w="1234" w:type="dxa"/>
            <w:tcBorders>
              <w:top w:val="single" w:sz="4" w:space="0" w:color="auto"/>
              <w:left w:val="single" w:sz="4" w:space="0" w:color="auto"/>
              <w:bottom w:val="single" w:sz="4" w:space="0" w:color="auto"/>
              <w:right w:val="single" w:sz="4" w:space="0" w:color="auto"/>
            </w:tcBorders>
            <w:hideMark/>
          </w:tcPr>
          <w:p w14:paraId="18C06FEA"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8 (8.9%)</w:t>
            </w:r>
          </w:p>
        </w:tc>
        <w:tc>
          <w:tcPr>
            <w:tcW w:w="1234" w:type="dxa"/>
            <w:tcBorders>
              <w:top w:val="single" w:sz="4" w:space="0" w:color="auto"/>
              <w:left w:val="single" w:sz="4" w:space="0" w:color="auto"/>
              <w:bottom w:val="single" w:sz="4" w:space="0" w:color="auto"/>
              <w:right w:val="single" w:sz="4" w:space="0" w:color="auto"/>
            </w:tcBorders>
            <w:hideMark/>
          </w:tcPr>
          <w:p w14:paraId="29922054"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30 (33.3%)</w:t>
            </w:r>
          </w:p>
        </w:tc>
        <w:tc>
          <w:tcPr>
            <w:tcW w:w="1234" w:type="dxa"/>
            <w:tcBorders>
              <w:top w:val="single" w:sz="4" w:space="0" w:color="auto"/>
              <w:left w:val="single" w:sz="4" w:space="0" w:color="auto"/>
              <w:bottom w:val="single" w:sz="4" w:space="0" w:color="auto"/>
              <w:right w:val="single" w:sz="4" w:space="0" w:color="auto"/>
            </w:tcBorders>
            <w:hideMark/>
          </w:tcPr>
          <w:p w14:paraId="65EEF275"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25 (27.8%)</w:t>
            </w:r>
          </w:p>
        </w:tc>
        <w:tc>
          <w:tcPr>
            <w:tcW w:w="1234" w:type="dxa"/>
            <w:tcBorders>
              <w:top w:val="single" w:sz="4" w:space="0" w:color="auto"/>
              <w:left w:val="single" w:sz="4" w:space="0" w:color="auto"/>
              <w:bottom w:val="single" w:sz="4" w:space="0" w:color="auto"/>
              <w:right w:val="single" w:sz="4" w:space="0" w:color="auto"/>
            </w:tcBorders>
            <w:hideMark/>
          </w:tcPr>
          <w:p w14:paraId="1AD85856"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0 (0.0%)</w:t>
            </w:r>
          </w:p>
        </w:tc>
        <w:tc>
          <w:tcPr>
            <w:tcW w:w="1234" w:type="dxa"/>
            <w:tcBorders>
              <w:top w:val="single" w:sz="4" w:space="0" w:color="auto"/>
              <w:left w:val="single" w:sz="4" w:space="0" w:color="auto"/>
              <w:bottom w:val="single" w:sz="4" w:space="0" w:color="auto"/>
              <w:right w:val="single" w:sz="4" w:space="0" w:color="auto"/>
            </w:tcBorders>
            <w:hideMark/>
          </w:tcPr>
          <w:p w14:paraId="78C188F2"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63 (17.5%)</w:t>
            </w:r>
          </w:p>
        </w:tc>
      </w:tr>
      <w:tr w:rsidR="00050D0C" w:rsidRPr="001939D1" w14:paraId="3DD2283C" w14:textId="77777777" w:rsidTr="00035253">
        <w:tc>
          <w:tcPr>
            <w:tcW w:w="1234" w:type="dxa"/>
            <w:tcBorders>
              <w:top w:val="single" w:sz="4" w:space="0" w:color="auto"/>
              <w:left w:val="single" w:sz="4" w:space="0" w:color="auto"/>
              <w:bottom w:val="single" w:sz="4" w:space="0" w:color="auto"/>
              <w:right w:val="single" w:sz="4" w:space="0" w:color="auto"/>
            </w:tcBorders>
            <w:hideMark/>
          </w:tcPr>
          <w:p w14:paraId="744599D5"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Stage 3b</w:t>
            </w:r>
          </w:p>
        </w:tc>
        <w:tc>
          <w:tcPr>
            <w:tcW w:w="1234" w:type="dxa"/>
            <w:tcBorders>
              <w:top w:val="single" w:sz="4" w:space="0" w:color="auto"/>
              <w:left w:val="single" w:sz="4" w:space="0" w:color="auto"/>
              <w:bottom w:val="single" w:sz="4" w:space="0" w:color="auto"/>
              <w:right w:val="single" w:sz="4" w:space="0" w:color="auto"/>
            </w:tcBorders>
            <w:hideMark/>
          </w:tcPr>
          <w:p w14:paraId="2D2B8574"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30-44</w:t>
            </w:r>
          </w:p>
        </w:tc>
        <w:tc>
          <w:tcPr>
            <w:tcW w:w="1234" w:type="dxa"/>
            <w:tcBorders>
              <w:top w:val="single" w:sz="4" w:space="0" w:color="auto"/>
              <w:left w:val="single" w:sz="4" w:space="0" w:color="auto"/>
              <w:bottom w:val="single" w:sz="4" w:space="0" w:color="auto"/>
              <w:right w:val="single" w:sz="4" w:space="0" w:color="auto"/>
            </w:tcBorders>
            <w:hideMark/>
          </w:tcPr>
          <w:p w14:paraId="79AB7D64"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2 (2.2%)</w:t>
            </w:r>
          </w:p>
        </w:tc>
        <w:tc>
          <w:tcPr>
            <w:tcW w:w="1234" w:type="dxa"/>
            <w:tcBorders>
              <w:top w:val="single" w:sz="4" w:space="0" w:color="auto"/>
              <w:left w:val="single" w:sz="4" w:space="0" w:color="auto"/>
              <w:bottom w:val="single" w:sz="4" w:space="0" w:color="auto"/>
              <w:right w:val="single" w:sz="4" w:space="0" w:color="auto"/>
            </w:tcBorders>
            <w:hideMark/>
          </w:tcPr>
          <w:p w14:paraId="42F665C1"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15 (16.7%)</w:t>
            </w:r>
          </w:p>
        </w:tc>
        <w:tc>
          <w:tcPr>
            <w:tcW w:w="1234" w:type="dxa"/>
            <w:tcBorders>
              <w:top w:val="single" w:sz="4" w:space="0" w:color="auto"/>
              <w:left w:val="single" w:sz="4" w:space="0" w:color="auto"/>
              <w:bottom w:val="single" w:sz="4" w:space="0" w:color="auto"/>
              <w:right w:val="single" w:sz="4" w:space="0" w:color="auto"/>
            </w:tcBorders>
            <w:hideMark/>
          </w:tcPr>
          <w:p w14:paraId="01AA83D8"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28 (31.1%)</w:t>
            </w:r>
          </w:p>
        </w:tc>
        <w:tc>
          <w:tcPr>
            <w:tcW w:w="1234" w:type="dxa"/>
            <w:tcBorders>
              <w:top w:val="single" w:sz="4" w:space="0" w:color="auto"/>
              <w:left w:val="single" w:sz="4" w:space="0" w:color="auto"/>
              <w:bottom w:val="single" w:sz="4" w:space="0" w:color="auto"/>
              <w:right w:val="single" w:sz="4" w:space="0" w:color="auto"/>
            </w:tcBorders>
            <w:hideMark/>
          </w:tcPr>
          <w:p w14:paraId="0590AA13"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0 (0.0%)</w:t>
            </w:r>
          </w:p>
        </w:tc>
        <w:tc>
          <w:tcPr>
            <w:tcW w:w="1234" w:type="dxa"/>
            <w:tcBorders>
              <w:top w:val="single" w:sz="4" w:space="0" w:color="auto"/>
              <w:left w:val="single" w:sz="4" w:space="0" w:color="auto"/>
              <w:bottom w:val="single" w:sz="4" w:space="0" w:color="auto"/>
              <w:right w:val="single" w:sz="4" w:space="0" w:color="auto"/>
            </w:tcBorders>
            <w:hideMark/>
          </w:tcPr>
          <w:p w14:paraId="19D93BA7"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45 (12.5%)</w:t>
            </w:r>
          </w:p>
        </w:tc>
      </w:tr>
      <w:tr w:rsidR="00050D0C" w:rsidRPr="001939D1" w14:paraId="60E97091" w14:textId="77777777" w:rsidTr="00035253">
        <w:tc>
          <w:tcPr>
            <w:tcW w:w="1234" w:type="dxa"/>
            <w:tcBorders>
              <w:top w:val="single" w:sz="4" w:space="0" w:color="auto"/>
              <w:left w:val="single" w:sz="4" w:space="0" w:color="auto"/>
              <w:bottom w:val="single" w:sz="4" w:space="0" w:color="auto"/>
              <w:right w:val="single" w:sz="4" w:space="0" w:color="auto"/>
            </w:tcBorders>
            <w:hideMark/>
          </w:tcPr>
          <w:p w14:paraId="425E67B1"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Stage 4</w:t>
            </w:r>
          </w:p>
        </w:tc>
        <w:tc>
          <w:tcPr>
            <w:tcW w:w="1234" w:type="dxa"/>
            <w:tcBorders>
              <w:top w:val="single" w:sz="4" w:space="0" w:color="auto"/>
              <w:left w:val="single" w:sz="4" w:space="0" w:color="auto"/>
              <w:bottom w:val="single" w:sz="4" w:space="0" w:color="auto"/>
              <w:right w:val="single" w:sz="4" w:space="0" w:color="auto"/>
            </w:tcBorders>
            <w:hideMark/>
          </w:tcPr>
          <w:p w14:paraId="3ABCC406"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15-29</w:t>
            </w:r>
          </w:p>
        </w:tc>
        <w:tc>
          <w:tcPr>
            <w:tcW w:w="1234" w:type="dxa"/>
            <w:tcBorders>
              <w:top w:val="single" w:sz="4" w:space="0" w:color="auto"/>
              <w:left w:val="single" w:sz="4" w:space="0" w:color="auto"/>
              <w:bottom w:val="single" w:sz="4" w:space="0" w:color="auto"/>
              <w:right w:val="single" w:sz="4" w:space="0" w:color="auto"/>
            </w:tcBorders>
            <w:hideMark/>
          </w:tcPr>
          <w:p w14:paraId="76B8E208"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0 (0.0%)</w:t>
            </w:r>
          </w:p>
        </w:tc>
        <w:tc>
          <w:tcPr>
            <w:tcW w:w="1234" w:type="dxa"/>
            <w:tcBorders>
              <w:top w:val="single" w:sz="4" w:space="0" w:color="auto"/>
              <w:left w:val="single" w:sz="4" w:space="0" w:color="auto"/>
              <w:bottom w:val="single" w:sz="4" w:space="0" w:color="auto"/>
              <w:right w:val="single" w:sz="4" w:space="0" w:color="auto"/>
            </w:tcBorders>
            <w:hideMark/>
          </w:tcPr>
          <w:p w14:paraId="2DC45487"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5 (5.6%)</w:t>
            </w:r>
          </w:p>
        </w:tc>
        <w:tc>
          <w:tcPr>
            <w:tcW w:w="1234" w:type="dxa"/>
            <w:tcBorders>
              <w:top w:val="single" w:sz="4" w:space="0" w:color="auto"/>
              <w:left w:val="single" w:sz="4" w:space="0" w:color="auto"/>
              <w:bottom w:val="single" w:sz="4" w:space="0" w:color="auto"/>
              <w:right w:val="single" w:sz="4" w:space="0" w:color="auto"/>
            </w:tcBorders>
            <w:hideMark/>
          </w:tcPr>
          <w:p w14:paraId="5FEB9030"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12 (13.3%)</w:t>
            </w:r>
          </w:p>
        </w:tc>
        <w:tc>
          <w:tcPr>
            <w:tcW w:w="1234" w:type="dxa"/>
            <w:tcBorders>
              <w:top w:val="single" w:sz="4" w:space="0" w:color="auto"/>
              <w:left w:val="single" w:sz="4" w:space="0" w:color="auto"/>
              <w:bottom w:val="single" w:sz="4" w:space="0" w:color="auto"/>
              <w:right w:val="single" w:sz="4" w:space="0" w:color="auto"/>
            </w:tcBorders>
            <w:hideMark/>
          </w:tcPr>
          <w:p w14:paraId="6B0776C6"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0 (0.0%)</w:t>
            </w:r>
          </w:p>
        </w:tc>
        <w:tc>
          <w:tcPr>
            <w:tcW w:w="1234" w:type="dxa"/>
            <w:tcBorders>
              <w:top w:val="single" w:sz="4" w:space="0" w:color="auto"/>
              <w:left w:val="single" w:sz="4" w:space="0" w:color="auto"/>
              <w:bottom w:val="single" w:sz="4" w:space="0" w:color="auto"/>
              <w:right w:val="single" w:sz="4" w:space="0" w:color="auto"/>
            </w:tcBorders>
            <w:hideMark/>
          </w:tcPr>
          <w:p w14:paraId="18647501"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17 (4.7%)</w:t>
            </w:r>
          </w:p>
        </w:tc>
      </w:tr>
      <w:tr w:rsidR="00050D0C" w:rsidRPr="001939D1" w14:paraId="44D3E1EA" w14:textId="77777777" w:rsidTr="00035253">
        <w:tc>
          <w:tcPr>
            <w:tcW w:w="1234" w:type="dxa"/>
            <w:tcBorders>
              <w:top w:val="single" w:sz="4" w:space="0" w:color="auto"/>
              <w:left w:val="single" w:sz="4" w:space="0" w:color="auto"/>
              <w:bottom w:val="single" w:sz="4" w:space="0" w:color="auto"/>
              <w:right w:val="single" w:sz="4" w:space="0" w:color="auto"/>
            </w:tcBorders>
            <w:hideMark/>
          </w:tcPr>
          <w:p w14:paraId="76905645"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Stage 5</w:t>
            </w:r>
          </w:p>
        </w:tc>
        <w:tc>
          <w:tcPr>
            <w:tcW w:w="1234" w:type="dxa"/>
            <w:tcBorders>
              <w:top w:val="single" w:sz="4" w:space="0" w:color="auto"/>
              <w:left w:val="single" w:sz="4" w:space="0" w:color="auto"/>
              <w:bottom w:val="single" w:sz="4" w:space="0" w:color="auto"/>
              <w:right w:val="single" w:sz="4" w:space="0" w:color="auto"/>
            </w:tcBorders>
            <w:hideMark/>
          </w:tcPr>
          <w:p w14:paraId="1A4A8EFA"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&lt;15</w:t>
            </w:r>
          </w:p>
        </w:tc>
        <w:tc>
          <w:tcPr>
            <w:tcW w:w="1234" w:type="dxa"/>
            <w:tcBorders>
              <w:top w:val="single" w:sz="4" w:space="0" w:color="auto"/>
              <w:left w:val="single" w:sz="4" w:space="0" w:color="auto"/>
              <w:bottom w:val="single" w:sz="4" w:space="0" w:color="auto"/>
              <w:right w:val="single" w:sz="4" w:space="0" w:color="auto"/>
            </w:tcBorders>
            <w:hideMark/>
          </w:tcPr>
          <w:p w14:paraId="395BD4AD"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0 (0.0%)</w:t>
            </w:r>
          </w:p>
        </w:tc>
        <w:tc>
          <w:tcPr>
            <w:tcW w:w="1234" w:type="dxa"/>
            <w:tcBorders>
              <w:top w:val="single" w:sz="4" w:space="0" w:color="auto"/>
              <w:left w:val="single" w:sz="4" w:space="0" w:color="auto"/>
              <w:bottom w:val="single" w:sz="4" w:space="0" w:color="auto"/>
              <w:right w:val="single" w:sz="4" w:space="0" w:color="auto"/>
            </w:tcBorders>
            <w:hideMark/>
          </w:tcPr>
          <w:p w14:paraId="12FAD21C"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0 (0.0%)</w:t>
            </w:r>
          </w:p>
        </w:tc>
        <w:tc>
          <w:tcPr>
            <w:tcW w:w="1234" w:type="dxa"/>
            <w:tcBorders>
              <w:top w:val="single" w:sz="4" w:space="0" w:color="auto"/>
              <w:left w:val="single" w:sz="4" w:space="0" w:color="auto"/>
              <w:bottom w:val="single" w:sz="4" w:space="0" w:color="auto"/>
              <w:right w:val="single" w:sz="4" w:space="0" w:color="auto"/>
            </w:tcBorders>
            <w:hideMark/>
          </w:tcPr>
          <w:p w14:paraId="3B5B26CF"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2 (2.2%)</w:t>
            </w:r>
          </w:p>
        </w:tc>
        <w:tc>
          <w:tcPr>
            <w:tcW w:w="1234" w:type="dxa"/>
            <w:tcBorders>
              <w:top w:val="single" w:sz="4" w:space="0" w:color="auto"/>
              <w:left w:val="single" w:sz="4" w:space="0" w:color="auto"/>
              <w:bottom w:val="single" w:sz="4" w:space="0" w:color="auto"/>
              <w:right w:val="single" w:sz="4" w:space="0" w:color="auto"/>
            </w:tcBorders>
            <w:hideMark/>
          </w:tcPr>
          <w:p w14:paraId="32EC943D"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0 (0.0%)</w:t>
            </w:r>
          </w:p>
        </w:tc>
        <w:tc>
          <w:tcPr>
            <w:tcW w:w="1234" w:type="dxa"/>
            <w:tcBorders>
              <w:top w:val="single" w:sz="4" w:space="0" w:color="auto"/>
              <w:left w:val="single" w:sz="4" w:space="0" w:color="auto"/>
              <w:bottom w:val="single" w:sz="4" w:space="0" w:color="auto"/>
              <w:right w:val="single" w:sz="4" w:space="0" w:color="auto"/>
            </w:tcBorders>
            <w:hideMark/>
          </w:tcPr>
          <w:p w14:paraId="38FFB51D"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2 (0.6%)</w:t>
            </w:r>
          </w:p>
        </w:tc>
      </w:tr>
    </w:tbl>
    <w:p w14:paraId="0F8EB9AF" w14:textId="77777777" w:rsidR="00050D0C" w:rsidRPr="001939D1" w:rsidRDefault="00050D0C" w:rsidP="00B86FBD">
      <w:pPr>
        <w:rPr>
          <w:rFonts w:asciiTheme="majorBidi" w:hAnsiTheme="majorBidi" w:cstheme="majorBidi"/>
          <w:sz w:val="20"/>
        </w:rPr>
      </w:pPr>
      <w:r w:rsidRPr="001939D1">
        <w:rPr>
          <w:rFonts w:asciiTheme="majorBidi" w:hAnsiTheme="majorBidi" w:cstheme="majorBidi"/>
          <w:sz w:val="20"/>
        </w:rPr>
        <w:t>*CKD staging based on KDIGO 2012 guidelines using estimated glomerular filtration rate (eGFR). Data presented as number (percentage) of participants in each stage.</w:t>
      </w:r>
    </w:p>
    <w:p w14:paraId="717622B9" w14:textId="77777777" w:rsidR="00050D0C" w:rsidRPr="001939D1" w:rsidRDefault="00050D0C" w:rsidP="00B86FBD">
      <w:pPr>
        <w:rPr>
          <w:rFonts w:asciiTheme="majorBidi" w:eastAsia="MS Gothic" w:hAnsiTheme="majorBidi" w:cstheme="majorBidi"/>
          <w:sz w:val="20"/>
        </w:rPr>
      </w:pPr>
    </w:p>
    <w:p w14:paraId="09D5FA74" w14:textId="155C089C" w:rsidR="00847FB2" w:rsidRPr="001939D1" w:rsidRDefault="00F54630" w:rsidP="00B86FBD">
      <w:pPr>
        <w:pStyle w:val="TableCaption"/>
        <w:spacing w:before="0"/>
        <w:rPr>
          <w:rFonts w:eastAsia="MS Mincho"/>
        </w:rPr>
      </w:pPr>
      <w:r w:rsidRPr="00F54630">
        <w:rPr>
          <w:rFonts w:eastAsia="MS Mincho"/>
          <w:b/>
          <w:bCs/>
        </w:rPr>
        <w:t>TABLE 3.</w:t>
      </w:r>
      <w:r w:rsidRPr="001939D1">
        <w:rPr>
          <w:rFonts w:eastAsia="MS Mincho"/>
        </w:rPr>
        <w:t xml:space="preserve"> </w:t>
      </w:r>
      <w:r w:rsidR="00050D0C" w:rsidRPr="001939D1">
        <w:rPr>
          <w:rFonts w:eastAsia="MS Mincho"/>
        </w:rPr>
        <w:t>Comparison of Inflammatory Markers Between Study Groups</w:t>
      </w:r>
    </w:p>
    <w:tbl>
      <w:tblPr>
        <w:tblStyle w:val="TableGrid"/>
        <w:tblW w:w="0" w:type="auto"/>
        <w:tblLook w:val="04A0" w:firstRow="1" w:lastRow="0" w:firstColumn="1" w:lastColumn="0" w:noHBand="0" w:noVBand="1"/>
      </w:tblPr>
      <w:tblGrid>
        <w:gridCol w:w="1727"/>
        <w:gridCol w:w="1726"/>
        <w:gridCol w:w="1727"/>
        <w:gridCol w:w="1725"/>
        <w:gridCol w:w="1725"/>
      </w:tblGrid>
      <w:tr w:rsidR="00050D0C" w:rsidRPr="001939D1" w14:paraId="249652B0" w14:textId="77777777" w:rsidTr="00035253">
        <w:tc>
          <w:tcPr>
            <w:tcW w:w="1728" w:type="dxa"/>
          </w:tcPr>
          <w:p w14:paraId="2BE59B2C"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Group</w:t>
            </w:r>
          </w:p>
        </w:tc>
        <w:tc>
          <w:tcPr>
            <w:tcW w:w="1728" w:type="dxa"/>
          </w:tcPr>
          <w:p w14:paraId="227EBF8D"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CRP (mg/L)</w:t>
            </w:r>
          </w:p>
        </w:tc>
        <w:tc>
          <w:tcPr>
            <w:tcW w:w="1728" w:type="dxa"/>
          </w:tcPr>
          <w:p w14:paraId="73875285"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TNF-α (</w:t>
            </w:r>
            <w:proofErr w:type="spellStart"/>
            <w:r w:rsidRPr="001939D1">
              <w:rPr>
                <w:rFonts w:asciiTheme="majorBidi" w:eastAsia="MS Mincho" w:hAnsiTheme="majorBidi" w:cstheme="majorBidi"/>
                <w:sz w:val="20"/>
              </w:rPr>
              <w:t>pg</w:t>
            </w:r>
            <w:proofErr w:type="spellEnd"/>
            <w:r w:rsidRPr="001939D1">
              <w:rPr>
                <w:rFonts w:asciiTheme="majorBidi" w:eastAsia="MS Mincho" w:hAnsiTheme="majorBidi" w:cstheme="majorBidi"/>
                <w:sz w:val="20"/>
              </w:rPr>
              <w:t>/mL)</w:t>
            </w:r>
          </w:p>
        </w:tc>
        <w:tc>
          <w:tcPr>
            <w:tcW w:w="1728" w:type="dxa"/>
          </w:tcPr>
          <w:p w14:paraId="2975B167"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P-value for CRP</w:t>
            </w:r>
          </w:p>
        </w:tc>
        <w:tc>
          <w:tcPr>
            <w:tcW w:w="1728" w:type="dxa"/>
          </w:tcPr>
          <w:p w14:paraId="23238447"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P-value for TNF-α</w:t>
            </w:r>
          </w:p>
        </w:tc>
      </w:tr>
      <w:tr w:rsidR="00050D0C" w:rsidRPr="001939D1" w14:paraId="0B87C147" w14:textId="77777777" w:rsidTr="00035253">
        <w:tc>
          <w:tcPr>
            <w:tcW w:w="1728" w:type="dxa"/>
          </w:tcPr>
          <w:p w14:paraId="35EEFAF0"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Healthy Controls (n=90)</w:t>
            </w:r>
          </w:p>
        </w:tc>
        <w:tc>
          <w:tcPr>
            <w:tcW w:w="1728" w:type="dxa"/>
          </w:tcPr>
          <w:p w14:paraId="2C1D8A3A"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4.48±1.58ᵃ</w:t>
            </w:r>
          </w:p>
        </w:tc>
        <w:tc>
          <w:tcPr>
            <w:tcW w:w="1728" w:type="dxa"/>
          </w:tcPr>
          <w:p w14:paraId="044CA007"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32.28±13.97ᵃ</w:t>
            </w:r>
          </w:p>
        </w:tc>
        <w:tc>
          <w:tcPr>
            <w:tcW w:w="1728" w:type="dxa"/>
          </w:tcPr>
          <w:p w14:paraId="0AA3CE90"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w:t>
            </w:r>
          </w:p>
        </w:tc>
        <w:tc>
          <w:tcPr>
            <w:tcW w:w="1728" w:type="dxa"/>
          </w:tcPr>
          <w:p w14:paraId="49382F9F"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w:t>
            </w:r>
          </w:p>
        </w:tc>
      </w:tr>
      <w:tr w:rsidR="00050D0C" w:rsidRPr="001939D1" w14:paraId="3AE75915" w14:textId="77777777" w:rsidTr="00035253">
        <w:tc>
          <w:tcPr>
            <w:tcW w:w="1728" w:type="dxa"/>
          </w:tcPr>
          <w:p w14:paraId="720E8473"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Diabetes (n=90)</w:t>
            </w:r>
          </w:p>
        </w:tc>
        <w:tc>
          <w:tcPr>
            <w:tcW w:w="1728" w:type="dxa"/>
          </w:tcPr>
          <w:p w14:paraId="31FC30CE"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6.84±1.99ᵇ</w:t>
            </w:r>
          </w:p>
        </w:tc>
        <w:tc>
          <w:tcPr>
            <w:tcW w:w="1728" w:type="dxa"/>
          </w:tcPr>
          <w:p w14:paraId="32E92095"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84.21±25.36ᵇ</w:t>
            </w:r>
          </w:p>
        </w:tc>
        <w:tc>
          <w:tcPr>
            <w:tcW w:w="1728" w:type="dxa"/>
          </w:tcPr>
          <w:p w14:paraId="3493D47D"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&lt;0.001</w:t>
            </w:r>
          </w:p>
        </w:tc>
        <w:tc>
          <w:tcPr>
            <w:tcW w:w="1728" w:type="dxa"/>
          </w:tcPr>
          <w:p w14:paraId="264B8984"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&lt;0.001</w:t>
            </w:r>
          </w:p>
        </w:tc>
      </w:tr>
      <w:tr w:rsidR="00050D0C" w:rsidRPr="001939D1" w14:paraId="1F92A5CE" w14:textId="77777777" w:rsidTr="00035253">
        <w:tc>
          <w:tcPr>
            <w:tcW w:w="1728" w:type="dxa"/>
          </w:tcPr>
          <w:p w14:paraId="58514315"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Kidney Disease (n=90)</w:t>
            </w:r>
          </w:p>
        </w:tc>
        <w:tc>
          <w:tcPr>
            <w:tcW w:w="1728" w:type="dxa"/>
          </w:tcPr>
          <w:p w14:paraId="40876F45"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9.45±2.61ᶜ</w:t>
            </w:r>
          </w:p>
        </w:tc>
        <w:tc>
          <w:tcPr>
            <w:tcW w:w="1728" w:type="dxa"/>
          </w:tcPr>
          <w:p w14:paraId="26C48076"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159.41±71.03ᶜ</w:t>
            </w:r>
          </w:p>
        </w:tc>
        <w:tc>
          <w:tcPr>
            <w:tcW w:w="1728" w:type="dxa"/>
          </w:tcPr>
          <w:p w14:paraId="5B80F2E7"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&lt;0.001</w:t>
            </w:r>
          </w:p>
        </w:tc>
        <w:tc>
          <w:tcPr>
            <w:tcW w:w="1728" w:type="dxa"/>
          </w:tcPr>
          <w:p w14:paraId="7CF35F0E"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&lt;0.001</w:t>
            </w:r>
          </w:p>
        </w:tc>
      </w:tr>
      <w:tr w:rsidR="00050D0C" w:rsidRPr="001939D1" w14:paraId="2AAA44E7" w14:textId="77777777" w:rsidTr="00035253">
        <w:tc>
          <w:tcPr>
            <w:tcW w:w="1728" w:type="dxa"/>
          </w:tcPr>
          <w:p w14:paraId="57EFA447"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Diabetes with Kidney Disease (n=90)</w:t>
            </w:r>
          </w:p>
        </w:tc>
        <w:tc>
          <w:tcPr>
            <w:tcW w:w="1728" w:type="dxa"/>
          </w:tcPr>
          <w:p w14:paraId="1F7E2CD5"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14.27±4.01ᵈ</w:t>
            </w:r>
          </w:p>
        </w:tc>
        <w:tc>
          <w:tcPr>
            <w:tcW w:w="1728" w:type="dxa"/>
          </w:tcPr>
          <w:p w14:paraId="468AB694"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204.13±86.17ᵈ</w:t>
            </w:r>
          </w:p>
        </w:tc>
        <w:tc>
          <w:tcPr>
            <w:tcW w:w="1728" w:type="dxa"/>
          </w:tcPr>
          <w:p w14:paraId="528B2561"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&lt;0.001</w:t>
            </w:r>
          </w:p>
        </w:tc>
        <w:tc>
          <w:tcPr>
            <w:tcW w:w="1728" w:type="dxa"/>
          </w:tcPr>
          <w:p w14:paraId="3F25DD5E"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&lt;0.001</w:t>
            </w:r>
          </w:p>
        </w:tc>
      </w:tr>
    </w:tbl>
    <w:p w14:paraId="61221F04" w14:textId="77777777" w:rsidR="00050D0C" w:rsidRPr="001939D1" w:rsidRDefault="00050D0C" w:rsidP="00B86FBD">
      <w:pPr>
        <w:rPr>
          <w:rFonts w:asciiTheme="majorBidi" w:eastAsia="MS Mincho" w:hAnsiTheme="majorBidi" w:cstheme="majorBidi"/>
          <w:sz w:val="20"/>
        </w:rPr>
      </w:pPr>
      <w:r w:rsidRPr="001939D1">
        <w:rPr>
          <w:rFonts w:asciiTheme="majorBidi" w:eastAsia="MS Mincho" w:hAnsiTheme="majorBidi" w:cstheme="majorBidi"/>
          <w:sz w:val="20"/>
        </w:rPr>
        <w:t>*Different superscript letters indicate statistically significant differences (p&lt;0.05) using Tukey post-hoc test</w:t>
      </w:r>
    </w:p>
    <w:p w14:paraId="750CD922" w14:textId="39A16723" w:rsidR="00050D0C" w:rsidRPr="001939D1" w:rsidRDefault="00050D0C" w:rsidP="00B86FBD">
      <w:pPr>
        <w:pStyle w:val="Heading2"/>
        <w:rPr>
          <w:rFonts w:eastAsia="MS Gothic"/>
        </w:rPr>
      </w:pPr>
      <w:r w:rsidRPr="001939D1">
        <w:rPr>
          <w:rFonts w:eastAsia="MS Gothic"/>
        </w:rPr>
        <w:t xml:space="preserve">α-Klotho </w:t>
      </w:r>
    </w:p>
    <w:p w14:paraId="08F2D0C9" w14:textId="07D2AD4B" w:rsidR="00050D0C" w:rsidRPr="001939D1" w:rsidRDefault="00050D0C" w:rsidP="00B86FBD">
      <w:pPr>
        <w:jc w:val="both"/>
        <w:rPr>
          <w:rFonts w:asciiTheme="majorBidi" w:hAnsiTheme="majorBidi" w:cstheme="majorBidi"/>
          <w:sz w:val="20"/>
        </w:rPr>
      </w:pPr>
      <w:r w:rsidRPr="001939D1">
        <w:rPr>
          <w:rFonts w:asciiTheme="majorBidi" w:hAnsiTheme="majorBidi" w:cstheme="majorBidi"/>
          <w:sz w:val="20"/>
        </w:rPr>
        <w:t xml:space="preserve">The degree of disease was significantly inversely correlated with α-Klotho levels. When compared to healthy controls (1173.04±271.04 </w:t>
      </w:r>
      <w:proofErr w:type="spellStart"/>
      <w:r w:rsidRPr="001939D1">
        <w:rPr>
          <w:rFonts w:asciiTheme="majorBidi" w:hAnsiTheme="majorBidi" w:cstheme="majorBidi"/>
          <w:sz w:val="20"/>
        </w:rPr>
        <w:t>pg</w:t>
      </w:r>
      <w:proofErr w:type="spellEnd"/>
      <w:r w:rsidRPr="001939D1">
        <w:rPr>
          <w:rFonts w:asciiTheme="majorBidi" w:hAnsiTheme="majorBidi" w:cstheme="majorBidi"/>
          <w:sz w:val="20"/>
        </w:rPr>
        <w:t xml:space="preserve">/mL), the diabetic nephropathy group had the lowest α-Klotho levels (201.27±81.42 </w:t>
      </w:r>
      <w:proofErr w:type="spellStart"/>
      <w:r w:rsidRPr="001939D1">
        <w:rPr>
          <w:rFonts w:asciiTheme="majorBidi" w:hAnsiTheme="majorBidi" w:cstheme="majorBidi"/>
          <w:sz w:val="20"/>
        </w:rPr>
        <w:t>pg</w:t>
      </w:r>
      <w:proofErr w:type="spellEnd"/>
      <w:r w:rsidRPr="001939D1">
        <w:rPr>
          <w:rFonts w:asciiTheme="majorBidi" w:hAnsiTheme="majorBidi" w:cstheme="majorBidi"/>
          <w:sz w:val="20"/>
        </w:rPr>
        <w:t xml:space="preserve">/mL), an 82.9% decrease. While nephropathy patients without diabetes maintained </w:t>
      </w:r>
      <w:r w:rsidRPr="001939D1">
        <w:rPr>
          <w:rFonts w:asciiTheme="majorBidi" w:hAnsiTheme="majorBidi" w:cstheme="majorBidi"/>
          <w:sz w:val="20"/>
        </w:rPr>
        <w:lastRenderedPageBreak/>
        <w:t xml:space="preserve">comparatively higher levels (842.29±198.77 </w:t>
      </w:r>
      <w:proofErr w:type="spellStart"/>
      <w:r w:rsidRPr="001939D1">
        <w:rPr>
          <w:rFonts w:asciiTheme="majorBidi" w:hAnsiTheme="majorBidi" w:cstheme="majorBidi"/>
          <w:sz w:val="20"/>
        </w:rPr>
        <w:t>pg</w:t>
      </w:r>
      <w:proofErr w:type="spellEnd"/>
      <w:r w:rsidRPr="001939D1">
        <w:rPr>
          <w:rFonts w:asciiTheme="majorBidi" w:hAnsiTheme="majorBidi" w:cstheme="majorBidi"/>
          <w:sz w:val="20"/>
        </w:rPr>
        <w:t xml:space="preserve">/mL), diabetic patients without nephropathy displayed an intermediate decline (547.17±172.09 </w:t>
      </w:r>
      <w:proofErr w:type="spellStart"/>
      <w:r w:rsidRPr="001939D1">
        <w:rPr>
          <w:rFonts w:asciiTheme="majorBidi" w:hAnsiTheme="majorBidi" w:cstheme="majorBidi"/>
          <w:sz w:val="20"/>
        </w:rPr>
        <w:t>pg</w:t>
      </w:r>
      <w:proofErr w:type="spellEnd"/>
      <w:r w:rsidRPr="001939D1">
        <w:rPr>
          <w:rFonts w:asciiTheme="majorBidi" w:hAnsiTheme="majorBidi" w:cstheme="majorBidi"/>
          <w:sz w:val="20"/>
        </w:rPr>
        <w:t>/mL).</w:t>
      </w:r>
    </w:p>
    <w:p w14:paraId="7B08F888" w14:textId="77777777" w:rsidR="00B86FBD" w:rsidRDefault="00B86FBD" w:rsidP="00B86FBD">
      <w:pPr>
        <w:pStyle w:val="TableCaption"/>
        <w:spacing w:before="0"/>
        <w:rPr>
          <w:rFonts w:eastAsia="MS Mincho"/>
        </w:rPr>
      </w:pPr>
    </w:p>
    <w:p w14:paraId="42159741" w14:textId="336E9FDB" w:rsidR="00EB2CDE" w:rsidRPr="001939D1" w:rsidRDefault="00050D0C" w:rsidP="00B86FBD">
      <w:pPr>
        <w:pStyle w:val="TableCaption"/>
        <w:spacing w:before="0"/>
        <w:rPr>
          <w:rFonts w:eastAsia="MS Mincho"/>
        </w:rPr>
      </w:pPr>
      <w:r w:rsidRPr="001939D1">
        <w:rPr>
          <w:rFonts w:eastAsia="MS Mincho"/>
        </w:rPr>
        <w:t>Table 4: Comparison of α-Klotho Levels Between Study Groups</w:t>
      </w:r>
    </w:p>
    <w:tbl>
      <w:tblPr>
        <w:tblStyle w:val="TableGrid"/>
        <w:tblW w:w="0" w:type="auto"/>
        <w:tblLook w:val="04A0" w:firstRow="1" w:lastRow="0" w:firstColumn="1" w:lastColumn="0" w:noHBand="0" w:noVBand="1"/>
      </w:tblPr>
      <w:tblGrid>
        <w:gridCol w:w="2156"/>
        <w:gridCol w:w="2159"/>
        <w:gridCol w:w="2158"/>
        <w:gridCol w:w="2157"/>
      </w:tblGrid>
      <w:tr w:rsidR="00050D0C" w:rsidRPr="001939D1" w14:paraId="75BDD9E2" w14:textId="77777777" w:rsidTr="00035253">
        <w:tc>
          <w:tcPr>
            <w:tcW w:w="2160" w:type="dxa"/>
          </w:tcPr>
          <w:p w14:paraId="3C5AEB67"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Group</w:t>
            </w:r>
          </w:p>
        </w:tc>
        <w:tc>
          <w:tcPr>
            <w:tcW w:w="2160" w:type="dxa"/>
          </w:tcPr>
          <w:p w14:paraId="0705A424"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α-Klotho (</w:t>
            </w:r>
            <w:proofErr w:type="spellStart"/>
            <w:r w:rsidRPr="001939D1">
              <w:rPr>
                <w:rFonts w:asciiTheme="majorBidi" w:eastAsia="MS Mincho" w:hAnsiTheme="majorBidi" w:cstheme="majorBidi"/>
                <w:sz w:val="20"/>
              </w:rPr>
              <w:t>pg</w:t>
            </w:r>
            <w:proofErr w:type="spellEnd"/>
            <w:r w:rsidRPr="001939D1">
              <w:rPr>
                <w:rFonts w:asciiTheme="majorBidi" w:eastAsia="MS Mincho" w:hAnsiTheme="majorBidi" w:cstheme="majorBidi"/>
                <w:sz w:val="20"/>
              </w:rPr>
              <w:t>/mL)</w:t>
            </w:r>
          </w:p>
        </w:tc>
        <w:tc>
          <w:tcPr>
            <w:tcW w:w="2160" w:type="dxa"/>
          </w:tcPr>
          <w:p w14:paraId="7E76A4C2"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Percentage Change vs. Controls</w:t>
            </w:r>
          </w:p>
        </w:tc>
        <w:tc>
          <w:tcPr>
            <w:tcW w:w="2160" w:type="dxa"/>
          </w:tcPr>
          <w:p w14:paraId="289BA2B6"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P-value</w:t>
            </w:r>
          </w:p>
        </w:tc>
      </w:tr>
      <w:tr w:rsidR="00050D0C" w:rsidRPr="001939D1" w14:paraId="76F8CD02" w14:textId="77777777" w:rsidTr="00035253">
        <w:tc>
          <w:tcPr>
            <w:tcW w:w="2160" w:type="dxa"/>
          </w:tcPr>
          <w:p w14:paraId="0F5CB508"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Healthy Controls (n=90)</w:t>
            </w:r>
          </w:p>
        </w:tc>
        <w:tc>
          <w:tcPr>
            <w:tcW w:w="2160" w:type="dxa"/>
          </w:tcPr>
          <w:p w14:paraId="7299A62E"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1173.04±271.04ᵃ</w:t>
            </w:r>
          </w:p>
        </w:tc>
        <w:tc>
          <w:tcPr>
            <w:tcW w:w="2160" w:type="dxa"/>
          </w:tcPr>
          <w:p w14:paraId="0B892E59"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w:t>
            </w:r>
          </w:p>
        </w:tc>
        <w:tc>
          <w:tcPr>
            <w:tcW w:w="2160" w:type="dxa"/>
          </w:tcPr>
          <w:p w14:paraId="28C3B4B8"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w:t>
            </w:r>
          </w:p>
        </w:tc>
      </w:tr>
      <w:tr w:rsidR="00050D0C" w:rsidRPr="001939D1" w14:paraId="28A12CCE" w14:textId="77777777" w:rsidTr="00035253">
        <w:tc>
          <w:tcPr>
            <w:tcW w:w="2160" w:type="dxa"/>
          </w:tcPr>
          <w:p w14:paraId="41DDC195"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Diabetes (n=90)</w:t>
            </w:r>
          </w:p>
        </w:tc>
        <w:tc>
          <w:tcPr>
            <w:tcW w:w="2160" w:type="dxa"/>
          </w:tcPr>
          <w:p w14:paraId="735854B5"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547.17±172.09ᵇ</w:t>
            </w:r>
          </w:p>
        </w:tc>
        <w:tc>
          <w:tcPr>
            <w:tcW w:w="2160" w:type="dxa"/>
          </w:tcPr>
          <w:p w14:paraId="1EB68CF5"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-53.4%</w:t>
            </w:r>
          </w:p>
        </w:tc>
        <w:tc>
          <w:tcPr>
            <w:tcW w:w="2160" w:type="dxa"/>
          </w:tcPr>
          <w:p w14:paraId="5C4A4761"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&lt;0.001</w:t>
            </w:r>
          </w:p>
        </w:tc>
      </w:tr>
      <w:tr w:rsidR="00050D0C" w:rsidRPr="001939D1" w14:paraId="6F37DC1C" w14:textId="77777777" w:rsidTr="00035253">
        <w:tc>
          <w:tcPr>
            <w:tcW w:w="2160" w:type="dxa"/>
          </w:tcPr>
          <w:p w14:paraId="4A40A923"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Kidney Disease (n=90)</w:t>
            </w:r>
          </w:p>
        </w:tc>
        <w:tc>
          <w:tcPr>
            <w:tcW w:w="2160" w:type="dxa"/>
          </w:tcPr>
          <w:p w14:paraId="2DA57670"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842.29±198.77ᶜ</w:t>
            </w:r>
          </w:p>
        </w:tc>
        <w:tc>
          <w:tcPr>
            <w:tcW w:w="2160" w:type="dxa"/>
          </w:tcPr>
          <w:p w14:paraId="3FBD6E8B"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-28.2%</w:t>
            </w:r>
          </w:p>
        </w:tc>
        <w:tc>
          <w:tcPr>
            <w:tcW w:w="2160" w:type="dxa"/>
          </w:tcPr>
          <w:p w14:paraId="6146ABC0"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&lt;0.001</w:t>
            </w:r>
          </w:p>
        </w:tc>
      </w:tr>
      <w:tr w:rsidR="00050D0C" w:rsidRPr="001939D1" w14:paraId="12F343F0" w14:textId="77777777" w:rsidTr="00035253">
        <w:tc>
          <w:tcPr>
            <w:tcW w:w="2160" w:type="dxa"/>
          </w:tcPr>
          <w:p w14:paraId="4D040593"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Diabetes with Kidney Disease (n=90)</w:t>
            </w:r>
          </w:p>
        </w:tc>
        <w:tc>
          <w:tcPr>
            <w:tcW w:w="2160" w:type="dxa"/>
          </w:tcPr>
          <w:p w14:paraId="2E56A55B"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201.27±81.42ᵈ</w:t>
            </w:r>
          </w:p>
        </w:tc>
        <w:tc>
          <w:tcPr>
            <w:tcW w:w="2160" w:type="dxa"/>
          </w:tcPr>
          <w:p w14:paraId="4D125C70"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-82.9%</w:t>
            </w:r>
          </w:p>
        </w:tc>
        <w:tc>
          <w:tcPr>
            <w:tcW w:w="2160" w:type="dxa"/>
          </w:tcPr>
          <w:p w14:paraId="5471205C"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&lt;0.001</w:t>
            </w:r>
          </w:p>
        </w:tc>
      </w:tr>
    </w:tbl>
    <w:p w14:paraId="198211DA" w14:textId="77777777" w:rsidR="00050D0C" w:rsidRPr="001939D1" w:rsidRDefault="00050D0C" w:rsidP="00B86FBD">
      <w:pPr>
        <w:keepNext/>
        <w:keepLines/>
        <w:outlineLvl w:val="1"/>
        <w:rPr>
          <w:rFonts w:asciiTheme="majorBidi" w:eastAsia="MS Mincho" w:hAnsiTheme="majorBidi" w:cstheme="majorBidi"/>
          <w:sz w:val="20"/>
        </w:rPr>
      </w:pPr>
      <w:r w:rsidRPr="001939D1">
        <w:rPr>
          <w:rFonts w:asciiTheme="majorBidi" w:eastAsia="MS Mincho" w:hAnsiTheme="majorBidi" w:cstheme="majorBidi"/>
          <w:sz w:val="20"/>
        </w:rPr>
        <w:t>*Different superscript letters indicate statistically significant differences (p&lt;0.05)</w:t>
      </w:r>
    </w:p>
    <w:p w14:paraId="2DF38C7F" w14:textId="7FFE7DC8" w:rsidR="00050D0C" w:rsidRPr="001939D1" w:rsidRDefault="00050D0C" w:rsidP="00B86FBD">
      <w:pPr>
        <w:pStyle w:val="Heading2"/>
        <w:rPr>
          <w:rFonts w:eastAsia="MS Gothic"/>
        </w:rPr>
      </w:pPr>
      <w:r w:rsidRPr="001939D1">
        <w:rPr>
          <w:rFonts w:eastAsia="MS Gothic"/>
        </w:rPr>
        <w:t>Glycemic Control Markers Comparison</w:t>
      </w:r>
    </w:p>
    <w:p w14:paraId="7361B5BB" w14:textId="6EAF3126" w:rsidR="00050D0C" w:rsidRDefault="00050D0C" w:rsidP="00B86FBD">
      <w:pPr>
        <w:jc w:val="both"/>
        <w:rPr>
          <w:rFonts w:asciiTheme="majorBidi" w:hAnsiTheme="majorBidi" w:cstheme="majorBidi"/>
          <w:sz w:val="20"/>
        </w:rPr>
      </w:pPr>
      <w:r w:rsidRPr="001939D1">
        <w:rPr>
          <w:rFonts w:asciiTheme="majorBidi" w:hAnsiTheme="majorBidi" w:cstheme="majorBidi"/>
          <w:sz w:val="20"/>
        </w:rPr>
        <w:t xml:space="preserve">Different patterns emerged from the comparison of glycemic control markers: Diabetes patients (7.31±2.84%), nephropathy patients (6.98±2.07%), and controls (4.68±2.08%) had the lowest HbA1c levels, while diabetic nephropathy patients had the highest (10.86±3.44%). Compared to diabetic patients (408.61±210.84%) and controls (124.08±87.23%), glycated albumin was most significantly elevated in diabetic nephropathy patients (908.61±370.04%), and in nephropathy patients as well (742.04±518.69%). Patients with diabetes had the greatest amounts of </w:t>
      </w:r>
      <w:proofErr w:type="spellStart"/>
      <w:r w:rsidRPr="001939D1">
        <w:rPr>
          <w:rFonts w:asciiTheme="majorBidi" w:hAnsiTheme="majorBidi" w:cstheme="majorBidi"/>
          <w:sz w:val="20"/>
        </w:rPr>
        <w:t>fructosamine</w:t>
      </w:r>
      <w:proofErr w:type="spellEnd"/>
      <w:r w:rsidRPr="001939D1">
        <w:rPr>
          <w:rFonts w:asciiTheme="majorBidi" w:hAnsiTheme="majorBidi" w:cstheme="majorBidi"/>
          <w:sz w:val="20"/>
        </w:rPr>
        <w:t xml:space="preserve"> (9.17±2.61 </w:t>
      </w:r>
      <w:proofErr w:type="spellStart"/>
      <w:r w:rsidRPr="001939D1">
        <w:rPr>
          <w:rFonts w:asciiTheme="majorBidi" w:hAnsiTheme="majorBidi" w:cstheme="majorBidi"/>
          <w:sz w:val="20"/>
        </w:rPr>
        <w:t>μmol</w:t>
      </w:r>
      <w:proofErr w:type="spellEnd"/>
      <w:r w:rsidRPr="001939D1">
        <w:rPr>
          <w:rFonts w:asciiTheme="majorBidi" w:hAnsiTheme="majorBidi" w:cstheme="majorBidi"/>
          <w:sz w:val="20"/>
        </w:rPr>
        <w:t xml:space="preserve">/L), while those with nephropathy and diabetic nephropathy had lower levels (4.51±1.52 </w:t>
      </w:r>
      <w:proofErr w:type="spellStart"/>
      <w:r w:rsidRPr="001939D1">
        <w:rPr>
          <w:rFonts w:asciiTheme="majorBidi" w:hAnsiTheme="majorBidi" w:cstheme="majorBidi"/>
          <w:sz w:val="20"/>
        </w:rPr>
        <w:t>μmol</w:t>
      </w:r>
      <w:proofErr w:type="spellEnd"/>
      <w:r w:rsidRPr="001939D1">
        <w:rPr>
          <w:rFonts w:asciiTheme="majorBidi" w:hAnsiTheme="majorBidi" w:cstheme="majorBidi"/>
          <w:sz w:val="20"/>
        </w:rPr>
        <w:t>/L and 3.08±1.62μmol/L) than controls (2.51±0.43μmol/L).</w:t>
      </w:r>
    </w:p>
    <w:p w14:paraId="0015C55D" w14:textId="77777777" w:rsidR="00CC1FC0" w:rsidRPr="001939D1" w:rsidRDefault="00CC1FC0" w:rsidP="00B86FBD">
      <w:pPr>
        <w:jc w:val="both"/>
        <w:rPr>
          <w:rFonts w:asciiTheme="majorBidi" w:hAnsiTheme="majorBidi" w:cstheme="majorBidi"/>
          <w:sz w:val="20"/>
        </w:rPr>
      </w:pPr>
    </w:p>
    <w:p w14:paraId="0C03B433" w14:textId="1C716C0E" w:rsidR="00EB2CDE" w:rsidRPr="001939D1" w:rsidRDefault="002101E2" w:rsidP="00B86FBD">
      <w:pPr>
        <w:pStyle w:val="TableCaption"/>
        <w:rPr>
          <w:rFonts w:eastAsia="MS Gothic"/>
        </w:rPr>
      </w:pPr>
      <w:r w:rsidRPr="002101E2">
        <w:rPr>
          <w:rFonts w:eastAsia="MS Gothic"/>
          <w:b/>
          <w:bCs/>
        </w:rPr>
        <w:t>TABLE 5.</w:t>
      </w:r>
      <w:r w:rsidR="00050D0C" w:rsidRPr="001939D1">
        <w:rPr>
          <w:rFonts w:eastAsia="MS Gothic"/>
        </w:rPr>
        <w:t xml:space="preserve"> Comparison of Glycemic Control Markers Between Study Groups</w:t>
      </w:r>
    </w:p>
    <w:tbl>
      <w:tblPr>
        <w:tblStyle w:val="2"/>
        <w:tblW w:w="0" w:type="auto"/>
        <w:tblLook w:val="04A0" w:firstRow="1" w:lastRow="0" w:firstColumn="1" w:lastColumn="0" w:noHBand="0" w:noVBand="1"/>
      </w:tblPr>
      <w:tblGrid>
        <w:gridCol w:w="2157"/>
        <w:gridCol w:w="2157"/>
        <w:gridCol w:w="2158"/>
        <w:gridCol w:w="2158"/>
      </w:tblGrid>
      <w:tr w:rsidR="00050D0C" w:rsidRPr="001939D1" w14:paraId="40D89B73" w14:textId="77777777" w:rsidTr="00035253">
        <w:tc>
          <w:tcPr>
            <w:tcW w:w="2160" w:type="dxa"/>
          </w:tcPr>
          <w:p w14:paraId="5418C830"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Group</w:t>
            </w:r>
          </w:p>
        </w:tc>
        <w:tc>
          <w:tcPr>
            <w:tcW w:w="2160" w:type="dxa"/>
          </w:tcPr>
          <w:p w14:paraId="55C4CB2D"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HbA1c (%)</w:t>
            </w:r>
          </w:p>
          <w:p w14:paraId="79B37335"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w:t>
            </w:r>
            <w:proofErr w:type="spellStart"/>
            <w:r w:rsidRPr="001939D1">
              <w:rPr>
                <w:rFonts w:asciiTheme="majorBidi" w:hAnsiTheme="majorBidi" w:cstheme="majorBidi"/>
                <w:sz w:val="20"/>
                <w:szCs w:val="20"/>
              </w:rPr>
              <w:t>N.r</w:t>
            </w:r>
            <w:proofErr w:type="spellEnd"/>
            <w:r w:rsidRPr="001939D1">
              <w:rPr>
                <w:rFonts w:asciiTheme="majorBidi" w:hAnsiTheme="majorBidi" w:cstheme="majorBidi"/>
                <w:sz w:val="20"/>
                <w:szCs w:val="20"/>
              </w:rPr>
              <w:t>)</w:t>
            </w:r>
          </w:p>
        </w:tc>
        <w:tc>
          <w:tcPr>
            <w:tcW w:w="2160" w:type="dxa"/>
          </w:tcPr>
          <w:p w14:paraId="7457ADBD"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Glycated Albumin (</w:t>
            </w:r>
            <w:proofErr w:type="gramStart"/>
            <w:r w:rsidRPr="001939D1">
              <w:rPr>
                <w:rFonts w:asciiTheme="majorBidi" w:hAnsiTheme="majorBidi" w:cstheme="majorBidi"/>
                <w:sz w:val="20"/>
                <w:szCs w:val="20"/>
              </w:rPr>
              <w:t>%)(</w:t>
            </w:r>
            <w:proofErr w:type="spellStart"/>
            <w:proofErr w:type="gramEnd"/>
            <w:r w:rsidRPr="001939D1">
              <w:rPr>
                <w:rFonts w:asciiTheme="majorBidi" w:hAnsiTheme="majorBidi" w:cstheme="majorBidi"/>
                <w:sz w:val="20"/>
                <w:szCs w:val="20"/>
              </w:rPr>
              <w:t>N.r</w:t>
            </w:r>
            <w:proofErr w:type="spellEnd"/>
            <w:r w:rsidRPr="001939D1">
              <w:rPr>
                <w:rFonts w:asciiTheme="majorBidi" w:hAnsiTheme="majorBidi" w:cstheme="majorBidi"/>
                <w:sz w:val="20"/>
                <w:szCs w:val="20"/>
              </w:rPr>
              <w:t>)</w:t>
            </w:r>
          </w:p>
        </w:tc>
        <w:tc>
          <w:tcPr>
            <w:tcW w:w="2160" w:type="dxa"/>
          </w:tcPr>
          <w:p w14:paraId="62B124AB" w14:textId="77777777" w:rsidR="00050D0C" w:rsidRPr="001939D1" w:rsidRDefault="00050D0C" w:rsidP="00B86FBD">
            <w:pPr>
              <w:rPr>
                <w:rFonts w:asciiTheme="majorBidi" w:hAnsiTheme="majorBidi" w:cstheme="majorBidi"/>
                <w:sz w:val="20"/>
                <w:szCs w:val="20"/>
              </w:rPr>
            </w:pPr>
            <w:proofErr w:type="spellStart"/>
            <w:r w:rsidRPr="001939D1">
              <w:rPr>
                <w:rFonts w:asciiTheme="majorBidi" w:hAnsiTheme="majorBidi" w:cstheme="majorBidi"/>
                <w:sz w:val="20"/>
                <w:szCs w:val="20"/>
              </w:rPr>
              <w:t>Fructosamine</w:t>
            </w:r>
            <w:proofErr w:type="spellEnd"/>
            <w:r w:rsidRPr="001939D1">
              <w:rPr>
                <w:rFonts w:asciiTheme="majorBidi" w:hAnsiTheme="majorBidi" w:cstheme="majorBidi"/>
                <w:sz w:val="20"/>
                <w:szCs w:val="20"/>
              </w:rPr>
              <w:t xml:space="preserve"> (</w:t>
            </w:r>
            <w:proofErr w:type="spellStart"/>
            <w:r w:rsidRPr="001939D1">
              <w:rPr>
                <w:rFonts w:asciiTheme="majorBidi" w:hAnsiTheme="majorBidi" w:cstheme="majorBidi"/>
                <w:sz w:val="20"/>
                <w:szCs w:val="20"/>
              </w:rPr>
              <w:t>μmol</w:t>
            </w:r>
            <w:proofErr w:type="spellEnd"/>
            <w:r w:rsidRPr="001939D1">
              <w:rPr>
                <w:rFonts w:asciiTheme="majorBidi" w:hAnsiTheme="majorBidi" w:cstheme="majorBidi"/>
                <w:sz w:val="20"/>
                <w:szCs w:val="20"/>
              </w:rPr>
              <w:t>/L) (</w:t>
            </w:r>
            <w:proofErr w:type="spellStart"/>
            <w:r w:rsidRPr="001939D1">
              <w:rPr>
                <w:rFonts w:asciiTheme="majorBidi" w:hAnsiTheme="majorBidi" w:cstheme="majorBidi"/>
                <w:sz w:val="20"/>
                <w:szCs w:val="20"/>
              </w:rPr>
              <w:t>N.r</w:t>
            </w:r>
            <w:proofErr w:type="spellEnd"/>
            <w:r w:rsidRPr="001939D1">
              <w:rPr>
                <w:rFonts w:asciiTheme="majorBidi" w:hAnsiTheme="majorBidi" w:cstheme="majorBidi"/>
                <w:sz w:val="20"/>
                <w:szCs w:val="20"/>
              </w:rPr>
              <w:t>)</w:t>
            </w:r>
          </w:p>
        </w:tc>
      </w:tr>
      <w:tr w:rsidR="00050D0C" w:rsidRPr="001939D1" w14:paraId="493314E8" w14:textId="77777777" w:rsidTr="00035253">
        <w:tc>
          <w:tcPr>
            <w:tcW w:w="2160" w:type="dxa"/>
          </w:tcPr>
          <w:p w14:paraId="50D050C2"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Healthy Controls (n=90)</w:t>
            </w:r>
          </w:p>
        </w:tc>
        <w:tc>
          <w:tcPr>
            <w:tcW w:w="2160" w:type="dxa"/>
          </w:tcPr>
          <w:p w14:paraId="62B71557"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4.68±2.08ᵃ</w:t>
            </w:r>
          </w:p>
        </w:tc>
        <w:tc>
          <w:tcPr>
            <w:tcW w:w="2160" w:type="dxa"/>
          </w:tcPr>
          <w:p w14:paraId="24BA95E8"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124.08±87.23ᵃ</w:t>
            </w:r>
          </w:p>
        </w:tc>
        <w:tc>
          <w:tcPr>
            <w:tcW w:w="2160" w:type="dxa"/>
          </w:tcPr>
          <w:p w14:paraId="25159CF4"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2.51±0.43ᵃ</w:t>
            </w:r>
          </w:p>
        </w:tc>
      </w:tr>
      <w:tr w:rsidR="00050D0C" w:rsidRPr="001939D1" w14:paraId="38609BD7" w14:textId="77777777" w:rsidTr="00035253">
        <w:tc>
          <w:tcPr>
            <w:tcW w:w="2160" w:type="dxa"/>
          </w:tcPr>
          <w:p w14:paraId="47B5E112"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Diabetes (n=90)</w:t>
            </w:r>
          </w:p>
        </w:tc>
        <w:tc>
          <w:tcPr>
            <w:tcW w:w="2160" w:type="dxa"/>
          </w:tcPr>
          <w:p w14:paraId="278852BF"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7.31±2.84ᵇ</w:t>
            </w:r>
          </w:p>
        </w:tc>
        <w:tc>
          <w:tcPr>
            <w:tcW w:w="2160" w:type="dxa"/>
          </w:tcPr>
          <w:p w14:paraId="33DB2FBF"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408.61±210.84ᵇ</w:t>
            </w:r>
          </w:p>
        </w:tc>
        <w:tc>
          <w:tcPr>
            <w:tcW w:w="2160" w:type="dxa"/>
          </w:tcPr>
          <w:p w14:paraId="7AC37B5D"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9.17±2.61ᵇ</w:t>
            </w:r>
          </w:p>
        </w:tc>
      </w:tr>
      <w:tr w:rsidR="00050D0C" w:rsidRPr="001939D1" w14:paraId="7660CE86" w14:textId="77777777" w:rsidTr="00035253">
        <w:tc>
          <w:tcPr>
            <w:tcW w:w="2160" w:type="dxa"/>
          </w:tcPr>
          <w:p w14:paraId="6D476716"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Kidney Disease (n=90)</w:t>
            </w:r>
          </w:p>
        </w:tc>
        <w:tc>
          <w:tcPr>
            <w:tcW w:w="2160" w:type="dxa"/>
          </w:tcPr>
          <w:p w14:paraId="674AAAFB"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6.98±2.07ᵇ</w:t>
            </w:r>
          </w:p>
        </w:tc>
        <w:tc>
          <w:tcPr>
            <w:tcW w:w="2160" w:type="dxa"/>
          </w:tcPr>
          <w:p w14:paraId="368E3FEB"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742.04±518.69ᶜ</w:t>
            </w:r>
          </w:p>
        </w:tc>
        <w:tc>
          <w:tcPr>
            <w:tcW w:w="2160" w:type="dxa"/>
          </w:tcPr>
          <w:p w14:paraId="0A36E0F5"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4.51±1.52ᶜ</w:t>
            </w:r>
          </w:p>
        </w:tc>
      </w:tr>
      <w:tr w:rsidR="00050D0C" w:rsidRPr="001939D1" w14:paraId="181F2396" w14:textId="77777777" w:rsidTr="00035253">
        <w:tc>
          <w:tcPr>
            <w:tcW w:w="2160" w:type="dxa"/>
          </w:tcPr>
          <w:p w14:paraId="7ADFDB5E"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Diabetes with Kidney Disease (n=90)</w:t>
            </w:r>
          </w:p>
        </w:tc>
        <w:tc>
          <w:tcPr>
            <w:tcW w:w="2160" w:type="dxa"/>
          </w:tcPr>
          <w:p w14:paraId="78EFAC8A"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10.86±3.44ᶜ</w:t>
            </w:r>
          </w:p>
        </w:tc>
        <w:tc>
          <w:tcPr>
            <w:tcW w:w="2160" w:type="dxa"/>
          </w:tcPr>
          <w:p w14:paraId="1DBB3307"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908.61±370.04ᵈ</w:t>
            </w:r>
          </w:p>
        </w:tc>
        <w:tc>
          <w:tcPr>
            <w:tcW w:w="2160" w:type="dxa"/>
          </w:tcPr>
          <w:p w14:paraId="31A167FD"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3.08±1.62ᵈ</w:t>
            </w:r>
          </w:p>
        </w:tc>
      </w:tr>
      <w:tr w:rsidR="00050D0C" w:rsidRPr="001939D1" w14:paraId="7B8A4BB1" w14:textId="77777777" w:rsidTr="00035253">
        <w:tc>
          <w:tcPr>
            <w:tcW w:w="2160" w:type="dxa"/>
          </w:tcPr>
          <w:p w14:paraId="7DA500B0"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P-value</w:t>
            </w:r>
          </w:p>
        </w:tc>
        <w:tc>
          <w:tcPr>
            <w:tcW w:w="2160" w:type="dxa"/>
          </w:tcPr>
          <w:p w14:paraId="3E185FEA"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&lt;0.001</w:t>
            </w:r>
          </w:p>
        </w:tc>
        <w:tc>
          <w:tcPr>
            <w:tcW w:w="2160" w:type="dxa"/>
          </w:tcPr>
          <w:p w14:paraId="48247723"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&lt;0.001</w:t>
            </w:r>
          </w:p>
        </w:tc>
        <w:tc>
          <w:tcPr>
            <w:tcW w:w="2160" w:type="dxa"/>
          </w:tcPr>
          <w:p w14:paraId="39FB5F78" w14:textId="77777777" w:rsidR="00050D0C" w:rsidRPr="001939D1" w:rsidRDefault="00050D0C" w:rsidP="00B86FBD">
            <w:pPr>
              <w:rPr>
                <w:rFonts w:asciiTheme="majorBidi" w:hAnsiTheme="majorBidi" w:cstheme="majorBidi"/>
                <w:sz w:val="20"/>
                <w:szCs w:val="20"/>
              </w:rPr>
            </w:pPr>
            <w:r w:rsidRPr="001939D1">
              <w:rPr>
                <w:rFonts w:asciiTheme="majorBidi" w:hAnsiTheme="majorBidi" w:cstheme="majorBidi"/>
                <w:sz w:val="20"/>
                <w:szCs w:val="20"/>
              </w:rPr>
              <w:t>&lt;0.001</w:t>
            </w:r>
          </w:p>
        </w:tc>
      </w:tr>
    </w:tbl>
    <w:p w14:paraId="0386C1FC" w14:textId="77777777" w:rsidR="00050D0C" w:rsidRPr="001939D1" w:rsidRDefault="00050D0C" w:rsidP="00B86FBD">
      <w:pPr>
        <w:pBdr>
          <w:bottom w:val="single" w:sz="4" w:space="4" w:color="4F81BD"/>
        </w:pBdr>
        <w:rPr>
          <w:rFonts w:asciiTheme="majorBidi" w:eastAsia="MS Mincho" w:hAnsiTheme="majorBidi" w:cstheme="majorBidi"/>
          <w:sz w:val="20"/>
        </w:rPr>
      </w:pPr>
      <w:r w:rsidRPr="001939D1">
        <w:rPr>
          <w:rFonts w:asciiTheme="majorBidi" w:eastAsia="MS Mincho" w:hAnsiTheme="majorBidi" w:cstheme="majorBidi"/>
          <w:sz w:val="20"/>
        </w:rPr>
        <w:t>Different superscript letters indicate statistically significant differences (p&lt;0.05)</w:t>
      </w:r>
    </w:p>
    <w:p w14:paraId="63CC9D9D" w14:textId="77777777" w:rsidR="00050D0C" w:rsidRPr="001939D1" w:rsidRDefault="00050D0C" w:rsidP="00B86FBD">
      <w:pPr>
        <w:pStyle w:val="Heading1"/>
        <w:rPr>
          <w:rFonts w:eastAsia="MS Mincho"/>
        </w:rPr>
      </w:pPr>
      <w:r w:rsidRPr="001939D1">
        <w:t>Discussion</w:t>
      </w:r>
    </w:p>
    <w:p w14:paraId="6C6C2596" w14:textId="24DF9910" w:rsidR="00050D0C" w:rsidRPr="001939D1" w:rsidRDefault="00050D0C" w:rsidP="00B86FBD">
      <w:pPr>
        <w:jc w:val="both"/>
        <w:rPr>
          <w:rFonts w:asciiTheme="majorBidi" w:hAnsiTheme="majorBidi" w:cstheme="majorBidi"/>
          <w:sz w:val="20"/>
        </w:rPr>
      </w:pPr>
      <w:r w:rsidRPr="001939D1">
        <w:rPr>
          <w:rFonts w:asciiTheme="majorBidi" w:hAnsiTheme="majorBidi" w:cstheme="majorBidi"/>
          <w:sz w:val="20"/>
        </w:rPr>
        <w:t>The current investigation offers thorough proof of the complex pathophysiology of diabetic nephropathy, demonstrating the important roles that inflammatory mediators, a-Klotho deficiency, and altered glycemic control markers play in the onset and progression of the illness. When comparing diabetic nephropathy patients to healthy controls, our results reveal a striking 700% increase in CRP levels and a 536% increase in TNF-a levels</w:t>
      </w:r>
      <w:r w:rsidR="00A7263A">
        <w:rPr>
          <w:rFonts w:asciiTheme="majorBidi" w:hAnsiTheme="majorBidi" w:cstheme="majorBidi"/>
          <w:sz w:val="20"/>
        </w:rPr>
        <w:t>.</w:t>
      </w:r>
      <w:r w:rsidRPr="001939D1">
        <w:rPr>
          <w:rFonts w:asciiTheme="majorBidi" w:hAnsiTheme="majorBidi" w:cstheme="majorBidi"/>
          <w:sz w:val="20"/>
        </w:rPr>
        <w:t xml:space="preserve"> This is consistent with recent systematic reviews that demonstrate the effectiveness of inflammatory markers as reliable indicators of the course of diabetic nephropathy </w:t>
      </w:r>
      <w:r w:rsidR="00E53B52">
        <w:rPr>
          <w:rFonts w:asciiTheme="majorBidi" w:hAnsiTheme="majorBidi" w:cstheme="majorBidi"/>
          <w:sz w:val="20"/>
        </w:rPr>
        <w:t>[13]</w:t>
      </w:r>
      <w:r w:rsidRPr="001939D1">
        <w:rPr>
          <w:rFonts w:asciiTheme="majorBidi" w:hAnsiTheme="majorBidi" w:cstheme="majorBidi"/>
          <w:sz w:val="20"/>
        </w:rPr>
        <w:t>. These inflammatory alterations align with the current concept that diabetic nephropathy is a complex inflammatory illness involving several cytokine pathways rather than just being a result of hyperglycemic damage. Our study's observation of a dose-dependent relationship between systemic inflammation and disease severity, as well as recent findings showing that oxidative stress and chronic inflammation are key factors in the pathophysiology of diabetic nephropathy, is supported by the progressive elevation of inflammatory markers from diabetic patients t</w:t>
      </w:r>
      <w:r w:rsidR="00E53B52">
        <w:rPr>
          <w:rFonts w:asciiTheme="majorBidi" w:hAnsiTheme="majorBidi" w:cstheme="majorBidi"/>
          <w:sz w:val="20"/>
        </w:rPr>
        <w:t>o diabetic nephropathy patients</w:t>
      </w:r>
      <w:r w:rsidR="00A7263A">
        <w:rPr>
          <w:rFonts w:asciiTheme="majorBidi" w:hAnsiTheme="majorBidi" w:cstheme="majorBidi"/>
          <w:sz w:val="20"/>
        </w:rPr>
        <w:t xml:space="preserve"> </w:t>
      </w:r>
      <w:r w:rsidR="00E53B52">
        <w:rPr>
          <w:rFonts w:asciiTheme="majorBidi" w:hAnsiTheme="majorBidi" w:cstheme="majorBidi"/>
          <w:sz w:val="20"/>
        </w:rPr>
        <w:t>[14]</w:t>
      </w:r>
      <w:r w:rsidRPr="001939D1">
        <w:rPr>
          <w:rFonts w:asciiTheme="majorBidi" w:hAnsiTheme="majorBidi" w:cstheme="majorBidi"/>
          <w:sz w:val="20"/>
        </w:rPr>
        <w:t xml:space="preserve">. The intermediate levels of inflammatory markers in the nephropathy-only group suggest that chronic kidney disease itself promotes inflammatory cascades, but the magnified inflammatory responses observed in the diabetic effect of diabetic nephropathy patients indicate a </w:t>
      </w:r>
      <w:r w:rsidRPr="001939D1">
        <w:rPr>
          <w:rFonts w:asciiTheme="majorBidi" w:hAnsiTheme="majorBidi" w:cstheme="majorBidi"/>
          <w:sz w:val="20"/>
        </w:rPr>
        <w:lastRenderedPageBreak/>
        <w:t xml:space="preserve">synergistic inflammatory environment that accelerates disease progression, consistent with recent evidence showing that gene expression of inflammatory mediators such as IL-1, IL-6, IL-7, IL-8, and TNF-α are significantly increased in diabetic patients, creating a proinflammatory state </w:t>
      </w:r>
      <w:r w:rsidR="00E53B52">
        <w:rPr>
          <w:rFonts w:asciiTheme="majorBidi" w:hAnsiTheme="majorBidi" w:cstheme="majorBidi"/>
          <w:sz w:val="20"/>
        </w:rPr>
        <w:t>[15]</w:t>
      </w:r>
      <w:r w:rsidRPr="001939D1">
        <w:rPr>
          <w:rFonts w:asciiTheme="majorBidi" w:hAnsiTheme="majorBidi" w:cstheme="majorBidi"/>
          <w:sz w:val="20"/>
        </w:rPr>
        <w:t>.</w:t>
      </w:r>
      <w:r w:rsidRPr="001939D1">
        <w:rPr>
          <w:rFonts w:asciiTheme="majorBidi" w:hAnsiTheme="majorBidi" w:cstheme="majorBidi"/>
          <w:sz w:val="20"/>
          <w:rtl/>
        </w:rPr>
        <w:t xml:space="preserve"> </w:t>
      </w:r>
      <w:r w:rsidRPr="001939D1">
        <w:rPr>
          <w:rFonts w:asciiTheme="majorBidi" w:hAnsiTheme="majorBidi" w:cstheme="majorBidi"/>
          <w:sz w:val="20"/>
        </w:rPr>
        <w:t xml:space="preserve">One of the most significant biomarker changes found in this study is the significant 82.9% decrease in a-Klotho levels seen in our diabetic nephropathy patients. This finding supports the growing idea that a-Klotho is a crucial </w:t>
      </w:r>
      <w:proofErr w:type="spellStart"/>
      <w:r w:rsidRPr="001939D1">
        <w:rPr>
          <w:rFonts w:asciiTheme="majorBidi" w:hAnsiTheme="majorBidi" w:cstheme="majorBidi"/>
          <w:sz w:val="20"/>
        </w:rPr>
        <w:t>renoprotective</w:t>
      </w:r>
      <w:proofErr w:type="spellEnd"/>
      <w:r w:rsidRPr="001939D1">
        <w:rPr>
          <w:rFonts w:asciiTheme="majorBidi" w:hAnsiTheme="majorBidi" w:cstheme="majorBidi"/>
          <w:sz w:val="20"/>
        </w:rPr>
        <w:t xml:space="preserve"> factor whose deficiency contributes to the pathophysiology of diabetic nephropathy. This result is in line with new studies showing that a-Klotho has anti-aging qualities and can postpone the onset of age-related illnesses </w:t>
      </w:r>
      <w:r w:rsidR="00A7263A" w:rsidRPr="001939D1">
        <w:rPr>
          <w:rFonts w:asciiTheme="majorBidi" w:hAnsiTheme="majorBidi" w:cstheme="majorBidi"/>
          <w:sz w:val="20"/>
        </w:rPr>
        <w:t>in</w:t>
      </w:r>
      <w:r w:rsidRPr="001939D1">
        <w:rPr>
          <w:rFonts w:asciiTheme="majorBidi" w:hAnsiTheme="majorBidi" w:cstheme="majorBidi"/>
          <w:sz w:val="20"/>
        </w:rPr>
        <w:t xml:space="preserve"> both people and animals, early diabetic nephropathy has been linked to decreased renal a-Klotho expression</w:t>
      </w:r>
      <w:r w:rsidR="00A7263A">
        <w:rPr>
          <w:rFonts w:asciiTheme="majorBidi" w:hAnsiTheme="majorBidi" w:cstheme="majorBidi"/>
          <w:sz w:val="20"/>
        </w:rPr>
        <w:t xml:space="preserve"> </w:t>
      </w:r>
      <w:r w:rsidR="00E53B52">
        <w:rPr>
          <w:rFonts w:asciiTheme="majorBidi" w:hAnsiTheme="majorBidi" w:cstheme="majorBidi"/>
          <w:sz w:val="20"/>
        </w:rPr>
        <w:t>[16]</w:t>
      </w:r>
      <w:r w:rsidRPr="001939D1">
        <w:rPr>
          <w:rFonts w:asciiTheme="majorBidi" w:hAnsiTheme="majorBidi" w:cstheme="majorBidi"/>
          <w:sz w:val="20"/>
        </w:rPr>
        <w:t xml:space="preserve">. Since recent research has demonstrated that a-Klotho has </w:t>
      </w:r>
      <w:proofErr w:type="spellStart"/>
      <w:r w:rsidRPr="001939D1">
        <w:rPr>
          <w:rFonts w:asciiTheme="majorBidi" w:hAnsiTheme="majorBidi" w:cstheme="majorBidi"/>
          <w:sz w:val="20"/>
        </w:rPr>
        <w:t>renoprotective</w:t>
      </w:r>
      <w:proofErr w:type="spellEnd"/>
      <w:r w:rsidRPr="001939D1">
        <w:rPr>
          <w:rFonts w:asciiTheme="majorBidi" w:hAnsiTheme="majorBidi" w:cstheme="majorBidi"/>
          <w:sz w:val="20"/>
        </w:rPr>
        <w:t xml:space="preserve"> effects through multiple mechanisms, such as mitochondrial protection via AMPK-PGC1a expression, podocyte injury prevention through TRPC6 channel targeting, and anti-inflammatory effects, the mechanism underlying this dramatic a-Klotho deficiency most likely involves multiple pathways </w:t>
      </w:r>
      <w:r w:rsidR="00E53B52">
        <w:rPr>
          <w:rFonts w:asciiTheme="majorBidi" w:hAnsiTheme="majorBidi" w:cstheme="majorBidi"/>
          <w:sz w:val="20"/>
        </w:rPr>
        <w:t>[17]</w:t>
      </w:r>
      <w:r w:rsidRPr="001939D1">
        <w:rPr>
          <w:rFonts w:asciiTheme="majorBidi" w:hAnsiTheme="majorBidi" w:cstheme="majorBidi"/>
          <w:sz w:val="20"/>
        </w:rPr>
        <w:t>. As a possible early biomarker for diabetic kidney disease risk assessment, the intermediate a-Klotho levels found in diabetic patients without nephropathy in our study imply that a-Klotho deficiency may occur before overt nephropathy develops.</w:t>
      </w:r>
      <w:r w:rsidRPr="001939D1">
        <w:rPr>
          <w:rFonts w:asciiTheme="majorBidi" w:hAnsiTheme="majorBidi" w:cstheme="majorBidi"/>
          <w:sz w:val="20"/>
          <w:rtl/>
        </w:rPr>
        <w:t xml:space="preserve"> </w:t>
      </w:r>
      <w:r w:rsidRPr="001939D1">
        <w:rPr>
          <w:rFonts w:asciiTheme="majorBidi" w:hAnsiTheme="majorBidi" w:cstheme="majorBidi"/>
          <w:sz w:val="20"/>
        </w:rPr>
        <w:t xml:space="preserve">With levels 630% higher than controls, our comparative analysis of glycemic control markers showed that glycated albumin had superior sensitivity in identifying glycemic control problems in patients with diabetic nephropathy This finding is consistent with recent meta-analyses that indicate glycated albumin performs better than HbA1c for glycemic monitoring in patients with chronic kidney disease (CKD) </w:t>
      </w:r>
      <w:r w:rsidR="00E53B52">
        <w:rPr>
          <w:rFonts w:asciiTheme="majorBidi" w:hAnsiTheme="majorBidi" w:cstheme="majorBidi"/>
          <w:sz w:val="20"/>
        </w:rPr>
        <w:t>[18]</w:t>
      </w:r>
      <w:r w:rsidRPr="001939D1">
        <w:rPr>
          <w:rFonts w:asciiTheme="majorBidi" w:hAnsiTheme="majorBidi" w:cstheme="majorBidi"/>
          <w:sz w:val="20"/>
        </w:rPr>
        <w:t xml:space="preserve">. This finding is especially noteworthy because, in contrast to HbA1c, glycated albumin represents postprandial glucose levels and shorter-term glycemic control, making it less vulnerable to the confounding effects of anemia and altered red blood cell turnover, which frequently occur in chronic kidney disease </w:t>
      </w:r>
      <w:r w:rsidR="00E53B52">
        <w:rPr>
          <w:rFonts w:asciiTheme="majorBidi" w:hAnsiTheme="majorBidi" w:cstheme="majorBidi"/>
          <w:sz w:val="20"/>
        </w:rPr>
        <w:t>[19]</w:t>
      </w:r>
      <w:r w:rsidRPr="001939D1">
        <w:rPr>
          <w:rFonts w:asciiTheme="majorBidi" w:hAnsiTheme="majorBidi" w:cstheme="majorBidi"/>
          <w:sz w:val="20"/>
        </w:rPr>
        <w:t>. Although glycated albumin is still the preferred marker for evaluating glycemic control in advanced chronic kidney disease, recent research indicates that it may be influenced by factors other than glycemic control, such as changes in protein metabolism in kidney disease.</w:t>
      </w:r>
      <w:r w:rsidRPr="001939D1">
        <w:rPr>
          <w:rFonts w:asciiTheme="majorBidi" w:hAnsiTheme="majorBidi" w:cstheme="majorBidi"/>
          <w:sz w:val="20"/>
          <w:rtl/>
        </w:rPr>
        <w:t xml:space="preserve"> </w:t>
      </w:r>
      <w:r w:rsidRPr="001939D1">
        <w:rPr>
          <w:rFonts w:asciiTheme="majorBidi" w:hAnsiTheme="majorBidi" w:cstheme="majorBidi"/>
          <w:sz w:val="20"/>
        </w:rPr>
        <w:t xml:space="preserve">These findings are consistent with the elevated glycated albumin levels seen in both diabetic patients and nephropathy patients without diabetes </w:t>
      </w:r>
      <w:r w:rsidR="00E53B52">
        <w:rPr>
          <w:rFonts w:asciiTheme="majorBidi" w:hAnsiTheme="majorBidi" w:cstheme="majorBidi"/>
          <w:sz w:val="20"/>
        </w:rPr>
        <w:t>[20]</w:t>
      </w:r>
      <w:r w:rsidRPr="001939D1">
        <w:rPr>
          <w:rFonts w:asciiTheme="majorBidi" w:hAnsiTheme="majorBidi" w:cstheme="majorBidi"/>
          <w:sz w:val="20"/>
        </w:rPr>
        <w:t xml:space="preserve">. Recent evidence suggests that </w:t>
      </w:r>
      <w:proofErr w:type="spellStart"/>
      <w:r w:rsidRPr="001939D1">
        <w:rPr>
          <w:rFonts w:asciiTheme="majorBidi" w:hAnsiTheme="majorBidi" w:cstheme="majorBidi"/>
          <w:sz w:val="20"/>
        </w:rPr>
        <w:t>fructosamine</w:t>
      </w:r>
      <w:proofErr w:type="spellEnd"/>
      <w:r w:rsidRPr="001939D1">
        <w:rPr>
          <w:rFonts w:asciiTheme="majorBidi" w:hAnsiTheme="majorBidi" w:cstheme="majorBidi"/>
          <w:sz w:val="20"/>
        </w:rPr>
        <w:t xml:space="preserve"> may be less dependable in this population than glycated albumin. This is supported by the contrasting pattern of </w:t>
      </w:r>
      <w:proofErr w:type="spellStart"/>
      <w:r w:rsidRPr="001939D1">
        <w:rPr>
          <w:rFonts w:asciiTheme="majorBidi" w:hAnsiTheme="majorBidi" w:cstheme="majorBidi"/>
          <w:sz w:val="20"/>
        </w:rPr>
        <w:t>fructosamine</w:t>
      </w:r>
      <w:proofErr w:type="spellEnd"/>
      <w:r w:rsidRPr="001939D1">
        <w:rPr>
          <w:rFonts w:asciiTheme="majorBidi" w:hAnsiTheme="majorBidi" w:cstheme="majorBidi"/>
          <w:sz w:val="20"/>
        </w:rPr>
        <w:t xml:space="preserve">, which showed lower levels in nephropathy groups and higher levels in diabetic patients. This pattern is likely due to the shorter half-life of proteins in patients with kidney disease. The identification of </w:t>
      </w:r>
      <w:proofErr w:type="gramStart"/>
      <w:r w:rsidRPr="001939D1">
        <w:rPr>
          <w:rFonts w:asciiTheme="majorBidi" w:hAnsiTheme="majorBidi" w:cstheme="majorBidi"/>
          <w:sz w:val="20"/>
        </w:rPr>
        <w:t>particular inflammatory</w:t>
      </w:r>
      <w:proofErr w:type="gramEnd"/>
      <w:r w:rsidRPr="001939D1">
        <w:rPr>
          <w:rFonts w:asciiTheme="majorBidi" w:hAnsiTheme="majorBidi" w:cstheme="majorBidi"/>
          <w:sz w:val="20"/>
        </w:rPr>
        <w:t xml:space="preserve"> pathways and a-Klotho deficiency as important characteristics of diabetic nephropathy suggests potential therapeutic targets for intervention, which is supported by recent preclinical evidence suggesting that anti-inflammatory interventions represent promising therapeutic strategies for diabetic nephropathy. As a result, the clinical implications of our findings go beyond biomarker identification to include </w:t>
      </w:r>
      <w:r w:rsidR="00E53B52">
        <w:rPr>
          <w:rFonts w:asciiTheme="majorBidi" w:hAnsiTheme="majorBidi" w:cstheme="majorBidi"/>
          <w:sz w:val="20"/>
        </w:rPr>
        <w:t>novel therapeutic strategies [21]</w:t>
      </w:r>
      <w:r w:rsidRPr="001939D1">
        <w:rPr>
          <w:rFonts w:asciiTheme="majorBidi" w:hAnsiTheme="majorBidi" w:cstheme="majorBidi"/>
          <w:sz w:val="20"/>
        </w:rPr>
        <w:t xml:space="preserve">. In line with recent longitudinal studies showing that glycated albumin variability is a superior predictor of diabetic nephropathy progression in type 2 diabetic patients, the variability in glycated albumin levels seen in our study may be a better indicator of the progression of diabetic nephropathy independent of </w:t>
      </w:r>
      <w:proofErr w:type="spellStart"/>
      <w:r w:rsidRPr="001939D1">
        <w:rPr>
          <w:rFonts w:asciiTheme="majorBidi" w:hAnsiTheme="majorBidi" w:cstheme="majorBidi"/>
          <w:sz w:val="20"/>
        </w:rPr>
        <w:t>HbAlc</w:t>
      </w:r>
      <w:proofErr w:type="spellEnd"/>
      <w:r w:rsidRPr="001939D1">
        <w:rPr>
          <w:rFonts w:asciiTheme="majorBidi" w:hAnsiTheme="majorBidi" w:cstheme="majorBidi"/>
          <w:sz w:val="20"/>
        </w:rPr>
        <w:t xml:space="preserve"> levels </w:t>
      </w:r>
      <w:r w:rsidR="00E53B52">
        <w:rPr>
          <w:rFonts w:asciiTheme="majorBidi" w:hAnsiTheme="majorBidi" w:cstheme="majorBidi"/>
          <w:sz w:val="20"/>
        </w:rPr>
        <w:t>[22]</w:t>
      </w:r>
      <w:r w:rsidRPr="001939D1">
        <w:rPr>
          <w:rFonts w:asciiTheme="majorBidi" w:hAnsiTheme="majorBidi" w:cstheme="majorBidi"/>
          <w:sz w:val="20"/>
        </w:rPr>
        <w:t>.</w:t>
      </w:r>
    </w:p>
    <w:p w14:paraId="0BEAE9AD" w14:textId="77777777" w:rsidR="00050D0C" w:rsidRPr="001939D1" w:rsidRDefault="00050D0C" w:rsidP="00B86FBD">
      <w:pPr>
        <w:pStyle w:val="Heading1"/>
      </w:pPr>
      <w:r w:rsidRPr="001939D1">
        <w:t>Conclusions</w:t>
      </w:r>
    </w:p>
    <w:p w14:paraId="4E1340D4" w14:textId="3CD94FF4" w:rsidR="00050D0C" w:rsidRPr="001939D1" w:rsidRDefault="00050D0C" w:rsidP="00B86FBD">
      <w:pPr>
        <w:pStyle w:val="BodyText"/>
        <w:jc w:val="both"/>
        <w:rPr>
          <w:rFonts w:asciiTheme="majorBidi" w:hAnsiTheme="majorBidi" w:cstheme="majorBidi"/>
        </w:rPr>
      </w:pPr>
      <w:r w:rsidRPr="001939D1">
        <w:rPr>
          <w:rFonts w:asciiTheme="majorBidi" w:hAnsiTheme="majorBidi" w:cstheme="majorBidi"/>
        </w:rPr>
        <w:t xml:space="preserve">This work highlights the complex pathophysiology of diabetic nephropathy, highlighting the critical roles of a-Klotho deficiency and chronic inflammation. The severity of the condition is correlated with elevated levels of inflammatory markers such as TNF-a and CRP, while a considerable decrease in a-Klotho (more than 80% when compared to healthy individuals) indicates its potential as a biomarker and therapeutic target. Furthermore, in afflicted patients, glycated albumin was found to be a more sensitive measure of glycemic management than either </w:t>
      </w:r>
      <w:proofErr w:type="spellStart"/>
      <w:r w:rsidRPr="001939D1">
        <w:rPr>
          <w:rFonts w:asciiTheme="majorBidi" w:hAnsiTheme="majorBidi" w:cstheme="majorBidi"/>
        </w:rPr>
        <w:t>fructosamine</w:t>
      </w:r>
      <w:proofErr w:type="spellEnd"/>
      <w:r w:rsidRPr="001939D1">
        <w:rPr>
          <w:rFonts w:asciiTheme="majorBidi" w:hAnsiTheme="majorBidi" w:cstheme="majorBidi"/>
        </w:rPr>
        <w:t xml:space="preserve"> or </w:t>
      </w:r>
      <w:proofErr w:type="spellStart"/>
      <w:r w:rsidRPr="001939D1">
        <w:rPr>
          <w:rFonts w:asciiTheme="majorBidi" w:hAnsiTheme="majorBidi" w:cstheme="majorBidi"/>
        </w:rPr>
        <w:t>HbAlc</w:t>
      </w:r>
      <w:proofErr w:type="spellEnd"/>
      <w:r w:rsidRPr="001939D1">
        <w:rPr>
          <w:rFonts w:asciiTheme="majorBidi" w:hAnsiTheme="majorBidi" w:cstheme="majorBidi"/>
        </w:rPr>
        <w:t xml:space="preserve">. When </w:t>
      </w:r>
      <w:r w:rsidR="00D95C7F">
        <w:rPr>
          <w:rFonts w:asciiTheme="majorBidi" w:hAnsiTheme="majorBidi" w:cstheme="majorBidi"/>
        </w:rPr>
        <w:t>considered as a whole, these results suggest that metabolic abnormalities, loss of protective proteins, and inflammatory processes are the primary causes of diabetic nephropathy, providing valuable insights for the development of targeted</w:t>
      </w:r>
      <w:r w:rsidRPr="001939D1">
        <w:rPr>
          <w:rFonts w:asciiTheme="majorBidi" w:hAnsiTheme="majorBidi" w:cstheme="majorBidi"/>
        </w:rPr>
        <w:t xml:space="preserve"> diagnostics and treatments.</w:t>
      </w:r>
    </w:p>
    <w:p w14:paraId="5C90709A" w14:textId="77777777" w:rsidR="00050D0C" w:rsidRPr="00050D0C" w:rsidRDefault="00050D0C" w:rsidP="00B86FBD">
      <w:pPr>
        <w:pStyle w:val="Heading1"/>
      </w:pPr>
      <w:r w:rsidRPr="00050D0C">
        <w:t>References</w:t>
      </w:r>
    </w:p>
    <w:bookmarkStart w:id="4" w:name="_bookmark5"/>
    <w:bookmarkEnd w:id="4"/>
    <w:p w14:paraId="2D21D252" w14:textId="2E92D762" w:rsidR="00050D0C" w:rsidRPr="00C70F9B" w:rsidRDefault="00050D0C" w:rsidP="00B86FBD">
      <w:pPr>
        <w:pStyle w:val="Reference"/>
        <w:numPr>
          <w:ilvl w:val="0"/>
          <w:numId w:val="47"/>
        </w:numPr>
        <w:ind w:left="360"/>
        <w:jc w:val="left"/>
        <w:rPr>
          <w:noProof/>
        </w:rPr>
      </w:pPr>
      <w:r w:rsidRPr="00C70F9B">
        <w:fldChar w:fldCharType="begin" w:fldLock="1"/>
      </w:r>
      <w:r w:rsidRPr="00C70F9B">
        <w:instrText xml:space="preserve">ADDIN Mendeley Bibliography CSL_BIBLIOGRAPHY </w:instrText>
      </w:r>
      <w:r w:rsidRPr="00C70F9B">
        <w:fldChar w:fldCharType="separate"/>
      </w:r>
      <w:r w:rsidRPr="00C70F9B">
        <w:rPr>
          <w:smallCaps/>
          <w:noProof/>
        </w:rPr>
        <w:t>Jia</w:t>
      </w:r>
      <w:r w:rsidRPr="00C70F9B">
        <w:rPr>
          <w:noProof/>
        </w:rPr>
        <w:t xml:space="preserve">, W., R. </w:t>
      </w:r>
      <w:r w:rsidRPr="00C70F9B">
        <w:rPr>
          <w:smallCaps/>
          <w:noProof/>
        </w:rPr>
        <w:t>Yu</w:t>
      </w:r>
      <w:r w:rsidRPr="00C70F9B">
        <w:rPr>
          <w:noProof/>
        </w:rPr>
        <w:t xml:space="preserve">, L. </w:t>
      </w:r>
      <w:r w:rsidRPr="00C70F9B">
        <w:rPr>
          <w:smallCaps/>
          <w:noProof/>
        </w:rPr>
        <w:t>Wang</w:t>
      </w:r>
      <w:r w:rsidRPr="00C70F9B">
        <w:rPr>
          <w:noProof/>
        </w:rPr>
        <w:t xml:space="preserve">, D. </w:t>
      </w:r>
      <w:r w:rsidRPr="00C70F9B">
        <w:rPr>
          <w:smallCaps/>
          <w:noProof/>
        </w:rPr>
        <w:t>Zhu</w:t>
      </w:r>
      <w:r w:rsidRPr="00C70F9B">
        <w:rPr>
          <w:noProof/>
        </w:rPr>
        <w:t xml:space="preserve">, L. </w:t>
      </w:r>
      <w:r w:rsidRPr="00C70F9B">
        <w:rPr>
          <w:smallCaps/>
          <w:noProof/>
        </w:rPr>
        <w:t>Guo</w:t>
      </w:r>
      <w:r w:rsidRPr="00C70F9B">
        <w:rPr>
          <w:noProof/>
        </w:rPr>
        <w:t xml:space="preserve">, J. </w:t>
      </w:r>
      <w:r w:rsidRPr="00C70F9B">
        <w:rPr>
          <w:smallCaps/>
          <w:noProof/>
        </w:rPr>
        <w:t>Weng</w:t>
      </w:r>
      <w:r w:rsidRPr="00C70F9B">
        <w:rPr>
          <w:noProof/>
        </w:rPr>
        <w:t xml:space="preserve">, H. </w:t>
      </w:r>
      <w:r w:rsidRPr="00C70F9B">
        <w:rPr>
          <w:smallCaps/>
          <w:noProof/>
        </w:rPr>
        <w:t>Li</w:t>
      </w:r>
      <w:r w:rsidRPr="00C70F9B">
        <w:rPr>
          <w:noProof/>
        </w:rPr>
        <w:t xml:space="preserve">, M. </w:t>
      </w:r>
      <w:r w:rsidRPr="00C70F9B">
        <w:rPr>
          <w:smallCaps/>
          <w:noProof/>
        </w:rPr>
        <w:t>Zhang</w:t>
      </w:r>
      <w:r w:rsidRPr="00C70F9B">
        <w:rPr>
          <w:noProof/>
        </w:rPr>
        <w:t xml:space="preserve">, X. </w:t>
      </w:r>
      <w:r w:rsidRPr="00C70F9B">
        <w:rPr>
          <w:smallCaps/>
          <w:noProof/>
        </w:rPr>
        <w:t>Ye</w:t>
      </w:r>
      <w:r w:rsidRPr="00C70F9B">
        <w:rPr>
          <w:noProof/>
        </w:rPr>
        <w:t xml:space="preserve"> et Z. </w:t>
      </w:r>
      <w:r w:rsidRPr="00C70F9B">
        <w:rPr>
          <w:smallCaps/>
          <w:noProof/>
        </w:rPr>
        <w:t>Zhou</w:t>
      </w:r>
      <w:r w:rsidRPr="00C70F9B">
        <w:rPr>
          <w:noProof/>
        </w:rPr>
        <w:t xml:space="preserve"> (2025). « Prevalence of chronic kidney disease among Chinese adults with diabetes: a nationwide population-based cross-sectional study », </w:t>
      </w:r>
      <w:r w:rsidRPr="00C70F9B">
        <w:rPr>
          <w:i/>
          <w:iCs/>
          <w:noProof/>
        </w:rPr>
        <w:t>The Lancet Regional Health–Western Pacific</w:t>
      </w:r>
      <w:r w:rsidRPr="00C70F9B">
        <w:rPr>
          <w:noProof/>
        </w:rPr>
        <w:t>, vol. 55.</w:t>
      </w:r>
    </w:p>
    <w:p w14:paraId="058E6876" w14:textId="525D8CFD" w:rsidR="00050D0C" w:rsidRPr="00C70F9B" w:rsidRDefault="00050D0C" w:rsidP="00B86FBD">
      <w:pPr>
        <w:pStyle w:val="Reference"/>
        <w:numPr>
          <w:ilvl w:val="0"/>
          <w:numId w:val="47"/>
        </w:numPr>
        <w:ind w:left="360"/>
        <w:jc w:val="left"/>
        <w:rPr>
          <w:noProof/>
        </w:rPr>
      </w:pPr>
      <w:r w:rsidRPr="00C70F9B">
        <w:rPr>
          <w:smallCaps/>
          <w:noProof/>
          <w:lang w:val="fr-FR"/>
        </w:rPr>
        <w:lastRenderedPageBreak/>
        <w:t>Chatterjee</w:t>
      </w:r>
      <w:r w:rsidRPr="00C70F9B">
        <w:rPr>
          <w:noProof/>
          <w:lang w:val="fr-FR"/>
        </w:rPr>
        <w:t xml:space="preserve">, A., J. </w:t>
      </w:r>
      <w:r w:rsidRPr="00C70F9B">
        <w:rPr>
          <w:smallCaps/>
          <w:noProof/>
          <w:lang w:val="fr-FR"/>
        </w:rPr>
        <w:t>Tumarin</w:t>
      </w:r>
      <w:r w:rsidRPr="00C70F9B">
        <w:rPr>
          <w:noProof/>
          <w:lang w:val="fr-FR"/>
        </w:rPr>
        <w:t xml:space="preserve"> et S. </w:t>
      </w:r>
      <w:r w:rsidRPr="00C70F9B">
        <w:rPr>
          <w:smallCaps/>
          <w:noProof/>
          <w:lang w:val="fr-FR"/>
        </w:rPr>
        <w:t>Prabhakar</w:t>
      </w:r>
      <w:r w:rsidRPr="00C70F9B">
        <w:rPr>
          <w:noProof/>
          <w:lang w:val="fr-FR"/>
        </w:rPr>
        <w:t xml:space="preserve"> (2024). </w:t>
      </w:r>
      <w:r w:rsidRPr="00C70F9B">
        <w:rPr>
          <w:noProof/>
        </w:rPr>
        <w:t xml:space="preserve">« Role of inflammation in the progression of diabetic kidney disease », </w:t>
      </w:r>
      <w:r w:rsidRPr="00C70F9B">
        <w:rPr>
          <w:i/>
          <w:iCs/>
          <w:noProof/>
        </w:rPr>
        <w:t>Vessel Plus</w:t>
      </w:r>
      <w:r w:rsidRPr="00C70F9B">
        <w:rPr>
          <w:noProof/>
        </w:rPr>
        <w:t>, vol. 8, p. N-A.</w:t>
      </w:r>
    </w:p>
    <w:p w14:paraId="434A3415" w14:textId="69F69D33" w:rsidR="00050D0C" w:rsidRPr="00C70F9B" w:rsidRDefault="00050D0C" w:rsidP="00B86FBD">
      <w:pPr>
        <w:pStyle w:val="Reference"/>
        <w:numPr>
          <w:ilvl w:val="0"/>
          <w:numId w:val="47"/>
        </w:numPr>
        <w:ind w:left="360"/>
        <w:jc w:val="left"/>
        <w:rPr>
          <w:noProof/>
        </w:rPr>
      </w:pPr>
      <w:r w:rsidRPr="00C70F9B">
        <w:rPr>
          <w:smallCaps/>
          <w:noProof/>
          <w:lang w:val="fr-FR"/>
        </w:rPr>
        <w:t>Zhao</w:t>
      </w:r>
      <w:r w:rsidRPr="00C70F9B">
        <w:rPr>
          <w:noProof/>
          <w:lang w:val="fr-FR"/>
        </w:rPr>
        <w:t xml:space="preserve">, J., N. </w:t>
      </w:r>
      <w:r w:rsidRPr="00C70F9B">
        <w:rPr>
          <w:smallCaps/>
          <w:noProof/>
          <w:lang w:val="fr-FR"/>
        </w:rPr>
        <w:t>Li</w:t>
      </w:r>
      <w:r w:rsidRPr="00C70F9B">
        <w:rPr>
          <w:noProof/>
          <w:lang w:val="fr-FR"/>
        </w:rPr>
        <w:t xml:space="preserve">, S. </w:t>
      </w:r>
      <w:r w:rsidRPr="00C70F9B">
        <w:rPr>
          <w:smallCaps/>
          <w:noProof/>
          <w:lang w:val="fr-FR"/>
        </w:rPr>
        <w:t>Li</w:t>
      </w:r>
      <w:r w:rsidRPr="00C70F9B">
        <w:rPr>
          <w:noProof/>
          <w:lang w:val="fr-FR"/>
        </w:rPr>
        <w:t xml:space="preserve"> et J. </w:t>
      </w:r>
      <w:r w:rsidRPr="00C70F9B">
        <w:rPr>
          <w:smallCaps/>
          <w:noProof/>
          <w:lang w:val="fr-FR"/>
        </w:rPr>
        <w:t>Dou</w:t>
      </w:r>
      <w:r w:rsidRPr="00C70F9B">
        <w:rPr>
          <w:noProof/>
          <w:lang w:val="fr-FR"/>
        </w:rPr>
        <w:t xml:space="preserve"> (2025). </w:t>
      </w:r>
      <w:r w:rsidRPr="00C70F9B">
        <w:rPr>
          <w:noProof/>
        </w:rPr>
        <w:t xml:space="preserve">« The predictive significance of the triglyceride-glucose index in forecasting adverse cardiovascular events among type 2 diabetes mellitus patients with co-existing hyperuricemia: a retrospective cohort study », </w:t>
      </w:r>
      <w:r w:rsidRPr="00C70F9B">
        <w:rPr>
          <w:i/>
          <w:iCs/>
          <w:noProof/>
        </w:rPr>
        <w:t>Cardiovascular Diabetology</w:t>
      </w:r>
      <w:r w:rsidRPr="00C70F9B">
        <w:rPr>
          <w:noProof/>
        </w:rPr>
        <w:t>, vol. 24, n° 1, p. 1‑20.</w:t>
      </w:r>
    </w:p>
    <w:p w14:paraId="10BCF2D5" w14:textId="34F99ED2" w:rsidR="00050D0C" w:rsidRPr="00C70F9B" w:rsidRDefault="00050D0C" w:rsidP="00B86FBD">
      <w:pPr>
        <w:pStyle w:val="Reference"/>
        <w:numPr>
          <w:ilvl w:val="0"/>
          <w:numId w:val="47"/>
        </w:numPr>
        <w:ind w:left="360"/>
        <w:jc w:val="left"/>
        <w:rPr>
          <w:noProof/>
        </w:rPr>
      </w:pPr>
      <w:r w:rsidRPr="00C70F9B">
        <w:rPr>
          <w:smallCaps/>
          <w:noProof/>
          <w:lang w:val="fr-FR"/>
        </w:rPr>
        <w:t>Abd-Alsalam</w:t>
      </w:r>
      <w:r w:rsidRPr="00C70F9B">
        <w:rPr>
          <w:noProof/>
          <w:lang w:val="fr-FR"/>
        </w:rPr>
        <w:t xml:space="preserve">, A., I. G. </w:t>
      </w:r>
      <w:r w:rsidRPr="00C70F9B">
        <w:rPr>
          <w:smallCaps/>
          <w:noProof/>
          <w:lang w:val="fr-FR"/>
        </w:rPr>
        <w:t>Zainal</w:t>
      </w:r>
      <w:r w:rsidRPr="00C70F9B">
        <w:rPr>
          <w:noProof/>
          <w:lang w:val="fr-FR"/>
        </w:rPr>
        <w:t xml:space="preserve"> et G. A. </w:t>
      </w:r>
      <w:r w:rsidRPr="00C70F9B">
        <w:rPr>
          <w:smallCaps/>
          <w:noProof/>
          <w:lang w:val="fr-FR"/>
        </w:rPr>
        <w:t>Taqa</w:t>
      </w:r>
      <w:r w:rsidRPr="00C70F9B">
        <w:rPr>
          <w:noProof/>
          <w:lang w:val="fr-FR"/>
        </w:rPr>
        <w:t xml:space="preserve"> (2022). </w:t>
      </w:r>
      <w:r w:rsidRPr="00C70F9B">
        <w:rPr>
          <w:noProof/>
        </w:rPr>
        <w:t xml:space="preserve">« Estimation of protein oxidation parameters in patients with diabetic nephropathy », dans </w:t>
      </w:r>
      <w:r w:rsidRPr="00C70F9B">
        <w:rPr>
          <w:i/>
          <w:iCs/>
          <w:noProof/>
        </w:rPr>
        <w:t>AIP Conference Proceedings</w:t>
      </w:r>
      <w:r w:rsidRPr="00C70F9B">
        <w:rPr>
          <w:noProof/>
        </w:rPr>
        <w:t>, AIP Publishing.</w:t>
      </w:r>
    </w:p>
    <w:p w14:paraId="3BBC89C1" w14:textId="674EAA57" w:rsidR="00050D0C" w:rsidRPr="00C70F9B" w:rsidRDefault="00050D0C" w:rsidP="00B86FBD">
      <w:pPr>
        <w:pStyle w:val="Reference"/>
        <w:numPr>
          <w:ilvl w:val="0"/>
          <w:numId w:val="47"/>
        </w:numPr>
        <w:ind w:left="360"/>
        <w:jc w:val="left"/>
        <w:rPr>
          <w:noProof/>
        </w:rPr>
      </w:pPr>
      <w:r w:rsidRPr="00C70F9B">
        <w:rPr>
          <w:smallCaps/>
          <w:noProof/>
          <w:lang w:val="fr-FR"/>
        </w:rPr>
        <w:t>Donate-Correa</w:t>
      </w:r>
      <w:r w:rsidRPr="00C70F9B">
        <w:rPr>
          <w:noProof/>
          <w:lang w:val="fr-FR"/>
        </w:rPr>
        <w:t xml:space="preserve">, J., C. M. </w:t>
      </w:r>
      <w:r w:rsidRPr="00C70F9B">
        <w:rPr>
          <w:smallCaps/>
          <w:noProof/>
          <w:lang w:val="fr-FR"/>
        </w:rPr>
        <w:t>Ferri</w:t>
      </w:r>
      <w:r w:rsidRPr="00C70F9B">
        <w:rPr>
          <w:noProof/>
          <w:lang w:val="fr-FR"/>
        </w:rPr>
        <w:t xml:space="preserve">, F. </w:t>
      </w:r>
      <w:r w:rsidRPr="00C70F9B">
        <w:rPr>
          <w:smallCaps/>
          <w:noProof/>
          <w:lang w:val="fr-FR"/>
        </w:rPr>
        <w:t>Sánchez-Quintana</w:t>
      </w:r>
      <w:r w:rsidRPr="00C70F9B">
        <w:rPr>
          <w:noProof/>
          <w:lang w:val="fr-FR"/>
        </w:rPr>
        <w:t xml:space="preserve">, A. </w:t>
      </w:r>
      <w:r w:rsidRPr="00C70F9B">
        <w:rPr>
          <w:smallCaps/>
          <w:noProof/>
          <w:lang w:val="fr-FR"/>
        </w:rPr>
        <w:t>Pérez-Castro</w:t>
      </w:r>
      <w:r w:rsidRPr="00C70F9B">
        <w:rPr>
          <w:noProof/>
          <w:lang w:val="fr-FR"/>
        </w:rPr>
        <w:t xml:space="preserve">, A. </w:t>
      </w:r>
      <w:r w:rsidRPr="00C70F9B">
        <w:rPr>
          <w:smallCaps/>
          <w:noProof/>
          <w:lang w:val="fr-FR"/>
        </w:rPr>
        <w:t>González-Luis</w:t>
      </w:r>
      <w:r w:rsidRPr="00C70F9B">
        <w:rPr>
          <w:noProof/>
          <w:lang w:val="fr-FR"/>
        </w:rPr>
        <w:t xml:space="preserve">, E. </w:t>
      </w:r>
      <w:r w:rsidRPr="00C70F9B">
        <w:rPr>
          <w:smallCaps/>
          <w:noProof/>
          <w:lang w:val="fr-FR"/>
        </w:rPr>
        <w:t>Martín-Núñez</w:t>
      </w:r>
      <w:r w:rsidRPr="00C70F9B">
        <w:rPr>
          <w:noProof/>
          <w:lang w:val="fr-FR"/>
        </w:rPr>
        <w:t xml:space="preserve">, C. </w:t>
      </w:r>
      <w:r w:rsidRPr="00C70F9B">
        <w:rPr>
          <w:smallCaps/>
          <w:noProof/>
          <w:lang w:val="fr-FR"/>
        </w:rPr>
        <w:t>Mora-Fernández</w:t>
      </w:r>
      <w:r w:rsidRPr="00C70F9B">
        <w:rPr>
          <w:noProof/>
          <w:lang w:val="fr-FR"/>
        </w:rPr>
        <w:t xml:space="preserve"> et J. F. </w:t>
      </w:r>
      <w:r w:rsidRPr="00C70F9B">
        <w:rPr>
          <w:smallCaps/>
          <w:noProof/>
          <w:lang w:val="fr-FR"/>
        </w:rPr>
        <w:t>Navarro-González</w:t>
      </w:r>
      <w:r w:rsidRPr="00C70F9B">
        <w:rPr>
          <w:noProof/>
          <w:lang w:val="fr-FR"/>
        </w:rPr>
        <w:t xml:space="preserve"> (2021). </w:t>
      </w:r>
      <w:r w:rsidRPr="00C70F9B">
        <w:rPr>
          <w:noProof/>
        </w:rPr>
        <w:t xml:space="preserve">« Inflammatory cytokines in diabetic kidney disease: pathophysiologic and therapeutic implications », </w:t>
      </w:r>
      <w:r w:rsidRPr="00C70F9B">
        <w:rPr>
          <w:i/>
          <w:iCs/>
          <w:noProof/>
        </w:rPr>
        <w:t>Frontiers in Medicine</w:t>
      </w:r>
      <w:r w:rsidRPr="00C70F9B">
        <w:rPr>
          <w:noProof/>
        </w:rPr>
        <w:t>, vol. 7, p. 628289.</w:t>
      </w:r>
    </w:p>
    <w:p w14:paraId="4AFD89AE" w14:textId="4FE9B375" w:rsidR="00050D0C" w:rsidRPr="00C70F9B" w:rsidRDefault="00050D0C" w:rsidP="00B86FBD">
      <w:pPr>
        <w:pStyle w:val="Reference"/>
        <w:numPr>
          <w:ilvl w:val="0"/>
          <w:numId w:val="47"/>
        </w:numPr>
        <w:ind w:left="360"/>
        <w:jc w:val="left"/>
        <w:rPr>
          <w:noProof/>
        </w:rPr>
      </w:pPr>
      <w:r w:rsidRPr="00C70F9B">
        <w:rPr>
          <w:smallCaps/>
          <w:noProof/>
          <w:lang w:val="fr-FR"/>
        </w:rPr>
        <w:t>Xin</w:t>
      </w:r>
      <w:r w:rsidRPr="00C70F9B">
        <w:rPr>
          <w:noProof/>
          <w:lang w:val="fr-FR"/>
        </w:rPr>
        <w:t xml:space="preserve">, C., X. </w:t>
      </w:r>
      <w:r w:rsidRPr="00C70F9B">
        <w:rPr>
          <w:smallCaps/>
          <w:noProof/>
          <w:lang w:val="fr-FR"/>
        </w:rPr>
        <w:t>Sun</w:t>
      </w:r>
      <w:r w:rsidRPr="00C70F9B">
        <w:rPr>
          <w:noProof/>
          <w:lang w:val="fr-FR"/>
        </w:rPr>
        <w:t xml:space="preserve">, Z. </w:t>
      </w:r>
      <w:r w:rsidRPr="00C70F9B">
        <w:rPr>
          <w:smallCaps/>
          <w:noProof/>
          <w:lang w:val="fr-FR"/>
        </w:rPr>
        <w:t>Li</w:t>
      </w:r>
      <w:r w:rsidRPr="00C70F9B">
        <w:rPr>
          <w:noProof/>
          <w:lang w:val="fr-FR"/>
        </w:rPr>
        <w:t xml:space="preserve"> et T. </w:t>
      </w:r>
      <w:r w:rsidRPr="00C70F9B">
        <w:rPr>
          <w:smallCaps/>
          <w:noProof/>
          <w:lang w:val="fr-FR"/>
        </w:rPr>
        <w:t>Gao</w:t>
      </w:r>
      <w:r w:rsidRPr="00C70F9B">
        <w:rPr>
          <w:noProof/>
          <w:lang w:val="fr-FR"/>
        </w:rPr>
        <w:t xml:space="preserve"> (2022). </w:t>
      </w:r>
      <w:r w:rsidRPr="00C70F9B">
        <w:rPr>
          <w:noProof/>
        </w:rPr>
        <w:t xml:space="preserve">« Relationship of soluble klotho and early stage of diabetic nephropathy: a systematic review and meta-analysis », </w:t>
      </w:r>
      <w:r w:rsidRPr="00C70F9B">
        <w:rPr>
          <w:i/>
          <w:iCs/>
          <w:noProof/>
        </w:rPr>
        <w:t>Frontiers in Endocrinology</w:t>
      </w:r>
      <w:r w:rsidRPr="00C70F9B">
        <w:rPr>
          <w:noProof/>
        </w:rPr>
        <w:t>, vol. 13, p. 902765.</w:t>
      </w:r>
    </w:p>
    <w:p w14:paraId="7B97A682" w14:textId="53965FE7" w:rsidR="00050D0C" w:rsidRPr="00C70F9B" w:rsidRDefault="00050D0C" w:rsidP="00B86FBD">
      <w:pPr>
        <w:pStyle w:val="Reference"/>
        <w:numPr>
          <w:ilvl w:val="0"/>
          <w:numId w:val="47"/>
        </w:numPr>
        <w:ind w:left="360"/>
        <w:jc w:val="left"/>
        <w:rPr>
          <w:noProof/>
        </w:rPr>
      </w:pPr>
      <w:r w:rsidRPr="00C70F9B">
        <w:rPr>
          <w:smallCaps/>
          <w:noProof/>
        </w:rPr>
        <w:t>Xie</w:t>
      </w:r>
      <w:r w:rsidRPr="00C70F9B">
        <w:rPr>
          <w:noProof/>
        </w:rPr>
        <w:t xml:space="preserve">, J., Z.-H. </w:t>
      </w:r>
      <w:r w:rsidRPr="00C70F9B">
        <w:rPr>
          <w:smallCaps/>
          <w:noProof/>
        </w:rPr>
        <w:t>Wang</w:t>
      </w:r>
      <w:r w:rsidRPr="00C70F9B">
        <w:rPr>
          <w:noProof/>
        </w:rPr>
        <w:t xml:space="preserve">, Z. </w:t>
      </w:r>
      <w:r w:rsidRPr="00C70F9B">
        <w:rPr>
          <w:smallCaps/>
          <w:noProof/>
        </w:rPr>
        <w:t>Zhang</w:t>
      </w:r>
      <w:r w:rsidRPr="00C70F9B">
        <w:rPr>
          <w:noProof/>
        </w:rPr>
        <w:t xml:space="preserve">, Y. </w:t>
      </w:r>
      <w:r w:rsidRPr="00C70F9B">
        <w:rPr>
          <w:smallCaps/>
          <w:noProof/>
        </w:rPr>
        <w:t>Li</w:t>
      </w:r>
      <w:r w:rsidRPr="00C70F9B">
        <w:rPr>
          <w:noProof/>
        </w:rPr>
        <w:t xml:space="preserve">, C. </w:t>
      </w:r>
      <w:r w:rsidRPr="00C70F9B">
        <w:rPr>
          <w:smallCaps/>
          <w:noProof/>
        </w:rPr>
        <w:t>Shen</w:t>
      </w:r>
      <w:r w:rsidRPr="00C70F9B">
        <w:rPr>
          <w:noProof/>
        </w:rPr>
        <w:t xml:space="preserve">, Y. </w:t>
      </w:r>
      <w:r w:rsidRPr="00C70F9B">
        <w:rPr>
          <w:smallCaps/>
          <w:noProof/>
        </w:rPr>
        <w:t>Meng</w:t>
      </w:r>
      <w:r w:rsidRPr="00C70F9B">
        <w:rPr>
          <w:noProof/>
        </w:rPr>
        <w:t xml:space="preserve">, W.-J. </w:t>
      </w:r>
      <w:r w:rsidRPr="00C70F9B">
        <w:rPr>
          <w:smallCaps/>
          <w:noProof/>
        </w:rPr>
        <w:t>Zhao</w:t>
      </w:r>
      <w:r w:rsidRPr="00C70F9B">
        <w:rPr>
          <w:noProof/>
        </w:rPr>
        <w:t xml:space="preserve">, D.-Q. </w:t>
      </w:r>
      <w:r w:rsidRPr="00C70F9B">
        <w:rPr>
          <w:smallCaps/>
          <w:noProof/>
        </w:rPr>
        <w:t>Chen</w:t>
      </w:r>
      <w:r w:rsidRPr="00C70F9B">
        <w:rPr>
          <w:noProof/>
        </w:rPr>
        <w:t xml:space="preserve">, L.-Y. </w:t>
      </w:r>
      <w:r w:rsidRPr="00C70F9B">
        <w:rPr>
          <w:smallCaps/>
          <w:noProof/>
        </w:rPr>
        <w:t>Sun</w:t>
      </w:r>
      <w:r w:rsidRPr="00C70F9B">
        <w:rPr>
          <w:noProof/>
        </w:rPr>
        <w:t xml:space="preserve"> et Y.-F. </w:t>
      </w:r>
      <w:r w:rsidRPr="00C70F9B">
        <w:rPr>
          <w:smallCaps/>
          <w:noProof/>
        </w:rPr>
        <w:t>Wang</w:t>
      </w:r>
      <w:r w:rsidRPr="00C70F9B">
        <w:rPr>
          <w:noProof/>
        </w:rPr>
        <w:t xml:space="preserve"> (2025). « Adjusted glycated albumin is a novel indicator of glycemic control in patients with macroalbuminuria in diabetic kidney disease », </w:t>
      </w:r>
      <w:r w:rsidRPr="00C70F9B">
        <w:rPr>
          <w:i/>
          <w:iCs/>
          <w:noProof/>
        </w:rPr>
        <w:t>Scientific Reports</w:t>
      </w:r>
      <w:r w:rsidRPr="00C70F9B">
        <w:rPr>
          <w:noProof/>
        </w:rPr>
        <w:t>, vol. 15, n° 1, p. 13812.</w:t>
      </w:r>
    </w:p>
    <w:p w14:paraId="03DBC251" w14:textId="4AE9F6EF" w:rsidR="00050D0C" w:rsidRPr="00C70F9B" w:rsidRDefault="00050D0C" w:rsidP="00B86FBD">
      <w:pPr>
        <w:pStyle w:val="Reference"/>
        <w:numPr>
          <w:ilvl w:val="0"/>
          <w:numId w:val="47"/>
        </w:numPr>
        <w:ind w:left="360"/>
        <w:jc w:val="left"/>
        <w:rPr>
          <w:noProof/>
        </w:rPr>
      </w:pPr>
      <w:r w:rsidRPr="00C70F9B">
        <w:rPr>
          <w:smallCaps/>
          <w:noProof/>
          <w:lang w:val="fr-FR"/>
        </w:rPr>
        <w:t>Hani</w:t>
      </w:r>
      <w:r w:rsidRPr="00C70F9B">
        <w:rPr>
          <w:noProof/>
          <w:lang w:val="fr-FR"/>
        </w:rPr>
        <w:t xml:space="preserve">, Y. Z., et I. G. </w:t>
      </w:r>
      <w:r w:rsidRPr="00C70F9B">
        <w:rPr>
          <w:smallCaps/>
          <w:noProof/>
          <w:lang w:val="fr-FR"/>
        </w:rPr>
        <w:t>Zainal</w:t>
      </w:r>
      <w:r w:rsidRPr="00C70F9B">
        <w:rPr>
          <w:noProof/>
          <w:lang w:val="fr-FR"/>
        </w:rPr>
        <w:t xml:space="preserve"> (2024). </w:t>
      </w:r>
      <w:r w:rsidRPr="00C70F9B">
        <w:rPr>
          <w:noProof/>
        </w:rPr>
        <w:t xml:space="preserve">« Estimate the Correlation Between Some Antioxidant Biomarkers and Pseudo Peroxidase Activity of Hemoglobin in Patients With Chronic Kidney Disease », </w:t>
      </w:r>
      <w:r w:rsidRPr="00C70F9B">
        <w:rPr>
          <w:i/>
          <w:iCs/>
          <w:noProof/>
        </w:rPr>
        <w:t>Journal of Pioneering Medical Sciences</w:t>
      </w:r>
      <w:r w:rsidRPr="00C70F9B">
        <w:rPr>
          <w:noProof/>
        </w:rPr>
        <w:t>, vol. 13, p. 28‑35.</w:t>
      </w:r>
    </w:p>
    <w:p w14:paraId="20BA3EEC" w14:textId="0CB31CBF" w:rsidR="00050D0C" w:rsidRPr="00C70F9B" w:rsidRDefault="00050D0C" w:rsidP="00B86FBD">
      <w:pPr>
        <w:pStyle w:val="Reference"/>
        <w:numPr>
          <w:ilvl w:val="0"/>
          <w:numId w:val="47"/>
        </w:numPr>
        <w:ind w:left="360"/>
        <w:jc w:val="left"/>
        <w:rPr>
          <w:noProof/>
        </w:rPr>
      </w:pPr>
      <w:r w:rsidRPr="00C70F9B">
        <w:rPr>
          <w:smallCaps/>
          <w:noProof/>
        </w:rPr>
        <w:t>Rossing</w:t>
      </w:r>
      <w:r w:rsidRPr="00C70F9B">
        <w:rPr>
          <w:noProof/>
        </w:rPr>
        <w:t xml:space="preserve">, P., M. L. </w:t>
      </w:r>
      <w:r w:rsidRPr="00C70F9B">
        <w:rPr>
          <w:smallCaps/>
          <w:noProof/>
        </w:rPr>
        <w:t>Caramori</w:t>
      </w:r>
      <w:r w:rsidRPr="00C70F9B">
        <w:rPr>
          <w:noProof/>
        </w:rPr>
        <w:t xml:space="preserve">, J. C. N. </w:t>
      </w:r>
      <w:r w:rsidRPr="00C70F9B">
        <w:rPr>
          <w:smallCaps/>
          <w:noProof/>
        </w:rPr>
        <w:t>Chan</w:t>
      </w:r>
      <w:r w:rsidRPr="00C70F9B">
        <w:rPr>
          <w:noProof/>
        </w:rPr>
        <w:t xml:space="preserve">, H. J. L. </w:t>
      </w:r>
      <w:r w:rsidRPr="00C70F9B">
        <w:rPr>
          <w:smallCaps/>
          <w:noProof/>
        </w:rPr>
        <w:t>Heerspink</w:t>
      </w:r>
      <w:r w:rsidRPr="00C70F9B">
        <w:rPr>
          <w:noProof/>
        </w:rPr>
        <w:t xml:space="preserve">, C. </w:t>
      </w:r>
      <w:r w:rsidRPr="00C70F9B">
        <w:rPr>
          <w:smallCaps/>
          <w:noProof/>
        </w:rPr>
        <w:t>Hurst</w:t>
      </w:r>
      <w:r w:rsidRPr="00C70F9B">
        <w:rPr>
          <w:noProof/>
        </w:rPr>
        <w:t xml:space="preserve">, K. </w:t>
      </w:r>
      <w:r w:rsidRPr="00C70F9B">
        <w:rPr>
          <w:smallCaps/>
          <w:noProof/>
        </w:rPr>
        <w:t>Khunti</w:t>
      </w:r>
      <w:r w:rsidRPr="00C70F9B">
        <w:rPr>
          <w:noProof/>
        </w:rPr>
        <w:t xml:space="preserve">, A. </w:t>
      </w:r>
      <w:r w:rsidRPr="00C70F9B">
        <w:rPr>
          <w:smallCaps/>
          <w:noProof/>
        </w:rPr>
        <w:t>Liew</w:t>
      </w:r>
      <w:r w:rsidRPr="00C70F9B">
        <w:rPr>
          <w:noProof/>
        </w:rPr>
        <w:t xml:space="preserve">, E. D. </w:t>
      </w:r>
      <w:r w:rsidRPr="00C70F9B">
        <w:rPr>
          <w:smallCaps/>
          <w:noProof/>
        </w:rPr>
        <w:t>Michos</w:t>
      </w:r>
      <w:r w:rsidRPr="00C70F9B">
        <w:rPr>
          <w:noProof/>
        </w:rPr>
        <w:t xml:space="preserve">, S. D. </w:t>
      </w:r>
      <w:r w:rsidRPr="00C70F9B">
        <w:rPr>
          <w:smallCaps/>
          <w:noProof/>
        </w:rPr>
        <w:t>Navaneethan</w:t>
      </w:r>
      <w:r w:rsidRPr="00C70F9B">
        <w:rPr>
          <w:noProof/>
        </w:rPr>
        <w:t xml:space="preserve"> et W. A. </w:t>
      </w:r>
      <w:r w:rsidRPr="00C70F9B">
        <w:rPr>
          <w:smallCaps/>
          <w:noProof/>
        </w:rPr>
        <w:t>Olowu</w:t>
      </w:r>
      <w:r w:rsidRPr="00C70F9B">
        <w:rPr>
          <w:noProof/>
        </w:rPr>
        <w:t xml:space="preserve"> (2022). « KDIGO 2022 clinical practice guideline for diabetes management in chronic kidney disease », </w:t>
      </w:r>
      <w:r w:rsidRPr="00C70F9B">
        <w:rPr>
          <w:i/>
          <w:iCs/>
          <w:noProof/>
        </w:rPr>
        <w:t>Kidney international</w:t>
      </w:r>
      <w:r w:rsidRPr="00C70F9B">
        <w:rPr>
          <w:noProof/>
        </w:rPr>
        <w:t>, vol. 102, n° 5, p. S1‑S127.</w:t>
      </w:r>
    </w:p>
    <w:p w14:paraId="240C9EA1" w14:textId="4E6290C5" w:rsidR="00050D0C" w:rsidRPr="00C70F9B" w:rsidRDefault="00050D0C" w:rsidP="00B86FBD">
      <w:pPr>
        <w:pStyle w:val="Reference"/>
        <w:numPr>
          <w:ilvl w:val="0"/>
          <w:numId w:val="47"/>
        </w:numPr>
        <w:ind w:left="360"/>
        <w:jc w:val="left"/>
        <w:rPr>
          <w:noProof/>
        </w:rPr>
      </w:pPr>
      <w:r w:rsidRPr="00C70F9B">
        <w:rPr>
          <w:smallCaps/>
          <w:noProof/>
          <w:lang w:val="fr-FR"/>
        </w:rPr>
        <w:t>Typiak</w:t>
      </w:r>
      <w:r w:rsidRPr="00C70F9B">
        <w:rPr>
          <w:noProof/>
          <w:lang w:val="fr-FR"/>
        </w:rPr>
        <w:t xml:space="preserve">, M., et A. </w:t>
      </w:r>
      <w:r w:rsidRPr="00C70F9B">
        <w:rPr>
          <w:smallCaps/>
          <w:noProof/>
          <w:lang w:val="fr-FR"/>
        </w:rPr>
        <w:t>Piwkowska</w:t>
      </w:r>
      <w:r w:rsidRPr="00C70F9B">
        <w:rPr>
          <w:noProof/>
          <w:lang w:val="fr-FR"/>
        </w:rPr>
        <w:t xml:space="preserve"> (2021). </w:t>
      </w:r>
      <w:r w:rsidRPr="00C70F9B">
        <w:rPr>
          <w:noProof/>
        </w:rPr>
        <w:t xml:space="preserve">« Antiinflammatory actions of klotho: implications for therapy of diabetic nephropathy », </w:t>
      </w:r>
      <w:r w:rsidRPr="00C70F9B">
        <w:rPr>
          <w:i/>
          <w:iCs/>
          <w:noProof/>
        </w:rPr>
        <w:t>International Journal of Molecular Sciences</w:t>
      </w:r>
      <w:r w:rsidRPr="00C70F9B">
        <w:rPr>
          <w:noProof/>
        </w:rPr>
        <w:t>, vol. 22, n° 2, p. 956.</w:t>
      </w:r>
    </w:p>
    <w:p w14:paraId="132E577D" w14:textId="3658B70D" w:rsidR="00050D0C" w:rsidRPr="00C70F9B" w:rsidRDefault="00050D0C" w:rsidP="00B86FBD">
      <w:pPr>
        <w:pStyle w:val="Reference"/>
        <w:numPr>
          <w:ilvl w:val="0"/>
          <w:numId w:val="47"/>
        </w:numPr>
        <w:ind w:left="360"/>
        <w:jc w:val="left"/>
        <w:rPr>
          <w:noProof/>
        </w:rPr>
      </w:pPr>
      <w:r w:rsidRPr="00C70F9B">
        <w:rPr>
          <w:smallCaps/>
          <w:noProof/>
        </w:rPr>
        <w:t>Wang</w:t>
      </w:r>
      <w:r w:rsidRPr="00C70F9B">
        <w:rPr>
          <w:noProof/>
        </w:rPr>
        <w:t xml:space="preserve">, G., J. </w:t>
      </w:r>
      <w:r w:rsidRPr="00C70F9B">
        <w:rPr>
          <w:smallCaps/>
          <w:noProof/>
        </w:rPr>
        <w:t>Ouyang</w:t>
      </w:r>
      <w:r w:rsidRPr="00C70F9B">
        <w:rPr>
          <w:noProof/>
        </w:rPr>
        <w:t xml:space="preserve">, S. </w:t>
      </w:r>
      <w:r w:rsidRPr="00C70F9B">
        <w:rPr>
          <w:smallCaps/>
          <w:noProof/>
        </w:rPr>
        <w:t>Li</w:t>
      </w:r>
      <w:r w:rsidRPr="00C70F9B">
        <w:rPr>
          <w:noProof/>
        </w:rPr>
        <w:t xml:space="preserve">, H. </w:t>
      </w:r>
      <w:r w:rsidRPr="00C70F9B">
        <w:rPr>
          <w:smallCaps/>
          <w:noProof/>
        </w:rPr>
        <w:t>Wang</w:t>
      </w:r>
      <w:r w:rsidRPr="00C70F9B">
        <w:rPr>
          <w:noProof/>
        </w:rPr>
        <w:t xml:space="preserve">, B. </w:t>
      </w:r>
      <w:r w:rsidRPr="00C70F9B">
        <w:rPr>
          <w:smallCaps/>
          <w:noProof/>
        </w:rPr>
        <w:t>Lian</w:t>
      </w:r>
      <w:r w:rsidRPr="00C70F9B">
        <w:rPr>
          <w:noProof/>
        </w:rPr>
        <w:t xml:space="preserve">, Z. </w:t>
      </w:r>
      <w:r w:rsidRPr="00C70F9B">
        <w:rPr>
          <w:smallCaps/>
          <w:noProof/>
        </w:rPr>
        <w:t>Liu</w:t>
      </w:r>
      <w:r w:rsidRPr="00C70F9B">
        <w:rPr>
          <w:noProof/>
        </w:rPr>
        <w:t xml:space="preserve"> et L. </w:t>
      </w:r>
      <w:r w:rsidRPr="00C70F9B">
        <w:rPr>
          <w:smallCaps/>
          <w:noProof/>
        </w:rPr>
        <w:t>Xie</w:t>
      </w:r>
      <w:r w:rsidRPr="00C70F9B">
        <w:rPr>
          <w:noProof/>
        </w:rPr>
        <w:t xml:space="preserve"> (2019). « The analysis of risk factors for diabetic nephropathy progression and the construction of a prognostic database for chronic kidney diseases », </w:t>
      </w:r>
      <w:r w:rsidRPr="00C70F9B">
        <w:rPr>
          <w:i/>
          <w:iCs/>
          <w:noProof/>
        </w:rPr>
        <w:t>Journal of Translational Medicine</w:t>
      </w:r>
      <w:r w:rsidRPr="00C70F9B">
        <w:rPr>
          <w:noProof/>
        </w:rPr>
        <w:t>, vol. 17, p. 1‑12.</w:t>
      </w:r>
    </w:p>
    <w:p w14:paraId="73DF1772" w14:textId="04732D44" w:rsidR="00050D0C" w:rsidRPr="00C70F9B" w:rsidRDefault="00050D0C" w:rsidP="00B86FBD">
      <w:pPr>
        <w:pStyle w:val="Reference"/>
        <w:numPr>
          <w:ilvl w:val="0"/>
          <w:numId w:val="47"/>
        </w:numPr>
        <w:ind w:left="360"/>
        <w:jc w:val="left"/>
        <w:rPr>
          <w:noProof/>
        </w:rPr>
      </w:pPr>
      <w:r w:rsidRPr="00C70F9B">
        <w:rPr>
          <w:smallCaps/>
          <w:noProof/>
        </w:rPr>
        <w:t>Li</w:t>
      </w:r>
      <w:r w:rsidRPr="00C70F9B">
        <w:rPr>
          <w:noProof/>
        </w:rPr>
        <w:t xml:space="preserve">, R., B. </w:t>
      </w:r>
      <w:r w:rsidRPr="00C70F9B">
        <w:rPr>
          <w:smallCaps/>
          <w:noProof/>
        </w:rPr>
        <w:t>Zhou</w:t>
      </w:r>
      <w:r w:rsidRPr="00C70F9B">
        <w:rPr>
          <w:noProof/>
        </w:rPr>
        <w:t xml:space="preserve">, X. </w:t>
      </w:r>
      <w:r w:rsidRPr="00C70F9B">
        <w:rPr>
          <w:smallCaps/>
          <w:noProof/>
        </w:rPr>
        <w:t>Deng</w:t>
      </w:r>
      <w:r w:rsidRPr="00C70F9B">
        <w:rPr>
          <w:noProof/>
        </w:rPr>
        <w:t xml:space="preserve">, W. </w:t>
      </w:r>
      <w:r w:rsidRPr="00C70F9B">
        <w:rPr>
          <w:smallCaps/>
          <w:noProof/>
        </w:rPr>
        <w:t>Tian</w:t>
      </w:r>
      <w:r w:rsidRPr="00C70F9B">
        <w:rPr>
          <w:noProof/>
        </w:rPr>
        <w:t xml:space="preserve">, Y. </w:t>
      </w:r>
      <w:r w:rsidRPr="00C70F9B">
        <w:rPr>
          <w:smallCaps/>
          <w:noProof/>
        </w:rPr>
        <w:t>Huang</w:t>
      </w:r>
      <w:r w:rsidRPr="00C70F9B">
        <w:rPr>
          <w:noProof/>
        </w:rPr>
        <w:t xml:space="preserve">, J. </w:t>
      </w:r>
      <w:r w:rsidRPr="00C70F9B">
        <w:rPr>
          <w:smallCaps/>
          <w:noProof/>
        </w:rPr>
        <w:t>Wang</w:t>
      </w:r>
      <w:r w:rsidRPr="00C70F9B">
        <w:rPr>
          <w:noProof/>
        </w:rPr>
        <w:t xml:space="preserve"> et L. </w:t>
      </w:r>
      <w:r w:rsidRPr="00C70F9B">
        <w:rPr>
          <w:smallCaps/>
          <w:noProof/>
        </w:rPr>
        <w:t>Xu</w:t>
      </w:r>
      <w:r w:rsidRPr="00C70F9B">
        <w:rPr>
          <w:noProof/>
        </w:rPr>
        <w:t xml:space="preserve"> (2024). « α-Klotho: the hidden link between dietary inflammatory index and accelerated ageing », </w:t>
      </w:r>
      <w:r w:rsidRPr="00C70F9B">
        <w:rPr>
          <w:i/>
          <w:iCs/>
          <w:noProof/>
        </w:rPr>
        <w:t>British Journal of Nutrition</w:t>
      </w:r>
      <w:r w:rsidRPr="00C70F9B">
        <w:rPr>
          <w:noProof/>
        </w:rPr>
        <w:t>, vol. 132, n° 5, p. 558‑564.</w:t>
      </w:r>
    </w:p>
    <w:p w14:paraId="509363BA" w14:textId="519C3E61" w:rsidR="00050D0C" w:rsidRPr="00C70F9B" w:rsidRDefault="00050D0C" w:rsidP="00B86FBD">
      <w:pPr>
        <w:pStyle w:val="Reference"/>
        <w:numPr>
          <w:ilvl w:val="0"/>
          <w:numId w:val="47"/>
        </w:numPr>
        <w:ind w:left="360"/>
        <w:jc w:val="left"/>
        <w:rPr>
          <w:noProof/>
        </w:rPr>
      </w:pPr>
      <w:r w:rsidRPr="00C70F9B">
        <w:rPr>
          <w:smallCaps/>
          <w:noProof/>
          <w:lang w:val="fr-FR"/>
        </w:rPr>
        <w:t>Ritz</w:t>
      </w:r>
      <w:r w:rsidRPr="00C70F9B">
        <w:rPr>
          <w:noProof/>
          <w:lang w:val="fr-FR"/>
        </w:rPr>
        <w:t xml:space="preserve">, E., I. </w:t>
      </w:r>
      <w:r w:rsidRPr="00C70F9B">
        <w:rPr>
          <w:smallCaps/>
          <w:noProof/>
          <w:lang w:val="fr-FR"/>
        </w:rPr>
        <w:t>Rychlík</w:t>
      </w:r>
      <w:r w:rsidRPr="00C70F9B">
        <w:rPr>
          <w:noProof/>
          <w:lang w:val="fr-FR"/>
        </w:rPr>
        <w:t xml:space="preserve">, F. </w:t>
      </w:r>
      <w:r w:rsidRPr="00C70F9B">
        <w:rPr>
          <w:smallCaps/>
          <w:noProof/>
          <w:lang w:val="fr-FR"/>
        </w:rPr>
        <w:t>Locatelli</w:t>
      </w:r>
      <w:r w:rsidRPr="00C70F9B">
        <w:rPr>
          <w:noProof/>
          <w:lang w:val="fr-FR"/>
        </w:rPr>
        <w:t xml:space="preserve"> et S. </w:t>
      </w:r>
      <w:r w:rsidRPr="00C70F9B">
        <w:rPr>
          <w:smallCaps/>
          <w:noProof/>
          <w:lang w:val="fr-FR"/>
        </w:rPr>
        <w:t>Halimi</w:t>
      </w:r>
      <w:r w:rsidRPr="00C70F9B">
        <w:rPr>
          <w:noProof/>
          <w:lang w:val="fr-FR"/>
        </w:rPr>
        <w:t xml:space="preserve"> (1999). </w:t>
      </w:r>
      <w:r w:rsidRPr="00C70F9B">
        <w:rPr>
          <w:noProof/>
        </w:rPr>
        <w:t xml:space="preserve">« End-stage renal failure in type 2 diabetes: a medical catastrophe of worldwide dimensions », </w:t>
      </w:r>
      <w:r w:rsidRPr="00C70F9B">
        <w:rPr>
          <w:i/>
          <w:iCs/>
          <w:noProof/>
        </w:rPr>
        <w:t>American journal of kidney diseases</w:t>
      </w:r>
      <w:r w:rsidRPr="00C70F9B">
        <w:rPr>
          <w:noProof/>
        </w:rPr>
        <w:t>, vol. 34, n° 5, p. 795‑808.</w:t>
      </w:r>
    </w:p>
    <w:p w14:paraId="4165C564" w14:textId="7211DD50" w:rsidR="00050D0C" w:rsidRPr="00C70F9B" w:rsidRDefault="00050D0C" w:rsidP="00B86FBD">
      <w:pPr>
        <w:pStyle w:val="Reference"/>
        <w:numPr>
          <w:ilvl w:val="0"/>
          <w:numId w:val="47"/>
        </w:numPr>
        <w:ind w:left="360"/>
        <w:jc w:val="left"/>
        <w:rPr>
          <w:noProof/>
        </w:rPr>
      </w:pPr>
      <w:r w:rsidRPr="00C70F9B">
        <w:rPr>
          <w:smallCaps/>
          <w:noProof/>
          <w:lang w:val="fr-FR"/>
        </w:rPr>
        <w:t>Yuan</w:t>
      </w:r>
      <w:r w:rsidRPr="00C70F9B">
        <w:rPr>
          <w:noProof/>
          <w:lang w:val="fr-FR"/>
        </w:rPr>
        <w:t xml:space="preserve">, Q., B. </w:t>
      </w:r>
      <w:r w:rsidRPr="00C70F9B">
        <w:rPr>
          <w:smallCaps/>
          <w:noProof/>
          <w:lang w:val="fr-FR"/>
        </w:rPr>
        <w:t>Tang</w:t>
      </w:r>
      <w:r w:rsidRPr="00C70F9B">
        <w:rPr>
          <w:noProof/>
          <w:lang w:val="fr-FR"/>
        </w:rPr>
        <w:t xml:space="preserve"> et C. </w:t>
      </w:r>
      <w:r w:rsidRPr="00C70F9B">
        <w:rPr>
          <w:smallCaps/>
          <w:noProof/>
          <w:lang w:val="fr-FR"/>
        </w:rPr>
        <w:t>Zhang</w:t>
      </w:r>
      <w:r w:rsidRPr="00C70F9B">
        <w:rPr>
          <w:noProof/>
          <w:lang w:val="fr-FR"/>
        </w:rPr>
        <w:t xml:space="preserve"> (2022). </w:t>
      </w:r>
      <w:r w:rsidRPr="00C70F9B">
        <w:rPr>
          <w:noProof/>
        </w:rPr>
        <w:t xml:space="preserve">« Signaling pathways of chronic kidney diseases, implications for therapeutics », </w:t>
      </w:r>
      <w:r w:rsidRPr="00C70F9B">
        <w:rPr>
          <w:i/>
          <w:iCs/>
          <w:noProof/>
        </w:rPr>
        <w:t>Signal transduction and targeted therapy</w:t>
      </w:r>
      <w:r w:rsidRPr="00C70F9B">
        <w:rPr>
          <w:noProof/>
        </w:rPr>
        <w:t>, vol. 7, n° 1, p. 182.</w:t>
      </w:r>
    </w:p>
    <w:p w14:paraId="7852599A" w14:textId="32642A3E" w:rsidR="00050D0C" w:rsidRPr="00C70F9B" w:rsidRDefault="00050D0C" w:rsidP="00B86FBD">
      <w:pPr>
        <w:pStyle w:val="Reference"/>
        <w:numPr>
          <w:ilvl w:val="0"/>
          <w:numId w:val="47"/>
        </w:numPr>
        <w:ind w:left="360"/>
        <w:jc w:val="left"/>
        <w:rPr>
          <w:noProof/>
        </w:rPr>
      </w:pPr>
      <w:r w:rsidRPr="00C70F9B">
        <w:rPr>
          <w:smallCaps/>
          <w:noProof/>
        </w:rPr>
        <w:t>Tuttle</w:t>
      </w:r>
      <w:r w:rsidRPr="00C70F9B">
        <w:rPr>
          <w:noProof/>
        </w:rPr>
        <w:t xml:space="preserve">, K. R., R. </w:t>
      </w:r>
      <w:r w:rsidRPr="00C70F9B">
        <w:rPr>
          <w:smallCaps/>
          <w:noProof/>
        </w:rPr>
        <w:t>Agarwal</w:t>
      </w:r>
      <w:r w:rsidRPr="00C70F9B">
        <w:rPr>
          <w:noProof/>
        </w:rPr>
        <w:t xml:space="preserve">, C. E. </w:t>
      </w:r>
      <w:r w:rsidRPr="00C70F9B">
        <w:rPr>
          <w:smallCaps/>
          <w:noProof/>
        </w:rPr>
        <w:t>Alpers</w:t>
      </w:r>
      <w:r w:rsidRPr="00C70F9B">
        <w:rPr>
          <w:noProof/>
        </w:rPr>
        <w:t xml:space="preserve">, G. L. </w:t>
      </w:r>
      <w:r w:rsidRPr="00C70F9B">
        <w:rPr>
          <w:smallCaps/>
          <w:noProof/>
        </w:rPr>
        <w:t>Bakris</w:t>
      </w:r>
      <w:r w:rsidRPr="00C70F9B">
        <w:rPr>
          <w:noProof/>
        </w:rPr>
        <w:t xml:space="preserve">, F. C. </w:t>
      </w:r>
      <w:r w:rsidRPr="00C70F9B">
        <w:rPr>
          <w:smallCaps/>
          <w:noProof/>
        </w:rPr>
        <w:t>Brosius</w:t>
      </w:r>
      <w:r w:rsidRPr="00C70F9B">
        <w:rPr>
          <w:noProof/>
        </w:rPr>
        <w:t xml:space="preserve">, P. </w:t>
      </w:r>
      <w:r w:rsidRPr="00C70F9B">
        <w:rPr>
          <w:smallCaps/>
          <w:noProof/>
        </w:rPr>
        <w:t>Kolkhof</w:t>
      </w:r>
      <w:r w:rsidRPr="00C70F9B">
        <w:rPr>
          <w:noProof/>
        </w:rPr>
        <w:t xml:space="preserve"> et J. </w:t>
      </w:r>
      <w:r w:rsidRPr="00C70F9B">
        <w:rPr>
          <w:smallCaps/>
          <w:noProof/>
        </w:rPr>
        <w:t>Uribarri</w:t>
      </w:r>
      <w:r w:rsidRPr="00C70F9B">
        <w:rPr>
          <w:noProof/>
        </w:rPr>
        <w:t xml:space="preserve"> (2022). « Molecular mechanisms and therapeutic targets for diabetic kidney disease », </w:t>
      </w:r>
      <w:r w:rsidRPr="00C70F9B">
        <w:rPr>
          <w:i/>
          <w:iCs/>
          <w:noProof/>
        </w:rPr>
        <w:t>Kidney international</w:t>
      </w:r>
      <w:r w:rsidRPr="00C70F9B">
        <w:rPr>
          <w:noProof/>
        </w:rPr>
        <w:t>, vol. 102, n° 2, p. 248‑260.</w:t>
      </w:r>
    </w:p>
    <w:p w14:paraId="0A4465B4" w14:textId="47B560D1" w:rsidR="00050D0C" w:rsidRPr="00C70F9B" w:rsidRDefault="00050D0C" w:rsidP="00B86FBD">
      <w:pPr>
        <w:pStyle w:val="Reference"/>
        <w:numPr>
          <w:ilvl w:val="0"/>
          <w:numId w:val="47"/>
        </w:numPr>
        <w:ind w:left="360"/>
        <w:jc w:val="left"/>
        <w:rPr>
          <w:noProof/>
        </w:rPr>
      </w:pPr>
      <w:r w:rsidRPr="00C70F9B">
        <w:rPr>
          <w:smallCaps/>
          <w:noProof/>
          <w:lang w:val="fr-FR"/>
        </w:rPr>
        <w:t>Sachs-Guedj</w:t>
      </w:r>
      <w:r w:rsidRPr="00C70F9B">
        <w:rPr>
          <w:noProof/>
          <w:lang w:val="fr-FR"/>
        </w:rPr>
        <w:t xml:space="preserve">, N., P. </w:t>
      </w:r>
      <w:r w:rsidRPr="00C70F9B">
        <w:rPr>
          <w:smallCaps/>
          <w:noProof/>
          <w:lang w:val="fr-FR"/>
        </w:rPr>
        <w:t>Sokol</w:t>
      </w:r>
      <w:r w:rsidRPr="00C70F9B">
        <w:rPr>
          <w:noProof/>
          <w:lang w:val="fr-FR"/>
        </w:rPr>
        <w:t xml:space="preserve">, T. </w:t>
      </w:r>
      <w:r w:rsidRPr="00C70F9B">
        <w:rPr>
          <w:smallCaps/>
          <w:noProof/>
          <w:lang w:val="fr-FR"/>
        </w:rPr>
        <w:t>Quesada-López</w:t>
      </w:r>
      <w:r w:rsidRPr="00C70F9B">
        <w:rPr>
          <w:noProof/>
          <w:lang w:val="fr-FR"/>
        </w:rPr>
        <w:t xml:space="preserve">, T. </w:t>
      </w:r>
      <w:r w:rsidRPr="00C70F9B">
        <w:rPr>
          <w:smallCaps/>
          <w:noProof/>
          <w:lang w:val="fr-FR"/>
        </w:rPr>
        <w:t>Freour</w:t>
      </w:r>
      <w:r w:rsidRPr="00C70F9B">
        <w:rPr>
          <w:noProof/>
          <w:lang w:val="fr-FR"/>
        </w:rPr>
        <w:t xml:space="preserve">, N. P. </w:t>
      </w:r>
      <w:r w:rsidRPr="00C70F9B">
        <w:rPr>
          <w:smallCaps/>
          <w:noProof/>
          <w:lang w:val="fr-FR"/>
        </w:rPr>
        <w:t>Polyzos</w:t>
      </w:r>
      <w:r w:rsidRPr="00C70F9B">
        <w:rPr>
          <w:noProof/>
          <w:lang w:val="fr-FR"/>
        </w:rPr>
        <w:t xml:space="preserve"> et F. </w:t>
      </w:r>
      <w:r w:rsidRPr="00C70F9B">
        <w:rPr>
          <w:smallCaps/>
          <w:noProof/>
          <w:lang w:val="fr-FR"/>
        </w:rPr>
        <w:t>Martinez</w:t>
      </w:r>
      <w:r w:rsidRPr="00C70F9B">
        <w:rPr>
          <w:noProof/>
          <w:lang w:val="fr-FR"/>
        </w:rPr>
        <w:t xml:space="preserve"> (2024). </w:t>
      </w:r>
      <w:r w:rsidRPr="00C70F9B">
        <w:rPr>
          <w:noProof/>
        </w:rPr>
        <w:t xml:space="preserve">« The role of alpha-Klotho protein in male and female reproduction. A systematic review », </w:t>
      </w:r>
      <w:r w:rsidRPr="00C70F9B">
        <w:rPr>
          <w:i/>
          <w:iCs/>
          <w:noProof/>
        </w:rPr>
        <w:t>F&amp;S Reviews</w:t>
      </w:r>
      <w:r w:rsidRPr="00C70F9B">
        <w:rPr>
          <w:noProof/>
        </w:rPr>
        <w:t>, p. 100084.</w:t>
      </w:r>
    </w:p>
    <w:p w14:paraId="7CFE6E7F" w14:textId="14501908" w:rsidR="00050D0C" w:rsidRPr="00C70F9B" w:rsidRDefault="00050D0C" w:rsidP="00B86FBD">
      <w:pPr>
        <w:pStyle w:val="Reference"/>
        <w:numPr>
          <w:ilvl w:val="0"/>
          <w:numId w:val="47"/>
        </w:numPr>
        <w:ind w:left="360"/>
        <w:jc w:val="left"/>
        <w:rPr>
          <w:noProof/>
        </w:rPr>
      </w:pPr>
      <w:r w:rsidRPr="00C70F9B">
        <w:rPr>
          <w:smallCaps/>
          <w:noProof/>
        </w:rPr>
        <w:t>Yao</w:t>
      </w:r>
      <w:r w:rsidRPr="00C70F9B">
        <w:rPr>
          <w:noProof/>
        </w:rPr>
        <w:t xml:space="preserve">, X., H. </w:t>
      </w:r>
      <w:r w:rsidRPr="00C70F9B">
        <w:rPr>
          <w:smallCaps/>
          <w:noProof/>
        </w:rPr>
        <w:t>Guo</w:t>
      </w:r>
      <w:r w:rsidRPr="00C70F9B">
        <w:rPr>
          <w:noProof/>
        </w:rPr>
        <w:t xml:space="preserve">, M. </w:t>
      </w:r>
      <w:r w:rsidRPr="00C70F9B">
        <w:rPr>
          <w:smallCaps/>
          <w:noProof/>
        </w:rPr>
        <w:t>Sun</w:t>
      </w:r>
      <w:r w:rsidRPr="00C70F9B">
        <w:rPr>
          <w:noProof/>
        </w:rPr>
        <w:t xml:space="preserve">, S. </w:t>
      </w:r>
      <w:r w:rsidRPr="00C70F9B">
        <w:rPr>
          <w:smallCaps/>
          <w:noProof/>
        </w:rPr>
        <w:t>Meng</w:t>
      </w:r>
      <w:r w:rsidRPr="00C70F9B">
        <w:rPr>
          <w:noProof/>
        </w:rPr>
        <w:t xml:space="preserve">, B. </w:t>
      </w:r>
      <w:r w:rsidRPr="00C70F9B">
        <w:rPr>
          <w:smallCaps/>
          <w:noProof/>
        </w:rPr>
        <w:t>Zhu</w:t>
      </w:r>
      <w:r w:rsidRPr="00C70F9B">
        <w:rPr>
          <w:noProof/>
        </w:rPr>
        <w:t xml:space="preserve">, J. </w:t>
      </w:r>
      <w:r w:rsidRPr="00C70F9B">
        <w:rPr>
          <w:smallCaps/>
          <w:noProof/>
        </w:rPr>
        <w:t>Fang</w:t>
      </w:r>
      <w:r w:rsidRPr="00C70F9B">
        <w:rPr>
          <w:noProof/>
        </w:rPr>
        <w:t xml:space="preserve">, J. </w:t>
      </w:r>
      <w:r w:rsidRPr="00C70F9B">
        <w:rPr>
          <w:smallCaps/>
          <w:noProof/>
        </w:rPr>
        <w:t>Huang</w:t>
      </w:r>
      <w:r w:rsidRPr="00C70F9B">
        <w:rPr>
          <w:noProof/>
        </w:rPr>
        <w:t xml:space="preserve">, H. </w:t>
      </w:r>
      <w:r w:rsidRPr="00C70F9B">
        <w:rPr>
          <w:smallCaps/>
          <w:noProof/>
        </w:rPr>
        <w:t>Wang</w:t>
      </w:r>
      <w:r w:rsidRPr="00C70F9B">
        <w:rPr>
          <w:noProof/>
        </w:rPr>
        <w:t xml:space="preserve"> et L. </w:t>
      </w:r>
      <w:r w:rsidRPr="00C70F9B">
        <w:rPr>
          <w:smallCaps/>
          <w:noProof/>
        </w:rPr>
        <w:t>Xing</w:t>
      </w:r>
      <w:r w:rsidRPr="00C70F9B">
        <w:rPr>
          <w:noProof/>
        </w:rPr>
        <w:t xml:space="preserve"> (2022). « Klotho ameliorates podocyte injury through targeting TRPC6 channel in diabetic nephropathy », </w:t>
      </w:r>
      <w:r w:rsidRPr="00C70F9B">
        <w:rPr>
          <w:i/>
          <w:iCs/>
          <w:noProof/>
        </w:rPr>
        <w:t>Journal of Diabetes Research</w:t>
      </w:r>
      <w:r w:rsidRPr="00C70F9B">
        <w:rPr>
          <w:noProof/>
        </w:rPr>
        <w:t>, vol. 2022, n° 1, p. 1329380.</w:t>
      </w:r>
    </w:p>
    <w:p w14:paraId="47E2029C" w14:textId="5FDCF8FC" w:rsidR="00050D0C" w:rsidRPr="00C70F9B" w:rsidRDefault="00050D0C" w:rsidP="00B86FBD">
      <w:pPr>
        <w:pStyle w:val="Reference"/>
        <w:numPr>
          <w:ilvl w:val="0"/>
          <w:numId w:val="47"/>
        </w:numPr>
        <w:ind w:left="360"/>
        <w:jc w:val="left"/>
        <w:rPr>
          <w:noProof/>
        </w:rPr>
      </w:pPr>
      <w:r w:rsidRPr="00C70F9B">
        <w:rPr>
          <w:smallCaps/>
          <w:noProof/>
          <w:lang w:val="fr-FR"/>
        </w:rPr>
        <w:t>Yu</w:t>
      </w:r>
      <w:r w:rsidRPr="00C70F9B">
        <w:rPr>
          <w:noProof/>
          <w:lang w:val="fr-FR"/>
        </w:rPr>
        <w:t xml:space="preserve">, L. X., M. Y. </w:t>
      </w:r>
      <w:r w:rsidRPr="00C70F9B">
        <w:rPr>
          <w:smallCaps/>
          <w:noProof/>
          <w:lang w:val="fr-FR"/>
        </w:rPr>
        <w:t>Sha</w:t>
      </w:r>
      <w:r w:rsidRPr="00C70F9B">
        <w:rPr>
          <w:noProof/>
          <w:lang w:val="fr-FR"/>
        </w:rPr>
        <w:t xml:space="preserve">, Y. </w:t>
      </w:r>
      <w:r w:rsidRPr="00C70F9B">
        <w:rPr>
          <w:smallCaps/>
          <w:noProof/>
          <w:lang w:val="fr-FR"/>
        </w:rPr>
        <w:t>Chen</w:t>
      </w:r>
      <w:r w:rsidRPr="00C70F9B">
        <w:rPr>
          <w:noProof/>
          <w:lang w:val="fr-FR"/>
        </w:rPr>
        <w:t xml:space="preserve">, F. </w:t>
      </w:r>
      <w:r w:rsidRPr="00C70F9B">
        <w:rPr>
          <w:smallCaps/>
          <w:noProof/>
          <w:lang w:val="fr-FR"/>
        </w:rPr>
        <w:t>Tan</w:t>
      </w:r>
      <w:r w:rsidRPr="00C70F9B">
        <w:rPr>
          <w:noProof/>
          <w:lang w:val="fr-FR"/>
        </w:rPr>
        <w:t xml:space="preserve">, X. </w:t>
      </w:r>
      <w:r w:rsidRPr="00C70F9B">
        <w:rPr>
          <w:smallCaps/>
          <w:noProof/>
          <w:lang w:val="fr-FR"/>
        </w:rPr>
        <w:t>Liu</w:t>
      </w:r>
      <w:r w:rsidRPr="00C70F9B">
        <w:rPr>
          <w:noProof/>
          <w:lang w:val="fr-FR"/>
        </w:rPr>
        <w:t xml:space="preserve">, S. </w:t>
      </w:r>
      <w:r w:rsidRPr="00C70F9B">
        <w:rPr>
          <w:smallCaps/>
          <w:noProof/>
          <w:lang w:val="fr-FR"/>
        </w:rPr>
        <w:t>Li</w:t>
      </w:r>
      <w:r w:rsidRPr="00C70F9B">
        <w:rPr>
          <w:noProof/>
          <w:lang w:val="fr-FR"/>
        </w:rPr>
        <w:t xml:space="preserve"> et Q.-F. </w:t>
      </w:r>
      <w:r w:rsidRPr="00C70F9B">
        <w:rPr>
          <w:smallCaps/>
          <w:noProof/>
          <w:lang w:val="fr-FR"/>
        </w:rPr>
        <w:t>Liu</w:t>
      </w:r>
      <w:r w:rsidRPr="00C70F9B">
        <w:rPr>
          <w:noProof/>
          <w:lang w:val="fr-FR"/>
        </w:rPr>
        <w:t xml:space="preserve"> (2023). </w:t>
      </w:r>
      <w:r w:rsidRPr="00C70F9B">
        <w:rPr>
          <w:noProof/>
        </w:rPr>
        <w:t xml:space="preserve">« Potential application of Klotho as a prognostic biomarker for patients with diabetic kidney disease: a meta-analysis of clinical studies », </w:t>
      </w:r>
      <w:r w:rsidRPr="00C70F9B">
        <w:rPr>
          <w:i/>
          <w:iCs/>
          <w:noProof/>
        </w:rPr>
        <w:t>Therapeutic Advances in Chronic Disease</w:t>
      </w:r>
      <w:r w:rsidRPr="00C70F9B">
        <w:rPr>
          <w:noProof/>
        </w:rPr>
        <w:t>, vol. 14, p. 20406223231213250.</w:t>
      </w:r>
    </w:p>
    <w:p w14:paraId="448AF9E8" w14:textId="3B48B46A" w:rsidR="00050D0C" w:rsidRPr="00C70F9B" w:rsidRDefault="00050D0C" w:rsidP="00B86FBD">
      <w:pPr>
        <w:pStyle w:val="Reference"/>
        <w:numPr>
          <w:ilvl w:val="0"/>
          <w:numId w:val="47"/>
        </w:numPr>
        <w:ind w:left="360"/>
        <w:jc w:val="left"/>
        <w:rPr>
          <w:noProof/>
        </w:rPr>
      </w:pPr>
      <w:r w:rsidRPr="00C70F9B">
        <w:rPr>
          <w:smallCaps/>
          <w:noProof/>
          <w:lang w:val="fr-FR"/>
        </w:rPr>
        <w:t>Donate-Correa</w:t>
      </w:r>
      <w:r w:rsidRPr="00C70F9B">
        <w:rPr>
          <w:noProof/>
          <w:lang w:val="fr-FR"/>
        </w:rPr>
        <w:t xml:space="preserve">, J., E. </w:t>
      </w:r>
      <w:r w:rsidRPr="00C70F9B">
        <w:rPr>
          <w:smallCaps/>
          <w:noProof/>
          <w:lang w:val="fr-FR"/>
        </w:rPr>
        <w:t>Martín-Núñez</w:t>
      </w:r>
      <w:r w:rsidRPr="00C70F9B">
        <w:rPr>
          <w:noProof/>
          <w:lang w:val="fr-FR"/>
        </w:rPr>
        <w:t xml:space="preserve">, C. </w:t>
      </w:r>
      <w:r w:rsidRPr="00C70F9B">
        <w:rPr>
          <w:smallCaps/>
          <w:noProof/>
          <w:lang w:val="fr-FR"/>
        </w:rPr>
        <w:t>Mora-Fernández</w:t>
      </w:r>
      <w:r w:rsidRPr="00C70F9B">
        <w:rPr>
          <w:noProof/>
          <w:lang w:val="fr-FR"/>
        </w:rPr>
        <w:t xml:space="preserve">, A. </w:t>
      </w:r>
      <w:r w:rsidRPr="00C70F9B">
        <w:rPr>
          <w:smallCaps/>
          <w:noProof/>
          <w:lang w:val="fr-FR"/>
        </w:rPr>
        <w:t>González-Luis</w:t>
      </w:r>
      <w:r w:rsidRPr="00C70F9B">
        <w:rPr>
          <w:noProof/>
          <w:lang w:val="fr-FR"/>
        </w:rPr>
        <w:t xml:space="preserve">, A. </w:t>
      </w:r>
      <w:r w:rsidRPr="00C70F9B">
        <w:rPr>
          <w:smallCaps/>
          <w:noProof/>
          <w:lang w:val="fr-FR"/>
        </w:rPr>
        <w:t>Martín-Olivera</w:t>
      </w:r>
      <w:r w:rsidRPr="00C70F9B">
        <w:rPr>
          <w:noProof/>
          <w:lang w:val="fr-FR"/>
        </w:rPr>
        <w:t xml:space="preserve"> et J. F. </w:t>
      </w:r>
      <w:r w:rsidRPr="00C70F9B">
        <w:rPr>
          <w:smallCaps/>
          <w:noProof/>
          <w:lang w:val="fr-FR"/>
        </w:rPr>
        <w:t>Navarro-González</w:t>
      </w:r>
      <w:r w:rsidRPr="00C70F9B">
        <w:rPr>
          <w:noProof/>
          <w:lang w:val="fr-FR"/>
        </w:rPr>
        <w:t xml:space="preserve"> (2023). </w:t>
      </w:r>
      <w:r w:rsidRPr="00C70F9B">
        <w:rPr>
          <w:noProof/>
        </w:rPr>
        <w:t xml:space="preserve">« Association of Klotho with coronary artery disease in subjects with type 2 diabetes Mellitus and preserved kidney function: A case-control study », </w:t>
      </w:r>
      <w:r w:rsidRPr="00C70F9B">
        <w:rPr>
          <w:i/>
          <w:iCs/>
          <w:noProof/>
        </w:rPr>
        <w:t>International Journal of Molecular Sciences</w:t>
      </w:r>
      <w:r w:rsidRPr="00C70F9B">
        <w:rPr>
          <w:noProof/>
        </w:rPr>
        <w:t>, vol. 24, n° 17, p. 13456.</w:t>
      </w:r>
    </w:p>
    <w:p w14:paraId="22A20DF4" w14:textId="6F3E0A51" w:rsidR="00050D0C" w:rsidRPr="00C70F9B" w:rsidRDefault="00050D0C" w:rsidP="00B86FBD">
      <w:pPr>
        <w:pStyle w:val="Reference"/>
        <w:numPr>
          <w:ilvl w:val="0"/>
          <w:numId w:val="47"/>
        </w:numPr>
        <w:ind w:left="360"/>
        <w:jc w:val="left"/>
        <w:rPr>
          <w:noProof/>
        </w:rPr>
      </w:pPr>
      <w:r w:rsidRPr="00C70F9B">
        <w:rPr>
          <w:smallCaps/>
          <w:noProof/>
          <w:lang w:val="fr-FR"/>
        </w:rPr>
        <w:t>Vos</w:t>
      </w:r>
      <w:r w:rsidRPr="00C70F9B">
        <w:rPr>
          <w:noProof/>
          <w:lang w:val="fr-FR"/>
        </w:rPr>
        <w:t xml:space="preserve">, F. E., J. B. </w:t>
      </w:r>
      <w:r w:rsidRPr="00C70F9B">
        <w:rPr>
          <w:smallCaps/>
          <w:noProof/>
          <w:lang w:val="fr-FR"/>
        </w:rPr>
        <w:t>Schollum</w:t>
      </w:r>
      <w:r w:rsidRPr="00C70F9B">
        <w:rPr>
          <w:noProof/>
          <w:lang w:val="fr-FR"/>
        </w:rPr>
        <w:t xml:space="preserve"> et R. J. </w:t>
      </w:r>
      <w:r w:rsidRPr="00C70F9B">
        <w:rPr>
          <w:smallCaps/>
          <w:noProof/>
          <w:lang w:val="fr-FR"/>
        </w:rPr>
        <w:t>Walker</w:t>
      </w:r>
      <w:r w:rsidRPr="00C70F9B">
        <w:rPr>
          <w:noProof/>
          <w:lang w:val="fr-FR"/>
        </w:rPr>
        <w:t xml:space="preserve"> (2011). </w:t>
      </w:r>
      <w:r w:rsidRPr="00C70F9B">
        <w:rPr>
          <w:noProof/>
        </w:rPr>
        <w:t xml:space="preserve">« Glycated albumin is the preferred marker for assessing glycaemic control in advanced chronic kidney disease », </w:t>
      </w:r>
      <w:r w:rsidRPr="00C70F9B">
        <w:rPr>
          <w:i/>
          <w:iCs/>
          <w:noProof/>
        </w:rPr>
        <w:t>Nephrology Dialysis Transplantation Plus</w:t>
      </w:r>
      <w:r w:rsidRPr="00C70F9B">
        <w:rPr>
          <w:noProof/>
        </w:rPr>
        <w:t>, vol. 4, n° 6, p. 368‑375.</w:t>
      </w:r>
    </w:p>
    <w:p w14:paraId="3DFE06DC" w14:textId="3A1EAE07" w:rsidR="00050D0C" w:rsidRPr="00C70F9B" w:rsidRDefault="00050D0C" w:rsidP="00B86FBD">
      <w:pPr>
        <w:pStyle w:val="Reference"/>
        <w:numPr>
          <w:ilvl w:val="0"/>
          <w:numId w:val="47"/>
        </w:numPr>
        <w:ind w:left="360"/>
        <w:jc w:val="left"/>
        <w:rPr>
          <w:noProof/>
        </w:rPr>
      </w:pPr>
      <w:r w:rsidRPr="00C70F9B">
        <w:rPr>
          <w:smallCaps/>
          <w:noProof/>
        </w:rPr>
        <w:lastRenderedPageBreak/>
        <w:t>Peacock</w:t>
      </w:r>
      <w:r w:rsidRPr="00C70F9B">
        <w:rPr>
          <w:noProof/>
        </w:rPr>
        <w:t xml:space="preserve">, T. P., Z. K. </w:t>
      </w:r>
      <w:r w:rsidRPr="00C70F9B">
        <w:rPr>
          <w:smallCaps/>
          <w:noProof/>
        </w:rPr>
        <w:t>Shihabi</w:t>
      </w:r>
      <w:r w:rsidRPr="00C70F9B">
        <w:rPr>
          <w:noProof/>
        </w:rPr>
        <w:t xml:space="preserve">, A. J. </w:t>
      </w:r>
      <w:r w:rsidRPr="00C70F9B">
        <w:rPr>
          <w:smallCaps/>
          <w:noProof/>
        </w:rPr>
        <w:t>Bleyer</w:t>
      </w:r>
      <w:r w:rsidRPr="00C70F9B">
        <w:rPr>
          <w:noProof/>
        </w:rPr>
        <w:t xml:space="preserve">, E. L. </w:t>
      </w:r>
      <w:r w:rsidRPr="00C70F9B">
        <w:rPr>
          <w:smallCaps/>
          <w:noProof/>
        </w:rPr>
        <w:t>Dolbare</w:t>
      </w:r>
      <w:r w:rsidRPr="00C70F9B">
        <w:rPr>
          <w:noProof/>
        </w:rPr>
        <w:t xml:space="preserve">, J. R. </w:t>
      </w:r>
      <w:r w:rsidRPr="00C70F9B">
        <w:rPr>
          <w:smallCaps/>
          <w:noProof/>
        </w:rPr>
        <w:t>Byers</w:t>
      </w:r>
      <w:r w:rsidRPr="00C70F9B">
        <w:rPr>
          <w:noProof/>
        </w:rPr>
        <w:t xml:space="preserve">, M. A. </w:t>
      </w:r>
      <w:r w:rsidRPr="00C70F9B">
        <w:rPr>
          <w:smallCaps/>
          <w:noProof/>
        </w:rPr>
        <w:t>Knovich</w:t>
      </w:r>
      <w:r w:rsidRPr="00C70F9B">
        <w:rPr>
          <w:noProof/>
        </w:rPr>
        <w:t xml:space="preserve">, J. </w:t>
      </w:r>
      <w:r w:rsidRPr="00C70F9B">
        <w:rPr>
          <w:smallCaps/>
          <w:noProof/>
        </w:rPr>
        <w:t>Calles-Escandon</w:t>
      </w:r>
      <w:r w:rsidRPr="00C70F9B">
        <w:rPr>
          <w:noProof/>
        </w:rPr>
        <w:t xml:space="preserve">, G. B. </w:t>
      </w:r>
      <w:r w:rsidRPr="00C70F9B">
        <w:rPr>
          <w:smallCaps/>
          <w:noProof/>
        </w:rPr>
        <w:t>Russell</w:t>
      </w:r>
      <w:r w:rsidRPr="00C70F9B">
        <w:rPr>
          <w:noProof/>
        </w:rPr>
        <w:t xml:space="preserve"> et B. I. </w:t>
      </w:r>
      <w:r w:rsidRPr="00C70F9B">
        <w:rPr>
          <w:smallCaps/>
          <w:noProof/>
        </w:rPr>
        <w:t>Freedman</w:t>
      </w:r>
      <w:r w:rsidRPr="00C70F9B">
        <w:rPr>
          <w:noProof/>
        </w:rPr>
        <w:t xml:space="preserve"> (2008). « Comparison of glycated albumin and hemoglobin A1c levels in diabetic subjects on hemodialysis », </w:t>
      </w:r>
      <w:r w:rsidRPr="00C70F9B">
        <w:rPr>
          <w:i/>
          <w:iCs/>
          <w:noProof/>
        </w:rPr>
        <w:t>Kidney international</w:t>
      </w:r>
      <w:r w:rsidRPr="00C70F9B">
        <w:rPr>
          <w:noProof/>
        </w:rPr>
        <w:t>, vol. 73, n° 9, p. 1062‑1068.</w:t>
      </w:r>
    </w:p>
    <w:p w14:paraId="5559E8C2" w14:textId="46070BE6" w:rsidR="00050D0C" w:rsidRPr="00C70F9B" w:rsidRDefault="00050D0C" w:rsidP="00B86FBD">
      <w:pPr>
        <w:pStyle w:val="Reference"/>
        <w:numPr>
          <w:ilvl w:val="0"/>
          <w:numId w:val="47"/>
        </w:numPr>
        <w:ind w:left="360"/>
        <w:jc w:val="left"/>
        <w:rPr>
          <w:noProof/>
        </w:rPr>
      </w:pPr>
      <w:r w:rsidRPr="00C70F9B">
        <w:rPr>
          <w:smallCaps/>
          <w:noProof/>
        </w:rPr>
        <w:t>Tang</w:t>
      </w:r>
      <w:r w:rsidRPr="00C70F9B">
        <w:rPr>
          <w:noProof/>
        </w:rPr>
        <w:t xml:space="preserve">, M., A. H. </w:t>
      </w:r>
      <w:r w:rsidRPr="00C70F9B">
        <w:rPr>
          <w:smallCaps/>
          <w:noProof/>
        </w:rPr>
        <w:t>Berg</w:t>
      </w:r>
      <w:r w:rsidRPr="00C70F9B">
        <w:rPr>
          <w:noProof/>
        </w:rPr>
        <w:t xml:space="preserve">, H. </w:t>
      </w:r>
      <w:r w:rsidRPr="00C70F9B">
        <w:rPr>
          <w:smallCaps/>
          <w:noProof/>
        </w:rPr>
        <w:t>Zheng</w:t>
      </w:r>
      <w:r w:rsidRPr="00C70F9B">
        <w:rPr>
          <w:noProof/>
        </w:rPr>
        <w:t xml:space="preserve">, E. P. </w:t>
      </w:r>
      <w:r w:rsidRPr="00C70F9B">
        <w:rPr>
          <w:smallCaps/>
          <w:noProof/>
        </w:rPr>
        <w:t>Rhee</w:t>
      </w:r>
      <w:r w:rsidRPr="00C70F9B">
        <w:rPr>
          <w:noProof/>
        </w:rPr>
        <w:t xml:space="preserve">, A. S. </w:t>
      </w:r>
      <w:r w:rsidRPr="00C70F9B">
        <w:rPr>
          <w:smallCaps/>
          <w:noProof/>
        </w:rPr>
        <w:t>Allegretti</w:t>
      </w:r>
      <w:r w:rsidRPr="00C70F9B">
        <w:rPr>
          <w:noProof/>
        </w:rPr>
        <w:t xml:space="preserve">, S. U. </w:t>
      </w:r>
      <w:r w:rsidRPr="00C70F9B">
        <w:rPr>
          <w:smallCaps/>
          <w:noProof/>
        </w:rPr>
        <w:t>Nigwekar</w:t>
      </w:r>
      <w:r w:rsidRPr="00C70F9B">
        <w:rPr>
          <w:noProof/>
        </w:rPr>
        <w:t xml:space="preserve">, S. A. </w:t>
      </w:r>
      <w:r w:rsidRPr="00C70F9B">
        <w:rPr>
          <w:smallCaps/>
          <w:noProof/>
        </w:rPr>
        <w:t>Karumanchi</w:t>
      </w:r>
      <w:r w:rsidRPr="00C70F9B">
        <w:rPr>
          <w:noProof/>
        </w:rPr>
        <w:t xml:space="preserve">, J. P. </w:t>
      </w:r>
      <w:r w:rsidRPr="00C70F9B">
        <w:rPr>
          <w:smallCaps/>
          <w:noProof/>
        </w:rPr>
        <w:t>Lash</w:t>
      </w:r>
      <w:r w:rsidRPr="00C70F9B">
        <w:rPr>
          <w:noProof/>
        </w:rPr>
        <w:t xml:space="preserve"> et S. </w:t>
      </w:r>
      <w:r w:rsidRPr="00C70F9B">
        <w:rPr>
          <w:smallCaps/>
          <w:noProof/>
        </w:rPr>
        <w:t>Kalim</w:t>
      </w:r>
      <w:r w:rsidRPr="00C70F9B">
        <w:rPr>
          <w:noProof/>
        </w:rPr>
        <w:t xml:space="preserve"> (2024). « Glycated albumin and adverse clinical outcomes in patients with CKD: a prospective cohort study », </w:t>
      </w:r>
      <w:r w:rsidRPr="00C70F9B">
        <w:rPr>
          <w:i/>
          <w:iCs/>
          <w:noProof/>
        </w:rPr>
        <w:t>American Journal of Kidney Diseases</w:t>
      </w:r>
      <w:r w:rsidRPr="00C70F9B">
        <w:rPr>
          <w:noProof/>
        </w:rPr>
        <w:t xml:space="preserve">, vol. 84, n° 3, p. 329‑338. </w:t>
      </w:r>
    </w:p>
    <w:p w14:paraId="75433536" w14:textId="77777777" w:rsidR="00050D0C" w:rsidRPr="00C70F9B" w:rsidRDefault="00050D0C" w:rsidP="00B86FBD">
      <w:pPr>
        <w:adjustRightInd w:val="0"/>
        <w:ind w:left="360"/>
        <w:rPr>
          <w:rFonts w:asciiTheme="majorBidi" w:hAnsiTheme="majorBidi" w:cstheme="majorBidi"/>
          <w:noProof/>
          <w:sz w:val="20"/>
        </w:rPr>
      </w:pPr>
    </w:p>
    <w:p w14:paraId="4DF4644F" w14:textId="0D8E77AF" w:rsidR="00050D0C" w:rsidRPr="00C70F9B" w:rsidRDefault="00050D0C" w:rsidP="00B86FBD">
      <w:pPr>
        <w:adjustRightInd w:val="0"/>
        <w:ind w:left="360"/>
        <w:rPr>
          <w:rFonts w:asciiTheme="majorBidi" w:hAnsiTheme="majorBidi" w:cstheme="majorBidi"/>
          <w:sz w:val="20"/>
        </w:rPr>
      </w:pPr>
      <w:r w:rsidRPr="00C70F9B">
        <w:rPr>
          <w:rFonts w:asciiTheme="majorBidi" w:hAnsiTheme="majorBidi" w:cstheme="majorBidi"/>
          <w:sz w:val="20"/>
        </w:rPr>
        <w:fldChar w:fldCharType="end"/>
      </w:r>
      <w:bookmarkStart w:id="5" w:name="_bookmark0"/>
      <w:bookmarkEnd w:id="5"/>
    </w:p>
    <w:sectPr w:rsidR="00050D0C" w:rsidRPr="00C70F9B" w:rsidSect="00B86FBD">
      <w:type w:val="continuous"/>
      <w:pgSz w:w="11520" w:h="15660"/>
      <w:pgMar w:top="1440" w:right="1440" w:bottom="1440" w:left="1440" w:header="273" w:footer="54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72EC" w14:textId="77777777" w:rsidR="009B1F71" w:rsidRDefault="009B1F71">
      <w:r>
        <w:separator/>
      </w:r>
    </w:p>
  </w:endnote>
  <w:endnote w:type="continuationSeparator" w:id="0">
    <w:p w14:paraId="75F2859B" w14:textId="77777777" w:rsidR="009B1F71" w:rsidRDefault="009B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A29C" w14:textId="77777777" w:rsidR="007265E5" w:rsidRDefault="007265E5">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2EB8" w14:textId="77777777" w:rsidR="009B1F71" w:rsidRDefault="009B1F71">
      <w:r>
        <w:separator/>
      </w:r>
    </w:p>
  </w:footnote>
  <w:footnote w:type="continuationSeparator" w:id="0">
    <w:p w14:paraId="5ACE9B37" w14:textId="77777777" w:rsidR="009B1F71" w:rsidRDefault="009B1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0115797"/>
    <w:multiLevelType w:val="hybridMultilevel"/>
    <w:tmpl w:val="ED208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6FCB0A41"/>
    <w:multiLevelType w:val="hybridMultilevel"/>
    <w:tmpl w:val="FCB0AFFC"/>
    <w:lvl w:ilvl="0" w:tplc="DBD2A4D6">
      <w:start w:val="1"/>
      <w:numFmt w:val="decimal"/>
      <w:lvlText w:val="%1."/>
      <w:lvlJc w:val="left"/>
      <w:pPr>
        <w:ind w:left="272" w:hanging="250"/>
      </w:pPr>
      <w:rPr>
        <w:rFonts w:ascii="Times New Roman" w:eastAsia="Times New Roman" w:hAnsi="Times New Roman" w:cs="Times New Roman" w:hint="default"/>
        <w:b/>
        <w:bCs/>
        <w:i w:val="0"/>
        <w:iCs w:val="0"/>
        <w:color w:val="007F00"/>
        <w:spacing w:val="0"/>
        <w:w w:val="99"/>
        <w:sz w:val="20"/>
        <w:szCs w:val="20"/>
        <w:lang w:val="en-US" w:eastAsia="en-US" w:bidi="ar-SA"/>
      </w:rPr>
    </w:lvl>
    <w:lvl w:ilvl="1" w:tplc="2C563D86">
      <w:start w:val="1"/>
      <w:numFmt w:val="decimal"/>
      <w:lvlText w:val="%2)"/>
      <w:lvlJc w:val="left"/>
      <w:pPr>
        <w:ind w:left="269" w:hanging="266"/>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2" w:tplc="8932E96E">
      <w:numFmt w:val="bullet"/>
      <w:lvlText w:val="•"/>
      <w:lvlJc w:val="left"/>
      <w:pPr>
        <w:ind w:left="786" w:hanging="266"/>
      </w:pPr>
      <w:rPr>
        <w:rFonts w:hint="default"/>
        <w:lang w:val="en-US" w:eastAsia="en-US" w:bidi="ar-SA"/>
      </w:rPr>
    </w:lvl>
    <w:lvl w:ilvl="3" w:tplc="C16CCD8C">
      <w:numFmt w:val="bullet"/>
      <w:lvlText w:val="•"/>
      <w:lvlJc w:val="left"/>
      <w:pPr>
        <w:ind w:left="1293" w:hanging="266"/>
      </w:pPr>
      <w:rPr>
        <w:rFonts w:hint="default"/>
        <w:lang w:val="en-US" w:eastAsia="en-US" w:bidi="ar-SA"/>
      </w:rPr>
    </w:lvl>
    <w:lvl w:ilvl="4" w:tplc="07A0FC58">
      <w:numFmt w:val="bullet"/>
      <w:lvlText w:val="•"/>
      <w:lvlJc w:val="left"/>
      <w:pPr>
        <w:ind w:left="1799" w:hanging="266"/>
      </w:pPr>
      <w:rPr>
        <w:rFonts w:hint="default"/>
        <w:lang w:val="en-US" w:eastAsia="en-US" w:bidi="ar-SA"/>
      </w:rPr>
    </w:lvl>
    <w:lvl w:ilvl="5" w:tplc="56F671DC">
      <w:numFmt w:val="bullet"/>
      <w:lvlText w:val="•"/>
      <w:lvlJc w:val="left"/>
      <w:pPr>
        <w:ind w:left="2306" w:hanging="266"/>
      </w:pPr>
      <w:rPr>
        <w:rFonts w:hint="default"/>
        <w:lang w:val="en-US" w:eastAsia="en-US" w:bidi="ar-SA"/>
      </w:rPr>
    </w:lvl>
    <w:lvl w:ilvl="6" w:tplc="9B5825CC">
      <w:numFmt w:val="bullet"/>
      <w:lvlText w:val="•"/>
      <w:lvlJc w:val="left"/>
      <w:pPr>
        <w:ind w:left="2812" w:hanging="266"/>
      </w:pPr>
      <w:rPr>
        <w:rFonts w:hint="default"/>
        <w:lang w:val="en-US" w:eastAsia="en-US" w:bidi="ar-SA"/>
      </w:rPr>
    </w:lvl>
    <w:lvl w:ilvl="7" w:tplc="7EB0C878">
      <w:numFmt w:val="bullet"/>
      <w:lvlText w:val="•"/>
      <w:lvlJc w:val="left"/>
      <w:pPr>
        <w:ind w:left="3319" w:hanging="266"/>
      </w:pPr>
      <w:rPr>
        <w:rFonts w:hint="default"/>
        <w:lang w:val="en-US" w:eastAsia="en-US" w:bidi="ar-SA"/>
      </w:rPr>
    </w:lvl>
    <w:lvl w:ilvl="8" w:tplc="3B4C4840">
      <w:numFmt w:val="bullet"/>
      <w:lvlText w:val="•"/>
      <w:lvlJc w:val="left"/>
      <w:pPr>
        <w:ind w:left="3825" w:hanging="266"/>
      </w:pPr>
      <w:rPr>
        <w:rFonts w:hint="default"/>
        <w:lang w:val="en-US" w:eastAsia="en-US" w:bidi="ar-SA"/>
      </w:r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607810080">
    <w:abstractNumId w:val="17"/>
  </w:num>
  <w:num w:numId="2" w16cid:durableId="1512184974">
    <w:abstractNumId w:val="3"/>
  </w:num>
  <w:num w:numId="3" w16cid:durableId="304162068">
    <w:abstractNumId w:val="14"/>
  </w:num>
  <w:num w:numId="4" w16cid:durableId="833882522">
    <w:abstractNumId w:val="8"/>
  </w:num>
  <w:num w:numId="5" w16cid:durableId="1843399751">
    <w:abstractNumId w:val="12"/>
  </w:num>
  <w:num w:numId="6" w16cid:durableId="23748177">
    <w:abstractNumId w:val="5"/>
  </w:num>
  <w:num w:numId="7" w16cid:durableId="644433578">
    <w:abstractNumId w:val="7"/>
  </w:num>
  <w:num w:numId="8" w16cid:durableId="450248843">
    <w:abstractNumId w:val="1"/>
  </w:num>
  <w:num w:numId="9" w16cid:durableId="1496335865">
    <w:abstractNumId w:val="16"/>
  </w:num>
  <w:num w:numId="10" w16cid:durableId="1080249473">
    <w:abstractNumId w:val="10"/>
  </w:num>
  <w:num w:numId="11" w16cid:durableId="1525754117">
    <w:abstractNumId w:val="15"/>
  </w:num>
  <w:num w:numId="12" w16cid:durableId="870218756">
    <w:abstractNumId w:val="11"/>
  </w:num>
  <w:num w:numId="13" w16cid:durableId="1192231309">
    <w:abstractNumId w:val="6"/>
  </w:num>
  <w:num w:numId="14" w16cid:durableId="2024477835">
    <w:abstractNumId w:val="16"/>
  </w:num>
  <w:num w:numId="15" w16cid:durableId="1668171442">
    <w:abstractNumId w:val="9"/>
  </w:num>
  <w:num w:numId="16" w16cid:durableId="1986086991">
    <w:abstractNumId w:val="6"/>
  </w:num>
  <w:num w:numId="17" w16cid:durableId="912541781">
    <w:abstractNumId w:val="6"/>
  </w:num>
  <w:num w:numId="18" w16cid:durableId="256445611">
    <w:abstractNumId w:val="6"/>
  </w:num>
  <w:num w:numId="19" w16cid:durableId="2071879277">
    <w:abstractNumId w:val="6"/>
  </w:num>
  <w:num w:numId="20" w16cid:durableId="851994429">
    <w:abstractNumId w:val="6"/>
  </w:num>
  <w:num w:numId="21" w16cid:durableId="1828016259">
    <w:abstractNumId w:val="6"/>
  </w:num>
  <w:num w:numId="22" w16cid:durableId="1053389762">
    <w:abstractNumId w:val="6"/>
  </w:num>
  <w:num w:numId="23" w16cid:durableId="1045451287">
    <w:abstractNumId w:val="6"/>
  </w:num>
  <w:num w:numId="24" w16cid:durableId="787237496">
    <w:abstractNumId w:val="6"/>
  </w:num>
  <w:num w:numId="25" w16cid:durableId="1423717484">
    <w:abstractNumId w:val="6"/>
  </w:num>
  <w:num w:numId="26" w16cid:durableId="1235698451">
    <w:abstractNumId w:val="6"/>
  </w:num>
  <w:num w:numId="27" w16cid:durableId="42409543">
    <w:abstractNumId w:val="6"/>
  </w:num>
  <w:num w:numId="28" w16cid:durableId="2004123163">
    <w:abstractNumId w:val="6"/>
  </w:num>
  <w:num w:numId="29" w16cid:durableId="571505196">
    <w:abstractNumId w:val="12"/>
  </w:num>
  <w:num w:numId="30" w16cid:durableId="868253205">
    <w:abstractNumId w:val="12"/>
  </w:num>
  <w:num w:numId="31" w16cid:durableId="789665856">
    <w:abstractNumId w:val="12"/>
    <w:lvlOverride w:ilvl="0">
      <w:startOverride w:val="1"/>
    </w:lvlOverride>
  </w:num>
  <w:num w:numId="32" w16cid:durableId="2052606062">
    <w:abstractNumId w:val="12"/>
  </w:num>
  <w:num w:numId="33" w16cid:durableId="573901034">
    <w:abstractNumId w:val="12"/>
    <w:lvlOverride w:ilvl="0">
      <w:startOverride w:val="1"/>
    </w:lvlOverride>
  </w:num>
  <w:num w:numId="34" w16cid:durableId="186601736">
    <w:abstractNumId w:val="12"/>
    <w:lvlOverride w:ilvl="0">
      <w:startOverride w:val="1"/>
    </w:lvlOverride>
  </w:num>
  <w:num w:numId="35" w16cid:durableId="1816802080">
    <w:abstractNumId w:val="14"/>
    <w:lvlOverride w:ilvl="0">
      <w:startOverride w:val="1"/>
    </w:lvlOverride>
  </w:num>
  <w:num w:numId="36" w16cid:durableId="423957243">
    <w:abstractNumId w:val="14"/>
  </w:num>
  <w:num w:numId="37" w16cid:durableId="1375036613">
    <w:abstractNumId w:val="14"/>
    <w:lvlOverride w:ilvl="0">
      <w:startOverride w:val="1"/>
    </w:lvlOverride>
  </w:num>
  <w:num w:numId="38" w16cid:durableId="1958098361">
    <w:abstractNumId w:val="14"/>
  </w:num>
  <w:num w:numId="39" w16cid:durableId="315378192">
    <w:abstractNumId w:val="14"/>
    <w:lvlOverride w:ilvl="0">
      <w:startOverride w:val="1"/>
    </w:lvlOverride>
  </w:num>
  <w:num w:numId="40" w16cid:durableId="134642224">
    <w:abstractNumId w:val="14"/>
    <w:lvlOverride w:ilvl="0">
      <w:startOverride w:val="1"/>
    </w:lvlOverride>
  </w:num>
  <w:num w:numId="41" w16cid:durableId="708146315">
    <w:abstractNumId w:val="14"/>
    <w:lvlOverride w:ilvl="0">
      <w:startOverride w:val="1"/>
    </w:lvlOverride>
  </w:num>
  <w:num w:numId="42" w16cid:durableId="212617719">
    <w:abstractNumId w:val="14"/>
  </w:num>
  <w:num w:numId="43" w16cid:durableId="566577565">
    <w:abstractNumId w:val="14"/>
  </w:num>
  <w:num w:numId="44" w16cid:durableId="1588079652">
    <w:abstractNumId w:val="2"/>
  </w:num>
  <w:num w:numId="45" w16cid:durableId="514422993">
    <w:abstractNumId w:val="0"/>
  </w:num>
  <w:num w:numId="46" w16cid:durableId="1811290043">
    <w:abstractNumId w:val="13"/>
  </w:num>
  <w:num w:numId="47" w16cid:durableId="915673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7428"/>
    <w:rsid w:val="00031EC9"/>
    <w:rsid w:val="00047903"/>
    <w:rsid w:val="00050D0C"/>
    <w:rsid w:val="00066FED"/>
    <w:rsid w:val="00075EA6"/>
    <w:rsid w:val="0007709F"/>
    <w:rsid w:val="000771DF"/>
    <w:rsid w:val="00086F62"/>
    <w:rsid w:val="00090674"/>
    <w:rsid w:val="0009320B"/>
    <w:rsid w:val="00096AE0"/>
    <w:rsid w:val="000B1B74"/>
    <w:rsid w:val="000B3A2D"/>
    <w:rsid w:val="000B49C0"/>
    <w:rsid w:val="000E382F"/>
    <w:rsid w:val="000E75CD"/>
    <w:rsid w:val="000F6346"/>
    <w:rsid w:val="00101B80"/>
    <w:rsid w:val="001036BA"/>
    <w:rsid w:val="001146DC"/>
    <w:rsid w:val="00114AB1"/>
    <w:rsid w:val="001230FF"/>
    <w:rsid w:val="00130BD7"/>
    <w:rsid w:val="00155B67"/>
    <w:rsid w:val="001562AF"/>
    <w:rsid w:val="00161A5B"/>
    <w:rsid w:val="0016385D"/>
    <w:rsid w:val="0016782F"/>
    <w:rsid w:val="0018559B"/>
    <w:rsid w:val="001937E9"/>
    <w:rsid w:val="001964E5"/>
    <w:rsid w:val="001B263B"/>
    <w:rsid w:val="001B476A"/>
    <w:rsid w:val="001C764F"/>
    <w:rsid w:val="001C7BB3"/>
    <w:rsid w:val="001D469C"/>
    <w:rsid w:val="002101E2"/>
    <w:rsid w:val="0021619E"/>
    <w:rsid w:val="0023171B"/>
    <w:rsid w:val="002359F6"/>
    <w:rsid w:val="00236BFC"/>
    <w:rsid w:val="00237437"/>
    <w:rsid w:val="002502FD"/>
    <w:rsid w:val="00250CD2"/>
    <w:rsid w:val="00274622"/>
    <w:rsid w:val="00285D24"/>
    <w:rsid w:val="00290390"/>
    <w:rsid w:val="002915D3"/>
    <w:rsid w:val="002924DB"/>
    <w:rsid w:val="002941DA"/>
    <w:rsid w:val="002A2B1C"/>
    <w:rsid w:val="002A5F8D"/>
    <w:rsid w:val="002B5648"/>
    <w:rsid w:val="002E3C35"/>
    <w:rsid w:val="002F5298"/>
    <w:rsid w:val="00326AE0"/>
    <w:rsid w:val="00337E4F"/>
    <w:rsid w:val="00340C36"/>
    <w:rsid w:val="00346A9D"/>
    <w:rsid w:val="00356346"/>
    <w:rsid w:val="003815AF"/>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2177"/>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50A65"/>
    <w:rsid w:val="006763F9"/>
    <w:rsid w:val="006949BC"/>
    <w:rsid w:val="006D1229"/>
    <w:rsid w:val="006D372F"/>
    <w:rsid w:val="006D7A18"/>
    <w:rsid w:val="006E4474"/>
    <w:rsid w:val="00701388"/>
    <w:rsid w:val="00703840"/>
    <w:rsid w:val="00723B7F"/>
    <w:rsid w:val="00725861"/>
    <w:rsid w:val="007265E5"/>
    <w:rsid w:val="0073393A"/>
    <w:rsid w:val="0073539D"/>
    <w:rsid w:val="00767B8A"/>
    <w:rsid w:val="00775481"/>
    <w:rsid w:val="007A233B"/>
    <w:rsid w:val="007B4863"/>
    <w:rsid w:val="007C65E6"/>
    <w:rsid w:val="007D406B"/>
    <w:rsid w:val="007D4407"/>
    <w:rsid w:val="007E0748"/>
    <w:rsid w:val="007E1CA3"/>
    <w:rsid w:val="00812D62"/>
    <w:rsid w:val="00812F29"/>
    <w:rsid w:val="00821713"/>
    <w:rsid w:val="00827050"/>
    <w:rsid w:val="0083278B"/>
    <w:rsid w:val="00834538"/>
    <w:rsid w:val="00847FB2"/>
    <w:rsid w:val="00850E89"/>
    <w:rsid w:val="00854663"/>
    <w:rsid w:val="00867DCD"/>
    <w:rsid w:val="008930E4"/>
    <w:rsid w:val="00893821"/>
    <w:rsid w:val="008A7B9C"/>
    <w:rsid w:val="008B39FA"/>
    <w:rsid w:val="008B4754"/>
    <w:rsid w:val="008E6A7A"/>
    <w:rsid w:val="008F1038"/>
    <w:rsid w:val="008F7046"/>
    <w:rsid w:val="009005FC"/>
    <w:rsid w:val="00922E5A"/>
    <w:rsid w:val="00943315"/>
    <w:rsid w:val="00946C27"/>
    <w:rsid w:val="009A1ECF"/>
    <w:rsid w:val="009A4F3D"/>
    <w:rsid w:val="009B1F71"/>
    <w:rsid w:val="009B696B"/>
    <w:rsid w:val="009B7671"/>
    <w:rsid w:val="009B7F20"/>
    <w:rsid w:val="009E5BA1"/>
    <w:rsid w:val="009F056E"/>
    <w:rsid w:val="009F4B4E"/>
    <w:rsid w:val="00A24F3D"/>
    <w:rsid w:val="00A26DCD"/>
    <w:rsid w:val="00A314BB"/>
    <w:rsid w:val="00A32B7D"/>
    <w:rsid w:val="00A361D4"/>
    <w:rsid w:val="00A5596B"/>
    <w:rsid w:val="00A646B3"/>
    <w:rsid w:val="00A6739B"/>
    <w:rsid w:val="00A7263A"/>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20110"/>
    <w:rsid w:val="00B21B43"/>
    <w:rsid w:val="00B500E5"/>
    <w:rsid w:val="00B86FBD"/>
    <w:rsid w:val="00BA39BB"/>
    <w:rsid w:val="00BA3B3D"/>
    <w:rsid w:val="00BB7EEA"/>
    <w:rsid w:val="00BD1909"/>
    <w:rsid w:val="00BE5E16"/>
    <w:rsid w:val="00BE5FD1"/>
    <w:rsid w:val="00C06E05"/>
    <w:rsid w:val="00C14B14"/>
    <w:rsid w:val="00C17370"/>
    <w:rsid w:val="00C2054D"/>
    <w:rsid w:val="00C252EB"/>
    <w:rsid w:val="00C26EC0"/>
    <w:rsid w:val="00C56C77"/>
    <w:rsid w:val="00C70F9B"/>
    <w:rsid w:val="00C84923"/>
    <w:rsid w:val="00CA35CA"/>
    <w:rsid w:val="00CB7B3E"/>
    <w:rsid w:val="00CC1FC0"/>
    <w:rsid w:val="00CC739D"/>
    <w:rsid w:val="00D04468"/>
    <w:rsid w:val="00D30640"/>
    <w:rsid w:val="00D36257"/>
    <w:rsid w:val="00D4687E"/>
    <w:rsid w:val="00D53A12"/>
    <w:rsid w:val="00D87E2A"/>
    <w:rsid w:val="00D95C7F"/>
    <w:rsid w:val="00DB0C43"/>
    <w:rsid w:val="00DC76AE"/>
    <w:rsid w:val="00DE3354"/>
    <w:rsid w:val="00DF7DCD"/>
    <w:rsid w:val="00E50B7D"/>
    <w:rsid w:val="00E53B52"/>
    <w:rsid w:val="00E904A1"/>
    <w:rsid w:val="00E97CBD"/>
    <w:rsid w:val="00EB2CDE"/>
    <w:rsid w:val="00EB6C00"/>
    <w:rsid w:val="00EB7D28"/>
    <w:rsid w:val="00EB7EA8"/>
    <w:rsid w:val="00EC0D0C"/>
    <w:rsid w:val="00ED4A2C"/>
    <w:rsid w:val="00EF6940"/>
    <w:rsid w:val="00F2044A"/>
    <w:rsid w:val="00F20BFC"/>
    <w:rsid w:val="00F24D5F"/>
    <w:rsid w:val="00F25939"/>
    <w:rsid w:val="00F44E4C"/>
    <w:rsid w:val="00F54630"/>
    <w:rsid w:val="00F726C3"/>
    <w:rsid w:val="00F820CA"/>
    <w:rsid w:val="00F8554C"/>
    <w:rsid w:val="00F95F82"/>
    <w:rsid w:val="00F97A90"/>
    <w:rsid w:val="00FC2F35"/>
    <w:rsid w:val="00FC3FD7"/>
    <w:rsid w:val="00FD1FC6"/>
    <w:rsid w:val="00FD4970"/>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
    <w:name w:val="إشارة لم يتم حلها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1"/>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uiPriority w:val="1"/>
    <w:qFormat/>
    <w:rsid w:val="00050D0C"/>
    <w:pPr>
      <w:widowControl w:val="0"/>
      <w:autoSpaceDE w:val="0"/>
      <w:autoSpaceDN w:val="0"/>
    </w:pPr>
    <w:rPr>
      <w:sz w:val="20"/>
    </w:rPr>
  </w:style>
  <w:style w:type="character" w:customStyle="1" w:styleId="BodyTextChar">
    <w:name w:val="Body Text Char"/>
    <w:basedOn w:val="DefaultParagraphFont"/>
    <w:link w:val="BodyText"/>
    <w:uiPriority w:val="1"/>
    <w:rsid w:val="00050D0C"/>
    <w:rPr>
      <w:lang w:val="en-US" w:eastAsia="en-US"/>
    </w:rPr>
  </w:style>
  <w:style w:type="paragraph" w:styleId="Header">
    <w:name w:val="header"/>
    <w:basedOn w:val="Normal"/>
    <w:link w:val="HeaderChar"/>
    <w:uiPriority w:val="99"/>
    <w:unhideWhenUsed/>
    <w:rsid w:val="00050D0C"/>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050D0C"/>
    <w:rPr>
      <w:sz w:val="22"/>
      <w:szCs w:val="22"/>
      <w:lang w:val="en-US" w:eastAsia="en-US"/>
    </w:rPr>
  </w:style>
  <w:style w:type="table" w:customStyle="1" w:styleId="10">
    <w:name w:val="شبكة جدول1"/>
    <w:basedOn w:val="TableNormal"/>
    <w:next w:val="TableGrid"/>
    <w:uiPriority w:val="59"/>
    <w:rsid w:val="00050D0C"/>
    <w:rPr>
      <w:rFonts w:asciiTheme="minorHAnsi" w:eastAsia="MS Mincho"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050D0C"/>
    <w:rPr>
      <w:rFonts w:asciiTheme="minorHAnsi" w:eastAsia="MS Mincho"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9486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DEEE85-00F3-4930-9784-C07DC35955E4}">
  <we:reference id="WA104382081" version="1.55.1.0" store="Omex" storeType="OMEX"/>
  <we:alternateReferences>
    <we:reference id="WA104382081" version="1.55.1.0" store="WA104382081" storeType="OMEX"/>
  </we:alternateReferences>
  <we:properties>
    <we:property name="MENDELEY_CITATIONS" value="[]"/>
    <we:property name="MENDELEY_CITATIONS_LOCALE_CODE" value="&quot;en-US&quot;"/>
    <we:property name="MENDELEY_CITATIONS_STYLE" value="{&quot;id&quot;:&quot;https://www.zotero.org/styles/taylor-and-francis-aip&quot;,&quot;title&quot;:&quot;Taylor &amp; Francis - American Institute of Physic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07295F-FD05-4EEE-99A2-EC7AA113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206</TotalTime>
  <Pages>8</Pages>
  <Words>4195</Words>
  <Characters>25625</Characters>
  <Application>Microsoft Office Word</Application>
  <DocSecurity>0</DocSecurity>
  <Lines>487</Lines>
  <Paragraphs>207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Title Goes Here</vt:lpstr>
      <vt:lpstr>Title Goes Here</vt:lpstr>
    </vt:vector>
  </TitlesOfParts>
  <Company>PPI</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19</cp:revision>
  <cp:lastPrinted>2011-03-03T08:29:00Z</cp:lastPrinted>
  <dcterms:created xsi:type="dcterms:W3CDTF">2025-11-15T19:21:00Z</dcterms:created>
  <dcterms:modified xsi:type="dcterms:W3CDTF">2025-12-06T19:48:00Z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3a8fe7d2-f6c9-4da8-95c0-ecd5d305992f</vt:lpwstr>
  </property>
</Properties>
</file>