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A8D2B" w14:textId="5A9BA760" w:rsidR="00AC7F81" w:rsidRPr="00DB0715" w:rsidRDefault="00AC7F81" w:rsidP="00723253">
      <w:pPr>
        <w:spacing w:line="240" w:lineRule="auto"/>
        <w:jc w:val="center"/>
        <w:rPr>
          <w:rFonts w:asciiTheme="majorBidi" w:hAnsiTheme="majorBidi" w:cstheme="majorBidi"/>
          <w:b/>
          <w:sz w:val="36"/>
        </w:rPr>
      </w:pPr>
      <w:r w:rsidRPr="00DB0715">
        <w:rPr>
          <w:rFonts w:asciiTheme="majorBidi" w:hAnsiTheme="majorBidi" w:cstheme="majorBidi"/>
          <w:b/>
          <w:sz w:val="36"/>
        </w:rPr>
        <w:t xml:space="preserve">Molecular detection of Cryptosporidium Parvum Using TRAPC1 and TRAPC2 Genes in Salah Al-Din Governorate </w:t>
      </w:r>
    </w:p>
    <w:p w14:paraId="2B8BBEC9" w14:textId="60475519" w:rsidR="00CF7B5D" w:rsidRPr="00DB0715" w:rsidRDefault="00AC7F81" w:rsidP="00652552">
      <w:pPr>
        <w:spacing w:line="240" w:lineRule="auto"/>
        <w:jc w:val="center"/>
        <w:rPr>
          <w:rFonts w:asciiTheme="majorBidi" w:hAnsiTheme="majorBidi" w:cstheme="majorBidi"/>
          <w:bCs/>
          <w:sz w:val="28"/>
          <w:szCs w:val="18"/>
          <w:rtl/>
        </w:rPr>
      </w:pPr>
      <w:r w:rsidRPr="00DB0715">
        <w:rPr>
          <w:rFonts w:asciiTheme="majorBidi" w:hAnsiTheme="majorBidi" w:cstheme="majorBidi"/>
          <w:bCs/>
          <w:sz w:val="28"/>
          <w:szCs w:val="18"/>
        </w:rPr>
        <w:t xml:space="preserve">Maysaa Manea Jassim Al-Ahbabi </w:t>
      </w:r>
      <w:proofErr w:type="gramStart"/>
      <w:r w:rsidR="00CF7B5D" w:rsidRPr="00DB0715">
        <w:rPr>
          <w:rFonts w:asciiTheme="majorBidi" w:hAnsiTheme="majorBidi" w:cstheme="majorBidi"/>
          <w:bCs/>
          <w:sz w:val="28"/>
          <w:szCs w:val="18"/>
          <w:vertAlign w:val="superscript"/>
        </w:rPr>
        <w:t>1</w:t>
      </w:r>
      <w:r w:rsidR="00652552" w:rsidRPr="00DB0715">
        <w:rPr>
          <w:rFonts w:asciiTheme="majorBidi" w:hAnsiTheme="majorBidi" w:cstheme="majorBidi"/>
          <w:bCs/>
          <w:sz w:val="28"/>
          <w:szCs w:val="18"/>
          <w:vertAlign w:val="superscript"/>
        </w:rPr>
        <w:t>,</w:t>
      </w:r>
      <w:r w:rsidR="00CF7B5D" w:rsidRPr="00DB0715">
        <w:rPr>
          <w:rFonts w:asciiTheme="majorBidi" w:hAnsiTheme="majorBidi" w:cstheme="majorBidi"/>
          <w:bCs/>
          <w:sz w:val="28"/>
          <w:szCs w:val="18"/>
          <w:vertAlign w:val="superscript"/>
        </w:rPr>
        <w:t>a</w:t>
      </w:r>
      <w:proofErr w:type="gramEnd"/>
      <w:r w:rsidR="00CF7B5D" w:rsidRPr="00DB0715">
        <w:rPr>
          <w:rFonts w:asciiTheme="majorBidi" w:hAnsiTheme="majorBidi" w:cstheme="majorBidi"/>
          <w:bCs/>
          <w:sz w:val="28"/>
          <w:szCs w:val="18"/>
          <w:vertAlign w:val="superscript"/>
        </w:rPr>
        <w:t>)</w:t>
      </w:r>
      <w:r w:rsidR="00CF7B5D" w:rsidRPr="00DB0715">
        <w:rPr>
          <w:rFonts w:asciiTheme="majorBidi" w:hAnsiTheme="majorBidi" w:cstheme="majorBidi"/>
          <w:bCs/>
          <w:sz w:val="28"/>
          <w:szCs w:val="18"/>
        </w:rPr>
        <w:t xml:space="preserve"> and </w:t>
      </w:r>
      <w:r w:rsidRPr="00DB0715">
        <w:rPr>
          <w:rFonts w:asciiTheme="majorBidi" w:hAnsiTheme="majorBidi" w:cstheme="majorBidi"/>
          <w:bCs/>
          <w:sz w:val="28"/>
          <w:szCs w:val="18"/>
        </w:rPr>
        <w:t xml:space="preserve">Intisar Ghanim Abdulwahhab </w:t>
      </w:r>
      <w:proofErr w:type="gramStart"/>
      <w:r w:rsidR="00652552" w:rsidRPr="00DB0715">
        <w:rPr>
          <w:rFonts w:asciiTheme="majorBidi" w:hAnsiTheme="majorBidi" w:cstheme="majorBidi"/>
          <w:bCs/>
          <w:sz w:val="28"/>
          <w:szCs w:val="18"/>
          <w:vertAlign w:val="superscript"/>
        </w:rPr>
        <w:t>1,</w:t>
      </w:r>
      <w:r w:rsidR="00CF7B5D" w:rsidRPr="00DB0715">
        <w:rPr>
          <w:rFonts w:asciiTheme="majorBidi" w:hAnsiTheme="majorBidi" w:cstheme="majorBidi"/>
          <w:bCs/>
          <w:sz w:val="28"/>
          <w:szCs w:val="18"/>
          <w:vertAlign w:val="superscript"/>
        </w:rPr>
        <w:t>b</w:t>
      </w:r>
      <w:proofErr w:type="gramEnd"/>
      <w:r w:rsidR="00CF7B5D" w:rsidRPr="00DB0715">
        <w:rPr>
          <w:rFonts w:asciiTheme="majorBidi" w:hAnsiTheme="majorBidi" w:cstheme="majorBidi"/>
          <w:bCs/>
          <w:sz w:val="28"/>
          <w:szCs w:val="18"/>
          <w:vertAlign w:val="superscript"/>
        </w:rPr>
        <w:t>)</w:t>
      </w:r>
      <w:r w:rsidR="00CF7B5D" w:rsidRPr="00DB0715">
        <w:rPr>
          <w:rFonts w:asciiTheme="majorBidi" w:hAnsiTheme="majorBidi" w:cstheme="majorBidi"/>
          <w:bCs/>
          <w:sz w:val="28"/>
          <w:szCs w:val="18"/>
        </w:rPr>
        <w:t xml:space="preserve"> </w:t>
      </w:r>
    </w:p>
    <w:p w14:paraId="05C71BFD" w14:textId="2B987CFF" w:rsidR="00AB1D3D" w:rsidRPr="00DB0715" w:rsidRDefault="00652552" w:rsidP="00AC7F81">
      <w:pPr>
        <w:tabs>
          <w:tab w:val="left" w:pos="1062"/>
          <w:tab w:val="center" w:pos="4536"/>
        </w:tabs>
        <w:spacing w:line="240" w:lineRule="auto"/>
        <w:jc w:val="center"/>
        <w:rPr>
          <w:rFonts w:asciiTheme="majorBidi" w:hAnsiTheme="majorBidi" w:cstheme="majorBidi"/>
          <w:i/>
        </w:rPr>
      </w:pPr>
      <w:r w:rsidRPr="00DB0715">
        <w:rPr>
          <w:rFonts w:asciiTheme="majorBidi" w:hAnsiTheme="majorBidi" w:cstheme="majorBidi"/>
          <w:i/>
          <w:vertAlign w:val="superscript"/>
        </w:rPr>
        <w:t>1</w:t>
      </w:r>
      <w:r w:rsidRPr="00DB0715">
        <w:rPr>
          <w:rFonts w:asciiTheme="majorBidi" w:hAnsiTheme="majorBidi" w:cstheme="majorBidi"/>
          <w:i/>
        </w:rPr>
        <w:t xml:space="preserve"> </w:t>
      </w:r>
      <w:r w:rsidR="00AC7F81" w:rsidRPr="00DB0715">
        <w:rPr>
          <w:rFonts w:asciiTheme="majorBidi" w:hAnsiTheme="majorBidi" w:cstheme="majorBidi"/>
          <w:i/>
        </w:rPr>
        <w:t>Tikrit University, College of Education for women, Biology</w:t>
      </w:r>
      <w:r w:rsidR="0052733D" w:rsidRPr="00DB0715">
        <w:rPr>
          <w:rFonts w:asciiTheme="majorBidi" w:hAnsiTheme="majorBidi" w:cstheme="majorBidi"/>
          <w:i/>
        </w:rPr>
        <w:t>,</w:t>
      </w:r>
      <w:r w:rsidR="00F10CB4" w:rsidRPr="00DB0715">
        <w:rPr>
          <w:rFonts w:asciiTheme="majorBidi" w:hAnsiTheme="majorBidi" w:cstheme="majorBidi"/>
        </w:rPr>
        <w:t xml:space="preserve"> </w:t>
      </w:r>
      <w:r w:rsidR="00F10CB4" w:rsidRPr="00DB0715">
        <w:rPr>
          <w:rFonts w:asciiTheme="majorBidi" w:hAnsiTheme="majorBidi" w:cstheme="majorBidi"/>
          <w:i/>
        </w:rPr>
        <w:t>Tikrit,</w:t>
      </w:r>
      <w:r w:rsidR="0052733D" w:rsidRPr="00DB0715">
        <w:rPr>
          <w:rFonts w:asciiTheme="majorBidi" w:hAnsiTheme="majorBidi" w:cstheme="majorBidi"/>
          <w:i/>
        </w:rPr>
        <w:t xml:space="preserve"> Iraq</w:t>
      </w:r>
      <w:r w:rsidR="00304682" w:rsidRPr="00DB0715">
        <w:rPr>
          <w:rFonts w:asciiTheme="majorBidi" w:hAnsiTheme="majorBidi" w:cstheme="majorBidi"/>
          <w:i/>
        </w:rPr>
        <w:t>.</w:t>
      </w:r>
    </w:p>
    <w:p w14:paraId="5FD135E3" w14:textId="13FFFF1B" w:rsidR="00E84C4E" w:rsidRPr="00DB0715" w:rsidRDefault="00AC7F81" w:rsidP="00AC7F81">
      <w:pPr>
        <w:spacing w:line="240" w:lineRule="auto"/>
        <w:jc w:val="center"/>
        <w:rPr>
          <w:rFonts w:asciiTheme="majorBidi" w:hAnsiTheme="majorBidi" w:cstheme="majorBidi"/>
          <w:i/>
          <w:color w:val="000000" w:themeColor="text1"/>
        </w:rPr>
      </w:pPr>
      <w:hyperlink r:id="rId8" w:history="1">
        <w:r w:rsidRPr="00DB0715">
          <w:rPr>
            <w:rStyle w:val="Hyperlink"/>
            <w:rFonts w:asciiTheme="majorBidi" w:hAnsiTheme="majorBidi" w:cstheme="majorBidi"/>
            <w:i/>
            <w:color w:val="000000" w:themeColor="text1"/>
            <w:u w:val="none"/>
            <w:vertAlign w:val="superscript"/>
          </w:rPr>
          <w:t xml:space="preserve"> a)</w:t>
        </w:r>
        <w:r w:rsidRPr="00DB0715">
          <w:rPr>
            <w:rStyle w:val="Hyperlink"/>
            <w:rFonts w:asciiTheme="majorBidi" w:hAnsiTheme="majorBidi" w:cstheme="majorBidi"/>
            <w:i/>
            <w:color w:val="000000" w:themeColor="text1"/>
            <w:u w:val="none"/>
          </w:rPr>
          <w:t xml:space="preserve"> </w:t>
        </w:r>
        <w:r w:rsidR="00652552" w:rsidRPr="00DB0715">
          <w:rPr>
            <w:rStyle w:val="Hyperlink"/>
            <w:rFonts w:asciiTheme="majorBidi" w:hAnsiTheme="majorBidi" w:cstheme="majorBidi"/>
            <w:i/>
            <w:color w:val="000000" w:themeColor="text1"/>
            <w:u w:val="none"/>
          </w:rPr>
          <w:t xml:space="preserve">corresponding authour: </w:t>
        </w:r>
        <w:r w:rsidRPr="00DB0715">
          <w:rPr>
            <w:rStyle w:val="Hyperlink"/>
            <w:rFonts w:asciiTheme="majorBidi" w:hAnsiTheme="majorBidi" w:cstheme="majorBidi"/>
            <w:i/>
            <w:color w:val="000000" w:themeColor="text1"/>
            <w:u w:val="none"/>
          </w:rPr>
          <w:t>maysaa.manea247@st.tu.edu.iq</w:t>
        </w:r>
        <w:r w:rsidR="00AB1D3D" w:rsidRPr="00DB0715">
          <w:rPr>
            <w:rStyle w:val="Hyperlink"/>
            <w:rFonts w:asciiTheme="majorBidi" w:hAnsiTheme="majorBidi" w:cstheme="majorBidi"/>
            <w:i/>
            <w:color w:val="000000" w:themeColor="text1"/>
            <w:u w:val="none"/>
            <w:rtl/>
          </w:rPr>
          <w:t xml:space="preserve"> </w:t>
        </w:r>
        <w:r w:rsidRPr="00DB0715">
          <w:rPr>
            <w:rStyle w:val="Hyperlink"/>
            <w:rFonts w:asciiTheme="majorBidi" w:hAnsiTheme="majorBidi" w:cstheme="majorBidi"/>
            <w:i/>
            <w:color w:val="000000" w:themeColor="text1"/>
            <w:u w:val="none"/>
          </w:rPr>
          <w:t xml:space="preserve"> </w:t>
        </w:r>
      </w:hyperlink>
      <w:r w:rsidR="002D125E" w:rsidRPr="00DB0715">
        <w:rPr>
          <w:rFonts w:asciiTheme="majorBidi" w:hAnsiTheme="majorBidi" w:cstheme="majorBidi"/>
          <w:i/>
          <w:color w:val="000000" w:themeColor="text1"/>
        </w:rPr>
        <w:br/>
      </w:r>
      <w:hyperlink r:id="rId9" w:history="1">
        <w:r w:rsidR="002D125E" w:rsidRPr="00DB0715">
          <w:rPr>
            <w:rStyle w:val="Hyperlink"/>
            <w:rFonts w:asciiTheme="majorBidi" w:hAnsiTheme="majorBidi" w:cstheme="majorBidi"/>
            <w:i/>
            <w:color w:val="000000" w:themeColor="text1"/>
            <w:u w:val="none"/>
            <w:vertAlign w:val="superscript"/>
          </w:rPr>
          <w:t>b)</w:t>
        </w:r>
        <w:r w:rsidR="0052733D" w:rsidRPr="00DB0715">
          <w:rPr>
            <w:rStyle w:val="Hyperlink"/>
            <w:rFonts w:asciiTheme="majorBidi" w:hAnsiTheme="majorBidi" w:cstheme="majorBidi"/>
            <w:i/>
            <w:color w:val="000000" w:themeColor="text1"/>
            <w:u w:val="none"/>
          </w:rPr>
          <w:t xml:space="preserve"> </w:t>
        </w:r>
        <w:r w:rsidRPr="00DB0715">
          <w:rPr>
            <w:rStyle w:val="Hyperlink"/>
            <w:rFonts w:asciiTheme="majorBidi" w:hAnsiTheme="majorBidi" w:cstheme="majorBidi"/>
            <w:i/>
            <w:color w:val="000000" w:themeColor="text1"/>
            <w:u w:val="none"/>
          </w:rPr>
          <w:t xml:space="preserve">dr.en79@tu.edu.iq </w:t>
        </w:r>
      </w:hyperlink>
      <w:r w:rsidR="00723253" w:rsidRPr="00DB0715">
        <w:rPr>
          <w:rFonts w:asciiTheme="majorBidi" w:hAnsiTheme="majorBidi" w:cstheme="majorBidi"/>
          <w:i/>
          <w:color w:val="000000" w:themeColor="text1"/>
        </w:rPr>
        <w:t xml:space="preserve"> </w:t>
      </w:r>
    </w:p>
    <w:p w14:paraId="12F51C32" w14:textId="77777777" w:rsidR="00304682" w:rsidRPr="00DB0715" w:rsidRDefault="002D125E" w:rsidP="001E3020">
      <w:pPr>
        <w:spacing w:line="240" w:lineRule="auto"/>
        <w:ind w:left="288" w:right="288"/>
        <w:jc w:val="both"/>
        <w:rPr>
          <w:rFonts w:asciiTheme="majorBidi" w:hAnsiTheme="majorBidi" w:cstheme="majorBidi"/>
          <w:b/>
          <w:bCs/>
          <w:sz w:val="18"/>
          <w:szCs w:val="18"/>
          <w:lang w:val="en-GB"/>
        </w:rPr>
      </w:pPr>
      <w:r w:rsidRPr="00DB0715">
        <w:rPr>
          <w:rFonts w:asciiTheme="majorBidi" w:hAnsiTheme="majorBidi" w:cstheme="majorBidi"/>
          <w:b/>
          <w:sz w:val="18"/>
          <w:szCs w:val="20"/>
        </w:rPr>
        <w:t>Abstract.</w:t>
      </w:r>
      <w:r w:rsidR="00E650CC" w:rsidRPr="00DB0715">
        <w:rPr>
          <w:rFonts w:asciiTheme="majorBidi" w:hAnsiTheme="majorBidi" w:cstheme="majorBidi"/>
          <w:bCs/>
          <w:sz w:val="18"/>
          <w:szCs w:val="20"/>
        </w:rPr>
        <w:t xml:space="preserve"> </w:t>
      </w:r>
      <w:r w:rsidR="00AC7F81" w:rsidRPr="00DB0715">
        <w:rPr>
          <w:rFonts w:asciiTheme="majorBidi" w:hAnsiTheme="majorBidi" w:cstheme="majorBidi"/>
          <w:bCs/>
          <w:sz w:val="18"/>
          <w:szCs w:val="20"/>
        </w:rPr>
        <w:t xml:space="preserve">This study aimed to diagnose Cryptosporidium parvum infection in children using the TRAPC1 and TRAPC2 genes. One hundred stool samples were collected from patients attending Tikrit Teaching Hospital between October 1, 2024, </w:t>
      </w:r>
      <w:proofErr w:type="gramStart"/>
      <w:r w:rsidR="00AC7F81" w:rsidRPr="00DB0715">
        <w:rPr>
          <w:rFonts w:asciiTheme="majorBidi" w:hAnsiTheme="majorBidi" w:cstheme="majorBidi"/>
          <w:bCs/>
          <w:sz w:val="18"/>
          <w:szCs w:val="20"/>
        </w:rPr>
        <w:t xml:space="preserve">and </w:t>
      </w:r>
      <w:r w:rsidR="001E3020" w:rsidRPr="00DB0715">
        <w:rPr>
          <w:rFonts w:asciiTheme="majorBidi" w:hAnsiTheme="majorBidi" w:cstheme="majorBidi"/>
          <w:bCs/>
          <w:sz w:val="18"/>
          <w:szCs w:val="20"/>
        </w:rPr>
        <w:t xml:space="preserve"> April</w:t>
      </w:r>
      <w:proofErr w:type="gramEnd"/>
      <w:r w:rsidR="00AC7F81" w:rsidRPr="00DB0715">
        <w:rPr>
          <w:rFonts w:asciiTheme="majorBidi" w:hAnsiTheme="majorBidi" w:cstheme="majorBidi"/>
          <w:bCs/>
          <w:sz w:val="18"/>
          <w:szCs w:val="20"/>
        </w:rPr>
        <w:t xml:space="preserve"> 30, 2025. Using modified Ziehl-</w:t>
      </w:r>
      <w:proofErr w:type="spellStart"/>
      <w:r w:rsidR="00AC7F81" w:rsidRPr="00DB0715">
        <w:rPr>
          <w:rFonts w:asciiTheme="majorBidi" w:hAnsiTheme="majorBidi" w:cstheme="majorBidi"/>
          <w:bCs/>
          <w:sz w:val="18"/>
          <w:szCs w:val="20"/>
        </w:rPr>
        <w:t>Neelsen</w:t>
      </w:r>
      <w:proofErr w:type="spellEnd"/>
      <w:r w:rsidR="00AC7F81" w:rsidRPr="00DB0715">
        <w:rPr>
          <w:rFonts w:asciiTheme="majorBidi" w:hAnsiTheme="majorBidi" w:cstheme="majorBidi"/>
          <w:bCs/>
          <w:sz w:val="18"/>
          <w:szCs w:val="20"/>
        </w:rPr>
        <w:t xml:space="preserve"> stain, Cryptosporidium parvum was detected in 38% of the samples, with higher infection rates in males (42%) than in females (31.5%). The highest prevalence was observed in the </w:t>
      </w:r>
      <w:proofErr w:type="gramStart"/>
      <w:r w:rsidR="00AC7F81" w:rsidRPr="00DB0715">
        <w:rPr>
          <w:rFonts w:asciiTheme="majorBidi" w:hAnsiTheme="majorBidi" w:cstheme="majorBidi"/>
          <w:bCs/>
          <w:sz w:val="18"/>
          <w:szCs w:val="20"/>
        </w:rPr>
        <w:t>3-5 year</w:t>
      </w:r>
      <w:proofErr w:type="gramEnd"/>
      <w:r w:rsidR="00AC7F81" w:rsidRPr="00DB0715">
        <w:rPr>
          <w:rFonts w:asciiTheme="majorBidi" w:hAnsiTheme="majorBidi" w:cstheme="majorBidi"/>
          <w:bCs/>
          <w:sz w:val="18"/>
          <w:szCs w:val="20"/>
        </w:rPr>
        <w:t xml:space="preserve"> age group (44.4%), while the lowest was in the </w:t>
      </w:r>
      <w:proofErr w:type="gramStart"/>
      <w:r w:rsidR="00AC7F81" w:rsidRPr="00DB0715">
        <w:rPr>
          <w:rFonts w:asciiTheme="majorBidi" w:hAnsiTheme="majorBidi" w:cstheme="majorBidi"/>
          <w:bCs/>
          <w:sz w:val="18"/>
          <w:szCs w:val="20"/>
        </w:rPr>
        <w:t>13-15 year</w:t>
      </w:r>
      <w:proofErr w:type="gramEnd"/>
      <w:r w:rsidR="00AC7F81" w:rsidRPr="00DB0715">
        <w:rPr>
          <w:rFonts w:asciiTheme="majorBidi" w:hAnsiTheme="majorBidi" w:cstheme="majorBidi"/>
          <w:bCs/>
          <w:sz w:val="18"/>
          <w:szCs w:val="20"/>
        </w:rPr>
        <w:t xml:space="preserve"> age group (21.4%). Seasonal variation in infection rates was observed, with the peak prevalence in January (56%) and the lowest rate in October (16.6%). DNA was extracted from 100 stool </w:t>
      </w:r>
      <w:proofErr w:type="gramStart"/>
      <w:r w:rsidR="00AC7F81" w:rsidRPr="00DB0715">
        <w:rPr>
          <w:rFonts w:asciiTheme="majorBidi" w:hAnsiTheme="majorBidi" w:cstheme="majorBidi"/>
          <w:bCs/>
          <w:sz w:val="18"/>
          <w:szCs w:val="20"/>
        </w:rPr>
        <w:t>samples</w:t>
      </w:r>
      <w:proofErr w:type="gramEnd"/>
      <w:r w:rsidR="00AC7F81" w:rsidRPr="00DB0715">
        <w:rPr>
          <w:rFonts w:asciiTheme="majorBidi" w:hAnsiTheme="majorBidi" w:cstheme="majorBidi"/>
          <w:bCs/>
          <w:sz w:val="18"/>
          <w:szCs w:val="20"/>
        </w:rPr>
        <w:t xml:space="preserve"> and the results showed the presence of a DNA band in 93 samples out of a total of 100 samples. Conventional PCR diagnosis was then performed using primers for both the TRAPC2 and TRAPC1 genes on 93 samples and the results showed that the number of samples positive for the TRAPC2 gene was 18 samples (19.4%), while the TRAPC1 gene gave a positive result in 26 samples (27.9%). </w:t>
      </w:r>
    </w:p>
    <w:p w14:paraId="0ED0450D" w14:textId="6EAD8C87" w:rsidR="0030573C" w:rsidRPr="00DB0715" w:rsidRDefault="0030573C" w:rsidP="001E3020">
      <w:pPr>
        <w:spacing w:line="240" w:lineRule="auto"/>
        <w:ind w:left="288" w:right="288"/>
        <w:jc w:val="both"/>
        <w:rPr>
          <w:rFonts w:asciiTheme="majorBidi" w:hAnsiTheme="majorBidi" w:cstheme="majorBidi"/>
          <w:sz w:val="18"/>
          <w:szCs w:val="18"/>
          <w:lang w:val="fr-FR"/>
        </w:rPr>
      </w:pPr>
      <w:proofErr w:type="gramStart"/>
      <w:r w:rsidRPr="00DB0715">
        <w:rPr>
          <w:rFonts w:asciiTheme="majorBidi" w:hAnsiTheme="majorBidi" w:cstheme="majorBidi"/>
          <w:b/>
          <w:bCs/>
          <w:sz w:val="18"/>
          <w:szCs w:val="18"/>
          <w:lang w:val="fr-FR"/>
        </w:rPr>
        <w:t>Keywords:</w:t>
      </w:r>
      <w:proofErr w:type="gramEnd"/>
      <w:r w:rsidR="0082636C" w:rsidRPr="00DB0715">
        <w:rPr>
          <w:rFonts w:asciiTheme="majorBidi" w:hAnsiTheme="majorBidi" w:cstheme="majorBidi"/>
          <w:sz w:val="18"/>
          <w:szCs w:val="18"/>
          <w:rtl/>
          <w:lang w:val="en-GB"/>
        </w:rPr>
        <w:t xml:space="preserve"> </w:t>
      </w:r>
      <w:r w:rsidR="009E20E3" w:rsidRPr="00DB0715">
        <w:rPr>
          <w:rFonts w:asciiTheme="majorBidi" w:hAnsiTheme="majorBidi" w:cstheme="majorBidi"/>
          <w:sz w:val="18"/>
          <w:szCs w:val="18"/>
          <w:rtl/>
          <w:lang w:val="en-GB"/>
        </w:rPr>
        <w:t xml:space="preserve"> </w:t>
      </w:r>
      <w:proofErr w:type="spellStart"/>
      <w:r w:rsidR="00AC7F81" w:rsidRPr="00DB0715">
        <w:rPr>
          <w:rFonts w:asciiTheme="majorBidi" w:hAnsiTheme="majorBidi" w:cstheme="majorBidi"/>
          <w:sz w:val="18"/>
          <w:szCs w:val="18"/>
          <w:lang w:val="fr-FR"/>
        </w:rPr>
        <w:t>Cryptosporidium</w:t>
      </w:r>
      <w:proofErr w:type="spellEnd"/>
      <w:r w:rsidR="00AC7F81" w:rsidRPr="00DB0715">
        <w:rPr>
          <w:rFonts w:asciiTheme="majorBidi" w:hAnsiTheme="majorBidi" w:cstheme="majorBidi"/>
          <w:sz w:val="18"/>
          <w:szCs w:val="18"/>
          <w:lang w:val="fr-FR"/>
        </w:rPr>
        <w:t xml:space="preserve"> </w:t>
      </w:r>
      <w:proofErr w:type="spellStart"/>
      <w:r w:rsidR="00AC7F81" w:rsidRPr="00DB0715">
        <w:rPr>
          <w:rFonts w:asciiTheme="majorBidi" w:hAnsiTheme="majorBidi" w:cstheme="majorBidi"/>
          <w:sz w:val="18"/>
          <w:szCs w:val="18"/>
          <w:lang w:val="fr-FR"/>
        </w:rPr>
        <w:t>parvum</w:t>
      </w:r>
      <w:proofErr w:type="spellEnd"/>
      <w:r w:rsidR="00AC7F81" w:rsidRPr="00DB0715">
        <w:rPr>
          <w:rFonts w:asciiTheme="majorBidi" w:hAnsiTheme="majorBidi" w:cstheme="majorBidi"/>
          <w:sz w:val="18"/>
          <w:szCs w:val="18"/>
          <w:lang w:val="fr-FR"/>
        </w:rPr>
        <w:t xml:space="preserve">, </w:t>
      </w:r>
      <w:proofErr w:type="gramStart"/>
      <w:r w:rsidR="00AC7F81" w:rsidRPr="00DB0715">
        <w:rPr>
          <w:rFonts w:asciiTheme="majorBidi" w:hAnsiTheme="majorBidi" w:cstheme="majorBidi"/>
          <w:sz w:val="18"/>
          <w:szCs w:val="18"/>
          <w:lang w:val="fr-FR"/>
        </w:rPr>
        <w:t xml:space="preserve">PCR  </w:t>
      </w:r>
      <w:proofErr w:type="spellStart"/>
      <w:r w:rsidR="00AC7F81" w:rsidRPr="00DB0715">
        <w:rPr>
          <w:rFonts w:asciiTheme="majorBidi" w:hAnsiTheme="majorBidi" w:cstheme="majorBidi"/>
          <w:sz w:val="18"/>
          <w:szCs w:val="18"/>
          <w:lang w:val="fr-FR"/>
        </w:rPr>
        <w:t>Conventional</w:t>
      </w:r>
      <w:proofErr w:type="spellEnd"/>
      <w:proofErr w:type="gramEnd"/>
      <w:r w:rsidR="00AC7F81" w:rsidRPr="00DB0715">
        <w:rPr>
          <w:rFonts w:asciiTheme="majorBidi" w:hAnsiTheme="majorBidi" w:cstheme="majorBidi"/>
          <w:sz w:val="18"/>
          <w:szCs w:val="18"/>
          <w:lang w:val="fr-FR"/>
        </w:rPr>
        <w:t>, TRAPC1, TRAPC2</w:t>
      </w:r>
    </w:p>
    <w:p w14:paraId="2C3C4FEE" w14:textId="77777777" w:rsidR="00887EA4" w:rsidRPr="00DB0715" w:rsidRDefault="002D125E" w:rsidP="005733F1">
      <w:pPr>
        <w:spacing w:before="240" w:after="240" w:line="240" w:lineRule="auto"/>
        <w:jc w:val="center"/>
        <w:rPr>
          <w:rFonts w:asciiTheme="majorBidi" w:hAnsiTheme="majorBidi" w:cstheme="majorBidi"/>
        </w:rPr>
      </w:pPr>
      <w:r w:rsidRPr="00DB0715">
        <w:rPr>
          <w:rFonts w:asciiTheme="majorBidi" w:hAnsiTheme="majorBidi" w:cstheme="majorBidi"/>
          <w:b/>
          <w:sz w:val="24"/>
        </w:rPr>
        <w:t>INTRODUCTION</w:t>
      </w:r>
    </w:p>
    <w:p w14:paraId="7EDEEA84" w14:textId="439F7457" w:rsidR="00E3123E" w:rsidRPr="00DB0715" w:rsidRDefault="009736BA" w:rsidP="00C94C92">
      <w:pPr>
        <w:spacing w:line="240" w:lineRule="auto"/>
        <w:ind w:firstLine="284"/>
        <w:jc w:val="both"/>
        <w:rPr>
          <w:rFonts w:asciiTheme="majorBidi" w:hAnsiTheme="majorBidi" w:cstheme="majorBidi"/>
        </w:rPr>
      </w:pPr>
      <w:r w:rsidRPr="00DB0715">
        <w:rPr>
          <w:rFonts w:asciiTheme="majorBidi" w:hAnsiTheme="majorBidi" w:cstheme="majorBidi"/>
          <w:i/>
          <w:iCs/>
        </w:rPr>
        <w:t>Cryptosporidium parvum</w:t>
      </w:r>
      <w:r w:rsidRPr="00DB0715">
        <w:rPr>
          <w:rFonts w:asciiTheme="majorBidi" w:hAnsiTheme="majorBidi" w:cstheme="majorBidi"/>
        </w:rPr>
        <w:t xml:space="preserve"> is an </w:t>
      </w:r>
      <w:proofErr w:type="gramStart"/>
      <w:r w:rsidRPr="00DB0715">
        <w:rPr>
          <w:rFonts w:asciiTheme="majorBidi" w:hAnsiTheme="majorBidi" w:cstheme="majorBidi"/>
        </w:rPr>
        <w:t>obligate</w:t>
      </w:r>
      <w:proofErr w:type="gramEnd"/>
      <w:r w:rsidRPr="00DB0715">
        <w:rPr>
          <w:rFonts w:asciiTheme="majorBidi" w:hAnsiTheme="majorBidi" w:cstheme="majorBidi"/>
        </w:rPr>
        <w:t xml:space="preserve"> unicellular parasite of the intestinal microbiota</w:t>
      </w:r>
      <w:r w:rsidR="00AC7F81" w:rsidRPr="00DB0715">
        <w:rPr>
          <w:rFonts w:asciiTheme="majorBidi" w:hAnsiTheme="majorBidi" w:cstheme="majorBidi"/>
        </w:rPr>
        <w:t xml:space="preserve">. It has great importance to human and animal health and with economic relevance the parasite represents an important intestinal pathogen. Infection is globally endemic with host species, parasite genotype strain, and infection site determining the degree of severity </w:t>
      </w:r>
      <w:r w:rsidR="00F6744C" w:rsidRPr="00DB0715">
        <w:rPr>
          <w:rFonts w:asciiTheme="majorBidi" w:hAnsiTheme="majorBidi" w:cstheme="majorBidi"/>
        </w:rPr>
        <w:t>[1]</w:t>
      </w:r>
      <w:r w:rsidR="00AC7F81" w:rsidRPr="00DB0715">
        <w:rPr>
          <w:rFonts w:asciiTheme="majorBidi" w:hAnsiTheme="majorBidi" w:cstheme="majorBidi"/>
        </w:rPr>
        <w:t xml:space="preserve">. In otherwise healthy people, infection usually produces intestinal symptoms immediately for a short period of time - things like severe diarrhea, abdominal cramps, loss of weight and appeal, tiredness, and light fever. There are no established cures </w:t>
      </w:r>
      <w:r w:rsidR="00F6744C" w:rsidRPr="00DB0715">
        <w:rPr>
          <w:rFonts w:asciiTheme="majorBidi" w:hAnsiTheme="majorBidi" w:cstheme="majorBidi"/>
        </w:rPr>
        <w:t>[2]</w:t>
      </w:r>
      <w:r w:rsidR="00AC7F81" w:rsidRPr="00DB0715">
        <w:rPr>
          <w:rFonts w:asciiTheme="majorBidi" w:hAnsiTheme="majorBidi" w:cstheme="majorBidi"/>
        </w:rPr>
        <w:t xml:space="preserve">, and in immunocompromised patients, symptoms can last longer. Some 20-odd species of Cryptosporidium capable of infecting humans are thought to exist, with C. hominis and C. spp., the most widely distributed Parvum </w:t>
      </w:r>
      <w:r w:rsidR="00F6744C" w:rsidRPr="00DB0715">
        <w:rPr>
          <w:rFonts w:asciiTheme="majorBidi" w:hAnsiTheme="majorBidi" w:cstheme="majorBidi"/>
        </w:rPr>
        <w:t>[3]</w:t>
      </w:r>
      <w:r w:rsidR="00AC7F81" w:rsidRPr="00DB0715">
        <w:rPr>
          <w:rFonts w:asciiTheme="majorBidi" w:hAnsiTheme="majorBidi" w:cstheme="majorBidi"/>
        </w:rPr>
        <w:t xml:space="preserve">. Cryptosporidiosis is commonly diagnosed by the microscopic detection of cysts in feces </w:t>
      </w:r>
      <w:r w:rsidR="00F6744C" w:rsidRPr="00DB0715">
        <w:rPr>
          <w:rFonts w:asciiTheme="majorBidi" w:hAnsiTheme="majorBidi" w:cstheme="majorBidi"/>
        </w:rPr>
        <w:t>[4]</w:t>
      </w:r>
      <w:r w:rsidR="00AC7F81" w:rsidRPr="00DB0715">
        <w:rPr>
          <w:rFonts w:asciiTheme="majorBidi" w:hAnsiTheme="majorBidi" w:cstheme="majorBidi"/>
        </w:rPr>
        <w:t xml:space="preserve">. Molecular techniques like polymerase chain reaction (PCR) allow the identification of human and animal genotypes, contributing to epidemiologic studies, source attribution, and efficient control </w:t>
      </w:r>
      <w:r w:rsidR="00F6744C" w:rsidRPr="00DB0715">
        <w:rPr>
          <w:rFonts w:asciiTheme="majorBidi" w:hAnsiTheme="majorBidi" w:cstheme="majorBidi"/>
        </w:rPr>
        <w:t>[5]</w:t>
      </w:r>
      <w:r w:rsidR="00AC7F81" w:rsidRPr="00DB0715">
        <w:rPr>
          <w:rFonts w:asciiTheme="majorBidi" w:hAnsiTheme="majorBidi" w:cstheme="majorBidi"/>
        </w:rPr>
        <w:t xml:space="preserve">. The </w:t>
      </w:r>
      <w:proofErr w:type="spellStart"/>
      <w:r w:rsidR="00AC7F81" w:rsidRPr="00DB0715">
        <w:rPr>
          <w:rFonts w:asciiTheme="majorBidi" w:hAnsiTheme="majorBidi" w:cstheme="majorBidi"/>
        </w:rPr>
        <w:t>Throrombospoudin</w:t>
      </w:r>
      <w:proofErr w:type="spellEnd"/>
      <w:r w:rsidR="00AC7F81" w:rsidRPr="00DB0715">
        <w:rPr>
          <w:rFonts w:asciiTheme="majorBidi" w:hAnsiTheme="majorBidi" w:cstheme="majorBidi"/>
        </w:rPr>
        <w:t xml:space="preserve"> Related Adhesive Protein TRAP gene encodes for a thrombospondin related adhesive protein which is involved in motility and invasion of host cells by this parasite and constitutes both a putative virulence factor and a potential diagnostic marker </w:t>
      </w:r>
      <w:r w:rsidR="00F6744C" w:rsidRPr="00DB0715">
        <w:rPr>
          <w:rFonts w:asciiTheme="majorBidi" w:hAnsiTheme="majorBidi" w:cstheme="majorBidi"/>
        </w:rPr>
        <w:t xml:space="preserve">[6] </w:t>
      </w:r>
      <w:proofErr w:type="gramStart"/>
      <w:r w:rsidR="00AC7F81" w:rsidRPr="00DB0715">
        <w:rPr>
          <w:rFonts w:asciiTheme="majorBidi" w:hAnsiTheme="majorBidi" w:cstheme="majorBidi"/>
        </w:rPr>
        <w:t>An</w:t>
      </w:r>
      <w:proofErr w:type="gramEnd"/>
      <w:r w:rsidR="00AC7F81" w:rsidRPr="00DB0715">
        <w:rPr>
          <w:rFonts w:asciiTheme="majorBidi" w:hAnsiTheme="majorBidi" w:cstheme="majorBidi"/>
        </w:rPr>
        <w:t xml:space="preserve"> important molecular marker for differentiating C. parvum isolates at the species level is the TRAPC1 gene. The presence of its genotypes in human isolates </w:t>
      </w:r>
      <w:proofErr w:type="gramStart"/>
      <w:r w:rsidR="00AC7F81" w:rsidRPr="00DB0715">
        <w:rPr>
          <w:rFonts w:asciiTheme="majorBidi" w:hAnsiTheme="majorBidi" w:cstheme="majorBidi"/>
        </w:rPr>
        <w:t>are</w:t>
      </w:r>
      <w:proofErr w:type="gramEnd"/>
      <w:r w:rsidR="00AC7F81" w:rsidRPr="00DB0715">
        <w:rPr>
          <w:rFonts w:asciiTheme="majorBidi" w:hAnsiTheme="majorBidi" w:cstheme="majorBidi"/>
        </w:rPr>
        <w:t xml:space="preserve"> nearly exclusive, and thus, the transmission of the infection associated with it is generally as an incidence of human-to-human. </w:t>
      </w:r>
      <w:proofErr w:type="gramStart"/>
      <w:r w:rsidR="00AC7F81" w:rsidRPr="00DB0715">
        <w:rPr>
          <w:rFonts w:asciiTheme="majorBidi" w:hAnsiTheme="majorBidi" w:cstheme="majorBidi"/>
        </w:rPr>
        <w:t>Polymorphism</w:t>
      </w:r>
      <w:proofErr w:type="gramEnd"/>
      <w:r w:rsidR="00AC7F81" w:rsidRPr="00DB0715">
        <w:rPr>
          <w:rFonts w:asciiTheme="majorBidi" w:hAnsiTheme="majorBidi" w:cstheme="majorBidi"/>
        </w:rPr>
        <w:t xml:space="preserve"> of the TRAPC2 </w:t>
      </w:r>
      <w:proofErr w:type="gramStart"/>
      <w:r w:rsidR="00AC7F81" w:rsidRPr="00DB0715">
        <w:rPr>
          <w:rFonts w:asciiTheme="majorBidi" w:hAnsiTheme="majorBidi" w:cstheme="majorBidi"/>
        </w:rPr>
        <w:t>gene</w:t>
      </w:r>
      <w:proofErr w:type="gramEnd"/>
      <w:r w:rsidR="00AC7F81" w:rsidRPr="00DB0715">
        <w:rPr>
          <w:rFonts w:asciiTheme="majorBidi" w:hAnsiTheme="majorBidi" w:cstheme="majorBidi"/>
        </w:rPr>
        <w:t xml:space="preserve"> </w:t>
      </w:r>
      <w:proofErr w:type="gramStart"/>
      <w:r w:rsidR="00AC7F81" w:rsidRPr="00DB0715">
        <w:rPr>
          <w:rFonts w:asciiTheme="majorBidi" w:hAnsiTheme="majorBidi" w:cstheme="majorBidi"/>
        </w:rPr>
        <w:t>are</w:t>
      </w:r>
      <w:proofErr w:type="gramEnd"/>
      <w:r w:rsidR="00AC7F81" w:rsidRPr="00DB0715">
        <w:rPr>
          <w:rFonts w:asciiTheme="majorBidi" w:hAnsiTheme="majorBidi" w:cstheme="majorBidi"/>
        </w:rPr>
        <w:t xml:space="preserve"> quite evident and exist in human isolates as well as those from animals. Consequently, there are both zoonotic infection sources and the human-to-human transmitted ones </w:t>
      </w:r>
      <w:r w:rsidR="00F6744C" w:rsidRPr="00DB0715">
        <w:rPr>
          <w:rFonts w:asciiTheme="majorBidi" w:hAnsiTheme="majorBidi" w:cstheme="majorBidi"/>
        </w:rPr>
        <w:t>[7]</w:t>
      </w:r>
      <w:r w:rsidR="00AC7F81" w:rsidRPr="00DB0715">
        <w:rPr>
          <w:rFonts w:asciiTheme="majorBidi" w:hAnsiTheme="majorBidi" w:cstheme="majorBidi"/>
        </w:rPr>
        <w:t>.</w:t>
      </w:r>
    </w:p>
    <w:p w14:paraId="50927B3A" w14:textId="635FF3AE" w:rsidR="003A37F5" w:rsidRPr="00DB0715" w:rsidRDefault="003A37F5"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While the prevalence of cryptosporidiosis is a known public health burden, a significant epidemiological problem remains in distinguishing the primary transmission routes. Relying solely on microscopic detection is insufficient for tracing infection </w:t>
      </w:r>
      <w:proofErr w:type="gramStart"/>
      <w:r w:rsidRPr="00DB0715">
        <w:rPr>
          <w:rFonts w:asciiTheme="majorBidi" w:hAnsiTheme="majorBidi" w:cstheme="majorBidi"/>
        </w:rPr>
        <w:t>sources ,</w:t>
      </w:r>
      <w:proofErr w:type="gramEnd"/>
      <w:r w:rsidRPr="00DB0715">
        <w:rPr>
          <w:rFonts w:asciiTheme="majorBidi" w:hAnsiTheme="majorBidi" w:cstheme="majorBidi"/>
        </w:rPr>
        <w:t xml:space="preserve"> leaving a critical gap in understanding whether infections in a community are primarily anthroponotic (human-to-human) or zoonotic (animal-to-human). This study aims to solve this diagnostic challenge by employing conventional PCR to target two key genes: TRAPC1 and TRAPC2. The importance of this approach lies in the distinct epidemiological data these genes provide; the TRAPC1 gene is almost exclusively associated with human isolates, whereas TRAPC2 is polymorphic and found in both human and animal sources. Therefore, the central goal of this research is not only to provide a precise molecular diagnosis but, more importantly, to use the relative prevalence of these two genes to illuminate the dominant transmission pathways of C. parvum in Salah Al-Din Governorate. This distinction is crucial for environmental health, as it will help authorities determine whether control strategies should prioritize improving sanitation and </w:t>
      </w:r>
      <w:r w:rsidRPr="00DB0715">
        <w:rPr>
          <w:rFonts w:asciiTheme="majorBidi" w:hAnsiTheme="majorBidi" w:cstheme="majorBidi"/>
        </w:rPr>
        <w:lastRenderedPageBreak/>
        <w:t>hygiene (to combat human-to-human spread) or focus on managing contaminated water supplies and livestock contact (to control zoonotic transmission).</w:t>
      </w:r>
    </w:p>
    <w:p w14:paraId="60AD05C6" w14:textId="373117A2" w:rsidR="00887EA4" w:rsidRPr="00DB0715" w:rsidRDefault="002D125E" w:rsidP="005733F1">
      <w:pPr>
        <w:spacing w:before="240" w:after="240" w:line="240" w:lineRule="auto"/>
        <w:jc w:val="center"/>
        <w:rPr>
          <w:rFonts w:asciiTheme="majorBidi" w:hAnsiTheme="majorBidi" w:cstheme="majorBidi"/>
        </w:rPr>
      </w:pPr>
      <w:r w:rsidRPr="00DB0715">
        <w:rPr>
          <w:rFonts w:asciiTheme="majorBidi" w:hAnsiTheme="majorBidi" w:cstheme="majorBidi"/>
          <w:b/>
          <w:sz w:val="24"/>
        </w:rPr>
        <w:t>EXPERIMENTAL PART</w:t>
      </w:r>
    </w:p>
    <w:p w14:paraId="4C2DC16C" w14:textId="1B556014" w:rsidR="00AC7F81" w:rsidRPr="00DB0715" w:rsidRDefault="00AC7F81" w:rsidP="00652552">
      <w:pPr>
        <w:spacing w:line="240" w:lineRule="auto"/>
        <w:jc w:val="center"/>
        <w:rPr>
          <w:rFonts w:asciiTheme="majorBidi" w:hAnsiTheme="majorBidi" w:cstheme="majorBidi"/>
          <w:b/>
          <w:bCs/>
          <w:sz w:val="24"/>
          <w:szCs w:val="24"/>
        </w:rPr>
      </w:pPr>
      <w:r w:rsidRPr="00DB0715">
        <w:rPr>
          <w:rFonts w:asciiTheme="majorBidi" w:hAnsiTheme="majorBidi" w:cstheme="majorBidi"/>
          <w:b/>
          <w:bCs/>
          <w:sz w:val="24"/>
          <w:szCs w:val="24"/>
        </w:rPr>
        <w:t xml:space="preserve">Samples </w:t>
      </w:r>
      <w:r w:rsidR="008D7AE6" w:rsidRPr="00DB0715">
        <w:rPr>
          <w:rFonts w:asciiTheme="majorBidi" w:hAnsiTheme="majorBidi" w:cstheme="majorBidi"/>
          <w:b/>
          <w:bCs/>
          <w:sz w:val="24"/>
          <w:szCs w:val="24"/>
        </w:rPr>
        <w:t>Collection</w:t>
      </w:r>
    </w:p>
    <w:p w14:paraId="5913C751" w14:textId="77777777"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Samples were collected from patients visiting Tikrit Teaching Hospital in Salah al-Din Governorate, after obtaining approval from the hospital administration to visit the hospital and collect samples from patients. Sample collection continued from October 1, </w:t>
      </w:r>
      <w:proofErr w:type="gramStart"/>
      <w:r w:rsidRPr="00DB0715">
        <w:rPr>
          <w:rFonts w:asciiTheme="majorBidi" w:hAnsiTheme="majorBidi" w:cstheme="majorBidi"/>
        </w:rPr>
        <w:t>2024</w:t>
      </w:r>
      <w:proofErr w:type="gramEnd"/>
      <w:r w:rsidRPr="00DB0715">
        <w:rPr>
          <w:rFonts w:asciiTheme="majorBidi" w:hAnsiTheme="majorBidi" w:cstheme="majorBidi"/>
        </w:rPr>
        <w:t xml:space="preserve"> to April 30, 2025. 100 stool samples were collected from patients (aged 5 months to 15 years). The stool samples were examined microscopically after staining with Ziehl-Neelsen stain to detect the presence of oocysts. Samples that were positive for microscopic examination and suspected were placed in DNA Shield preservative prepared by </w:t>
      </w:r>
      <w:proofErr w:type="spellStart"/>
      <w:r w:rsidRPr="00DB0715">
        <w:rPr>
          <w:rFonts w:asciiTheme="majorBidi" w:hAnsiTheme="majorBidi" w:cstheme="majorBidi"/>
        </w:rPr>
        <w:t>Zymo</w:t>
      </w:r>
      <w:proofErr w:type="spellEnd"/>
      <w:r w:rsidRPr="00DB0715">
        <w:rPr>
          <w:rFonts w:asciiTheme="majorBidi" w:hAnsiTheme="majorBidi" w:cstheme="majorBidi"/>
        </w:rPr>
        <w:t xml:space="preserve"> Research, where 100-200 mg of the sample was placed in 500 microliters of preservation solution and then frozen at -20°C until study was conducted. They were then transferred to the central laboratory at Tikrit University for the purpose of conducting experiments.</w:t>
      </w:r>
    </w:p>
    <w:p w14:paraId="66D25141" w14:textId="068CA0FA" w:rsidR="00AC7F81" w:rsidRPr="00DB0715" w:rsidRDefault="00AC7F81" w:rsidP="00652552">
      <w:pPr>
        <w:spacing w:line="240" w:lineRule="auto"/>
        <w:jc w:val="center"/>
        <w:rPr>
          <w:rFonts w:asciiTheme="majorBidi" w:hAnsiTheme="majorBidi" w:cstheme="majorBidi"/>
          <w:b/>
          <w:bCs/>
          <w:sz w:val="24"/>
          <w:szCs w:val="24"/>
        </w:rPr>
      </w:pPr>
      <w:r w:rsidRPr="00DB0715">
        <w:rPr>
          <w:rFonts w:asciiTheme="majorBidi" w:hAnsiTheme="majorBidi" w:cstheme="majorBidi"/>
          <w:b/>
          <w:bCs/>
          <w:sz w:val="24"/>
          <w:szCs w:val="24"/>
        </w:rPr>
        <w:t xml:space="preserve">Molecular </w:t>
      </w:r>
      <w:r w:rsidR="00C94C92" w:rsidRPr="00DB0715">
        <w:rPr>
          <w:rFonts w:asciiTheme="majorBidi" w:hAnsiTheme="majorBidi" w:cstheme="majorBidi"/>
          <w:b/>
          <w:bCs/>
          <w:sz w:val="24"/>
          <w:szCs w:val="24"/>
        </w:rPr>
        <w:t>Study</w:t>
      </w:r>
    </w:p>
    <w:p w14:paraId="2D841ADB" w14:textId="77777777"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Molecular studies were conducted to detect Cryptosporidium parvum from fecal samples using a gene-specific DNA extraction kit. DNA was extracted from the collected samples using the Presto Minig DNA Extraction Kit, supplied by </w:t>
      </w:r>
      <w:proofErr w:type="spellStart"/>
      <w:r w:rsidRPr="00DB0715">
        <w:rPr>
          <w:rFonts w:asciiTheme="majorBidi" w:hAnsiTheme="majorBidi" w:cstheme="majorBidi"/>
        </w:rPr>
        <w:t>Geneaid</w:t>
      </w:r>
      <w:proofErr w:type="spellEnd"/>
      <w:r w:rsidRPr="00DB0715">
        <w:rPr>
          <w:rFonts w:asciiTheme="majorBidi" w:hAnsiTheme="majorBidi" w:cstheme="majorBidi"/>
        </w:rPr>
        <w:t>. Purity and concentration were measured at a wavelength of 260/280 nm. The DNA was then electrophoresed on a 1% agarose gel. This step is essential to ensure that the extracted DNA is sufficiently pure and does not undergo fragmentation that could compromise its efficacy in subsequent molecular applications.</w:t>
      </w:r>
    </w:p>
    <w:p w14:paraId="40072125" w14:textId="5D067978" w:rsidR="00AC7F81" w:rsidRPr="00DB0715" w:rsidRDefault="00C94C92" w:rsidP="00652552">
      <w:pPr>
        <w:spacing w:line="240" w:lineRule="auto"/>
        <w:jc w:val="center"/>
        <w:rPr>
          <w:rFonts w:asciiTheme="majorBidi" w:hAnsiTheme="majorBidi" w:cstheme="majorBidi"/>
          <w:b/>
          <w:bCs/>
          <w:sz w:val="24"/>
          <w:szCs w:val="24"/>
        </w:rPr>
      </w:pPr>
      <w:r w:rsidRPr="00DB0715">
        <w:rPr>
          <w:rFonts w:asciiTheme="majorBidi" w:hAnsiTheme="majorBidi" w:cstheme="majorBidi"/>
          <w:b/>
          <w:bCs/>
          <w:sz w:val="24"/>
          <w:szCs w:val="24"/>
        </w:rPr>
        <w:t>Preparing the Primers</w:t>
      </w:r>
    </w:p>
    <w:p w14:paraId="6C8F5D42" w14:textId="77777777"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All primers were prepared by </w:t>
      </w:r>
      <w:proofErr w:type="spellStart"/>
      <w:r w:rsidRPr="00DB0715">
        <w:rPr>
          <w:rFonts w:asciiTheme="majorBidi" w:hAnsiTheme="majorBidi" w:cstheme="majorBidi"/>
        </w:rPr>
        <w:t>Macrogene</w:t>
      </w:r>
      <w:proofErr w:type="spellEnd"/>
      <w:r w:rsidRPr="00DB0715">
        <w:rPr>
          <w:rFonts w:asciiTheme="majorBidi" w:hAnsiTheme="majorBidi" w:cstheme="majorBidi"/>
        </w:rPr>
        <w:t xml:space="preserve"> and were prepared as working solutions at a final concentration of 10 </w:t>
      </w:r>
      <w:proofErr w:type="spellStart"/>
      <w:r w:rsidRPr="00DB0715">
        <w:rPr>
          <w:rFonts w:asciiTheme="majorBidi" w:hAnsiTheme="majorBidi" w:cstheme="majorBidi"/>
        </w:rPr>
        <w:t>pmol</w:t>
      </w:r>
      <w:proofErr w:type="spellEnd"/>
      <w:r w:rsidRPr="00DB0715">
        <w:rPr>
          <w:rFonts w:asciiTheme="majorBidi" w:hAnsiTheme="majorBidi" w:cstheme="majorBidi"/>
        </w:rPr>
        <w:t>/µl after dissolving them in nuclease-free water for gene amplification.</w:t>
      </w:r>
    </w:p>
    <w:p w14:paraId="52F99E7E" w14:textId="4929CA2A" w:rsidR="00AC7F81" w:rsidRPr="00DB0715" w:rsidRDefault="00AC7F81" w:rsidP="00652552">
      <w:pPr>
        <w:spacing w:line="240" w:lineRule="auto"/>
        <w:jc w:val="center"/>
        <w:rPr>
          <w:rFonts w:asciiTheme="majorBidi" w:hAnsiTheme="majorBidi" w:cstheme="majorBidi"/>
          <w:b/>
          <w:bCs/>
          <w:sz w:val="24"/>
          <w:szCs w:val="24"/>
        </w:rPr>
      </w:pPr>
      <w:r w:rsidRPr="00DB0715">
        <w:rPr>
          <w:rFonts w:asciiTheme="majorBidi" w:hAnsiTheme="majorBidi" w:cstheme="majorBidi"/>
          <w:b/>
          <w:bCs/>
          <w:sz w:val="24"/>
          <w:szCs w:val="24"/>
        </w:rPr>
        <w:t xml:space="preserve">The </w:t>
      </w:r>
      <w:r w:rsidR="00C94C92" w:rsidRPr="00DB0715">
        <w:rPr>
          <w:rFonts w:asciiTheme="majorBidi" w:hAnsiTheme="majorBidi" w:cstheme="majorBidi"/>
          <w:b/>
          <w:bCs/>
          <w:sz w:val="24"/>
          <w:szCs w:val="24"/>
        </w:rPr>
        <w:t>Primers</w:t>
      </w:r>
    </w:p>
    <w:p w14:paraId="4D4228CE" w14:textId="2883BA1F"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Conventional PCR with 369 bp specific primers for TRAP-C2 gene was used, forward primer F: 5'-CAT ATT CCCTGT CCC TTG AGT TGT-3', reverse primer R: 5'-TGG ACAACC CAA ATG CAG AC-3'. For TRAP-C1 gene with 1200 bp specific primers, forward primer F: 5'GGATGGGTATCAGGTAATAAGAA-3', reverse primer R: 5'- R:5'CAACTAGCCCAGTTCTGACTCTCTGG-3' </w:t>
      </w:r>
      <w:r w:rsidR="00F6744C" w:rsidRPr="00DB0715">
        <w:rPr>
          <w:rFonts w:asciiTheme="majorBidi" w:hAnsiTheme="majorBidi" w:cstheme="majorBidi"/>
        </w:rPr>
        <w:t>[8]</w:t>
      </w:r>
      <w:r w:rsidRPr="00DB0715">
        <w:rPr>
          <w:rFonts w:asciiTheme="majorBidi" w:hAnsiTheme="majorBidi" w:cstheme="majorBidi"/>
        </w:rPr>
        <w:t>.</w:t>
      </w:r>
    </w:p>
    <w:p w14:paraId="7E24494A" w14:textId="23F11DC1" w:rsidR="00AC7F81" w:rsidRPr="00DB0715" w:rsidRDefault="00AC7F81" w:rsidP="00652552">
      <w:pPr>
        <w:spacing w:line="240" w:lineRule="auto"/>
        <w:jc w:val="center"/>
        <w:rPr>
          <w:rFonts w:asciiTheme="majorBidi" w:hAnsiTheme="majorBidi" w:cstheme="majorBidi"/>
          <w:b/>
          <w:bCs/>
          <w:sz w:val="24"/>
          <w:szCs w:val="24"/>
        </w:rPr>
      </w:pPr>
      <w:r w:rsidRPr="00DB0715">
        <w:rPr>
          <w:rFonts w:asciiTheme="majorBidi" w:hAnsiTheme="majorBidi" w:cstheme="majorBidi"/>
          <w:b/>
          <w:bCs/>
          <w:sz w:val="24"/>
          <w:szCs w:val="24"/>
        </w:rPr>
        <w:t xml:space="preserve">Conventional </w:t>
      </w:r>
      <w:r w:rsidR="00C94C92" w:rsidRPr="00DB0715">
        <w:rPr>
          <w:rFonts w:asciiTheme="majorBidi" w:hAnsiTheme="majorBidi" w:cstheme="majorBidi"/>
          <w:b/>
          <w:bCs/>
          <w:sz w:val="24"/>
          <w:szCs w:val="24"/>
        </w:rPr>
        <w:t xml:space="preserve">Polymerase Chain Reaction for Both </w:t>
      </w:r>
      <w:r w:rsidRPr="00DB0715">
        <w:rPr>
          <w:rFonts w:asciiTheme="majorBidi" w:hAnsiTheme="majorBidi" w:cstheme="majorBidi"/>
          <w:b/>
          <w:bCs/>
          <w:sz w:val="24"/>
          <w:szCs w:val="24"/>
        </w:rPr>
        <w:t xml:space="preserve">TRAPC1 </w:t>
      </w:r>
      <w:r w:rsidR="00C94C92" w:rsidRPr="00DB0715">
        <w:rPr>
          <w:rFonts w:asciiTheme="majorBidi" w:hAnsiTheme="majorBidi" w:cstheme="majorBidi"/>
          <w:b/>
          <w:bCs/>
          <w:sz w:val="24"/>
          <w:szCs w:val="24"/>
        </w:rPr>
        <w:t xml:space="preserve">And </w:t>
      </w:r>
      <w:r w:rsidRPr="00DB0715">
        <w:rPr>
          <w:rFonts w:asciiTheme="majorBidi" w:hAnsiTheme="majorBidi" w:cstheme="majorBidi"/>
          <w:b/>
          <w:bCs/>
          <w:sz w:val="24"/>
          <w:szCs w:val="24"/>
        </w:rPr>
        <w:t xml:space="preserve">TRAPC2 </w:t>
      </w:r>
      <w:r w:rsidR="00C94C92" w:rsidRPr="00DB0715">
        <w:rPr>
          <w:rFonts w:asciiTheme="majorBidi" w:hAnsiTheme="majorBidi" w:cstheme="majorBidi"/>
          <w:b/>
          <w:bCs/>
          <w:sz w:val="24"/>
          <w:szCs w:val="24"/>
        </w:rPr>
        <w:t>Genes</w:t>
      </w:r>
    </w:p>
    <w:p w14:paraId="3E99E043" w14:textId="47406595"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The TRAPC1 and TRAPC2 genes of Cryptosporidium parvum were amplified using conventional PCR to identify the parasite at the molecular level. A reaction mixture was prepared by adding 3 µL of template DNA, 0.75 µL of forward primer, and 0.75 µL of reverse primer. 12.5 µL of prepared master mix was used, and the reaction volume was made up to 25 µL using 8 µL of nuclease-free water. The thermal amplification conditions for both genes included an initial denaturation at 94°C for 5 min with one cycle. This was followed by 30 cycles of denaturation at 94°C for 50 s, ligation at 55°C for 30 s, and elongation at 72°C for 60 s, followed by a final elongation at 72°C for 10 min with one cycle. Electrophoresis was performed on 2% agarose gel to ensure the success of the reaction and the production of the desired bands.</w:t>
      </w:r>
    </w:p>
    <w:p w14:paraId="0C85DBE6" w14:textId="35FCE3A8" w:rsidR="00AC7F81" w:rsidRPr="00DB0715" w:rsidRDefault="00AC7F81" w:rsidP="005733F1">
      <w:pPr>
        <w:spacing w:before="240" w:after="240" w:line="240" w:lineRule="auto"/>
        <w:jc w:val="center"/>
        <w:rPr>
          <w:rFonts w:asciiTheme="majorBidi" w:hAnsiTheme="majorBidi" w:cstheme="majorBidi"/>
          <w:b/>
          <w:bCs/>
          <w:sz w:val="24"/>
          <w:szCs w:val="28"/>
        </w:rPr>
      </w:pPr>
      <w:r w:rsidRPr="00DB0715">
        <w:rPr>
          <w:rFonts w:asciiTheme="majorBidi" w:hAnsiTheme="majorBidi" w:cstheme="majorBidi"/>
          <w:b/>
          <w:bCs/>
          <w:sz w:val="24"/>
          <w:szCs w:val="28"/>
        </w:rPr>
        <w:t>RESULT AND DISCUSSION</w:t>
      </w:r>
    </w:p>
    <w:p w14:paraId="78BF9F4A" w14:textId="10086CE7"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Based on results from the study using modified Ziehl-</w:t>
      </w:r>
      <w:proofErr w:type="spellStart"/>
      <w:r w:rsidRPr="00DB0715">
        <w:rPr>
          <w:rFonts w:asciiTheme="majorBidi" w:hAnsiTheme="majorBidi" w:cstheme="majorBidi"/>
        </w:rPr>
        <w:t>Neelsen</w:t>
      </w:r>
      <w:proofErr w:type="spellEnd"/>
      <w:r w:rsidRPr="00DB0715">
        <w:rPr>
          <w:rFonts w:asciiTheme="majorBidi" w:hAnsiTheme="majorBidi" w:cstheme="majorBidi"/>
        </w:rPr>
        <w:t xml:space="preserve"> stain, the prevalence of C. parvum parasite was 38(38%) positive samples and 62(62%) negative samples out of 100 stool samples examined. This suggests that the </w:t>
      </w:r>
      <w:proofErr w:type="gramStart"/>
      <w:r w:rsidRPr="00DB0715">
        <w:rPr>
          <w:rFonts w:asciiTheme="majorBidi" w:hAnsiTheme="majorBidi" w:cstheme="majorBidi"/>
        </w:rPr>
        <w:t>possibilities</w:t>
      </w:r>
      <w:proofErr w:type="gramEnd"/>
      <w:r w:rsidRPr="00DB0715">
        <w:rPr>
          <w:rFonts w:asciiTheme="majorBidi" w:hAnsiTheme="majorBidi" w:cstheme="majorBidi"/>
        </w:rPr>
        <w:t xml:space="preserve"> that the present infection of the parasite in the governorate may pose a threat to the health of the people there. Several possible explanations for the spread of the parasite include drinking contaminated water, keeping livestock around homes, using animal manure for </w:t>
      </w:r>
      <w:proofErr w:type="spellStart"/>
      <w:r w:rsidRPr="00DB0715">
        <w:rPr>
          <w:rFonts w:asciiTheme="majorBidi" w:hAnsiTheme="majorBidi" w:cstheme="majorBidi"/>
        </w:rPr>
        <w:t>fertilising</w:t>
      </w:r>
      <w:proofErr w:type="spellEnd"/>
      <w:r w:rsidRPr="00DB0715">
        <w:rPr>
          <w:rFonts w:asciiTheme="majorBidi" w:hAnsiTheme="majorBidi" w:cstheme="majorBidi"/>
        </w:rPr>
        <w:t xml:space="preserve"> vegetables, and direct contact with infected livestock (e.g., sheep and cows) since the infected animals are a source of transmission of parasite egg </w:t>
      </w:r>
      <w:r w:rsidRPr="00DB0715">
        <w:rPr>
          <w:rFonts w:asciiTheme="majorBidi" w:hAnsiTheme="majorBidi" w:cstheme="majorBidi"/>
        </w:rPr>
        <w:lastRenderedPageBreak/>
        <w:t xml:space="preserve">sacs </w:t>
      </w:r>
      <w:r w:rsidR="00F6744C" w:rsidRPr="00DB0715">
        <w:rPr>
          <w:rFonts w:asciiTheme="majorBidi" w:hAnsiTheme="majorBidi" w:cstheme="majorBidi"/>
        </w:rPr>
        <w:t>[9]</w:t>
      </w:r>
      <w:r w:rsidRPr="00DB0715">
        <w:rPr>
          <w:rFonts w:asciiTheme="majorBidi" w:hAnsiTheme="majorBidi" w:cstheme="majorBidi"/>
        </w:rPr>
        <w:t>. The current study results demonstrated that there are variations in the infection in terms of the gender, as the total number of positive males was recorded (23) corresponding to a percentage of (37.09%) and in the case of females (15) corresponding to a percentage of (39.5%) (Table 1).</w:t>
      </w:r>
    </w:p>
    <w:p w14:paraId="6A4ED9C8" w14:textId="4526DB04" w:rsidR="00AC7F81" w:rsidRPr="00DB0715" w:rsidRDefault="00AC7F81" w:rsidP="00AC7F81">
      <w:pPr>
        <w:spacing w:line="240" w:lineRule="auto"/>
        <w:ind w:firstLine="720"/>
        <w:jc w:val="center"/>
        <w:rPr>
          <w:rFonts w:asciiTheme="majorBidi" w:hAnsiTheme="majorBidi" w:cstheme="majorBidi"/>
          <w:b/>
          <w:bCs/>
          <w:sz w:val="18"/>
          <w:szCs w:val="20"/>
        </w:rPr>
      </w:pPr>
      <w:r w:rsidRPr="00DB0715">
        <w:rPr>
          <w:rFonts w:asciiTheme="majorBidi" w:hAnsiTheme="majorBidi" w:cstheme="majorBidi"/>
          <w:b/>
          <w:bCs/>
          <w:sz w:val="18"/>
          <w:szCs w:val="20"/>
        </w:rPr>
        <w:t xml:space="preserve">TABLE 1. </w:t>
      </w:r>
      <w:r w:rsidRPr="00DB0715">
        <w:rPr>
          <w:rFonts w:asciiTheme="majorBidi" w:hAnsiTheme="majorBidi" w:cstheme="majorBidi"/>
          <w:i/>
          <w:iCs/>
          <w:sz w:val="18"/>
          <w:szCs w:val="20"/>
        </w:rPr>
        <w:t>C. parvum</w:t>
      </w:r>
      <w:r w:rsidRPr="00DB0715">
        <w:rPr>
          <w:rFonts w:asciiTheme="majorBidi" w:hAnsiTheme="majorBidi" w:cstheme="majorBidi"/>
          <w:sz w:val="18"/>
          <w:szCs w:val="20"/>
        </w:rPr>
        <w:t xml:space="preserve"> infection rates according to the sex of the infected person</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091"/>
        <w:gridCol w:w="1844"/>
        <w:gridCol w:w="1514"/>
        <w:gridCol w:w="1517"/>
        <w:gridCol w:w="1513"/>
        <w:gridCol w:w="1344"/>
      </w:tblGrid>
      <w:tr w:rsidR="00AC7F81" w:rsidRPr="00DB0715" w14:paraId="4AD737E0" w14:textId="77777777" w:rsidTr="0042556F">
        <w:trPr>
          <w:trHeight w:val="436"/>
        </w:trPr>
        <w:tc>
          <w:tcPr>
            <w:tcW w:w="1091" w:type="dxa"/>
            <w:tcBorders>
              <w:top w:val="single" w:sz="4" w:space="0" w:color="auto"/>
              <w:bottom w:val="single" w:sz="4" w:space="0" w:color="auto"/>
            </w:tcBorders>
          </w:tcPr>
          <w:p w14:paraId="6E05D041" w14:textId="04A9E625"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Sex</w:t>
            </w:r>
          </w:p>
        </w:tc>
        <w:tc>
          <w:tcPr>
            <w:tcW w:w="1844" w:type="dxa"/>
            <w:tcBorders>
              <w:top w:val="single" w:sz="4" w:space="0" w:color="auto"/>
              <w:bottom w:val="single" w:sz="4" w:space="0" w:color="auto"/>
            </w:tcBorders>
            <w:hideMark/>
          </w:tcPr>
          <w:p w14:paraId="70133E74" w14:textId="7EACF4E0"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Examined sample</w:t>
            </w:r>
          </w:p>
        </w:tc>
        <w:tc>
          <w:tcPr>
            <w:tcW w:w="1514" w:type="dxa"/>
            <w:tcBorders>
              <w:top w:val="single" w:sz="4" w:space="0" w:color="auto"/>
              <w:bottom w:val="single" w:sz="4" w:space="0" w:color="auto"/>
            </w:tcBorders>
            <w:hideMark/>
          </w:tcPr>
          <w:p w14:paraId="2D4FD71C"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Positive result</w:t>
            </w:r>
          </w:p>
        </w:tc>
        <w:tc>
          <w:tcPr>
            <w:tcW w:w="1517" w:type="dxa"/>
            <w:tcBorders>
              <w:top w:val="single" w:sz="4" w:space="0" w:color="auto"/>
              <w:bottom w:val="single" w:sz="4" w:space="0" w:color="auto"/>
            </w:tcBorders>
            <w:hideMark/>
          </w:tcPr>
          <w:p w14:paraId="6AFC2775" w14:textId="61FD0F27" w:rsidR="00AC7F81" w:rsidRPr="00DB0715" w:rsidRDefault="009736BA"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w:t>
            </w:r>
          </w:p>
        </w:tc>
        <w:tc>
          <w:tcPr>
            <w:tcW w:w="1513" w:type="dxa"/>
            <w:tcBorders>
              <w:top w:val="single" w:sz="4" w:space="0" w:color="auto"/>
              <w:bottom w:val="single" w:sz="4" w:space="0" w:color="auto"/>
            </w:tcBorders>
            <w:hideMark/>
          </w:tcPr>
          <w:p w14:paraId="6682AEFC"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Positive result</w:t>
            </w:r>
          </w:p>
        </w:tc>
        <w:tc>
          <w:tcPr>
            <w:tcW w:w="1344" w:type="dxa"/>
            <w:tcBorders>
              <w:top w:val="single" w:sz="4" w:space="0" w:color="auto"/>
              <w:bottom w:val="single" w:sz="4" w:space="0" w:color="auto"/>
            </w:tcBorders>
            <w:hideMark/>
          </w:tcPr>
          <w:p w14:paraId="3E7FE093" w14:textId="2DD93A73" w:rsidR="00AC7F81" w:rsidRPr="00DB0715" w:rsidRDefault="009736BA"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w:t>
            </w:r>
          </w:p>
        </w:tc>
      </w:tr>
      <w:tr w:rsidR="00AC7F81" w:rsidRPr="00DB0715" w14:paraId="51133A1A" w14:textId="77777777" w:rsidTr="0042556F">
        <w:trPr>
          <w:trHeight w:val="351"/>
        </w:trPr>
        <w:tc>
          <w:tcPr>
            <w:tcW w:w="1091" w:type="dxa"/>
            <w:tcBorders>
              <w:top w:val="single" w:sz="4" w:space="0" w:color="auto"/>
            </w:tcBorders>
            <w:hideMark/>
          </w:tcPr>
          <w:p w14:paraId="3D87695D"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Male</w:t>
            </w:r>
          </w:p>
        </w:tc>
        <w:tc>
          <w:tcPr>
            <w:tcW w:w="1844" w:type="dxa"/>
            <w:tcBorders>
              <w:top w:val="single" w:sz="4" w:space="0" w:color="auto"/>
            </w:tcBorders>
            <w:hideMark/>
          </w:tcPr>
          <w:p w14:paraId="0EE1D839"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62</w:t>
            </w:r>
          </w:p>
        </w:tc>
        <w:tc>
          <w:tcPr>
            <w:tcW w:w="1514" w:type="dxa"/>
            <w:tcBorders>
              <w:top w:val="single" w:sz="4" w:space="0" w:color="auto"/>
            </w:tcBorders>
            <w:hideMark/>
          </w:tcPr>
          <w:p w14:paraId="0930C878" w14:textId="69BF685E" w:rsidR="00AC7F81" w:rsidRPr="00DB0715" w:rsidRDefault="00AC7F81" w:rsidP="00EE15A2">
            <w:pPr>
              <w:tabs>
                <w:tab w:val="left" w:pos="657"/>
              </w:tabs>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26</w:t>
            </w:r>
          </w:p>
        </w:tc>
        <w:tc>
          <w:tcPr>
            <w:tcW w:w="1517" w:type="dxa"/>
            <w:tcBorders>
              <w:top w:val="single" w:sz="4" w:space="0" w:color="auto"/>
            </w:tcBorders>
          </w:tcPr>
          <w:p w14:paraId="2F875B31" w14:textId="35712902"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42%</w:t>
            </w:r>
          </w:p>
        </w:tc>
        <w:tc>
          <w:tcPr>
            <w:tcW w:w="1513" w:type="dxa"/>
            <w:tcBorders>
              <w:top w:val="single" w:sz="4" w:space="0" w:color="auto"/>
            </w:tcBorders>
            <w:hideMark/>
          </w:tcPr>
          <w:p w14:paraId="76C23818"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39</w:t>
            </w:r>
          </w:p>
        </w:tc>
        <w:tc>
          <w:tcPr>
            <w:tcW w:w="1344" w:type="dxa"/>
            <w:tcBorders>
              <w:top w:val="single" w:sz="4" w:space="0" w:color="auto"/>
            </w:tcBorders>
            <w:hideMark/>
          </w:tcPr>
          <w:p w14:paraId="13EEF3FF" w14:textId="4F375A99" w:rsidR="00AC7F81" w:rsidRPr="00DB0715" w:rsidRDefault="0015242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62.90</w:t>
            </w:r>
            <w:r w:rsidRPr="00DB0715">
              <w:rPr>
                <w:rFonts w:asciiTheme="majorBidi" w:hAnsiTheme="majorBidi" w:cstheme="majorBidi"/>
                <w:sz w:val="18"/>
                <w:szCs w:val="18"/>
                <w:lang w:bidi="ar-IQ"/>
              </w:rPr>
              <w:t>%</w:t>
            </w:r>
          </w:p>
        </w:tc>
      </w:tr>
      <w:tr w:rsidR="00AC7F81" w:rsidRPr="00DB0715" w14:paraId="4F84368E" w14:textId="77777777" w:rsidTr="0042556F">
        <w:trPr>
          <w:trHeight w:val="351"/>
        </w:trPr>
        <w:tc>
          <w:tcPr>
            <w:tcW w:w="1091" w:type="dxa"/>
            <w:hideMark/>
          </w:tcPr>
          <w:p w14:paraId="69A8E7B0"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Female</w:t>
            </w:r>
          </w:p>
        </w:tc>
        <w:tc>
          <w:tcPr>
            <w:tcW w:w="1844" w:type="dxa"/>
            <w:hideMark/>
          </w:tcPr>
          <w:p w14:paraId="0FCD2887"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38</w:t>
            </w:r>
          </w:p>
        </w:tc>
        <w:tc>
          <w:tcPr>
            <w:tcW w:w="1514" w:type="dxa"/>
            <w:hideMark/>
          </w:tcPr>
          <w:p w14:paraId="4C987180"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12</w:t>
            </w:r>
          </w:p>
        </w:tc>
        <w:tc>
          <w:tcPr>
            <w:tcW w:w="1517" w:type="dxa"/>
          </w:tcPr>
          <w:p w14:paraId="0F4706A8" w14:textId="2F25F54E"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31</w:t>
            </w:r>
            <w:r w:rsidR="00152421" w:rsidRPr="00DB0715">
              <w:rPr>
                <w:rFonts w:asciiTheme="majorBidi" w:hAnsiTheme="majorBidi" w:cstheme="majorBidi"/>
                <w:sz w:val="18"/>
                <w:szCs w:val="18"/>
              </w:rPr>
              <w:t>.5%</w:t>
            </w:r>
          </w:p>
        </w:tc>
        <w:tc>
          <w:tcPr>
            <w:tcW w:w="1513" w:type="dxa"/>
            <w:hideMark/>
          </w:tcPr>
          <w:p w14:paraId="32D715A0"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23</w:t>
            </w:r>
          </w:p>
        </w:tc>
        <w:tc>
          <w:tcPr>
            <w:tcW w:w="1344" w:type="dxa"/>
            <w:hideMark/>
          </w:tcPr>
          <w:p w14:paraId="0065769E" w14:textId="420B8698" w:rsidR="00AC7F81" w:rsidRPr="00DB0715" w:rsidRDefault="0015242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60.5</w:t>
            </w:r>
            <w:r w:rsidRPr="00DB0715">
              <w:rPr>
                <w:rFonts w:asciiTheme="majorBidi" w:hAnsiTheme="majorBidi" w:cstheme="majorBidi"/>
                <w:sz w:val="18"/>
                <w:szCs w:val="18"/>
                <w:lang w:bidi="ar-IQ"/>
              </w:rPr>
              <w:t>%</w:t>
            </w:r>
          </w:p>
        </w:tc>
      </w:tr>
      <w:tr w:rsidR="00AC7F81" w:rsidRPr="00DB0715" w14:paraId="4016A95A" w14:textId="77777777" w:rsidTr="0042556F">
        <w:trPr>
          <w:trHeight w:val="351"/>
        </w:trPr>
        <w:tc>
          <w:tcPr>
            <w:tcW w:w="1091" w:type="dxa"/>
            <w:hideMark/>
          </w:tcPr>
          <w:p w14:paraId="1E2DD768"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Total</w:t>
            </w:r>
          </w:p>
        </w:tc>
        <w:tc>
          <w:tcPr>
            <w:tcW w:w="1844" w:type="dxa"/>
            <w:hideMark/>
          </w:tcPr>
          <w:p w14:paraId="5FAD6F45"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100</w:t>
            </w:r>
          </w:p>
        </w:tc>
        <w:tc>
          <w:tcPr>
            <w:tcW w:w="1514" w:type="dxa"/>
            <w:hideMark/>
          </w:tcPr>
          <w:p w14:paraId="1B9296A4"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38</w:t>
            </w:r>
          </w:p>
        </w:tc>
        <w:tc>
          <w:tcPr>
            <w:tcW w:w="1517" w:type="dxa"/>
          </w:tcPr>
          <w:p w14:paraId="61A9CC9F" w14:textId="5E4083D5" w:rsidR="00AC7F81" w:rsidRPr="00DB0715" w:rsidRDefault="0015242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38%</w:t>
            </w:r>
          </w:p>
        </w:tc>
        <w:tc>
          <w:tcPr>
            <w:tcW w:w="1513" w:type="dxa"/>
            <w:hideMark/>
          </w:tcPr>
          <w:p w14:paraId="4A1BCEB2"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62</w:t>
            </w:r>
          </w:p>
        </w:tc>
        <w:tc>
          <w:tcPr>
            <w:tcW w:w="1344" w:type="dxa"/>
            <w:hideMark/>
          </w:tcPr>
          <w:p w14:paraId="27D561D3"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62%</w:t>
            </w:r>
          </w:p>
        </w:tc>
      </w:tr>
    </w:tbl>
    <w:p w14:paraId="72FF5D2D" w14:textId="77777777" w:rsidR="00C94C92" w:rsidRPr="00DB0715" w:rsidRDefault="00C94C92" w:rsidP="0042556F">
      <w:pPr>
        <w:spacing w:after="0" w:line="240" w:lineRule="auto"/>
        <w:jc w:val="both"/>
        <w:rPr>
          <w:rFonts w:asciiTheme="majorBidi" w:hAnsiTheme="majorBidi" w:cstheme="majorBidi"/>
        </w:rPr>
      </w:pPr>
    </w:p>
    <w:p w14:paraId="2B1250F6" w14:textId="176AB06F" w:rsidR="00EE15A2"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The results indicate a higher incidence among males than females, consistent with </w:t>
      </w:r>
      <w:r w:rsidR="00F6744C" w:rsidRPr="00DB0715">
        <w:rPr>
          <w:rFonts w:asciiTheme="majorBidi" w:hAnsiTheme="majorBidi" w:cstheme="majorBidi"/>
        </w:rPr>
        <w:t xml:space="preserve">[10] </w:t>
      </w:r>
      <w:r w:rsidRPr="00DB0715">
        <w:rPr>
          <w:rFonts w:asciiTheme="majorBidi" w:hAnsiTheme="majorBidi" w:cstheme="majorBidi"/>
        </w:rPr>
        <w:t xml:space="preserve">in Karbala Governorate, where the infection rate among males was 10%, while it was lower among females, at 6.4%. However, they did not agree with </w:t>
      </w:r>
      <w:r w:rsidR="00092CF8" w:rsidRPr="00DB0715">
        <w:rPr>
          <w:rFonts w:asciiTheme="majorBidi" w:hAnsiTheme="majorBidi" w:cstheme="majorBidi"/>
        </w:rPr>
        <w:t>[11]</w:t>
      </w:r>
      <w:r w:rsidRPr="00DB0715">
        <w:rPr>
          <w:rFonts w:asciiTheme="majorBidi" w:hAnsiTheme="majorBidi" w:cstheme="majorBidi"/>
        </w:rPr>
        <w:t xml:space="preserve">, where females had higher rates. The difference in infection rates between males and females may be due to several factors, including males being more active than females because they are in direct contact with external environmental factors that play a role in the transmission of parasite egg sacs, and a lack of attention to personal hygiene and handwashing, which increases the chances of infection with the parasite </w:t>
      </w:r>
      <w:r w:rsidR="00092CF8" w:rsidRPr="00DB0715">
        <w:rPr>
          <w:rFonts w:asciiTheme="majorBidi" w:hAnsiTheme="majorBidi" w:cstheme="majorBidi"/>
        </w:rPr>
        <w:t>[12]</w:t>
      </w:r>
      <w:r w:rsidRPr="00DB0715">
        <w:rPr>
          <w:rFonts w:asciiTheme="majorBidi" w:hAnsiTheme="majorBidi" w:cstheme="majorBidi"/>
        </w:rPr>
        <w:t>. The results of the current study showed that the highest infection rate was recorded for the age groups (3-5 years) reaching (44.4%) out of a total of 27 samples examined, while the lowest infection rate was recorded for the age group (13-15 years), as the infection rate reached (21.4%) out of a total of 14 samples examined, as shown in Table</w:t>
      </w:r>
      <w:r w:rsidR="00EE15A2" w:rsidRPr="00DB0715">
        <w:rPr>
          <w:rFonts w:asciiTheme="majorBidi" w:hAnsiTheme="majorBidi" w:cstheme="majorBidi"/>
        </w:rPr>
        <w:t xml:space="preserve"> 2.</w:t>
      </w:r>
    </w:p>
    <w:p w14:paraId="406BC965" w14:textId="0D98E0A9" w:rsidR="00AC7F81" w:rsidRPr="00DB0715" w:rsidRDefault="00EE15A2" w:rsidP="00EE15A2">
      <w:pPr>
        <w:spacing w:line="240" w:lineRule="auto"/>
        <w:jc w:val="center"/>
        <w:rPr>
          <w:rFonts w:asciiTheme="majorBidi" w:hAnsiTheme="majorBidi" w:cstheme="majorBidi"/>
          <w:b/>
          <w:bCs/>
          <w:sz w:val="18"/>
          <w:szCs w:val="20"/>
          <w:rtl/>
          <w:lang w:bidi="ar-IQ"/>
        </w:rPr>
      </w:pPr>
      <w:r w:rsidRPr="00DB0715">
        <w:rPr>
          <w:rFonts w:asciiTheme="majorBidi" w:hAnsiTheme="majorBidi" w:cstheme="majorBidi"/>
          <w:b/>
          <w:bCs/>
          <w:sz w:val="18"/>
          <w:szCs w:val="20"/>
        </w:rPr>
        <w:t>TABLE 2</w:t>
      </w:r>
      <w:r w:rsidRPr="00DB0715">
        <w:rPr>
          <w:rFonts w:asciiTheme="majorBidi" w:hAnsiTheme="majorBidi" w:cstheme="majorBidi"/>
          <w:sz w:val="18"/>
          <w:szCs w:val="20"/>
        </w:rPr>
        <w:t>.</w:t>
      </w:r>
      <w:r w:rsidR="00AC7F81" w:rsidRPr="00DB0715">
        <w:rPr>
          <w:rFonts w:asciiTheme="majorBidi" w:hAnsiTheme="majorBidi" w:cstheme="majorBidi"/>
          <w:sz w:val="18"/>
          <w:szCs w:val="20"/>
        </w:rPr>
        <w:t xml:space="preserve"> </w:t>
      </w:r>
      <w:r w:rsidR="00AC7F81" w:rsidRPr="00DB0715">
        <w:rPr>
          <w:rFonts w:asciiTheme="majorBidi" w:hAnsiTheme="majorBidi" w:cstheme="majorBidi"/>
          <w:i/>
          <w:iCs/>
          <w:sz w:val="18"/>
          <w:szCs w:val="20"/>
        </w:rPr>
        <w:t>C. parvum</w:t>
      </w:r>
      <w:r w:rsidR="00AC7F81" w:rsidRPr="00DB0715">
        <w:rPr>
          <w:rFonts w:asciiTheme="majorBidi" w:hAnsiTheme="majorBidi" w:cstheme="majorBidi"/>
          <w:sz w:val="18"/>
          <w:szCs w:val="20"/>
        </w:rPr>
        <w:t xml:space="preserve"> infection rates according to age groups</w:t>
      </w:r>
    </w:p>
    <w:tbl>
      <w:tblPr>
        <w:tblW w:w="8552" w:type="dxa"/>
        <w:jc w:val="center"/>
        <w:tblBorders>
          <w:top w:val="single" w:sz="4" w:space="0" w:color="auto"/>
          <w:bottom w:val="single" w:sz="4" w:space="0" w:color="auto"/>
        </w:tblBorders>
        <w:tblLook w:val="04A0" w:firstRow="1" w:lastRow="0" w:firstColumn="1" w:lastColumn="0" w:noHBand="0" w:noVBand="1"/>
      </w:tblPr>
      <w:tblGrid>
        <w:gridCol w:w="2353"/>
        <w:gridCol w:w="1940"/>
        <w:gridCol w:w="2447"/>
        <w:gridCol w:w="1812"/>
      </w:tblGrid>
      <w:tr w:rsidR="00152421" w:rsidRPr="00DB0715" w14:paraId="344800D4" w14:textId="77777777" w:rsidTr="0042556F">
        <w:trPr>
          <w:trHeight w:val="552"/>
          <w:jc w:val="center"/>
        </w:trPr>
        <w:tc>
          <w:tcPr>
            <w:tcW w:w="2353" w:type="dxa"/>
            <w:tcBorders>
              <w:top w:val="single" w:sz="4" w:space="0" w:color="auto"/>
              <w:bottom w:val="single" w:sz="4" w:space="0" w:color="auto"/>
            </w:tcBorders>
            <w:hideMark/>
          </w:tcPr>
          <w:p w14:paraId="021A1085" w14:textId="63329888"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According to age</w:t>
            </w:r>
          </w:p>
        </w:tc>
        <w:tc>
          <w:tcPr>
            <w:tcW w:w="1940" w:type="dxa"/>
            <w:tcBorders>
              <w:top w:val="single" w:sz="4" w:space="0" w:color="auto"/>
              <w:bottom w:val="single" w:sz="4" w:space="0" w:color="auto"/>
            </w:tcBorders>
            <w:hideMark/>
          </w:tcPr>
          <w:p w14:paraId="3CF87637"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Examined sample</w:t>
            </w:r>
          </w:p>
        </w:tc>
        <w:tc>
          <w:tcPr>
            <w:tcW w:w="2447" w:type="dxa"/>
            <w:tcBorders>
              <w:top w:val="single" w:sz="4" w:space="0" w:color="auto"/>
              <w:bottom w:val="single" w:sz="4" w:space="0" w:color="auto"/>
            </w:tcBorders>
            <w:hideMark/>
          </w:tcPr>
          <w:p w14:paraId="22DBE2CB"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Positive result</w:t>
            </w:r>
          </w:p>
        </w:tc>
        <w:tc>
          <w:tcPr>
            <w:tcW w:w="1812" w:type="dxa"/>
            <w:tcBorders>
              <w:top w:val="single" w:sz="4" w:space="0" w:color="auto"/>
              <w:bottom w:val="single" w:sz="4" w:space="0" w:color="auto"/>
            </w:tcBorders>
            <w:hideMark/>
          </w:tcPr>
          <w:p w14:paraId="689842CF"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Percentage</w:t>
            </w:r>
          </w:p>
        </w:tc>
      </w:tr>
      <w:tr w:rsidR="00AC7F81" w:rsidRPr="00DB0715" w14:paraId="422C0295" w14:textId="77777777" w:rsidTr="0042556F">
        <w:trPr>
          <w:trHeight w:val="162"/>
          <w:jc w:val="center"/>
        </w:trPr>
        <w:tc>
          <w:tcPr>
            <w:tcW w:w="2353" w:type="dxa"/>
            <w:tcBorders>
              <w:top w:val="single" w:sz="4" w:space="0" w:color="auto"/>
            </w:tcBorders>
            <w:hideMark/>
          </w:tcPr>
          <w:p w14:paraId="495481A2"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 xml:space="preserve">5 </w:t>
            </w:r>
            <w:proofErr w:type="gramStart"/>
            <w:r w:rsidRPr="00DB0715">
              <w:rPr>
                <w:rFonts w:asciiTheme="majorBidi" w:hAnsiTheme="majorBidi" w:cstheme="majorBidi"/>
                <w:b/>
                <w:bCs/>
                <w:sz w:val="18"/>
                <w:szCs w:val="18"/>
              </w:rPr>
              <w:t>month</w:t>
            </w:r>
            <w:proofErr w:type="gramEnd"/>
            <w:r w:rsidRPr="00DB0715">
              <w:rPr>
                <w:rFonts w:asciiTheme="majorBidi" w:hAnsiTheme="majorBidi" w:cstheme="majorBidi"/>
                <w:b/>
                <w:bCs/>
                <w:sz w:val="18"/>
                <w:szCs w:val="18"/>
              </w:rPr>
              <w:t xml:space="preserve"> -2 years</w:t>
            </w:r>
          </w:p>
        </w:tc>
        <w:tc>
          <w:tcPr>
            <w:tcW w:w="1940" w:type="dxa"/>
            <w:tcBorders>
              <w:top w:val="single" w:sz="4" w:space="0" w:color="auto"/>
            </w:tcBorders>
            <w:hideMark/>
          </w:tcPr>
          <w:p w14:paraId="49FDFBAB"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23</w:t>
            </w:r>
          </w:p>
        </w:tc>
        <w:tc>
          <w:tcPr>
            <w:tcW w:w="2447" w:type="dxa"/>
            <w:tcBorders>
              <w:top w:val="single" w:sz="4" w:space="0" w:color="auto"/>
            </w:tcBorders>
            <w:hideMark/>
          </w:tcPr>
          <w:p w14:paraId="2FACA477"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10</w:t>
            </w:r>
          </w:p>
        </w:tc>
        <w:tc>
          <w:tcPr>
            <w:tcW w:w="1812" w:type="dxa"/>
            <w:tcBorders>
              <w:top w:val="single" w:sz="4" w:space="0" w:color="auto"/>
            </w:tcBorders>
            <w:hideMark/>
          </w:tcPr>
          <w:p w14:paraId="0D2E3ECD"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43.5</w:t>
            </w:r>
            <w:r w:rsidRPr="00DB0715">
              <w:rPr>
                <w:rFonts w:asciiTheme="majorBidi" w:hAnsiTheme="majorBidi" w:cstheme="majorBidi"/>
                <w:sz w:val="18"/>
                <w:szCs w:val="18"/>
                <w:rtl/>
                <w:lang w:bidi="ar-IQ"/>
              </w:rPr>
              <w:t>%</w:t>
            </w:r>
          </w:p>
        </w:tc>
      </w:tr>
      <w:tr w:rsidR="00AC7F81" w:rsidRPr="00DB0715" w14:paraId="54916C33" w14:textId="77777777" w:rsidTr="0042556F">
        <w:trPr>
          <w:trHeight w:val="142"/>
          <w:jc w:val="center"/>
        </w:trPr>
        <w:tc>
          <w:tcPr>
            <w:tcW w:w="2353" w:type="dxa"/>
            <w:hideMark/>
          </w:tcPr>
          <w:p w14:paraId="2D6BEC3E"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3-5 years</w:t>
            </w:r>
          </w:p>
        </w:tc>
        <w:tc>
          <w:tcPr>
            <w:tcW w:w="1940" w:type="dxa"/>
            <w:hideMark/>
          </w:tcPr>
          <w:p w14:paraId="2052BF65"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27</w:t>
            </w:r>
          </w:p>
        </w:tc>
        <w:tc>
          <w:tcPr>
            <w:tcW w:w="2447" w:type="dxa"/>
            <w:hideMark/>
          </w:tcPr>
          <w:p w14:paraId="21855A5D"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12</w:t>
            </w:r>
          </w:p>
        </w:tc>
        <w:tc>
          <w:tcPr>
            <w:tcW w:w="1812" w:type="dxa"/>
            <w:hideMark/>
          </w:tcPr>
          <w:p w14:paraId="13E85F01"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44.4</w:t>
            </w:r>
            <w:r w:rsidRPr="00DB0715">
              <w:rPr>
                <w:rFonts w:asciiTheme="majorBidi" w:hAnsiTheme="majorBidi" w:cstheme="majorBidi"/>
                <w:sz w:val="18"/>
                <w:szCs w:val="18"/>
                <w:rtl/>
                <w:lang w:bidi="ar-IQ"/>
              </w:rPr>
              <w:t>%</w:t>
            </w:r>
          </w:p>
        </w:tc>
      </w:tr>
      <w:tr w:rsidR="00AC7F81" w:rsidRPr="00DB0715" w14:paraId="13225FDF" w14:textId="77777777" w:rsidTr="0042556F">
        <w:trPr>
          <w:trHeight w:val="224"/>
          <w:jc w:val="center"/>
        </w:trPr>
        <w:tc>
          <w:tcPr>
            <w:tcW w:w="2353" w:type="dxa"/>
            <w:hideMark/>
          </w:tcPr>
          <w:p w14:paraId="69F0BB43"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6-9 years</w:t>
            </w:r>
          </w:p>
        </w:tc>
        <w:tc>
          <w:tcPr>
            <w:tcW w:w="1940" w:type="dxa"/>
            <w:hideMark/>
          </w:tcPr>
          <w:p w14:paraId="534CF844"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25</w:t>
            </w:r>
          </w:p>
        </w:tc>
        <w:tc>
          <w:tcPr>
            <w:tcW w:w="2447" w:type="dxa"/>
            <w:hideMark/>
          </w:tcPr>
          <w:p w14:paraId="4ADD3D5E"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9</w:t>
            </w:r>
          </w:p>
        </w:tc>
        <w:tc>
          <w:tcPr>
            <w:tcW w:w="1812" w:type="dxa"/>
            <w:hideMark/>
          </w:tcPr>
          <w:p w14:paraId="248811DF"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36</w:t>
            </w:r>
            <w:r w:rsidRPr="00DB0715">
              <w:rPr>
                <w:rFonts w:asciiTheme="majorBidi" w:hAnsiTheme="majorBidi" w:cstheme="majorBidi"/>
                <w:sz w:val="18"/>
                <w:szCs w:val="18"/>
                <w:rtl/>
                <w:lang w:bidi="ar-IQ"/>
              </w:rPr>
              <w:t>%</w:t>
            </w:r>
          </w:p>
        </w:tc>
      </w:tr>
      <w:tr w:rsidR="00AC7F81" w:rsidRPr="00DB0715" w14:paraId="3C28BA48" w14:textId="77777777" w:rsidTr="0042556F">
        <w:trPr>
          <w:trHeight w:val="79"/>
          <w:jc w:val="center"/>
        </w:trPr>
        <w:tc>
          <w:tcPr>
            <w:tcW w:w="2353" w:type="dxa"/>
            <w:hideMark/>
          </w:tcPr>
          <w:p w14:paraId="28C4A8E8"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10-12 years</w:t>
            </w:r>
          </w:p>
        </w:tc>
        <w:tc>
          <w:tcPr>
            <w:tcW w:w="1940" w:type="dxa"/>
            <w:hideMark/>
          </w:tcPr>
          <w:p w14:paraId="1B909D48"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11</w:t>
            </w:r>
          </w:p>
        </w:tc>
        <w:tc>
          <w:tcPr>
            <w:tcW w:w="2447" w:type="dxa"/>
            <w:hideMark/>
          </w:tcPr>
          <w:p w14:paraId="15EE9432"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4</w:t>
            </w:r>
          </w:p>
        </w:tc>
        <w:tc>
          <w:tcPr>
            <w:tcW w:w="1812" w:type="dxa"/>
            <w:hideMark/>
          </w:tcPr>
          <w:p w14:paraId="7CB80F1D"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36.5</w:t>
            </w:r>
            <w:r w:rsidRPr="00DB0715">
              <w:rPr>
                <w:rFonts w:asciiTheme="majorBidi" w:hAnsiTheme="majorBidi" w:cstheme="majorBidi"/>
                <w:sz w:val="18"/>
                <w:szCs w:val="18"/>
                <w:rtl/>
                <w:lang w:bidi="ar-IQ"/>
              </w:rPr>
              <w:t>%</w:t>
            </w:r>
          </w:p>
        </w:tc>
      </w:tr>
      <w:tr w:rsidR="00AC7F81" w:rsidRPr="00DB0715" w14:paraId="18DBB5EE" w14:textId="77777777" w:rsidTr="0042556F">
        <w:trPr>
          <w:trHeight w:val="296"/>
          <w:jc w:val="center"/>
        </w:trPr>
        <w:tc>
          <w:tcPr>
            <w:tcW w:w="2353" w:type="dxa"/>
            <w:hideMark/>
          </w:tcPr>
          <w:p w14:paraId="017F2178"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13-15 years</w:t>
            </w:r>
          </w:p>
        </w:tc>
        <w:tc>
          <w:tcPr>
            <w:tcW w:w="1940" w:type="dxa"/>
            <w:hideMark/>
          </w:tcPr>
          <w:p w14:paraId="0533ACBF"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14</w:t>
            </w:r>
          </w:p>
        </w:tc>
        <w:tc>
          <w:tcPr>
            <w:tcW w:w="2447" w:type="dxa"/>
            <w:hideMark/>
          </w:tcPr>
          <w:p w14:paraId="2A76DF0D"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3</w:t>
            </w:r>
          </w:p>
        </w:tc>
        <w:tc>
          <w:tcPr>
            <w:tcW w:w="1812" w:type="dxa"/>
            <w:hideMark/>
          </w:tcPr>
          <w:p w14:paraId="2D57B587"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21.4</w:t>
            </w:r>
            <w:r w:rsidRPr="00DB0715">
              <w:rPr>
                <w:rFonts w:asciiTheme="majorBidi" w:hAnsiTheme="majorBidi" w:cstheme="majorBidi"/>
                <w:sz w:val="18"/>
                <w:szCs w:val="18"/>
                <w:rtl/>
                <w:lang w:bidi="ar-IQ"/>
              </w:rPr>
              <w:t>%</w:t>
            </w:r>
          </w:p>
        </w:tc>
      </w:tr>
      <w:tr w:rsidR="00AC7F81" w:rsidRPr="00DB0715" w14:paraId="2C53AC95" w14:textId="77777777" w:rsidTr="0042556F">
        <w:trPr>
          <w:trHeight w:val="92"/>
          <w:jc w:val="center"/>
        </w:trPr>
        <w:tc>
          <w:tcPr>
            <w:tcW w:w="2353" w:type="dxa"/>
            <w:hideMark/>
          </w:tcPr>
          <w:p w14:paraId="3FDF17EE" w14:textId="77777777" w:rsidR="00AC7F81" w:rsidRPr="00DB0715" w:rsidRDefault="00AC7F81" w:rsidP="00152421">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Total</w:t>
            </w:r>
          </w:p>
        </w:tc>
        <w:tc>
          <w:tcPr>
            <w:tcW w:w="1940" w:type="dxa"/>
            <w:hideMark/>
          </w:tcPr>
          <w:p w14:paraId="6CA5EAF3"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100</w:t>
            </w:r>
          </w:p>
        </w:tc>
        <w:tc>
          <w:tcPr>
            <w:tcW w:w="2447" w:type="dxa"/>
            <w:hideMark/>
          </w:tcPr>
          <w:p w14:paraId="34335A93"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38</w:t>
            </w:r>
          </w:p>
        </w:tc>
        <w:tc>
          <w:tcPr>
            <w:tcW w:w="1812" w:type="dxa"/>
            <w:hideMark/>
          </w:tcPr>
          <w:p w14:paraId="31267B44" w14:textId="77777777" w:rsidR="00AC7F81" w:rsidRPr="00DB0715" w:rsidRDefault="00AC7F81" w:rsidP="00152421">
            <w:pPr>
              <w:spacing w:line="240" w:lineRule="auto"/>
              <w:jc w:val="center"/>
              <w:rPr>
                <w:rFonts w:asciiTheme="majorBidi" w:hAnsiTheme="majorBidi" w:cstheme="majorBidi"/>
                <w:sz w:val="18"/>
                <w:szCs w:val="18"/>
              </w:rPr>
            </w:pPr>
            <w:r w:rsidRPr="00DB0715">
              <w:rPr>
                <w:rFonts w:asciiTheme="majorBidi" w:hAnsiTheme="majorBidi" w:cstheme="majorBidi"/>
                <w:sz w:val="18"/>
                <w:szCs w:val="18"/>
              </w:rPr>
              <w:t>38%</w:t>
            </w:r>
          </w:p>
        </w:tc>
      </w:tr>
    </w:tbl>
    <w:p w14:paraId="2E50CB28" w14:textId="77777777" w:rsidR="00C94C92" w:rsidRPr="00DB0715" w:rsidRDefault="00C94C92" w:rsidP="0042556F">
      <w:pPr>
        <w:spacing w:after="0" w:line="240" w:lineRule="auto"/>
        <w:jc w:val="both"/>
        <w:rPr>
          <w:rFonts w:asciiTheme="majorBidi" w:hAnsiTheme="majorBidi" w:cstheme="majorBidi"/>
        </w:rPr>
      </w:pPr>
    </w:p>
    <w:p w14:paraId="13AC4AEE" w14:textId="16EBAEF5"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The results of the current study are consistent with a study conducted in Mosul, which recorded the highest infection rate in the </w:t>
      </w:r>
      <w:proofErr w:type="gramStart"/>
      <w:r w:rsidRPr="00DB0715">
        <w:rPr>
          <w:rFonts w:asciiTheme="majorBidi" w:hAnsiTheme="majorBidi" w:cstheme="majorBidi"/>
        </w:rPr>
        <w:t>3-5 year</w:t>
      </w:r>
      <w:proofErr w:type="gramEnd"/>
      <w:r w:rsidRPr="00DB0715">
        <w:rPr>
          <w:rFonts w:asciiTheme="majorBidi" w:hAnsiTheme="majorBidi" w:cstheme="majorBidi"/>
        </w:rPr>
        <w:t xml:space="preserve"> age group, at 49.4% </w:t>
      </w:r>
      <w:r w:rsidR="00092CF8" w:rsidRPr="00DB0715">
        <w:rPr>
          <w:rFonts w:asciiTheme="majorBidi" w:hAnsiTheme="majorBidi" w:cstheme="majorBidi"/>
        </w:rPr>
        <w:t>[13]</w:t>
      </w:r>
      <w:r w:rsidRPr="00DB0715">
        <w:rPr>
          <w:rFonts w:asciiTheme="majorBidi" w:hAnsiTheme="majorBidi" w:cstheme="majorBidi"/>
        </w:rPr>
        <w:t xml:space="preserve">. The results of this study are not consistent with what was recorded by </w:t>
      </w:r>
      <w:r w:rsidR="00900AB4" w:rsidRPr="00DB0715">
        <w:rPr>
          <w:rFonts w:asciiTheme="majorBidi" w:hAnsiTheme="majorBidi" w:cstheme="majorBidi"/>
        </w:rPr>
        <w:t>[14]</w:t>
      </w:r>
      <w:r w:rsidRPr="00DB0715">
        <w:rPr>
          <w:rFonts w:asciiTheme="majorBidi" w:hAnsiTheme="majorBidi" w:cstheme="majorBidi"/>
        </w:rPr>
        <w:t xml:space="preserve"> in Ethiopia, which recorded the highest infection rate in the </w:t>
      </w:r>
      <w:proofErr w:type="gramStart"/>
      <w:r w:rsidRPr="00DB0715">
        <w:rPr>
          <w:rFonts w:asciiTheme="majorBidi" w:hAnsiTheme="majorBidi" w:cstheme="majorBidi"/>
        </w:rPr>
        <w:t>9-10 year</w:t>
      </w:r>
      <w:proofErr w:type="gramEnd"/>
      <w:r w:rsidRPr="00DB0715">
        <w:rPr>
          <w:rFonts w:asciiTheme="majorBidi" w:hAnsiTheme="majorBidi" w:cstheme="majorBidi"/>
        </w:rPr>
        <w:t xml:space="preserve"> age group, at 31.5.  The proportion of rising infection spread in the 1–5-year group could also be potentially associated with an immature immune system of younger age groups</w:t>
      </w:r>
      <w:r w:rsidR="00092CF8" w:rsidRPr="00DB0715">
        <w:rPr>
          <w:rFonts w:asciiTheme="majorBidi" w:hAnsiTheme="majorBidi" w:cstheme="majorBidi"/>
        </w:rPr>
        <w:t xml:space="preserve"> [1</w:t>
      </w:r>
      <w:r w:rsidR="00900AB4" w:rsidRPr="00DB0715">
        <w:rPr>
          <w:rFonts w:asciiTheme="majorBidi" w:hAnsiTheme="majorBidi" w:cstheme="majorBidi"/>
        </w:rPr>
        <w:t>5</w:t>
      </w:r>
      <w:r w:rsidR="00092CF8" w:rsidRPr="00DB0715">
        <w:rPr>
          <w:rFonts w:asciiTheme="majorBidi" w:hAnsiTheme="majorBidi" w:cstheme="majorBidi"/>
        </w:rPr>
        <w:t>]</w:t>
      </w:r>
      <w:r w:rsidRPr="00DB0715">
        <w:rPr>
          <w:rFonts w:asciiTheme="majorBidi" w:hAnsiTheme="majorBidi" w:cstheme="majorBidi"/>
        </w:rPr>
        <w:t>.</w:t>
      </w:r>
      <w:r w:rsidR="00EE15A2" w:rsidRPr="00DB0715">
        <w:rPr>
          <w:rFonts w:asciiTheme="majorBidi" w:hAnsiTheme="majorBidi" w:cstheme="majorBidi"/>
        </w:rPr>
        <w:t xml:space="preserve"> </w:t>
      </w:r>
      <w:r w:rsidRPr="00DB0715">
        <w:rPr>
          <w:rFonts w:asciiTheme="majorBidi" w:hAnsiTheme="majorBidi" w:cstheme="majorBidi"/>
        </w:rPr>
        <w:t>Results of the current study also revealed the highest infection rates recorded according to study months were equal to 56% of the total number of 25 samples examined during the month of January, while the lowest rate was 16.6% of the total number of 6 samples examined during the month of October Table 3</w:t>
      </w:r>
      <w:r w:rsidR="00DB0715" w:rsidRPr="00DB0715">
        <w:rPr>
          <w:rFonts w:asciiTheme="majorBidi" w:hAnsiTheme="majorBidi" w:cstheme="majorBidi"/>
        </w:rPr>
        <w:t>.</w:t>
      </w:r>
    </w:p>
    <w:p w14:paraId="6AA39863" w14:textId="77777777" w:rsidR="00DB0715" w:rsidRDefault="00DB0715" w:rsidP="00DB0715">
      <w:pPr>
        <w:spacing w:line="240" w:lineRule="auto"/>
        <w:ind w:firstLine="284"/>
        <w:jc w:val="both"/>
        <w:rPr>
          <w:rFonts w:asciiTheme="majorBidi" w:hAnsiTheme="majorBidi" w:cstheme="majorBidi"/>
          <w:lang w:bidi="ar-IQ"/>
        </w:rPr>
      </w:pPr>
      <w:r w:rsidRPr="00DB0715">
        <w:rPr>
          <w:rFonts w:asciiTheme="majorBidi" w:hAnsiTheme="majorBidi" w:cstheme="majorBidi"/>
        </w:rPr>
        <w:t xml:space="preserve">The results of the current study agreed with [16] who indicated that the cause of the spread of </w:t>
      </w:r>
      <w:r w:rsidRPr="00DB0715">
        <w:rPr>
          <w:rFonts w:asciiTheme="majorBidi" w:hAnsiTheme="majorBidi" w:cstheme="majorBidi"/>
          <w:i/>
          <w:iCs/>
        </w:rPr>
        <w:t>C. parvum</w:t>
      </w:r>
      <w:r w:rsidRPr="00DB0715">
        <w:rPr>
          <w:rFonts w:asciiTheme="majorBidi" w:hAnsiTheme="majorBidi" w:cstheme="majorBidi"/>
        </w:rPr>
        <w:t xml:space="preserve"> in winter is attributed to rainwater that washes away soil contaminated with animal waste containing egg sacs to mix with the water of streams and rivers. This study differed from what was recorded by [17] who indicated that the spread </w:t>
      </w:r>
      <w:proofErr w:type="gramStart"/>
      <w:r w:rsidRPr="00DB0715">
        <w:rPr>
          <w:rFonts w:asciiTheme="majorBidi" w:hAnsiTheme="majorBidi" w:cstheme="majorBidi"/>
        </w:rPr>
        <w:t>of the parasite</w:t>
      </w:r>
      <w:proofErr w:type="gramEnd"/>
      <w:r w:rsidRPr="00DB0715">
        <w:rPr>
          <w:rFonts w:asciiTheme="majorBidi" w:hAnsiTheme="majorBidi" w:cstheme="majorBidi"/>
        </w:rPr>
        <w:t xml:space="preserve"> in summer is 3.57% and the reason is due to several factors including swimming in streams and rivers contaminated with egg sacs on hot days</w:t>
      </w:r>
      <w:r w:rsidRPr="00DB0715">
        <w:rPr>
          <w:rFonts w:asciiTheme="majorBidi" w:hAnsiTheme="majorBidi" w:cstheme="majorBidi"/>
          <w:rtl/>
          <w:lang w:bidi="ar-IQ"/>
        </w:rPr>
        <w:t>.</w:t>
      </w:r>
    </w:p>
    <w:p w14:paraId="5F467648" w14:textId="77777777" w:rsidR="0042556F" w:rsidRPr="00DB0715" w:rsidRDefault="0042556F" w:rsidP="00DB0715">
      <w:pPr>
        <w:spacing w:line="240" w:lineRule="auto"/>
        <w:ind w:firstLine="284"/>
        <w:jc w:val="both"/>
        <w:rPr>
          <w:rFonts w:asciiTheme="majorBidi" w:hAnsiTheme="majorBidi" w:cstheme="majorBidi"/>
          <w:rtl/>
          <w:lang w:bidi="ar-IQ"/>
        </w:rPr>
      </w:pPr>
    </w:p>
    <w:p w14:paraId="53C3403C" w14:textId="26411D6B" w:rsidR="00AC7F81" w:rsidRPr="00DB0715" w:rsidRDefault="00EE15A2" w:rsidP="00EE15A2">
      <w:pPr>
        <w:spacing w:line="240" w:lineRule="auto"/>
        <w:jc w:val="center"/>
        <w:rPr>
          <w:rFonts w:asciiTheme="majorBidi" w:hAnsiTheme="majorBidi" w:cstheme="majorBidi"/>
          <w:sz w:val="18"/>
          <w:szCs w:val="20"/>
        </w:rPr>
      </w:pPr>
      <w:r w:rsidRPr="00DB0715">
        <w:rPr>
          <w:rFonts w:asciiTheme="majorBidi" w:hAnsiTheme="majorBidi" w:cstheme="majorBidi"/>
          <w:b/>
          <w:bCs/>
          <w:sz w:val="18"/>
          <w:szCs w:val="20"/>
        </w:rPr>
        <w:lastRenderedPageBreak/>
        <w:t xml:space="preserve">TABLE 3. </w:t>
      </w:r>
      <w:r w:rsidR="00AC7F81" w:rsidRPr="00DB0715">
        <w:rPr>
          <w:rFonts w:asciiTheme="majorBidi" w:hAnsiTheme="majorBidi" w:cstheme="majorBidi"/>
          <w:sz w:val="18"/>
          <w:szCs w:val="20"/>
        </w:rPr>
        <w:t>Infection rates with C. parvum parasite during the study months</w:t>
      </w:r>
    </w:p>
    <w:tbl>
      <w:tblPr>
        <w:tblpPr w:leftFromText="180" w:rightFromText="180" w:vertAnchor="text" w:tblpXSpec="center" w:tblpY="1"/>
        <w:tblOverlap w:val="never"/>
        <w:tblW w:w="0" w:type="auto"/>
        <w:jc w:val="center"/>
        <w:tblBorders>
          <w:top w:val="single" w:sz="4" w:space="0" w:color="auto"/>
          <w:bottom w:val="single" w:sz="4" w:space="0" w:color="auto"/>
        </w:tblBorders>
        <w:tblLook w:val="04A0" w:firstRow="1" w:lastRow="0" w:firstColumn="1" w:lastColumn="0" w:noHBand="0" w:noVBand="1"/>
      </w:tblPr>
      <w:tblGrid>
        <w:gridCol w:w="1763"/>
        <w:gridCol w:w="2262"/>
        <w:gridCol w:w="2251"/>
        <w:gridCol w:w="2254"/>
      </w:tblGrid>
      <w:tr w:rsidR="00152421" w:rsidRPr="00DB0715" w14:paraId="52CB71D2" w14:textId="77777777" w:rsidTr="00152421">
        <w:trPr>
          <w:jc w:val="center"/>
        </w:trPr>
        <w:tc>
          <w:tcPr>
            <w:tcW w:w="1763" w:type="dxa"/>
            <w:tcBorders>
              <w:top w:val="single" w:sz="4" w:space="0" w:color="auto"/>
              <w:bottom w:val="single" w:sz="4" w:space="0" w:color="auto"/>
            </w:tcBorders>
            <w:hideMark/>
          </w:tcPr>
          <w:p w14:paraId="04842B59" w14:textId="040889B6"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According to</w:t>
            </w:r>
          </w:p>
        </w:tc>
        <w:tc>
          <w:tcPr>
            <w:tcW w:w="2262" w:type="dxa"/>
            <w:tcBorders>
              <w:top w:val="single" w:sz="4" w:space="0" w:color="auto"/>
              <w:bottom w:val="single" w:sz="4" w:space="0" w:color="auto"/>
            </w:tcBorders>
            <w:hideMark/>
          </w:tcPr>
          <w:p w14:paraId="5D7F97DF"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Examined sample</w:t>
            </w:r>
          </w:p>
        </w:tc>
        <w:tc>
          <w:tcPr>
            <w:tcW w:w="2251" w:type="dxa"/>
            <w:tcBorders>
              <w:top w:val="single" w:sz="4" w:space="0" w:color="auto"/>
              <w:bottom w:val="single" w:sz="4" w:space="0" w:color="auto"/>
            </w:tcBorders>
            <w:hideMark/>
          </w:tcPr>
          <w:p w14:paraId="02F23C1A" w14:textId="77777777" w:rsidR="00AC7F81" w:rsidRPr="00DB0715" w:rsidRDefault="00AC7F81" w:rsidP="00EE15A2">
            <w:pPr>
              <w:spacing w:line="240" w:lineRule="auto"/>
              <w:ind w:firstLine="720"/>
              <w:jc w:val="center"/>
              <w:rPr>
                <w:rFonts w:asciiTheme="majorBidi" w:hAnsiTheme="majorBidi" w:cstheme="majorBidi"/>
                <w:b/>
                <w:bCs/>
                <w:sz w:val="18"/>
                <w:szCs w:val="18"/>
              </w:rPr>
            </w:pPr>
            <w:r w:rsidRPr="00DB0715">
              <w:rPr>
                <w:rFonts w:asciiTheme="majorBidi" w:hAnsiTheme="majorBidi" w:cstheme="majorBidi"/>
                <w:b/>
                <w:bCs/>
                <w:sz w:val="18"/>
                <w:szCs w:val="18"/>
              </w:rPr>
              <w:t>Positive result</w:t>
            </w:r>
          </w:p>
        </w:tc>
        <w:tc>
          <w:tcPr>
            <w:tcW w:w="2254" w:type="dxa"/>
            <w:tcBorders>
              <w:top w:val="single" w:sz="4" w:space="0" w:color="auto"/>
              <w:bottom w:val="single" w:sz="4" w:space="0" w:color="auto"/>
            </w:tcBorders>
            <w:hideMark/>
          </w:tcPr>
          <w:p w14:paraId="21F86F1D" w14:textId="77777777" w:rsidR="00AC7F81" w:rsidRPr="00DB0715" w:rsidRDefault="00AC7F81" w:rsidP="00EE15A2">
            <w:pPr>
              <w:spacing w:line="240" w:lineRule="auto"/>
              <w:ind w:firstLine="720"/>
              <w:jc w:val="center"/>
              <w:rPr>
                <w:rFonts w:asciiTheme="majorBidi" w:hAnsiTheme="majorBidi" w:cstheme="majorBidi"/>
                <w:b/>
                <w:bCs/>
                <w:sz w:val="18"/>
                <w:szCs w:val="18"/>
              </w:rPr>
            </w:pPr>
            <w:r w:rsidRPr="00DB0715">
              <w:rPr>
                <w:rFonts w:asciiTheme="majorBidi" w:hAnsiTheme="majorBidi" w:cstheme="majorBidi"/>
                <w:b/>
                <w:bCs/>
                <w:sz w:val="18"/>
                <w:szCs w:val="18"/>
              </w:rPr>
              <w:t>Percentage</w:t>
            </w:r>
          </w:p>
        </w:tc>
      </w:tr>
      <w:tr w:rsidR="00AC7F81" w:rsidRPr="00DB0715" w14:paraId="2398FE95" w14:textId="77777777" w:rsidTr="00152421">
        <w:trPr>
          <w:jc w:val="center"/>
        </w:trPr>
        <w:tc>
          <w:tcPr>
            <w:tcW w:w="1763" w:type="dxa"/>
            <w:tcBorders>
              <w:top w:val="single" w:sz="4" w:space="0" w:color="auto"/>
            </w:tcBorders>
            <w:hideMark/>
          </w:tcPr>
          <w:p w14:paraId="61DA5E4D"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October</w:t>
            </w:r>
          </w:p>
        </w:tc>
        <w:tc>
          <w:tcPr>
            <w:tcW w:w="2262" w:type="dxa"/>
            <w:tcBorders>
              <w:top w:val="single" w:sz="4" w:space="0" w:color="auto"/>
            </w:tcBorders>
            <w:hideMark/>
          </w:tcPr>
          <w:p w14:paraId="1160A816"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6</w:t>
            </w:r>
          </w:p>
        </w:tc>
        <w:tc>
          <w:tcPr>
            <w:tcW w:w="2251" w:type="dxa"/>
            <w:tcBorders>
              <w:top w:val="single" w:sz="4" w:space="0" w:color="auto"/>
            </w:tcBorders>
            <w:hideMark/>
          </w:tcPr>
          <w:p w14:paraId="441D0DFD"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1</w:t>
            </w:r>
          </w:p>
        </w:tc>
        <w:tc>
          <w:tcPr>
            <w:tcW w:w="2254" w:type="dxa"/>
            <w:tcBorders>
              <w:top w:val="single" w:sz="4" w:space="0" w:color="auto"/>
            </w:tcBorders>
            <w:hideMark/>
          </w:tcPr>
          <w:p w14:paraId="29AE6D04"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16.6%</w:t>
            </w:r>
          </w:p>
        </w:tc>
      </w:tr>
      <w:tr w:rsidR="00AC7F81" w:rsidRPr="00DB0715" w14:paraId="5BF3968F" w14:textId="77777777" w:rsidTr="00152421">
        <w:trPr>
          <w:jc w:val="center"/>
        </w:trPr>
        <w:tc>
          <w:tcPr>
            <w:tcW w:w="1763" w:type="dxa"/>
            <w:hideMark/>
          </w:tcPr>
          <w:p w14:paraId="3F6B6296"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November</w:t>
            </w:r>
          </w:p>
        </w:tc>
        <w:tc>
          <w:tcPr>
            <w:tcW w:w="2262" w:type="dxa"/>
            <w:hideMark/>
          </w:tcPr>
          <w:p w14:paraId="15B1E0C6"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15</w:t>
            </w:r>
          </w:p>
        </w:tc>
        <w:tc>
          <w:tcPr>
            <w:tcW w:w="2251" w:type="dxa"/>
            <w:hideMark/>
          </w:tcPr>
          <w:p w14:paraId="6408BBF5"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6</w:t>
            </w:r>
          </w:p>
        </w:tc>
        <w:tc>
          <w:tcPr>
            <w:tcW w:w="2254" w:type="dxa"/>
            <w:hideMark/>
          </w:tcPr>
          <w:p w14:paraId="3E1F9067"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40%</w:t>
            </w:r>
          </w:p>
        </w:tc>
      </w:tr>
      <w:tr w:rsidR="00AC7F81" w:rsidRPr="00DB0715" w14:paraId="20E7F1F1" w14:textId="77777777" w:rsidTr="00152421">
        <w:trPr>
          <w:jc w:val="center"/>
        </w:trPr>
        <w:tc>
          <w:tcPr>
            <w:tcW w:w="1763" w:type="dxa"/>
            <w:hideMark/>
          </w:tcPr>
          <w:p w14:paraId="2AE3CF4E"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December</w:t>
            </w:r>
          </w:p>
        </w:tc>
        <w:tc>
          <w:tcPr>
            <w:tcW w:w="2262" w:type="dxa"/>
            <w:hideMark/>
          </w:tcPr>
          <w:p w14:paraId="0094B7A2"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22</w:t>
            </w:r>
          </w:p>
        </w:tc>
        <w:tc>
          <w:tcPr>
            <w:tcW w:w="2251" w:type="dxa"/>
            <w:hideMark/>
          </w:tcPr>
          <w:p w14:paraId="64558296"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8</w:t>
            </w:r>
          </w:p>
        </w:tc>
        <w:tc>
          <w:tcPr>
            <w:tcW w:w="2254" w:type="dxa"/>
            <w:hideMark/>
          </w:tcPr>
          <w:p w14:paraId="3F7FB24C"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36.5%</w:t>
            </w:r>
          </w:p>
        </w:tc>
      </w:tr>
      <w:tr w:rsidR="00AC7F81" w:rsidRPr="00DB0715" w14:paraId="2B62AF43" w14:textId="77777777" w:rsidTr="00152421">
        <w:trPr>
          <w:jc w:val="center"/>
        </w:trPr>
        <w:tc>
          <w:tcPr>
            <w:tcW w:w="1763" w:type="dxa"/>
            <w:hideMark/>
          </w:tcPr>
          <w:p w14:paraId="7D396657"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January</w:t>
            </w:r>
          </w:p>
        </w:tc>
        <w:tc>
          <w:tcPr>
            <w:tcW w:w="2262" w:type="dxa"/>
            <w:hideMark/>
          </w:tcPr>
          <w:p w14:paraId="1E1815DD"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25</w:t>
            </w:r>
          </w:p>
        </w:tc>
        <w:tc>
          <w:tcPr>
            <w:tcW w:w="2251" w:type="dxa"/>
            <w:hideMark/>
          </w:tcPr>
          <w:p w14:paraId="1D0B7550"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14</w:t>
            </w:r>
          </w:p>
        </w:tc>
        <w:tc>
          <w:tcPr>
            <w:tcW w:w="2254" w:type="dxa"/>
            <w:hideMark/>
          </w:tcPr>
          <w:p w14:paraId="5BA0301D"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56%</w:t>
            </w:r>
          </w:p>
        </w:tc>
      </w:tr>
      <w:tr w:rsidR="00AC7F81" w:rsidRPr="00DB0715" w14:paraId="58DFBBC9" w14:textId="77777777" w:rsidTr="00152421">
        <w:trPr>
          <w:jc w:val="center"/>
        </w:trPr>
        <w:tc>
          <w:tcPr>
            <w:tcW w:w="1763" w:type="dxa"/>
            <w:hideMark/>
          </w:tcPr>
          <w:p w14:paraId="03EA784F"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February</w:t>
            </w:r>
          </w:p>
        </w:tc>
        <w:tc>
          <w:tcPr>
            <w:tcW w:w="2262" w:type="dxa"/>
            <w:hideMark/>
          </w:tcPr>
          <w:p w14:paraId="55160F71"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17</w:t>
            </w:r>
          </w:p>
        </w:tc>
        <w:tc>
          <w:tcPr>
            <w:tcW w:w="2251" w:type="dxa"/>
            <w:hideMark/>
          </w:tcPr>
          <w:p w14:paraId="4A5B4A5A"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6</w:t>
            </w:r>
          </w:p>
        </w:tc>
        <w:tc>
          <w:tcPr>
            <w:tcW w:w="2254" w:type="dxa"/>
            <w:hideMark/>
          </w:tcPr>
          <w:p w14:paraId="2B40328B"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35.5%</w:t>
            </w:r>
          </w:p>
        </w:tc>
      </w:tr>
      <w:tr w:rsidR="00AC7F81" w:rsidRPr="00DB0715" w14:paraId="27B8D145" w14:textId="77777777" w:rsidTr="00152421">
        <w:trPr>
          <w:jc w:val="center"/>
        </w:trPr>
        <w:tc>
          <w:tcPr>
            <w:tcW w:w="1763" w:type="dxa"/>
            <w:hideMark/>
          </w:tcPr>
          <w:p w14:paraId="1A33FE31" w14:textId="77777777" w:rsidR="00AC7F81" w:rsidRPr="00DB0715" w:rsidRDefault="00AC7F8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March</w:t>
            </w:r>
          </w:p>
        </w:tc>
        <w:tc>
          <w:tcPr>
            <w:tcW w:w="2262" w:type="dxa"/>
            <w:hideMark/>
          </w:tcPr>
          <w:p w14:paraId="57AB4E0E"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15</w:t>
            </w:r>
          </w:p>
        </w:tc>
        <w:tc>
          <w:tcPr>
            <w:tcW w:w="2251" w:type="dxa"/>
            <w:hideMark/>
          </w:tcPr>
          <w:p w14:paraId="61DE4806"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3</w:t>
            </w:r>
          </w:p>
        </w:tc>
        <w:tc>
          <w:tcPr>
            <w:tcW w:w="2254" w:type="dxa"/>
            <w:hideMark/>
          </w:tcPr>
          <w:p w14:paraId="277DFF53"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20%</w:t>
            </w:r>
          </w:p>
        </w:tc>
      </w:tr>
      <w:tr w:rsidR="00AC7F81" w:rsidRPr="00DB0715" w14:paraId="4EBA7A88" w14:textId="77777777" w:rsidTr="00152421">
        <w:trPr>
          <w:jc w:val="center"/>
        </w:trPr>
        <w:tc>
          <w:tcPr>
            <w:tcW w:w="1763" w:type="dxa"/>
          </w:tcPr>
          <w:p w14:paraId="78410DCB" w14:textId="5697D020" w:rsidR="00AC7F81" w:rsidRPr="00DB0715" w:rsidRDefault="00152421" w:rsidP="00EE15A2">
            <w:pPr>
              <w:spacing w:line="240" w:lineRule="auto"/>
              <w:jc w:val="center"/>
              <w:rPr>
                <w:rFonts w:asciiTheme="majorBidi" w:hAnsiTheme="majorBidi" w:cstheme="majorBidi"/>
                <w:b/>
                <w:bCs/>
                <w:sz w:val="18"/>
                <w:szCs w:val="18"/>
              </w:rPr>
            </w:pPr>
            <w:r w:rsidRPr="00DB0715">
              <w:rPr>
                <w:rFonts w:asciiTheme="majorBidi" w:hAnsiTheme="majorBidi" w:cstheme="majorBidi"/>
                <w:b/>
                <w:bCs/>
                <w:sz w:val="18"/>
                <w:szCs w:val="18"/>
              </w:rPr>
              <w:t>Total</w:t>
            </w:r>
          </w:p>
        </w:tc>
        <w:tc>
          <w:tcPr>
            <w:tcW w:w="2262" w:type="dxa"/>
            <w:hideMark/>
          </w:tcPr>
          <w:p w14:paraId="72BB1AC1" w14:textId="77777777" w:rsidR="00AC7F81" w:rsidRPr="00DB0715" w:rsidRDefault="00AC7F81" w:rsidP="00EE15A2">
            <w:pPr>
              <w:spacing w:line="240" w:lineRule="auto"/>
              <w:jc w:val="center"/>
              <w:rPr>
                <w:rFonts w:asciiTheme="majorBidi" w:hAnsiTheme="majorBidi" w:cstheme="majorBidi"/>
                <w:sz w:val="18"/>
                <w:szCs w:val="18"/>
              </w:rPr>
            </w:pPr>
            <w:r w:rsidRPr="00DB0715">
              <w:rPr>
                <w:rFonts w:asciiTheme="majorBidi" w:hAnsiTheme="majorBidi" w:cstheme="majorBidi"/>
                <w:sz w:val="18"/>
                <w:szCs w:val="18"/>
                <w:rtl/>
                <w:lang w:bidi="ar-IQ"/>
              </w:rPr>
              <w:t>100</w:t>
            </w:r>
          </w:p>
        </w:tc>
        <w:tc>
          <w:tcPr>
            <w:tcW w:w="2251" w:type="dxa"/>
            <w:hideMark/>
          </w:tcPr>
          <w:p w14:paraId="0EFE619E" w14:textId="77777777" w:rsidR="00AC7F81" w:rsidRPr="00DB0715" w:rsidRDefault="00AC7F81" w:rsidP="00EE15A2">
            <w:pPr>
              <w:spacing w:line="240" w:lineRule="auto"/>
              <w:ind w:firstLine="720"/>
              <w:jc w:val="center"/>
              <w:rPr>
                <w:rFonts w:asciiTheme="majorBidi" w:hAnsiTheme="majorBidi" w:cstheme="majorBidi"/>
                <w:sz w:val="18"/>
                <w:szCs w:val="18"/>
              </w:rPr>
            </w:pPr>
            <w:r w:rsidRPr="00DB0715">
              <w:rPr>
                <w:rFonts w:asciiTheme="majorBidi" w:hAnsiTheme="majorBidi" w:cstheme="majorBidi"/>
                <w:sz w:val="18"/>
                <w:szCs w:val="18"/>
                <w:rtl/>
                <w:lang w:bidi="ar-IQ"/>
              </w:rPr>
              <w:t>38</w:t>
            </w:r>
          </w:p>
        </w:tc>
        <w:tc>
          <w:tcPr>
            <w:tcW w:w="2254" w:type="dxa"/>
          </w:tcPr>
          <w:p w14:paraId="4FF3957B" w14:textId="77777777" w:rsidR="00AC7F81" w:rsidRPr="00DB0715" w:rsidRDefault="00AC7F81" w:rsidP="00EE15A2">
            <w:pPr>
              <w:spacing w:line="240" w:lineRule="auto"/>
              <w:ind w:firstLine="720"/>
              <w:jc w:val="center"/>
              <w:rPr>
                <w:rFonts w:asciiTheme="majorBidi" w:hAnsiTheme="majorBidi" w:cstheme="majorBidi"/>
                <w:sz w:val="18"/>
                <w:szCs w:val="18"/>
              </w:rPr>
            </w:pPr>
          </w:p>
        </w:tc>
      </w:tr>
    </w:tbl>
    <w:p w14:paraId="33107951" w14:textId="77777777" w:rsidR="00C94C92" w:rsidRPr="00DB0715" w:rsidRDefault="00C94C92" w:rsidP="00C94C92">
      <w:pPr>
        <w:spacing w:line="240" w:lineRule="auto"/>
        <w:jc w:val="both"/>
        <w:rPr>
          <w:rFonts w:asciiTheme="majorBidi" w:hAnsiTheme="majorBidi" w:cstheme="majorBidi"/>
        </w:rPr>
      </w:pPr>
      <w:bookmarkStart w:id="0" w:name="_Hlk209098038"/>
    </w:p>
    <w:p w14:paraId="67833A43" w14:textId="77777777" w:rsidR="00AC7F81" w:rsidRPr="00DB0715" w:rsidRDefault="00AC7F81"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DNA was extracted from 100 stool samples and the results showed that the extraction process was successful in 93 samples, while 7 samples did not show sufficient quality DNA. The extraction results were </w:t>
      </w:r>
      <w:proofErr w:type="gramStart"/>
      <w:r w:rsidRPr="00DB0715">
        <w:rPr>
          <w:rFonts w:asciiTheme="majorBidi" w:hAnsiTheme="majorBidi" w:cstheme="majorBidi"/>
        </w:rPr>
        <w:t>electrophoresed</w:t>
      </w:r>
      <w:proofErr w:type="gramEnd"/>
      <w:r w:rsidRPr="00DB0715">
        <w:rPr>
          <w:rFonts w:asciiTheme="majorBidi" w:hAnsiTheme="majorBidi" w:cstheme="majorBidi"/>
        </w:rPr>
        <w:t xml:space="preserve"> and the results were as in Figure (1), which shows the DNA genomic DNA bands extracted from the stool samples.</w:t>
      </w:r>
    </w:p>
    <w:p w14:paraId="305F193F" w14:textId="42FA8530" w:rsidR="00AC7F81" w:rsidRPr="00DB0715" w:rsidRDefault="00AC7F81" w:rsidP="00B4430A">
      <w:pPr>
        <w:spacing w:line="240" w:lineRule="auto"/>
        <w:jc w:val="center"/>
        <w:rPr>
          <w:rFonts w:asciiTheme="majorBidi" w:hAnsiTheme="majorBidi" w:cstheme="majorBidi"/>
          <w:b/>
          <w:bCs/>
        </w:rPr>
      </w:pPr>
      <w:r w:rsidRPr="00DB0715">
        <w:rPr>
          <w:rFonts w:asciiTheme="majorBidi" w:hAnsiTheme="majorBidi" w:cstheme="majorBidi"/>
          <w:b/>
          <w:bCs/>
          <w:noProof/>
        </w:rPr>
        <w:drawing>
          <wp:inline distT="0" distB="0" distL="0" distR="0" wp14:anchorId="32A5FB77" wp14:editId="2C5EF0A9">
            <wp:extent cx="3502756" cy="2080260"/>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8210" cy="2083499"/>
                    </a:xfrm>
                    <a:prstGeom prst="rect">
                      <a:avLst/>
                    </a:prstGeom>
                    <a:noFill/>
                    <a:ln>
                      <a:noFill/>
                    </a:ln>
                  </pic:spPr>
                </pic:pic>
              </a:graphicData>
            </a:graphic>
          </wp:inline>
        </w:drawing>
      </w:r>
    </w:p>
    <w:p w14:paraId="4B5857DC" w14:textId="33B209EF" w:rsidR="00AC7F81" w:rsidRPr="00DB0715" w:rsidRDefault="00152421" w:rsidP="00B4430A">
      <w:pPr>
        <w:spacing w:line="240" w:lineRule="auto"/>
        <w:jc w:val="center"/>
        <w:rPr>
          <w:rFonts w:asciiTheme="majorBidi" w:hAnsiTheme="majorBidi" w:cstheme="majorBidi"/>
          <w:sz w:val="18"/>
          <w:szCs w:val="20"/>
          <w:rtl/>
          <w:lang w:bidi="ar-IQ"/>
        </w:rPr>
      </w:pPr>
      <w:r w:rsidRPr="00DB0715">
        <w:rPr>
          <w:rFonts w:asciiTheme="majorBidi" w:hAnsiTheme="majorBidi" w:cstheme="majorBidi"/>
          <w:b/>
          <w:bCs/>
          <w:sz w:val="18"/>
          <w:szCs w:val="20"/>
        </w:rPr>
        <w:t xml:space="preserve">FIGURE 1. </w:t>
      </w:r>
      <w:r w:rsidR="00AC7F81" w:rsidRPr="00DB0715">
        <w:rPr>
          <w:rFonts w:asciiTheme="majorBidi" w:hAnsiTheme="majorBidi" w:cstheme="majorBidi"/>
          <w:sz w:val="18"/>
          <w:szCs w:val="20"/>
        </w:rPr>
        <w:t>Genomic DNA packages of the samples after extraction and migration on a 1% agarose gel using the safe DNA dye Red Safe.</w:t>
      </w:r>
    </w:p>
    <w:p w14:paraId="172F61D3" w14:textId="24D7C664" w:rsidR="00AC7F81" w:rsidRDefault="00AC7F81" w:rsidP="00DB0715">
      <w:pPr>
        <w:spacing w:after="0" w:line="240" w:lineRule="auto"/>
        <w:ind w:firstLine="284"/>
        <w:jc w:val="both"/>
        <w:rPr>
          <w:rFonts w:asciiTheme="majorBidi" w:hAnsiTheme="majorBidi" w:cstheme="majorBidi"/>
          <w:szCs w:val="20"/>
          <w:lang w:bidi="ar-IQ"/>
        </w:rPr>
      </w:pPr>
      <w:r w:rsidRPr="00DB0715">
        <w:rPr>
          <w:rFonts w:asciiTheme="majorBidi" w:hAnsiTheme="majorBidi" w:cstheme="majorBidi"/>
          <w:szCs w:val="20"/>
        </w:rPr>
        <w:t xml:space="preserve">The results of a study conducted by Al-Masoudi </w:t>
      </w:r>
      <w:r w:rsidR="00EE15A2" w:rsidRPr="00DB0715">
        <w:rPr>
          <w:rFonts w:asciiTheme="majorBidi" w:hAnsiTheme="majorBidi" w:cstheme="majorBidi"/>
          <w:iCs/>
          <w:szCs w:val="20"/>
        </w:rPr>
        <w:t>and</w:t>
      </w:r>
      <w:r w:rsidR="00EE15A2" w:rsidRPr="00DB0715">
        <w:rPr>
          <w:rFonts w:asciiTheme="majorBidi" w:hAnsiTheme="majorBidi" w:cstheme="majorBidi"/>
          <w:i/>
          <w:szCs w:val="20"/>
        </w:rPr>
        <w:t xml:space="preserve"> </w:t>
      </w:r>
      <w:r w:rsidR="00EE15A2" w:rsidRPr="00DB0715">
        <w:rPr>
          <w:rFonts w:asciiTheme="majorBidi" w:hAnsiTheme="majorBidi" w:cstheme="majorBidi"/>
          <w:szCs w:val="20"/>
        </w:rPr>
        <w:t>Dahash,</w:t>
      </w:r>
      <w:r w:rsidRPr="00DB0715">
        <w:rPr>
          <w:rFonts w:asciiTheme="majorBidi" w:hAnsiTheme="majorBidi" w:cstheme="majorBidi"/>
          <w:szCs w:val="20"/>
        </w:rPr>
        <w:t xml:space="preserve"> 2025, in Iraq to extract the parasite's DNA showed a success rate of 66.6%, which is consistent with the results of the current study. However, it does not match a study conducted in Turkey, where the parasite's DNA was extracted at a rate of 4.6% </w:t>
      </w:r>
      <w:r w:rsidR="00092CF8" w:rsidRPr="00DB0715">
        <w:rPr>
          <w:rFonts w:asciiTheme="majorBidi" w:hAnsiTheme="majorBidi" w:cstheme="majorBidi"/>
          <w:szCs w:val="20"/>
        </w:rPr>
        <w:t>[1</w:t>
      </w:r>
      <w:r w:rsidR="00900AB4" w:rsidRPr="00DB0715">
        <w:rPr>
          <w:rFonts w:asciiTheme="majorBidi" w:hAnsiTheme="majorBidi" w:cstheme="majorBidi"/>
          <w:szCs w:val="20"/>
        </w:rPr>
        <w:t>9</w:t>
      </w:r>
      <w:r w:rsidR="00092CF8" w:rsidRPr="00DB0715">
        <w:rPr>
          <w:rFonts w:asciiTheme="majorBidi" w:hAnsiTheme="majorBidi" w:cstheme="majorBidi"/>
          <w:szCs w:val="20"/>
        </w:rPr>
        <w:t>]</w:t>
      </w:r>
      <w:r w:rsidRPr="00DB0715">
        <w:rPr>
          <w:rFonts w:asciiTheme="majorBidi" w:hAnsiTheme="majorBidi" w:cstheme="majorBidi"/>
          <w:szCs w:val="20"/>
        </w:rPr>
        <w:t xml:space="preserve">. The efficiency of molecular detection of </w:t>
      </w:r>
      <w:r w:rsidRPr="00DB0715">
        <w:rPr>
          <w:rFonts w:asciiTheme="majorBidi" w:hAnsiTheme="majorBidi" w:cstheme="majorBidi"/>
          <w:i/>
          <w:szCs w:val="20"/>
        </w:rPr>
        <w:t xml:space="preserve">Cryptosporidium parvum </w:t>
      </w:r>
      <w:r w:rsidRPr="00DB0715">
        <w:rPr>
          <w:rFonts w:asciiTheme="majorBidi" w:hAnsiTheme="majorBidi" w:cstheme="majorBidi"/>
          <w:szCs w:val="20"/>
        </w:rPr>
        <w:t>depends largely on the quality of the DNA extraction, as the presence of inhibitors in the DNA directly affects PCR results. Conventional PCR diagnosis was performed using TRAP-C2 gene primers on 93 samples. The results showed that the number of samples positive for the gene was 18 (19.4%), with the appearance of a band measuring 369 base pairs compared to the standard size indicator, ladder DNA, as shown in Figure</w:t>
      </w:r>
      <w:r w:rsidRPr="00DB0715">
        <w:rPr>
          <w:rFonts w:asciiTheme="majorBidi" w:hAnsiTheme="majorBidi" w:cstheme="majorBidi"/>
          <w:szCs w:val="20"/>
          <w:rtl/>
          <w:lang w:bidi="ar-IQ"/>
        </w:rPr>
        <w:t xml:space="preserve"> (2).</w:t>
      </w:r>
    </w:p>
    <w:p w14:paraId="6F039324" w14:textId="77777777" w:rsidR="00DB0715" w:rsidRPr="00AC7F81" w:rsidRDefault="00DB0715" w:rsidP="00DB0715">
      <w:pPr>
        <w:spacing w:after="0" w:line="240" w:lineRule="auto"/>
        <w:ind w:firstLine="284"/>
        <w:jc w:val="both"/>
      </w:pPr>
      <w:r w:rsidRPr="00AC7F81">
        <w:t>This percentage was lower compared to some previous studies, as the detection rate in immunocompromised patients through similar PCR targeting the TRAP-C2 gene was 27.5</w:t>
      </w:r>
      <w:proofErr w:type="gramStart"/>
      <w:r w:rsidRPr="00AC7F81">
        <w:t>% .</w:t>
      </w:r>
      <w:proofErr w:type="gramEnd"/>
      <w:r w:rsidRPr="00AC7F81">
        <w:t xml:space="preserve"> This observation also contrasts with a previous study in Pakistan </w:t>
      </w:r>
      <w:r>
        <w:t>[20]</w:t>
      </w:r>
      <w:r w:rsidRPr="00AC7F81">
        <w:t xml:space="preserve"> where the prevalence of 12.8% was found in stool samples. These discrepancies could be explained by geographic heterogeneity, differences in diagnostic methods, population immune status and sample </w:t>
      </w:r>
      <w:proofErr w:type="gramStart"/>
      <w:r w:rsidRPr="00AC7F81">
        <w:t>size</w:t>
      </w:r>
      <w:r>
        <w:t xml:space="preserve"> </w:t>
      </w:r>
      <w:r w:rsidRPr="00AC7F81">
        <w:t>.</w:t>
      </w:r>
      <w:proofErr w:type="gramEnd"/>
      <w:r w:rsidRPr="00AC7F81">
        <w:t xml:space="preserve"> The presence of TRAP-C2 gene in the study sample highlights the epidemiological significance of this gene to be a potential diagnostic target for C. parvum. Moreover, these results are consistent with the role of this gene as a factor in the pathogenicity and life cycle of the parasite, especially in the adherence and invasive processes </w:t>
      </w:r>
      <w:r>
        <w:t>[21]</w:t>
      </w:r>
      <w:r w:rsidRPr="00AC7F81">
        <w:t>.</w:t>
      </w:r>
      <w:r>
        <w:t xml:space="preserve"> </w:t>
      </w:r>
      <w:r w:rsidRPr="00AC7F81">
        <w:t xml:space="preserve">Then, based on the TRAPC1 gene primers, the conventional PCR diagnosis was applied on 93 samples, so that the species number positive for the gene was 26 (27.9%) with the </w:t>
      </w:r>
      <w:r w:rsidRPr="00AC7F81">
        <w:lastRenderedPageBreak/>
        <w:t>appearance of a band with a size of 1200 base pairs against the standard size indicator Ladder DNA as shown in Figure (3).</w:t>
      </w:r>
    </w:p>
    <w:p w14:paraId="73FDE9E9" w14:textId="77777777" w:rsidR="00DB0715" w:rsidRPr="00DB0715" w:rsidRDefault="00DB0715" w:rsidP="00C94C92">
      <w:pPr>
        <w:spacing w:line="240" w:lineRule="auto"/>
        <w:ind w:firstLine="284"/>
        <w:jc w:val="both"/>
        <w:rPr>
          <w:rFonts w:asciiTheme="majorBidi" w:hAnsiTheme="majorBidi" w:cstheme="majorBidi"/>
          <w:szCs w:val="20"/>
        </w:rPr>
      </w:pPr>
    </w:p>
    <w:p w14:paraId="0FC89966" w14:textId="14FC9A28" w:rsidR="00AC7F81" w:rsidRPr="00DB0715" w:rsidRDefault="00AC7F81" w:rsidP="00B4430A">
      <w:pPr>
        <w:spacing w:line="240" w:lineRule="auto"/>
        <w:jc w:val="center"/>
        <w:rPr>
          <w:rFonts w:asciiTheme="majorBidi" w:hAnsiTheme="majorBidi" w:cstheme="majorBidi"/>
        </w:rPr>
      </w:pPr>
      <w:r w:rsidRPr="00DB0715">
        <w:rPr>
          <w:rFonts w:asciiTheme="majorBidi" w:hAnsiTheme="majorBidi" w:cstheme="majorBidi"/>
          <w:noProof/>
        </w:rPr>
        <w:drawing>
          <wp:inline distT="0" distB="0" distL="0" distR="0" wp14:anchorId="24ACC951" wp14:editId="771FE28A">
            <wp:extent cx="3504171" cy="2194560"/>
            <wp:effectExtent l="0" t="0" r="127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5693" cy="2208039"/>
                    </a:xfrm>
                    <a:prstGeom prst="rect">
                      <a:avLst/>
                    </a:prstGeom>
                    <a:noFill/>
                    <a:ln>
                      <a:noFill/>
                    </a:ln>
                  </pic:spPr>
                </pic:pic>
              </a:graphicData>
            </a:graphic>
          </wp:inline>
        </w:drawing>
      </w:r>
    </w:p>
    <w:p w14:paraId="1DB184F2" w14:textId="532FB8A5" w:rsidR="00AC7F81" w:rsidRPr="00DB0715" w:rsidRDefault="00152421" w:rsidP="00B4430A">
      <w:pPr>
        <w:spacing w:line="240" w:lineRule="auto"/>
        <w:jc w:val="center"/>
        <w:rPr>
          <w:rFonts w:asciiTheme="majorBidi" w:hAnsiTheme="majorBidi" w:cstheme="majorBidi"/>
          <w:b/>
          <w:bCs/>
          <w:sz w:val="18"/>
          <w:szCs w:val="20"/>
          <w:rtl/>
          <w:lang w:bidi="ar-IQ"/>
        </w:rPr>
      </w:pPr>
      <w:r w:rsidRPr="00DB0715">
        <w:rPr>
          <w:rFonts w:asciiTheme="majorBidi" w:hAnsiTheme="majorBidi" w:cstheme="majorBidi"/>
          <w:b/>
          <w:bCs/>
          <w:sz w:val="18"/>
          <w:szCs w:val="20"/>
        </w:rPr>
        <w:t xml:space="preserve">FIGURE 2. </w:t>
      </w:r>
      <w:r w:rsidR="00AC7F81" w:rsidRPr="00DB0715">
        <w:rPr>
          <w:rFonts w:asciiTheme="majorBidi" w:hAnsiTheme="majorBidi" w:cstheme="majorBidi"/>
          <w:sz w:val="18"/>
          <w:szCs w:val="20"/>
        </w:rPr>
        <w:t xml:space="preserve">The result of the PCR reaction for the TRAP C2 gene. Samples (1, 6, 7, 8) represent the positive samples. The size of the gene was 369 base pairs. Electrophoresis was carried out in a 2% agarose </w:t>
      </w:r>
      <w:proofErr w:type="gramStart"/>
      <w:r w:rsidR="00AC7F81" w:rsidRPr="00DB0715">
        <w:rPr>
          <w:rFonts w:asciiTheme="majorBidi" w:hAnsiTheme="majorBidi" w:cstheme="majorBidi"/>
          <w:sz w:val="18"/>
          <w:szCs w:val="20"/>
        </w:rPr>
        <w:t>gel</w:t>
      </w:r>
      <w:proofErr w:type="gramEnd"/>
      <w:r w:rsidR="00AC7F81" w:rsidRPr="00DB0715">
        <w:rPr>
          <w:rFonts w:asciiTheme="majorBidi" w:hAnsiTheme="majorBidi" w:cstheme="majorBidi"/>
          <w:sz w:val="18"/>
          <w:szCs w:val="20"/>
        </w:rPr>
        <w:t xml:space="preserve"> and the size of the standard size indicator was 100 base pairs. Samples (2, 3, 4, 5, 9) represent the negative samples</w:t>
      </w:r>
      <w:r w:rsidR="00AC7F81" w:rsidRPr="00DB0715">
        <w:rPr>
          <w:rFonts w:asciiTheme="majorBidi" w:hAnsiTheme="majorBidi" w:cstheme="majorBidi"/>
          <w:sz w:val="18"/>
          <w:szCs w:val="20"/>
          <w:rtl/>
          <w:lang w:bidi="ar-IQ"/>
        </w:rPr>
        <w:t>.</w:t>
      </w:r>
    </w:p>
    <w:p w14:paraId="2B4C80BD" w14:textId="42E5B831" w:rsidR="00AC7F81" w:rsidRPr="00DB0715" w:rsidRDefault="00AC7F81" w:rsidP="00152421">
      <w:pPr>
        <w:spacing w:line="240" w:lineRule="auto"/>
        <w:jc w:val="center"/>
        <w:rPr>
          <w:rFonts w:asciiTheme="majorBidi" w:hAnsiTheme="majorBidi" w:cstheme="majorBidi"/>
        </w:rPr>
      </w:pPr>
      <w:r w:rsidRPr="00DB0715">
        <w:rPr>
          <w:rFonts w:asciiTheme="majorBidi" w:hAnsiTheme="majorBidi" w:cstheme="majorBidi"/>
          <w:noProof/>
        </w:rPr>
        <w:drawing>
          <wp:inline distT="0" distB="0" distL="0" distR="0" wp14:anchorId="13B3EE0A" wp14:editId="603E3831">
            <wp:extent cx="3632082" cy="2156460"/>
            <wp:effectExtent l="0" t="0" r="698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9667" cy="2160963"/>
                    </a:xfrm>
                    <a:prstGeom prst="rect">
                      <a:avLst/>
                    </a:prstGeom>
                    <a:noFill/>
                    <a:ln>
                      <a:noFill/>
                    </a:ln>
                  </pic:spPr>
                </pic:pic>
              </a:graphicData>
            </a:graphic>
          </wp:inline>
        </w:drawing>
      </w:r>
    </w:p>
    <w:bookmarkEnd w:id="0"/>
    <w:p w14:paraId="30F3A7A1" w14:textId="6FB3FBC1" w:rsidR="00AC7F81" w:rsidRPr="00DB0715" w:rsidRDefault="00152421" w:rsidP="00B4430A">
      <w:pPr>
        <w:spacing w:line="240" w:lineRule="auto"/>
        <w:jc w:val="center"/>
        <w:rPr>
          <w:rFonts w:asciiTheme="majorBidi" w:hAnsiTheme="majorBidi" w:cstheme="majorBidi"/>
          <w:sz w:val="18"/>
          <w:szCs w:val="20"/>
          <w:rtl/>
          <w:lang w:bidi="ar-IQ"/>
        </w:rPr>
      </w:pPr>
      <w:r w:rsidRPr="00DB0715">
        <w:rPr>
          <w:rFonts w:asciiTheme="majorBidi" w:hAnsiTheme="majorBidi" w:cstheme="majorBidi"/>
          <w:b/>
          <w:bCs/>
          <w:sz w:val="18"/>
          <w:szCs w:val="20"/>
        </w:rPr>
        <w:t xml:space="preserve">FIGURE 3. </w:t>
      </w:r>
      <w:r w:rsidR="00AC7F81" w:rsidRPr="00DB0715">
        <w:rPr>
          <w:rFonts w:asciiTheme="majorBidi" w:hAnsiTheme="majorBidi" w:cstheme="majorBidi"/>
          <w:sz w:val="18"/>
          <w:szCs w:val="20"/>
        </w:rPr>
        <w:t xml:space="preserve">The result of the PCR reaction for the </w:t>
      </w:r>
      <w:r w:rsidR="00AC7F81" w:rsidRPr="00DB0715">
        <w:rPr>
          <w:rFonts w:asciiTheme="majorBidi" w:hAnsiTheme="majorBidi" w:cstheme="majorBidi"/>
          <w:i/>
          <w:sz w:val="18"/>
          <w:szCs w:val="20"/>
        </w:rPr>
        <w:t>TRAPC1</w:t>
      </w:r>
      <w:r w:rsidR="00AC7F81" w:rsidRPr="00DB0715">
        <w:rPr>
          <w:rFonts w:asciiTheme="majorBidi" w:hAnsiTheme="majorBidi" w:cstheme="majorBidi"/>
          <w:sz w:val="18"/>
          <w:szCs w:val="20"/>
        </w:rPr>
        <w:t xml:space="preserve"> gene. Samples (1, 2, 3, 4, 5, 6, 7, 8, 9, 11) represent the positive samples. The size of the gene was 1200 base pairs. Electrophoresis was performed on an agarose gel at a concentration of 2% and the size of the standard size indicator was 100 base pairs. Sample (10) represents the negative samples</w:t>
      </w:r>
      <w:r w:rsidR="00AC7F81" w:rsidRPr="00DB0715">
        <w:rPr>
          <w:rFonts w:asciiTheme="majorBidi" w:hAnsiTheme="majorBidi" w:cstheme="majorBidi"/>
          <w:sz w:val="18"/>
          <w:szCs w:val="20"/>
          <w:rtl/>
          <w:lang w:bidi="ar-IQ"/>
        </w:rPr>
        <w:t>.</w:t>
      </w:r>
    </w:p>
    <w:p w14:paraId="5F209A7B" w14:textId="2DA6D433" w:rsidR="00AC7F81" w:rsidRPr="00DB0715" w:rsidRDefault="00AC7F81" w:rsidP="00C94C92">
      <w:pPr>
        <w:spacing w:line="240" w:lineRule="auto"/>
        <w:ind w:firstLine="284"/>
        <w:jc w:val="both"/>
        <w:rPr>
          <w:rFonts w:asciiTheme="majorBidi" w:hAnsiTheme="majorBidi" w:cstheme="majorBidi"/>
          <w:lang w:val="en-GB"/>
        </w:rPr>
      </w:pPr>
      <w:r w:rsidRPr="00DB0715">
        <w:rPr>
          <w:rFonts w:asciiTheme="majorBidi" w:hAnsiTheme="majorBidi" w:cstheme="majorBidi"/>
        </w:rPr>
        <w:t xml:space="preserve">The results of a study </w:t>
      </w:r>
      <w:r w:rsidR="00092CF8" w:rsidRPr="00DB0715">
        <w:rPr>
          <w:rFonts w:asciiTheme="majorBidi" w:hAnsiTheme="majorBidi" w:cstheme="majorBidi"/>
        </w:rPr>
        <w:t>[2</w:t>
      </w:r>
      <w:r w:rsidR="00900AB4" w:rsidRPr="00DB0715">
        <w:rPr>
          <w:rFonts w:asciiTheme="majorBidi" w:hAnsiTheme="majorBidi" w:cstheme="majorBidi"/>
        </w:rPr>
        <w:t>2</w:t>
      </w:r>
      <w:r w:rsidR="00092CF8" w:rsidRPr="00DB0715">
        <w:rPr>
          <w:rFonts w:asciiTheme="majorBidi" w:hAnsiTheme="majorBidi" w:cstheme="majorBidi"/>
        </w:rPr>
        <w:t>]</w:t>
      </w:r>
      <w:r w:rsidRPr="00DB0715">
        <w:rPr>
          <w:rFonts w:asciiTheme="majorBidi" w:hAnsiTheme="majorBidi" w:cstheme="majorBidi"/>
        </w:rPr>
        <w:t xml:space="preserve"> in Bangladesh showed a prevalence of 10%, while a study </w:t>
      </w:r>
      <w:r w:rsidR="00900AB4" w:rsidRPr="00DB0715">
        <w:rPr>
          <w:rFonts w:asciiTheme="majorBidi" w:hAnsiTheme="majorBidi" w:cstheme="majorBidi"/>
        </w:rPr>
        <w:t>[23]</w:t>
      </w:r>
      <w:r w:rsidRPr="00DB0715">
        <w:rPr>
          <w:rFonts w:asciiTheme="majorBidi" w:hAnsiTheme="majorBidi" w:cstheme="majorBidi"/>
        </w:rPr>
        <w:t xml:space="preserve"> reported a different prevalence of 87.5% and 92.9</w:t>
      </w:r>
      <w:proofErr w:type="gramStart"/>
      <w:r w:rsidRPr="00DB0715">
        <w:rPr>
          <w:rFonts w:asciiTheme="majorBidi" w:hAnsiTheme="majorBidi" w:cstheme="majorBidi"/>
        </w:rPr>
        <w:t>%</w:t>
      </w:r>
      <w:r w:rsidRPr="00DB0715">
        <w:rPr>
          <w:rFonts w:asciiTheme="majorBidi" w:hAnsiTheme="majorBidi" w:cstheme="majorBidi"/>
          <w:rtl/>
        </w:rPr>
        <w:t>.</w:t>
      </w:r>
      <w:r w:rsidRPr="00DB0715">
        <w:rPr>
          <w:rFonts w:asciiTheme="majorBidi" w:hAnsiTheme="majorBidi" w:cstheme="majorBidi"/>
        </w:rPr>
        <w:t>The</w:t>
      </w:r>
      <w:proofErr w:type="gramEnd"/>
      <w:r w:rsidRPr="00DB0715">
        <w:rPr>
          <w:rFonts w:asciiTheme="majorBidi" w:hAnsiTheme="majorBidi" w:cstheme="majorBidi"/>
        </w:rPr>
        <w:t xml:space="preserve"> results of the current study showed that the diagnosis of </w:t>
      </w:r>
      <w:r w:rsidRPr="00DB0715">
        <w:rPr>
          <w:rFonts w:asciiTheme="majorBidi" w:hAnsiTheme="majorBidi" w:cstheme="majorBidi"/>
          <w:i/>
          <w:iCs/>
        </w:rPr>
        <w:t>C. parvum</w:t>
      </w:r>
      <w:r w:rsidRPr="00DB0715">
        <w:rPr>
          <w:rFonts w:asciiTheme="majorBidi" w:hAnsiTheme="majorBidi" w:cstheme="majorBidi"/>
        </w:rPr>
        <w:t xml:space="preserve"> using the </w:t>
      </w:r>
      <w:r w:rsidRPr="00DB0715">
        <w:rPr>
          <w:rFonts w:asciiTheme="majorBidi" w:hAnsiTheme="majorBidi" w:cstheme="majorBidi"/>
          <w:i/>
        </w:rPr>
        <w:t>TRAPC1</w:t>
      </w:r>
      <w:r w:rsidR="001E3020" w:rsidRPr="00DB0715">
        <w:rPr>
          <w:rFonts w:asciiTheme="majorBidi" w:hAnsiTheme="majorBidi" w:cstheme="majorBidi"/>
        </w:rPr>
        <w:t xml:space="preserve"> </w:t>
      </w:r>
      <w:r w:rsidRPr="00DB0715">
        <w:rPr>
          <w:rFonts w:asciiTheme="majorBidi" w:hAnsiTheme="majorBidi" w:cstheme="majorBidi"/>
        </w:rPr>
        <w:t xml:space="preserve">gene was higher than the </w:t>
      </w:r>
      <w:r w:rsidRPr="00DB0715">
        <w:rPr>
          <w:rFonts w:asciiTheme="majorBidi" w:hAnsiTheme="majorBidi" w:cstheme="majorBidi"/>
          <w:i/>
        </w:rPr>
        <w:t>TRAPC2</w:t>
      </w:r>
      <w:r w:rsidRPr="00DB0715">
        <w:rPr>
          <w:rFonts w:asciiTheme="majorBidi" w:hAnsiTheme="majorBidi" w:cstheme="majorBidi"/>
        </w:rPr>
        <w:t xml:space="preserve"> gene. This may be due to the nature of the sample collection site, as they were collected in a central city where direct exposure to animals is less common, suggesting that most transmission was from person to person. The </w:t>
      </w:r>
      <w:r w:rsidRPr="00DB0715">
        <w:rPr>
          <w:rFonts w:asciiTheme="majorBidi" w:hAnsiTheme="majorBidi" w:cstheme="majorBidi"/>
          <w:i/>
        </w:rPr>
        <w:t>TRAPC2</w:t>
      </w:r>
      <w:r w:rsidRPr="00DB0715">
        <w:rPr>
          <w:rFonts w:asciiTheme="majorBidi" w:hAnsiTheme="majorBidi" w:cstheme="majorBidi"/>
        </w:rPr>
        <w:t xml:space="preserve"> gene was less prevalent, as transmission may have originated from animal sources or from human to human</w:t>
      </w:r>
      <w:r w:rsidRPr="00DB0715">
        <w:rPr>
          <w:rFonts w:asciiTheme="majorBidi" w:hAnsiTheme="majorBidi" w:cstheme="majorBidi"/>
          <w:rtl/>
        </w:rPr>
        <w:t>.</w:t>
      </w:r>
    </w:p>
    <w:p w14:paraId="59B939A1" w14:textId="3F55AE43" w:rsidR="00247AFE" w:rsidRPr="00DB0715" w:rsidRDefault="002D125E" w:rsidP="00247AFE">
      <w:pPr>
        <w:spacing w:line="240" w:lineRule="auto"/>
        <w:jc w:val="center"/>
        <w:rPr>
          <w:rFonts w:asciiTheme="majorBidi" w:hAnsiTheme="majorBidi" w:cstheme="majorBidi"/>
          <w:b/>
          <w:sz w:val="24"/>
        </w:rPr>
      </w:pPr>
      <w:r w:rsidRPr="00DB0715">
        <w:rPr>
          <w:rFonts w:asciiTheme="majorBidi" w:hAnsiTheme="majorBidi" w:cstheme="majorBidi"/>
          <w:b/>
          <w:sz w:val="24"/>
        </w:rPr>
        <w:t>CONCLUSIONS</w:t>
      </w:r>
    </w:p>
    <w:p w14:paraId="648255F3" w14:textId="573F166E" w:rsidR="00247AFE" w:rsidRPr="00DB0715" w:rsidRDefault="003A37F5" w:rsidP="00C94C92">
      <w:pPr>
        <w:spacing w:line="240" w:lineRule="auto"/>
        <w:ind w:firstLine="284"/>
        <w:jc w:val="both"/>
        <w:rPr>
          <w:rFonts w:asciiTheme="majorBidi" w:hAnsiTheme="majorBidi" w:cstheme="majorBidi"/>
        </w:rPr>
      </w:pPr>
      <w:r w:rsidRPr="00DB0715">
        <w:rPr>
          <w:rFonts w:asciiTheme="majorBidi" w:hAnsiTheme="majorBidi" w:cstheme="majorBidi"/>
        </w:rPr>
        <w:t xml:space="preserve">This study successfully identified </w:t>
      </w:r>
      <w:r w:rsidRPr="00DB0715">
        <w:rPr>
          <w:rFonts w:asciiTheme="majorBidi" w:hAnsiTheme="majorBidi" w:cstheme="majorBidi"/>
          <w:i/>
          <w:iCs/>
        </w:rPr>
        <w:t>Cryptosporidium parvum</w:t>
      </w:r>
      <w:r w:rsidRPr="00DB0715">
        <w:rPr>
          <w:rFonts w:asciiTheme="majorBidi" w:hAnsiTheme="majorBidi" w:cstheme="majorBidi"/>
        </w:rPr>
        <w:t xml:space="preserve"> infection in children in Salah Al-Din </w:t>
      </w:r>
      <w:proofErr w:type="gramStart"/>
      <w:r w:rsidRPr="00DB0715">
        <w:rPr>
          <w:rFonts w:asciiTheme="majorBidi" w:hAnsiTheme="majorBidi" w:cstheme="majorBidi"/>
        </w:rPr>
        <w:t>Governorate ,</w:t>
      </w:r>
      <w:proofErr w:type="gramEnd"/>
      <w:r w:rsidRPr="00DB0715">
        <w:rPr>
          <w:rFonts w:asciiTheme="majorBidi" w:hAnsiTheme="majorBidi" w:cstheme="majorBidi"/>
        </w:rPr>
        <w:t xml:space="preserve"> revealing a significant overall prevalence of 38% based on microscopic examination of 100 stool </w:t>
      </w:r>
      <w:proofErr w:type="gramStart"/>
      <w:r w:rsidRPr="00DB0715">
        <w:rPr>
          <w:rFonts w:asciiTheme="majorBidi" w:hAnsiTheme="majorBidi" w:cstheme="majorBidi"/>
        </w:rPr>
        <w:t>samples ,</w:t>
      </w:r>
      <w:proofErr w:type="gramEnd"/>
      <w:r w:rsidRPr="00DB0715">
        <w:rPr>
          <w:rFonts w:asciiTheme="majorBidi" w:hAnsiTheme="majorBidi" w:cstheme="majorBidi"/>
        </w:rPr>
        <w:t xml:space="preserve"> which suggests the parasite may pose a notable public health threat in the region. Epidemiological analysis identified specific risk factors, including higher infection rates in males (42%) than females (31.5%) and the highest prevalence among the </w:t>
      </w:r>
      <w:proofErr w:type="gramStart"/>
      <w:r w:rsidRPr="00DB0715">
        <w:rPr>
          <w:rFonts w:asciiTheme="majorBidi" w:hAnsiTheme="majorBidi" w:cstheme="majorBidi"/>
        </w:rPr>
        <w:t>3-5 year</w:t>
      </w:r>
      <w:proofErr w:type="gramEnd"/>
      <w:r w:rsidRPr="00DB0715">
        <w:rPr>
          <w:rFonts w:asciiTheme="majorBidi" w:hAnsiTheme="majorBidi" w:cstheme="majorBidi"/>
        </w:rPr>
        <w:t xml:space="preserve"> age group (44.4%). A crucial environmental finding was the </w:t>
      </w:r>
      <w:r w:rsidRPr="00DB0715">
        <w:rPr>
          <w:rFonts w:asciiTheme="majorBidi" w:hAnsiTheme="majorBidi" w:cstheme="majorBidi"/>
        </w:rPr>
        <w:lastRenderedPageBreak/>
        <w:t>pronounced seasonal peak in January (56%</w:t>
      </w:r>
      <w:proofErr w:type="gramStart"/>
      <w:r w:rsidRPr="00DB0715">
        <w:rPr>
          <w:rFonts w:asciiTheme="majorBidi" w:hAnsiTheme="majorBidi" w:cstheme="majorBidi"/>
        </w:rPr>
        <w:t>) ,</w:t>
      </w:r>
      <w:proofErr w:type="gramEnd"/>
      <w:r w:rsidRPr="00DB0715">
        <w:rPr>
          <w:rFonts w:asciiTheme="majorBidi" w:hAnsiTheme="majorBidi" w:cstheme="majorBidi"/>
        </w:rPr>
        <w:t xml:space="preserve"> which is likely linked to rainwater washing soil contaminated with animal waste into drinking water sources. The primary significance of this research lies in its successful molecular diagnosis using conventional PCR on 93 DNA samples. The study found that the TRAPC1 gene (detected in 27.9% of samples) was more prevalent than the TRAPC2 gene (19.4%). Given that TRAPC1 is almost exclusively associated with human-to-human transmission while TRAPC2 is linked to both zoonotic and human </w:t>
      </w:r>
      <w:proofErr w:type="gramStart"/>
      <w:r w:rsidRPr="00DB0715">
        <w:rPr>
          <w:rFonts w:asciiTheme="majorBidi" w:hAnsiTheme="majorBidi" w:cstheme="majorBidi"/>
        </w:rPr>
        <w:t>sources ,</w:t>
      </w:r>
      <w:proofErr w:type="gramEnd"/>
      <w:r w:rsidRPr="00DB0715">
        <w:rPr>
          <w:rFonts w:asciiTheme="majorBidi" w:hAnsiTheme="majorBidi" w:cstheme="majorBidi"/>
        </w:rPr>
        <w:t xml:space="preserve"> this central finding strongly implies that anthroponotic (human-to-human) transmission is the dominant infection route in this urban study area. This highlights the utility of the TRAPC1 and TRAPC2 genes as important molecular markers for differentiating transmission cycles, which is critical for developing effective public health control strategies.</w:t>
      </w:r>
    </w:p>
    <w:p w14:paraId="6C61B546" w14:textId="0DD60010" w:rsidR="00092CF8" w:rsidRPr="00DB0715" w:rsidRDefault="004354AE" w:rsidP="00CF6258">
      <w:pPr>
        <w:spacing w:line="240" w:lineRule="auto"/>
        <w:jc w:val="center"/>
        <w:rPr>
          <w:rFonts w:asciiTheme="majorBidi" w:hAnsiTheme="majorBidi" w:cstheme="majorBidi"/>
          <w:b/>
          <w:bCs/>
          <w:sz w:val="24"/>
          <w:szCs w:val="28"/>
        </w:rPr>
      </w:pPr>
      <w:r w:rsidRPr="00DB0715">
        <w:rPr>
          <w:rFonts w:asciiTheme="majorBidi" w:hAnsiTheme="majorBidi" w:cstheme="majorBidi"/>
          <w:b/>
          <w:bCs/>
          <w:sz w:val="24"/>
          <w:szCs w:val="28"/>
        </w:rPr>
        <w:t>REFERENCES</w:t>
      </w:r>
    </w:p>
    <w:p w14:paraId="607BFC7F" w14:textId="2A98E563"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M. A. Saab, "Effect Cryptosporidium parvum on Lactoferrin level in children with diarrhea," Wasit Journal for Pure Sciences, 3(4), pp. 127-135, 2024.</w:t>
      </w:r>
    </w:p>
    <w:p w14:paraId="0F927985"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A. Khan, S. Shams, S. Khan, M. I. Khan, S. Khan, &amp; A. Ali, "Evaluation of prevalence and risk factors associated with Cryptosporidium infection in rural population of district Buner, Pakistan," </w:t>
      </w:r>
      <w:proofErr w:type="spellStart"/>
      <w:r w:rsidRPr="00DB0715">
        <w:rPr>
          <w:rFonts w:asciiTheme="majorBidi" w:hAnsiTheme="majorBidi" w:cstheme="majorBidi"/>
          <w:color w:val="1B1C1D"/>
          <w:szCs w:val="20"/>
        </w:rPr>
        <w:t>PLoS</w:t>
      </w:r>
      <w:proofErr w:type="spellEnd"/>
      <w:r w:rsidRPr="00DB0715">
        <w:rPr>
          <w:rFonts w:asciiTheme="majorBidi" w:hAnsiTheme="majorBidi" w:cstheme="majorBidi"/>
          <w:color w:val="1B1C1D"/>
          <w:szCs w:val="20"/>
        </w:rPr>
        <w:t xml:space="preserve"> One, 14(1), p. e0209188, 2019. </w:t>
      </w:r>
      <w:proofErr w:type="spellStart"/>
      <w:r w:rsidRPr="00DB0715">
        <w:rPr>
          <w:rFonts w:asciiTheme="majorBidi" w:hAnsiTheme="majorBidi" w:cstheme="majorBidi"/>
          <w:color w:val="1B1C1D"/>
          <w:szCs w:val="20"/>
        </w:rPr>
        <w:t>doi</w:t>
      </w:r>
      <w:proofErr w:type="spellEnd"/>
      <w:r w:rsidRPr="00DB0715">
        <w:rPr>
          <w:rFonts w:asciiTheme="majorBidi" w:hAnsiTheme="majorBidi" w:cstheme="majorBidi"/>
          <w:color w:val="1B1C1D"/>
          <w:szCs w:val="20"/>
        </w:rPr>
        <w:t>: 10.1371/journal.pone.0209188.</w:t>
      </w:r>
    </w:p>
    <w:p w14:paraId="014C8D95"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H. K. Askar, Y. J. Salman, &amp; A. A. </w:t>
      </w:r>
      <w:proofErr w:type="spellStart"/>
      <w:r w:rsidRPr="00DB0715">
        <w:rPr>
          <w:rFonts w:asciiTheme="majorBidi" w:hAnsiTheme="majorBidi" w:cstheme="majorBidi"/>
          <w:color w:val="1B1C1D"/>
          <w:szCs w:val="20"/>
        </w:rPr>
        <w:t>Mohiemeed</w:t>
      </w:r>
      <w:proofErr w:type="spellEnd"/>
      <w:r w:rsidRPr="00DB0715">
        <w:rPr>
          <w:rFonts w:asciiTheme="majorBidi" w:hAnsiTheme="majorBidi" w:cstheme="majorBidi"/>
          <w:color w:val="1B1C1D"/>
          <w:szCs w:val="20"/>
        </w:rPr>
        <w:t xml:space="preserve">, "Some Epidemiological Aspects of Cryptosporidium parvum Among Children Below Five Years in Kirkuk Province," Journal of Population Therapeutics and Clinical Pharmacology, 30(8), pp. 378-389, 2023. </w:t>
      </w:r>
      <w:proofErr w:type="spellStart"/>
      <w:r w:rsidRPr="00DB0715">
        <w:rPr>
          <w:rFonts w:asciiTheme="majorBidi" w:hAnsiTheme="majorBidi" w:cstheme="majorBidi"/>
          <w:color w:val="1B1C1D"/>
          <w:szCs w:val="20"/>
        </w:rPr>
        <w:t>doi</w:t>
      </w:r>
      <w:proofErr w:type="spellEnd"/>
      <w:r w:rsidRPr="00DB0715">
        <w:rPr>
          <w:rFonts w:asciiTheme="majorBidi" w:hAnsiTheme="majorBidi" w:cstheme="majorBidi"/>
          <w:color w:val="1B1C1D"/>
          <w:szCs w:val="20"/>
        </w:rPr>
        <w:t>: 10.47750/jptcp.2023.30.08.041.</w:t>
      </w:r>
    </w:p>
    <w:p w14:paraId="70E02B53"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A. Fall, R. C. Thompson, R. P. Hobbs, &amp; U. Morgan-Ryan, "Morphology is not a reliable tool for delineating species within Cryptosporidium," Journal of Parasitology, 89, pp. 399–402, 2003. </w:t>
      </w:r>
      <w:proofErr w:type="spellStart"/>
      <w:r w:rsidRPr="00DB0715">
        <w:rPr>
          <w:rFonts w:asciiTheme="majorBidi" w:hAnsiTheme="majorBidi" w:cstheme="majorBidi"/>
          <w:color w:val="1B1C1D"/>
          <w:szCs w:val="20"/>
        </w:rPr>
        <w:t>doi</w:t>
      </w:r>
      <w:proofErr w:type="spellEnd"/>
      <w:r w:rsidRPr="00DB0715">
        <w:rPr>
          <w:rFonts w:asciiTheme="majorBidi" w:hAnsiTheme="majorBidi" w:cstheme="majorBidi"/>
          <w:color w:val="1B1C1D"/>
          <w:szCs w:val="20"/>
        </w:rPr>
        <w:t>: 10.1645/0022-3395(2003)089[</w:t>
      </w:r>
      <w:proofErr w:type="gramStart"/>
      <w:r w:rsidRPr="00DB0715">
        <w:rPr>
          <w:rFonts w:asciiTheme="majorBidi" w:hAnsiTheme="majorBidi" w:cstheme="majorBidi"/>
          <w:color w:val="1B1C1D"/>
          <w:szCs w:val="20"/>
        </w:rPr>
        <w:t>0399:MINART</w:t>
      </w:r>
      <w:proofErr w:type="gramEnd"/>
      <w:r w:rsidRPr="00DB0715">
        <w:rPr>
          <w:rFonts w:asciiTheme="majorBidi" w:hAnsiTheme="majorBidi" w:cstheme="majorBidi"/>
          <w:color w:val="1B1C1D"/>
          <w:szCs w:val="20"/>
        </w:rPr>
        <w:t>]2.0.CO;2.</w:t>
      </w:r>
    </w:p>
    <w:p w14:paraId="62EAF0B5"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S. Mozer, I. G. Abdulwahhab, &amp; A. F. Al-Azaawie, "Diagnosis </w:t>
      </w:r>
      <w:proofErr w:type="gramStart"/>
      <w:r w:rsidRPr="00DB0715">
        <w:rPr>
          <w:rFonts w:asciiTheme="majorBidi" w:hAnsiTheme="majorBidi" w:cstheme="majorBidi"/>
          <w:color w:val="1B1C1D"/>
          <w:szCs w:val="20"/>
        </w:rPr>
        <w:t>Of</w:t>
      </w:r>
      <w:proofErr w:type="gramEnd"/>
      <w:r w:rsidRPr="00DB0715">
        <w:rPr>
          <w:rFonts w:asciiTheme="majorBidi" w:hAnsiTheme="majorBidi" w:cstheme="majorBidi"/>
          <w:color w:val="1B1C1D"/>
          <w:szCs w:val="20"/>
        </w:rPr>
        <w:t xml:space="preserve"> Contamination </w:t>
      </w:r>
      <w:proofErr w:type="gramStart"/>
      <w:r w:rsidRPr="00DB0715">
        <w:rPr>
          <w:rFonts w:asciiTheme="majorBidi" w:hAnsiTheme="majorBidi" w:cstheme="majorBidi"/>
          <w:color w:val="1B1C1D"/>
          <w:szCs w:val="20"/>
        </w:rPr>
        <w:t>Of</w:t>
      </w:r>
      <w:proofErr w:type="gramEnd"/>
      <w:r w:rsidRPr="00DB0715">
        <w:rPr>
          <w:rFonts w:asciiTheme="majorBidi" w:hAnsiTheme="majorBidi" w:cstheme="majorBidi"/>
          <w:color w:val="1B1C1D"/>
          <w:szCs w:val="20"/>
        </w:rPr>
        <w:t xml:space="preserve"> Vegetables </w:t>
      </w:r>
      <w:proofErr w:type="gramStart"/>
      <w:r w:rsidRPr="00DB0715">
        <w:rPr>
          <w:rFonts w:asciiTheme="majorBidi" w:hAnsiTheme="majorBidi" w:cstheme="majorBidi"/>
          <w:color w:val="1B1C1D"/>
          <w:szCs w:val="20"/>
        </w:rPr>
        <w:t>And</w:t>
      </w:r>
      <w:proofErr w:type="gramEnd"/>
      <w:r w:rsidRPr="00DB0715">
        <w:rPr>
          <w:rFonts w:asciiTheme="majorBidi" w:hAnsiTheme="majorBidi" w:cstheme="majorBidi"/>
          <w:color w:val="1B1C1D"/>
          <w:szCs w:val="20"/>
        </w:rPr>
        <w:t xml:space="preserve"> Fruits </w:t>
      </w:r>
      <w:proofErr w:type="gramStart"/>
      <w:r w:rsidRPr="00DB0715">
        <w:rPr>
          <w:rFonts w:asciiTheme="majorBidi" w:hAnsiTheme="majorBidi" w:cstheme="majorBidi"/>
          <w:color w:val="1B1C1D"/>
          <w:szCs w:val="20"/>
        </w:rPr>
        <w:t>With</w:t>
      </w:r>
      <w:proofErr w:type="gramEnd"/>
      <w:r w:rsidRPr="00DB0715">
        <w:rPr>
          <w:rFonts w:asciiTheme="majorBidi" w:hAnsiTheme="majorBidi" w:cstheme="majorBidi"/>
          <w:color w:val="1B1C1D"/>
          <w:szCs w:val="20"/>
        </w:rPr>
        <w:t xml:space="preserve"> Cryptosporidium </w:t>
      </w:r>
      <w:proofErr w:type="spellStart"/>
      <w:r w:rsidRPr="00DB0715">
        <w:rPr>
          <w:rFonts w:asciiTheme="majorBidi" w:hAnsiTheme="majorBidi" w:cstheme="majorBidi"/>
          <w:color w:val="1B1C1D"/>
          <w:szCs w:val="20"/>
        </w:rPr>
        <w:t>Spp</w:t>
      </w:r>
      <w:proofErr w:type="spellEnd"/>
      <w:r w:rsidRPr="00DB0715">
        <w:rPr>
          <w:rFonts w:asciiTheme="majorBidi" w:hAnsiTheme="majorBidi" w:cstheme="majorBidi"/>
          <w:color w:val="1B1C1D"/>
          <w:szCs w:val="20"/>
        </w:rPr>
        <w:t xml:space="preserve"> Using Nested-PCR Technique," Natural Volatiles &amp; Essential Oils, pp. 223-232, 2021.</w:t>
      </w:r>
    </w:p>
    <w:p w14:paraId="6A214829"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M. S. Paoletta, &amp; S. E. Wilkowsky, "Thrombospondin Related Anonymous Protein Superfamily in Vector-Borne Apicomplexans: The Parasite's Toolkit for Cell Invasion," Frontiers in Cellular and Infection Microbiology, 12, p. 831592, 2022. </w:t>
      </w:r>
      <w:proofErr w:type="spellStart"/>
      <w:r w:rsidRPr="00DB0715">
        <w:rPr>
          <w:rFonts w:asciiTheme="majorBidi" w:hAnsiTheme="majorBidi" w:cstheme="majorBidi"/>
          <w:color w:val="1B1C1D"/>
          <w:szCs w:val="20"/>
        </w:rPr>
        <w:t>doi</w:t>
      </w:r>
      <w:proofErr w:type="spellEnd"/>
      <w:r w:rsidRPr="00DB0715">
        <w:rPr>
          <w:rFonts w:asciiTheme="majorBidi" w:hAnsiTheme="majorBidi" w:cstheme="majorBidi"/>
          <w:color w:val="1B1C1D"/>
          <w:szCs w:val="20"/>
        </w:rPr>
        <w:t>: 10.3389/fcimb.2022.831592.</w:t>
      </w:r>
    </w:p>
    <w:p w14:paraId="19DA4921"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F. Spano, L. </w:t>
      </w:r>
      <w:proofErr w:type="spellStart"/>
      <w:r w:rsidRPr="00DB0715">
        <w:rPr>
          <w:rFonts w:asciiTheme="majorBidi" w:hAnsiTheme="majorBidi" w:cstheme="majorBidi"/>
          <w:color w:val="1B1C1D"/>
          <w:szCs w:val="20"/>
        </w:rPr>
        <w:t>Putignani</w:t>
      </w:r>
      <w:proofErr w:type="spellEnd"/>
      <w:r w:rsidRPr="00DB0715">
        <w:rPr>
          <w:rFonts w:asciiTheme="majorBidi" w:hAnsiTheme="majorBidi" w:cstheme="majorBidi"/>
          <w:color w:val="1B1C1D"/>
          <w:szCs w:val="20"/>
        </w:rPr>
        <w:t>, S. Guida, &amp; A. Crisanti, "Cryptosporidium parvum: PCR-RFLP analysis of the TRAP-C1 (thrombospondin-related adhesive protein of Cryptosporidium-1) gene discriminates between two alleles differentially associated with parasite isolates of animal and human origin," Experimental Parasitology, 90, pp. 195-198, 1998.</w:t>
      </w:r>
    </w:p>
    <w:p w14:paraId="6634309B"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M. M. Peng, L. Xiao, A. R. Freeman, M. J. Arrowood, A. A. Escalante, A. C. Weltman, et al., "Genetic polymorphism among Cryptosporidium parvum isolates: evidence of two distinct human transmission cycles," Emerging Infectious Diseases, 3(4), p. 567, 1997.</w:t>
      </w:r>
    </w:p>
    <w:p w14:paraId="7B399E4B"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L. E. Jerez, F. A. </w:t>
      </w:r>
      <w:proofErr w:type="spellStart"/>
      <w:r w:rsidRPr="00DB0715">
        <w:rPr>
          <w:rFonts w:asciiTheme="majorBidi" w:hAnsiTheme="majorBidi" w:cstheme="majorBidi"/>
          <w:color w:val="1B1C1D"/>
          <w:szCs w:val="20"/>
        </w:rPr>
        <w:t>Núňez</w:t>
      </w:r>
      <w:proofErr w:type="spellEnd"/>
      <w:r w:rsidRPr="00DB0715">
        <w:rPr>
          <w:rFonts w:asciiTheme="majorBidi" w:hAnsiTheme="majorBidi" w:cstheme="majorBidi"/>
          <w:color w:val="1B1C1D"/>
          <w:szCs w:val="20"/>
        </w:rPr>
        <w:t>-Fernández, J. Fraga, I. Atencio, I. Cruz, I. Martínez, L. Ayllón, &amp; L. J. Robertson, "Diagnosis of intestinal protozoan infections in patients in Cuba by microscopy and molecular methods: advantages and disadvantages," Journal of Microbiological Methods, Vol. 179, p. 106102, 2020.</w:t>
      </w:r>
    </w:p>
    <w:p w14:paraId="6C7AAA57"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A. H. J. Al-</w:t>
      </w:r>
      <w:proofErr w:type="spellStart"/>
      <w:r w:rsidRPr="00DB0715">
        <w:rPr>
          <w:rFonts w:asciiTheme="majorBidi" w:hAnsiTheme="majorBidi" w:cstheme="majorBidi"/>
          <w:color w:val="1B1C1D"/>
          <w:szCs w:val="20"/>
        </w:rPr>
        <w:t>Marshadi</w:t>
      </w:r>
      <w:proofErr w:type="spellEnd"/>
      <w:r w:rsidRPr="00DB0715">
        <w:rPr>
          <w:rFonts w:asciiTheme="majorBidi" w:hAnsiTheme="majorBidi" w:cstheme="majorBidi"/>
          <w:color w:val="1B1C1D"/>
          <w:szCs w:val="20"/>
        </w:rPr>
        <w:t xml:space="preserve">, "Microscopic and molecular diagnosis of the Cryptosporidium parvum parasite in Karbala Governorate," </w:t>
      </w:r>
      <w:proofErr w:type="gramStart"/>
      <w:r w:rsidRPr="00DB0715">
        <w:rPr>
          <w:rFonts w:asciiTheme="majorBidi" w:hAnsiTheme="majorBidi" w:cstheme="majorBidi"/>
          <w:color w:val="1B1C1D"/>
          <w:szCs w:val="20"/>
        </w:rPr>
        <w:t>Master's</w:t>
      </w:r>
      <w:proofErr w:type="gramEnd"/>
      <w:r w:rsidRPr="00DB0715">
        <w:rPr>
          <w:rFonts w:asciiTheme="majorBidi" w:hAnsiTheme="majorBidi" w:cstheme="majorBidi"/>
          <w:color w:val="1B1C1D"/>
          <w:szCs w:val="20"/>
        </w:rPr>
        <w:t xml:space="preserve"> thesis, College of Education, University of Karbala, 2021, pp. 74-83.</w:t>
      </w:r>
    </w:p>
    <w:p w14:paraId="38E5B8A0"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A. I. AL-Hindy, A. A. </w:t>
      </w:r>
      <w:proofErr w:type="spellStart"/>
      <w:r w:rsidRPr="00DB0715">
        <w:rPr>
          <w:rFonts w:asciiTheme="majorBidi" w:hAnsiTheme="majorBidi" w:cstheme="majorBidi"/>
          <w:color w:val="1B1C1D"/>
          <w:szCs w:val="20"/>
        </w:rPr>
        <w:t>Elmanama</w:t>
      </w:r>
      <w:proofErr w:type="spellEnd"/>
      <w:r w:rsidRPr="00DB0715">
        <w:rPr>
          <w:rFonts w:asciiTheme="majorBidi" w:hAnsiTheme="majorBidi" w:cstheme="majorBidi"/>
          <w:color w:val="1B1C1D"/>
          <w:szCs w:val="20"/>
        </w:rPr>
        <w:t xml:space="preserve">, &amp; K. J. A. </w:t>
      </w:r>
      <w:proofErr w:type="spellStart"/>
      <w:r w:rsidRPr="00DB0715">
        <w:rPr>
          <w:rFonts w:asciiTheme="majorBidi" w:hAnsiTheme="majorBidi" w:cstheme="majorBidi"/>
          <w:color w:val="1B1C1D"/>
          <w:szCs w:val="20"/>
        </w:rPr>
        <w:t>Elnabris</w:t>
      </w:r>
      <w:proofErr w:type="spellEnd"/>
      <w:r w:rsidRPr="00DB0715">
        <w:rPr>
          <w:rFonts w:asciiTheme="majorBidi" w:hAnsiTheme="majorBidi" w:cstheme="majorBidi"/>
          <w:color w:val="1B1C1D"/>
          <w:szCs w:val="20"/>
        </w:rPr>
        <w:t>, "Cryptosporidiosis among Children Attending Al-Nasser Pediatric Hospital Gaza Palestine," Turkish Journal of Medical Sciences, 37(6), pp. 367-372, 2007.</w:t>
      </w:r>
    </w:p>
    <w:p w14:paraId="5FE8B70D"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A. K. AL-</w:t>
      </w:r>
      <w:proofErr w:type="spellStart"/>
      <w:r w:rsidRPr="00DB0715">
        <w:rPr>
          <w:rFonts w:asciiTheme="majorBidi" w:hAnsiTheme="majorBidi" w:cstheme="majorBidi"/>
          <w:color w:val="1B1C1D"/>
          <w:szCs w:val="20"/>
        </w:rPr>
        <w:t>Mamouri</w:t>
      </w:r>
      <w:proofErr w:type="spellEnd"/>
      <w:r w:rsidRPr="00DB0715">
        <w:rPr>
          <w:rFonts w:asciiTheme="majorBidi" w:hAnsiTheme="majorBidi" w:cstheme="majorBidi"/>
          <w:color w:val="1B1C1D"/>
          <w:szCs w:val="20"/>
        </w:rPr>
        <w:t>, "Epidemiology of intestinal parasites and head lice in pupils of some primary schools at AL-</w:t>
      </w:r>
      <w:proofErr w:type="spellStart"/>
      <w:r w:rsidRPr="00DB0715">
        <w:rPr>
          <w:rFonts w:asciiTheme="majorBidi" w:hAnsiTheme="majorBidi" w:cstheme="majorBidi"/>
          <w:color w:val="1B1C1D"/>
          <w:szCs w:val="20"/>
        </w:rPr>
        <w:t>Mahaweel</w:t>
      </w:r>
      <w:proofErr w:type="spellEnd"/>
      <w:r w:rsidRPr="00DB0715">
        <w:rPr>
          <w:rFonts w:asciiTheme="majorBidi" w:hAnsiTheme="majorBidi" w:cstheme="majorBidi"/>
          <w:color w:val="1B1C1D"/>
          <w:szCs w:val="20"/>
        </w:rPr>
        <w:t xml:space="preserve"> district, Babylon province," MSc. Thesis, Science College, Babylon University, 2000, 122 pp.</w:t>
      </w:r>
    </w:p>
    <w:p w14:paraId="7DC36142"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S. H. Younis, &amp; F. Al-</w:t>
      </w:r>
      <w:proofErr w:type="spellStart"/>
      <w:r w:rsidRPr="00DB0715">
        <w:rPr>
          <w:rFonts w:asciiTheme="majorBidi" w:hAnsiTheme="majorBidi" w:cstheme="majorBidi"/>
          <w:color w:val="1B1C1D"/>
          <w:szCs w:val="20"/>
        </w:rPr>
        <w:t>khashab</w:t>
      </w:r>
      <w:proofErr w:type="spellEnd"/>
      <w:r w:rsidRPr="00DB0715">
        <w:rPr>
          <w:rFonts w:asciiTheme="majorBidi" w:hAnsiTheme="majorBidi" w:cstheme="majorBidi"/>
          <w:color w:val="1B1C1D"/>
          <w:szCs w:val="20"/>
        </w:rPr>
        <w:t xml:space="preserve">, "Epidemiological study of Cryptosporidium parvum parasite in some districts of Nineveh province, with </w:t>
      </w:r>
      <w:proofErr w:type="gramStart"/>
      <w:r w:rsidRPr="00DB0715">
        <w:rPr>
          <w:rFonts w:asciiTheme="majorBidi" w:hAnsiTheme="majorBidi" w:cstheme="majorBidi"/>
          <w:color w:val="1B1C1D"/>
          <w:szCs w:val="20"/>
        </w:rPr>
        <w:t>referring</w:t>
      </w:r>
      <w:proofErr w:type="gramEnd"/>
      <w:r w:rsidRPr="00DB0715">
        <w:rPr>
          <w:rFonts w:asciiTheme="majorBidi" w:hAnsiTheme="majorBidi" w:cstheme="majorBidi"/>
          <w:color w:val="1B1C1D"/>
          <w:szCs w:val="20"/>
        </w:rPr>
        <w:t xml:space="preserve"> to histopathological effects in lab mice," College of Basic Education Research Journal, 17(4), pp. 1023-1048, 2021.</w:t>
      </w:r>
    </w:p>
    <w:p w14:paraId="4B7724A0"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T. </w:t>
      </w:r>
      <w:proofErr w:type="spellStart"/>
      <w:r w:rsidRPr="00DB0715">
        <w:rPr>
          <w:rFonts w:asciiTheme="majorBidi" w:hAnsiTheme="majorBidi" w:cstheme="majorBidi"/>
          <w:color w:val="1B1C1D"/>
          <w:szCs w:val="20"/>
        </w:rPr>
        <w:t>Hailegebriel</w:t>
      </w:r>
      <w:proofErr w:type="spellEnd"/>
      <w:r w:rsidRPr="00DB0715">
        <w:rPr>
          <w:rFonts w:asciiTheme="majorBidi" w:hAnsiTheme="majorBidi" w:cstheme="majorBidi"/>
          <w:color w:val="1B1C1D"/>
          <w:szCs w:val="20"/>
        </w:rPr>
        <w:t>, "Prevalence of intestinal parasitic infections and associated risk factors among students at Dona Berber primary school, Bahir Dar, Ethiopia," BMC Infectious Diseases, 17(1), p. 362, 2017.</w:t>
      </w:r>
    </w:p>
    <w:p w14:paraId="34C4ED82"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N. K. Oanh, B. K. Na, &amp; W. G. Yoo, "The potential breakthroughs with ChatGPT in parasitology," Iranian Journal of Parasitology, 18(2), pp. 275-278, 2023.</w:t>
      </w:r>
    </w:p>
    <w:p w14:paraId="01D876D6"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W. Gatei, C. N. </w:t>
      </w:r>
      <w:proofErr w:type="spellStart"/>
      <w:r w:rsidRPr="00DB0715">
        <w:rPr>
          <w:rFonts w:asciiTheme="majorBidi" w:hAnsiTheme="majorBidi" w:cstheme="majorBidi"/>
          <w:color w:val="1B1C1D"/>
          <w:szCs w:val="20"/>
        </w:rPr>
        <w:t>Wamae</w:t>
      </w:r>
      <w:proofErr w:type="spellEnd"/>
      <w:r w:rsidRPr="00DB0715">
        <w:rPr>
          <w:rFonts w:asciiTheme="majorBidi" w:hAnsiTheme="majorBidi" w:cstheme="majorBidi"/>
          <w:color w:val="1B1C1D"/>
          <w:szCs w:val="20"/>
        </w:rPr>
        <w:t xml:space="preserve">, C. Mbae, A. </w:t>
      </w:r>
      <w:proofErr w:type="spellStart"/>
      <w:r w:rsidRPr="00DB0715">
        <w:rPr>
          <w:rFonts w:asciiTheme="majorBidi" w:hAnsiTheme="majorBidi" w:cstheme="majorBidi"/>
          <w:color w:val="1B1C1D"/>
          <w:szCs w:val="20"/>
        </w:rPr>
        <w:t>Waruru</w:t>
      </w:r>
      <w:proofErr w:type="spellEnd"/>
      <w:r w:rsidRPr="00DB0715">
        <w:rPr>
          <w:rFonts w:asciiTheme="majorBidi" w:hAnsiTheme="majorBidi" w:cstheme="majorBidi"/>
          <w:color w:val="1B1C1D"/>
          <w:szCs w:val="20"/>
        </w:rPr>
        <w:t xml:space="preserve">, E. Mulinge, T. Waithera, S. M. </w:t>
      </w:r>
      <w:proofErr w:type="spellStart"/>
      <w:r w:rsidRPr="00DB0715">
        <w:rPr>
          <w:rFonts w:asciiTheme="majorBidi" w:hAnsiTheme="majorBidi" w:cstheme="majorBidi"/>
          <w:color w:val="1B1C1D"/>
          <w:szCs w:val="20"/>
        </w:rPr>
        <w:t>Gatika</w:t>
      </w:r>
      <w:proofErr w:type="spellEnd"/>
      <w:r w:rsidRPr="00DB0715">
        <w:rPr>
          <w:rFonts w:asciiTheme="majorBidi" w:hAnsiTheme="majorBidi" w:cstheme="majorBidi"/>
          <w:color w:val="1B1C1D"/>
          <w:szCs w:val="20"/>
        </w:rPr>
        <w:t xml:space="preserve">, S. K. </w:t>
      </w:r>
      <w:proofErr w:type="spellStart"/>
      <w:r w:rsidRPr="00DB0715">
        <w:rPr>
          <w:rFonts w:asciiTheme="majorBidi" w:hAnsiTheme="majorBidi" w:cstheme="majorBidi"/>
          <w:color w:val="1B1C1D"/>
          <w:szCs w:val="20"/>
        </w:rPr>
        <w:t>Kamwati</w:t>
      </w:r>
      <w:proofErr w:type="spellEnd"/>
      <w:r w:rsidRPr="00DB0715">
        <w:rPr>
          <w:rFonts w:asciiTheme="majorBidi" w:hAnsiTheme="majorBidi" w:cstheme="majorBidi"/>
          <w:color w:val="1B1C1D"/>
          <w:szCs w:val="20"/>
        </w:rPr>
        <w:t xml:space="preserve">, G. Revathi, &amp; C. A. Hart, "Cryptosporidiosis: prevalence, Genotype Analysis, and Symptoms Associated </w:t>
      </w:r>
      <w:proofErr w:type="gramStart"/>
      <w:r w:rsidRPr="00DB0715">
        <w:rPr>
          <w:rFonts w:asciiTheme="majorBidi" w:hAnsiTheme="majorBidi" w:cstheme="majorBidi"/>
          <w:color w:val="1B1C1D"/>
          <w:szCs w:val="20"/>
        </w:rPr>
        <w:t>With</w:t>
      </w:r>
      <w:proofErr w:type="gramEnd"/>
      <w:r w:rsidRPr="00DB0715">
        <w:rPr>
          <w:rFonts w:asciiTheme="majorBidi" w:hAnsiTheme="majorBidi" w:cstheme="majorBidi"/>
          <w:color w:val="1B1C1D"/>
          <w:szCs w:val="20"/>
        </w:rPr>
        <w:t xml:space="preserve"> Infection in Children in Kenya," American Journal of Tropical Medicine and Hygiene, 75(1), pp. 78-82, 2006.</w:t>
      </w:r>
    </w:p>
    <w:p w14:paraId="6853A4B7"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lastRenderedPageBreak/>
        <w:t>A. N. M. Al-</w:t>
      </w:r>
      <w:proofErr w:type="spellStart"/>
      <w:r w:rsidRPr="00DB0715">
        <w:rPr>
          <w:rFonts w:asciiTheme="majorBidi" w:hAnsiTheme="majorBidi" w:cstheme="majorBidi"/>
          <w:color w:val="1B1C1D"/>
          <w:szCs w:val="20"/>
        </w:rPr>
        <w:t>Baldawy</w:t>
      </w:r>
      <w:proofErr w:type="spellEnd"/>
      <w:r w:rsidRPr="00DB0715">
        <w:rPr>
          <w:rFonts w:asciiTheme="majorBidi" w:hAnsiTheme="majorBidi" w:cstheme="majorBidi"/>
          <w:color w:val="1B1C1D"/>
          <w:szCs w:val="20"/>
        </w:rPr>
        <w:t>, "Microscopic and Molecular Detection of cryptosporidium species in children with persistent Diarrhea in Al-Najaf province," M.SC. thesis, College of Medicine, University of Kufa, 2017, pp. 80-87.</w:t>
      </w:r>
    </w:p>
    <w:p w14:paraId="6BE2EA6E"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H. K. Al-Masoudi, &amp; O. A. M. Dahash, "Molecular Detection of Cryptosporidium parvum by Specific Gene (Heat Shock Protein) in Children at Babylon Center," Medical Journal of Babylon, 22(2), pp. 412-417, 2025. </w:t>
      </w:r>
      <w:proofErr w:type="spellStart"/>
      <w:r w:rsidRPr="00DB0715">
        <w:rPr>
          <w:rFonts w:asciiTheme="majorBidi" w:hAnsiTheme="majorBidi" w:cstheme="majorBidi"/>
          <w:color w:val="1B1C1D"/>
          <w:szCs w:val="20"/>
        </w:rPr>
        <w:t>doi</w:t>
      </w:r>
      <w:proofErr w:type="spellEnd"/>
      <w:r w:rsidRPr="00DB0715">
        <w:rPr>
          <w:rFonts w:asciiTheme="majorBidi" w:hAnsiTheme="majorBidi" w:cstheme="majorBidi"/>
          <w:color w:val="1B1C1D"/>
          <w:szCs w:val="20"/>
        </w:rPr>
        <w:t>: 10.4103/MJBL.MJBL 1118 23.</w:t>
      </w:r>
    </w:p>
    <w:p w14:paraId="7B4868A8"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F. Özkan, &amp; A. </w:t>
      </w:r>
      <w:proofErr w:type="spellStart"/>
      <w:r w:rsidRPr="00DB0715">
        <w:rPr>
          <w:rFonts w:asciiTheme="majorBidi" w:hAnsiTheme="majorBidi" w:cstheme="majorBidi"/>
          <w:color w:val="1B1C1D"/>
          <w:szCs w:val="20"/>
        </w:rPr>
        <w:t>İça</w:t>
      </w:r>
      <w:proofErr w:type="spellEnd"/>
      <w:r w:rsidRPr="00DB0715">
        <w:rPr>
          <w:rFonts w:asciiTheme="majorBidi" w:hAnsiTheme="majorBidi" w:cstheme="majorBidi"/>
          <w:color w:val="1B1C1D"/>
          <w:szCs w:val="20"/>
        </w:rPr>
        <w:t xml:space="preserve">, "Molecular Diagnosis and Typing of Cryptosporidium spp. Species in Human Stools with Diarrhea," Turkish Journal of Parasitology, 48(3), pp. 184-190, 2024. </w:t>
      </w:r>
      <w:proofErr w:type="spellStart"/>
      <w:r w:rsidRPr="00DB0715">
        <w:rPr>
          <w:rFonts w:asciiTheme="majorBidi" w:hAnsiTheme="majorBidi" w:cstheme="majorBidi"/>
          <w:color w:val="1B1C1D"/>
          <w:szCs w:val="20"/>
        </w:rPr>
        <w:t>doi</w:t>
      </w:r>
      <w:proofErr w:type="spellEnd"/>
      <w:r w:rsidRPr="00DB0715">
        <w:rPr>
          <w:rFonts w:asciiTheme="majorBidi" w:hAnsiTheme="majorBidi" w:cstheme="majorBidi"/>
          <w:color w:val="1B1C1D"/>
          <w:szCs w:val="20"/>
        </w:rPr>
        <w:t>: 10.4274/tpd.galenos.2024.60392.</w:t>
      </w:r>
    </w:p>
    <w:p w14:paraId="23E3E80C"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J. I. Boulter-Bitzer, H. Lee, &amp; J. T. </w:t>
      </w:r>
      <w:proofErr w:type="spellStart"/>
      <w:r w:rsidRPr="00DB0715">
        <w:rPr>
          <w:rFonts w:asciiTheme="majorBidi" w:hAnsiTheme="majorBidi" w:cstheme="majorBidi"/>
          <w:color w:val="1B1C1D"/>
          <w:szCs w:val="20"/>
        </w:rPr>
        <w:t>Trevors</w:t>
      </w:r>
      <w:proofErr w:type="spellEnd"/>
      <w:r w:rsidRPr="00DB0715">
        <w:rPr>
          <w:rFonts w:asciiTheme="majorBidi" w:hAnsiTheme="majorBidi" w:cstheme="majorBidi"/>
          <w:color w:val="1B1C1D"/>
          <w:szCs w:val="20"/>
        </w:rPr>
        <w:t>, "Molecular targets for detection and immunotherapy in Cryptosporidium parvum," Biotechnology Advances, 25(1), pp. 13-44, 2007.</w:t>
      </w:r>
    </w:p>
    <w:p w14:paraId="7949E74D"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R. G. </w:t>
      </w:r>
      <w:proofErr w:type="spellStart"/>
      <w:r w:rsidRPr="00DB0715">
        <w:rPr>
          <w:rFonts w:asciiTheme="majorBidi" w:hAnsiTheme="majorBidi" w:cstheme="majorBidi"/>
          <w:color w:val="1B1C1D"/>
          <w:szCs w:val="20"/>
        </w:rPr>
        <w:t>Mahmudunnabi</w:t>
      </w:r>
      <w:proofErr w:type="spellEnd"/>
      <w:r w:rsidRPr="00DB0715">
        <w:rPr>
          <w:rFonts w:asciiTheme="majorBidi" w:hAnsiTheme="majorBidi" w:cstheme="majorBidi"/>
          <w:color w:val="1B1C1D"/>
          <w:szCs w:val="20"/>
        </w:rPr>
        <w:t xml:space="preserve">, S. </w:t>
      </w:r>
      <w:proofErr w:type="spellStart"/>
      <w:r w:rsidRPr="00DB0715">
        <w:rPr>
          <w:rFonts w:asciiTheme="majorBidi" w:hAnsiTheme="majorBidi" w:cstheme="majorBidi"/>
          <w:color w:val="1B1C1D"/>
          <w:szCs w:val="20"/>
        </w:rPr>
        <w:t>Kasetsirikul</w:t>
      </w:r>
      <w:proofErr w:type="spellEnd"/>
      <w:r w:rsidRPr="00DB0715">
        <w:rPr>
          <w:rFonts w:asciiTheme="majorBidi" w:hAnsiTheme="majorBidi" w:cstheme="majorBidi"/>
          <w:color w:val="1B1C1D"/>
          <w:szCs w:val="20"/>
        </w:rPr>
        <w:t>, N. Soda, M. Sallam, A. S. Pannu, N. T. Nguyen, et al., "Critical evaluation of current isolation, detection, and genotyping methods of Cryptosporidium species and future direction," Environmental Science: Water Research &amp; Technology, 10(7), pp. 1527-1551, 2024.</w:t>
      </w:r>
    </w:p>
    <w:p w14:paraId="233B7819"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L. </w:t>
      </w:r>
      <w:proofErr w:type="spellStart"/>
      <w:r w:rsidRPr="00DB0715">
        <w:rPr>
          <w:rFonts w:asciiTheme="majorBidi" w:hAnsiTheme="majorBidi" w:cstheme="majorBidi"/>
          <w:color w:val="1B1C1D"/>
          <w:szCs w:val="20"/>
        </w:rPr>
        <w:t>Putignani</w:t>
      </w:r>
      <w:proofErr w:type="spellEnd"/>
      <w:r w:rsidRPr="00DB0715">
        <w:rPr>
          <w:rFonts w:asciiTheme="majorBidi" w:hAnsiTheme="majorBidi" w:cstheme="majorBidi"/>
          <w:color w:val="1B1C1D"/>
          <w:szCs w:val="20"/>
        </w:rPr>
        <w:t xml:space="preserve">, &amp; D. </w:t>
      </w:r>
      <w:proofErr w:type="spellStart"/>
      <w:r w:rsidRPr="00DB0715">
        <w:rPr>
          <w:rFonts w:asciiTheme="majorBidi" w:hAnsiTheme="majorBidi" w:cstheme="majorBidi"/>
          <w:color w:val="1B1C1D"/>
          <w:szCs w:val="20"/>
        </w:rPr>
        <w:t>Menichella</w:t>
      </w:r>
      <w:proofErr w:type="spellEnd"/>
      <w:r w:rsidRPr="00DB0715">
        <w:rPr>
          <w:rFonts w:asciiTheme="majorBidi" w:hAnsiTheme="majorBidi" w:cstheme="majorBidi"/>
          <w:color w:val="1B1C1D"/>
          <w:szCs w:val="20"/>
        </w:rPr>
        <w:t>, "Global distribution, public health and clinical impact of the protozoan pathogen Cryptosporidium," Interdisciplinary Perspectives on Infectious Diseases, 2010(1), p. 753512, 2010.</w:t>
      </w:r>
    </w:p>
    <w:p w14:paraId="3B7B2BFA" w14:textId="77777777" w:rsidR="00CF6258" w:rsidRPr="00DB0715" w:rsidRDefault="00CF6258" w:rsidP="005733F1">
      <w:pPr>
        <w:numPr>
          <w:ilvl w:val="0"/>
          <w:numId w:val="18"/>
        </w:numPr>
        <w:spacing w:after="0" w:line="240" w:lineRule="auto"/>
        <w:ind w:left="360"/>
        <w:jc w:val="both"/>
        <w:rPr>
          <w:rFonts w:asciiTheme="majorBidi" w:hAnsiTheme="majorBidi" w:cstheme="majorBidi"/>
          <w:color w:val="1B1C1D"/>
          <w:szCs w:val="20"/>
        </w:rPr>
      </w:pPr>
      <w:r w:rsidRPr="00DB0715">
        <w:rPr>
          <w:rFonts w:asciiTheme="majorBidi" w:hAnsiTheme="majorBidi" w:cstheme="majorBidi"/>
          <w:color w:val="1B1C1D"/>
          <w:szCs w:val="20"/>
        </w:rPr>
        <w:t xml:space="preserve">M. Katiyar, S. Padukone, R. Gulati, &amp; R. Singh, "A multiplex PCR assay for the detection of Cryptosporidium species and simultaneous differentiation of Cryptosporidium hominis, Cryptosporidium parvum in clinical stool samples," </w:t>
      </w:r>
      <w:proofErr w:type="spellStart"/>
      <w:proofErr w:type="gramStart"/>
      <w:r w:rsidRPr="00DB0715">
        <w:rPr>
          <w:rFonts w:asciiTheme="majorBidi" w:hAnsiTheme="majorBidi" w:cstheme="majorBidi"/>
          <w:color w:val="1B1C1D"/>
          <w:szCs w:val="20"/>
        </w:rPr>
        <w:t>bioRxiv</w:t>
      </w:r>
      <w:proofErr w:type="spellEnd"/>
      <w:r w:rsidRPr="00DB0715">
        <w:rPr>
          <w:rFonts w:asciiTheme="majorBidi" w:hAnsiTheme="majorBidi" w:cstheme="majorBidi"/>
          <w:color w:val="1B1C1D"/>
          <w:szCs w:val="20"/>
        </w:rPr>
        <w:t>, 2023-03</w:t>
      </w:r>
      <w:proofErr w:type="gramEnd"/>
      <w:r w:rsidRPr="00DB0715">
        <w:rPr>
          <w:rFonts w:asciiTheme="majorBidi" w:hAnsiTheme="majorBidi" w:cstheme="majorBidi"/>
          <w:color w:val="1B1C1D"/>
          <w:szCs w:val="20"/>
        </w:rPr>
        <w:t>, 2023.</w:t>
      </w:r>
    </w:p>
    <w:p w14:paraId="7101B552" w14:textId="60C2DCDB" w:rsidR="009E20E3" w:rsidRPr="00DB0715" w:rsidRDefault="009E20E3" w:rsidP="00152421">
      <w:pPr>
        <w:spacing w:before="100" w:beforeAutospacing="1" w:after="100" w:afterAutospacing="1" w:line="240" w:lineRule="auto"/>
        <w:jc w:val="both"/>
        <w:rPr>
          <w:rFonts w:asciiTheme="majorBidi" w:hAnsiTheme="majorBidi" w:cstheme="majorBidi"/>
          <w:szCs w:val="20"/>
        </w:rPr>
      </w:pPr>
    </w:p>
    <w:sectPr w:rsidR="009E20E3" w:rsidRPr="00DB0715" w:rsidSect="00EE15A2">
      <w:headerReference w:type="even" r:id="rId13"/>
      <w:headerReference w:type="default" r:id="rId14"/>
      <w:footerReference w:type="even" r:id="rId15"/>
      <w:footerReference w:type="default" r:id="rId16"/>
      <w:headerReference w:type="first" r:id="rId17"/>
      <w:footerReference w:type="first" r:id="rId18"/>
      <w:pgSz w:w="12240" w:h="15840"/>
      <w:pgMar w:top="1296" w:right="1584" w:bottom="1296"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9812A" w14:textId="77777777" w:rsidR="00CE4BE6" w:rsidRDefault="00CE4BE6" w:rsidP="00957EAD">
      <w:pPr>
        <w:spacing w:after="0" w:line="240" w:lineRule="auto"/>
      </w:pPr>
      <w:r>
        <w:separator/>
      </w:r>
    </w:p>
  </w:endnote>
  <w:endnote w:type="continuationSeparator" w:id="0">
    <w:p w14:paraId="3A635107" w14:textId="77777777" w:rsidR="00CE4BE6" w:rsidRDefault="00CE4BE6" w:rsidP="009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F240A" w14:textId="77777777" w:rsidR="00865A90" w:rsidRDefault="00865A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233235"/>
      <w:docPartObj>
        <w:docPartGallery w:val="Page Numbers (Bottom of Page)"/>
        <w:docPartUnique/>
      </w:docPartObj>
    </w:sdtPr>
    <w:sdtContent>
      <w:p w14:paraId="1378049F" w14:textId="1FBC49B7" w:rsidR="00957EAD" w:rsidRDefault="00000000" w:rsidP="00957EAD">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8C20" w14:textId="77777777" w:rsidR="00865A90" w:rsidRDefault="00865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02B4B" w14:textId="77777777" w:rsidR="00CE4BE6" w:rsidRDefault="00CE4BE6" w:rsidP="00957EAD">
      <w:pPr>
        <w:spacing w:after="0" w:line="240" w:lineRule="auto"/>
      </w:pPr>
      <w:r>
        <w:separator/>
      </w:r>
    </w:p>
  </w:footnote>
  <w:footnote w:type="continuationSeparator" w:id="0">
    <w:p w14:paraId="1706F2F6" w14:textId="77777777" w:rsidR="00CE4BE6" w:rsidRDefault="00CE4BE6" w:rsidP="00957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2872" w14:textId="77777777" w:rsidR="00865A90" w:rsidRDefault="00865A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4287" w14:textId="77777777" w:rsidR="00865A90" w:rsidRDefault="00865A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C692" w14:textId="77777777" w:rsidR="00865A90" w:rsidRDefault="00865A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E4670B"/>
    <w:multiLevelType w:val="multilevel"/>
    <w:tmpl w:val="B116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4A3D94"/>
    <w:multiLevelType w:val="hybridMultilevel"/>
    <w:tmpl w:val="35B00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B86AAE"/>
    <w:multiLevelType w:val="multilevel"/>
    <w:tmpl w:val="E8CC6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C71C23"/>
    <w:multiLevelType w:val="multilevel"/>
    <w:tmpl w:val="672EA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596B1D"/>
    <w:multiLevelType w:val="multilevel"/>
    <w:tmpl w:val="0F28B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FA55E9"/>
    <w:multiLevelType w:val="hybridMultilevel"/>
    <w:tmpl w:val="FD94A0A8"/>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FEB58F5"/>
    <w:multiLevelType w:val="multilevel"/>
    <w:tmpl w:val="EAE05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EC30F2"/>
    <w:multiLevelType w:val="hybridMultilevel"/>
    <w:tmpl w:val="F850B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A402E58"/>
    <w:multiLevelType w:val="multilevel"/>
    <w:tmpl w:val="43B4A3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926839578">
    <w:abstractNumId w:val="8"/>
  </w:num>
  <w:num w:numId="2" w16cid:durableId="792594934">
    <w:abstractNumId w:val="6"/>
  </w:num>
  <w:num w:numId="3" w16cid:durableId="520096902">
    <w:abstractNumId w:val="5"/>
  </w:num>
  <w:num w:numId="4" w16cid:durableId="55249888">
    <w:abstractNumId w:val="4"/>
  </w:num>
  <w:num w:numId="5" w16cid:durableId="793862099">
    <w:abstractNumId w:val="7"/>
  </w:num>
  <w:num w:numId="6" w16cid:durableId="2104376713">
    <w:abstractNumId w:val="3"/>
  </w:num>
  <w:num w:numId="7" w16cid:durableId="1841971011">
    <w:abstractNumId w:val="2"/>
  </w:num>
  <w:num w:numId="8" w16cid:durableId="903641279">
    <w:abstractNumId w:val="1"/>
  </w:num>
  <w:num w:numId="9" w16cid:durableId="1753432808">
    <w:abstractNumId w:val="0"/>
  </w:num>
  <w:num w:numId="10" w16cid:durableId="223373469">
    <w:abstractNumId w:val="14"/>
  </w:num>
  <w:num w:numId="11" w16cid:durableId="1086270558">
    <w:abstractNumId w:val="9"/>
  </w:num>
  <w:num w:numId="12" w16cid:durableId="3408980">
    <w:abstractNumId w:val="12"/>
  </w:num>
  <w:num w:numId="13" w16cid:durableId="1586183694">
    <w:abstractNumId w:val="13"/>
  </w:num>
  <w:num w:numId="14" w16cid:durableId="1214998220">
    <w:abstractNumId w:val="10"/>
  </w:num>
  <w:num w:numId="15" w16cid:durableId="774712156">
    <w:abstractNumId w:val="16"/>
  </w:num>
  <w:num w:numId="16" w16cid:durableId="327709240">
    <w:abstractNumId w:val="17"/>
  </w:num>
  <w:num w:numId="17" w16cid:durableId="899361745">
    <w:abstractNumId w:val="11"/>
  </w:num>
  <w:num w:numId="18" w16cid:durableId="20196500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2318"/>
    <w:rsid w:val="00021024"/>
    <w:rsid w:val="00034616"/>
    <w:rsid w:val="00040D3D"/>
    <w:rsid w:val="00056BEC"/>
    <w:rsid w:val="0006063C"/>
    <w:rsid w:val="000658C2"/>
    <w:rsid w:val="00071F78"/>
    <w:rsid w:val="00084323"/>
    <w:rsid w:val="00092CF8"/>
    <w:rsid w:val="000953A4"/>
    <w:rsid w:val="000A4963"/>
    <w:rsid w:val="000D307D"/>
    <w:rsid w:val="000D487A"/>
    <w:rsid w:val="000D5594"/>
    <w:rsid w:val="000D5E66"/>
    <w:rsid w:val="000E53CC"/>
    <w:rsid w:val="000E634D"/>
    <w:rsid w:val="0011243B"/>
    <w:rsid w:val="0012573B"/>
    <w:rsid w:val="00125FF2"/>
    <w:rsid w:val="001458C6"/>
    <w:rsid w:val="0015074B"/>
    <w:rsid w:val="00152421"/>
    <w:rsid w:val="00154825"/>
    <w:rsid w:val="00174DF8"/>
    <w:rsid w:val="00176A92"/>
    <w:rsid w:val="00184369"/>
    <w:rsid w:val="001966E4"/>
    <w:rsid w:val="001A5265"/>
    <w:rsid w:val="001C09A3"/>
    <w:rsid w:val="001C0FC8"/>
    <w:rsid w:val="001C3781"/>
    <w:rsid w:val="001E3020"/>
    <w:rsid w:val="00202DA2"/>
    <w:rsid w:val="00224152"/>
    <w:rsid w:val="0022637B"/>
    <w:rsid w:val="00241E0F"/>
    <w:rsid w:val="00247AFE"/>
    <w:rsid w:val="00256B79"/>
    <w:rsid w:val="00264DE2"/>
    <w:rsid w:val="00274412"/>
    <w:rsid w:val="0028030B"/>
    <w:rsid w:val="002902BA"/>
    <w:rsid w:val="0029639D"/>
    <w:rsid w:val="002A0652"/>
    <w:rsid w:val="002A739F"/>
    <w:rsid w:val="002A7D5E"/>
    <w:rsid w:val="002B128A"/>
    <w:rsid w:val="002D125E"/>
    <w:rsid w:val="002E1202"/>
    <w:rsid w:val="002E1482"/>
    <w:rsid w:val="002E1748"/>
    <w:rsid w:val="002F1E53"/>
    <w:rsid w:val="00304682"/>
    <w:rsid w:val="0030573C"/>
    <w:rsid w:val="0031271C"/>
    <w:rsid w:val="00326F90"/>
    <w:rsid w:val="00346577"/>
    <w:rsid w:val="00360101"/>
    <w:rsid w:val="003630AC"/>
    <w:rsid w:val="00363F25"/>
    <w:rsid w:val="00366A88"/>
    <w:rsid w:val="00367665"/>
    <w:rsid w:val="00377E89"/>
    <w:rsid w:val="00384115"/>
    <w:rsid w:val="00384478"/>
    <w:rsid w:val="003859ED"/>
    <w:rsid w:val="003A37F5"/>
    <w:rsid w:val="003F649D"/>
    <w:rsid w:val="00400CE3"/>
    <w:rsid w:val="00406FD7"/>
    <w:rsid w:val="00411561"/>
    <w:rsid w:val="00416B9B"/>
    <w:rsid w:val="0042556F"/>
    <w:rsid w:val="004352BE"/>
    <w:rsid w:val="004354AE"/>
    <w:rsid w:val="004429D9"/>
    <w:rsid w:val="00444C69"/>
    <w:rsid w:val="004461B8"/>
    <w:rsid w:val="004601EF"/>
    <w:rsid w:val="00477022"/>
    <w:rsid w:val="004903D6"/>
    <w:rsid w:val="004B4FF4"/>
    <w:rsid w:val="004C5F30"/>
    <w:rsid w:val="004E0B2C"/>
    <w:rsid w:val="005152BD"/>
    <w:rsid w:val="00517DEC"/>
    <w:rsid w:val="0052733D"/>
    <w:rsid w:val="00560033"/>
    <w:rsid w:val="00562295"/>
    <w:rsid w:val="0057331E"/>
    <w:rsid w:val="005733F1"/>
    <w:rsid w:val="00594A6B"/>
    <w:rsid w:val="005C6643"/>
    <w:rsid w:val="005D6AAB"/>
    <w:rsid w:val="005E3946"/>
    <w:rsid w:val="005F6235"/>
    <w:rsid w:val="00615D26"/>
    <w:rsid w:val="00621355"/>
    <w:rsid w:val="006342DE"/>
    <w:rsid w:val="00636DEA"/>
    <w:rsid w:val="0064206C"/>
    <w:rsid w:val="00642F3A"/>
    <w:rsid w:val="00644F27"/>
    <w:rsid w:val="00645107"/>
    <w:rsid w:val="00652552"/>
    <w:rsid w:val="006538FD"/>
    <w:rsid w:val="00661AF6"/>
    <w:rsid w:val="00662364"/>
    <w:rsid w:val="00677572"/>
    <w:rsid w:val="006817DC"/>
    <w:rsid w:val="006A0E20"/>
    <w:rsid w:val="006A0F0B"/>
    <w:rsid w:val="006A6F6A"/>
    <w:rsid w:val="006B4F57"/>
    <w:rsid w:val="006B6AF2"/>
    <w:rsid w:val="006C2E7E"/>
    <w:rsid w:val="006D773E"/>
    <w:rsid w:val="006E1378"/>
    <w:rsid w:val="006E2B53"/>
    <w:rsid w:val="006F4B06"/>
    <w:rsid w:val="00716A8B"/>
    <w:rsid w:val="007226A2"/>
    <w:rsid w:val="00723253"/>
    <w:rsid w:val="00723A5A"/>
    <w:rsid w:val="00742825"/>
    <w:rsid w:val="007755F1"/>
    <w:rsid w:val="00775D0D"/>
    <w:rsid w:val="007A7442"/>
    <w:rsid w:val="007B536E"/>
    <w:rsid w:val="007D4DAC"/>
    <w:rsid w:val="0080471A"/>
    <w:rsid w:val="00813DDC"/>
    <w:rsid w:val="00820881"/>
    <w:rsid w:val="0082636C"/>
    <w:rsid w:val="00833575"/>
    <w:rsid w:val="0085540D"/>
    <w:rsid w:val="00865A90"/>
    <w:rsid w:val="00870025"/>
    <w:rsid w:val="00870605"/>
    <w:rsid w:val="00886EAA"/>
    <w:rsid w:val="00887EA4"/>
    <w:rsid w:val="008A3EEB"/>
    <w:rsid w:val="008A7C60"/>
    <w:rsid w:val="008C339D"/>
    <w:rsid w:val="008D7AE6"/>
    <w:rsid w:val="008E1E03"/>
    <w:rsid w:val="008E36B6"/>
    <w:rsid w:val="008E7D3E"/>
    <w:rsid w:val="008F6DF1"/>
    <w:rsid w:val="00900AB4"/>
    <w:rsid w:val="00921B17"/>
    <w:rsid w:val="00926847"/>
    <w:rsid w:val="0093082C"/>
    <w:rsid w:val="00936B13"/>
    <w:rsid w:val="00957EAD"/>
    <w:rsid w:val="009736BA"/>
    <w:rsid w:val="00986558"/>
    <w:rsid w:val="00992480"/>
    <w:rsid w:val="00995665"/>
    <w:rsid w:val="009A4FAB"/>
    <w:rsid w:val="009B39B0"/>
    <w:rsid w:val="009E20E3"/>
    <w:rsid w:val="009E438F"/>
    <w:rsid w:val="009E5A2F"/>
    <w:rsid w:val="009F212F"/>
    <w:rsid w:val="009F31B5"/>
    <w:rsid w:val="00A17439"/>
    <w:rsid w:val="00A4785B"/>
    <w:rsid w:val="00A50A56"/>
    <w:rsid w:val="00A76139"/>
    <w:rsid w:val="00A93D71"/>
    <w:rsid w:val="00AA0E11"/>
    <w:rsid w:val="00AA1D8D"/>
    <w:rsid w:val="00AA665B"/>
    <w:rsid w:val="00AB1D3D"/>
    <w:rsid w:val="00AB46CC"/>
    <w:rsid w:val="00AC168D"/>
    <w:rsid w:val="00AC2FE6"/>
    <w:rsid w:val="00AC5AEC"/>
    <w:rsid w:val="00AC7F81"/>
    <w:rsid w:val="00AD7A45"/>
    <w:rsid w:val="00AE0311"/>
    <w:rsid w:val="00AE333D"/>
    <w:rsid w:val="00AE3F91"/>
    <w:rsid w:val="00AF5E45"/>
    <w:rsid w:val="00B00717"/>
    <w:rsid w:val="00B15B90"/>
    <w:rsid w:val="00B34E89"/>
    <w:rsid w:val="00B41096"/>
    <w:rsid w:val="00B4430A"/>
    <w:rsid w:val="00B4722A"/>
    <w:rsid w:val="00B47730"/>
    <w:rsid w:val="00B5190A"/>
    <w:rsid w:val="00B6762D"/>
    <w:rsid w:val="00B77A83"/>
    <w:rsid w:val="00B85AB6"/>
    <w:rsid w:val="00B91AC7"/>
    <w:rsid w:val="00B95E49"/>
    <w:rsid w:val="00BA20B7"/>
    <w:rsid w:val="00BA65FF"/>
    <w:rsid w:val="00BA6DCC"/>
    <w:rsid w:val="00BC12A0"/>
    <w:rsid w:val="00BC1DF1"/>
    <w:rsid w:val="00BD0F47"/>
    <w:rsid w:val="00BD5989"/>
    <w:rsid w:val="00BD7A00"/>
    <w:rsid w:val="00BE0CA8"/>
    <w:rsid w:val="00BF398B"/>
    <w:rsid w:val="00BF7178"/>
    <w:rsid w:val="00C0146B"/>
    <w:rsid w:val="00C01E3D"/>
    <w:rsid w:val="00C043DE"/>
    <w:rsid w:val="00C10856"/>
    <w:rsid w:val="00C234FC"/>
    <w:rsid w:val="00C54173"/>
    <w:rsid w:val="00C654BD"/>
    <w:rsid w:val="00C86823"/>
    <w:rsid w:val="00C91927"/>
    <w:rsid w:val="00C94C92"/>
    <w:rsid w:val="00CB0664"/>
    <w:rsid w:val="00CC4FFE"/>
    <w:rsid w:val="00CD1BD7"/>
    <w:rsid w:val="00CD606E"/>
    <w:rsid w:val="00CE4BA9"/>
    <w:rsid w:val="00CE4BE6"/>
    <w:rsid w:val="00CF6258"/>
    <w:rsid w:val="00CF7B5D"/>
    <w:rsid w:val="00D1187F"/>
    <w:rsid w:val="00D2172C"/>
    <w:rsid w:val="00D27B3B"/>
    <w:rsid w:val="00D27CF5"/>
    <w:rsid w:val="00D27E39"/>
    <w:rsid w:val="00D30587"/>
    <w:rsid w:val="00D54D55"/>
    <w:rsid w:val="00D56A09"/>
    <w:rsid w:val="00D85A5B"/>
    <w:rsid w:val="00D91CAD"/>
    <w:rsid w:val="00DA4814"/>
    <w:rsid w:val="00DB0715"/>
    <w:rsid w:val="00DC6B45"/>
    <w:rsid w:val="00DF744A"/>
    <w:rsid w:val="00E003CB"/>
    <w:rsid w:val="00E3123E"/>
    <w:rsid w:val="00E44A8A"/>
    <w:rsid w:val="00E620D2"/>
    <w:rsid w:val="00E650CC"/>
    <w:rsid w:val="00E73473"/>
    <w:rsid w:val="00E74187"/>
    <w:rsid w:val="00E84C4E"/>
    <w:rsid w:val="00EA5C65"/>
    <w:rsid w:val="00EB0430"/>
    <w:rsid w:val="00EC0A9E"/>
    <w:rsid w:val="00EC3464"/>
    <w:rsid w:val="00EC3868"/>
    <w:rsid w:val="00EC3952"/>
    <w:rsid w:val="00EE15A2"/>
    <w:rsid w:val="00F0208B"/>
    <w:rsid w:val="00F10CB4"/>
    <w:rsid w:val="00F11089"/>
    <w:rsid w:val="00F14573"/>
    <w:rsid w:val="00F2318F"/>
    <w:rsid w:val="00F303FA"/>
    <w:rsid w:val="00F3218C"/>
    <w:rsid w:val="00F379FD"/>
    <w:rsid w:val="00F40761"/>
    <w:rsid w:val="00F44D8E"/>
    <w:rsid w:val="00F563F5"/>
    <w:rsid w:val="00F57559"/>
    <w:rsid w:val="00F57D4B"/>
    <w:rsid w:val="00F6071D"/>
    <w:rsid w:val="00F62AFC"/>
    <w:rsid w:val="00F6744C"/>
    <w:rsid w:val="00F8555D"/>
    <w:rsid w:val="00FB19C0"/>
    <w:rsid w:val="00FB373D"/>
    <w:rsid w:val="00FC4D51"/>
    <w:rsid w:val="00FC693F"/>
    <w:rsid w:val="00FD01AE"/>
    <w:rsid w:val="00FD2373"/>
    <w:rsid w:val="00FE1299"/>
    <w:rsid w:val="00FE4E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709E9E"/>
  <w14:defaultImageDpi w14:val="300"/>
  <w15:docId w15:val="{8C9652F6-8B55-461D-9DDF-D0D107EC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30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3C"/>
    <w:rPr>
      <w:rFonts w:ascii="Tahoma" w:eastAsia="Times New Roman" w:hAnsi="Tahoma" w:cs="Tahoma"/>
      <w:sz w:val="16"/>
      <w:szCs w:val="16"/>
    </w:rPr>
  </w:style>
  <w:style w:type="table" w:customStyle="1" w:styleId="3">
    <w:name w:val="شبكة جدول3"/>
    <w:basedOn w:val="TableNormal"/>
    <w:next w:val="TableGrid"/>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EAD"/>
    <w:rPr>
      <w:color w:val="0000FF" w:themeColor="hyperlink"/>
      <w:u w:val="single"/>
    </w:rPr>
  </w:style>
  <w:style w:type="paragraph" w:styleId="NormalWeb">
    <w:name w:val="Normal (Web)"/>
    <w:basedOn w:val="Normal"/>
    <w:uiPriority w:val="99"/>
    <w:semiHidden/>
    <w:unhideWhenUsed/>
    <w:rsid w:val="008C339D"/>
    <w:rPr>
      <w:rFonts w:cs="Times New Roman"/>
      <w:sz w:val="24"/>
      <w:szCs w:val="24"/>
    </w:rPr>
  </w:style>
  <w:style w:type="character" w:styleId="PlaceholderText">
    <w:name w:val="Placeholder Text"/>
    <w:basedOn w:val="DefaultParagraphFont"/>
    <w:uiPriority w:val="99"/>
    <w:semiHidden/>
    <w:rsid w:val="008C339D"/>
    <w:rPr>
      <w:color w:val="808080"/>
    </w:rPr>
  </w:style>
  <w:style w:type="table" w:customStyle="1" w:styleId="31">
    <w:name w:val="شبكة جدول31"/>
    <w:basedOn w:val="TableNormal"/>
    <w:next w:val="TableGrid"/>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A3EEB"/>
    <w:pPr>
      <w:spacing w:after="0" w:line="240" w:lineRule="auto"/>
    </w:pPr>
    <w:rPr>
      <w:rFonts w:asciiTheme="minorHAnsi" w:eastAsiaTheme="minorHAnsi" w:hAnsiTheme="minorHAnsi"/>
      <w:szCs w:val="20"/>
    </w:rPr>
  </w:style>
  <w:style w:type="character" w:customStyle="1" w:styleId="FootnoteTextChar">
    <w:name w:val="Footnote Text Char"/>
    <w:basedOn w:val="DefaultParagraphFont"/>
    <w:link w:val="FootnoteText"/>
    <w:uiPriority w:val="99"/>
    <w:semiHidden/>
    <w:rsid w:val="008A3EEB"/>
    <w:rPr>
      <w:rFonts w:eastAsiaTheme="minorHAnsi"/>
      <w:sz w:val="20"/>
      <w:szCs w:val="20"/>
    </w:rPr>
  </w:style>
  <w:style w:type="character" w:styleId="FootnoteReference">
    <w:name w:val="footnote reference"/>
    <w:basedOn w:val="DefaultParagraphFont"/>
    <w:uiPriority w:val="99"/>
    <w:semiHidden/>
    <w:unhideWhenUsed/>
    <w:rsid w:val="008A3E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21768">
      <w:bodyDiv w:val="1"/>
      <w:marLeft w:val="0"/>
      <w:marRight w:val="0"/>
      <w:marTop w:val="0"/>
      <w:marBottom w:val="0"/>
      <w:divBdr>
        <w:top w:val="none" w:sz="0" w:space="0" w:color="auto"/>
        <w:left w:val="none" w:sz="0" w:space="0" w:color="auto"/>
        <w:bottom w:val="none" w:sz="0" w:space="0" w:color="auto"/>
        <w:right w:val="none" w:sz="0" w:space="0" w:color="auto"/>
      </w:divBdr>
    </w:div>
    <w:div w:id="179855699">
      <w:bodyDiv w:val="1"/>
      <w:marLeft w:val="0"/>
      <w:marRight w:val="0"/>
      <w:marTop w:val="0"/>
      <w:marBottom w:val="0"/>
      <w:divBdr>
        <w:top w:val="none" w:sz="0" w:space="0" w:color="auto"/>
        <w:left w:val="none" w:sz="0" w:space="0" w:color="auto"/>
        <w:bottom w:val="none" w:sz="0" w:space="0" w:color="auto"/>
        <w:right w:val="none" w:sz="0" w:space="0" w:color="auto"/>
      </w:divBdr>
    </w:div>
    <w:div w:id="266037525">
      <w:bodyDiv w:val="1"/>
      <w:marLeft w:val="0"/>
      <w:marRight w:val="0"/>
      <w:marTop w:val="0"/>
      <w:marBottom w:val="0"/>
      <w:divBdr>
        <w:top w:val="none" w:sz="0" w:space="0" w:color="auto"/>
        <w:left w:val="none" w:sz="0" w:space="0" w:color="auto"/>
        <w:bottom w:val="none" w:sz="0" w:space="0" w:color="auto"/>
        <w:right w:val="none" w:sz="0" w:space="0" w:color="auto"/>
      </w:divBdr>
      <w:divsChild>
        <w:div w:id="1828092046">
          <w:marLeft w:val="0"/>
          <w:marRight w:val="0"/>
          <w:marTop w:val="0"/>
          <w:marBottom w:val="0"/>
          <w:divBdr>
            <w:top w:val="none" w:sz="0" w:space="0" w:color="auto"/>
            <w:left w:val="none" w:sz="0" w:space="0" w:color="auto"/>
            <w:bottom w:val="none" w:sz="0" w:space="0" w:color="auto"/>
            <w:right w:val="none" w:sz="0" w:space="0" w:color="auto"/>
          </w:divBdr>
          <w:divsChild>
            <w:div w:id="886333062">
              <w:marLeft w:val="0"/>
              <w:marRight w:val="0"/>
              <w:marTop w:val="0"/>
              <w:marBottom w:val="0"/>
              <w:divBdr>
                <w:top w:val="none" w:sz="0" w:space="0" w:color="auto"/>
                <w:left w:val="none" w:sz="0" w:space="0" w:color="auto"/>
                <w:bottom w:val="none" w:sz="0" w:space="0" w:color="auto"/>
                <w:right w:val="none" w:sz="0" w:space="0" w:color="auto"/>
              </w:divBdr>
              <w:divsChild>
                <w:div w:id="809830725">
                  <w:marLeft w:val="0"/>
                  <w:marRight w:val="0"/>
                  <w:marTop w:val="0"/>
                  <w:marBottom w:val="0"/>
                  <w:divBdr>
                    <w:top w:val="none" w:sz="0" w:space="0" w:color="auto"/>
                    <w:left w:val="none" w:sz="0" w:space="0" w:color="auto"/>
                    <w:bottom w:val="none" w:sz="0" w:space="0" w:color="auto"/>
                    <w:right w:val="none" w:sz="0" w:space="0" w:color="auto"/>
                  </w:divBdr>
                  <w:divsChild>
                    <w:div w:id="186254394">
                      <w:marLeft w:val="0"/>
                      <w:marRight w:val="0"/>
                      <w:marTop w:val="0"/>
                      <w:marBottom w:val="0"/>
                      <w:divBdr>
                        <w:top w:val="none" w:sz="0" w:space="0" w:color="auto"/>
                        <w:left w:val="none" w:sz="0" w:space="0" w:color="auto"/>
                        <w:bottom w:val="none" w:sz="0" w:space="0" w:color="auto"/>
                        <w:right w:val="none" w:sz="0" w:space="0" w:color="auto"/>
                      </w:divBdr>
                      <w:divsChild>
                        <w:div w:id="1954356616">
                          <w:marLeft w:val="0"/>
                          <w:marRight w:val="0"/>
                          <w:marTop w:val="0"/>
                          <w:marBottom w:val="0"/>
                          <w:divBdr>
                            <w:top w:val="none" w:sz="0" w:space="0" w:color="auto"/>
                            <w:left w:val="none" w:sz="0" w:space="0" w:color="auto"/>
                            <w:bottom w:val="none" w:sz="0" w:space="0" w:color="auto"/>
                            <w:right w:val="none" w:sz="0" w:space="0" w:color="auto"/>
                          </w:divBdr>
                          <w:divsChild>
                            <w:div w:id="4238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442171">
      <w:bodyDiv w:val="1"/>
      <w:marLeft w:val="0"/>
      <w:marRight w:val="0"/>
      <w:marTop w:val="0"/>
      <w:marBottom w:val="0"/>
      <w:divBdr>
        <w:top w:val="none" w:sz="0" w:space="0" w:color="auto"/>
        <w:left w:val="none" w:sz="0" w:space="0" w:color="auto"/>
        <w:bottom w:val="none" w:sz="0" w:space="0" w:color="auto"/>
        <w:right w:val="none" w:sz="0" w:space="0" w:color="auto"/>
      </w:divBdr>
    </w:div>
    <w:div w:id="315915401">
      <w:bodyDiv w:val="1"/>
      <w:marLeft w:val="0"/>
      <w:marRight w:val="0"/>
      <w:marTop w:val="0"/>
      <w:marBottom w:val="0"/>
      <w:divBdr>
        <w:top w:val="none" w:sz="0" w:space="0" w:color="auto"/>
        <w:left w:val="none" w:sz="0" w:space="0" w:color="auto"/>
        <w:bottom w:val="none" w:sz="0" w:space="0" w:color="auto"/>
        <w:right w:val="none" w:sz="0" w:space="0" w:color="auto"/>
      </w:divBdr>
    </w:div>
    <w:div w:id="347800051">
      <w:bodyDiv w:val="1"/>
      <w:marLeft w:val="0"/>
      <w:marRight w:val="0"/>
      <w:marTop w:val="0"/>
      <w:marBottom w:val="0"/>
      <w:divBdr>
        <w:top w:val="none" w:sz="0" w:space="0" w:color="auto"/>
        <w:left w:val="none" w:sz="0" w:space="0" w:color="auto"/>
        <w:bottom w:val="none" w:sz="0" w:space="0" w:color="auto"/>
        <w:right w:val="none" w:sz="0" w:space="0" w:color="auto"/>
      </w:divBdr>
    </w:div>
    <w:div w:id="354310689">
      <w:bodyDiv w:val="1"/>
      <w:marLeft w:val="0"/>
      <w:marRight w:val="0"/>
      <w:marTop w:val="0"/>
      <w:marBottom w:val="0"/>
      <w:divBdr>
        <w:top w:val="none" w:sz="0" w:space="0" w:color="auto"/>
        <w:left w:val="none" w:sz="0" w:space="0" w:color="auto"/>
        <w:bottom w:val="none" w:sz="0" w:space="0" w:color="auto"/>
        <w:right w:val="none" w:sz="0" w:space="0" w:color="auto"/>
      </w:divBdr>
    </w:div>
    <w:div w:id="380712220">
      <w:bodyDiv w:val="1"/>
      <w:marLeft w:val="0"/>
      <w:marRight w:val="0"/>
      <w:marTop w:val="0"/>
      <w:marBottom w:val="0"/>
      <w:divBdr>
        <w:top w:val="none" w:sz="0" w:space="0" w:color="auto"/>
        <w:left w:val="none" w:sz="0" w:space="0" w:color="auto"/>
        <w:bottom w:val="none" w:sz="0" w:space="0" w:color="auto"/>
        <w:right w:val="none" w:sz="0" w:space="0" w:color="auto"/>
      </w:divBdr>
    </w:div>
    <w:div w:id="391467193">
      <w:bodyDiv w:val="1"/>
      <w:marLeft w:val="0"/>
      <w:marRight w:val="0"/>
      <w:marTop w:val="0"/>
      <w:marBottom w:val="0"/>
      <w:divBdr>
        <w:top w:val="none" w:sz="0" w:space="0" w:color="auto"/>
        <w:left w:val="none" w:sz="0" w:space="0" w:color="auto"/>
        <w:bottom w:val="none" w:sz="0" w:space="0" w:color="auto"/>
        <w:right w:val="none" w:sz="0" w:space="0" w:color="auto"/>
      </w:divBdr>
    </w:div>
    <w:div w:id="435946186">
      <w:bodyDiv w:val="1"/>
      <w:marLeft w:val="0"/>
      <w:marRight w:val="0"/>
      <w:marTop w:val="0"/>
      <w:marBottom w:val="0"/>
      <w:divBdr>
        <w:top w:val="none" w:sz="0" w:space="0" w:color="auto"/>
        <w:left w:val="none" w:sz="0" w:space="0" w:color="auto"/>
        <w:bottom w:val="none" w:sz="0" w:space="0" w:color="auto"/>
        <w:right w:val="none" w:sz="0" w:space="0" w:color="auto"/>
      </w:divBdr>
      <w:divsChild>
        <w:div w:id="1695496827">
          <w:marLeft w:val="0"/>
          <w:marRight w:val="0"/>
          <w:marTop w:val="0"/>
          <w:marBottom w:val="0"/>
          <w:divBdr>
            <w:top w:val="none" w:sz="0" w:space="0" w:color="auto"/>
            <w:left w:val="none" w:sz="0" w:space="0" w:color="auto"/>
            <w:bottom w:val="none" w:sz="0" w:space="0" w:color="auto"/>
            <w:right w:val="none" w:sz="0" w:space="0" w:color="auto"/>
          </w:divBdr>
          <w:divsChild>
            <w:div w:id="114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80238">
      <w:bodyDiv w:val="1"/>
      <w:marLeft w:val="0"/>
      <w:marRight w:val="0"/>
      <w:marTop w:val="0"/>
      <w:marBottom w:val="0"/>
      <w:divBdr>
        <w:top w:val="none" w:sz="0" w:space="0" w:color="auto"/>
        <w:left w:val="none" w:sz="0" w:space="0" w:color="auto"/>
        <w:bottom w:val="none" w:sz="0" w:space="0" w:color="auto"/>
        <w:right w:val="none" w:sz="0" w:space="0" w:color="auto"/>
      </w:divBdr>
    </w:div>
    <w:div w:id="648170154">
      <w:bodyDiv w:val="1"/>
      <w:marLeft w:val="0"/>
      <w:marRight w:val="0"/>
      <w:marTop w:val="0"/>
      <w:marBottom w:val="0"/>
      <w:divBdr>
        <w:top w:val="none" w:sz="0" w:space="0" w:color="auto"/>
        <w:left w:val="none" w:sz="0" w:space="0" w:color="auto"/>
        <w:bottom w:val="none" w:sz="0" w:space="0" w:color="auto"/>
        <w:right w:val="none" w:sz="0" w:space="0" w:color="auto"/>
      </w:divBdr>
    </w:div>
    <w:div w:id="650985462">
      <w:bodyDiv w:val="1"/>
      <w:marLeft w:val="0"/>
      <w:marRight w:val="0"/>
      <w:marTop w:val="0"/>
      <w:marBottom w:val="0"/>
      <w:divBdr>
        <w:top w:val="none" w:sz="0" w:space="0" w:color="auto"/>
        <w:left w:val="none" w:sz="0" w:space="0" w:color="auto"/>
        <w:bottom w:val="none" w:sz="0" w:space="0" w:color="auto"/>
        <w:right w:val="none" w:sz="0" w:space="0" w:color="auto"/>
      </w:divBdr>
    </w:div>
    <w:div w:id="706875663">
      <w:bodyDiv w:val="1"/>
      <w:marLeft w:val="0"/>
      <w:marRight w:val="0"/>
      <w:marTop w:val="0"/>
      <w:marBottom w:val="0"/>
      <w:divBdr>
        <w:top w:val="none" w:sz="0" w:space="0" w:color="auto"/>
        <w:left w:val="none" w:sz="0" w:space="0" w:color="auto"/>
        <w:bottom w:val="none" w:sz="0" w:space="0" w:color="auto"/>
        <w:right w:val="none" w:sz="0" w:space="0" w:color="auto"/>
      </w:divBdr>
    </w:div>
    <w:div w:id="735053215">
      <w:bodyDiv w:val="1"/>
      <w:marLeft w:val="0"/>
      <w:marRight w:val="0"/>
      <w:marTop w:val="0"/>
      <w:marBottom w:val="0"/>
      <w:divBdr>
        <w:top w:val="none" w:sz="0" w:space="0" w:color="auto"/>
        <w:left w:val="none" w:sz="0" w:space="0" w:color="auto"/>
        <w:bottom w:val="none" w:sz="0" w:space="0" w:color="auto"/>
        <w:right w:val="none" w:sz="0" w:space="0" w:color="auto"/>
      </w:divBdr>
    </w:div>
    <w:div w:id="750932788">
      <w:bodyDiv w:val="1"/>
      <w:marLeft w:val="0"/>
      <w:marRight w:val="0"/>
      <w:marTop w:val="0"/>
      <w:marBottom w:val="0"/>
      <w:divBdr>
        <w:top w:val="none" w:sz="0" w:space="0" w:color="auto"/>
        <w:left w:val="none" w:sz="0" w:space="0" w:color="auto"/>
        <w:bottom w:val="none" w:sz="0" w:space="0" w:color="auto"/>
        <w:right w:val="none" w:sz="0" w:space="0" w:color="auto"/>
      </w:divBdr>
    </w:div>
    <w:div w:id="752975049">
      <w:bodyDiv w:val="1"/>
      <w:marLeft w:val="0"/>
      <w:marRight w:val="0"/>
      <w:marTop w:val="0"/>
      <w:marBottom w:val="0"/>
      <w:divBdr>
        <w:top w:val="none" w:sz="0" w:space="0" w:color="auto"/>
        <w:left w:val="none" w:sz="0" w:space="0" w:color="auto"/>
        <w:bottom w:val="none" w:sz="0" w:space="0" w:color="auto"/>
        <w:right w:val="none" w:sz="0" w:space="0" w:color="auto"/>
      </w:divBdr>
    </w:div>
    <w:div w:id="771321077">
      <w:bodyDiv w:val="1"/>
      <w:marLeft w:val="0"/>
      <w:marRight w:val="0"/>
      <w:marTop w:val="0"/>
      <w:marBottom w:val="0"/>
      <w:divBdr>
        <w:top w:val="none" w:sz="0" w:space="0" w:color="auto"/>
        <w:left w:val="none" w:sz="0" w:space="0" w:color="auto"/>
        <w:bottom w:val="none" w:sz="0" w:space="0" w:color="auto"/>
        <w:right w:val="none" w:sz="0" w:space="0" w:color="auto"/>
      </w:divBdr>
    </w:div>
    <w:div w:id="905409853">
      <w:bodyDiv w:val="1"/>
      <w:marLeft w:val="0"/>
      <w:marRight w:val="0"/>
      <w:marTop w:val="0"/>
      <w:marBottom w:val="0"/>
      <w:divBdr>
        <w:top w:val="none" w:sz="0" w:space="0" w:color="auto"/>
        <w:left w:val="none" w:sz="0" w:space="0" w:color="auto"/>
        <w:bottom w:val="none" w:sz="0" w:space="0" w:color="auto"/>
        <w:right w:val="none" w:sz="0" w:space="0" w:color="auto"/>
      </w:divBdr>
    </w:div>
    <w:div w:id="933631299">
      <w:bodyDiv w:val="1"/>
      <w:marLeft w:val="0"/>
      <w:marRight w:val="0"/>
      <w:marTop w:val="0"/>
      <w:marBottom w:val="0"/>
      <w:divBdr>
        <w:top w:val="none" w:sz="0" w:space="0" w:color="auto"/>
        <w:left w:val="none" w:sz="0" w:space="0" w:color="auto"/>
        <w:bottom w:val="none" w:sz="0" w:space="0" w:color="auto"/>
        <w:right w:val="none" w:sz="0" w:space="0" w:color="auto"/>
      </w:divBdr>
    </w:div>
    <w:div w:id="978923374">
      <w:bodyDiv w:val="1"/>
      <w:marLeft w:val="0"/>
      <w:marRight w:val="0"/>
      <w:marTop w:val="0"/>
      <w:marBottom w:val="0"/>
      <w:divBdr>
        <w:top w:val="none" w:sz="0" w:space="0" w:color="auto"/>
        <w:left w:val="none" w:sz="0" w:space="0" w:color="auto"/>
        <w:bottom w:val="none" w:sz="0" w:space="0" w:color="auto"/>
        <w:right w:val="none" w:sz="0" w:space="0" w:color="auto"/>
      </w:divBdr>
    </w:div>
    <w:div w:id="1083722016">
      <w:bodyDiv w:val="1"/>
      <w:marLeft w:val="0"/>
      <w:marRight w:val="0"/>
      <w:marTop w:val="0"/>
      <w:marBottom w:val="0"/>
      <w:divBdr>
        <w:top w:val="none" w:sz="0" w:space="0" w:color="auto"/>
        <w:left w:val="none" w:sz="0" w:space="0" w:color="auto"/>
        <w:bottom w:val="none" w:sz="0" w:space="0" w:color="auto"/>
        <w:right w:val="none" w:sz="0" w:space="0" w:color="auto"/>
      </w:divBdr>
      <w:divsChild>
        <w:div w:id="123813313">
          <w:marLeft w:val="0"/>
          <w:marRight w:val="0"/>
          <w:marTop w:val="0"/>
          <w:marBottom w:val="0"/>
          <w:divBdr>
            <w:top w:val="none" w:sz="0" w:space="0" w:color="auto"/>
            <w:left w:val="none" w:sz="0" w:space="0" w:color="auto"/>
            <w:bottom w:val="none" w:sz="0" w:space="0" w:color="auto"/>
            <w:right w:val="none" w:sz="0" w:space="0" w:color="auto"/>
          </w:divBdr>
          <w:divsChild>
            <w:div w:id="1707637455">
              <w:marLeft w:val="0"/>
              <w:marRight w:val="0"/>
              <w:marTop w:val="0"/>
              <w:marBottom w:val="0"/>
              <w:divBdr>
                <w:top w:val="none" w:sz="0" w:space="0" w:color="auto"/>
                <w:left w:val="none" w:sz="0" w:space="0" w:color="auto"/>
                <w:bottom w:val="none" w:sz="0" w:space="0" w:color="auto"/>
                <w:right w:val="none" w:sz="0" w:space="0" w:color="auto"/>
              </w:divBdr>
              <w:divsChild>
                <w:div w:id="128864651">
                  <w:marLeft w:val="0"/>
                  <w:marRight w:val="0"/>
                  <w:marTop w:val="0"/>
                  <w:marBottom w:val="0"/>
                  <w:divBdr>
                    <w:top w:val="none" w:sz="0" w:space="0" w:color="auto"/>
                    <w:left w:val="none" w:sz="0" w:space="0" w:color="auto"/>
                    <w:bottom w:val="none" w:sz="0" w:space="0" w:color="auto"/>
                    <w:right w:val="none" w:sz="0" w:space="0" w:color="auto"/>
                  </w:divBdr>
                  <w:divsChild>
                    <w:div w:id="553928095">
                      <w:marLeft w:val="0"/>
                      <w:marRight w:val="0"/>
                      <w:marTop w:val="0"/>
                      <w:marBottom w:val="0"/>
                      <w:divBdr>
                        <w:top w:val="none" w:sz="0" w:space="0" w:color="auto"/>
                        <w:left w:val="none" w:sz="0" w:space="0" w:color="auto"/>
                        <w:bottom w:val="none" w:sz="0" w:space="0" w:color="auto"/>
                        <w:right w:val="none" w:sz="0" w:space="0" w:color="auto"/>
                      </w:divBdr>
                      <w:divsChild>
                        <w:div w:id="986667742">
                          <w:marLeft w:val="0"/>
                          <w:marRight w:val="0"/>
                          <w:marTop w:val="0"/>
                          <w:marBottom w:val="0"/>
                          <w:divBdr>
                            <w:top w:val="none" w:sz="0" w:space="0" w:color="auto"/>
                            <w:left w:val="none" w:sz="0" w:space="0" w:color="auto"/>
                            <w:bottom w:val="none" w:sz="0" w:space="0" w:color="auto"/>
                            <w:right w:val="none" w:sz="0" w:space="0" w:color="auto"/>
                          </w:divBdr>
                          <w:divsChild>
                            <w:div w:id="929237661">
                              <w:marLeft w:val="0"/>
                              <w:marRight w:val="0"/>
                              <w:marTop w:val="0"/>
                              <w:marBottom w:val="0"/>
                              <w:divBdr>
                                <w:top w:val="none" w:sz="0" w:space="0" w:color="auto"/>
                                <w:left w:val="none" w:sz="0" w:space="0" w:color="auto"/>
                                <w:bottom w:val="none" w:sz="0" w:space="0" w:color="auto"/>
                                <w:right w:val="none" w:sz="0" w:space="0" w:color="auto"/>
                              </w:divBdr>
                              <w:divsChild>
                                <w:div w:id="22900398">
                                  <w:marLeft w:val="0"/>
                                  <w:marRight w:val="0"/>
                                  <w:marTop w:val="0"/>
                                  <w:marBottom w:val="0"/>
                                  <w:divBdr>
                                    <w:top w:val="none" w:sz="0" w:space="0" w:color="auto"/>
                                    <w:left w:val="none" w:sz="0" w:space="0" w:color="auto"/>
                                    <w:bottom w:val="none" w:sz="0" w:space="0" w:color="auto"/>
                                    <w:right w:val="none" w:sz="0" w:space="0" w:color="auto"/>
                                  </w:divBdr>
                                  <w:divsChild>
                                    <w:div w:id="1176731046">
                                      <w:marLeft w:val="0"/>
                                      <w:marRight w:val="0"/>
                                      <w:marTop w:val="0"/>
                                      <w:marBottom w:val="0"/>
                                      <w:divBdr>
                                        <w:top w:val="none" w:sz="0" w:space="0" w:color="auto"/>
                                        <w:left w:val="none" w:sz="0" w:space="0" w:color="auto"/>
                                        <w:bottom w:val="none" w:sz="0" w:space="0" w:color="auto"/>
                                        <w:right w:val="none" w:sz="0" w:space="0" w:color="auto"/>
                                      </w:divBdr>
                                    </w:div>
                                  </w:divsChild>
                                </w:div>
                                <w:div w:id="765267282">
                                  <w:marLeft w:val="0"/>
                                  <w:marRight w:val="0"/>
                                  <w:marTop w:val="0"/>
                                  <w:marBottom w:val="0"/>
                                  <w:divBdr>
                                    <w:top w:val="none" w:sz="0" w:space="0" w:color="auto"/>
                                    <w:left w:val="none" w:sz="0" w:space="0" w:color="auto"/>
                                    <w:bottom w:val="none" w:sz="0" w:space="0" w:color="auto"/>
                                    <w:right w:val="none" w:sz="0" w:space="0" w:color="auto"/>
                                  </w:divBdr>
                                  <w:divsChild>
                                    <w:div w:id="1284075729">
                                      <w:marLeft w:val="0"/>
                                      <w:marRight w:val="0"/>
                                      <w:marTop w:val="0"/>
                                      <w:marBottom w:val="0"/>
                                      <w:divBdr>
                                        <w:top w:val="none" w:sz="0" w:space="0" w:color="auto"/>
                                        <w:left w:val="none" w:sz="0" w:space="0" w:color="auto"/>
                                        <w:bottom w:val="none" w:sz="0" w:space="0" w:color="auto"/>
                                        <w:right w:val="none" w:sz="0" w:space="0" w:color="auto"/>
                                      </w:divBdr>
                                    </w:div>
                                  </w:divsChild>
                                </w:div>
                                <w:div w:id="1975207633">
                                  <w:marLeft w:val="0"/>
                                  <w:marRight w:val="0"/>
                                  <w:marTop w:val="0"/>
                                  <w:marBottom w:val="0"/>
                                  <w:divBdr>
                                    <w:top w:val="none" w:sz="0" w:space="0" w:color="auto"/>
                                    <w:left w:val="none" w:sz="0" w:space="0" w:color="auto"/>
                                    <w:bottom w:val="none" w:sz="0" w:space="0" w:color="auto"/>
                                    <w:right w:val="none" w:sz="0" w:space="0" w:color="auto"/>
                                  </w:divBdr>
                                  <w:divsChild>
                                    <w:div w:id="164784051">
                                      <w:marLeft w:val="0"/>
                                      <w:marRight w:val="0"/>
                                      <w:marTop w:val="0"/>
                                      <w:marBottom w:val="0"/>
                                      <w:divBdr>
                                        <w:top w:val="none" w:sz="0" w:space="0" w:color="auto"/>
                                        <w:left w:val="none" w:sz="0" w:space="0" w:color="auto"/>
                                        <w:bottom w:val="none" w:sz="0" w:space="0" w:color="auto"/>
                                        <w:right w:val="none" w:sz="0" w:space="0" w:color="auto"/>
                                      </w:divBdr>
                                    </w:div>
                                  </w:divsChild>
                                </w:div>
                                <w:div w:id="1478062122">
                                  <w:marLeft w:val="0"/>
                                  <w:marRight w:val="0"/>
                                  <w:marTop w:val="0"/>
                                  <w:marBottom w:val="0"/>
                                  <w:divBdr>
                                    <w:top w:val="none" w:sz="0" w:space="0" w:color="auto"/>
                                    <w:left w:val="none" w:sz="0" w:space="0" w:color="auto"/>
                                    <w:bottom w:val="none" w:sz="0" w:space="0" w:color="auto"/>
                                    <w:right w:val="none" w:sz="0" w:space="0" w:color="auto"/>
                                  </w:divBdr>
                                  <w:divsChild>
                                    <w:div w:id="19069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130998">
      <w:bodyDiv w:val="1"/>
      <w:marLeft w:val="0"/>
      <w:marRight w:val="0"/>
      <w:marTop w:val="0"/>
      <w:marBottom w:val="0"/>
      <w:divBdr>
        <w:top w:val="none" w:sz="0" w:space="0" w:color="auto"/>
        <w:left w:val="none" w:sz="0" w:space="0" w:color="auto"/>
        <w:bottom w:val="none" w:sz="0" w:space="0" w:color="auto"/>
        <w:right w:val="none" w:sz="0" w:space="0" w:color="auto"/>
      </w:divBdr>
    </w:div>
    <w:div w:id="1323318866">
      <w:bodyDiv w:val="1"/>
      <w:marLeft w:val="0"/>
      <w:marRight w:val="0"/>
      <w:marTop w:val="0"/>
      <w:marBottom w:val="0"/>
      <w:divBdr>
        <w:top w:val="none" w:sz="0" w:space="0" w:color="auto"/>
        <w:left w:val="none" w:sz="0" w:space="0" w:color="auto"/>
        <w:bottom w:val="none" w:sz="0" w:space="0" w:color="auto"/>
        <w:right w:val="none" w:sz="0" w:space="0" w:color="auto"/>
      </w:divBdr>
    </w:div>
    <w:div w:id="1396246509">
      <w:bodyDiv w:val="1"/>
      <w:marLeft w:val="0"/>
      <w:marRight w:val="0"/>
      <w:marTop w:val="0"/>
      <w:marBottom w:val="0"/>
      <w:divBdr>
        <w:top w:val="none" w:sz="0" w:space="0" w:color="auto"/>
        <w:left w:val="none" w:sz="0" w:space="0" w:color="auto"/>
        <w:bottom w:val="none" w:sz="0" w:space="0" w:color="auto"/>
        <w:right w:val="none" w:sz="0" w:space="0" w:color="auto"/>
      </w:divBdr>
    </w:div>
    <w:div w:id="1486168932">
      <w:bodyDiv w:val="1"/>
      <w:marLeft w:val="0"/>
      <w:marRight w:val="0"/>
      <w:marTop w:val="0"/>
      <w:marBottom w:val="0"/>
      <w:divBdr>
        <w:top w:val="none" w:sz="0" w:space="0" w:color="auto"/>
        <w:left w:val="none" w:sz="0" w:space="0" w:color="auto"/>
        <w:bottom w:val="none" w:sz="0" w:space="0" w:color="auto"/>
        <w:right w:val="none" w:sz="0" w:space="0" w:color="auto"/>
      </w:divBdr>
    </w:div>
    <w:div w:id="1528176374">
      <w:bodyDiv w:val="1"/>
      <w:marLeft w:val="0"/>
      <w:marRight w:val="0"/>
      <w:marTop w:val="0"/>
      <w:marBottom w:val="0"/>
      <w:divBdr>
        <w:top w:val="none" w:sz="0" w:space="0" w:color="auto"/>
        <w:left w:val="none" w:sz="0" w:space="0" w:color="auto"/>
        <w:bottom w:val="none" w:sz="0" w:space="0" w:color="auto"/>
        <w:right w:val="none" w:sz="0" w:space="0" w:color="auto"/>
      </w:divBdr>
    </w:div>
    <w:div w:id="1661538637">
      <w:bodyDiv w:val="1"/>
      <w:marLeft w:val="0"/>
      <w:marRight w:val="0"/>
      <w:marTop w:val="0"/>
      <w:marBottom w:val="0"/>
      <w:divBdr>
        <w:top w:val="none" w:sz="0" w:space="0" w:color="auto"/>
        <w:left w:val="none" w:sz="0" w:space="0" w:color="auto"/>
        <w:bottom w:val="none" w:sz="0" w:space="0" w:color="auto"/>
        <w:right w:val="none" w:sz="0" w:space="0" w:color="auto"/>
      </w:divBdr>
    </w:div>
    <w:div w:id="1895042997">
      <w:bodyDiv w:val="1"/>
      <w:marLeft w:val="0"/>
      <w:marRight w:val="0"/>
      <w:marTop w:val="0"/>
      <w:marBottom w:val="0"/>
      <w:divBdr>
        <w:top w:val="none" w:sz="0" w:space="0" w:color="auto"/>
        <w:left w:val="none" w:sz="0" w:space="0" w:color="auto"/>
        <w:bottom w:val="none" w:sz="0" w:space="0" w:color="auto"/>
        <w:right w:val="none" w:sz="0" w:space="0" w:color="auto"/>
      </w:divBdr>
    </w:div>
    <w:div w:id="1987199468">
      <w:bodyDiv w:val="1"/>
      <w:marLeft w:val="0"/>
      <w:marRight w:val="0"/>
      <w:marTop w:val="0"/>
      <w:marBottom w:val="0"/>
      <w:divBdr>
        <w:top w:val="none" w:sz="0" w:space="0" w:color="auto"/>
        <w:left w:val="none" w:sz="0" w:space="0" w:color="auto"/>
        <w:bottom w:val="none" w:sz="0" w:space="0" w:color="auto"/>
        <w:right w:val="none" w:sz="0" w:space="0" w:color="auto"/>
      </w:divBdr>
    </w:div>
    <w:div w:id="2000617595">
      <w:bodyDiv w:val="1"/>
      <w:marLeft w:val="0"/>
      <w:marRight w:val="0"/>
      <w:marTop w:val="0"/>
      <w:marBottom w:val="0"/>
      <w:divBdr>
        <w:top w:val="none" w:sz="0" w:space="0" w:color="auto"/>
        <w:left w:val="none" w:sz="0" w:space="0" w:color="auto"/>
        <w:bottom w:val="none" w:sz="0" w:space="0" w:color="auto"/>
        <w:right w:val="none" w:sz="0" w:space="0" w:color="auto"/>
      </w:divBdr>
    </w:div>
    <w:div w:id="2069303894">
      <w:bodyDiv w:val="1"/>
      <w:marLeft w:val="0"/>
      <w:marRight w:val="0"/>
      <w:marTop w:val="0"/>
      <w:marBottom w:val="0"/>
      <w:divBdr>
        <w:top w:val="none" w:sz="0" w:space="0" w:color="auto"/>
        <w:left w:val="none" w:sz="0" w:space="0" w:color="auto"/>
        <w:bottom w:val="none" w:sz="0" w:space="0" w:color="auto"/>
        <w:right w:val="none" w:sz="0" w:space="0" w:color="auto"/>
      </w:divBdr>
    </w:div>
    <w:div w:id="2094080022">
      <w:bodyDiv w:val="1"/>
      <w:marLeft w:val="0"/>
      <w:marRight w:val="0"/>
      <w:marTop w:val="0"/>
      <w:marBottom w:val="0"/>
      <w:divBdr>
        <w:top w:val="none" w:sz="0" w:space="0" w:color="auto"/>
        <w:left w:val="none" w:sz="0" w:space="0" w:color="auto"/>
        <w:bottom w:val="none" w:sz="0" w:space="0" w:color="auto"/>
        <w:right w:val="none" w:sz="0" w:space="0" w:color="auto"/>
      </w:divBdr>
    </w:div>
    <w:div w:id="2126607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1575;&#1604;&#1575;&#1593;&#1605;&#1575;&#1604;%20&#1575;&#1604;&#1580;&#1583;&#1610;&#1583;&#1577;%202025-2026\&#1575;&#1608;&#1585;&#1575;&#1602;%20&#1576;&#1581;&#1579;&#1610;&#1577;\&#1575;&#1604;&#1575;&#1569;%20&#1606;&#1608;&#1586;&#1575;&#1583;\%20a)%20alaa.n.faeq@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Downloads\&#1575;&#1604;&#1575;&#1593;&#1605;&#1575;&#1604;%20&#1575;&#1604;&#1580;&#1583;&#1610;&#1583;&#1577;%202025-2026\&#1575;&#1608;&#1585;&#1575;&#1602;%20&#1576;&#1581;&#1579;&#1610;&#1577;\&#1575;&#1604;&#1575;&#1569;%20&#1606;&#1608;&#1586;&#1575;&#1583;\b)%20ali.ihsan@uokirkuk.edu.iq"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0235EA-EB10-48AE-87FA-5CFC644AAA0E}">
  <we:reference id="wa200000368" version="1.0.0.0" store="en-US" storeType="OMEX"/>
  <we:alternateReferences>
    <we:reference id="wa200000368" version="1.0.0.0" store="en-US" storeType="OMEX"/>
  </we:alternateReferences>
  <we:properties>
    <we:property name="documentId" value="&quot;da0953ab1316a664&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D4519-5C27-4E36-B131-A8034AC03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3487</Words>
  <Characters>19044</Characters>
  <Application>Microsoft Office Word</Application>
  <DocSecurity>0</DocSecurity>
  <Lines>334</Lines>
  <Paragraphs>170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22361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Chafic Salame</cp:lastModifiedBy>
  <cp:revision>18</cp:revision>
  <cp:lastPrinted>2025-07-27T20:34:00Z</cp:lastPrinted>
  <dcterms:created xsi:type="dcterms:W3CDTF">2025-10-18T16:37:00Z</dcterms:created>
  <dcterms:modified xsi:type="dcterms:W3CDTF">2025-12-06T20:17:00Z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e9fdaf59-5efe-494a-b6f9-84d47a9dc56d</vt:lpwstr>
  </property>
  <property fmtid="{D5CDD505-2E9C-101B-9397-08002B2CF9AE}" pid="3" name="_DocHome">
    <vt:i4>343262471</vt:i4>
  </property>
</Properties>
</file>