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79FF04" w14:textId="6C725A16" w:rsidR="0031352F" w:rsidRPr="0031352F" w:rsidRDefault="0031352F" w:rsidP="0031352F">
      <w:pPr>
        <w:spacing w:line="240" w:lineRule="auto"/>
        <w:jc w:val="center"/>
        <w:rPr>
          <w:b/>
          <w:sz w:val="36"/>
        </w:rPr>
      </w:pPr>
      <w:r w:rsidRPr="0031352F">
        <w:rPr>
          <w:b/>
          <w:sz w:val="36"/>
        </w:rPr>
        <w:t>Nested-PCR Detection o</w:t>
      </w:r>
      <w:r>
        <w:rPr>
          <w:b/>
          <w:sz w:val="36"/>
        </w:rPr>
        <w:t xml:space="preserve">f Entamoeba Histolytica and </w:t>
      </w:r>
      <w:proofErr w:type="spellStart"/>
      <w:proofErr w:type="gramStart"/>
      <w:r>
        <w:rPr>
          <w:b/>
          <w:sz w:val="36"/>
        </w:rPr>
        <w:t>E.d</w:t>
      </w:r>
      <w:r w:rsidRPr="0031352F">
        <w:rPr>
          <w:b/>
          <w:sz w:val="36"/>
        </w:rPr>
        <w:t>ispar</w:t>
      </w:r>
      <w:proofErr w:type="spellEnd"/>
      <w:proofErr w:type="gramEnd"/>
      <w:r w:rsidRPr="0031352F">
        <w:rPr>
          <w:b/>
          <w:sz w:val="36"/>
        </w:rPr>
        <w:t xml:space="preserve"> in Diarrheal Patients</w:t>
      </w:r>
    </w:p>
    <w:p w14:paraId="2B8BBEC9" w14:textId="5968FDB2" w:rsidR="00CF7B5D" w:rsidRDefault="0031352F" w:rsidP="004A261E">
      <w:pPr>
        <w:spacing w:line="240" w:lineRule="auto"/>
        <w:jc w:val="center"/>
        <w:rPr>
          <w:bCs/>
          <w:sz w:val="28"/>
          <w:szCs w:val="18"/>
          <w:rtl/>
        </w:rPr>
      </w:pPr>
      <w:r w:rsidRPr="0031352F">
        <w:rPr>
          <w:bCs/>
          <w:sz w:val="28"/>
          <w:szCs w:val="18"/>
        </w:rPr>
        <w:t xml:space="preserve">Hanan </w:t>
      </w:r>
      <w:proofErr w:type="spellStart"/>
      <w:r w:rsidRPr="0031352F">
        <w:rPr>
          <w:bCs/>
          <w:sz w:val="28"/>
          <w:szCs w:val="18"/>
        </w:rPr>
        <w:t>Thabat</w:t>
      </w:r>
      <w:proofErr w:type="spellEnd"/>
      <w:r w:rsidRPr="0031352F">
        <w:rPr>
          <w:bCs/>
          <w:sz w:val="28"/>
          <w:szCs w:val="18"/>
        </w:rPr>
        <w:t xml:space="preserve"> </w:t>
      </w:r>
      <w:proofErr w:type="spellStart"/>
      <w:r w:rsidRPr="0031352F">
        <w:rPr>
          <w:bCs/>
          <w:sz w:val="28"/>
          <w:szCs w:val="18"/>
        </w:rPr>
        <w:t>Khdir</w:t>
      </w:r>
      <w:proofErr w:type="spellEnd"/>
      <w:r w:rsidRPr="0031352F">
        <w:rPr>
          <w:bCs/>
          <w:sz w:val="28"/>
          <w:szCs w:val="18"/>
        </w:rPr>
        <w:t xml:space="preserve"> </w:t>
      </w:r>
      <w:proofErr w:type="gramStart"/>
      <w:r w:rsidR="00CF7B5D" w:rsidRPr="004A261E">
        <w:rPr>
          <w:bCs/>
          <w:sz w:val="28"/>
          <w:szCs w:val="18"/>
          <w:vertAlign w:val="superscript"/>
        </w:rPr>
        <w:t>1</w:t>
      </w:r>
      <w:r w:rsidR="004A261E" w:rsidRPr="004A261E">
        <w:rPr>
          <w:bCs/>
          <w:sz w:val="28"/>
          <w:szCs w:val="18"/>
          <w:vertAlign w:val="superscript"/>
        </w:rPr>
        <w:t>,</w:t>
      </w:r>
      <w:r w:rsidR="00CF7B5D" w:rsidRPr="004A261E">
        <w:rPr>
          <w:bCs/>
          <w:sz w:val="28"/>
          <w:szCs w:val="18"/>
          <w:vertAlign w:val="superscript"/>
        </w:rPr>
        <w:t>a</w:t>
      </w:r>
      <w:proofErr w:type="gramEnd"/>
      <w:r w:rsidR="00CF7B5D" w:rsidRPr="004A261E">
        <w:rPr>
          <w:bCs/>
          <w:sz w:val="28"/>
          <w:szCs w:val="18"/>
          <w:vertAlign w:val="superscript"/>
        </w:rPr>
        <w:t>)</w:t>
      </w:r>
      <w:r w:rsidR="004A261E">
        <w:rPr>
          <w:bCs/>
          <w:sz w:val="28"/>
          <w:szCs w:val="18"/>
        </w:rPr>
        <w:t xml:space="preserve"> </w:t>
      </w:r>
      <w:r w:rsidR="00CF7B5D" w:rsidRPr="00CF7B5D">
        <w:rPr>
          <w:bCs/>
          <w:sz w:val="28"/>
          <w:szCs w:val="18"/>
        </w:rPr>
        <w:t xml:space="preserve">and </w:t>
      </w:r>
      <w:r w:rsidR="00AC7F81" w:rsidRPr="00AC7F81">
        <w:rPr>
          <w:bCs/>
          <w:sz w:val="28"/>
          <w:szCs w:val="18"/>
        </w:rPr>
        <w:t xml:space="preserve">Intisar Ghanim Abdulwahhab </w:t>
      </w:r>
      <w:proofErr w:type="gramStart"/>
      <w:r w:rsidR="004A261E">
        <w:rPr>
          <w:bCs/>
          <w:sz w:val="28"/>
          <w:szCs w:val="18"/>
          <w:vertAlign w:val="superscript"/>
        </w:rPr>
        <w:t>1</w:t>
      </w:r>
      <w:r w:rsidR="004A261E" w:rsidRPr="004A261E">
        <w:rPr>
          <w:bCs/>
          <w:sz w:val="28"/>
          <w:szCs w:val="18"/>
          <w:vertAlign w:val="superscript"/>
        </w:rPr>
        <w:t>,</w:t>
      </w:r>
      <w:r w:rsidR="00CF7B5D" w:rsidRPr="004A261E">
        <w:rPr>
          <w:bCs/>
          <w:sz w:val="28"/>
          <w:szCs w:val="18"/>
          <w:vertAlign w:val="superscript"/>
        </w:rPr>
        <w:t>b</w:t>
      </w:r>
      <w:proofErr w:type="gramEnd"/>
      <w:r w:rsidR="00CF7B5D" w:rsidRPr="004A261E">
        <w:rPr>
          <w:bCs/>
          <w:sz w:val="28"/>
          <w:szCs w:val="18"/>
          <w:vertAlign w:val="superscript"/>
        </w:rPr>
        <w:t>)</w:t>
      </w:r>
      <w:r w:rsidR="00CF7B5D" w:rsidRPr="00CF7B5D">
        <w:rPr>
          <w:bCs/>
          <w:sz w:val="28"/>
          <w:szCs w:val="18"/>
        </w:rPr>
        <w:t xml:space="preserve"> </w:t>
      </w:r>
    </w:p>
    <w:p w14:paraId="05C71BFD" w14:textId="41652EA5" w:rsidR="00AB1D3D" w:rsidRDefault="005E301E" w:rsidP="00AC7F81">
      <w:pPr>
        <w:tabs>
          <w:tab w:val="left" w:pos="1062"/>
          <w:tab w:val="center" w:pos="4536"/>
        </w:tabs>
        <w:spacing w:line="240" w:lineRule="auto"/>
        <w:jc w:val="center"/>
        <w:rPr>
          <w:i/>
        </w:rPr>
      </w:pPr>
      <w:r w:rsidRPr="005E301E">
        <w:rPr>
          <w:i/>
          <w:vertAlign w:val="superscript"/>
        </w:rPr>
        <w:t xml:space="preserve">1 </w:t>
      </w:r>
      <w:r w:rsidR="00AC7F81" w:rsidRPr="00AC7F81">
        <w:rPr>
          <w:i/>
        </w:rPr>
        <w:t>Tikrit University, College of Education for women, Biology</w:t>
      </w:r>
      <w:r w:rsidR="0052733D">
        <w:rPr>
          <w:i/>
        </w:rPr>
        <w:t>, Iraq</w:t>
      </w:r>
      <w:r w:rsidR="002A5C74">
        <w:rPr>
          <w:i/>
        </w:rPr>
        <w:t>.</w:t>
      </w:r>
    </w:p>
    <w:p w14:paraId="5FD135E3" w14:textId="57E6818E" w:rsidR="00E84C4E" w:rsidRPr="005E301E" w:rsidRDefault="00AC7F81" w:rsidP="006875B0">
      <w:pPr>
        <w:spacing w:line="240" w:lineRule="auto"/>
        <w:jc w:val="center"/>
        <w:rPr>
          <w:i/>
        </w:rPr>
      </w:pPr>
      <w:hyperlink r:id="rId8" w:history="1">
        <w:r w:rsidRPr="004A261E">
          <w:rPr>
            <w:rStyle w:val="Hyperlink"/>
            <w:i/>
            <w:color w:val="000000" w:themeColor="text1"/>
            <w:u w:val="none"/>
            <w:vertAlign w:val="superscript"/>
          </w:rPr>
          <w:t xml:space="preserve"> a)</w:t>
        </w:r>
        <w:r w:rsidRPr="005E301E">
          <w:rPr>
            <w:rStyle w:val="Hyperlink"/>
            <w:i/>
            <w:color w:val="000000" w:themeColor="text1"/>
            <w:u w:val="none"/>
          </w:rPr>
          <w:t xml:space="preserve"> </w:t>
        </w:r>
      </w:hyperlink>
      <w:r w:rsidR="004A261E" w:rsidRPr="004A261E">
        <w:rPr>
          <w:rStyle w:val="Hyperlink"/>
          <w:i/>
          <w:color w:val="000000" w:themeColor="text1"/>
          <w:u w:val="none"/>
        </w:rPr>
        <w:t xml:space="preserve">corresponding </w:t>
      </w:r>
      <w:r w:rsidR="004A261E">
        <w:rPr>
          <w:rStyle w:val="Hyperlink"/>
          <w:i/>
          <w:color w:val="000000" w:themeColor="text1"/>
          <w:u w:val="none"/>
        </w:rPr>
        <w:t xml:space="preserve">author: </w:t>
      </w:r>
      <w:r w:rsidR="006875B0" w:rsidRPr="005E301E">
        <w:rPr>
          <w:rStyle w:val="Hyperlink"/>
          <w:i/>
          <w:color w:val="000000" w:themeColor="text1"/>
          <w:u w:val="none"/>
        </w:rPr>
        <w:t>hanan.th.khdir@gmail.com</w:t>
      </w:r>
      <w:r w:rsidR="002D125E" w:rsidRPr="005E301E">
        <w:rPr>
          <w:i/>
          <w:color w:val="000000" w:themeColor="text1"/>
        </w:rPr>
        <w:br/>
      </w:r>
      <w:hyperlink r:id="rId9" w:history="1">
        <w:r w:rsidR="002D125E" w:rsidRPr="004A261E">
          <w:rPr>
            <w:rStyle w:val="Hyperlink"/>
            <w:i/>
            <w:color w:val="000000" w:themeColor="text1"/>
            <w:u w:val="none"/>
            <w:vertAlign w:val="superscript"/>
          </w:rPr>
          <w:t>b)</w:t>
        </w:r>
        <w:r w:rsidR="0052733D" w:rsidRPr="005E301E">
          <w:rPr>
            <w:rStyle w:val="Hyperlink"/>
            <w:i/>
            <w:color w:val="000000" w:themeColor="text1"/>
            <w:u w:val="none"/>
          </w:rPr>
          <w:t xml:space="preserve"> </w:t>
        </w:r>
        <w:r w:rsidRPr="005E301E">
          <w:rPr>
            <w:rStyle w:val="Hyperlink"/>
            <w:i/>
            <w:color w:val="000000" w:themeColor="text1"/>
            <w:u w:val="none"/>
          </w:rPr>
          <w:t xml:space="preserve">dr.en79@tu.edu.iq </w:t>
        </w:r>
      </w:hyperlink>
      <w:r w:rsidR="00723253" w:rsidRPr="005E301E">
        <w:rPr>
          <w:i/>
        </w:rPr>
        <w:t xml:space="preserve"> </w:t>
      </w:r>
    </w:p>
    <w:p w14:paraId="0ED0450D" w14:textId="6B9914B3" w:rsidR="0030573C" w:rsidRPr="00975CCD" w:rsidRDefault="002D125E" w:rsidP="006875B0">
      <w:pPr>
        <w:spacing w:line="240" w:lineRule="auto"/>
        <w:ind w:left="288" w:right="288"/>
        <w:jc w:val="both"/>
        <w:rPr>
          <w:bCs/>
          <w:sz w:val="18"/>
          <w:szCs w:val="20"/>
        </w:rPr>
      </w:pPr>
      <w:r w:rsidRPr="002E1748">
        <w:rPr>
          <w:b/>
          <w:sz w:val="18"/>
          <w:szCs w:val="20"/>
        </w:rPr>
        <w:t>Abstract.</w:t>
      </w:r>
      <w:r w:rsidR="00E650CC" w:rsidRPr="00E650CC">
        <w:rPr>
          <w:bCs/>
          <w:sz w:val="18"/>
          <w:szCs w:val="20"/>
        </w:rPr>
        <w:t xml:space="preserve"> </w:t>
      </w:r>
      <w:r w:rsidR="006875B0" w:rsidRPr="006875B0">
        <w:rPr>
          <w:bCs/>
          <w:sz w:val="18"/>
          <w:szCs w:val="20"/>
        </w:rPr>
        <w:t xml:space="preserve">The current research aimed to diagnose Entamoeba histolytica and Entamoeba dispar </w:t>
      </w:r>
      <w:proofErr w:type="gramStart"/>
      <w:r w:rsidR="006875B0" w:rsidRPr="006875B0">
        <w:rPr>
          <w:bCs/>
          <w:sz w:val="18"/>
          <w:szCs w:val="20"/>
        </w:rPr>
        <w:t>by the use of</w:t>
      </w:r>
      <w:proofErr w:type="gramEnd"/>
      <w:r w:rsidR="006875B0" w:rsidRPr="006875B0">
        <w:rPr>
          <w:bCs/>
          <w:sz w:val="18"/>
          <w:szCs w:val="20"/>
        </w:rPr>
        <w:t xml:space="preserve"> nested-PCR. </w:t>
      </w:r>
      <w:proofErr w:type="gramStart"/>
      <w:r w:rsidR="006875B0" w:rsidRPr="006875B0">
        <w:rPr>
          <w:bCs/>
          <w:sz w:val="18"/>
          <w:szCs w:val="20"/>
        </w:rPr>
        <w:t>As</w:t>
      </w:r>
      <w:proofErr w:type="gramEnd"/>
      <w:r w:rsidR="006875B0" w:rsidRPr="006875B0">
        <w:rPr>
          <w:bCs/>
          <w:sz w:val="18"/>
          <w:szCs w:val="20"/>
        </w:rPr>
        <w:t xml:space="preserve"> the study, 100 samples of </w:t>
      </w:r>
      <w:proofErr w:type="gramStart"/>
      <w:r w:rsidR="006875B0" w:rsidRPr="006875B0">
        <w:rPr>
          <w:bCs/>
          <w:sz w:val="18"/>
          <w:szCs w:val="20"/>
        </w:rPr>
        <w:t>stool</w:t>
      </w:r>
      <w:proofErr w:type="gramEnd"/>
      <w:r w:rsidR="006875B0" w:rsidRPr="006875B0">
        <w:rPr>
          <w:bCs/>
          <w:sz w:val="18"/>
          <w:szCs w:val="20"/>
        </w:rPr>
        <w:t xml:space="preserve"> of patients with moderate and severe diarrhea with or without blood in the stool were collected at Tikrit Teaching Hospital, Al-Alam Hospital, and other laboratories in the Al-Alam District (between early October and late June 2025). The age of patients ranged between one month to 40 years with all genders. Diagnosis of the samples was based on morphological and molecular analysis through the Nested Polymerase Chain Reaction technique with the emphasis on the 18S rRNA gene with E. histolytica-specific and E. dispar-specific primer pairs. It was found that the general rate of infection of Entamoeba spp. was 65 percent of the total samples examined under the microscope. Molecular study of the Entamoeba genus showed that the 900-base-pair fragment of the 18S rRNA gene was detected in 88% of the sample </w:t>
      </w:r>
      <w:proofErr w:type="spellStart"/>
      <w:r w:rsidR="006875B0" w:rsidRPr="006875B0">
        <w:rPr>
          <w:bCs/>
          <w:sz w:val="18"/>
          <w:szCs w:val="20"/>
        </w:rPr>
        <w:t>analysed</w:t>
      </w:r>
      <w:proofErr w:type="spellEnd"/>
      <w:r w:rsidR="006875B0" w:rsidRPr="006875B0">
        <w:rPr>
          <w:bCs/>
          <w:sz w:val="18"/>
          <w:szCs w:val="20"/>
        </w:rPr>
        <w:t xml:space="preserve"> whereas the Eh1-Eh2 gene of </w:t>
      </w:r>
      <w:proofErr w:type="spellStart"/>
      <w:proofErr w:type="gramStart"/>
      <w:r w:rsidR="006875B0" w:rsidRPr="006875B0">
        <w:rPr>
          <w:bCs/>
          <w:sz w:val="18"/>
          <w:szCs w:val="20"/>
        </w:rPr>
        <w:t>E.histolytica</w:t>
      </w:r>
      <w:proofErr w:type="spellEnd"/>
      <w:proofErr w:type="gramEnd"/>
      <w:r w:rsidR="006875B0" w:rsidRPr="006875B0">
        <w:rPr>
          <w:bCs/>
          <w:sz w:val="18"/>
          <w:szCs w:val="20"/>
        </w:rPr>
        <w:t xml:space="preserve"> was detected in 42% of the positive samples and ED-1 and ED-2 genes in </w:t>
      </w:r>
      <w:proofErr w:type="spellStart"/>
      <w:proofErr w:type="gramStart"/>
      <w:r w:rsidR="006875B0" w:rsidRPr="006875B0">
        <w:rPr>
          <w:bCs/>
          <w:sz w:val="18"/>
          <w:szCs w:val="20"/>
        </w:rPr>
        <w:t>E.dispar</w:t>
      </w:r>
      <w:proofErr w:type="spellEnd"/>
      <w:proofErr w:type="gramEnd"/>
      <w:r w:rsidR="006875B0" w:rsidRPr="006875B0">
        <w:rPr>
          <w:bCs/>
          <w:sz w:val="18"/>
          <w:szCs w:val="20"/>
        </w:rPr>
        <w:t xml:space="preserve"> were found in 27%.</w:t>
      </w:r>
      <w:r w:rsidR="006875B0">
        <w:rPr>
          <w:bCs/>
          <w:sz w:val="18"/>
          <w:szCs w:val="20"/>
        </w:rPr>
        <w:t xml:space="preserve"> </w:t>
      </w:r>
      <w:r w:rsidR="00975CCD">
        <w:rPr>
          <w:bCs/>
          <w:sz w:val="18"/>
          <w:szCs w:val="20"/>
        </w:rPr>
        <w:t xml:space="preserve">    </w:t>
      </w:r>
      <w:r w:rsidR="00975CCD">
        <w:rPr>
          <w:rFonts w:hint="cs"/>
          <w:bCs/>
          <w:sz w:val="18"/>
          <w:szCs w:val="20"/>
          <w:rtl/>
        </w:rPr>
        <w:t xml:space="preserve">                                                      </w:t>
      </w:r>
      <w:r w:rsidR="00975CCD">
        <w:rPr>
          <w:bCs/>
          <w:sz w:val="18"/>
          <w:szCs w:val="20"/>
        </w:rPr>
        <w:t xml:space="preserve">                                                                                                                                            </w:t>
      </w:r>
      <w:r w:rsidR="0030573C" w:rsidRPr="00615D26">
        <w:rPr>
          <w:b/>
          <w:bCs/>
          <w:sz w:val="18"/>
          <w:szCs w:val="18"/>
          <w:lang w:val="en-GB"/>
        </w:rPr>
        <w:t>Keywords:</w:t>
      </w:r>
      <w:r w:rsidR="0082636C" w:rsidRPr="00615D26">
        <w:rPr>
          <w:rFonts w:hint="cs"/>
          <w:sz w:val="18"/>
          <w:szCs w:val="18"/>
          <w:rtl/>
          <w:lang w:val="en-GB"/>
        </w:rPr>
        <w:t xml:space="preserve"> </w:t>
      </w:r>
      <w:r w:rsidR="009E20E3">
        <w:rPr>
          <w:rFonts w:hint="cs"/>
          <w:sz w:val="18"/>
          <w:szCs w:val="18"/>
          <w:rtl/>
          <w:lang w:val="en-GB"/>
        </w:rPr>
        <w:t xml:space="preserve"> </w:t>
      </w:r>
      <w:r w:rsidR="0031352F">
        <w:rPr>
          <w:sz w:val="18"/>
          <w:szCs w:val="18"/>
          <w:lang w:val="en-GB"/>
        </w:rPr>
        <w:t xml:space="preserve"> </w:t>
      </w:r>
      <w:proofErr w:type="spellStart"/>
      <w:r w:rsidR="0031352F" w:rsidRPr="0031352F">
        <w:rPr>
          <w:sz w:val="18"/>
          <w:szCs w:val="18"/>
          <w:lang w:val="en-GB"/>
        </w:rPr>
        <w:t>Diarrhea</w:t>
      </w:r>
      <w:proofErr w:type="spellEnd"/>
      <w:r w:rsidR="0031352F" w:rsidRPr="0031352F">
        <w:rPr>
          <w:sz w:val="18"/>
          <w:szCs w:val="18"/>
          <w:lang w:val="en-GB"/>
        </w:rPr>
        <w:t>, Nested PCR, 18SrRNA, E. histolytica, E. dispar</w:t>
      </w:r>
      <w:r w:rsidR="0031352F">
        <w:rPr>
          <w:sz w:val="18"/>
          <w:szCs w:val="18"/>
          <w:lang w:val="en-GB"/>
        </w:rPr>
        <w:t>.</w:t>
      </w:r>
    </w:p>
    <w:p w14:paraId="2C3C4FEE" w14:textId="77777777" w:rsidR="00887EA4" w:rsidRDefault="002D125E" w:rsidP="00DC08AE">
      <w:pPr>
        <w:spacing w:before="240" w:after="240" w:line="240" w:lineRule="auto"/>
        <w:jc w:val="center"/>
      </w:pPr>
      <w:r>
        <w:rPr>
          <w:b/>
          <w:sz w:val="24"/>
        </w:rPr>
        <w:t>INTRODUCTION</w:t>
      </w:r>
    </w:p>
    <w:p w14:paraId="034B7BD9" w14:textId="54380021" w:rsidR="0031352F" w:rsidRPr="0031352F" w:rsidRDefault="0031352F" w:rsidP="002A5C74">
      <w:pPr>
        <w:spacing w:line="240" w:lineRule="auto"/>
        <w:ind w:firstLine="284"/>
        <w:jc w:val="both"/>
      </w:pPr>
      <w:r>
        <w:t xml:space="preserve"> </w:t>
      </w:r>
      <w:r w:rsidR="006875B0">
        <w:t xml:space="preserve"> </w:t>
      </w:r>
      <w:r w:rsidR="006875B0" w:rsidRPr="006875B0">
        <w:t xml:space="preserve">Entamoeba genus is a group of unicellular protozoa, in other words, single-celled organisms that are characterized </w:t>
      </w:r>
      <w:proofErr w:type="gramStart"/>
      <w:r w:rsidR="006875B0" w:rsidRPr="006875B0">
        <w:t>by the use of</w:t>
      </w:r>
      <w:proofErr w:type="gramEnd"/>
      <w:r w:rsidR="006875B0" w:rsidRPr="006875B0">
        <w:t xml:space="preserve"> pseudopodia (locomotion). Majority of the species of this genus live in the human intestine and cause serious illness and death to humans [1]. The Entamoeba histolytica, Entamoeba dispar, and Entamoeba </w:t>
      </w:r>
      <w:proofErr w:type="spellStart"/>
      <w:r w:rsidR="006875B0" w:rsidRPr="006875B0">
        <w:t>moshkovskii</w:t>
      </w:r>
      <w:proofErr w:type="spellEnd"/>
      <w:r w:rsidR="006875B0" w:rsidRPr="006875B0">
        <w:t xml:space="preserve"> have phenotypic similarities even though their molecular differences exist. Entamoeba histolytica is a common amoebic causing parasite. It is estimated that infections will go up to 480 million which translates to 40,000 to 110,000 deaths per year around the world. This is the third most common cause of death after malaria and the schistosomiasis. The causative organism of the disease is the active trophozoite form which lives in the wall and lumen of the large intestine especially in cecum and the terminal parts of the small intestine causing intestinal perforation, hemorrhage, stricture, granuloma formation and can result in appendicitis [4,5].</w:t>
      </w:r>
    </w:p>
    <w:p w14:paraId="01DAF83F" w14:textId="6212A70A" w:rsidR="0031352F" w:rsidRDefault="006875B0" w:rsidP="002A5C74">
      <w:pPr>
        <w:spacing w:line="240" w:lineRule="auto"/>
        <w:ind w:firstLine="284"/>
        <w:jc w:val="both"/>
        <w:rPr>
          <w:rtl/>
        </w:rPr>
      </w:pPr>
      <w:r>
        <w:t xml:space="preserve"> </w:t>
      </w:r>
      <w:r w:rsidRPr="006875B0">
        <w:t xml:space="preserve">Diagnosis of Entamoeba spp. in human feces is based on microscopic analysis with a sensitivity of only 60 percent. This method cannot morphologically differentiate E. histolytica, E. dispar, and E. </w:t>
      </w:r>
      <w:proofErr w:type="spellStart"/>
      <w:r w:rsidRPr="006875B0">
        <w:t>moshkovskii</w:t>
      </w:r>
      <w:proofErr w:type="spellEnd"/>
      <w:r w:rsidRPr="006875B0">
        <w:t xml:space="preserve"> [6,7]. Over the last few years, the molecular means, namely Nested PCR, became an important tool of specific diagnosis of intestinal amoebiasis. This is a two-cycle DNA amplification technique to reduce nonspecific signals and improve the detection sensitivity [9,10]. It also provides the qualitative differentiation of E. histolytica and E. dispar in clinical specimens. The biomolecular discrepancy between microscopic and molecular results has, as demonstrated by the field studies, pointed to the importance of nested PCR in providing accurate data on the epidemiological distribution of an individual species, in addition to assessing how likely E. dispar is as a cause of human gastrointestinal diseases [11].</w:t>
      </w:r>
    </w:p>
    <w:p w14:paraId="3C418338" w14:textId="14844A09" w:rsidR="00CF00AE" w:rsidRPr="00CF00AE" w:rsidRDefault="00CF00AE" w:rsidP="002A5C74">
      <w:pPr>
        <w:spacing w:line="240" w:lineRule="auto"/>
        <w:ind w:firstLine="284"/>
        <w:jc w:val="both"/>
      </w:pPr>
      <w:r>
        <w:rPr>
          <w:rFonts w:hint="cs"/>
          <w:rtl/>
        </w:rPr>
        <w:t xml:space="preserve"> </w:t>
      </w:r>
      <w:r w:rsidRPr="00CF00AE">
        <w:t xml:space="preserve">As there </w:t>
      </w:r>
      <w:proofErr w:type="gramStart"/>
      <w:r w:rsidRPr="00CF00AE">
        <w:t>is</w:t>
      </w:r>
      <w:proofErr w:type="gramEnd"/>
      <w:r w:rsidRPr="00CF00AE">
        <w:t xml:space="preserve"> a diagnostic difficulty and clinical significance to amoebiasis, there is an evident necessity to develop methods that </w:t>
      </w:r>
      <w:proofErr w:type="gramStart"/>
      <w:r w:rsidRPr="00CF00AE">
        <w:t>are able to</w:t>
      </w:r>
      <w:proofErr w:type="gramEnd"/>
      <w:r w:rsidRPr="00CF00AE">
        <w:t xml:space="preserve"> differentiate the pathogenic form of Entamoeba histolytica, and morphologically equivalent, non-pathogenic E. dispar. The shortcomings of classical microscopy can be a wrong diagnosis, and the carriers of the non-pathogenic group are treated unnecessarily, and the real prevalence of amoebic dysentery is not accurately determined. Hence, the main objective of this research is to use highly sensitive and specific Nested Polymerase Chain Reaction (Nested-PCR) method to tightly determine and distinguish between E. histolytica and E. dispar in the study region in diarrheal patients. This study is notable because it will not only give a more precise epidemiological image of these two different species but also emphasize the clinical usefulness of molecular instruments to make a reliable diagnosis. The findings should help to improve the management of patients, more precise policies to combat the disease on the population level, and the clear picture of the molecular epidemiology of amoebiasis in Iraq.</w:t>
      </w:r>
    </w:p>
    <w:p w14:paraId="60AD05C6" w14:textId="373117A2" w:rsidR="00887EA4" w:rsidRDefault="002D125E" w:rsidP="00DC08AE">
      <w:pPr>
        <w:spacing w:before="240" w:after="240" w:line="240" w:lineRule="auto"/>
        <w:jc w:val="center"/>
      </w:pPr>
      <w:r>
        <w:rPr>
          <w:b/>
          <w:sz w:val="24"/>
        </w:rPr>
        <w:lastRenderedPageBreak/>
        <w:t>EXPERIMENTAL PART</w:t>
      </w:r>
    </w:p>
    <w:p w14:paraId="4C2DC16C" w14:textId="27C95A9A" w:rsidR="00AC7F81" w:rsidRPr="004A261E" w:rsidRDefault="00AC7F81" w:rsidP="004A261E">
      <w:pPr>
        <w:spacing w:line="240" w:lineRule="auto"/>
        <w:jc w:val="center"/>
        <w:rPr>
          <w:b/>
          <w:bCs/>
        </w:rPr>
      </w:pPr>
      <w:r w:rsidRPr="004A261E">
        <w:rPr>
          <w:b/>
          <w:bCs/>
        </w:rPr>
        <w:t xml:space="preserve">Samples </w:t>
      </w:r>
      <w:r w:rsidR="002A5C74" w:rsidRPr="004A261E">
        <w:rPr>
          <w:b/>
          <w:bCs/>
        </w:rPr>
        <w:t>Collection</w:t>
      </w:r>
    </w:p>
    <w:p w14:paraId="38602579" w14:textId="7CAFB450" w:rsidR="0031352F" w:rsidRPr="0031352F" w:rsidRDefault="0031352F" w:rsidP="002A5C74">
      <w:pPr>
        <w:spacing w:line="240" w:lineRule="auto"/>
        <w:ind w:firstLine="284"/>
        <w:jc w:val="both"/>
        <w:rPr>
          <w:b/>
          <w:bCs/>
        </w:rPr>
      </w:pPr>
      <w:r>
        <w:t xml:space="preserve"> </w:t>
      </w:r>
      <w:r w:rsidRPr="0031352F">
        <w:t xml:space="preserve">One hundred stool samples were obtained from patients experiencing severe to moderate diarrhea, including bloody diarrhea, at Tikrit Teaching Hospital, Al-Alam Hospital, and outpatient laboratories in Al-Alam District, between October 1, </w:t>
      </w:r>
      <w:r w:rsidR="006875B0">
        <w:t xml:space="preserve">2024, and the end of June 2025. </w:t>
      </w:r>
      <w:r w:rsidR="006875B0" w:rsidRPr="006875B0">
        <w:t xml:space="preserve">The age of the patients ranged between 1 month and 40 years and both sexes were represented. The samples were collected in sterilized yet wide mouthed plastic beakers that had securely sealed lids to help in keeping the samples moist and prevent drying. The microscopic examination was performed during the first three hours of the sample collection and focused on the areas with mucus or blood </w:t>
      </w:r>
      <w:proofErr w:type="gramStart"/>
      <w:r w:rsidR="006875B0" w:rsidRPr="006875B0">
        <w:t>in order to</w:t>
      </w:r>
      <w:proofErr w:type="gramEnd"/>
      <w:r w:rsidR="006875B0" w:rsidRPr="006875B0">
        <w:t xml:space="preserve"> pinpoint the active stage of the parasitic agent that triggered the disease. The active stage is mainly found in soft materials, but rarely in solid or semi-solid samples, which normally contain the enclosed stage. The presence of encysted stage is a common characteristic of parasitic infection [12]. The Samples were kept in DNA Shield solution.</w:t>
      </w:r>
    </w:p>
    <w:p w14:paraId="5B8A6A3F" w14:textId="524F68F9" w:rsidR="0031352F" w:rsidRPr="004A261E" w:rsidRDefault="0031352F" w:rsidP="004A261E">
      <w:pPr>
        <w:spacing w:line="240" w:lineRule="auto"/>
        <w:jc w:val="center"/>
        <w:rPr>
          <w:b/>
          <w:bCs/>
        </w:rPr>
      </w:pPr>
      <w:r w:rsidRPr="004A261E">
        <w:rPr>
          <w:b/>
          <w:bCs/>
        </w:rPr>
        <w:t xml:space="preserve">Molecular </w:t>
      </w:r>
      <w:r w:rsidR="002A5C74" w:rsidRPr="004A261E">
        <w:rPr>
          <w:b/>
          <w:bCs/>
        </w:rPr>
        <w:t>Study</w:t>
      </w:r>
    </w:p>
    <w:p w14:paraId="681AE42D" w14:textId="77777777" w:rsidR="0031352F" w:rsidRPr="0031352F" w:rsidRDefault="0031352F" w:rsidP="002A5C74">
      <w:pPr>
        <w:spacing w:line="240" w:lineRule="auto"/>
        <w:ind w:firstLine="284"/>
        <w:jc w:val="both"/>
      </w:pPr>
      <w:r w:rsidRPr="0031352F">
        <w:t>Molecular testing was performed to detect Entamoeba spp. from stool samples, based on specific genes. The method was performed according to the following steps</w:t>
      </w:r>
      <w:r w:rsidRPr="0031352F">
        <w:rPr>
          <w:rtl/>
          <w:lang w:bidi="ar-IQ"/>
        </w:rPr>
        <w:t>:</w:t>
      </w:r>
    </w:p>
    <w:p w14:paraId="6AB084C3" w14:textId="77777777" w:rsidR="0031352F" w:rsidRPr="004A261E" w:rsidRDefault="0031352F" w:rsidP="004A261E">
      <w:pPr>
        <w:spacing w:line="240" w:lineRule="auto"/>
        <w:jc w:val="center"/>
        <w:rPr>
          <w:b/>
          <w:bCs/>
        </w:rPr>
      </w:pPr>
      <w:r w:rsidRPr="004A261E">
        <w:rPr>
          <w:b/>
          <w:bCs/>
        </w:rPr>
        <w:t>Genomic DNA Extraction</w:t>
      </w:r>
    </w:p>
    <w:p w14:paraId="10E214B2" w14:textId="77777777" w:rsidR="0031352F" w:rsidRPr="0031352F" w:rsidRDefault="0031352F" w:rsidP="002A5C74">
      <w:pPr>
        <w:spacing w:line="240" w:lineRule="auto"/>
        <w:ind w:firstLine="284"/>
        <w:jc w:val="both"/>
        <w:rPr>
          <w:b/>
          <w:bCs/>
        </w:rPr>
      </w:pPr>
      <w:r w:rsidRPr="0031352F">
        <w:t xml:space="preserve">DNA was isolated from the collected samples utilizing the Presto™ Mini gDNA Kit supplied by </w:t>
      </w:r>
      <w:proofErr w:type="spellStart"/>
      <w:r w:rsidRPr="0031352F">
        <w:t>Geneaid</w:t>
      </w:r>
      <w:proofErr w:type="spellEnd"/>
      <w:r w:rsidRPr="0031352F">
        <w:t xml:space="preserve">. </w:t>
      </w:r>
      <w:proofErr w:type="gramStart"/>
      <w:r w:rsidRPr="0031352F">
        <w:t>Subsequent to</w:t>
      </w:r>
      <w:proofErr w:type="gramEnd"/>
      <w:r w:rsidRPr="0031352F">
        <w:t xml:space="preserve"> extraction, the purity and concentration of the isolated DNA were quantified utilizing a Nanodrop spectrophotometer, by assessing the absorbance at a wavelength ranging from 260 to 280 nm.</w:t>
      </w:r>
    </w:p>
    <w:p w14:paraId="4C409AB3" w14:textId="77777777" w:rsidR="0031352F" w:rsidRPr="004A261E" w:rsidRDefault="0031352F" w:rsidP="004A261E">
      <w:pPr>
        <w:spacing w:line="240" w:lineRule="auto"/>
        <w:jc w:val="center"/>
        <w:rPr>
          <w:b/>
          <w:bCs/>
        </w:rPr>
      </w:pPr>
      <w:r w:rsidRPr="004A261E">
        <w:rPr>
          <w:b/>
          <w:bCs/>
        </w:rPr>
        <w:t>Nested PCR</w:t>
      </w:r>
    </w:p>
    <w:p w14:paraId="657B9B0B" w14:textId="4E586E82" w:rsidR="0031352F" w:rsidRPr="0031352F" w:rsidRDefault="00BD733D" w:rsidP="002A5C74">
      <w:pPr>
        <w:spacing w:line="240" w:lineRule="auto"/>
        <w:ind w:firstLine="284"/>
        <w:jc w:val="both"/>
      </w:pPr>
      <w:r>
        <w:t xml:space="preserve">  </w:t>
      </w:r>
      <w:r w:rsidRPr="00BD733D">
        <w:t xml:space="preserve">A primary PCR was performed using primers E-1 and E-2 to amplify a 900 bp fragment of the 18S rRNA gene, confirming Entamoeba </w:t>
      </w:r>
      <w:proofErr w:type="gramStart"/>
      <w:r w:rsidRPr="00BD733D">
        <w:t>spp..</w:t>
      </w:r>
      <w:proofErr w:type="gramEnd"/>
      <w:r w:rsidRPr="00BD733D">
        <w:t xml:space="preserve"> Following this, two separate nested-PCRs were conducted using the 900 bp product as a template: one reaction used primers EH-1 and EH-2 to detect E. histolytica (439 bp), and a second reaction used primers ED-1 and ED-2 to detect E. dispar (174 bp).</w:t>
      </w:r>
    </w:p>
    <w:p w14:paraId="51F7E2EA" w14:textId="481E0EBA" w:rsidR="0031352F" w:rsidRPr="004A261E" w:rsidRDefault="0031352F" w:rsidP="004A261E">
      <w:pPr>
        <w:spacing w:line="240" w:lineRule="auto"/>
        <w:jc w:val="center"/>
        <w:rPr>
          <w:b/>
          <w:bCs/>
        </w:rPr>
      </w:pPr>
      <w:r w:rsidRPr="004A261E">
        <w:rPr>
          <w:b/>
          <w:bCs/>
        </w:rPr>
        <w:t xml:space="preserve">PCR Components </w:t>
      </w:r>
      <w:r w:rsidR="002A5C74" w:rsidRPr="004A261E">
        <w:rPr>
          <w:b/>
          <w:bCs/>
        </w:rPr>
        <w:t>Preparation</w:t>
      </w:r>
    </w:p>
    <w:p w14:paraId="2DC916C2" w14:textId="77777777" w:rsidR="0031352F" w:rsidRPr="0031352F" w:rsidRDefault="0031352F" w:rsidP="002A5C74">
      <w:pPr>
        <w:spacing w:line="240" w:lineRule="auto"/>
        <w:ind w:firstLine="284"/>
        <w:jc w:val="both"/>
        <w:rPr>
          <w:b/>
          <w:bCs/>
        </w:rPr>
      </w:pPr>
      <w:r w:rsidRPr="0031352F">
        <w:t xml:space="preserve">The nested PCR mixture was created utilizing the PCR master mix kit provided by the Korean- </w:t>
      </w:r>
      <w:proofErr w:type="spellStart"/>
      <w:r w:rsidRPr="0031352F">
        <w:t>Bioneer</w:t>
      </w:r>
      <w:proofErr w:type="spellEnd"/>
      <w:r w:rsidRPr="0031352F">
        <w:t xml:space="preserve">, in accordance with the manufacturer's guidelines. In the initial round, two sets of designed primers were utilized: 0.75 µL of forward primer at 10 </w:t>
      </w:r>
      <w:proofErr w:type="spellStart"/>
      <w:r w:rsidRPr="0031352F">
        <w:t>pmol</w:t>
      </w:r>
      <w:proofErr w:type="spellEnd"/>
      <w:r w:rsidRPr="0031352F">
        <w:t xml:space="preserve"> and 0.75 µL of reverse primer at 10 </w:t>
      </w:r>
      <w:proofErr w:type="spellStart"/>
      <w:r w:rsidRPr="0031352F">
        <w:t>pmol</w:t>
      </w:r>
      <w:proofErr w:type="spellEnd"/>
      <w:r w:rsidRPr="0031352F">
        <w:t>. 3 µL of template DNA (5–50 ng/µL) was included, along with 12.5 µL of master mix. The total reaction volume was adjusted to 25 µL by adding 8 µL of nuclease-free water. Upon finalizing the PCR mixture preparation, the tubes were sealed and meticulously vortexed for 10 seconds. The tubes were thereafter placed in a PCR thermocycler to execute the cycles as per the reaction protocol. During the initial round of the PCR, the thermal protocol commenced with a pre-denaturation phase at 95°C for 5 minutes, succeeded by denaturation at 95°C for 30 seconds, followed by an annealing phase at 58°C for 30 seconds, and concluding with 30 cycles of extension at 72°C for 30 seconds. The Final Extension phase was conducted at 72°C for 5 minutes, performed once.</w:t>
      </w:r>
    </w:p>
    <w:p w14:paraId="4E1D2FA2" w14:textId="18DF2DF2" w:rsidR="0031352F" w:rsidRPr="004A261E" w:rsidRDefault="0031352F" w:rsidP="004A261E">
      <w:pPr>
        <w:spacing w:line="240" w:lineRule="auto"/>
        <w:jc w:val="center"/>
        <w:rPr>
          <w:b/>
          <w:bCs/>
        </w:rPr>
      </w:pPr>
      <w:r w:rsidRPr="004A261E">
        <w:rPr>
          <w:b/>
          <w:bCs/>
        </w:rPr>
        <w:t xml:space="preserve">Second </w:t>
      </w:r>
      <w:r w:rsidR="00094104" w:rsidRPr="004A261E">
        <w:rPr>
          <w:b/>
          <w:bCs/>
        </w:rPr>
        <w:t>Round</w:t>
      </w:r>
    </w:p>
    <w:p w14:paraId="167ACB99" w14:textId="50B939AF" w:rsidR="0031352F" w:rsidRDefault="0031352F" w:rsidP="00094104">
      <w:pPr>
        <w:spacing w:line="240" w:lineRule="auto"/>
        <w:ind w:firstLine="284"/>
        <w:jc w:val="both"/>
      </w:pPr>
      <w:r w:rsidRPr="0031352F">
        <w:t xml:space="preserve">The product of the initial reaction was subsequently transferred to an </w:t>
      </w:r>
      <w:proofErr w:type="spellStart"/>
      <w:r w:rsidRPr="0031352F">
        <w:t>Exispin</w:t>
      </w:r>
      <w:proofErr w:type="spellEnd"/>
      <w:r w:rsidRPr="0031352F">
        <w:t xml:space="preserve"> vortex centrifuge operating at 3000 rpm for a duration of 3 minutes. The constituents of the Nested PCR reaction in the second round were as follows: 3 </w:t>
      </w:r>
      <w:proofErr w:type="spellStart"/>
      <w:r w:rsidRPr="0031352F">
        <w:t>μL</w:t>
      </w:r>
      <w:proofErr w:type="spellEnd"/>
      <w:r w:rsidRPr="0031352F">
        <w:t xml:space="preserve"> of template DNA (5–50 ng/</w:t>
      </w:r>
      <w:proofErr w:type="spellStart"/>
      <w:r w:rsidRPr="0031352F">
        <w:t>μL</w:t>
      </w:r>
      <w:proofErr w:type="spellEnd"/>
      <w:r w:rsidRPr="0031352F">
        <w:t xml:space="preserve">), 0.75 </w:t>
      </w:r>
      <w:proofErr w:type="spellStart"/>
      <w:r w:rsidRPr="0031352F">
        <w:t>μL</w:t>
      </w:r>
      <w:proofErr w:type="spellEnd"/>
      <w:r w:rsidRPr="0031352F">
        <w:t xml:space="preserve"> of forward primer (10 </w:t>
      </w:r>
      <w:proofErr w:type="spellStart"/>
      <w:r w:rsidRPr="0031352F">
        <w:t>pmol</w:t>
      </w:r>
      <w:proofErr w:type="spellEnd"/>
      <w:r w:rsidRPr="0031352F">
        <w:t xml:space="preserve">), 0.75 </w:t>
      </w:r>
      <w:proofErr w:type="spellStart"/>
      <w:r w:rsidRPr="0031352F">
        <w:t>μL</w:t>
      </w:r>
      <w:proofErr w:type="spellEnd"/>
      <w:r w:rsidRPr="0031352F">
        <w:t xml:space="preserve"> of reverse primer (10 </w:t>
      </w:r>
      <w:proofErr w:type="spellStart"/>
      <w:r w:rsidRPr="0031352F">
        <w:t>pmol</w:t>
      </w:r>
      <w:proofErr w:type="spellEnd"/>
      <w:r w:rsidRPr="0031352F">
        <w:t xml:space="preserve">), and 12.5 </w:t>
      </w:r>
      <w:proofErr w:type="spellStart"/>
      <w:r w:rsidRPr="0031352F">
        <w:t>μL</w:t>
      </w:r>
      <w:proofErr w:type="spellEnd"/>
      <w:r w:rsidRPr="0031352F">
        <w:t xml:space="preserve"> of master mix were included. The total reaction volume was adjusted to 25 </w:t>
      </w:r>
      <w:proofErr w:type="spellStart"/>
      <w:r w:rsidRPr="0031352F">
        <w:t>μL</w:t>
      </w:r>
      <w:proofErr w:type="spellEnd"/>
      <w:r w:rsidRPr="0031352F">
        <w:t xml:space="preserve"> by adding 8 </w:t>
      </w:r>
      <w:proofErr w:type="spellStart"/>
      <w:r w:rsidRPr="0031352F">
        <w:t>μL</w:t>
      </w:r>
      <w:proofErr w:type="spellEnd"/>
      <w:r w:rsidRPr="0031352F">
        <w:t xml:space="preserve"> of nuclease-free water. The thermal protocol commenced with an initial denaturation step at 95°C for 5 minutes, succeeded by a denaturation step at 94°C for 30 seconds, an annealing step at 55°C for 30 seconds, and an extension step at 72°C for 30 seconds. The cycles were reiterated 30 times. The last extension phase was conducted at 72°C for a single duration of 5 minutes.</w:t>
      </w:r>
    </w:p>
    <w:p w14:paraId="41051055" w14:textId="77777777" w:rsidR="004A261E" w:rsidRPr="0031352F" w:rsidRDefault="004A261E" w:rsidP="0031352F">
      <w:pPr>
        <w:spacing w:line="240" w:lineRule="auto"/>
        <w:ind w:firstLine="720"/>
        <w:jc w:val="both"/>
        <w:rPr>
          <w:b/>
          <w:bCs/>
        </w:rPr>
      </w:pPr>
    </w:p>
    <w:p w14:paraId="7FE16C1E" w14:textId="53BCCA8A" w:rsidR="0031352F" w:rsidRPr="004A261E" w:rsidRDefault="0031352F" w:rsidP="004A261E">
      <w:pPr>
        <w:spacing w:line="240" w:lineRule="auto"/>
        <w:jc w:val="center"/>
      </w:pPr>
      <w:r w:rsidRPr="004A261E">
        <w:rPr>
          <w:b/>
          <w:bCs/>
        </w:rPr>
        <w:lastRenderedPageBreak/>
        <w:t xml:space="preserve">Electrophoresis of Nested-PCR </w:t>
      </w:r>
      <w:r w:rsidR="00094104" w:rsidRPr="004A261E">
        <w:rPr>
          <w:b/>
          <w:bCs/>
        </w:rPr>
        <w:t>Products</w:t>
      </w:r>
    </w:p>
    <w:p w14:paraId="05FDBC4E" w14:textId="77777777" w:rsidR="0031352F" w:rsidRPr="0031352F" w:rsidRDefault="0031352F" w:rsidP="00094104">
      <w:pPr>
        <w:spacing w:line="240" w:lineRule="auto"/>
        <w:ind w:firstLine="284"/>
        <w:jc w:val="both"/>
        <w:rPr>
          <w:b/>
          <w:bCs/>
        </w:rPr>
      </w:pPr>
      <w:r w:rsidRPr="0031352F">
        <w:t xml:space="preserve"> Entamoeba spp. gene amplification products were analyzed using 2% agarose gel electrophoresis. After completion of the process, the bands were detected using a UV transilluminator, and the gel results were photographed for documentation and analysis</w:t>
      </w:r>
      <w:r w:rsidRPr="0031352F">
        <w:rPr>
          <w:b/>
          <w:bCs/>
          <w:rtl/>
          <w:lang w:bidi="ar-IQ"/>
        </w:rPr>
        <w:t>.</w:t>
      </w:r>
    </w:p>
    <w:p w14:paraId="0C85DBE6" w14:textId="35FCE3A8" w:rsidR="00AC7F81" w:rsidRPr="00AC7F81" w:rsidRDefault="00AC7F81" w:rsidP="00AC7F81">
      <w:pPr>
        <w:spacing w:line="240" w:lineRule="auto"/>
        <w:jc w:val="center"/>
        <w:rPr>
          <w:b/>
          <w:bCs/>
          <w:sz w:val="24"/>
          <w:szCs w:val="28"/>
        </w:rPr>
      </w:pPr>
      <w:r w:rsidRPr="00AC7F81">
        <w:rPr>
          <w:b/>
          <w:bCs/>
          <w:sz w:val="24"/>
          <w:szCs w:val="28"/>
        </w:rPr>
        <w:t>RESULT AND DISCUSSION</w:t>
      </w:r>
    </w:p>
    <w:p w14:paraId="41F8FE38" w14:textId="7644E84B" w:rsidR="003427BB" w:rsidRPr="003427BB" w:rsidRDefault="006875B0" w:rsidP="00094104">
      <w:pPr>
        <w:spacing w:line="240" w:lineRule="auto"/>
        <w:ind w:firstLine="284"/>
        <w:jc w:val="both"/>
        <w:rPr>
          <w:b/>
          <w:bCs/>
        </w:rPr>
      </w:pPr>
      <w:r w:rsidRPr="006875B0">
        <w:t xml:space="preserve">Based on the results of the study provided in Table (1), it is observed that the prevalence of the Entamoeba </w:t>
      </w:r>
      <w:proofErr w:type="spellStart"/>
      <w:r w:rsidRPr="006875B0">
        <w:t>Spp</w:t>
      </w:r>
      <w:proofErr w:type="spellEnd"/>
      <w:r w:rsidRPr="006875B0">
        <w:t xml:space="preserve"> infection among the 100, which were analyzed by microscopic examination was 65% and 35% did not show the presence of the parasite as provided in Table (1). According to the results of the current study, it was found that the rate of infection was about 65 percent of E. histolytica, which is 60 percent as reported by [13] in Salah al-Din and is close to the results of 61.93 percent reported by [14]. Conversely, this was not </w:t>
      </w:r>
      <w:proofErr w:type="gramStart"/>
      <w:r w:rsidRPr="006875B0">
        <w:t>similar to</w:t>
      </w:r>
      <w:proofErr w:type="gramEnd"/>
      <w:r w:rsidRPr="006875B0">
        <w:t xml:space="preserve"> the result of [15] at 33 percent (8.3) which was the lowest infection rate of Entamoeba species under microscopic examination. This difference might be attributed to differences in sanitation, individual hygiene, population density, style of life, and climatic conditions that </w:t>
      </w:r>
      <w:proofErr w:type="spellStart"/>
      <w:r w:rsidRPr="006875B0">
        <w:t>favour</w:t>
      </w:r>
      <w:proofErr w:type="spellEnd"/>
      <w:r w:rsidRPr="006875B0">
        <w:t xml:space="preserve"> extended cysts survival therefore increasing the likelihood of infection [16].</w:t>
      </w:r>
    </w:p>
    <w:p w14:paraId="083D7906" w14:textId="1349EDC5" w:rsidR="003427BB" w:rsidRPr="003427BB" w:rsidRDefault="003427BB" w:rsidP="003427BB">
      <w:pPr>
        <w:spacing w:line="240" w:lineRule="auto"/>
        <w:jc w:val="center"/>
        <w:rPr>
          <w:sz w:val="18"/>
          <w:szCs w:val="18"/>
        </w:rPr>
      </w:pPr>
      <w:r w:rsidRPr="003427BB">
        <w:rPr>
          <w:b/>
          <w:bCs/>
          <w:sz w:val="18"/>
          <w:szCs w:val="18"/>
        </w:rPr>
        <w:t xml:space="preserve">TABLE 1. </w:t>
      </w:r>
      <w:r w:rsidRPr="003427BB">
        <w:rPr>
          <w:sz w:val="18"/>
          <w:szCs w:val="18"/>
        </w:rPr>
        <w:t xml:space="preserve">Percentage of samples tested for Entamoeba </w:t>
      </w:r>
      <w:proofErr w:type="spellStart"/>
      <w:r w:rsidRPr="003427BB">
        <w:rPr>
          <w:sz w:val="18"/>
          <w:szCs w:val="18"/>
        </w:rPr>
        <w:t>spp</w:t>
      </w:r>
      <w:proofErr w:type="spellEnd"/>
      <w:r w:rsidRPr="003427BB">
        <w:rPr>
          <w:sz w:val="18"/>
          <w:szCs w:val="18"/>
          <w:rtl/>
          <w:lang w:bidi="ar-IQ"/>
        </w:rPr>
        <w:t>.</w:t>
      </w:r>
    </w:p>
    <w:tbl>
      <w:tblPr>
        <w:tblStyle w:val="TableGrid"/>
        <w:tblW w:w="8432"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2"/>
        <w:gridCol w:w="1658"/>
        <w:gridCol w:w="1705"/>
        <w:gridCol w:w="1671"/>
        <w:gridCol w:w="1706"/>
      </w:tblGrid>
      <w:tr w:rsidR="003427BB" w:rsidRPr="003427BB" w14:paraId="729249D2" w14:textId="77777777" w:rsidTr="00DC08AE">
        <w:trPr>
          <w:trHeight w:val="437"/>
          <w:jc w:val="center"/>
        </w:trPr>
        <w:tc>
          <w:tcPr>
            <w:tcW w:w="1692" w:type="dxa"/>
            <w:tcBorders>
              <w:top w:val="single" w:sz="4" w:space="0" w:color="auto"/>
              <w:bottom w:val="single" w:sz="4" w:space="0" w:color="auto"/>
            </w:tcBorders>
          </w:tcPr>
          <w:p w14:paraId="39588404" w14:textId="77777777" w:rsidR="003427BB" w:rsidRPr="003427BB" w:rsidRDefault="003427BB" w:rsidP="003427BB">
            <w:pPr>
              <w:spacing w:after="200"/>
              <w:jc w:val="center"/>
              <w:rPr>
                <w:b/>
                <w:bCs/>
                <w:sz w:val="18"/>
                <w:szCs w:val="20"/>
              </w:rPr>
            </w:pPr>
            <w:r w:rsidRPr="003427BB">
              <w:rPr>
                <w:b/>
                <w:bCs/>
                <w:sz w:val="18"/>
                <w:szCs w:val="20"/>
              </w:rPr>
              <w:t>Examined samples</w:t>
            </w:r>
          </w:p>
        </w:tc>
        <w:tc>
          <w:tcPr>
            <w:tcW w:w="1658" w:type="dxa"/>
            <w:tcBorders>
              <w:top w:val="single" w:sz="4" w:space="0" w:color="auto"/>
              <w:bottom w:val="single" w:sz="4" w:space="0" w:color="auto"/>
            </w:tcBorders>
          </w:tcPr>
          <w:p w14:paraId="13CD6712" w14:textId="77777777" w:rsidR="003427BB" w:rsidRPr="003427BB" w:rsidRDefault="003427BB" w:rsidP="003427BB">
            <w:pPr>
              <w:spacing w:after="200"/>
              <w:jc w:val="center"/>
              <w:rPr>
                <w:b/>
                <w:bCs/>
                <w:sz w:val="18"/>
                <w:szCs w:val="20"/>
              </w:rPr>
            </w:pPr>
            <w:r w:rsidRPr="003427BB">
              <w:rPr>
                <w:b/>
                <w:bCs/>
                <w:sz w:val="18"/>
                <w:szCs w:val="20"/>
              </w:rPr>
              <w:t>Positive result</w:t>
            </w:r>
          </w:p>
        </w:tc>
        <w:tc>
          <w:tcPr>
            <w:tcW w:w="1705" w:type="dxa"/>
            <w:tcBorders>
              <w:top w:val="single" w:sz="4" w:space="0" w:color="auto"/>
              <w:bottom w:val="single" w:sz="4" w:space="0" w:color="auto"/>
            </w:tcBorders>
          </w:tcPr>
          <w:p w14:paraId="49F7DA4E" w14:textId="77777777" w:rsidR="003427BB" w:rsidRPr="003427BB" w:rsidRDefault="003427BB" w:rsidP="003427BB">
            <w:pPr>
              <w:spacing w:after="200"/>
              <w:jc w:val="center"/>
              <w:rPr>
                <w:b/>
                <w:bCs/>
                <w:sz w:val="18"/>
                <w:szCs w:val="20"/>
              </w:rPr>
            </w:pPr>
            <w:r w:rsidRPr="003427BB">
              <w:rPr>
                <w:b/>
                <w:bCs/>
                <w:sz w:val="18"/>
                <w:szCs w:val="20"/>
              </w:rPr>
              <w:t>Percentage</w:t>
            </w:r>
          </w:p>
        </w:tc>
        <w:tc>
          <w:tcPr>
            <w:tcW w:w="1671" w:type="dxa"/>
            <w:tcBorders>
              <w:top w:val="single" w:sz="4" w:space="0" w:color="auto"/>
              <w:bottom w:val="single" w:sz="4" w:space="0" w:color="auto"/>
            </w:tcBorders>
          </w:tcPr>
          <w:p w14:paraId="447EC817" w14:textId="77777777" w:rsidR="003427BB" w:rsidRPr="003427BB" w:rsidRDefault="003427BB" w:rsidP="003427BB">
            <w:pPr>
              <w:spacing w:after="200"/>
              <w:jc w:val="center"/>
              <w:rPr>
                <w:b/>
                <w:bCs/>
                <w:sz w:val="18"/>
                <w:szCs w:val="20"/>
              </w:rPr>
            </w:pPr>
            <w:r w:rsidRPr="003427BB">
              <w:rPr>
                <w:b/>
                <w:bCs/>
                <w:sz w:val="18"/>
                <w:szCs w:val="20"/>
              </w:rPr>
              <w:t>Negative result</w:t>
            </w:r>
          </w:p>
        </w:tc>
        <w:tc>
          <w:tcPr>
            <w:tcW w:w="1706" w:type="dxa"/>
            <w:tcBorders>
              <w:top w:val="single" w:sz="4" w:space="0" w:color="auto"/>
              <w:bottom w:val="single" w:sz="4" w:space="0" w:color="auto"/>
            </w:tcBorders>
          </w:tcPr>
          <w:p w14:paraId="4ECEE775" w14:textId="77777777" w:rsidR="003427BB" w:rsidRPr="003427BB" w:rsidRDefault="003427BB" w:rsidP="003427BB">
            <w:pPr>
              <w:spacing w:after="200"/>
              <w:jc w:val="center"/>
              <w:rPr>
                <w:b/>
                <w:bCs/>
                <w:sz w:val="18"/>
                <w:szCs w:val="20"/>
              </w:rPr>
            </w:pPr>
            <w:r w:rsidRPr="003427BB">
              <w:rPr>
                <w:b/>
                <w:bCs/>
                <w:sz w:val="18"/>
                <w:szCs w:val="20"/>
              </w:rPr>
              <w:t>Percentage</w:t>
            </w:r>
          </w:p>
        </w:tc>
      </w:tr>
      <w:tr w:rsidR="003427BB" w:rsidRPr="003427BB" w14:paraId="6910600A" w14:textId="77777777" w:rsidTr="00DC08AE">
        <w:trPr>
          <w:trHeight w:val="424"/>
          <w:jc w:val="center"/>
        </w:trPr>
        <w:tc>
          <w:tcPr>
            <w:tcW w:w="1692" w:type="dxa"/>
            <w:tcBorders>
              <w:top w:val="single" w:sz="4" w:space="0" w:color="auto"/>
            </w:tcBorders>
          </w:tcPr>
          <w:p w14:paraId="7126E0B7" w14:textId="77777777" w:rsidR="003427BB" w:rsidRPr="003427BB" w:rsidRDefault="003427BB" w:rsidP="003427BB">
            <w:pPr>
              <w:spacing w:after="200"/>
              <w:jc w:val="center"/>
              <w:rPr>
                <w:sz w:val="18"/>
                <w:szCs w:val="20"/>
              </w:rPr>
            </w:pPr>
            <w:r w:rsidRPr="003427BB">
              <w:rPr>
                <w:sz w:val="18"/>
                <w:szCs w:val="20"/>
              </w:rPr>
              <w:t>100</w:t>
            </w:r>
          </w:p>
        </w:tc>
        <w:tc>
          <w:tcPr>
            <w:tcW w:w="1658" w:type="dxa"/>
            <w:tcBorders>
              <w:top w:val="single" w:sz="4" w:space="0" w:color="auto"/>
            </w:tcBorders>
          </w:tcPr>
          <w:p w14:paraId="7B87CE2E" w14:textId="77777777" w:rsidR="003427BB" w:rsidRPr="003427BB" w:rsidRDefault="003427BB" w:rsidP="003427BB">
            <w:pPr>
              <w:spacing w:after="200"/>
              <w:jc w:val="center"/>
              <w:rPr>
                <w:sz w:val="18"/>
                <w:szCs w:val="20"/>
              </w:rPr>
            </w:pPr>
            <w:r w:rsidRPr="003427BB">
              <w:rPr>
                <w:sz w:val="18"/>
                <w:szCs w:val="20"/>
              </w:rPr>
              <w:t>65</w:t>
            </w:r>
          </w:p>
        </w:tc>
        <w:tc>
          <w:tcPr>
            <w:tcW w:w="1705" w:type="dxa"/>
            <w:tcBorders>
              <w:top w:val="single" w:sz="4" w:space="0" w:color="auto"/>
            </w:tcBorders>
          </w:tcPr>
          <w:p w14:paraId="23FDA4BD" w14:textId="77777777" w:rsidR="003427BB" w:rsidRPr="003427BB" w:rsidRDefault="003427BB" w:rsidP="003427BB">
            <w:pPr>
              <w:spacing w:after="200"/>
              <w:jc w:val="center"/>
              <w:rPr>
                <w:sz w:val="18"/>
                <w:szCs w:val="20"/>
              </w:rPr>
            </w:pPr>
            <w:r w:rsidRPr="003427BB">
              <w:rPr>
                <w:sz w:val="18"/>
                <w:szCs w:val="20"/>
              </w:rPr>
              <w:t>65%</w:t>
            </w:r>
          </w:p>
        </w:tc>
        <w:tc>
          <w:tcPr>
            <w:tcW w:w="1671" w:type="dxa"/>
            <w:tcBorders>
              <w:top w:val="single" w:sz="4" w:space="0" w:color="auto"/>
            </w:tcBorders>
          </w:tcPr>
          <w:p w14:paraId="54A59B09" w14:textId="77777777" w:rsidR="003427BB" w:rsidRPr="003427BB" w:rsidRDefault="003427BB" w:rsidP="003427BB">
            <w:pPr>
              <w:spacing w:after="200"/>
              <w:jc w:val="center"/>
              <w:rPr>
                <w:sz w:val="18"/>
                <w:szCs w:val="20"/>
              </w:rPr>
            </w:pPr>
            <w:r w:rsidRPr="003427BB">
              <w:rPr>
                <w:sz w:val="18"/>
                <w:szCs w:val="20"/>
              </w:rPr>
              <w:t>35</w:t>
            </w:r>
          </w:p>
        </w:tc>
        <w:tc>
          <w:tcPr>
            <w:tcW w:w="1706" w:type="dxa"/>
            <w:tcBorders>
              <w:top w:val="single" w:sz="4" w:space="0" w:color="auto"/>
            </w:tcBorders>
          </w:tcPr>
          <w:p w14:paraId="703980D5" w14:textId="77777777" w:rsidR="003427BB" w:rsidRPr="003427BB" w:rsidRDefault="003427BB" w:rsidP="003427BB">
            <w:pPr>
              <w:spacing w:after="200"/>
              <w:jc w:val="center"/>
              <w:rPr>
                <w:sz w:val="18"/>
                <w:szCs w:val="20"/>
              </w:rPr>
            </w:pPr>
            <w:r w:rsidRPr="003427BB">
              <w:rPr>
                <w:sz w:val="18"/>
                <w:szCs w:val="20"/>
              </w:rPr>
              <w:t>35%</w:t>
            </w:r>
          </w:p>
        </w:tc>
      </w:tr>
    </w:tbl>
    <w:p w14:paraId="49F83292" w14:textId="46408FFE" w:rsidR="003427BB" w:rsidRPr="003427BB" w:rsidRDefault="003427BB" w:rsidP="00094104">
      <w:pPr>
        <w:spacing w:line="240" w:lineRule="auto"/>
        <w:ind w:firstLine="284"/>
        <w:jc w:val="both"/>
      </w:pPr>
      <w:r w:rsidRPr="003427BB">
        <w:t>The genetic material (deoxyribonucleic acid) of the patients who showed symptoms of infection with the parasite, numbering (100) samples, was extracted, and 88% DNA was</w:t>
      </w:r>
      <w:r w:rsidR="00BD733D">
        <w:t xml:space="preserve"> obtained, as shown in Figure (1</w:t>
      </w:r>
      <w:r w:rsidRPr="003427BB">
        <w:t>).</w:t>
      </w:r>
    </w:p>
    <w:p w14:paraId="51B8E82D" w14:textId="12FE3655" w:rsidR="003427BB" w:rsidRPr="003427BB" w:rsidRDefault="003427BB" w:rsidP="003427BB">
      <w:pPr>
        <w:spacing w:line="240" w:lineRule="auto"/>
        <w:jc w:val="center"/>
        <w:rPr>
          <w:rtl/>
          <w:lang w:bidi="ar-DZ"/>
        </w:rPr>
      </w:pPr>
      <w:r w:rsidRPr="003427BB">
        <w:rPr>
          <w:noProof/>
          <w:rtl/>
        </w:rPr>
        <w:drawing>
          <wp:inline distT="0" distB="0" distL="0" distR="0" wp14:anchorId="5F725A98" wp14:editId="42FCC31F">
            <wp:extent cx="3693557" cy="2689860"/>
            <wp:effectExtent l="0" t="0" r="2540" b="0"/>
            <wp:docPr id="940866226"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anan genom.jpg"/>
                    <pic:cNvPicPr/>
                  </pic:nvPicPr>
                  <pic:blipFill>
                    <a:blip r:embed="rId10">
                      <a:extLst>
                        <a:ext uri="{28A0092B-C50C-407E-A947-70E740481C1C}">
                          <a14:useLocalDpi xmlns:a14="http://schemas.microsoft.com/office/drawing/2010/main" val="0"/>
                        </a:ext>
                      </a:extLst>
                    </a:blip>
                    <a:stretch>
                      <a:fillRect/>
                    </a:stretch>
                  </pic:blipFill>
                  <pic:spPr>
                    <a:xfrm>
                      <a:off x="0" y="0"/>
                      <a:ext cx="3698942" cy="2693781"/>
                    </a:xfrm>
                    <a:prstGeom prst="rect">
                      <a:avLst/>
                    </a:prstGeom>
                  </pic:spPr>
                </pic:pic>
              </a:graphicData>
            </a:graphic>
          </wp:inline>
        </w:drawing>
      </w:r>
    </w:p>
    <w:p w14:paraId="3DAFD7B8" w14:textId="21BCFD6B" w:rsidR="003427BB" w:rsidRPr="003427BB" w:rsidRDefault="003427BB" w:rsidP="003427BB">
      <w:pPr>
        <w:spacing w:line="240" w:lineRule="auto"/>
        <w:jc w:val="center"/>
        <w:rPr>
          <w:sz w:val="18"/>
          <w:szCs w:val="18"/>
          <w:rtl/>
          <w:lang w:bidi="ar-IQ"/>
        </w:rPr>
      </w:pPr>
      <w:r w:rsidRPr="003427BB">
        <w:rPr>
          <w:b/>
          <w:bCs/>
          <w:sz w:val="18"/>
          <w:szCs w:val="18"/>
        </w:rPr>
        <w:t xml:space="preserve">FIGURE 1. </w:t>
      </w:r>
      <w:r w:rsidRPr="003427BB">
        <w:rPr>
          <w:sz w:val="18"/>
          <w:szCs w:val="18"/>
        </w:rPr>
        <w:t>Electrophoresis of 1% agarose gel of genomic DNA of samples after extraction</w:t>
      </w:r>
      <w:r w:rsidRPr="003427BB">
        <w:rPr>
          <w:sz w:val="18"/>
          <w:szCs w:val="18"/>
          <w:rtl/>
          <w:lang w:bidi="ar-IQ"/>
        </w:rPr>
        <w:t>.</w:t>
      </w:r>
    </w:p>
    <w:p w14:paraId="1DF391BA" w14:textId="77777777" w:rsidR="003427BB" w:rsidRPr="003427BB" w:rsidRDefault="003427BB" w:rsidP="00094104">
      <w:pPr>
        <w:spacing w:line="240" w:lineRule="auto"/>
        <w:ind w:firstLine="284"/>
        <w:jc w:val="both"/>
        <w:rPr>
          <w:rtl/>
          <w:lang w:bidi="ar-IQ"/>
        </w:rPr>
      </w:pPr>
      <w:r w:rsidRPr="003427BB">
        <w:t xml:space="preserve">The results showed that the prevalence of Entamoeba spp. in diarrhea samples was 88%, which is consistent with [17], who reported 83% Entamoeba spp. infection, and with [18], who reported 69.3% using multiplex nested PCR in Malaysia. However, the results differed from those reported by [19] in Tikrit, where they recorded 9.3%. Direct microscopic diagnosis cannot differentiate Entamoeba histolytica from other species such as </w:t>
      </w:r>
      <w:r w:rsidRPr="003427BB">
        <w:rPr>
          <w:i/>
          <w:iCs/>
        </w:rPr>
        <w:t xml:space="preserve">E. </w:t>
      </w:r>
      <w:proofErr w:type="spellStart"/>
      <w:r w:rsidRPr="003427BB">
        <w:rPr>
          <w:i/>
          <w:iCs/>
        </w:rPr>
        <w:t>hartmanni</w:t>
      </w:r>
      <w:proofErr w:type="spellEnd"/>
      <w:r w:rsidRPr="003427BB">
        <w:t xml:space="preserve">, </w:t>
      </w:r>
      <w:r w:rsidRPr="003427BB">
        <w:rPr>
          <w:i/>
        </w:rPr>
        <w:t>E. dispar</w:t>
      </w:r>
      <w:r w:rsidRPr="003427BB">
        <w:t xml:space="preserve">, and </w:t>
      </w:r>
      <w:r w:rsidRPr="003427BB">
        <w:rPr>
          <w:i/>
        </w:rPr>
        <w:t xml:space="preserve">E. </w:t>
      </w:r>
      <w:proofErr w:type="spellStart"/>
      <w:proofErr w:type="gramStart"/>
      <w:r w:rsidRPr="003427BB">
        <w:rPr>
          <w:i/>
        </w:rPr>
        <w:t>moshkovskii</w:t>
      </w:r>
      <w:proofErr w:type="spellEnd"/>
      <w:r w:rsidRPr="003427BB">
        <w:rPr>
          <w:iCs/>
        </w:rPr>
        <w:t>[</w:t>
      </w:r>
      <w:proofErr w:type="gramEnd"/>
      <w:r w:rsidRPr="003427BB">
        <w:rPr>
          <w:iCs/>
        </w:rPr>
        <w:t xml:space="preserve">20]. </w:t>
      </w:r>
      <w:r w:rsidRPr="003427BB">
        <w:t>The changes observed by PCR may be attributed to several reasons, the first of which is differences in the method of extracting DNA from stool samples</w:t>
      </w:r>
      <w:r w:rsidRPr="003427BB">
        <w:rPr>
          <w:rtl/>
          <w:lang w:bidi="ar-IQ"/>
        </w:rPr>
        <w:t>.</w:t>
      </w:r>
    </w:p>
    <w:p w14:paraId="242A44EB" w14:textId="77777777" w:rsidR="003427BB" w:rsidRPr="007959EC" w:rsidRDefault="003427BB" w:rsidP="007959EC">
      <w:pPr>
        <w:spacing w:line="240" w:lineRule="auto"/>
        <w:jc w:val="center"/>
      </w:pPr>
      <w:r w:rsidRPr="007959EC">
        <w:rPr>
          <w:noProof/>
        </w:rPr>
        <w:lastRenderedPageBreak/>
        <mc:AlternateContent>
          <mc:Choice Requires="wps">
            <w:drawing>
              <wp:anchor distT="0" distB="0" distL="114300" distR="114300" simplePos="0" relativeHeight="251659264" behindDoc="0" locked="0" layoutInCell="1" allowOverlap="1" wp14:anchorId="457FE858" wp14:editId="0116C916">
                <wp:simplePos x="0" y="0"/>
                <wp:positionH relativeFrom="margin">
                  <wp:posOffset>1047623</wp:posOffset>
                </wp:positionH>
                <wp:positionV relativeFrom="paragraph">
                  <wp:posOffset>171450</wp:posOffset>
                </wp:positionV>
                <wp:extent cx="4103827" cy="257175"/>
                <wp:effectExtent l="0" t="0" r="0" b="0"/>
                <wp:wrapNone/>
                <wp:docPr id="1110959018" name="Rectangle 1"/>
                <wp:cNvGraphicFramePr/>
                <a:graphic xmlns:a="http://schemas.openxmlformats.org/drawingml/2006/main">
                  <a:graphicData uri="http://schemas.microsoft.com/office/word/2010/wordprocessingShape">
                    <wps:wsp>
                      <wps:cNvSpPr/>
                      <wps:spPr>
                        <a:xfrm>
                          <a:off x="0" y="0"/>
                          <a:ext cx="4103827" cy="25717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2FC035D" w14:textId="4890D0BE" w:rsidR="003427BB" w:rsidRPr="00970173" w:rsidRDefault="003427BB" w:rsidP="007959EC">
                            <w:pPr>
                              <w:rPr>
                                <w:color w:val="FFFFFF" w:themeColor="background1"/>
                                <w:lang w:bidi="ar-IQ"/>
                              </w:rPr>
                            </w:pPr>
                            <w:r w:rsidRPr="00970173">
                              <w:rPr>
                                <w:color w:val="FFFFFF" w:themeColor="background1"/>
                                <w:lang w:bidi="ar-IQ"/>
                              </w:rPr>
                              <w:t>M</w:t>
                            </w:r>
                            <w:r w:rsidR="007959EC">
                              <w:rPr>
                                <w:color w:val="FFFFFF" w:themeColor="background1"/>
                                <w:lang w:bidi="ar-IQ"/>
                              </w:rPr>
                              <w:t xml:space="preserve">     </w:t>
                            </w:r>
                            <w:r>
                              <w:rPr>
                                <w:color w:val="FFFFFF" w:themeColor="background1"/>
                                <w:lang w:bidi="ar-IQ"/>
                              </w:rPr>
                              <w:t xml:space="preserve"> 1   </w:t>
                            </w:r>
                            <w:r w:rsidR="007959EC">
                              <w:rPr>
                                <w:color w:val="FFFFFF" w:themeColor="background1"/>
                                <w:lang w:bidi="ar-IQ"/>
                              </w:rPr>
                              <w:t xml:space="preserve"> </w:t>
                            </w:r>
                            <w:r>
                              <w:rPr>
                                <w:color w:val="FFFFFF" w:themeColor="background1"/>
                                <w:lang w:bidi="ar-IQ"/>
                              </w:rPr>
                              <w:t xml:space="preserve">2    </w:t>
                            </w:r>
                            <w:r w:rsidR="007959EC">
                              <w:rPr>
                                <w:color w:val="FFFFFF" w:themeColor="background1"/>
                                <w:lang w:bidi="ar-IQ"/>
                              </w:rPr>
                              <w:t xml:space="preserve"> </w:t>
                            </w:r>
                            <w:r>
                              <w:rPr>
                                <w:color w:val="FFFFFF" w:themeColor="background1"/>
                                <w:lang w:bidi="ar-IQ"/>
                              </w:rPr>
                              <w:t xml:space="preserve">3   </w:t>
                            </w:r>
                            <w:r w:rsidR="007959EC">
                              <w:rPr>
                                <w:color w:val="FFFFFF" w:themeColor="background1"/>
                                <w:lang w:bidi="ar-IQ"/>
                              </w:rPr>
                              <w:t xml:space="preserve"> </w:t>
                            </w:r>
                            <w:r>
                              <w:rPr>
                                <w:color w:val="FFFFFF" w:themeColor="background1"/>
                                <w:lang w:bidi="ar-IQ"/>
                              </w:rPr>
                              <w:t xml:space="preserve"> 4    </w:t>
                            </w:r>
                            <w:r w:rsidR="007959EC">
                              <w:rPr>
                                <w:color w:val="FFFFFF" w:themeColor="background1"/>
                                <w:lang w:bidi="ar-IQ"/>
                              </w:rPr>
                              <w:t xml:space="preserve"> </w:t>
                            </w:r>
                            <w:r>
                              <w:rPr>
                                <w:color w:val="FFFFFF" w:themeColor="background1"/>
                                <w:lang w:bidi="ar-IQ"/>
                              </w:rPr>
                              <w:t xml:space="preserve">5    </w:t>
                            </w:r>
                            <w:r w:rsidR="007959EC">
                              <w:rPr>
                                <w:color w:val="FFFFFF" w:themeColor="background1"/>
                                <w:lang w:bidi="ar-IQ"/>
                              </w:rPr>
                              <w:t xml:space="preserve"> </w:t>
                            </w:r>
                            <w:r>
                              <w:rPr>
                                <w:color w:val="FFFFFF" w:themeColor="background1"/>
                                <w:lang w:bidi="ar-IQ"/>
                              </w:rPr>
                              <w:t xml:space="preserve"> 6    </w:t>
                            </w:r>
                            <w:r w:rsidR="007959EC">
                              <w:rPr>
                                <w:color w:val="FFFFFF" w:themeColor="background1"/>
                                <w:lang w:bidi="ar-IQ"/>
                              </w:rPr>
                              <w:t xml:space="preserve"> </w:t>
                            </w:r>
                            <w:r>
                              <w:rPr>
                                <w:color w:val="FFFFFF" w:themeColor="background1"/>
                                <w:lang w:bidi="ar-IQ"/>
                              </w:rPr>
                              <w:t xml:space="preserve">7  </w:t>
                            </w:r>
                            <w:r w:rsidR="007959EC">
                              <w:rPr>
                                <w:color w:val="FFFFFF" w:themeColor="background1"/>
                                <w:lang w:bidi="ar-IQ"/>
                              </w:rPr>
                              <w:t xml:space="preserve">   </w:t>
                            </w:r>
                            <w:r>
                              <w:rPr>
                                <w:color w:val="FFFFFF" w:themeColor="background1"/>
                                <w:lang w:bidi="ar-IQ"/>
                              </w:rPr>
                              <w:t xml:space="preserve"> 8   </w:t>
                            </w:r>
                            <w:r w:rsidR="007959EC">
                              <w:rPr>
                                <w:color w:val="FFFFFF" w:themeColor="background1"/>
                                <w:lang w:bidi="ar-IQ"/>
                              </w:rPr>
                              <w:t xml:space="preserve"> </w:t>
                            </w:r>
                            <w:r>
                              <w:rPr>
                                <w:color w:val="FFFFFF" w:themeColor="background1"/>
                                <w:lang w:bidi="ar-IQ"/>
                              </w:rPr>
                              <w:t xml:space="preserve"> 9  </w:t>
                            </w:r>
                            <w:r w:rsidR="007959EC">
                              <w:rPr>
                                <w:color w:val="FFFFFF" w:themeColor="background1"/>
                                <w:lang w:bidi="ar-IQ"/>
                              </w:rPr>
                              <w:t xml:space="preserve"> </w:t>
                            </w:r>
                            <w:r>
                              <w:rPr>
                                <w:color w:val="FFFFFF" w:themeColor="background1"/>
                                <w:lang w:bidi="ar-IQ"/>
                              </w:rPr>
                              <w:t xml:space="preserve">10 </w:t>
                            </w:r>
                            <w:r w:rsidR="007959EC">
                              <w:rPr>
                                <w:color w:val="FFFFFF" w:themeColor="background1"/>
                                <w:lang w:bidi="ar-IQ"/>
                              </w:rPr>
                              <w:t xml:space="preserve">   </w:t>
                            </w:r>
                            <w:r>
                              <w:rPr>
                                <w:color w:val="FFFFFF" w:themeColor="background1"/>
                                <w:lang w:bidi="ar-IQ"/>
                              </w:rPr>
                              <w:t xml:space="preserve">11 </w:t>
                            </w:r>
                            <w:r w:rsidR="007959EC">
                              <w:rPr>
                                <w:color w:val="FFFFFF" w:themeColor="background1"/>
                                <w:lang w:bidi="ar-IQ"/>
                              </w:rPr>
                              <w:t xml:space="preserve">  </w:t>
                            </w:r>
                            <w:r>
                              <w:rPr>
                                <w:color w:val="FFFFFF" w:themeColor="background1"/>
                                <w:lang w:bidi="ar-IQ"/>
                              </w:rPr>
                              <w:t xml:space="preserve">12   13    </w:t>
                            </w:r>
                            <w:r w:rsidR="007959EC">
                              <w:rPr>
                                <w:color w:val="FFFFFF" w:themeColor="background1"/>
                                <w:lang w:bidi="ar-IQ"/>
                              </w:rPr>
                              <w:t>1</w:t>
                            </w:r>
                            <w:r>
                              <w:rPr>
                                <w:color w:val="FFFFFF" w:themeColor="background1"/>
                                <w:lang w:bidi="ar-IQ"/>
                              </w:rPr>
                              <w:t xml:space="preserve">4  </w:t>
                            </w:r>
                            <w:r w:rsidR="007959EC">
                              <w:rPr>
                                <w:color w:val="FFFFFF" w:themeColor="background1"/>
                                <w:lang w:bidi="ar-IQ"/>
                              </w:rPr>
                              <w:t xml:space="preserve"> </w:t>
                            </w:r>
                            <w:r>
                              <w:rPr>
                                <w:color w:val="FFFFFF" w:themeColor="background1"/>
                                <w:lang w:bidi="ar-IQ"/>
                              </w:rPr>
                              <w:t>15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57FE858" id="Rectangle 1" o:spid="_x0000_s1026" style="position:absolute;left:0;text-align:left;margin-left:82.5pt;margin-top:13.5pt;width:323.1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" filled="f" stroked="f" strokeweight="2pt">
                <v:textbox>
                  <w:txbxContent>
                    <w:p w14:paraId="32FC035D" w14:textId="4890D0BE" w:rsidR="003427BB" w:rsidRPr="00970173" w:rsidRDefault="003427BB" w:rsidP="007959EC">
                      <w:pPr>
                        <w:rPr>
                          <w:color w:val="FFFFFF" w:themeColor="background1"/>
                          <w:lang w:bidi="ar-IQ"/>
                        </w:rPr>
                      </w:pPr>
                      <w:r w:rsidRPr="00970173">
                        <w:rPr>
                          <w:color w:val="FFFFFF" w:themeColor="background1"/>
                          <w:lang w:bidi="ar-IQ"/>
                        </w:rPr>
                        <w:t>M</w:t>
                      </w:r>
                      <w:r w:rsidR="007959EC">
                        <w:rPr>
                          <w:color w:val="FFFFFF" w:themeColor="background1"/>
                          <w:lang w:bidi="ar-IQ"/>
                        </w:rPr>
                        <w:t xml:space="preserve">     </w:t>
                      </w:r>
                      <w:r>
                        <w:rPr>
                          <w:color w:val="FFFFFF" w:themeColor="background1"/>
                          <w:lang w:bidi="ar-IQ"/>
                        </w:rPr>
                        <w:t xml:space="preserve"> 1   </w:t>
                      </w:r>
                      <w:r w:rsidR="007959EC">
                        <w:rPr>
                          <w:color w:val="FFFFFF" w:themeColor="background1"/>
                          <w:lang w:bidi="ar-IQ"/>
                        </w:rPr>
                        <w:t xml:space="preserve"> </w:t>
                      </w:r>
                      <w:r>
                        <w:rPr>
                          <w:color w:val="FFFFFF" w:themeColor="background1"/>
                          <w:lang w:bidi="ar-IQ"/>
                        </w:rPr>
                        <w:t xml:space="preserve">2    </w:t>
                      </w:r>
                      <w:r w:rsidR="007959EC">
                        <w:rPr>
                          <w:color w:val="FFFFFF" w:themeColor="background1"/>
                          <w:lang w:bidi="ar-IQ"/>
                        </w:rPr>
                        <w:t xml:space="preserve"> </w:t>
                      </w:r>
                      <w:r>
                        <w:rPr>
                          <w:color w:val="FFFFFF" w:themeColor="background1"/>
                          <w:lang w:bidi="ar-IQ"/>
                        </w:rPr>
                        <w:t xml:space="preserve">3   </w:t>
                      </w:r>
                      <w:r w:rsidR="007959EC">
                        <w:rPr>
                          <w:color w:val="FFFFFF" w:themeColor="background1"/>
                          <w:lang w:bidi="ar-IQ"/>
                        </w:rPr>
                        <w:t xml:space="preserve"> </w:t>
                      </w:r>
                      <w:r>
                        <w:rPr>
                          <w:color w:val="FFFFFF" w:themeColor="background1"/>
                          <w:lang w:bidi="ar-IQ"/>
                        </w:rPr>
                        <w:t xml:space="preserve"> 4    </w:t>
                      </w:r>
                      <w:r w:rsidR="007959EC">
                        <w:rPr>
                          <w:color w:val="FFFFFF" w:themeColor="background1"/>
                          <w:lang w:bidi="ar-IQ"/>
                        </w:rPr>
                        <w:t xml:space="preserve"> </w:t>
                      </w:r>
                      <w:r>
                        <w:rPr>
                          <w:color w:val="FFFFFF" w:themeColor="background1"/>
                          <w:lang w:bidi="ar-IQ"/>
                        </w:rPr>
                        <w:t xml:space="preserve">5    </w:t>
                      </w:r>
                      <w:r w:rsidR="007959EC">
                        <w:rPr>
                          <w:color w:val="FFFFFF" w:themeColor="background1"/>
                          <w:lang w:bidi="ar-IQ"/>
                        </w:rPr>
                        <w:t xml:space="preserve"> </w:t>
                      </w:r>
                      <w:r>
                        <w:rPr>
                          <w:color w:val="FFFFFF" w:themeColor="background1"/>
                          <w:lang w:bidi="ar-IQ"/>
                        </w:rPr>
                        <w:t xml:space="preserve"> 6    </w:t>
                      </w:r>
                      <w:r w:rsidR="007959EC">
                        <w:rPr>
                          <w:color w:val="FFFFFF" w:themeColor="background1"/>
                          <w:lang w:bidi="ar-IQ"/>
                        </w:rPr>
                        <w:t xml:space="preserve"> </w:t>
                      </w:r>
                      <w:r>
                        <w:rPr>
                          <w:color w:val="FFFFFF" w:themeColor="background1"/>
                          <w:lang w:bidi="ar-IQ"/>
                        </w:rPr>
                        <w:t xml:space="preserve">7  </w:t>
                      </w:r>
                      <w:r w:rsidR="007959EC">
                        <w:rPr>
                          <w:color w:val="FFFFFF" w:themeColor="background1"/>
                          <w:lang w:bidi="ar-IQ"/>
                        </w:rPr>
                        <w:t xml:space="preserve">   </w:t>
                      </w:r>
                      <w:r>
                        <w:rPr>
                          <w:color w:val="FFFFFF" w:themeColor="background1"/>
                          <w:lang w:bidi="ar-IQ"/>
                        </w:rPr>
                        <w:t xml:space="preserve"> 8   </w:t>
                      </w:r>
                      <w:r w:rsidR="007959EC">
                        <w:rPr>
                          <w:color w:val="FFFFFF" w:themeColor="background1"/>
                          <w:lang w:bidi="ar-IQ"/>
                        </w:rPr>
                        <w:t xml:space="preserve"> </w:t>
                      </w:r>
                      <w:r>
                        <w:rPr>
                          <w:color w:val="FFFFFF" w:themeColor="background1"/>
                          <w:lang w:bidi="ar-IQ"/>
                        </w:rPr>
                        <w:t xml:space="preserve"> 9  </w:t>
                      </w:r>
                      <w:r w:rsidR="007959EC">
                        <w:rPr>
                          <w:color w:val="FFFFFF" w:themeColor="background1"/>
                          <w:lang w:bidi="ar-IQ"/>
                        </w:rPr>
                        <w:t xml:space="preserve"> </w:t>
                      </w:r>
                      <w:r>
                        <w:rPr>
                          <w:color w:val="FFFFFF" w:themeColor="background1"/>
                          <w:lang w:bidi="ar-IQ"/>
                        </w:rPr>
                        <w:t xml:space="preserve">10 </w:t>
                      </w:r>
                      <w:r w:rsidR="007959EC">
                        <w:rPr>
                          <w:color w:val="FFFFFF" w:themeColor="background1"/>
                          <w:lang w:bidi="ar-IQ"/>
                        </w:rPr>
                        <w:t xml:space="preserve">   </w:t>
                      </w:r>
                      <w:r>
                        <w:rPr>
                          <w:color w:val="FFFFFF" w:themeColor="background1"/>
                          <w:lang w:bidi="ar-IQ"/>
                        </w:rPr>
                        <w:t xml:space="preserve">11 </w:t>
                      </w:r>
                      <w:r w:rsidR="007959EC">
                        <w:rPr>
                          <w:color w:val="FFFFFF" w:themeColor="background1"/>
                          <w:lang w:bidi="ar-IQ"/>
                        </w:rPr>
                        <w:t xml:space="preserve">  </w:t>
                      </w:r>
                      <w:r>
                        <w:rPr>
                          <w:color w:val="FFFFFF" w:themeColor="background1"/>
                          <w:lang w:bidi="ar-IQ"/>
                        </w:rPr>
                        <w:t xml:space="preserve">12   13    </w:t>
                      </w:r>
                      <w:r w:rsidR="007959EC">
                        <w:rPr>
                          <w:color w:val="FFFFFF" w:themeColor="background1"/>
                          <w:lang w:bidi="ar-IQ"/>
                        </w:rPr>
                        <w:t>1</w:t>
                      </w:r>
                      <w:r>
                        <w:rPr>
                          <w:color w:val="FFFFFF" w:themeColor="background1"/>
                          <w:lang w:bidi="ar-IQ"/>
                        </w:rPr>
                        <w:t xml:space="preserve">4  </w:t>
                      </w:r>
                      <w:r w:rsidR="007959EC">
                        <w:rPr>
                          <w:color w:val="FFFFFF" w:themeColor="background1"/>
                          <w:lang w:bidi="ar-IQ"/>
                        </w:rPr>
                        <w:t xml:space="preserve"> </w:t>
                      </w:r>
                      <w:r>
                        <w:rPr>
                          <w:color w:val="FFFFFF" w:themeColor="background1"/>
                          <w:lang w:bidi="ar-IQ"/>
                        </w:rPr>
                        <w:t>15</w:t>
                      </w:r>
                    </w:p>
                  </w:txbxContent>
                </v:textbox>
                <w10:wrap anchorx="margin"/>
              </v:rect>
            </w:pict>
          </mc:Fallback>
        </mc:AlternateContent>
      </w:r>
      <w:r w:rsidRPr="007959EC">
        <w:rPr>
          <w:noProof/>
        </w:rPr>
        <w:drawing>
          <wp:inline distT="0" distB="0" distL="0" distR="0" wp14:anchorId="67FFCBA1" wp14:editId="6C64E26C">
            <wp:extent cx="4011274" cy="2199736"/>
            <wp:effectExtent l="0" t="0" r="8890" b="0"/>
            <wp:docPr id="29" name="صورة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21460" cy="2205322"/>
                    </a:xfrm>
                    <a:prstGeom prst="rect">
                      <a:avLst/>
                    </a:prstGeom>
                    <a:noFill/>
                    <a:ln>
                      <a:noFill/>
                    </a:ln>
                  </pic:spPr>
                </pic:pic>
              </a:graphicData>
            </a:graphic>
          </wp:inline>
        </w:drawing>
      </w:r>
    </w:p>
    <w:p w14:paraId="04A2B5A1" w14:textId="3C4BEA12" w:rsidR="003427BB" w:rsidRPr="007959EC" w:rsidRDefault="007959EC" w:rsidP="007959EC">
      <w:pPr>
        <w:spacing w:line="240" w:lineRule="auto"/>
        <w:jc w:val="center"/>
        <w:rPr>
          <w:sz w:val="18"/>
          <w:szCs w:val="20"/>
          <w:rtl/>
          <w:lang w:bidi="ar-IQ"/>
        </w:rPr>
      </w:pPr>
      <w:r w:rsidRPr="007959EC">
        <w:rPr>
          <w:b/>
          <w:bCs/>
          <w:sz w:val="18"/>
          <w:szCs w:val="20"/>
        </w:rPr>
        <w:t>FIGURE 2.</w:t>
      </w:r>
      <w:r>
        <w:rPr>
          <w:sz w:val="18"/>
          <w:szCs w:val="20"/>
        </w:rPr>
        <w:t xml:space="preserve"> </w:t>
      </w:r>
      <w:proofErr w:type="gramStart"/>
      <w:r>
        <w:rPr>
          <w:sz w:val="18"/>
          <w:szCs w:val="20"/>
        </w:rPr>
        <w:t>S</w:t>
      </w:r>
      <w:r w:rsidR="003427BB" w:rsidRPr="007959EC">
        <w:rPr>
          <w:sz w:val="18"/>
          <w:szCs w:val="20"/>
        </w:rPr>
        <w:t>hows</w:t>
      </w:r>
      <w:proofErr w:type="gramEnd"/>
      <w:r w:rsidR="003427BB" w:rsidRPr="007959EC">
        <w:rPr>
          <w:sz w:val="18"/>
          <w:szCs w:val="20"/>
        </w:rPr>
        <w:t xml:space="preserve"> the results of the nested-PCR reaction for the </w:t>
      </w:r>
      <w:r w:rsidR="003427BB" w:rsidRPr="007959EC">
        <w:rPr>
          <w:i/>
          <w:iCs/>
          <w:sz w:val="18"/>
          <w:szCs w:val="20"/>
        </w:rPr>
        <w:t>18S rRNA</w:t>
      </w:r>
      <w:r w:rsidR="003427BB" w:rsidRPr="007959EC">
        <w:rPr>
          <w:sz w:val="18"/>
          <w:szCs w:val="20"/>
        </w:rPr>
        <w:t xml:space="preserve"> gene at 900 bp and 2% agarose gel electrophoresis for the Entamoeba genus for the sample group based on the use of specialized primers. The results showed the presence of a band (1, 2, 3, 4, 5,6,7, 8, 9, 12, 13, 14,15) represent the positive samples, while samples (10, 11) represent the negative samples.</w:t>
      </w:r>
    </w:p>
    <w:p w14:paraId="3D4E3904" w14:textId="5A4B308C" w:rsidR="003427BB" w:rsidRPr="003427BB" w:rsidRDefault="003427BB" w:rsidP="00094104">
      <w:pPr>
        <w:spacing w:line="240" w:lineRule="auto"/>
        <w:ind w:firstLine="284"/>
        <w:jc w:val="both"/>
      </w:pPr>
      <w:r w:rsidRPr="003427BB">
        <w:t>The results of the Nested-PCR technique for the gene (ED1-ED2) for the samples under study. The results showed the presence of a band (174 bp) in 27% of the samples, in addition to a band specific to the sex represented by the band (900 bp) that appeared as a very weak band that could hardly be seen. This may be a result of the small number of DNA copies (copy number).</w:t>
      </w:r>
    </w:p>
    <w:p w14:paraId="7CEE1B8D" w14:textId="77777777" w:rsidR="003427BB" w:rsidRPr="007959EC" w:rsidRDefault="003427BB" w:rsidP="007959EC">
      <w:pPr>
        <w:spacing w:line="240" w:lineRule="auto"/>
        <w:jc w:val="center"/>
        <w:rPr>
          <w:sz w:val="18"/>
          <w:szCs w:val="20"/>
        </w:rPr>
      </w:pPr>
      <w:r w:rsidRPr="007959EC">
        <w:rPr>
          <w:b/>
          <w:bCs/>
          <w:noProof/>
          <w:sz w:val="18"/>
          <w:szCs w:val="20"/>
        </w:rPr>
        <w:drawing>
          <wp:inline distT="0" distB="0" distL="0" distR="0" wp14:anchorId="6CD7C07A" wp14:editId="5332B810">
            <wp:extent cx="3898858" cy="2217420"/>
            <wp:effectExtent l="0" t="0" r="6985" b="0"/>
            <wp:docPr id="75367244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00226" cy="2218198"/>
                    </a:xfrm>
                    <a:prstGeom prst="rect">
                      <a:avLst/>
                    </a:prstGeom>
                    <a:noFill/>
                    <a:ln>
                      <a:noFill/>
                    </a:ln>
                  </pic:spPr>
                </pic:pic>
              </a:graphicData>
            </a:graphic>
          </wp:inline>
        </w:drawing>
      </w:r>
    </w:p>
    <w:p w14:paraId="450E6346" w14:textId="533A496F" w:rsidR="007959EC" w:rsidRPr="007959EC" w:rsidRDefault="00BD733D" w:rsidP="007959EC">
      <w:pPr>
        <w:spacing w:line="240" w:lineRule="auto"/>
        <w:jc w:val="center"/>
        <w:rPr>
          <w:b/>
          <w:bCs/>
          <w:sz w:val="18"/>
          <w:szCs w:val="20"/>
        </w:rPr>
      </w:pPr>
      <w:r>
        <w:rPr>
          <w:b/>
          <w:bCs/>
          <w:sz w:val="18"/>
          <w:szCs w:val="20"/>
        </w:rPr>
        <w:t>FIGURE 3</w:t>
      </w:r>
      <w:r w:rsidR="007959EC">
        <w:rPr>
          <w:b/>
          <w:bCs/>
          <w:sz w:val="18"/>
          <w:szCs w:val="20"/>
        </w:rPr>
        <w:t xml:space="preserve">. </w:t>
      </w:r>
      <w:r w:rsidR="003427BB" w:rsidRPr="007959EC">
        <w:rPr>
          <w:sz w:val="18"/>
          <w:szCs w:val="20"/>
        </w:rPr>
        <w:t>The results of nested- PCR for the ED-</w:t>
      </w:r>
      <w:proofErr w:type="gramStart"/>
      <w:r w:rsidR="003427BB" w:rsidRPr="007959EC">
        <w:rPr>
          <w:sz w:val="18"/>
          <w:szCs w:val="20"/>
        </w:rPr>
        <w:t>1  &amp;</w:t>
      </w:r>
      <w:proofErr w:type="gramEnd"/>
      <w:r w:rsidR="003427BB" w:rsidRPr="007959EC">
        <w:rPr>
          <w:sz w:val="18"/>
          <w:szCs w:val="20"/>
        </w:rPr>
        <w:t xml:space="preserve"> ED-2 gene in samples (1-15) indicate </w:t>
      </w:r>
      <w:proofErr w:type="gramStart"/>
      <w:r w:rsidR="003427BB" w:rsidRPr="007959EC">
        <w:rPr>
          <w:sz w:val="18"/>
          <w:szCs w:val="20"/>
        </w:rPr>
        <w:t>represents</w:t>
      </w:r>
      <w:proofErr w:type="gramEnd"/>
      <w:r w:rsidR="003427BB" w:rsidRPr="007959EC">
        <w:rPr>
          <w:sz w:val="18"/>
          <w:szCs w:val="20"/>
        </w:rPr>
        <w:t xml:space="preserve"> the positive samples. The size of the gene was 174 base pairs. Electrophoresis was conducted using a 2% agarose gel, with the standard size marker measuring 100 base pairs.</w:t>
      </w:r>
    </w:p>
    <w:p w14:paraId="7E20097A" w14:textId="506475A3" w:rsidR="00BD733D" w:rsidRPr="003427BB" w:rsidRDefault="007959EC" w:rsidP="00094104">
      <w:pPr>
        <w:spacing w:line="240" w:lineRule="auto"/>
        <w:ind w:firstLine="284"/>
        <w:jc w:val="both"/>
      </w:pPr>
      <w:r>
        <w:rPr>
          <w:b/>
          <w:bCs/>
        </w:rPr>
        <w:t xml:space="preserve"> </w:t>
      </w:r>
      <w:r w:rsidR="003427BB" w:rsidRPr="003427BB">
        <w:t xml:space="preserve">The results of the current study are consistent with those of [21], where the infection rate with </w:t>
      </w:r>
      <w:r w:rsidR="003427BB" w:rsidRPr="003427BB">
        <w:rPr>
          <w:i/>
          <w:iCs/>
        </w:rPr>
        <w:t xml:space="preserve">E. dispar </w:t>
      </w:r>
      <w:r w:rsidR="003427BB" w:rsidRPr="003427BB">
        <w:t xml:space="preserve">using Nested-PCR was approximately 30.8%. They do not agree with a study conducted in Malaysia by [22], which reported an </w:t>
      </w:r>
      <w:r w:rsidR="003427BB" w:rsidRPr="003427BB">
        <w:rPr>
          <w:i/>
        </w:rPr>
        <w:t xml:space="preserve">E. dispar </w:t>
      </w:r>
      <w:r w:rsidR="003427BB" w:rsidRPr="003427BB">
        <w:t xml:space="preserve">infection rate of 5.6%. They also do not agree with a study conducted in Australia, which recorded an infection rate of approximately 70.8% with </w:t>
      </w:r>
      <w:r w:rsidR="003427BB" w:rsidRPr="003427BB">
        <w:rPr>
          <w:i/>
          <w:iCs/>
        </w:rPr>
        <w:t>E. dispar</w:t>
      </w:r>
      <w:r w:rsidR="003427BB" w:rsidRPr="003427BB">
        <w:t xml:space="preserve">, compared to 4.5% with </w:t>
      </w:r>
      <w:r w:rsidR="003427BB" w:rsidRPr="003427BB">
        <w:rPr>
          <w:i/>
          <w:iCs/>
        </w:rPr>
        <w:t>E. histolytica</w:t>
      </w:r>
      <w:r w:rsidR="003427BB" w:rsidRPr="003427BB">
        <w:t xml:space="preserve"> [23]. A study in Brazil showed that </w:t>
      </w:r>
      <w:r w:rsidR="003427BB" w:rsidRPr="003427BB">
        <w:rPr>
          <w:i/>
        </w:rPr>
        <w:t xml:space="preserve">E. dispar </w:t>
      </w:r>
      <w:r w:rsidR="003427BB" w:rsidRPr="003427BB">
        <w:t xml:space="preserve">was more prevalent, with a prevalence of 90%, compared to 10% for </w:t>
      </w:r>
      <w:r w:rsidR="003427BB" w:rsidRPr="003427BB">
        <w:rPr>
          <w:i/>
          <w:iCs/>
        </w:rPr>
        <w:t>E. histolytica</w:t>
      </w:r>
      <w:r w:rsidR="003427BB" w:rsidRPr="003427BB">
        <w:t xml:space="preserve"> among infected individuals [24]. In a similar study in India, 49.5% of patients were infected with E. dispar, while only 7.4% were infected with </w:t>
      </w:r>
      <w:r w:rsidR="003427BB" w:rsidRPr="003427BB">
        <w:rPr>
          <w:i/>
          <w:iCs/>
        </w:rPr>
        <w:t>E. histolytica</w:t>
      </w:r>
      <w:r w:rsidR="003427BB" w:rsidRPr="003427BB">
        <w:t xml:space="preserve"> [25]. The discrepancy between studies is likely due to several factors, including differences in DNA extraction methods from stool samples, length of study, sample size, time of study, geographic location, population density, and target age </w:t>
      </w:r>
      <w:proofErr w:type="spellStart"/>
      <w:proofErr w:type="gramStart"/>
      <w:r w:rsidR="003427BB" w:rsidRPr="003427BB">
        <w:t>group.</w:t>
      </w:r>
      <w:r w:rsidR="00BD733D" w:rsidRPr="00BD733D">
        <w:t>The</w:t>
      </w:r>
      <w:proofErr w:type="spellEnd"/>
      <w:proofErr w:type="gramEnd"/>
      <w:r w:rsidR="00BD733D" w:rsidRPr="00BD733D">
        <w:t xml:space="preserve"> nested PCR specific for E. histolytica showed positive bands at 439 bp in 42% of the samples."</w:t>
      </w:r>
    </w:p>
    <w:p w14:paraId="56ED72EC" w14:textId="77777777" w:rsidR="00BF2C5F" w:rsidRDefault="00BF2C5F" w:rsidP="00247AFE">
      <w:pPr>
        <w:spacing w:line="240" w:lineRule="auto"/>
        <w:jc w:val="center"/>
        <w:rPr>
          <w:b/>
          <w:sz w:val="24"/>
        </w:rPr>
      </w:pPr>
    </w:p>
    <w:p w14:paraId="59B939A1" w14:textId="3F55AE43" w:rsidR="00247AFE" w:rsidRPr="003B3E24" w:rsidRDefault="002D125E" w:rsidP="00DC08AE">
      <w:pPr>
        <w:spacing w:before="240" w:after="240" w:line="240" w:lineRule="auto"/>
        <w:jc w:val="center"/>
        <w:rPr>
          <w:b/>
          <w:sz w:val="24"/>
        </w:rPr>
      </w:pPr>
      <w:r w:rsidRPr="003B3E24">
        <w:rPr>
          <w:b/>
          <w:sz w:val="24"/>
        </w:rPr>
        <w:lastRenderedPageBreak/>
        <w:t>CONCLUSIONS</w:t>
      </w:r>
    </w:p>
    <w:p w14:paraId="2B7FCE19" w14:textId="3AA70103" w:rsidR="003B3E24" w:rsidRDefault="00152421" w:rsidP="00094104">
      <w:pPr>
        <w:spacing w:line="240" w:lineRule="auto"/>
        <w:ind w:firstLine="284"/>
        <w:jc w:val="both"/>
        <w:rPr>
          <w:rtl/>
        </w:rPr>
      </w:pPr>
      <w:r>
        <w:t xml:space="preserve"> </w:t>
      </w:r>
      <w:r w:rsidR="007959EC">
        <w:t xml:space="preserve"> </w:t>
      </w:r>
      <w:r w:rsidR="00CF00AE">
        <w:t xml:space="preserve"> </w:t>
      </w:r>
      <w:r w:rsidR="00CF00AE" w:rsidRPr="00CF00AE">
        <w:t xml:space="preserve">The current work clearly shows that the Nested-PCR method is far more sensitive and specific than the traditional microscopy at detecting Entamoeba infections and that the DNA of this parasite was successfully detected in 88 percent of the samples, as opposed to 65 percent based on the microscopy. Most importantly, the prevalence of the pathogenic E. histolytica was demonstrated to be high (42 </w:t>
      </w:r>
      <w:proofErr w:type="gramStart"/>
      <w:r w:rsidR="00FC5A69">
        <w:t>%</w:t>
      </w:r>
      <w:r w:rsidR="00CF00AE" w:rsidRPr="00CF00AE">
        <w:t>of</w:t>
      </w:r>
      <w:proofErr w:type="gramEnd"/>
      <w:r w:rsidR="00CF00AE" w:rsidRPr="00CF00AE">
        <w:t xml:space="preserve"> the positive cases) by the application of molecular diagnosis, showing a high rate of true amoebic dysentery in the study region. Also, the fact that non-pathogenic</w:t>
      </w:r>
      <w:r w:rsidR="00FC5A69">
        <w:t xml:space="preserve"> E. dispar was identified in 27 %</w:t>
      </w:r>
      <w:r w:rsidR="00CF00AE" w:rsidRPr="00CF00AE">
        <w:t xml:space="preserve"> of cases only confirms that microscopy cannot be used to provide accurate clinical diagnosis and results in a gross overestimation of pathogenic infections, which is comparable to findings internationally. The study also helps in the knowledge of the geographical differences in dominance of </w:t>
      </w:r>
      <w:proofErr w:type="gramStart"/>
      <w:r w:rsidR="00CF00AE" w:rsidRPr="00CF00AE">
        <w:t>species</w:t>
      </w:r>
      <w:proofErr w:type="gramEnd"/>
      <w:r w:rsidR="00CF00AE" w:rsidRPr="00CF00AE">
        <w:t xml:space="preserve"> and it also highlights the need to adopt localized molecular surveillance. Thus, Nested-PCR can be regarded as a necessary tool ensuring proper diagnosis and the management of a patient as well as the application of </w:t>
      </w:r>
      <w:proofErr w:type="gramStart"/>
      <w:r w:rsidR="00CF00AE" w:rsidRPr="00CF00AE">
        <w:t>the data</w:t>
      </w:r>
      <w:proofErr w:type="gramEnd"/>
      <w:r w:rsidR="00CF00AE" w:rsidRPr="00CF00AE">
        <w:t xml:space="preserve"> on the local epidemiology to inform the strategies involving the population health.</w:t>
      </w:r>
    </w:p>
    <w:p w14:paraId="18E24EB1" w14:textId="017D789C" w:rsidR="005F2D4D" w:rsidRPr="00C30325" w:rsidRDefault="004354AE" w:rsidP="00DC08AE">
      <w:pPr>
        <w:spacing w:before="240" w:after="240" w:line="240" w:lineRule="auto"/>
        <w:jc w:val="center"/>
        <w:rPr>
          <w:b/>
          <w:bCs/>
          <w:sz w:val="24"/>
          <w:szCs w:val="28"/>
        </w:rPr>
      </w:pPr>
      <w:r w:rsidRPr="004354AE">
        <w:rPr>
          <w:b/>
          <w:bCs/>
          <w:sz w:val="24"/>
          <w:szCs w:val="28"/>
        </w:rPr>
        <w:t>REFERENCES</w:t>
      </w:r>
    </w:p>
    <w:p w14:paraId="38ACD9ED" w14:textId="77777777" w:rsidR="00C30325" w:rsidRPr="00C30325" w:rsidRDefault="00C30325" w:rsidP="00DC08AE">
      <w:pPr>
        <w:numPr>
          <w:ilvl w:val="0"/>
          <w:numId w:val="21"/>
        </w:numPr>
        <w:tabs>
          <w:tab w:val="left" w:pos="180"/>
        </w:tabs>
        <w:spacing w:after="0" w:line="240" w:lineRule="auto"/>
        <w:ind w:left="450"/>
        <w:jc w:val="both"/>
        <w:rPr>
          <w:rFonts w:cs="Times New Roman"/>
          <w:color w:val="1B1C1D"/>
          <w:szCs w:val="20"/>
        </w:rPr>
      </w:pPr>
      <w:r w:rsidRPr="00C30325">
        <w:rPr>
          <w:rFonts w:cs="Times New Roman"/>
          <w:color w:val="1B1C1D"/>
          <w:szCs w:val="20"/>
        </w:rPr>
        <w:t>N. Guillén, "Pathogenicity and virulence of Entamoeba histolytica, the agent of amoebiasis," Virulence, 14(1), p. 2158656, 2023.</w:t>
      </w:r>
    </w:p>
    <w:p w14:paraId="5A312081" w14:textId="77777777" w:rsidR="00C30325" w:rsidRPr="00C30325" w:rsidRDefault="00C30325" w:rsidP="00DC08AE">
      <w:pPr>
        <w:numPr>
          <w:ilvl w:val="0"/>
          <w:numId w:val="21"/>
        </w:numPr>
        <w:tabs>
          <w:tab w:val="left" w:pos="180"/>
        </w:tabs>
        <w:spacing w:after="0" w:line="240" w:lineRule="auto"/>
        <w:ind w:left="450"/>
        <w:jc w:val="both"/>
        <w:rPr>
          <w:rFonts w:cs="Times New Roman"/>
          <w:color w:val="1B1C1D"/>
          <w:szCs w:val="20"/>
        </w:rPr>
      </w:pPr>
      <w:r w:rsidRPr="00C30325">
        <w:rPr>
          <w:rFonts w:cs="Times New Roman"/>
          <w:color w:val="1B1C1D"/>
          <w:szCs w:val="20"/>
        </w:rPr>
        <w:t xml:space="preserve">A. Singh, I. T. Banerjee, U. Khan, &amp; S. K. Shukla, "Epidemiology of clinically relevant Entamoeba spp. (E. histolytica/ dispar/ </w:t>
      </w:r>
      <w:proofErr w:type="spellStart"/>
      <w:r w:rsidRPr="00C30325">
        <w:rPr>
          <w:rFonts w:cs="Times New Roman"/>
          <w:color w:val="1B1C1D"/>
          <w:szCs w:val="20"/>
        </w:rPr>
        <w:t>moshkovskii</w:t>
      </w:r>
      <w:proofErr w:type="spellEnd"/>
      <w:r w:rsidRPr="00C30325">
        <w:rPr>
          <w:rFonts w:cs="Times New Roman"/>
          <w:color w:val="1B1C1D"/>
          <w:szCs w:val="20"/>
        </w:rPr>
        <w:t xml:space="preserve">/ </w:t>
      </w:r>
      <w:proofErr w:type="spellStart"/>
      <w:r w:rsidRPr="00C30325">
        <w:rPr>
          <w:rFonts w:cs="Times New Roman"/>
          <w:color w:val="1B1C1D"/>
          <w:szCs w:val="20"/>
        </w:rPr>
        <w:t>bangladeshi</w:t>
      </w:r>
      <w:proofErr w:type="spellEnd"/>
      <w:r w:rsidRPr="00C30325">
        <w:rPr>
          <w:rFonts w:cs="Times New Roman"/>
          <w:color w:val="1B1C1D"/>
          <w:szCs w:val="20"/>
        </w:rPr>
        <w:t xml:space="preserve">): a </w:t>
      </w:r>
      <w:proofErr w:type="gramStart"/>
      <w:r w:rsidRPr="00C30325">
        <w:rPr>
          <w:rFonts w:cs="Times New Roman"/>
          <w:color w:val="1B1C1D"/>
          <w:szCs w:val="20"/>
        </w:rPr>
        <w:t>cross sectional</w:t>
      </w:r>
      <w:proofErr w:type="gramEnd"/>
      <w:r w:rsidRPr="00C30325">
        <w:rPr>
          <w:rFonts w:cs="Times New Roman"/>
          <w:color w:val="1B1C1D"/>
          <w:szCs w:val="20"/>
        </w:rPr>
        <w:t xml:space="preserve"> study from North India," </w:t>
      </w:r>
      <w:proofErr w:type="spellStart"/>
      <w:r w:rsidRPr="00C30325">
        <w:rPr>
          <w:rFonts w:cs="Times New Roman"/>
          <w:color w:val="1B1C1D"/>
          <w:szCs w:val="20"/>
        </w:rPr>
        <w:t>PLoS</w:t>
      </w:r>
      <w:proofErr w:type="spellEnd"/>
      <w:r w:rsidRPr="00C30325">
        <w:rPr>
          <w:rFonts w:cs="Times New Roman"/>
          <w:color w:val="1B1C1D"/>
          <w:szCs w:val="20"/>
        </w:rPr>
        <w:t xml:space="preserve"> Neglected Tropical Diseases, 15(9), p. e0009762, 2021.</w:t>
      </w:r>
    </w:p>
    <w:p w14:paraId="29B8D2AD" w14:textId="77777777" w:rsidR="00C30325" w:rsidRPr="00C30325" w:rsidRDefault="00C30325" w:rsidP="00DC08AE">
      <w:pPr>
        <w:numPr>
          <w:ilvl w:val="0"/>
          <w:numId w:val="21"/>
        </w:numPr>
        <w:tabs>
          <w:tab w:val="left" w:pos="180"/>
        </w:tabs>
        <w:spacing w:after="0" w:line="240" w:lineRule="auto"/>
        <w:ind w:left="450"/>
        <w:jc w:val="both"/>
        <w:rPr>
          <w:rFonts w:cs="Times New Roman"/>
          <w:color w:val="1B1C1D"/>
          <w:szCs w:val="20"/>
        </w:rPr>
      </w:pPr>
      <w:r w:rsidRPr="00C30325">
        <w:rPr>
          <w:rFonts w:cs="Times New Roman"/>
          <w:color w:val="1B1C1D"/>
          <w:szCs w:val="20"/>
        </w:rPr>
        <w:t xml:space="preserve">S. D. Jari, &amp; Z. Fadhil Abbas, "The Exploring of Pro-Inflammatory Cytokine IFN-γ, IL-17 and TNF-α in Patients with Amoebic </w:t>
      </w:r>
      <w:proofErr w:type="spellStart"/>
      <w:r w:rsidRPr="00C30325">
        <w:rPr>
          <w:rFonts w:cs="Times New Roman"/>
          <w:color w:val="1B1C1D"/>
          <w:szCs w:val="20"/>
        </w:rPr>
        <w:t>Dysentry</w:t>
      </w:r>
      <w:proofErr w:type="spellEnd"/>
      <w:r w:rsidRPr="00C30325">
        <w:rPr>
          <w:rFonts w:cs="Times New Roman"/>
          <w:color w:val="1B1C1D"/>
          <w:szCs w:val="20"/>
        </w:rPr>
        <w:t xml:space="preserve"> from Kerbala Province," 2025.</w:t>
      </w:r>
    </w:p>
    <w:p w14:paraId="3276FA36" w14:textId="6A3905CE" w:rsidR="00C30325" w:rsidRPr="00C30325" w:rsidRDefault="00C30325" w:rsidP="00DC08AE">
      <w:pPr>
        <w:numPr>
          <w:ilvl w:val="0"/>
          <w:numId w:val="21"/>
        </w:numPr>
        <w:tabs>
          <w:tab w:val="left" w:pos="180"/>
        </w:tabs>
        <w:spacing w:after="0" w:line="240" w:lineRule="auto"/>
        <w:ind w:left="450"/>
        <w:jc w:val="both"/>
        <w:rPr>
          <w:rFonts w:cs="Times New Roman"/>
          <w:color w:val="1B1C1D"/>
          <w:szCs w:val="20"/>
        </w:rPr>
      </w:pPr>
      <w:r w:rsidRPr="00C30325">
        <w:rPr>
          <w:rFonts w:cs="Times New Roman"/>
          <w:color w:val="1B1C1D"/>
          <w:szCs w:val="20"/>
        </w:rPr>
        <w:t xml:space="preserve">W. E. </w:t>
      </w:r>
      <w:r w:rsidRPr="00C30325">
        <w:rPr>
          <w:rFonts w:cs="Times New Roman"/>
          <w:color w:val="1B1C1D"/>
          <w:szCs w:val="20"/>
          <w:bdr w:val="none" w:sz="0" w:space="0" w:color="auto" w:frame="1"/>
        </w:rPr>
        <w:t>Mahmood, A. J. Mahmoud Zangana, &amp; H. S. Ahmad, "The Effect of Amoebic Dysentery on Some Physiological Parameters," Pakistan Journal of Life &amp; Social Sciences, 22(1), 2024.</w:t>
      </w:r>
    </w:p>
    <w:p w14:paraId="1969A869" w14:textId="77777777" w:rsidR="00C30325" w:rsidRPr="00C30325" w:rsidRDefault="00C30325" w:rsidP="00DC08AE">
      <w:pPr>
        <w:numPr>
          <w:ilvl w:val="0"/>
          <w:numId w:val="21"/>
        </w:numPr>
        <w:tabs>
          <w:tab w:val="left" w:pos="180"/>
        </w:tabs>
        <w:spacing w:after="0" w:line="240" w:lineRule="auto"/>
        <w:ind w:left="450"/>
        <w:jc w:val="both"/>
        <w:rPr>
          <w:rFonts w:cs="Times New Roman"/>
          <w:color w:val="1B1C1D"/>
          <w:szCs w:val="20"/>
        </w:rPr>
      </w:pPr>
      <w:r w:rsidRPr="00C30325">
        <w:rPr>
          <w:rFonts w:cs="Times New Roman"/>
          <w:color w:val="1B1C1D"/>
          <w:szCs w:val="20"/>
        </w:rPr>
        <w:t xml:space="preserve">S. K. Sardar, A. Ghosal, T. Haldar, M. Maruf, K. Das, Y. Saito-Nakano, et al., "Prevalence and molecular characterization of Entamoeba </w:t>
      </w:r>
      <w:proofErr w:type="spellStart"/>
      <w:r w:rsidRPr="00C30325">
        <w:rPr>
          <w:rFonts w:cs="Times New Roman"/>
          <w:color w:val="1B1C1D"/>
          <w:szCs w:val="20"/>
        </w:rPr>
        <w:t>moshkovskii</w:t>
      </w:r>
      <w:proofErr w:type="spellEnd"/>
      <w:r w:rsidRPr="00C30325">
        <w:rPr>
          <w:rFonts w:cs="Times New Roman"/>
          <w:color w:val="1B1C1D"/>
          <w:szCs w:val="20"/>
        </w:rPr>
        <w:t xml:space="preserve"> in diarrheal patients from Eastern India," </w:t>
      </w:r>
      <w:proofErr w:type="spellStart"/>
      <w:r w:rsidRPr="00C30325">
        <w:rPr>
          <w:rFonts w:cs="Times New Roman"/>
          <w:color w:val="1B1C1D"/>
          <w:szCs w:val="20"/>
        </w:rPr>
        <w:t>PLoS</w:t>
      </w:r>
      <w:proofErr w:type="spellEnd"/>
      <w:r w:rsidRPr="00C30325">
        <w:rPr>
          <w:rFonts w:cs="Times New Roman"/>
          <w:color w:val="1B1C1D"/>
          <w:szCs w:val="20"/>
        </w:rPr>
        <w:t xml:space="preserve"> Neglected Tropical Diseases, 17(5), p. e0011287, 2022.</w:t>
      </w:r>
    </w:p>
    <w:p w14:paraId="056E7FDE" w14:textId="77777777" w:rsidR="00C30325" w:rsidRPr="00C30325" w:rsidRDefault="00C30325" w:rsidP="00DC08AE">
      <w:pPr>
        <w:numPr>
          <w:ilvl w:val="0"/>
          <w:numId w:val="21"/>
        </w:numPr>
        <w:tabs>
          <w:tab w:val="left" w:pos="180"/>
        </w:tabs>
        <w:spacing w:after="0" w:line="240" w:lineRule="auto"/>
        <w:ind w:left="450"/>
        <w:jc w:val="both"/>
        <w:rPr>
          <w:rFonts w:cs="Times New Roman"/>
          <w:color w:val="1B1C1D"/>
          <w:szCs w:val="20"/>
        </w:rPr>
      </w:pPr>
      <w:r w:rsidRPr="00C30325">
        <w:rPr>
          <w:rFonts w:cs="Times New Roman"/>
          <w:color w:val="1B1C1D"/>
          <w:szCs w:val="20"/>
        </w:rPr>
        <w:t xml:space="preserve">S. Das, N. Rajkumari, A. Gunalan, D. Rajavelu, &amp; J. J. </w:t>
      </w:r>
      <w:proofErr w:type="spellStart"/>
      <w:r w:rsidRPr="00C30325">
        <w:rPr>
          <w:rFonts w:cs="Times New Roman"/>
          <w:color w:val="1B1C1D"/>
          <w:szCs w:val="20"/>
        </w:rPr>
        <w:t>Olickal</w:t>
      </w:r>
      <w:proofErr w:type="spellEnd"/>
      <w:r w:rsidRPr="00C30325">
        <w:rPr>
          <w:rFonts w:cs="Times New Roman"/>
          <w:color w:val="1B1C1D"/>
          <w:szCs w:val="20"/>
        </w:rPr>
        <w:t>, "A comparative analysis of microscopy, coproantigen serology, and nested multiplex PCR in the laboratory diagnosis of Entamoeba histolytica infection," Journal of Laboratory Physicians, 14(2), pp. 125-131, 2022.</w:t>
      </w:r>
    </w:p>
    <w:p w14:paraId="7B2C1234" w14:textId="77777777" w:rsidR="00C30325" w:rsidRPr="00C30325" w:rsidRDefault="00C30325" w:rsidP="00DC08AE">
      <w:pPr>
        <w:numPr>
          <w:ilvl w:val="0"/>
          <w:numId w:val="21"/>
        </w:numPr>
        <w:tabs>
          <w:tab w:val="left" w:pos="180"/>
        </w:tabs>
        <w:spacing w:after="0" w:line="240" w:lineRule="auto"/>
        <w:ind w:left="450"/>
        <w:jc w:val="both"/>
        <w:rPr>
          <w:rFonts w:cs="Times New Roman"/>
          <w:color w:val="1B1C1D"/>
          <w:szCs w:val="20"/>
        </w:rPr>
      </w:pPr>
      <w:r w:rsidRPr="00C30325">
        <w:rPr>
          <w:rFonts w:cs="Times New Roman"/>
          <w:color w:val="1B1C1D"/>
          <w:szCs w:val="20"/>
        </w:rPr>
        <w:t xml:space="preserve">D. R. Abenoja, M. E. A. Abuan, S. P. G. Aniceto, A. G. N. Bugayong, M. K. R. </w:t>
      </w:r>
      <w:proofErr w:type="spellStart"/>
      <w:r w:rsidRPr="00C30325">
        <w:rPr>
          <w:rFonts w:cs="Times New Roman"/>
          <w:color w:val="1B1C1D"/>
          <w:szCs w:val="20"/>
        </w:rPr>
        <w:t>Fabiculanan</w:t>
      </w:r>
      <w:proofErr w:type="spellEnd"/>
      <w:r w:rsidRPr="00C30325">
        <w:rPr>
          <w:rFonts w:cs="Times New Roman"/>
          <w:color w:val="1B1C1D"/>
          <w:szCs w:val="20"/>
        </w:rPr>
        <w:t>, J. D. A. Galleta, et al., "Commensal vs. Pathogenic: challenges in differentiating E. histolytica and other non-pathogenic amoeba," 2024.</w:t>
      </w:r>
    </w:p>
    <w:p w14:paraId="64C35BAF" w14:textId="3518BDA1" w:rsidR="00C30325" w:rsidRPr="00C30325" w:rsidRDefault="00C30325" w:rsidP="00DC08AE">
      <w:pPr>
        <w:numPr>
          <w:ilvl w:val="0"/>
          <w:numId w:val="21"/>
        </w:numPr>
        <w:tabs>
          <w:tab w:val="left" w:pos="180"/>
        </w:tabs>
        <w:spacing w:after="0" w:line="240" w:lineRule="auto"/>
        <w:ind w:left="450"/>
        <w:jc w:val="both"/>
        <w:rPr>
          <w:rFonts w:cs="Times New Roman"/>
          <w:color w:val="1B1C1D"/>
          <w:szCs w:val="20"/>
        </w:rPr>
      </w:pPr>
      <w:r w:rsidRPr="00C30325">
        <w:rPr>
          <w:rFonts w:cs="Times New Roman"/>
          <w:color w:val="1B1C1D"/>
          <w:szCs w:val="20"/>
        </w:rPr>
        <w:t xml:space="preserve">S. Mozer, I. G. Abdulwahhab, &amp; A. F. Al-Azaawie, "Diagnosis </w:t>
      </w:r>
      <w:proofErr w:type="gramStart"/>
      <w:r w:rsidRPr="00C30325">
        <w:rPr>
          <w:rFonts w:cs="Times New Roman"/>
          <w:color w:val="1B1C1D"/>
          <w:szCs w:val="20"/>
        </w:rPr>
        <w:t>Of</w:t>
      </w:r>
      <w:proofErr w:type="gramEnd"/>
      <w:r w:rsidRPr="00C30325">
        <w:rPr>
          <w:rFonts w:cs="Times New Roman"/>
          <w:color w:val="1B1C1D"/>
          <w:szCs w:val="20"/>
        </w:rPr>
        <w:t xml:space="preserve"> Contamination </w:t>
      </w:r>
      <w:proofErr w:type="gramStart"/>
      <w:r w:rsidRPr="00C30325">
        <w:rPr>
          <w:rFonts w:cs="Times New Roman"/>
          <w:color w:val="1B1C1D"/>
          <w:szCs w:val="20"/>
        </w:rPr>
        <w:t>Of</w:t>
      </w:r>
      <w:proofErr w:type="gramEnd"/>
      <w:r w:rsidRPr="00C30325">
        <w:rPr>
          <w:rFonts w:cs="Times New Roman"/>
          <w:color w:val="1B1C1D"/>
          <w:szCs w:val="20"/>
        </w:rPr>
        <w:t xml:space="preserve"> Vegetables </w:t>
      </w:r>
      <w:proofErr w:type="gramStart"/>
      <w:r w:rsidRPr="00C30325">
        <w:rPr>
          <w:rFonts w:cs="Times New Roman"/>
          <w:color w:val="1B1C1D"/>
          <w:szCs w:val="20"/>
        </w:rPr>
        <w:t>And</w:t>
      </w:r>
      <w:proofErr w:type="gramEnd"/>
      <w:r w:rsidRPr="00C30325">
        <w:rPr>
          <w:rFonts w:cs="Times New Roman"/>
          <w:color w:val="1B1C1D"/>
          <w:szCs w:val="20"/>
        </w:rPr>
        <w:t xml:space="preserve"> Fruits </w:t>
      </w:r>
      <w:proofErr w:type="gramStart"/>
      <w:r w:rsidRPr="00C30325">
        <w:rPr>
          <w:rFonts w:cs="Times New Roman"/>
          <w:color w:val="1B1C1D"/>
          <w:szCs w:val="20"/>
        </w:rPr>
        <w:t>With</w:t>
      </w:r>
      <w:proofErr w:type="gramEnd"/>
      <w:r w:rsidRPr="00C30325">
        <w:rPr>
          <w:rFonts w:cs="Times New Roman"/>
          <w:color w:val="1B1C1D"/>
          <w:szCs w:val="20"/>
        </w:rPr>
        <w:t xml:space="preserve"> Cryptosporidium </w:t>
      </w:r>
      <w:proofErr w:type="spellStart"/>
      <w:r w:rsidRPr="00C30325">
        <w:rPr>
          <w:rFonts w:cs="Times New Roman"/>
          <w:color w:val="1B1C1D"/>
          <w:szCs w:val="20"/>
        </w:rPr>
        <w:t>Spp</w:t>
      </w:r>
      <w:proofErr w:type="spellEnd"/>
      <w:r w:rsidRPr="00C30325">
        <w:rPr>
          <w:rFonts w:cs="Times New Roman"/>
          <w:color w:val="1B1C1D"/>
          <w:szCs w:val="20"/>
        </w:rPr>
        <w:t xml:space="preserve"> Using Nested-PCR Technique," Nat Volatiles </w:t>
      </w:r>
      <w:r>
        <w:rPr>
          <w:rFonts w:cs="Times New Roman"/>
          <w:color w:val="1B1C1D"/>
          <w:szCs w:val="20"/>
        </w:rPr>
        <w:t>Essent Oils, pp. 223-232, 2021.</w:t>
      </w:r>
    </w:p>
    <w:p w14:paraId="35A14016" w14:textId="68CDDF63" w:rsidR="00C30325" w:rsidRPr="00C30325" w:rsidRDefault="00C30325" w:rsidP="00DC08AE">
      <w:pPr>
        <w:numPr>
          <w:ilvl w:val="0"/>
          <w:numId w:val="21"/>
        </w:numPr>
        <w:tabs>
          <w:tab w:val="left" w:pos="180"/>
        </w:tabs>
        <w:spacing w:after="0" w:line="240" w:lineRule="auto"/>
        <w:ind w:left="450"/>
        <w:jc w:val="both"/>
        <w:rPr>
          <w:rFonts w:cs="Times New Roman"/>
          <w:color w:val="1B1C1D"/>
          <w:szCs w:val="20"/>
        </w:rPr>
      </w:pPr>
      <w:r w:rsidRPr="00C30325">
        <w:rPr>
          <w:rFonts w:cs="Times New Roman"/>
          <w:color w:val="1B1C1D"/>
          <w:szCs w:val="20"/>
        </w:rPr>
        <w:t>S. Mozer, I. G. Abdulwahhab, &amp; A. F. Al-Azaawie, "Extraction of the DNA of Giardia lamblia isolated from vegetables and fruits in a simplified way and its diagnosis using Nested-PCR," Journal of Parasitic Dise</w:t>
      </w:r>
      <w:r>
        <w:rPr>
          <w:rFonts w:cs="Times New Roman"/>
          <w:color w:val="1B1C1D"/>
          <w:szCs w:val="20"/>
        </w:rPr>
        <w:t>ases, 46(3), pp. 771-775, 2022.</w:t>
      </w:r>
    </w:p>
    <w:p w14:paraId="06245AF8" w14:textId="77777777" w:rsidR="00C30325" w:rsidRPr="00C30325" w:rsidRDefault="00C30325" w:rsidP="00DC08AE">
      <w:pPr>
        <w:numPr>
          <w:ilvl w:val="0"/>
          <w:numId w:val="21"/>
        </w:numPr>
        <w:tabs>
          <w:tab w:val="left" w:pos="180"/>
        </w:tabs>
        <w:spacing w:after="0" w:line="240" w:lineRule="auto"/>
        <w:ind w:left="450"/>
        <w:jc w:val="both"/>
        <w:rPr>
          <w:rFonts w:cs="Times New Roman"/>
          <w:color w:val="1B1C1D"/>
          <w:szCs w:val="20"/>
        </w:rPr>
      </w:pPr>
      <w:r w:rsidRPr="00C30325">
        <w:rPr>
          <w:rFonts w:cs="Times New Roman"/>
          <w:color w:val="1B1C1D"/>
          <w:szCs w:val="20"/>
        </w:rPr>
        <w:t xml:space="preserve">I. G. Abdulwahhab, "Effect of Crataegus </w:t>
      </w:r>
      <w:proofErr w:type="spellStart"/>
      <w:r w:rsidRPr="00C30325">
        <w:rPr>
          <w:rFonts w:cs="Times New Roman"/>
          <w:color w:val="1B1C1D"/>
          <w:szCs w:val="20"/>
        </w:rPr>
        <w:t>Azarolus</w:t>
      </w:r>
      <w:proofErr w:type="spellEnd"/>
      <w:r w:rsidRPr="00C30325">
        <w:rPr>
          <w:rFonts w:cs="Times New Roman"/>
          <w:color w:val="1B1C1D"/>
          <w:szCs w:val="20"/>
        </w:rPr>
        <w:t xml:space="preserve"> Extracted in Treatment of Giardia Lamblia Infection," Indian Journal of Forensic Medicine &amp; Toxicology, 15(2), 2021.</w:t>
      </w:r>
    </w:p>
    <w:p w14:paraId="3BC2A0CE" w14:textId="3CFFCF0D" w:rsidR="00C30325" w:rsidRPr="00C30325" w:rsidRDefault="00C30325" w:rsidP="00DC08AE">
      <w:pPr>
        <w:numPr>
          <w:ilvl w:val="0"/>
          <w:numId w:val="21"/>
        </w:numPr>
        <w:tabs>
          <w:tab w:val="left" w:pos="180"/>
        </w:tabs>
        <w:spacing w:after="0" w:line="240" w:lineRule="auto"/>
        <w:ind w:left="450"/>
        <w:jc w:val="both"/>
        <w:rPr>
          <w:rFonts w:cs="Times New Roman"/>
          <w:color w:val="1B1C1D"/>
          <w:szCs w:val="20"/>
        </w:rPr>
      </w:pPr>
      <w:r w:rsidRPr="00C30325">
        <w:rPr>
          <w:rFonts w:cs="Times New Roman"/>
          <w:color w:val="1B1C1D"/>
          <w:szCs w:val="20"/>
          <w:bdr w:val="none" w:sz="0" w:space="0" w:color="auto" w:frame="1"/>
        </w:rPr>
        <w:t xml:space="preserve">H. Rodulfo, B. Ahmar, M. E. Rodríguez, L. Mora, &amp; M. De Donato, "Nested PCR </w:t>
      </w:r>
      <w:proofErr w:type="spellStart"/>
      <w:r w:rsidRPr="00C30325">
        <w:rPr>
          <w:rFonts w:cs="Times New Roman"/>
          <w:color w:val="1B1C1D"/>
          <w:szCs w:val="20"/>
          <w:bdr w:val="none" w:sz="0" w:space="0" w:color="auto" w:frame="1"/>
        </w:rPr>
        <w:t>revela</w:t>
      </w:r>
      <w:proofErr w:type="spellEnd"/>
      <w:r w:rsidRPr="00C30325">
        <w:rPr>
          <w:rFonts w:cs="Times New Roman"/>
          <w:color w:val="1B1C1D"/>
          <w:szCs w:val="20"/>
          <w:bdr w:val="none" w:sz="0" w:space="0" w:color="auto" w:frame="1"/>
        </w:rPr>
        <w:t xml:space="preserve"> </w:t>
      </w:r>
      <w:proofErr w:type="spellStart"/>
      <w:r w:rsidRPr="00C30325">
        <w:rPr>
          <w:rFonts w:cs="Times New Roman"/>
          <w:color w:val="1B1C1D"/>
          <w:szCs w:val="20"/>
          <w:bdr w:val="none" w:sz="0" w:space="0" w:color="auto" w:frame="1"/>
        </w:rPr>
        <w:t>elevado</w:t>
      </w:r>
      <w:proofErr w:type="spellEnd"/>
      <w:r w:rsidRPr="00C30325">
        <w:rPr>
          <w:rFonts w:cs="Times New Roman"/>
          <w:color w:val="1B1C1D"/>
          <w:szCs w:val="20"/>
          <w:bdr w:val="none" w:sz="0" w:space="0" w:color="auto" w:frame="1"/>
        </w:rPr>
        <w:t xml:space="preserve"> </w:t>
      </w:r>
      <w:proofErr w:type="spellStart"/>
      <w:r w:rsidRPr="00C30325">
        <w:rPr>
          <w:rFonts w:cs="Times New Roman"/>
          <w:color w:val="1B1C1D"/>
          <w:szCs w:val="20"/>
          <w:bdr w:val="none" w:sz="0" w:space="0" w:color="auto" w:frame="1"/>
        </w:rPr>
        <w:t>sobrediagnóstico</w:t>
      </w:r>
      <w:proofErr w:type="spellEnd"/>
      <w:r w:rsidRPr="00C30325">
        <w:rPr>
          <w:rFonts w:cs="Times New Roman"/>
          <w:color w:val="1B1C1D"/>
          <w:szCs w:val="20"/>
          <w:bdr w:val="none" w:sz="0" w:space="0" w:color="auto" w:frame="1"/>
        </w:rPr>
        <w:t xml:space="preserve"> de E. histolytica </w:t>
      </w:r>
      <w:proofErr w:type="spellStart"/>
      <w:r w:rsidRPr="00C30325">
        <w:rPr>
          <w:rFonts w:cs="Times New Roman"/>
          <w:color w:val="1B1C1D"/>
          <w:szCs w:val="20"/>
          <w:bdr w:val="none" w:sz="0" w:space="0" w:color="auto" w:frame="1"/>
        </w:rPr>
        <w:t>en</w:t>
      </w:r>
      <w:proofErr w:type="spellEnd"/>
      <w:r w:rsidRPr="00C30325">
        <w:rPr>
          <w:rFonts w:cs="Times New Roman"/>
          <w:color w:val="1B1C1D"/>
          <w:szCs w:val="20"/>
          <w:bdr w:val="none" w:sz="0" w:space="0" w:color="auto" w:frame="1"/>
        </w:rPr>
        <w:t xml:space="preserve"> Barcelona, Venezuela," </w:t>
      </w:r>
      <w:proofErr w:type="spellStart"/>
      <w:r w:rsidRPr="00C30325">
        <w:rPr>
          <w:rFonts w:cs="Times New Roman"/>
          <w:color w:val="1B1C1D"/>
          <w:szCs w:val="20"/>
          <w:bdr w:val="none" w:sz="0" w:space="0" w:color="auto" w:frame="1"/>
        </w:rPr>
        <w:t>Investigacion</w:t>
      </w:r>
      <w:proofErr w:type="spellEnd"/>
      <w:r w:rsidRPr="00C30325">
        <w:rPr>
          <w:rFonts w:cs="Times New Roman"/>
          <w:color w:val="1B1C1D"/>
          <w:szCs w:val="20"/>
          <w:bdr w:val="none" w:sz="0" w:space="0" w:color="auto" w:frame="1"/>
        </w:rPr>
        <w:t xml:space="preserve"> Clinica, 53(4), pp. 365-377, 2012.</w:t>
      </w:r>
    </w:p>
    <w:p w14:paraId="349FC7F8" w14:textId="582DA5A8" w:rsidR="00C30325" w:rsidRPr="00C30325" w:rsidRDefault="00C30325" w:rsidP="00DC08AE">
      <w:pPr>
        <w:numPr>
          <w:ilvl w:val="0"/>
          <w:numId w:val="21"/>
        </w:numPr>
        <w:tabs>
          <w:tab w:val="left" w:pos="180"/>
        </w:tabs>
        <w:spacing w:after="0" w:line="240" w:lineRule="auto"/>
        <w:ind w:left="450"/>
        <w:jc w:val="both"/>
        <w:rPr>
          <w:rFonts w:cs="Times New Roman"/>
          <w:color w:val="1B1C1D"/>
          <w:szCs w:val="20"/>
        </w:rPr>
      </w:pPr>
      <w:r w:rsidRPr="00C30325">
        <w:rPr>
          <w:rFonts w:cs="Times New Roman"/>
          <w:color w:val="1B1C1D"/>
          <w:szCs w:val="20"/>
          <w:bdr w:val="none" w:sz="0" w:space="0" w:color="auto" w:frame="1"/>
        </w:rPr>
        <w:t>C. G. Clark, &amp; L. S. Diamond, "Methods for cultivation of luminal parasitic protists of clinical importance," Clinical Microbiology Rev</w:t>
      </w:r>
      <w:r>
        <w:rPr>
          <w:rFonts w:cs="Times New Roman"/>
          <w:color w:val="1B1C1D"/>
          <w:szCs w:val="20"/>
          <w:bdr w:val="none" w:sz="0" w:space="0" w:color="auto" w:frame="1"/>
        </w:rPr>
        <w:t>iews, 15(3), pp. 329-341, 2002.</w:t>
      </w:r>
    </w:p>
    <w:p w14:paraId="70C7335B" w14:textId="77777777" w:rsidR="00C30325" w:rsidRPr="00C30325" w:rsidRDefault="00C30325" w:rsidP="00DC08AE">
      <w:pPr>
        <w:numPr>
          <w:ilvl w:val="0"/>
          <w:numId w:val="21"/>
        </w:numPr>
        <w:tabs>
          <w:tab w:val="left" w:pos="180"/>
        </w:tabs>
        <w:spacing w:after="0" w:line="240" w:lineRule="auto"/>
        <w:ind w:left="450"/>
        <w:jc w:val="both"/>
        <w:rPr>
          <w:rFonts w:cs="Times New Roman"/>
          <w:color w:val="1B1C1D"/>
          <w:szCs w:val="20"/>
        </w:rPr>
      </w:pPr>
      <w:r w:rsidRPr="00C30325">
        <w:rPr>
          <w:rFonts w:cs="Times New Roman"/>
          <w:color w:val="1B1C1D"/>
          <w:szCs w:val="20"/>
        </w:rPr>
        <w:t>K. T. Aziz, R. A. Rostam, A. O. Qasem, &amp; P. M. Azize, "Epidemiological Study for Entamoeba Histolytica Infection and their Risk Factors among Children in Pediatric Hospital in Sulaimani Province-Iraq," Kufa Journal for Nursing Sciences, 12(1), 2022.</w:t>
      </w:r>
    </w:p>
    <w:p w14:paraId="250A2817" w14:textId="77777777" w:rsidR="00C30325" w:rsidRPr="00C30325" w:rsidRDefault="00C30325" w:rsidP="00DC08AE">
      <w:pPr>
        <w:numPr>
          <w:ilvl w:val="0"/>
          <w:numId w:val="21"/>
        </w:numPr>
        <w:tabs>
          <w:tab w:val="left" w:pos="180"/>
        </w:tabs>
        <w:spacing w:after="0" w:line="240" w:lineRule="auto"/>
        <w:ind w:left="450"/>
        <w:jc w:val="both"/>
        <w:rPr>
          <w:rFonts w:cs="Times New Roman"/>
          <w:color w:val="1B1C1D"/>
          <w:szCs w:val="20"/>
        </w:rPr>
      </w:pPr>
      <w:r w:rsidRPr="00C30325">
        <w:rPr>
          <w:rFonts w:cs="Times New Roman"/>
          <w:color w:val="1B1C1D"/>
          <w:szCs w:val="20"/>
        </w:rPr>
        <w:t xml:space="preserve">H. F. Alyasari, H. O. </w:t>
      </w:r>
      <w:proofErr w:type="spellStart"/>
      <w:r w:rsidRPr="00C30325">
        <w:rPr>
          <w:rFonts w:cs="Times New Roman"/>
          <w:color w:val="1B1C1D"/>
          <w:szCs w:val="20"/>
        </w:rPr>
        <w:t>AlHashim</w:t>
      </w:r>
      <w:proofErr w:type="spellEnd"/>
      <w:r w:rsidRPr="00C30325">
        <w:rPr>
          <w:rFonts w:cs="Times New Roman"/>
          <w:color w:val="1B1C1D"/>
          <w:szCs w:val="20"/>
        </w:rPr>
        <w:t xml:space="preserve">, A. H. </w:t>
      </w:r>
      <w:proofErr w:type="spellStart"/>
      <w:r w:rsidRPr="00C30325">
        <w:rPr>
          <w:rFonts w:cs="Times New Roman"/>
          <w:color w:val="1B1C1D"/>
          <w:szCs w:val="20"/>
        </w:rPr>
        <w:t>Altaei</w:t>
      </w:r>
      <w:proofErr w:type="spellEnd"/>
      <w:r w:rsidRPr="00C30325">
        <w:rPr>
          <w:rFonts w:cs="Times New Roman"/>
          <w:color w:val="1B1C1D"/>
          <w:szCs w:val="20"/>
        </w:rPr>
        <w:t>, &amp; M. B. Al-Shuhaib, "Identification of serious clinical amebic dysentery cases in the middle Euphrates region of Iraq," Journal of Biological Sciences, 19, pp. 148-154, 2019.</w:t>
      </w:r>
    </w:p>
    <w:p w14:paraId="11B0C1C4" w14:textId="77777777" w:rsidR="00C30325" w:rsidRPr="00C30325" w:rsidRDefault="00C30325" w:rsidP="00DC08AE">
      <w:pPr>
        <w:numPr>
          <w:ilvl w:val="0"/>
          <w:numId w:val="21"/>
        </w:numPr>
        <w:tabs>
          <w:tab w:val="left" w:pos="180"/>
        </w:tabs>
        <w:spacing w:after="0" w:line="240" w:lineRule="auto"/>
        <w:ind w:left="450"/>
        <w:jc w:val="both"/>
        <w:rPr>
          <w:rFonts w:cs="Times New Roman"/>
          <w:color w:val="1B1C1D"/>
          <w:szCs w:val="20"/>
        </w:rPr>
      </w:pPr>
      <w:r w:rsidRPr="00C30325">
        <w:rPr>
          <w:rFonts w:cs="Times New Roman"/>
          <w:color w:val="1B1C1D"/>
          <w:szCs w:val="20"/>
        </w:rPr>
        <w:t xml:space="preserve">C. M. Lepore, L. Kamau, &amp; E. </w:t>
      </w:r>
      <w:proofErr w:type="spellStart"/>
      <w:r w:rsidRPr="00C30325">
        <w:rPr>
          <w:rFonts w:cs="Times New Roman"/>
          <w:color w:val="1B1C1D"/>
          <w:szCs w:val="20"/>
        </w:rPr>
        <w:t>Kanduma</w:t>
      </w:r>
      <w:proofErr w:type="spellEnd"/>
      <w:r w:rsidRPr="00C30325">
        <w:rPr>
          <w:rFonts w:cs="Times New Roman"/>
          <w:color w:val="1B1C1D"/>
          <w:szCs w:val="20"/>
        </w:rPr>
        <w:t xml:space="preserve">, "Molecular prevalence of Entamoeba species patients in Eastern Kenya," European Journal of Biology and Biotechnology, p. </w:t>
      </w:r>
      <w:proofErr w:type="spellStart"/>
      <w:r w:rsidRPr="00C30325">
        <w:rPr>
          <w:rFonts w:cs="Times New Roman"/>
          <w:color w:val="1B1C1D"/>
          <w:szCs w:val="20"/>
        </w:rPr>
        <w:t>Ejbio</w:t>
      </w:r>
      <w:proofErr w:type="spellEnd"/>
      <w:r w:rsidRPr="00C30325">
        <w:rPr>
          <w:rFonts w:cs="Times New Roman"/>
          <w:color w:val="1B1C1D"/>
          <w:szCs w:val="20"/>
        </w:rPr>
        <w:t xml:space="preserve"> 10-24018, 2022.</w:t>
      </w:r>
    </w:p>
    <w:p w14:paraId="450633A6" w14:textId="77777777" w:rsidR="00C30325" w:rsidRPr="00C30325" w:rsidRDefault="00C30325" w:rsidP="00DC08AE">
      <w:pPr>
        <w:numPr>
          <w:ilvl w:val="0"/>
          <w:numId w:val="21"/>
        </w:numPr>
        <w:tabs>
          <w:tab w:val="left" w:pos="180"/>
        </w:tabs>
        <w:spacing w:after="0" w:line="240" w:lineRule="auto"/>
        <w:ind w:left="450"/>
        <w:jc w:val="both"/>
        <w:rPr>
          <w:rFonts w:cs="Times New Roman"/>
          <w:color w:val="1B1C1D"/>
          <w:szCs w:val="20"/>
        </w:rPr>
      </w:pPr>
      <w:r w:rsidRPr="00C30325">
        <w:rPr>
          <w:rFonts w:cs="Times New Roman"/>
          <w:color w:val="1B1C1D"/>
          <w:szCs w:val="20"/>
        </w:rPr>
        <w:lastRenderedPageBreak/>
        <w:t xml:space="preserve">J. J. Verweij, F. </w:t>
      </w:r>
      <w:proofErr w:type="spellStart"/>
      <w:r w:rsidRPr="00C30325">
        <w:rPr>
          <w:rFonts w:cs="Times New Roman"/>
          <w:color w:val="1B1C1D"/>
          <w:szCs w:val="20"/>
        </w:rPr>
        <w:t>Oostvogel</w:t>
      </w:r>
      <w:proofErr w:type="spellEnd"/>
      <w:r w:rsidRPr="00C30325">
        <w:rPr>
          <w:rFonts w:cs="Times New Roman"/>
          <w:color w:val="1B1C1D"/>
          <w:szCs w:val="20"/>
        </w:rPr>
        <w:t>, E. A. Brienen, A. Nang-</w:t>
      </w:r>
      <w:proofErr w:type="spellStart"/>
      <w:r w:rsidRPr="00C30325">
        <w:rPr>
          <w:rFonts w:cs="Times New Roman"/>
          <w:color w:val="1B1C1D"/>
          <w:szCs w:val="20"/>
        </w:rPr>
        <w:t>Beifubah</w:t>
      </w:r>
      <w:proofErr w:type="spellEnd"/>
      <w:r w:rsidRPr="00C30325">
        <w:rPr>
          <w:rFonts w:cs="Times New Roman"/>
          <w:color w:val="1B1C1D"/>
          <w:szCs w:val="20"/>
        </w:rPr>
        <w:t xml:space="preserve">, J. Ziem, &amp; A. M. </w:t>
      </w:r>
      <w:proofErr w:type="spellStart"/>
      <w:r w:rsidRPr="00C30325">
        <w:rPr>
          <w:rFonts w:cs="Times New Roman"/>
          <w:color w:val="1B1C1D"/>
          <w:szCs w:val="20"/>
        </w:rPr>
        <w:t>Polderman</w:t>
      </w:r>
      <w:proofErr w:type="spellEnd"/>
      <w:r w:rsidRPr="00C30325">
        <w:rPr>
          <w:rFonts w:cs="Times New Roman"/>
          <w:color w:val="1B1C1D"/>
          <w:szCs w:val="20"/>
        </w:rPr>
        <w:t>, "Short communication: prevalence of Entamoeba histolytica and Entamoeba dispar in northern Ghana," Tropical Medicine &amp; International Health, 8, pp. 1153-1156, 2003.</w:t>
      </w:r>
    </w:p>
    <w:p w14:paraId="19F85108" w14:textId="77777777" w:rsidR="00C30325" w:rsidRPr="00C30325" w:rsidRDefault="00C30325" w:rsidP="00DC08AE">
      <w:pPr>
        <w:numPr>
          <w:ilvl w:val="0"/>
          <w:numId w:val="21"/>
        </w:numPr>
        <w:tabs>
          <w:tab w:val="left" w:pos="180"/>
        </w:tabs>
        <w:spacing w:after="0" w:line="240" w:lineRule="auto"/>
        <w:ind w:left="450"/>
        <w:jc w:val="both"/>
        <w:rPr>
          <w:rFonts w:cs="Times New Roman"/>
          <w:color w:val="1B1C1D"/>
          <w:szCs w:val="20"/>
        </w:rPr>
      </w:pPr>
      <w:r w:rsidRPr="00C30325">
        <w:rPr>
          <w:rFonts w:cs="Times New Roman"/>
          <w:color w:val="1B1C1D"/>
          <w:szCs w:val="20"/>
        </w:rPr>
        <w:t xml:space="preserve">Z. Hamzah, S. </w:t>
      </w:r>
      <w:proofErr w:type="spellStart"/>
      <w:r w:rsidRPr="00C30325">
        <w:rPr>
          <w:rFonts w:cs="Times New Roman"/>
          <w:color w:val="1B1C1D"/>
          <w:szCs w:val="20"/>
        </w:rPr>
        <w:t>Petmitr</w:t>
      </w:r>
      <w:proofErr w:type="spellEnd"/>
      <w:r w:rsidRPr="00C30325">
        <w:rPr>
          <w:rFonts w:cs="Times New Roman"/>
          <w:color w:val="1B1C1D"/>
          <w:szCs w:val="20"/>
        </w:rPr>
        <w:t xml:space="preserve">, M. </w:t>
      </w:r>
      <w:proofErr w:type="spellStart"/>
      <w:r w:rsidRPr="00C30325">
        <w:rPr>
          <w:rFonts w:cs="Times New Roman"/>
          <w:color w:val="1B1C1D"/>
          <w:szCs w:val="20"/>
        </w:rPr>
        <w:t>Mungthin</w:t>
      </w:r>
      <w:proofErr w:type="spellEnd"/>
      <w:r w:rsidRPr="00C30325">
        <w:rPr>
          <w:rFonts w:cs="Times New Roman"/>
          <w:color w:val="1B1C1D"/>
          <w:szCs w:val="20"/>
        </w:rPr>
        <w:t xml:space="preserve">, S. Leelayoova, &amp; P. </w:t>
      </w:r>
      <w:proofErr w:type="spellStart"/>
      <w:r w:rsidRPr="00C30325">
        <w:rPr>
          <w:rFonts w:cs="Times New Roman"/>
          <w:color w:val="1B1C1D"/>
          <w:szCs w:val="20"/>
        </w:rPr>
        <w:t>Chavalitshewinkoon-Petmitr</w:t>
      </w:r>
      <w:proofErr w:type="spellEnd"/>
      <w:r w:rsidRPr="00C30325">
        <w:rPr>
          <w:rFonts w:cs="Times New Roman"/>
          <w:color w:val="1B1C1D"/>
          <w:szCs w:val="20"/>
        </w:rPr>
        <w:t xml:space="preserve">, "Differential detection of Entamoeba histolytica, Entamoeba dispar, and Entamoeba </w:t>
      </w:r>
      <w:proofErr w:type="spellStart"/>
      <w:r w:rsidRPr="00C30325">
        <w:rPr>
          <w:rFonts w:cs="Times New Roman"/>
          <w:color w:val="1B1C1D"/>
          <w:szCs w:val="20"/>
        </w:rPr>
        <w:t>moshkovskii</w:t>
      </w:r>
      <w:proofErr w:type="spellEnd"/>
      <w:r w:rsidRPr="00C30325">
        <w:rPr>
          <w:rFonts w:cs="Times New Roman"/>
          <w:color w:val="1B1C1D"/>
          <w:szCs w:val="20"/>
        </w:rPr>
        <w:t xml:space="preserve"> by a </w:t>
      </w:r>
      <w:proofErr w:type="spellStart"/>
      <w:r w:rsidRPr="00C30325">
        <w:rPr>
          <w:rFonts w:cs="Times New Roman"/>
          <w:color w:val="1B1C1D"/>
          <w:szCs w:val="20"/>
        </w:rPr>
        <w:t>singleround</w:t>
      </w:r>
      <w:proofErr w:type="spellEnd"/>
      <w:r w:rsidRPr="00C30325">
        <w:rPr>
          <w:rFonts w:cs="Times New Roman"/>
          <w:color w:val="1B1C1D"/>
          <w:szCs w:val="20"/>
        </w:rPr>
        <w:t xml:space="preserve"> PCR assay," Journal of Clinical Microbiology, 44, pp. 3196-3200, 2006.</w:t>
      </w:r>
    </w:p>
    <w:p w14:paraId="66495EB2" w14:textId="5AF9AFF7" w:rsidR="00C30325" w:rsidRPr="00C30325" w:rsidRDefault="00C30325" w:rsidP="00DC08AE">
      <w:pPr>
        <w:numPr>
          <w:ilvl w:val="0"/>
          <w:numId w:val="21"/>
        </w:numPr>
        <w:tabs>
          <w:tab w:val="left" w:pos="180"/>
        </w:tabs>
        <w:spacing w:after="0" w:line="240" w:lineRule="auto"/>
        <w:ind w:left="450"/>
        <w:jc w:val="both"/>
        <w:rPr>
          <w:rFonts w:cs="Times New Roman"/>
          <w:color w:val="1B1C1D"/>
          <w:szCs w:val="20"/>
        </w:rPr>
      </w:pPr>
      <w:r w:rsidRPr="00C30325">
        <w:rPr>
          <w:rFonts w:cs="Times New Roman"/>
          <w:color w:val="1B1C1D"/>
          <w:szCs w:val="20"/>
        </w:rPr>
        <w:t xml:space="preserve">R. Ngui, L. </w:t>
      </w:r>
      <w:proofErr w:type="spellStart"/>
      <w:r w:rsidRPr="00C30325">
        <w:rPr>
          <w:rFonts w:cs="Times New Roman"/>
          <w:color w:val="1B1C1D"/>
          <w:szCs w:val="20"/>
        </w:rPr>
        <w:t>Angal</w:t>
      </w:r>
      <w:proofErr w:type="spellEnd"/>
      <w:r w:rsidRPr="00C30325">
        <w:rPr>
          <w:rFonts w:cs="Times New Roman"/>
          <w:color w:val="1B1C1D"/>
          <w:szCs w:val="20"/>
        </w:rPr>
        <w:t xml:space="preserve">, S. A. </w:t>
      </w:r>
      <w:proofErr w:type="spellStart"/>
      <w:r w:rsidRPr="00C30325">
        <w:rPr>
          <w:rFonts w:cs="Times New Roman"/>
          <w:color w:val="1B1C1D"/>
          <w:szCs w:val="20"/>
        </w:rPr>
        <w:t>Fakhrurrazi</w:t>
      </w:r>
      <w:proofErr w:type="spellEnd"/>
      <w:r w:rsidRPr="00C30325">
        <w:rPr>
          <w:rFonts w:cs="Times New Roman"/>
          <w:color w:val="1B1C1D"/>
          <w:szCs w:val="20"/>
        </w:rPr>
        <w:t xml:space="preserve">, Y. L. A. Lian, L. Y. Ling, J. </w:t>
      </w:r>
      <w:r w:rsidRPr="00C30325">
        <w:rPr>
          <w:rFonts w:cs="Times New Roman"/>
          <w:color w:val="1B1C1D"/>
          <w:szCs w:val="20"/>
          <w:bdr w:val="none" w:sz="0" w:space="0" w:color="auto" w:frame="1"/>
        </w:rPr>
        <w:t xml:space="preserve">Ibrahim, et al., "Differentiating Entamoeba histolytica, Entamoeba dispar and Entamoeba </w:t>
      </w:r>
      <w:proofErr w:type="spellStart"/>
      <w:r w:rsidRPr="00C30325">
        <w:rPr>
          <w:rFonts w:cs="Times New Roman"/>
          <w:color w:val="1B1C1D"/>
          <w:szCs w:val="20"/>
          <w:bdr w:val="none" w:sz="0" w:space="0" w:color="auto" w:frame="1"/>
        </w:rPr>
        <w:t>moshkovskii</w:t>
      </w:r>
      <w:proofErr w:type="spellEnd"/>
      <w:r w:rsidRPr="00C30325">
        <w:rPr>
          <w:rFonts w:cs="Times New Roman"/>
          <w:color w:val="1B1C1D"/>
          <w:szCs w:val="20"/>
          <w:bdr w:val="none" w:sz="0" w:space="0" w:color="auto" w:frame="1"/>
        </w:rPr>
        <w:t xml:space="preserve"> using nested polymerase chain reaction (PCR) in rural communities in Malaysia," Parasites &amp; Vectors, 5(1), p. 187, 2012.</w:t>
      </w:r>
    </w:p>
    <w:p w14:paraId="27C2B4BF" w14:textId="21A354FE" w:rsidR="00C30325" w:rsidRPr="00C30325" w:rsidRDefault="00C30325" w:rsidP="00DC08AE">
      <w:pPr>
        <w:numPr>
          <w:ilvl w:val="0"/>
          <w:numId w:val="21"/>
        </w:numPr>
        <w:tabs>
          <w:tab w:val="left" w:pos="180"/>
        </w:tabs>
        <w:spacing w:after="0" w:line="240" w:lineRule="auto"/>
        <w:ind w:left="450"/>
        <w:jc w:val="both"/>
        <w:rPr>
          <w:rFonts w:cs="Times New Roman"/>
          <w:color w:val="1B1C1D"/>
          <w:szCs w:val="20"/>
        </w:rPr>
      </w:pPr>
      <w:r w:rsidRPr="00C30325">
        <w:rPr>
          <w:rFonts w:cs="Times New Roman"/>
          <w:color w:val="1B1C1D"/>
          <w:szCs w:val="20"/>
        </w:rPr>
        <w:t xml:space="preserve">M. A. </w:t>
      </w:r>
      <w:r w:rsidRPr="00C30325">
        <w:rPr>
          <w:rFonts w:cs="Times New Roman"/>
          <w:color w:val="1B1C1D"/>
          <w:szCs w:val="20"/>
          <w:bdr w:val="none" w:sz="0" w:space="0" w:color="auto" w:frame="1"/>
        </w:rPr>
        <w:t>Kadir, S. T. El-Yassin, &amp; A. M. Ali, "Detection of Entamoeba histolytica and Giardia lamblia in children with diarrhea in Tikrit city," Tikrit Journal of</w:t>
      </w:r>
      <w:r>
        <w:rPr>
          <w:rFonts w:cs="Times New Roman"/>
          <w:color w:val="1B1C1D"/>
          <w:szCs w:val="20"/>
          <w:bdr w:val="none" w:sz="0" w:space="0" w:color="auto" w:frame="1"/>
        </w:rPr>
        <w:t xml:space="preserve"> Pure Science, 23(6), pp. 57-64, 2020.</w:t>
      </w:r>
    </w:p>
    <w:p w14:paraId="739CD44E" w14:textId="62AD4B8B" w:rsidR="00C30325" w:rsidRPr="00C30325" w:rsidRDefault="00C30325" w:rsidP="00DC08AE">
      <w:pPr>
        <w:numPr>
          <w:ilvl w:val="0"/>
          <w:numId w:val="21"/>
        </w:numPr>
        <w:tabs>
          <w:tab w:val="left" w:pos="180"/>
        </w:tabs>
        <w:spacing w:after="0" w:line="240" w:lineRule="auto"/>
        <w:ind w:left="450"/>
        <w:jc w:val="both"/>
        <w:rPr>
          <w:rFonts w:cs="Times New Roman"/>
          <w:color w:val="1B1C1D"/>
          <w:szCs w:val="20"/>
        </w:rPr>
      </w:pPr>
      <w:r w:rsidRPr="00C30325">
        <w:rPr>
          <w:rFonts w:cs="Times New Roman"/>
          <w:color w:val="1B1C1D"/>
          <w:szCs w:val="20"/>
        </w:rPr>
        <w:t xml:space="preserve">A. El Bakri, A. Samie, S. Ezzedine, &amp; R. </w:t>
      </w:r>
      <w:r w:rsidRPr="00C30325">
        <w:rPr>
          <w:rFonts w:cs="Times New Roman"/>
          <w:color w:val="1B1C1D"/>
          <w:szCs w:val="20"/>
          <w:bdr w:val="none" w:sz="0" w:space="0" w:color="auto" w:frame="1"/>
        </w:rPr>
        <w:t xml:space="preserve">Abu Odeh, "Differential detection of Entamoeba histolytica, Entamoeba dispar and Entamoeba </w:t>
      </w:r>
      <w:proofErr w:type="spellStart"/>
      <w:r w:rsidRPr="00C30325">
        <w:rPr>
          <w:rFonts w:cs="Times New Roman"/>
          <w:color w:val="1B1C1D"/>
          <w:szCs w:val="20"/>
          <w:bdr w:val="none" w:sz="0" w:space="0" w:color="auto" w:frame="1"/>
        </w:rPr>
        <w:t>moshkovskii</w:t>
      </w:r>
      <w:proofErr w:type="spellEnd"/>
      <w:r w:rsidRPr="00C30325">
        <w:rPr>
          <w:rFonts w:cs="Times New Roman"/>
          <w:color w:val="1B1C1D"/>
          <w:szCs w:val="20"/>
          <w:bdr w:val="none" w:sz="0" w:space="0" w:color="auto" w:frame="1"/>
        </w:rPr>
        <w:t xml:space="preserve"> in fecal samples by nested PCR in the United Arab Emirates (UAE)," Acta </w:t>
      </w:r>
      <w:proofErr w:type="spellStart"/>
      <w:r w:rsidRPr="00C30325">
        <w:rPr>
          <w:rFonts w:cs="Times New Roman"/>
          <w:color w:val="1B1C1D"/>
          <w:szCs w:val="20"/>
          <w:bdr w:val="none" w:sz="0" w:space="0" w:color="auto" w:frame="1"/>
        </w:rPr>
        <w:t>Parasitologica</w:t>
      </w:r>
      <w:proofErr w:type="spellEnd"/>
      <w:r w:rsidRPr="00C30325">
        <w:rPr>
          <w:rFonts w:cs="Times New Roman"/>
          <w:color w:val="1B1C1D"/>
          <w:szCs w:val="20"/>
          <w:bdr w:val="none" w:sz="0" w:space="0" w:color="auto" w:frame="1"/>
        </w:rPr>
        <w:t>, 58(2), pp. 185-190, 2013.</w:t>
      </w:r>
    </w:p>
    <w:p w14:paraId="6289BB21" w14:textId="132219A5" w:rsidR="00C30325" w:rsidRPr="00C30325" w:rsidRDefault="00C30325" w:rsidP="00DC08AE">
      <w:pPr>
        <w:numPr>
          <w:ilvl w:val="0"/>
          <w:numId w:val="21"/>
        </w:numPr>
        <w:tabs>
          <w:tab w:val="left" w:pos="180"/>
        </w:tabs>
        <w:spacing w:after="0" w:line="240" w:lineRule="auto"/>
        <w:ind w:left="450"/>
        <w:jc w:val="both"/>
        <w:rPr>
          <w:rFonts w:cs="Times New Roman"/>
          <w:color w:val="1B1C1D"/>
          <w:szCs w:val="20"/>
        </w:rPr>
      </w:pPr>
      <w:r w:rsidRPr="00C30325">
        <w:rPr>
          <w:rFonts w:cs="Times New Roman"/>
          <w:color w:val="1B1C1D"/>
          <w:szCs w:val="20"/>
        </w:rPr>
        <w:t xml:space="preserve">R. Ngui, L. </w:t>
      </w:r>
      <w:proofErr w:type="spellStart"/>
      <w:r w:rsidRPr="00C30325">
        <w:rPr>
          <w:rFonts w:cs="Times New Roman"/>
          <w:color w:val="1B1C1D"/>
          <w:szCs w:val="20"/>
        </w:rPr>
        <w:t>Angal</w:t>
      </w:r>
      <w:proofErr w:type="spellEnd"/>
      <w:r w:rsidRPr="00C30325">
        <w:rPr>
          <w:rFonts w:cs="Times New Roman"/>
          <w:color w:val="1B1C1D"/>
          <w:szCs w:val="20"/>
        </w:rPr>
        <w:t xml:space="preserve">, S. A. </w:t>
      </w:r>
      <w:proofErr w:type="spellStart"/>
      <w:r w:rsidRPr="00C30325">
        <w:rPr>
          <w:rFonts w:cs="Times New Roman"/>
          <w:color w:val="1B1C1D"/>
          <w:szCs w:val="20"/>
        </w:rPr>
        <w:t>Fakhrurrazi</w:t>
      </w:r>
      <w:proofErr w:type="spellEnd"/>
      <w:r w:rsidRPr="00C30325">
        <w:rPr>
          <w:rFonts w:cs="Times New Roman"/>
          <w:color w:val="1B1C1D"/>
          <w:szCs w:val="20"/>
        </w:rPr>
        <w:t xml:space="preserve">, Y. L. A. Lian, L. Y. Ling, J. </w:t>
      </w:r>
      <w:r w:rsidRPr="00C30325">
        <w:rPr>
          <w:rFonts w:cs="Times New Roman"/>
          <w:color w:val="1B1C1D"/>
          <w:szCs w:val="20"/>
          <w:bdr w:val="none" w:sz="0" w:space="0" w:color="auto" w:frame="1"/>
        </w:rPr>
        <w:t xml:space="preserve">Ibrahim, et al., "Differentiating Entamoeba histolytica, Entamoeba dispar and Entamoeba </w:t>
      </w:r>
      <w:proofErr w:type="spellStart"/>
      <w:r w:rsidRPr="00C30325">
        <w:rPr>
          <w:rFonts w:cs="Times New Roman"/>
          <w:color w:val="1B1C1D"/>
          <w:szCs w:val="20"/>
          <w:bdr w:val="none" w:sz="0" w:space="0" w:color="auto" w:frame="1"/>
        </w:rPr>
        <w:t>moshkovskii</w:t>
      </w:r>
      <w:proofErr w:type="spellEnd"/>
      <w:r w:rsidRPr="00C30325">
        <w:rPr>
          <w:rFonts w:cs="Times New Roman"/>
          <w:color w:val="1B1C1D"/>
          <w:szCs w:val="20"/>
          <w:bdr w:val="none" w:sz="0" w:space="0" w:color="auto" w:frame="1"/>
        </w:rPr>
        <w:t xml:space="preserve"> using nested polymerase chain reaction (PCR) in rural communities in Malaysia," Parasites &amp; Vectors, 5(1), p. 187, 2012.</w:t>
      </w:r>
    </w:p>
    <w:p w14:paraId="58DCD87F" w14:textId="1E3E9A2C" w:rsidR="00C30325" w:rsidRPr="00C30325" w:rsidRDefault="00C30325" w:rsidP="00DC08AE">
      <w:pPr>
        <w:numPr>
          <w:ilvl w:val="0"/>
          <w:numId w:val="21"/>
        </w:numPr>
        <w:tabs>
          <w:tab w:val="left" w:pos="180"/>
        </w:tabs>
        <w:spacing w:after="0" w:line="240" w:lineRule="auto"/>
        <w:ind w:left="450"/>
        <w:jc w:val="both"/>
        <w:rPr>
          <w:rFonts w:cs="Times New Roman"/>
          <w:color w:val="1B1C1D"/>
          <w:szCs w:val="20"/>
        </w:rPr>
      </w:pPr>
      <w:r w:rsidRPr="00C30325">
        <w:rPr>
          <w:rFonts w:cs="Times New Roman"/>
          <w:color w:val="1B1C1D"/>
          <w:szCs w:val="20"/>
        </w:rPr>
        <w:t xml:space="preserve">M. Y. Noor Azian, Y. M. San, C. C. Gan, M. Y. Yusri, Y. </w:t>
      </w:r>
      <w:r w:rsidRPr="00C30325">
        <w:rPr>
          <w:rFonts w:cs="Times New Roman"/>
          <w:color w:val="1B1C1D"/>
          <w:szCs w:val="20"/>
          <w:bdr w:val="none" w:sz="0" w:space="0" w:color="auto" w:frame="1"/>
        </w:rPr>
        <w:t xml:space="preserve">Nurulsyamzawaty, A. H. </w:t>
      </w:r>
      <w:proofErr w:type="spellStart"/>
      <w:r w:rsidRPr="00C30325">
        <w:rPr>
          <w:rFonts w:cs="Times New Roman"/>
          <w:color w:val="1B1C1D"/>
          <w:szCs w:val="20"/>
          <w:bdr w:val="none" w:sz="0" w:space="0" w:color="auto" w:frame="1"/>
        </w:rPr>
        <w:t>Zuhaizam</w:t>
      </w:r>
      <w:proofErr w:type="spellEnd"/>
      <w:r w:rsidRPr="00C30325">
        <w:rPr>
          <w:rFonts w:cs="Times New Roman"/>
          <w:color w:val="1B1C1D"/>
          <w:szCs w:val="20"/>
          <w:bdr w:val="none" w:sz="0" w:space="0" w:color="auto" w:frame="1"/>
        </w:rPr>
        <w:t>, et al., "Prevalence of intestinal protozoa in an aborigine community in Pahang, Malaysia," Tropical Biomedicine, 24, pp. 55-62, 2006.</w:t>
      </w:r>
    </w:p>
    <w:p w14:paraId="2B6A757A" w14:textId="5DE69BB1" w:rsidR="00C30325" w:rsidRPr="00C30325" w:rsidRDefault="00C30325" w:rsidP="00DC08AE">
      <w:pPr>
        <w:numPr>
          <w:ilvl w:val="0"/>
          <w:numId w:val="21"/>
        </w:numPr>
        <w:tabs>
          <w:tab w:val="left" w:pos="180"/>
        </w:tabs>
        <w:spacing w:after="0" w:line="240" w:lineRule="auto"/>
        <w:ind w:left="450"/>
        <w:jc w:val="both"/>
        <w:rPr>
          <w:rFonts w:cs="Times New Roman"/>
          <w:color w:val="1B1C1D"/>
          <w:szCs w:val="20"/>
        </w:rPr>
      </w:pPr>
      <w:r w:rsidRPr="00C30325">
        <w:rPr>
          <w:rFonts w:cs="Times New Roman"/>
          <w:color w:val="1B1C1D"/>
          <w:szCs w:val="20"/>
        </w:rPr>
        <w:t xml:space="preserve">R. Fotedar, D. Stark, N. </w:t>
      </w:r>
      <w:r w:rsidRPr="00C30325">
        <w:rPr>
          <w:rFonts w:cs="Times New Roman"/>
          <w:color w:val="1B1C1D"/>
          <w:szCs w:val="20"/>
          <w:bdr w:val="none" w:sz="0" w:space="0" w:color="auto" w:frame="1"/>
        </w:rPr>
        <w:t xml:space="preserve">Beebe, D. Marriot, J. Ellis, &amp; J. Harkness, "PCR detection of Entamoeba histolytica, Entamoeba dispar and Entamoeba </w:t>
      </w:r>
      <w:proofErr w:type="spellStart"/>
      <w:r w:rsidRPr="00C30325">
        <w:rPr>
          <w:rFonts w:cs="Times New Roman"/>
          <w:color w:val="1B1C1D"/>
          <w:szCs w:val="20"/>
          <w:bdr w:val="none" w:sz="0" w:space="0" w:color="auto" w:frame="1"/>
        </w:rPr>
        <w:t>moshkovskii</w:t>
      </w:r>
      <w:proofErr w:type="spellEnd"/>
      <w:r w:rsidRPr="00C30325">
        <w:rPr>
          <w:rFonts w:cs="Times New Roman"/>
          <w:color w:val="1B1C1D"/>
          <w:szCs w:val="20"/>
          <w:bdr w:val="none" w:sz="0" w:space="0" w:color="auto" w:frame="1"/>
        </w:rPr>
        <w:t xml:space="preserve"> in stool samples from Sydney, Australia," Journal of Clinical Microbiology, 45, pp. 1035-1037, 2007.</w:t>
      </w:r>
    </w:p>
    <w:p w14:paraId="2E298E08" w14:textId="3BF26A59" w:rsidR="00C30325" w:rsidRPr="00C30325" w:rsidRDefault="00C30325" w:rsidP="00DC08AE">
      <w:pPr>
        <w:numPr>
          <w:ilvl w:val="0"/>
          <w:numId w:val="21"/>
        </w:numPr>
        <w:tabs>
          <w:tab w:val="left" w:pos="180"/>
        </w:tabs>
        <w:spacing w:after="0" w:line="240" w:lineRule="auto"/>
        <w:ind w:left="450"/>
        <w:jc w:val="both"/>
        <w:rPr>
          <w:rFonts w:cs="Times New Roman"/>
          <w:color w:val="1B1C1D"/>
          <w:szCs w:val="20"/>
        </w:rPr>
      </w:pPr>
      <w:r w:rsidRPr="00C30325">
        <w:rPr>
          <w:rFonts w:cs="Times New Roman"/>
          <w:color w:val="1B1C1D"/>
          <w:szCs w:val="20"/>
        </w:rPr>
        <w:t xml:space="preserve">L. Braga, M. L. </w:t>
      </w:r>
      <w:r w:rsidRPr="00C30325">
        <w:rPr>
          <w:rFonts w:cs="Times New Roman"/>
          <w:color w:val="1B1C1D"/>
          <w:szCs w:val="20"/>
          <w:bdr w:val="none" w:sz="0" w:space="0" w:color="auto" w:frame="1"/>
        </w:rPr>
        <w:t xml:space="preserve">Gomes, M. W. Silva, C. Paiva, A. Sales, &amp; B. J. Mann, "Entamoeba histolytica and Entamoeba dispar infections as detected by monoclonal antibody in an urban slum in Fortaleza, Northeastern Brazil," Revista da </w:t>
      </w:r>
      <w:proofErr w:type="spellStart"/>
      <w:r w:rsidRPr="00C30325">
        <w:rPr>
          <w:rFonts w:cs="Times New Roman"/>
          <w:color w:val="1B1C1D"/>
          <w:szCs w:val="20"/>
          <w:bdr w:val="none" w:sz="0" w:space="0" w:color="auto" w:frame="1"/>
        </w:rPr>
        <w:t>Sociedade</w:t>
      </w:r>
      <w:proofErr w:type="spellEnd"/>
      <w:r w:rsidRPr="00C30325">
        <w:rPr>
          <w:rFonts w:cs="Times New Roman"/>
          <w:color w:val="1B1C1D"/>
          <w:szCs w:val="20"/>
          <w:bdr w:val="none" w:sz="0" w:space="0" w:color="auto" w:frame="1"/>
        </w:rPr>
        <w:t xml:space="preserve"> Brasileira de Medicina Tropical, 34, pp. 467-471, 2001.</w:t>
      </w:r>
    </w:p>
    <w:p w14:paraId="7101B552" w14:textId="4EA0DFD3" w:rsidR="009E20E3" w:rsidRPr="00892501" w:rsidRDefault="00C30325" w:rsidP="00892501">
      <w:pPr>
        <w:numPr>
          <w:ilvl w:val="0"/>
          <w:numId w:val="21"/>
        </w:numPr>
        <w:tabs>
          <w:tab w:val="left" w:pos="180"/>
        </w:tabs>
        <w:spacing w:after="0" w:line="240" w:lineRule="auto"/>
        <w:ind w:left="450"/>
        <w:jc w:val="both"/>
        <w:rPr>
          <w:rFonts w:cs="Times New Roman"/>
          <w:color w:val="1B1C1D"/>
          <w:szCs w:val="20"/>
        </w:rPr>
      </w:pPr>
      <w:r w:rsidRPr="00C30325">
        <w:rPr>
          <w:rFonts w:cs="Times New Roman"/>
          <w:color w:val="1B1C1D"/>
          <w:szCs w:val="20"/>
          <w:bdr w:val="none" w:sz="0" w:space="0" w:color="auto" w:frame="1"/>
        </w:rPr>
        <w:t xml:space="preserve">K. Khairnar, &amp; S. C. Parija, "A novel nested multiplex polymerase chain reaction (PCR) assay for differential detection of Entamoeba histolytica, E. </w:t>
      </w:r>
      <w:proofErr w:type="spellStart"/>
      <w:r w:rsidRPr="00C30325">
        <w:rPr>
          <w:rFonts w:cs="Times New Roman"/>
          <w:color w:val="1B1C1D"/>
          <w:szCs w:val="20"/>
          <w:bdr w:val="none" w:sz="0" w:space="0" w:color="auto" w:frame="1"/>
        </w:rPr>
        <w:t>moshkovskii</w:t>
      </w:r>
      <w:proofErr w:type="spellEnd"/>
      <w:r w:rsidRPr="00C30325">
        <w:rPr>
          <w:rFonts w:cs="Times New Roman"/>
          <w:color w:val="1B1C1D"/>
          <w:szCs w:val="20"/>
          <w:bdr w:val="none" w:sz="0" w:space="0" w:color="auto" w:frame="1"/>
        </w:rPr>
        <w:t xml:space="preserve"> and E. dispar DNA in stool samples," BMC Microbiology, 7(1), p. 47, 2007.</w:t>
      </w:r>
    </w:p>
    <w:sectPr w:rsidR="009E20E3" w:rsidRPr="00892501" w:rsidSect="00C91927">
      <w:footerReference w:type="default" r:id="rId13"/>
      <w:pgSz w:w="12240" w:h="15840"/>
      <w:pgMar w:top="1296" w:right="1584" w:bottom="1296" w:left="158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9D91F9" w14:textId="77777777" w:rsidR="00936EF1" w:rsidRDefault="00936EF1" w:rsidP="00957EAD">
      <w:pPr>
        <w:spacing w:after="0" w:line="240" w:lineRule="auto"/>
      </w:pPr>
      <w:r>
        <w:separator/>
      </w:r>
    </w:p>
  </w:endnote>
  <w:endnote w:type="continuationSeparator" w:id="0">
    <w:p w14:paraId="538E5B9B" w14:textId="77777777" w:rsidR="00936EF1" w:rsidRDefault="00936EF1" w:rsidP="00957E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8049F" w14:textId="219C1C8C" w:rsidR="00957EAD" w:rsidRDefault="00957EAD" w:rsidP="00957EA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AB1CAD" w14:textId="77777777" w:rsidR="00936EF1" w:rsidRDefault="00936EF1" w:rsidP="00957EAD">
      <w:pPr>
        <w:spacing w:after="0" w:line="240" w:lineRule="auto"/>
      </w:pPr>
      <w:r>
        <w:separator/>
      </w:r>
    </w:p>
  </w:footnote>
  <w:footnote w:type="continuationSeparator" w:id="0">
    <w:p w14:paraId="2140FDAF" w14:textId="77777777" w:rsidR="00936EF1" w:rsidRDefault="00936EF1" w:rsidP="00957E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25233A8"/>
    <w:multiLevelType w:val="multilevel"/>
    <w:tmpl w:val="C3EA80A8"/>
    <w:lvl w:ilvl="0">
      <w:start w:val="1"/>
      <w:numFmt w:val="decimal"/>
      <w:lvlText w:val="%1."/>
      <w:lvlJc w:val="left"/>
      <w:pPr>
        <w:tabs>
          <w:tab w:val="num" w:pos="630"/>
        </w:tabs>
        <w:ind w:left="630" w:hanging="360"/>
      </w:pPr>
    </w:lvl>
    <w:lvl w:ilvl="1" w:tentative="1">
      <w:start w:val="1"/>
      <w:numFmt w:val="decimal"/>
      <w:lvlText w:val="%2."/>
      <w:lvlJc w:val="left"/>
      <w:pPr>
        <w:tabs>
          <w:tab w:val="num" w:pos="1350"/>
        </w:tabs>
        <w:ind w:left="1350" w:hanging="360"/>
      </w:pPr>
    </w:lvl>
    <w:lvl w:ilvl="2" w:tentative="1">
      <w:start w:val="1"/>
      <w:numFmt w:val="decimal"/>
      <w:lvlText w:val="%3."/>
      <w:lvlJc w:val="left"/>
      <w:pPr>
        <w:tabs>
          <w:tab w:val="num" w:pos="2070"/>
        </w:tabs>
        <w:ind w:left="2070" w:hanging="360"/>
      </w:pPr>
    </w:lvl>
    <w:lvl w:ilvl="3" w:tentative="1">
      <w:start w:val="1"/>
      <w:numFmt w:val="decimal"/>
      <w:lvlText w:val="%4."/>
      <w:lvlJc w:val="left"/>
      <w:pPr>
        <w:tabs>
          <w:tab w:val="num" w:pos="2790"/>
        </w:tabs>
        <w:ind w:left="2790" w:hanging="360"/>
      </w:pPr>
    </w:lvl>
    <w:lvl w:ilvl="4" w:tentative="1">
      <w:start w:val="1"/>
      <w:numFmt w:val="decimal"/>
      <w:lvlText w:val="%5."/>
      <w:lvlJc w:val="left"/>
      <w:pPr>
        <w:tabs>
          <w:tab w:val="num" w:pos="3510"/>
        </w:tabs>
        <w:ind w:left="3510" w:hanging="360"/>
      </w:pPr>
    </w:lvl>
    <w:lvl w:ilvl="5" w:tentative="1">
      <w:start w:val="1"/>
      <w:numFmt w:val="decimal"/>
      <w:lvlText w:val="%6."/>
      <w:lvlJc w:val="left"/>
      <w:pPr>
        <w:tabs>
          <w:tab w:val="num" w:pos="4230"/>
        </w:tabs>
        <w:ind w:left="4230" w:hanging="360"/>
      </w:pPr>
    </w:lvl>
    <w:lvl w:ilvl="6" w:tentative="1">
      <w:start w:val="1"/>
      <w:numFmt w:val="decimal"/>
      <w:lvlText w:val="%7."/>
      <w:lvlJc w:val="left"/>
      <w:pPr>
        <w:tabs>
          <w:tab w:val="num" w:pos="4950"/>
        </w:tabs>
        <w:ind w:left="4950" w:hanging="360"/>
      </w:pPr>
    </w:lvl>
    <w:lvl w:ilvl="7" w:tentative="1">
      <w:start w:val="1"/>
      <w:numFmt w:val="decimal"/>
      <w:lvlText w:val="%8."/>
      <w:lvlJc w:val="left"/>
      <w:pPr>
        <w:tabs>
          <w:tab w:val="num" w:pos="5670"/>
        </w:tabs>
        <w:ind w:left="5670" w:hanging="360"/>
      </w:pPr>
    </w:lvl>
    <w:lvl w:ilvl="8" w:tentative="1">
      <w:start w:val="1"/>
      <w:numFmt w:val="decimal"/>
      <w:lvlText w:val="%9."/>
      <w:lvlJc w:val="left"/>
      <w:pPr>
        <w:tabs>
          <w:tab w:val="num" w:pos="6390"/>
        </w:tabs>
        <w:ind w:left="6390" w:hanging="360"/>
      </w:pPr>
    </w:lvl>
  </w:abstractNum>
  <w:abstractNum w:abstractNumId="10" w15:restartNumberingAfterBreak="0">
    <w:nsid w:val="19E4670B"/>
    <w:multiLevelType w:val="multilevel"/>
    <w:tmpl w:val="B11624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AE45CA5"/>
    <w:multiLevelType w:val="multilevel"/>
    <w:tmpl w:val="CC22C0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E4A3D94"/>
    <w:multiLevelType w:val="hybridMultilevel"/>
    <w:tmpl w:val="35B00E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08B083C"/>
    <w:multiLevelType w:val="multilevel"/>
    <w:tmpl w:val="3CE69B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2B86AAE"/>
    <w:multiLevelType w:val="multilevel"/>
    <w:tmpl w:val="E8CC65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EC71C23"/>
    <w:multiLevelType w:val="multilevel"/>
    <w:tmpl w:val="672EAA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A596B1D"/>
    <w:multiLevelType w:val="multilevel"/>
    <w:tmpl w:val="0F28BF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0FA55E9"/>
    <w:multiLevelType w:val="hybridMultilevel"/>
    <w:tmpl w:val="FD94A0A8"/>
    <w:lvl w:ilvl="0" w:tplc="0409000F">
      <w:start w:val="1"/>
      <w:numFmt w:val="decimal"/>
      <w:lvlText w:val="%1."/>
      <w:lvlJc w:val="left"/>
      <w:pPr>
        <w:ind w:left="360" w:hanging="36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5EC30F2"/>
    <w:multiLevelType w:val="hybridMultilevel"/>
    <w:tmpl w:val="F850B2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A402E58"/>
    <w:multiLevelType w:val="multilevel"/>
    <w:tmpl w:val="43B4A31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0" w15:restartNumberingAfterBreak="0">
    <w:nsid w:val="7D352663"/>
    <w:multiLevelType w:val="multilevel"/>
    <w:tmpl w:val="C3EA80A8"/>
    <w:lvl w:ilvl="0">
      <w:start w:val="1"/>
      <w:numFmt w:val="decimal"/>
      <w:lvlText w:val="%1."/>
      <w:lvlJc w:val="left"/>
      <w:pPr>
        <w:tabs>
          <w:tab w:val="num" w:pos="630"/>
        </w:tabs>
        <w:ind w:left="630" w:hanging="360"/>
      </w:pPr>
    </w:lvl>
    <w:lvl w:ilvl="1" w:tentative="1">
      <w:start w:val="1"/>
      <w:numFmt w:val="decimal"/>
      <w:lvlText w:val="%2."/>
      <w:lvlJc w:val="left"/>
      <w:pPr>
        <w:tabs>
          <w:tab w:val="num" w:pos="1350"/>
        </w:tabs>
        <w:ind w:left="1350" w:hanging="360"/>
      </w:pPr>
    </w:lvl>
    <w:lvl w:ilvl="2" w:tentative="1">
      <w:start w:val="1"/>
      <w:numFmt w:val="decimal"/>
      <w:lvlText w:val="%3."/>
      <w:lvlJc w:val="left"/>
      <w:pPr>
        <w:tabs>
          <w:tab w:val="num" w:pos="2070"/>
        </w:tabs>
        <w:ind w:left="2070" w:hanging="360"/>
      </w:pPr>
    </w:lvl>
    <w:lvl w:ilvl="3" w:tentative="1">
      <w:start w:val="1"/>
      <w:numFmt w:val="decimal"/>
      <w:lvlText w:val="%4."/>
      <w:lvlJc w:val="left"/>
      <w:pPr>
        <w:tabs>
          <w:tab w:val="num" w:pos="2790"/>
        </w:tabs>
        <w:ind w:left="2790" w:hanging="360"/>
      </w:pPr>
    </w:lvl>
    <w:lvl w:ilvl="4" w:tentative="1">
      <w:start w:val="1"/>
      <w:numFmt w:val="decimal"/>
      <w:lvlText w:val="%5."/>
      <w:lvlJc w:val="left"/>
      <w:pPr>
        <w:tabs>
          <w:tab w:val="num" w:pos="3510"/>
        </w:tabs>
        <w:ind w:left="3510" w:hanging="360"/>
      </w:pPr>
    </w:lvl>
    <w:lvl w:ilvl="5" w:tentative="1">
      <w:start w:val="1"/>
      <w:numFmt w:val="decimal"/>
      <w:lvlText w:val="%6."/>
      <w:lvlJc w:val="left"/>
      <w:pPr>
        <w:tabs>
          <w:tab w:val="num" w:pos="4230"/>
        </w:tabs>
        <w:ind w:left="4230" w:hanging="360"/>
      </w:pPr>
    </w:lvl>
    <w:lvl w:ilvl="6" w:tentative="1">
      <w:start w:val="1"/>
      <w:numFmt w:val="decimal"/>
      <w:lvlText w:val="%7."/>
      <w:lvlJc w:val="left"/>
      <w:pPr>
        <w:tabs>
          <w:tab w:val="num" w:pos="4950"/>
        </w:tabs>
        <w:ind w:left="4950" w:hanging="360"/>
      </w:pPr>
    </w:lvl>
    <w:lvl w:ilvl="7" w:tentative="1">
      <w:start w:val="1"/>
      <w:numFmt w:val="decimal"/>
      <w:lvlText w:val="%8."/>
      <w:lvlJc w:val="left"/>
      <w:pPr>
        <w:tabs>
          <w:tab w:val="num" w:pos="5670"/>
        </w:tabs>
        <w:ind w:left="5670" w:hanging="360"/>
      </w:pPr>
    </w:lvl>
    <w:lvl w:ilvl="8" w:tentative="1">
      <w:start w:val="1"/>
      <w:numFmt w:val="decimal"/>
      <w:lvlText w:val="%9."/>
      <w:lvlJc w:val="left"/>
      <w:pPr>
        <w:tabs>
          <w:tab w:val="num" w:pos="6390"/>
        </w:tabs>
        <w:ind w:left="6390" w:hanging="360"/>
      </w:pPr>
    </w:lvl>
  </w:abstractNum>
  <w:num w:numId="1" w16cid:durableId="148208542">
    <w:abstractNumId w:val="8"/>
  </w:num>
  <w:num w:numId="2" w16cid:durableId="761798765">
    <w:abstractNumId w:val="6"/>
  </w:num>
  <w:num w:numId="3" w16cid:durableId="1835339976">
    <w:abstractNumId w:val="5"/>
  </w:num>
  <w:num w:numId="4" w16cid:durableId="1491562492">
    <w:abstractNumId w:val="4"/>
  </w:num>
  <w:num w:numId="5" w16cid:durableId="1944146465">
    <w:abstractNumId w:val="7"/>
  </w:num>
  <w:num w:numId="6" w16cid:durableId="574509849">
    <w:abstractNumId w:val="3"/>
  </w:num>
  <w:num w:numId="7" w16cid:durableId="217715489">
    <w:abstractNumId w:val="2"/>
  </w:num>
  <w:num w:numId="8" w16cid:durableId="1654603627">
    <w:abstractNumId w:val="1"/>
  </w:num>
  <w:num w:numId="9" w16cid:durableId="271129484">
    <w:abstractNumId w:val="0"/>
  </w:num>
  <w:num w:numId="10" w16cid:durableId="579944802">
    <w:abstractNumId w:val="17"/>
  </w:num>
  <w:num w:numId="11" w16cid:durableId="212927904">
    <w:abstractNumId w:val="10"/>
  </w:num>
  <w:num w:numId="12" w16cid:durableId="1420953846">
    <w:abstractNumId w:val="15"/>
  </w:num>
  <w:num w:numId="13" w16cid:durableId="545920703">
    <w:abstractNumId w:val="16"/>
  </w:num>
  <w:num w:numId="14" w16cid:durableId="836306999">
    <w:abstractNumId w:val="12"/>
  </w:num>
  <w:num w:numId="15" w16cid:durableId="923536681">
    <w:abstractNumId w:val="18"/>
  </w:num>
  <w:num w:numId="16" w16cid:durableId="1485127304">
    <w:abstractNumId w:val="19"/>
  </w:num>
  <w:num w:numId="17" w16cid:durableId="1167480587">
    <w:abstractNumId w:val="14"/>
  </w:num>
  <w:num w:numId="18" w16cid:durableId="305741942">
    <w:abstractNumId w:val="20"/>
  </w:num>
  <w:num w:numId="19" w16cid:durableId="1113548563">
    <w:abstractNumId w:val="9"/>
  </w:num>
  <w:num w:numId="20" w16cid:durableId="301931537">
    <w:abstractNumId w:val="13"/>
  </w:num>
  <w:num w:numId="21" w16cid:durableId="74137009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02318"/>
    <w:rsid w:val="00021024"/>
    <w:rsid w:val="000235C2"/>
    <w:rsid w:val="00031554"/>
    <w:rsid w:val="00034616"/>
    <w:rsid w:val="00040D3D"/>
    <w:rsid w:val="00056BEC"/>
    <w:rsid w:val="0006063C"/>
    <w:rsid w:val="000658C2"/>
    <w:rsid w:val="00084323"/>
    <w:rsid w:val="00094104"/>
    <w:rsid w:val="000953A4"/>
    <w:rsid w:val="000A4963"/>
    <w:rsid w:val="000A7389"/>
    <w:rsid w:val="000B69A3"/>
    <w:rsid w:val="000D307D"/>
    <w:rsid w:val="000D5594"/>
    <w:rsid w:val="000E53CC"/>
    <w:rsid w:val="000E634D"/>
    <w:rsid w:val="0011243B"/>
    <w:rsid w:val="00125FF2"/>
    <w:rsid w:val="00137A56"/>
    <w:rsid w:val="001458C6"/>
    <w:rsid w:val="0015074B"/>
    <w:rsid w:val="00152421"/>
    <w:rsid w:val="0015418E"/>
    <w:rsid w:val="00154825"/>
    <w:rsid w:val="00174DF8"/>
    <w:rsid w:val="00176A92"/>
    <w:rsid w:val="001966E4"/>
    <w:rsid w:val="001A5265"/>
    <w:rsid w:val="001C09A3"/>
    <w:rsid w:val="001C0FC8"/>
    <w:rsid w:val="001C3781"/>
    <w:rsid w:val="00202DA2"/>
    <w:rsid w:val="00224152"/>
    <w:rsid w:val="0022637B"/>
    <w:rsid w:val="00241E0F"/>
    <w:rsid w:val="00247AFE"/>
    <w:rsid w:val="00256B79"/>
    <w:rsid w:val="00274412"/>
    <w:rsid w:val="0028030B"/>
    <w:rsid w:val="002902BA"/>
    <w:rsid w:val="0029639D"/>
    <w:rsid w:val="002A0652"/>
    <w:rsid w:val="002A5C74"/>
    <w:rsid w:val="002A739F"/>
    <w:rsid w:val="002A7D5E"/>
    <w:rsid w:val="002B128A"/>
    <w:rsid w:val="002C3F2A"/>
    <w:rsid w:val="002D125E"/>
    <w:rsid w:val="002E1202"/>
    <w:rsid w:val="002E1482"/>
    <w:rsid w:val="002E1748"/>
    <w:rsid w:val="002F7F74"/>
    <w:rsid w:val="003002C9"/>
    <w:rsid w:val="0030573C"/>
    <w:rsid w:val="0031271C"/>
    <w:rsid w:val="0031352F"/>
    <w:rsid w:val="003244F7"/>
    <w:rsid w:val="00326F90"/>
    <w:rsid w:val="003427BB"/>
    <w:rsid w:val="00346577"/>
    <w:rsid w:val="00353A49"/>
    <w:rsid w:val="00360101"/>
    <w:rsid w:val="003630AC"/>
    <w:rsid w:val="00363F25"/>
    <w:rsid w:val="00366A88"/>
    <w:rsid w:val="00377E89"/>
    <w:rsid w:val="00384115"/>
    <w:rsid w:val="003859ED"/>
    <w:rsid w:val="003B3E24"/>
    <w:rsid w:val="003D6031"/>
    <w:rsid w:val="003F649D"/>
    <w:rsid w:val="00400CE3"/>
    <w:rsid w:val="00411561"/>
    <w:rsid w:val="00416B9B"/>
    <w:rsid w:val="004352BE"/>
    <w:rsid w:val="004354AE"/>
    <w:rsid w:val="004429D9"/>
    <w:rsid w:val="00444C69"/>
    <w:rsid w:val="004461B8"/>
    <w:rsid w:val="004601EF"/>
    <w:rsid w:val="00465AA4"/>
    <w:rsid w:val="00477022"/>
    <w:rsid w:val="004903D6"/>
    <w:rsid w:val="004A261E"/>
    <w:rsid w:val="004B4FF4"/>
    <w:rsid w:val="004C5F30"/>
    <w:rsid w:val="005152BD"/>
    <w:rsid w:val="00517DEC"/>
    <w:rsid w:val="0052733D"/>
    <w:rsid w:val="005525F1"/>
    <w:rsid w:val="00560033"/>
    <w:rsid w:val="0056180E"/>
    <w:rsid w:val="00562295"/>
    <w:rsid w:val="0057331E"/>
    <w:rsid w:val="00594A6B"/>
    <w:rsid w:val="0059504B"/>
    <w:rsid w:val="005B1CB1"/>
    <w:rsid w:val="005C6643"/>
    <w:rsid w:val="005D6AAB"/>
    <w:rsid w:val="005E0941"/>
    <w:rsid w:val="005E301E"/>
    <w:rsid w:val="005E3946"/>
    <w:rsid w:val="005F2D4D"/>
    <w:rsid w:val="005F6235"/>
    <w:rsid w:val="00615D26"/>
    <w:rsid w:val="00621355"/>
    <w:rsid w:val="006342DE"/>
    <w:rsid w:val="00636DEA"/>
    <w:rsid w:val="0064206C"/>
    <w:rsid w:val="00645107"/>
    <w:rsid w:val="006538FD"/>
    <w:rsid w:val="00661AF6"/>
    <w:rsid w:val="00677572"/>
    <w:rsid w:val="006817DC"/>
    <w:rsid w:val="006875B0"/>
    <w:rsid w:val="006A0E20"/>
    <w:rsid w:val="006A0F0B"/>
    <w:rsid w:val="006A6F6A"/>
    <w:rsid w:val="006B4F57"/>
    <w:rsid w:val="006B6AF2"/>
    <w:rsid w:val="006C2E7E"/>
    <w:rsid w:val="006D4C04"/>
    <w:rsid w:val="006D773E"/>
    <w:rsid w:val="006E1378"/>
    <w:rsid w:val="006E2B53"/>
    <w:rsid w:val="006F4B06"/>
    <w:rsid w:val="0071572C"/>
    <w:rsid w:val="00716A8B"/>
    <w:rsid w:val="007226A2"/>
    <w:rsid w:val="00723253"/>
    <w:rsid w:val="00723A5A"/>
    <w:rsid w:val="00742825"/>
    <w:rsid w:val="00757C3C"/>
    <w:rsid w:val="007755F1"/>
    <w:rsid w:val="00775D0D"/>
    <w:rsid w:val="0078435A"/>
    <w:rsid w:val="007959EC"/>
    <w:rsid w:val="007A7442"/>
    <w:rsid w:val="007B536E"/>
    <w:rsid w:val="007D2EC0"/>
    <w:rsid w:val="007D4DAC"/>
    <w:rsid w:val="007F7A62"/>
    <w:rsid w:val="0080471A"/>
    <w:rsid w:val="00813DDC"/>
    <w:rsid w:val="00820881"/>
    <w:rsid w:val="0082636C"/>
    <w:rsid w:val="00833575"/>
    <w:rsid w:val="00852205"/>
    <w:rsid w:val="0085540D"/>
    <w:rsid w:val="00865687"/>
    <w:rsid w:val="00870025"/>
    <w:rsid w:val="00870605"/>
    <w:rsid w:val="00887EA4"/>
    <w:rsid w:val="00892501"/>
    <w:rsid w:val="008A3EEB"/>
    <w:rsid w:val="008A7C60"/>
    <w:rsid w:val="008C08FA"/>
    <w:rsid w:val="008C339D"/>
    <w:rsid w:val="008E1E03"/>
    <w:rsid w:val="008E36B6"/>
    <w:rsid w:val="008E7D3E"/>
    <w:rsid w:val="008F6DF1"/>
    <w:rsid w:val="00921B17"/>
    <w:rsid w:val="00926847"/>
    <w:rsid w:val="0093082C"/>
    <w:rsid w:val="00936B13"/>
    <w:rsid w:val="00936EF1"/>
    <w:rsid w:val="00957EAD"/>
    <w:rsid w:val="00975CCD"/>
    <w:rsid w:val="00986558"/>
    <w:rsid w:val="00992480"/>
    <w:rsid w:val="009A4FAB"/>
    <w:rsid w:val="009B39B0"/>
    <w:rsid w:val="009E20E3"/>
    <w:rsid w:val="009E438F"/>
    <w:rsid w:val="009E5A2F"/>
    <w:rsid w:val="009F212F"/>
    <w:rsid w:val="009F31B5"/>
    <w:rsid w:val="00A17439"/>
    <w:rsid w:val="00A4785B"/>
    <w:rsid w:val="00A50A56"/>
    <w:rsid w:val="00A76139"/>
    <w:rsid w:val="00A77ACB"/>
    <w:rsid w:val="00A90A22"/>
    <w:rsid w:val="00A93D71"/>
    <w:rsid w:val="00AA0E11"/>
    <w:rsid w:val="00AA1D8D"/>
    <w:rsid w:val="00AA665B"/>
    <w:rsid w:val="00AB1D3D"/>
    <w:rsid w:val="00AB46CC"/>
    <w:rsid w:val="00AC168D"/>
    <w:rsid w:val="00AC5AEC"/>
    <w:rsid w:val="00AC7F81"/>
    <w:rsid w:val="00AD7A45"/>
    <w:rsid w:val="00AE0311"/>
    <w:rsid w:val="00AE333D"/>
    <w:rsid w:val="00AE3F91"/>
    <w:rsid w:val="00B00717"/>
    <w:rsid w:val="00B15B90"/>
    <w:rsid w:val="00B41096"/>
    <w:rsid w:val="00B451C0"/>
    <w:rsid w:val="00B47730"/>
    <w:rsid w:val="00B5190A"/>
    <w:rsid w:val="00B6762D"/>
    <w:rsid w:val="00B77A83"/>
    <w:rsid w:val="00B85AB6"/>
    <w:rsid w:val="00BA20B7"/>
    <w:rsid w:val="00BA65FF"/>
    <w:rsid w:val="00BA6DCC"/>
    <w:rsid w:val="00BC12A0"/>
    <w:rsid w:val="00BD0F47"/>
    <w:rsid w:val="00BD5989"/>
    <w:rsid w:val="00BD733D"/>
    <w:rsid w:val="00BD7A00"/>
    <w:rsid w:val="00BE0CA8"/>
    <w:rsid w:val="00BF2C5F"/>
    <w:rsid w:val="00BF398B"/>
    <w:rsid w:val="00BF7178"/>
    <w:rsid w:val="00C01E3D"/>
    <w:rsid w:val="00C077EF"/>
    <w:rsid w:val="00C234FC"/>
    <w:rsid w:val="00C30325"/>
    <w:rsid w:val="00C54173"/>
    <w:rsid w:val="00C654BD"/>
    <w:rsid w:val="00C86823"/>
    <w:rsid w:val="00C91927"/>
    <w:rsid w:val="00CB0664"/>
    <w:rsid w:val="00CC4FFE"/>
    <w:rsid w:val="00CD1BD7"/>
    <w:rsid w:val="00CD606E"/>
    <w:rsid w:val="00CE4BA9"/>
    <w:rsid w:val="00CF00AE"/>
    <w:rsid w:val="00CF7B5D"/>
    <w:rsid w:val="00D2172C"/>
    <w:rsid w:val="00D27B3B"/>
    <w:rsid w:val="00D27CF5"/>
    <w:rsid w:val="00D27E39"/>
    <w:rsid w:val="00D30587"/>
    <w:rsid w:val="00D54D55"/>
    <w:rsid w:val="00D56A09"/>
    <w:rsid w:val="00D61D81"/>
    <w:rsid w:val="00D85A5B"/>
    <w:rsid w:val="00D91CAD"/>
    <w:rsid w:val="00D93040"/>
    <w:rsid w:val="00DA4814"/>
    <w:rsid w:val="00DC08AE"/>
    <w:rsid w:val="00DC6B45"/>
    <w:rsid w:val="00DF744A"/>
    <w:rsid w:val="00E003CB"/>
    <w:rsid w:val="00E3123E"/>
    <w:rsid w:val="00E44976"/>
    <w:rsid w:val="00E44A8A"/>
    <w:rsid w:val="00E5339D"/>
    <w:rsid w:val="00E620D2"/>
    <w:rsid w:val="00E650CC"/>
    <w:rsid w:val="00E73473"/>
    <w:rsid w:val="00E74187"/>
    <w:rsid w:val="00E84C4E"/>
    <w:rsid w:val="00EA5C65"/>
    <w:rsid w:val="00EB0430"/>
    <w:rsid w:val="00EC0A9E"/>
    <w:rsid w:val="00EC3464"/>
    <w:rsid w:val="00EC3868"/>
    <w:rsid w:val="00EC3952"/>
    <w:rsid w:val="00F0208B"/>
    <w:rsid w:val="00F11089"/>
    <w:rsid w:val="00F14573"/>
    <w:rsid w:val="00F2318F"/>
    <w:rsid w:val="00F303FA"/>
    <w:rsid w:val="00F3218C"/>
    <w:rsid w:val="00F379FD"/>
    <w:rsid w:val="00F40761"/>
    <w:rsid w:val="00F44D8E"/>
    <w:rsid w:val="00F55A9B"/>
    <w:rsid w:val="00F563F5"/>
    <w:rsid w:val="00F57559"/>
    <w:rsid w:val="00F57D4B"/>
    <w:rsid w:val="00F6071D"/>
    <w:rsid w:val="00F62AFC"/>
    <w:rsid w:val="00F8555D"/>
    <w:rsid w:val="00FA5AE4"/>
    <w:rsid w:val="00FB19C0"/>
    <w:rsid w:val="00FB373D"/>
    <w:rsid w:val="00FC1572"/>
    <w:rsid w:val="00FC4D51"/>
    <w:rsid w:val="00FC5A69"/>
    <w:rsid w:val="00FC693F"/>
    <w:rsid w:val="00FD01AE"/>
    <w:rsid w:val="00FD2373"/>
    <w:rsid w:val="00FE1299"/>
    <w:rsid w:val="00FE4E4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9709E9E"/>
  <w14:defaultImageDpi w14:val="300"/>
  <w15:docId w15:val="{8C9652F6-8B55-461D-9DDF-D0D107EC2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Times New Roman" w:eastAsia="Times New Roman" w:hAnsi="Times New Roman"/>
      <w:sz w:val="20"/>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3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BalloonText">
    <w:name w:val="Balloon Text"/>
    <w:basedOn w:val="Normal"/>
    <w:link w:val="BalloonTextChar"/>
    <w:uiPriority w:val="99"/>
    <w:semiHidden/>
    <w:unhideWhenUsed/>
    <w:rsid w:val="003057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573C"/>
    <w:rPr>
      <w:rFonts w:ascii="Tahoma" w:eastAsia="Times New Roman" w:hAnsi="Tahoma" w:cs="Tahoma"/>
      <w:sz w:val="16"/>
      <w:szCs w:val="16"/>
    </w:rPr>
  </w:style>
  <w:style w:type="table" w:customStyle="1" w:styleId="3">
    <w:name w:val="شبكة جدول3"/>
    <w:basedOn w:val="TableNormal"/>
    <w:next w:val="TableGrid"/>
    <w:uiPriority w:val="59"/>
    <w:rsid w:val="008A7C60"/>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57EAD"/>
    <w:rPr>
      <w:color w:val="0000FF" w:themeColor="hyperlink"/>
      <w:u w:val="single"/>
    </w:rPr>
  </w:style>
  <w:style w:type="paragraph" w:styleId="NormalWeb">
    <w:name w:val="Normal (Web)"/>
    <w:basedOn w:val="Normal"/>
    <w:uiPriority w:val="99"/>
    <w:semiHidden/>
    <w:unhideWhenUsed/>
    <w:rsid w:val="008C339D"/>
    <w:rPr>
      <w:rFonts w:cs="Times New Roman"/>
      <w:sz w:val="24"/>
      <w:szCs w:val="24"/>
    </w:rPr>
  </w:style>
  <w:style w:type="character" w:styleId="PlaceholderText">
    <w:name w:val="Placeholder Text"/>
    <w:basedOn w:val="DefaultParagraphFont"/>
    <w:uiPriority w:val="99"/>
    <w:semiHidden/>
    <w:rsid w:val="008C339D"/>
    <w:rPr>
      <w:color w:val="808080"/>
    </w:rPr>
  </w:style>
  <w:style w:type="table" w:customStyle="1" w:styleId="31">
    <w:name w:val="شبكة جدول31"/>
    <w:basedOn w:val="TableNormal"/>
    <w:next w:val="TableGrid"/>
    <w:uiPriority w:val="59"/>
    <w:rsid w:val="00346577"/>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8A3EEB"/>
    <w:pPr>
      <w:spacing w:after="0" w:line="240" w:lineRule="auto"/>
    </w:pPr>
    <w:rPr>
      <w:rFonts w:asciiTheme="minorHAnsi" w:eastAsiaTheme="minorHAnsi" w:hAnsiTheme="minorHAnsi"/>
      <w:szCs w:val="20"/>
    </w:rPr>
  </w:style>
  <w:style w:type="character" w:customStyle="1" w:styleId="FootnoteTextChar">
    <w:name w:val="Footnote Text Char"/>
    <w:basedOn w:val="DefaultParagraphFont"/>
    <w:link w:val="FootnoteText"/>
    <w:uiPriority w:val="99"/>
    <w:semiHidden/>
    <w:rsid w:val="008A3EEB"/>
    <w:rPr>
      <w:rFonts w:eastAsiaTheme="minorHAnsi"/>
      <w:sz w:val="20"/>
      <w:szCs w:val="20"/>
    </w:rPr>
  </w:style>
  <w:style w:type="character" w:styleId="FootnoteReference">
    <w:name w:val="footnote reference"/>
    <w:basedOn w:val="DefaultParagraphFont"/>
    <w:uiPriority w:val="99"/>
    <w:semiHidden/>
    <w:unhideWhenUsed/>
    <w:rsid w:val="008A3EEB"/>
    <w:rPr>
      <w:vertAlign w:val="superscript"/>
    </w:rPr>
  </w:style>
  <w:style w:type="character" w:customStyle="1" w:styleId="mord">
    <w:name w:val="mord"/>
    <w:basedOn w:val="DefaultParagraphFont"/>
    <w:rsid w:val="00A90A22"/>
  </w:style>
  <w:style w:type="character" w:customStyle="1" w:styleId="mpunct">
    <w:name w:val="mpunct"/>
    <w:basedOn w:val="DefaultParagraphFont"/>
    <w:rsid w:val="00A90A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21768">
      <w:bodyDiv w:val="1"/>
      <w:marLeft w:val="0"/>
      <w:marRight w:val="0"/>
      <w:marTop w:val="0"/>
      <w:marBottom w:val="0"/>
      <w:divBdr>
        <w:top w:val="none" w:sz="0" w:space="0" w:color="auto"/>
        <w:left w:val="none" w:sz="0" w:space="0" w:color="auto"/>
        <w:bottom w:val="none" w:sz="0" w:space="0" w:color="auto"/>
        <w:right w:val="none" w:sz="0" w:space="0" w:color="auto"/>
      </w:divBdr>
    </w:div>
    <w:div w:id="179855699">
      <w:bodyDiv w:val="1"/>
      <w:marLeft w:val="0"/>
      <w:marRight w:val="0"/>
      <w:marTop w:val="0"/>
      <w:marBottom w:val="0"/>
      <w:divBdr>
        <w:top w:val="none" w:sz="0" w:space="0" w:color="auto"/>
        <w:left w:val="none" w:sz="0" w:space="0" w:color="auto"/>
        <w:bottom w:val="none" w:sz="0" w:space="0" w:color="auto"/>
        <w:right w:val="none" w:sz="0" w:space="0" w:color="auto"/>
      </w:divBdr>
    </w:div>
    <w:div w:id="234362401">
      <w:bodyDiv w:val="1"/>
      <w:marLeft w:val="0"/>
      <w:marRight w:val="0"/>
      <w:marTop w:val="0"/>
      <w:marBottom w:val="0"/>
      <w:divBdr>
        <w:top w:val="none" w:sz="0" w:space="0" w:color="auto"/>
        <w:left w:val="none" w:sz="0" w:space="0" w:color="auto"/>
        <w:bottom w:val="none" w:sz="0" w:space="0" w:color="auto"/>
        <w:right w:val="none" w:sz="0" w:space="0" w:color="auto"/>
      </w:divBdr>
    </w:div>
    <w:div w:id="266037525">
      <w:bodyDiv w:val="1"/>
      <w:marLeft w:val="0"/>
      <w:marRight w:val="0"/>
      <w:marTop w:val="0"/>
      <w:marBottom w:val="0"/>
      <w:divBdr>
        <w:top w:val="none" w:sz="0" w:space="0" w:color="auto"/>
        <w:left w:val="none" w:sz="0" w:space="0" w:color="auto"/>
        <w:bottom w:val="none" w:sz="0" w:space="0" w:color="auto"/>
        <w:right w:val="none" w:sz="0" w:space="0" w:color="auto"/>
      </w:divBdr>
      <w:divsChild>
        <w:div w:id="1828092046">
          <w:marLeft w:val="0"/>
          <w:marRight w:val="0"/>
          <w:marTop w:val="0"/>
          <w:marBottom w:val="0"/>
          <w:divBdr>
            <w:top w:val="none" w:sz="0" w:space="0" w:color="auto"/>
            <w:left w:val="none" w:sz="0" w:space="0" w:color="auto"/>
            <w:bottom w:val="none" w:sz="0" w:space="0" w:color="auto"/>
            <w:right w:val="none" w:sz="0" w:space="0" w:color="auto"/>
          </w:divBdr>
          <w:divsChild>
            <w:div w:id="886333062">
              <w:marLeft w:val="0"/>
              <w:marRight w:val="0"/>
              <w:marTop w:val="0"/>
              <w:marBottom w:val="0"/>
              <w:divBdr>
                <w:top w:val="none" w:sz="0" w:space="0" w:color="auto"/>
                <w:left w:val="none" w:sz="0" w:space="0" w:color="auto"/>
                <w:bottom w:val="none" w:sz="0" w:space="0" w:color="auto"/>
                <w:right w:val="none" w:sz="0" w:space="0" w:color="auto"/>
              </w:divBdr>
              <w:divsChild>
                <w:div w:id="809830725">
                  <w:marLeft w:val="0"/>
                  <w:marRight w:val="0"/>
                  <w:marTop w:val="0"/>
                  <w:marBottom w:val="0"/>
                  <w:divBdr>
                    <w:top w:val="none" w:sz="0" w:space="0" w:color="auto"/>
                    <w:left w:val="none" w:sz="0" w:space="0" w:color="auto"/>
                    <w:bottom w:val="none" w:sz="0" w:space="0" w:color="auto"/>
                    <w:right w:val="none" w:sz="0" w:space="0" w:color="auto"/>
                  </w:divBdr>
                  <w:divsChild>
                    <w:div w:id="186254394">
                      <w:marLeft w:val="0"/>
                      <w:marRight w:val="0"/>
                      <w:marTop w:val="0"/>
                      <w:marBottom w:val="0"/>
                      <w:divBdr>
                        <w:top w:val="none" w:sz="0" w:space="0" w:color="auto"/>
                        <w:left w:val="none" w:sz="0" w:space="0" w:color="auto"/>
                        <w:bottom w:val="none" w:sz="0" w:space="0" w:color="auto"/>
                        <w:right w:val="none" w:sz="0" w:space="0" w:color="auto"/>
                      </w:divBdr>
                      <w:divsChild>
                        <w:div w:id="1954356616">
                          <w:marLeft w:val="0"/>
                          <w:marRight w:val="0"/>
                          <w:marTop w:val="0"/>
                          <w:marBottom w:val="0"/>
                          <w:divBdr>
                            <w:top w:val="none" w:sz="0" w:space="0" w:color="auto"/>
                            <w:left w:val="none" w:sz="0" w:space="0" w:color="auto"/>
                            <w:bottom w:val="none" w:sz="0" w:space="0" w:color="auto"/>
                            <w:right w:val="none" w:sz="0" w:space="0" w:color="auto"/>
                          </w:divBdr>
                          <w:divsChild>
                            <w:div w:id="423842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2442171">
      <w:bodyDiv w:val="1"/>
      <w:marLeft w:val="0"/>
      <w:marRight w:val="0"/>
      <w:marTop w:val="0"/>
      <w:marBottom w:val="0"/>
      <w:divBdr>
        <w:top w:val="none" w:sz="0" w:space="0" w:color="auto"/>
        <w:left w:val="none" w:sz="0" w:space="0" w:color="auto"/>
        <w:bottom w:val="none" w:sz="0" w:space="0" w:color="auto"/>
        <w:right w:val="none" w:sz="0" w:space="0" w:color="auto"/>
      </w:divBdr>
    </w:div>
    <w:div w:id="315915401">
      <w:bodyDiv w:val="1"/>
      <w:marLeft w:val="0"/>
      <w:marRight w:val="0"/>
      <w:marTop w:val="0"/>
      <w:marBottom w:val="0"/>
      <w:divBdr>
        <w:top w:val="none" w:sz="0" w:space="0" w:color="auto"/>
        <w:left w:val="none" w:sz="0" w:space="0" w:color="auto"/>
        <w:bottom w:val="none" w:sz="0" w:space="0" w:color="auto"/>
        <w:right w:val="none" w:sz="0" w:space="0" w:color="auto"/>
      </w:divBdr>
    </w:div>
    <w:div w:id="316345124">
      <w:bodyDiv w:val="1"/>
      <w:marLeft w:val="0"/>
      <w:marRight w:val="0"/>
      <w:marTop w:val="0"/>
      <w:marBottom w:val="0"/>
      <w:divBdr>
        <w:top w:val="none" w:sz="0" w:space="0" w:color="auto"/>
        <w:left w:val="none" w:sz="0" w:space="0" w:color="auto"/>
        <w:bottom w:val="none" w:sz="0" w:space="0" w:color="auto"/>
        <w:right w:val="none" w:sz="0" w:space="0" w:color="auto"/>
      </w:divBdr>
    </w:div>
    <w:div w:id="347800051">
      <w:bodyDiv w:val="1"/>
      <w:marLeft w:val="0"/>
      <w:marRight w:val="0"/>
      <w:marTop w:val="0"/>
      <w:marBottom w:val="0"/>
      <w:divBdr>
        <w:top w:val="none" w:sz="0" w:space="0" w:color="auto"/>
        <w:left w:val="none" w:sz="0" w:space="0" w:color="auto"/>
        <w:bottom w:val="none" w:sz="0" w:space="0" w:color="auto"/>
        <w:right w:val="none" w:sz="0" w:space="0" w:color="auto"/>
      </w:divBdr>
    </w:div>
    <w:div w:id="375934583">
      <w:bodyDiv w:val="1"/>
      <w:marLeft w:val="0"/>
      <w:marRight w:val="0"/>
      <w:marTop w:val="0"/>
      <w:marBottom w:val="0"/>
      <w:divBdr>
        <w:top w:val="none" w:sz="0" w:space="0" w:color="auto"/>
        <w:left w:val="none" w:sz="0" w:space="0" w:color="auto"/>
        <w:bottom w:val="none" w:sz="0" w:space="0" w:color="auto"/>
        <w:right w:val="none" w:sz="0" w:space="0" w:color="auto"/>
      </w:divBdr>
    </w:div>
    <w:div w:id="380712220">
      <w:bodyDiv w:val="1"/>
      <w:marLeft w:val="0"/>
      <w:marRight w:val="0"/>
      <w:marTop w:val="0"/>
      <w:marBottom w:val="0"/>
      <w:divBdr>
        <w:top w:val="none" w:sz="0" w:space="0" w:color="auto"/>
        <w:left w:val="none" w:sz="0" w:space="0" w:color="auto"/>
        <w:bottom w:val="none" w:sz="0" w:space="0" w:color="auto"/>
        <w:right w:val="none" w:sz="0" w:space="0" w:color="auto"/>
      </w:divBdr>
    </w:div>
    <w:div w:id="391467193">
      <w:bodyDiv w:val="1"/>
      <w:marLeft w:val="0"/>
      <w:marRight w:val="0"/>
      <w:marTop w:val="0"/>
      <w:marBottom w:val="0"/>
      <w:divBdr>
        <w:top w:val="none" w:sz="0" w:space="0" w:color="auto"/>
        <w:left w:val="none" w:sz="0" w:space="0" w:color="auto"/>
        <w:bottom w:val="none" w:sz="0" w:space="0" w:color="auto"/>
        <w:right w:val="none" w:sz="0" w:space="0" w:color="auto"/>
      </w:divBdr>
    </w:div>
    <w:div w:id="435946186">
      <w:bodyDiv w:val="1"/>
      <w:marLeft w:val="0"/>
      <w:marRight w:val="0"/>
      <w:marTop w:val="0"/>
      <w:marBottom w:val="0"/>
      <w:divBdr>
        <w:top w:val="none" w:sz="0" w:space="0" w:color="auto"/>
        <w:left w:val="none" w:sz="0" w:space="0" w:color="auto"/>
        <w:bottom w:val="none" w:sz="0" w:space="0" w:color="auto"/>
        <w:right w:val="none" w:sz="0" w:space="0" w:color="auto"/>
      </w:divBdr>
      <w:divsChild>
        <w:div w:id="1695496827">
          <w:marLeft w:val="0"/>
          <w:marRight w:val="0"/>
          <w:marTop w:val="0"/>
          <w:marBottom w:val="0"/>
          <w:divBdr>
            <w:top w:val="none" w:sz="0" w:space="0" w:color="auto"/>
            <w:left w:val="none" w:sz="0" w:space="0" w:color="auto"/>
            <w:bottom w:val="none" w:sz="0" w:space="0" w:color="auto"/>
            <w:right w:val="none" w:sz="0" w:space="0" w:color="auto"/>
          </w:divBdr>
          <w:divsChild>
            <w:div w:id="11498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145425">
      <w:bodyDiv w:val="1"/>
      <w:marLeft w:val="0"/>
      <w:marRight w:val="0"/>
      <w:marTop w:val="0"/>
      <w:marBottom w:val="0"/>
      <w:divBdr>
        <w:top w:val="none" w:sz="0" w:space="0" w:color="auto"/>
        <w:left w:val="none" w:sz="0" w:space="0" w:color="auto"/>
        <w:bottom w:val="none" w:sz="0" w:space="0" w:color="auto"/>
        <w:right w:val="none" w:sz="0" w:space="0" w:color="auto"/>
      </w:divBdr>
      <w:divsChild>
        <w:div w:id="1024746127">
          <w:marLeft w:val="0"/>
          <w:marRight w:val="0"/>
          <w:marTop w:val="0"/>
          <w:marBottom w:val="0"/>
          <w:divBdr>
            <w:top w:val="none" w:sz="0" w:space="0" w:color="auto"/>
            <w:left w:val="none" w:sz="0" w:space="0" w:color="auto"/>
            <w:bottom w:val="none" w:sz="0" w:space="0" w:color="auto"/>
            <w:right w:val="none" w:sz="0" w:space="0" w:color="auto"/>
          </w:divBdr>
          <w:divsChild>
            <w:div w:id="1331757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280238">
      <w:bodyDiv w:val="1"/>
      <w:marLeft w:val="0"/>
      <w:marRight w:val="0"/>
      <w:marTop w:val="0"/>
      <w:marBottom w:val="0"/>
      <w:divBdr>
        <w:top w:val="none" w:sz="0" w:space="0" w:color="auto"/>
        <w:left w:val="none" w:sz="0" w:space="0" w:color="auto"/>
        <w:bottom w:val="none" w:sz="0" w:space="0" w:color="auto"/>
        <w:right w:val="none" w:sz="0" w:space="0" w:color="auto"/>
      </w:divBdr>
    </w:div>
    <w:div w:id="648170154">
      <w:bodyDiv w:val="1"/>
      <w:marLeft w:val="0"/>
      <w:marRight w:val="0"/>
      <w:marTop w:val="0"/>
      <w:marBottom w:val="0"/>
      <w:divBdr>
        <w:top w:val="none" w:sz="0" w:space="0" w:color="auto"/>
        <w:left w:val="none" w:sz="0" w:space="0" w:color="auto"/>
        <w:bottom w:val="none" w:sz="0" w:space="0" w:color="auto"/>
        <w:right w:val="none" w:sz="0" w:space="0" w:color="auto"/>
      </w:divBdr>
    </w:div>
    <w:div w:id="650985462">
      <w:bodyDiv w:val="1"/>
      <w:marLeft w:val="0"/>
      <w:marRight w:val="0"/>
      <w:marTop w:val="0"/>
      <w:marBottom w:val="0"/>
      <w:divBdr>
        <w:top w:val="none" w:sz="0" w:space="0" w:color="auto"/>
        <w:left w:val="none" w:sz="0" w:space="0" w:color="auto"/>
        <w:bottom w:val="none" w:sz="0" w:space="0" w:color="auto"/>
        <w:right w:val="none" w:sz="0" w:space="0" w:color="auto"/>
      </w:divBdr>
    </w:div>
    <w:div w:id="706875663">
      <w:bodyDiv w:val="1"/>
      <w:marLeft w:val="0"/>
      <w:marRight w:val="0"/>
      <w:marTop w:val="0"/>
      <w:marBottom w:val="0"/>
      <w:divBdr>
        <w:top w:val="none" w:sz="0" w:space="0" w:color="auto"/>
        <w:left w:val="none" w:sz="0" w:space="0" w:color="auto"/>
        <w:bottom w:val="none" w:sz="0" w:space="0" w:color="auto"/>
        <w:right w:val="none" w:sz="0" w:space="0" w:color="auto"/>
      </w:divBdr>
    </w:div>
    <w:div w:id="735053215">
      <w:bodyDiv w:val="1"/>
      <w:marLeft w:val="0"/>
      <w:marRight w:val="0"/>
      <w:marTop w:val="0"/>
      <w:marBottom w:val="0"/>
      <w:divBdr>
        <w:top w:val="none" w:sz="0" w:space="0" w:color="auto"/>
        <w:left w:val="none" w:sz="0" w:space="0" w:color="auto"/>
        <w:bottom w:val="none" w:sz="0" w:space="0" w:color="auto"/>
        <w:right w:val="none" w:sz="0" w:space="0" w:color="auto"/>
      </w:divBdr>
    </w:div>
    <w:div w:id="750932788">
      <w:bodyDiv w:val="1"/>
      <w:marLeft w:val="0"/>
      <w:marRight w:val="0"/>
      <w:marTop w:val="0"/>
      <w:marBottom w:val="0"/>
      <w:divBdr>
        <w:top w:val="none" w:sz="0" w:space="0" w:color="auto"/>
        <w:left w:val="none" w:sz="0" w:space="0" w:color="auto"/>
        <w:bottom w:val="none" w:sz="0" w:space="0" w:color="auto"/>
        <w:right w:val="none" w:sz="0" w:space="0" w:color="auto"/>
      </w:divBdr>
    </w:div>
    <w:div w:id="752975049">
      <w:bodyDiv w:val="1"/>
      <w:marLeft w:val="0"/>
      <w:marRight w:val="0"/>
      <w:marTop w:val="0"/>
      <w:marBottom w:val="0"/>
      <w:divBdr>
        <w:top w:val="none" w:sz="0" w:space="0" w:color="auto"/>
        <w:left w:val="none" w:sz="0" w:space="0" w:color="auto"/>
        <w:bottom w:val="none" w:sz="0" w:space="0" w:color="auto"/>
        <w:right w:val="none" w:sz="0" w:space="0" w:color="auto"/>
      </w:divBdr>
    </w:div>
    <w:div w:id="771321077">
      <w:bodyDiv w:val="1"/>
      <w:marLeft w:val="0"/>
      <w:marRight w:val="0"/>
      <w:marTop w:val="0"/>
      <w:marBottom w:val="0"/>
      <w:divBdr>
        <w:top w:val="none" w:sz="0" w:space="0" w:color="auto"/>
        <w:left w:val="none" w:sz="0" w:space="0" w:color="auto"/>
        <w:bottom w:val="none" w:sz="0" w:space="0" w:color="auto"/>
        <w:right w:val="none" w:sz="0" w:space="0" w:color="auto"/>
      </w:divBdr>
    </w:div>
    <w:div w:id="905409853">
      <w:bodyDiv w:val="1"/>
      <w:marLeft w:val="0"/>
      <w:marRight w:val="0"/>
      <w:marTop w:val="0"/>
      <w:marBottom w:val="0"/>
      <w:divBdr>
        <w:top w:val="none" w:sz="0" w:space="0" w:color="auto"/>
        <w:left w:val="none" w:sz="0" w:space="0" w:color="auto"/>
        <w:bottom w:val="none" w:sz="0" w:space="0" w:color="auto"/>
        <w:right w:val="none" w:sz="0" w:space="0" w:color="auto"/>
      </w:divBdr>
    </w:div>
    <w:div w:id="933631299">
      <w:bodyDiv w:val="1"/>
      <w:marLeft w:val="0"/>
      <w:marRight w:val="0"/>
      <w:marTop w:val="0"/>
      <w:marBottom w:val="0"/>
      <w:divBdr>
        <w:top w:val="none" w:sz="0" w:space="0" w:color="auto"/>
        <w:left w:val="none" w:sz="0" w:space="0" w:color="auto"/>
        <w:bottom w:val="none" w:sz="0" w:space="0" w:color="auto"/>
        <w:right w:val="none" w:sz="0" w:space="0" w:color="auto"/>
      </w:divBdr>
    </w:div>
    <w:div w:id="978923374">
      <w:bodyDiv w:val="1"/>
      <w:marLeft w:val="0"/>
      <w:marRight w:val="0"/>
      <w:marTop w:val="0"/>
      <w:marBottom w:val="0"/>
      <w:divBdr>
        <w:top w:val="none" w:sz="0" w:space="0" w:color="auto"/>
        <w:left w:val="none" w:sz="0" w:space="0" w:color="auto"/>
        <w:bottom w:val="none" w:sz="0" w:space="0" w:color="auto"/>
        <w:right w:val="none" w:sz="0" w:space="0" w:color="auto"/>
      </w:divBdr>
    </w:div>
    <w:div w:id="1083722016">
      <w:bodyDiv w:val="1"/>
      <w:marLeft w:val="0"/>
      <w:marRight w:val="0"/>
      <w:marTop w:val="0"/>
      <w:marBottom w:val="0"/>
      <w:divBdr>
        <w:top w:val="none" w:sz="0" w:space="0" w:color="auto"/>
        <w:left w:val="none" w:sz="0" w:space="0" w:color="auto"/>
        <w:bottom w:val="none" w:sz="0" w:space="0" w:color="auto"/>
        <w:right w:val="none" w:sz="0" w:space="0" w:color="auto"/>
      </w:divBdr>
      <w:divsChild>
        <w:div w:id="123813313">
          <w:marLeft w:val="0"/>
          <w:marRight w:val="0"/>
          <w:marTop w:val="0"/>
          <w:marBottom w:val="0"/>
          <w:divBdr>
            <w:top w:val="none" w:sz="0" w:space="0" w:color="auto"/>
            <w:left w:val="none" w:sz="0" w:space="0" w:color="auto"/>
            <w:bottom w:val="none" w:sz="0" w:space="0" w:color="auto"/>
            <w:right w:val="none" w:sz="0" w:space="0" w:color="auto"/>
          </w:divBdr>
          <w:divsChild>
            <w:div w:id="1707637455">
              <w:marLeft w:val="0"/>
              <w:marRight w:val="0"/>
              <w:marTop w:val="0"/>
              <w:marBottom w:val="0"/>
              <w:divBdr>
                <w:top w:val="none" w:sz="0" w:space="0" w:color="auto"/>
                <w:left w:val="none" w:sz="0" w:space="0" w:color="auto"/>
                <w:bottom w:val="none" w:sz="0" w:space="0" w:color="auto"/>
                <w:right w:val="none" w:sz="0" w:space="0" w:color="auto"/>
              </w:divBdr>
              <w:divsChild>
                <w:div w:id="128864651">
                  <w:marLeft w:val="0"/>
                  <w:marRight w:val="0"/>
                  <w:marTop w:val="0"/>
                  <w:marBottom w:val="0"/>
                  <w:divBdr>
                    <w:top w:val="none" w:sz="0" w:space="0" w:color="auto"/>
                    <w:left w:val="none" w:sz="0" w:space="0" w:color="auto"/>
                    <w:bottom w:val="none" w:sz="0" w:space="0" w:color="auto"/>
                    <w:right w:val="none" w:sz="0" w:space="0" w:color="auto"/>
                  </w:divBdr>
                  <w:divsChild>
                    <w:div w:id="553928095">
                      <w:marLeft w:val="0"/>
                      <w:marRight w:val="0"/>
                      <w:marTop w:val="0"/>
                      <w:marBottom w:val="0"/>
                      <w:divBdr>
                        <w:top w:val="none" w:sz="0" w:space="0" w:color="auto"/>
                        <w:left w:val="none" w:sz="0" w:space="0" w:color="auto"/>
                        <w:bottom w:val="none" w:sz="0" w:space="0" w:color="auto"/>
                        <w:right w:val="none" w:sz="0" w:space="0" w:color="auto"/>
                      </w:divBdr>
                      <w:divsChild>
                        <w:div w:id="986667742">
                          <w:marLeft w:val="0"/>
                          <w:marRight w:val="0"/>
                          <w:marTop w:val="0"/>
                          <w:marBottom w:val="0"/>
                          <w:divBdr>
                            <w:top w:val="none" w:sz="0" w:space="0" w:color="auto"/>
                            <w:left w:val="none" w:sz="0" w:space="0" w:color="auto"/>
                            <w:bottom w:val="none" w:sz="0" w:space="0" w:color="auto"/>
                            <w:right w:val="none" w:sz="0" w:space="0" w:color="auto"/>
                          </w:divBdr>
                          <w:divsChild>
                            <w:div w:id="929237661">
                              <w:marLeft w:val="0"/>
                              <w:marRight w:val="0"/>
                              <w:marTop w:val="0"/>
                              <w:marBottom w:val="0"/>
                              <w:divBdr>
                                <w:top w:val="none" w:sz="0" w:space="0" w:color="auto"/>
                                <w:left w:val="none" w:sz="0" w:space="0" w:color="auto"/>
                                <w:bottom w:val="none" w:sz="0" w:space="0" w:color="auto"/>
                                <w:right w:val="none" w:sz="0" w:space="0" w:color="auto"/>
                              </w:divBdr>
                              <w:divsChild>
                                <w:div w:id="22900398">
                                  <w:marLeft w:val="0"/>
                                  <w:marRight w:val="0"/>
                                  <w:marTop w:val="0"/>
                                  <w:marBottom w:val="0"/>
                                  <w:divBdr>
                                    <w:top w:val="none" w:sz="0" w:space="0" w:color="auto"/>
                                    <w:left w:val="none" w:sz="0" w:space="0" w:color="auto"/>
                                    <w:bottom w:val="none" w:sz="0" w:space="0" w:color="auto"/>
                                    <w:right w:val="none" w:sz="0" w:space="0" w:color="auto"/>
                                  </w:divBdr>
                                  <w:divsChild>
                                    <w:div w:id="1176731046">
                                      <w:marLeft w:val="0"/>
                                      <w:marRight w:val="0"/>
                                      <w:marTop w:val="0"/>
                                      <w:marBottom w:val="0"/>
                                      <w:divBdr>
                                        <w:top w:val="none" w:sz="0" w:space="0" w:color="auto"/>
                                        <w:left w:val="none" w:sz="0" w:space="0" w:color="auto"/>
                                        <w:bottom w:val="none" w:sz="0" w:space="0" w:color="auto"/>
                                        <w:right w:val="none" w:sz="0" w:space="0" w:color="auto"/>
                                      </w:divBdr>
                                    </w:div>
                                  </w:divsChild>
                                </w:div>
                                <w:div w:id="765267282">
                                  <w:marLeft w:val="0"/>
                                  <w:marRight w:val="0"/>
                                  <w:marTop w:val="0"/>
                                  <w:marBottom w:val="0"/>
                                  <w:divBdr>
                                    <w:top w:val="none" w:sz="0" w:space="0" w:color="auto"/>
                                    <w:left w:val="none" w:sz="0" w:space="0" w:color="auto"/>
                                    <w:bottom w:val="none" w:sz="0" w:space="0" w:color="auto"/>
                                    <w:right w:val="none" w:sz="0" w:space="0" w:color="auto"/>
                                  </w:divBdr>
                                  <w:divsChild>
                                    <w:div w:id="1284075729">
                                      <w:marLeft w:val="0"/>
                                      <w:marRight w:val="0"/>
                                      <w:marTop w:val="0"/>
                                      <w:marBottom w:val="0"/>
                                      <w:divBdr>
                                        <w:top w:val="none" w:sz="0" w:space="0" w:color="auto"/>
                                        <w:left w:val="none" w:sz="0" w:space="0" w:color="auto"/>
                                        <w:bottom w:val="none" w:sz="0" w:space="0" w:color="auto"/>
                                        <w:right w:val="none" w:sz="0" w:space="0" w:color="auto"/>
                                      </w:divBdr>
                                    </w:div>
                                  </w:divsChild>
                                </w:div>
                                <w:div w:id="1975207633">
                                  <w:marLeft w:val="0"/>
                                  <w:marRight w:val="0"/>
                                  <w:marTop w:val="0"/>
                                  <w:marBottom w:val="0"/>
                                  <w:divBdr>
                                    <w:top w:val="none" w:sz="0" w:space="0" w:color="auto"/>
                                    <w:left w:val="none" w:sz="0" w:space="0" w:color="auto"/>
                                    <w:bottom w:val="none" w:sz="0" w:space="0" w:color="auto"/>
                                    <w:right w:val="none" w:sz="0" w:space="0" w:color="auto"/>
                                  </w:divBdr>
                                  <w:divsChild>
                                    <w:div w:id="164784051">
                                      <w:marLeft w:val="0"/>
                                      <w:marRight w:val="0"/>
                                      <w:marTop w:val="0"/>
                                      <w:marBottom w:val="0"/>
                                      <w:divBdr>
                                        <w:top w:val="none" w:sz="0" w:space="0" w:color="auto"/>
                                        <w:left w:val="none" w:sz="0" w:space="0" w:color="auto"/>
                                        <w:bottom w:val="none" w:sz="0" w:space="0" w:color="auto"/>
                                        <w:right w:val="none" w:sz="0" w:space="0" w:color="auto"/>
                                      </w:divBdr>
                                    </w:div>
                                  </w:divsChild>
                                </w:div>
                                <w:div w:id="1478062122">
                                  <w:marLeft w:val="0"/>
                                  <w:marRight w:val="0"/>
                                  <w:marTop w:val="0"/>
                                  <w:marBottom w:val="0"/>
                                  <w:divBdr>
                                    <w:top w:val="none" w:sz="0" w:space="0" w:color="auto"/>
                                    <w:left w:val="none" w:sz="0" w:space="0" w:color="auto"/>
                                    <w:bottom w:val="none" w:sz="0" w:space="0" w:color="auto"/>
                                    <w:right w:val="none" w:sz="0" w:space="0" w:color="auto"/>
                                  </w:divBdr>
                                  <w:divsChild>
                                    <w:div w:id="190691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7130998">
      <w:bodyDiv w:val="1"/>
      <w:marLeft w:val="0"/>
      <w:marRight w:val="0"/>
      <w:marTop w:val="0"/>
      <w:marBottom w:val="0"/>
      <w:divBdr>
        <w:top w:val="none" w:sz="0" w:space="0" w:color="auto"/>
        <w:left w:val="none" w:sz="0" w:space="0" w:color="auto"/>
        <w:bottom w:val="none" w:sz="0" w:space="0" w:color="auto"/>
        <w:right w:val="none" w:sz="0" w:space="0" w:color="auto"/>
      </w:divBdr>
    </w:div>
    <w:div w:id="1323318866">
      <w:bodyDiv w:val="1"/>
      <w:marLeft w:val="0"/>
      <w:marRight w:val="0"/>
      <w:marTop w:val="0"/>
      <w:marBottom w:val="0"/>
      <w:divBdr>
        <w:top w:val="none" w:sz="0" w:space="0" w:color="auto"/>
        <w:left w:val="none" w:sz="0" w:space="0" w:color="auto"/>
        <w:bottom w:val="none" w:sz="0" w:space="0" w:color="auto"/>
        <w:right w:val="none" w:sz="0" w:space="0" w:color="auto"/>
      </w:divBdr>
    </w:div>
    <w:div w:id="1396246509">
      <w:bodyDiv w:val="1"/>
      <w:marLeft w:val="0"/>
      <w:marRight w:val="0"/>
      <w:marTop w:val="0"/>
      <w:marBottom w:val="0"/>
      <w:divBdr>
        <w:top w:val="none" w:sz="0" w:space="0" w:color="auto"/>
        <w:left w:val="none" w:sz="0" w:space="0" w:color="auto"/>
        <w:bottom w:val="none" w:sz="0" w:space="0" w:color="auto"/>
        <w:right w:val="none" w:sz="0" w:space="0" w:color="auto"/>
      </w:divBdr>
    </w:div>
    <w:div w:id="1486168932">
      <w:bodyDiv w:val="1"/>
      <w:marLeft w:val="0"/>
      <w:marRight w:val="0"/>
      <w:marTop w:val="0"/>
      <w:marBottom w:val="0"/>
      <w:divBdr>
        <w:top w:val="none" w:sz="0" w:space="0" w:color="auto"/>
        <w:left w:val="none" w:sz="0" w:space="0" w:color="auto"/>
        <w:bottom w:val="none" w:sz="0" w:space="0" w:color="auto"/>
        <w:right w:val="none" w:sz="0" w:space="0" w:color="auto"/>
      </w:divBdr>
    </w:div>
    <w:div w:id="1528176374">
      <w:bodyDiv w:val="1"/>
      <w:marLeft w:val="0"/>
      <w:marRight w:val="0"/>
      <w:marTop w:val="0"/>
      <w:marBottom w:val="0"/>
      <w:divBdr>
        <w:top w:val="none" w:sz="0" w:space="0" w:color="auto"/>
        <w:left w:val="none" w:sz="0" w:space="0" w:color="auto"/>
        <w:bottom w:val="none" w:sz="0" w:space="0" w:color="auto"/>
        <w:right w:val="none" w:sz="0" w:space="0" w:color="auto"/>
      </w:divBdr>
    </w:div>
    <w:div w:id="1634478836">
      <w:bodyDiv w:val="1"/>
      <w:marLeft w:val="0"/>
      <w:marRight w:val="0"/>
      <w:marTop w:val="0"/>
      <w:marBottom w:val="0"/>
      <w:divBdr>
        <w:top w:val="none" w:sz="0" w:space="0" w:color="auto"/>
        <w:left w:val="none" w:sz="0" w:space="0" w:color="auto"/>
        <w:bottom w:val="none" w:sz="0" w:space="0" w:color="auto"/>
        <w:right w:val="none" w:sz="0" w:space="0" w:color="auto"/>
      </w:divBdr>
    </w:div>
    <w:div w:id="1641617389">
      <w:bodyDiv w:val="1"/>
      <w:marLeft w:val="0"/>
      <w:marRight w:val="0"/>
      <w:marTop w:val="0"/>
      <w:marBottom w:val="0"/>
      <w:divBdr>
        <w:top w:val="none" w:sz="0" w:space="0" w:color="auto"/>
        <w:left w:val="none" w:sz="0" w:space="0" w:color="auto"/>
        <w:bottom w:val="none" w:sz="0" w:space="0" w:color="auto"/>
        <w:right w:val="none" w:sz="0" w:space="0" w:color="auto"/>
      </w:divBdr>
    </w:div>
    <w:div w:id="1661538637">
      <w:bodyDiv w:val="1"/>
      <w:marLeft w:val="0"/>
      <w:marRight w:val="0"/>
      <w:marTop w:val="0"/>
      <w:marBottom w:val="0"/>
      <w:divBdr>
        <w:top w:val="none" w:sz="0" w:space="0" w:color="auto"/>
        <w:left w:val="none" w:sz="0" w:space="0" w:color="auto"/>
        <w:bottom w:val="none" w:sz="0" w:space="0" w:color="auto"/>
        <w:right w:val="none" w:sz="0" w:space="0" w:color="auto"/>
      </w:divBdr>
    </w:div>
    <w:div w:id="1725911856">
      <w:bodyDiv w:val="1"/>
      <w:marLeft w:val="0"/>
      <w:marRight w:val="0"/>
      <w:marTop w:val="0"/>
      <w:marBottom w:val="0"/>
      <w:divBdr>
        <w:top w:val="none" w:sz="0" w:space="0" w:color="auto"/>
        <w:left w:val="none" w:sz="0" w:space="0" w:color="auto"/>
        <w:bottom w:val="none" w:sz="0" w:space="0" w:color="auto"/>
        <w:right w:val="none" w:sz="0" w:space="0" w:color="auto"/>
      </w:divBdr>
    </w:div>
    <w:div w:id="1874729503">
      <w:bodyDiv w:val="1"/>
      <w:marLeft w:val="0"/>
      <w:marRight w:val="0"/>
      <w:marTop w:val="0"/>
      <w:marBottom w:val="0"/>
      <w:divBdr>
        <w:top w:val="none" w:sz="0" w:space="0" w:color="auto"/>
        <w:left w:val="none" w:sz="0" w:space="0" w:color="auto"/>
        <w:bottom w:val="none" w:sz="0" w:space="0" w:color="auto"/>
        <w:right w:val="none" w:sz="0" w:space="0" w:color="auto"/>
      </w:divBdr>
      <w:divsChild>
        <w:div w:id="1365209632">
          <w:marLeft w:val="0"/>
          <w:marRight w:val="0"/>
          <w:marTop w:val="0"/>
          <w:marBottom w:val="0"/>
          <w:divBdr>
            <w:top w:val="none" w:sz="0" w:space="0" w:color="auto"/>
            <w:left w:val="none" w:sz="0" w:space="0" w:color="auto"/>
            <w:bottom w:val="none" w:sz="0" w:space="0" w:color="auto"/>
            <w:right w:val="none" w:sz="0" w:space="0" w:color="auto"/>
          </w:divBdr>
        </w:div>
      </w:divsChild>
    </w:div>
    <w:div w:id="1895042997">
      <w:bodyDiv w:val="1"/>
      <w:marLeft w:val="0"/>
      <w:marRight w:val="0"/>
      <w:marTop w:val="0"/>
      <w:marBottom w:val="0"/>
      <w:divBdr>
        <w:top w:val="none" w:sz="0" w:space="0" w:color="auto"/>
        <w:left w:val="none" w:sz="0" w:space="0" w:color="auto"/>
        <w:bottom w:val="none" w:sz="0" w:space="0" w:color="auto"/>
        <w:right w:val="none" w:sz="0" w:space="0" w:color="auto"/>
      </w:divBdr>
    </w:div>
    <w:div w:id="1987199468">
      <w:bodyDiv w:val="1"/>
      <w:marLeft w:val="0"/>
      <w:marRight w:val="0"/>
      <w:marTop w:val="0"/>
      <w:marBottom w:val="0"/>
      <w:divBdr>
        <w:top w:val="none" w:sz="0" w:space="0" w:color="auto"/>
        <w:left w:val="none" w:sz="0" w:space="0" w:color="auto"/>
        <w:bottom w:val="none" w:sz="0" w:space="0" w:color="auto"/>
        <w:right w:val="none" w:sz="0" w:space="0" w:color="auto"/>
      </w:divBdr>
    </w:div>
    <w:div w:id="2000617595">
      <w:bodyDiv w:val="1"/>
      <w:marLeft w:val="0"/>
      <w:marRight w:val="0"/>
      <w:marTop w:val="0"/>
      <w:marBottom w:val="0"/>
      <w:divBdr>
        <w:top w:val="none" w:sz="0" w:space="0" w:color="auto"/>
        <w:left w:val="none" w:sz="0" w:space="0" w:color="auto"/>
        <w:bottom w:val="none" w:sz="0" w:space="0" w:color="auto"/>
        <w:right w:val="none" w:sz="0" w:space="0" w:color="auto"/>
      </w:divBdr>
    </w:div>
    <w:div w:id="2065637568">
      <w:bodyDiv w:val="1"/>
      <w:marLeft w:val="0"/>
      <w:marRight w:val="0"/>
      <w:marTop w:val="0"/>
      <w:marBottom w:val="0"/>
      <w:divBdr>
        <w:top w:val="none" w:sz="0" w:space="0" w:color="auto"/>
        <w:left w:val="none" w:sz="0" w:space="0" w:color="auto"/>
        <w:bottom w:val="none" w:sz="0" w:space="0" w:color="auto"/>
        <w:right w:val="none" w:sz="0" w:space="0" w:color="auto"/>
      </w:divBdr>
    </w:div>
    <w:div w:id="2069303894">
      <w:bodyDiv w:val="1"/>
      <w:marLeft w:val="0"/>
      <w:marRight w:val="0"/>
      <w:marTop w:val="0"/>
      <w:marBottom w:val="0"/>
      <w:divBdr>
        <w:top w:val="none" w:sz="0" w:space="0" w:color="auto"/>
        <w:left w:val="none" w:sz="0" w:space="0" w:color="auto"/>
        <w:bottom w:val="none" w:sz="0" w:space="0" w:color="auto"/>
        <w:right w:val="none" w:sz="0" w:space="0" w:color="auto"/>
      </w:divBdr>
    </w:div>
    <w:div w:id="2094080022">
      <w:bodyDiv w:val="1"/>
      <w:marLeft w:val="0"/>
      <w:marRight w:val="0"/>
      <w:marTop w:val="0"/>
      <w:marBottom w:val="0"/>
      <w:divBdr>
        <w:top w:val="none" w:sz="0" w:space="0" w:color="auto"/>
        <w:left w:val="none" w:sz="0" w:space="0" w:color="auto"/>
        <w:bottom w:val="none" w:sz="0" w:space="0" w:color="auto"/>
        <w:right w:val="none" w:sz="0" w:space="0" w:color="auto"/>
      </w:divBdr>
    </w:div>
    <w:div w:id="2126607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D:\Downloads\&#1575;&#1604;&#1575;&#1593;&#1605;&#1575;&#1604;%20&#1575;&#1604;&#1580;&#1583;&#1610;&#1583;&#1577;%202025-2026\&#1575;&#1608;&#1585;&#1575;&#1602;%20&#1576;&#1581;&#1579;&#1610;&#1577;\&#1575;&#1604;&#1575;&#1569;%20&#1606;&#1608;&#1586;&#1575;&#1583;\%20a)%20alaa.n.faeq@gmail.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jpg"/><Relationship Id="rId4" Type="http://schemas.openxmlformats.org/officeDocument/2006/relationships/settings" Target="settings.xml"/><Relationship Id="rId9" Type="http://schemas.openxmlformats.org/officeDocument/2006/relationships/hyperlink" Target="file:///D:\Downloads\&#1575;&#1604;&#1575;&#1593;&#1605;&#1575;&#1604;%20&#1575;&#1604;&#1580;&#1583;&#1610;&#1583;&#1577;%202025-2026\&#1575;&#1608;&#1585;&#1575;&#1602;%20&#1576;&#1581;&#1579;&#1610;&#1577;\&#1575;&#1604;&#1575;&#1569;%20&#1606;&#1608;&#1586;&#1575;&#1583;\b)%20ali.ihsan@uokirkuk.edu.iq"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90235EA-EB10-48AE-87FA-5CFC644AAA0E}">
  <we:reference id="wa200000368" version="1.0.0.0" store="en-US" storeType="OMEX"/>
  <we:alternateReferences>
    <we:reference id="wa200000368" version="1.0.0.0" store="en-US" storeType="OMEX"/>
  </we:alternateReferences>
  <we:properties>
    <we:property name="documentId" value="&quot;da0953ab1316a664&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7DCC1F-325C-4361-AEBD-288A537BD5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6</Pages>
  <Words>3013</Words>
  <Characters>17175</Characters>
  <Application>Microsoft Office Word</Application>
  <DocSecurity>0</DocSecurity>
  <Lines>143</Lines>
  <Paragraphs>40</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By DR.Ahmed Saker 2O11 - 2O12</Company>
  <LinksUpToDate>false</LinksUpToDate>
  <CharactersWithSpaces>20148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Chafic Salame</cp:lastModifiedBy>
  <cp:revision>11</cp:revision>
  <cp:lastPrinted>2025-07-27T20:34:00Z</cp:lastPrinted>
  <dcterms:created xsi:type="dcterms:W3CDTF">2025-10-19T16:10:00Z</dcterms:created>
  <dcterms:modified xsi:type="dcterms:W3CDTF">2025-12-06T20:17:00Z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e9fdaf59-5efe-494a-b6f9-84d47a9dc56d</vt:lpwstr>
  </property>
  <property fmtid="{D5CDD505-2E9C-101B-9397-08002B2CF9AE}" pid="3" name="_DocHome">
    <vt:i4>343262471</vt:i4>
  </property>
</Properties>
</file>