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FDCB" w14:textId="77777777" w:rsidR="003E509A" w:rsidRDefault="003E509A" w:rsidP="00A14631">
      <w:pPr>
        <w:pStyle w:val="Heading2"/>
        <w:rPr>
          <w:sz w:val="36"/>
          <w:szCs w:val="36"/>
        </w:rPr>
      </w:pPr>
    </w:p>
    <w:p w14:paraId="65148A1C" w14:textId="77777777" w:rsidR="003E509A" w:rsidRDefault="003E509A" w:rsidP="00A14631">
      <w:pPr>
        <w:pStyle w:val="Heading2"/>
        <w:rPr>
          <w:sz w:val="36"/>
          <w:szCs w:val="36"/>
        </w:rPr>
      </w:pPr>
    </w:p>
    <w:p w14:paraId="7FA329BD" w14:textId="5A114F1A" w:rsidR="0095151E" w:rsidRPr="00F95691" w:rsidRDefault="001A0CC1" w:rsidP="00A14631">
      <w:pPr>
        <w:pStyle w:val="Heading2"/>
        <w:rPr>
          <w:sz w:val="36"/>
          <w:szCs w:val="36"/>
        </w:rPr>
      </w:pPr>
      <w:r w:rsidRPr="00F95691">
        <w:rPr>
          <w:sz w:val="36"/>
          <w:szCs w:val="36"/>
        </w:rPr>
        <w:t xml:space="preserve">RAPD Typing of Multidrug-Resistant </w:t>
      </w:r>
      <w:r w:rsidRPr="00F95691">
        <w:rPr>
          <w:i/>
          <w:iCs/>
          <w:sz w:val="36"/>
          <w:szCs w:val="36"/>
        </w:rPr>
        <w:t>Klebsiella pneumonia</w:t>
      </w:r>
      <w:r w:rsidRPr="00F95691">
        <w:rPr>
          <w:sz w:val="36"/>
          <w:szCs w:val="36"/>
        </w:rPr>
        <w:t xml:space="preserve"> Possessing </w:t>
      </w:r>
      <w:proofErr w:type="spellStart"/>
      <w:r w:rsidRPr="00F95691">
        <w:rPr>
          <w:i/>
          <w:iCs/>
          <w:sz w:val="36"/>
          <w:szCs w:val="36"/>
        </w:rPr>
        <w:t>OqxA</w:t>
      </w:r>
      <w:proofErr w:type="spellEnd"/>
      <w:r w:rsidRPr="00F95691">
        <w:rPr>
          <w:sz w:val="36"/>
          <w:szCs w:val="36"/>
        </w:rPr>
        <w:t xml:space="preserve"> and </w:t>
      </w:r>
      <w:proofErr w:type="spellStart"/>
      <w:r w:rsidRPr="00F95691">
        <w:rPr>
          <w:i/>
          <w:iCs/>
          <w:sz w:val="36"/>
          <w:szCs w:val="36"/>
        </w:rPr>
        <w:t>OqxB</w:t>
      </w:r>
      <w:proofErr w:type="spellEnd"/>
      <w:r w:rsidRPr="00F95691">
        <w:rPr>
          <w:sz w:val="36"/>
          <w:szCs w:val="36"/>
        </w:rPr>
        <w:t xml:space="preserve"> Efflux Pump Genes</w:t>
      </w:r>
    </w:p>
    <w:p w14:paraId="548D96A3" w14:textId="2A0B0181" w:rsidR="00C14B14" w:rsidRPr="005C3D97" w:rsidRDefault="00D07824" w:rsidP="00A14631">
      <w:pPr>
        <w:pStyle w:val="AuthorName"/>
        <w:rPr>
          <w:rFonts w:asciiTheme="majorBidi" w:hAnsiTheme="majorBidi" w:cstheme="majorBidi"/>
          <w:sz w:val="20"/>
          <w:lang w:val="en-GB" w:eastAsia="en-GB"/>
        </w:rPr>
      </w:pPr>
      <w:r w:rsidRPr="005C3D97">
        <w:rPr>
          <w:rFonts w:asciiTheme="majorBidi" w:hAnsiTheme="majorBidi" w:cstheme="majorBidi"/>
        </w:rPr>
        <w:t xml:space="preserve">Douaa Rashed </w:t>
      </w:r>
      <w:r w:rsidR="005B41A5" w:rsidRPr="005C3D97">
        <w:rPr>
          <w:rFonts w:asciiTheme="majorBidi" w:hAnsiTheme="majorBidi" w:cstheme="majorBidi"/>
        </w:rPr>
        <w:t>Hamady</w:t>
      </w:r>
      <w:r w:rsidR="00EF6940" w:rsidRPr="005C3D97">
        <w:rPr>
          <w:rFonts w:asciiTheme="majorBidi" w:hAnsiTheme="majorBidi" w:cstheme="majorBidi"/>
          <w:vertAlign w:val="superscript"/>
        </w:rPr>
        <w:t>1,</w:t>
      </w:r>
      <w:r w:rsidR="003A5C85" w:rsidRPr="005C3D97">
        <w:rPr>
          <w:rFonts w:asciiTheme="majorBidi" w:hAnsiTheme="majorBidi" w:cstheme="majorBidi"/>
          <w:vertAlign w:val="superscript"/>
        </w:rPr>
        <w:t xml:space="preserve"> </w:t>
      </w:r>
      <w:proofErr w:type="gramStart"/>
      <w:r w:rsidR="009B42C6">
        <w:rPr>
          <w:rFonts w:asciiTheme="majorBidi" w:hAnsiTheme="majorBidi" w:cstheme="majorBidi"/>
          <w:vertAlign w:val="superscript"/>
        </w:rPr>
        <w:t>b</w:t>
      </w:r>
      <w:r w:rsidR="00EF6940" w:rsidRPr="005C3D97">
        <w:rPr>
          <w:rFonts w:asciiTheme="majorBidi" w:hAnsiTheme="majorBidi" w:cstheme="majorBidi"/>
          <w:vertAlign w:val="superscript"/>
        </w:rPr>
        <w:t>)</w:t>
      </w:r>
      <w:r w:rsidR="00916C82">
        <w:rPr>
          <w:rFonts w:asciiTheme="majorBidi" w:hAnsiTheme="majorBidi" w:cstheme="majorBidi"/>
          <w:vertAlign w:val="superscript"/>
        </w:rPr>
        <w:t xml:space="preserve"> </w:t>
      </w:r>
      <w:r w:rsidR="00E00D73">
        <w:rPr>
          <w:rFonts w:asciiTheme="majorBidi" w:hAnsiTheme="majorBidi" w:cstheme="majorBidi"/>
          <w:vertAlign w:val="superscript"/>
        </w:rPr>
        <w:t xml:space="preserve"> </w:t>
      </w:r>
      <w:r w:rsidR="007D4D0F">
        <w:rPr>
          <w:rFonts w:asciiTheme="majorBidi" w:hAnsiTheme="majorBidi" w:cstheme="majorBidi"/>
          <w:vertAlign w:val="superscript"/>
        </w:rPr>
        <w:t xml:space="preserve"> </w:t>
      </w:r>
      <w:proofErr w:type="gramEnd"/>
      <w:r w:rsidRPr="005C3D97">
        <w:rPr>
          <w:rFonts w:asciiTheme="majorBidi" w:hAnsiTheme="majorBidi" w:cstheme="majorBidi"/>
        </w:rPr>
        <w:t xml:space="preserve">and Rana Mujahid </w:t>
      </w:r>
      <w:r w:rsidR="005B41A5" w:rsidRPr="005C3D97">
        <w:rPr>
          <w:rFonts w:asciiTheme="majorBidi" w:hAnsiTheme="majorBidi" w:cstheme="majorBidi"/>
        </w:rPr>
        <w:t>Abdullah</w:t>
      </w:r>
      <w:r w:rsidR="0089649D">
        <w:rPr>
          <w:rFonts w:asciiTheme="majorBidi" w:hAnsiTheme="majorBidi" w:cstheme="majorBidi"/>
          <w:vertAlign w:val="superscript"/>
        </w:rPr>
        <w:t>1</w:t>
      </w:r>
      <w:r w:rsidR="007B4863" w:rsidRPr="005C3D97">
        <w:rPr>
          <w:rFonts w:asciiTheme="majorBidi" w:hAnsiTheme="majorBidi" w:cstheme="majorBidi"/>
          <w:vertAlign w:val="superscript"/>
        </w:rPr>
        <w:t>,</w:t>
      </w:r>
      <w:r w:rsidR="009B42C6">
        <w:rPr>
          <w:rFonts w:asciiTheme="majorBidi" w:hAnsiTheme="majorBidi" w:cstheme="majorBidi"/>
          <w:vertAlign w:val="superscript"/>
        </w:rPr>
        <w:t xml:space="preserve"> a</w:t>
      </w:r>
      <w:r w:rsidR="003A5C85" w:rsidRPr="005C3D97">
        <w:rPr>
          <w:rFonts w:asciiTheme="majorBidi" w:hAnsiTheme="majorBidi" w:cstheme="majorBidi"/>
          <w:vertAlign w:val="superscript"/>
        </w:rPr>
        <w:t>)</w:t>
      </w:r>
    </w:p>
    <w:p w14:paraId="5CFA9C09" w14:textId="1F97F582" w:rsidR="00C14B14" w:rsidRDefault="00027428" w:rsidP="00A14631">
      <w:pPr>
        <w:pStyle w:val="AuthorAffiliation"/>
        <w:rPr>
          <w:rFonts w:asciiTheme="majorBidi" w:hAnsiTheme="majorBidi" w:cstheme="majorBidi"/>
        </w:rPr>
      </w:pPr>
      <w:r w:rsidRPr="005C3D97">
        <w:rPr>
          <w:rFonts w:asciiTheme="majorBidi" w:hAnsiTheme="majorBidi" w:cstheme="majorBidi"/>
          <w:i w:val="0"/>
          <w:iCs/>
          <w:vertAlign w:val="superscript"/>
        </w:rPr>
        <w:t>1</w:t>
      </w:r>
      <w:r w:rsidR="0089649D">
        <w:rPr>
          <w:rFonts w:asciiTheme="majorBidi" w:hAnsiTheme="majorBidi" w:cstheme="majorBidi"/>
          <w:i w:val="0"/>
          <w:iCs/>
          <w:vertAlign w:val="superscript"/>
        </w:rPr>
        <w:t xml:space="preserve"> </w:t>
      </w:r>
      <w:r w:rsidR="00C341A9" w:rsidRPr="005C3D97">
        <w:rPr>
          <w:rFonts w:asciiTheme="majorBidi" w:hAnsiTheme="majorBidi" w:cstheme="majorBidi"/>
        </w:rPr>
        <w:t>Department of Biology, College of Education for Pure</w:t>
      </w:r>
      <w:r w:rsidR="00D07824" w:rsidRPr="005C3D97">
        <w:rPr>
          <w:rFonts w:asciiTheme="majorBidi" w:hAnsiTheme="majorBidi" w:cstheme="majorBidi"/>
        </w:rPr>
        <w:t xml:space="preserve"> and </w:t>
      </w:r>
      <w:r w:rsidR="004C107F" w:rsidRPr="005C3D97">
        <w:rPr>
          <w:rFonts w:asciiTheme="majorBidi" w:hAnsiTheme="majorBidi" w:cstheme="majorBidi"/>
        </w:rPr>
        <w:t>Applied</w:t>
      </w:r>
      <w:r w:rsidR="00D07824" w:rsidRPr="005C3D97">
        <w:rPr>
          <w:rFonts w:asciiTheme="majorBidi" w:hAnsiTheme="majorBidi" w:cstheme="majorBidi"/>
        </w:rPr>
        <w:t xml:space="preserve"> Science (</w:t>
      </w:r>
      <w:r w:rsidR="00C341A9" w:rsidRPr="005C3D97">
        <w:rPr>
          <w:rFonts w:asciiTheme="majorBidi" w:hAnsiTheme="majorBidi" w:cstheme="majorBidi"/>
        </w:rPr>
        <w:t>bn Al-Haitham), University of Baghdad. Baghdad, Iraq.</w:t>
      </w:r>
    </w:p>
    <w:p w14:paraId="68537300" w14:textId="77777777" w:rsidR="007D4D0F" w:rsidRPr="005C3D97" w:rsidRDefault="007D4D0F" w:rsidP="00A14631">
      <w:pPr>
        <w:pStyle w:val="AuthorAffiliation"/>
        <w:jc w:val="left"/>
        <w:rPr>
          <w:rFonts w:asciiTheme="majorBidi" w:hAnsiTheme="majorBidi" w:cstheme="majorBidi"/>
        </w:rPr>
      </w:pPr>
    </w:p>
    <w:p w14:paraId="732200A8" w14:textId="4E9CD967" w:rsidR="00113458" w:rsidRPr="00113458" w:rsidRDefault="00113458" w:rsidP="00A14631">
      <w:pPr>
        <w:pStyle w:val="AuthorAffiliation"/>
        <w:rPr>
          <w:rFonts w:asciiTheme="majorBidi" w:hAnsiTheme="majorBidi" w:cstheme="majorBidi"/>
        </w:rPr>
      </w:pPr>
      <w:r>
        <w:rPr>
          <w:rFonts w:asciiTheme="majorBidi" w:hAnsiTheme="majorBidi" w:cstheme="majorBidi"/>
          <w:szCs w:val="28"/>
          <w:vertAlign w:val="superscript"/>
        </w:rPr>
        <w:t>a)</w:t>
      </w:r>
      <w:r w:rsidRPr="00E179A7">
        <w:rPr>
          <w:rFonts w:asciiTheme="majorBidi" w:hAnsiTheme="majorBidi" w:cstheme="majorBidi"/>
          <w:szCs w:val="28"/>
          <w:vertAlign w:val="superscript"/>
        </w:rPr>
        <w:t>.</w:t>
      </w:r>
      <w:hyperlink r:id="rId11" w:history="1">
        <w:r w:rsidRPr="00E179A7">
          <w:rPr>
            <w:rStyle w:val="Hyperlink"/>
            <w:rFonts w:asciiTheme="majorBidi" w:hAnsiTheme="majorBidi" w:cstheme="majorBidi"/>
            <w:color w:val="auto"/>
            <w:u w:val="none"/>
          </w:rPr>
          <w:t>douaarashed@yahoo.com</w:t>
        </w:r>
      </w:hyperlink>
    </w:p>
    <w:p w14:paraId="646FC5B4" w14:textId="15F248FE" w:rsidR="007D4D0F" w:rsidRPr="005C3D97" w:rsidRDefault="00113458" w:rsidP="00A14631">
      <w:pPr>
        <w:pStyle w:val="AuthorAffiliation"/>
        <w:rPr>
          <w:rFonts w:asciiTheme="majorBidi" w:hAnsiTheme="majorBidi" w:cstheme="majorBidi"/>
        </w:rPr>
      </w:pPr>
      <w:r>
        <w:rPr>
          <w:rFonts w:asciiTheme="majorBidi" w:hAnsiTheme="majorBidi" w:cstheme="majorBidi"/>
          <w:vertAlign w:val="superscript"/>
        </w:rPr>
        <w:t>b</w:t>
      </w:r>
      <w:r w:rsidR="009D61A7" w:rsidRPr="009B42C6">
        <w:rPr>
          <w:rFonts w:asciiTheme="majorBidi" w:hAnsiTheme="majorBidi" w:cstheme="majorBidi"/>
          <w:vertAlign w:val="superscript"/>
        </w:rPr>
        <w:t>)</w:t>
      </w:r>
      <w:r w:rsidR="009D61A7" w:rsidRPr="005C3D97">
        <w:rPr>
          <w:rFonts w:asciiTheme="majorBidi" w:hAnsiTheme="majorBidi" w:cstheme="majorBidi"/>
          <w:szCs w:val="28"/>
        </w:rPr>
        <w:t xml:space="preserve"> </w:t>
      </w:r>
      <w:r w:rsidR="009D61A7" w:rsidRPr="005C3D97">
        <w:rPr>
          <w:rFonts w:asciiTheme="majorBidi" w:hAnsiTheme="majorBidi" w:cstheme="majorBidi"/>
        </w:rPr>
        <w:t xml:space="preserve">Corresponding author: </w:t>
      </w:r>
      <w:r w:rsidR="009D61A7" w:rsidRPr="005C3D97">
        <w:rPr>
          <w:rFonts w:asciiTheme="majorBidi" w:hAnsiTheme="majorBidi" w:cstheme="majorBidi"/>
          <w:szCs w:val="28"/>
        </w:rPr>
        <w:t>dr.rana_alshwaikh@yahoo.com</w:t>
      </w:r>
      <w:r w:rsidRPr="005C3D97">
        <w:rPr>
          <w:rFonts w:asciiTheme="majorBidi" w:hAnsiTheme="majorBidi" w:cstheme="majorBidi"/>
        </w:rPr>
        <w:t xml:space="preserve"> </w:t>
      </w:r>
    </w:p>
    <w:p w14:paraId="3DDE326F" w14:textId="77777777" w:rsidR="00916C82" w:rsidRDefault="00643463" w:rsidP="00A14631">
      <w:pPr>
        <w:pStyle w:val="Abstract"/>
        <w:ind w:left="0"/>
        <w:rPr>
          <w:rFonts w:asciiTheme="majorBidi" w:hAnsiTheme="majorBidi" w:cstheme="majorBidi"/>
          <w:szCs w:val="18"/>
        </w:rPr>
      </w:pPr>
      <w:r w:rsidRPr="005C3D97">
        <w:rPr>
          <w:rFonts w:asciiTheme="majorBidi" w:hAnsiTheme="majorBidi" w:cstheme="majorBidi"/>
          <w:b/>
          <w:bCs/>
          <w:szCs w:val="18"/>
        </w:rPr>
        <w:t>Abstract.</w:t>
      </w:r>
      <w:r w:rsidRPr="005C3D97">
        <w:rPr>
          <w:rFonts w:asciiTheme="majorBidi" w:hAnsiTheme="majorBidi" w:cstheme="majorBidi"/>
          <w:szCs w:val="18"/>
        </w:rPr>
        <w:t xml:space="preserve"> One hundred and thirty clinical samples were collected from Baghdad hospital including urine, sputum, blood, wound and burn infections. Isolation, identification, microscopic examination, biochemical and antimicrobial susceptibility testing were performed. DNA extraction and polymerase chain reaction were then performed to analyses three genes (</w:t>
      </w:r>
      <w:r w:rsidRPr="005C3D97">
        <w:rPr>
          <w:rFonts w:asciiTheme="majorBidi" w:hAnsiTheme="majorBidi" w:cstheme="majorBidi"/>
          <w:i/>
          <w:iCs/>
          <w:szCs w:val="18"/>
        </w:rPr>
        <w:t>16S rRNA</w:t>
      </w:r>
      <w:r w:rsidRPr="005C3D97">
        <w:rPr>
          <w:rFonts w:asciiTheme="majorBidi" w:hAnsiTheme="majorBidi" w:cstheme="majorBidi"/>
          <w:szCs w:val="18"/>
        </w:rPr>
        <w:t xml:space="preserve">, </w:t>
      </w:r>
      <w:proofErr w:type="spellStart"/>
      <w:r w:rsidRPr="005C3D97">
        <w:rPr>
          <w:rFonts w:asciiTheme="majorBidi" w:hAnsiTheme="majorBidi" w:cstheme="majorBidi"/>
          <w:i/>
          <w:iCs/>
          <w:szCs w:val="18"/>
        </w:rPr>
        <w:t>oqxA</w:t>
      </w:r>
      <w:proofErr w:type="spellEnd"/>
      <w:r w:rsidRPr="005C3D97">
        <w:rPr>
          <w:rFonts w:asciiTheme="majorBidi" w:hAnsiTheme="majorBidi" w:cstheme="majorBidi"/>
          <w:szCs w:val="18"/>
        </w:rPr>
        <w:t xml:space="preserve"> and </w:t>
      </w:r>
      <w:proofErr w:type="spellStart"/>
      <w:r w:rsidRPr="005C3D97">
        <w:rPr>
          <w:rFonts w:asciiTheme="majorBidi" w:hAnsiTheme="majorBidi" w:cstheme="majorBidi"/>
          <w:i/>
          <w:iCs/>
          <w:szCs w:val="18"/>
        </w:rPr>
        <w:t>oqxB</w:t>
      </w:r>
      <w:proofErr w:type="spellEnd"/>
      <w:r w:rsidRPr="005C3D97">
        <w:rPr>
          <w:rFonts w:asciiTheme="majorBidi" w:hAnsiTheme="majorBidi" w:cstheme="majorBidi"/>
          <w:szCs w:val="18"/>
        </w:rPr>
        <w:t xml:space="preserve">). Finally, typing of </w:t>
      </w:r>
      <w:r w:rsidRPr="005C3D97">
        <w:rPr>
          <w:rFonts w:asciiTheme="majorBidi" w:hAnsiTheme="majorBidi" w:cstheme="majorBidi"/>
          <w:i/>
          <w:iCs/>
          <w:szCs w:val="18"/>
        </w:rPr>
        <w:t>K. pneumoniae</w:t>
      </w:r>
      <w:r w:rsidRPr="005C3D97">
        <w:rPr>
          <w:rFonts w:asciiTheme="majorBidi" w:hAnsiTheme="majorBidi" w:cstheme="majorBidi"/>
          <w:szCs w:val="18"/>
        </w:rPr>
        <w:t xml:space="preserve"> with the RAPD method.</w:t>
      </w:r>
      <w:r w:rsidRPr="005C3D97">
        <w:rPr>
          <w:rFonts w:asciiTheme="majorBidi" w:hAnsiTheme="majorBidi" w:cstheme="majorBidi"/>
          <w:color w:val="000000"/>
          <w:szCs w:val="18"/>
        </w:rPr>
        <w:t xml:space="preserve"> </w:t>
      </w:r>
      <w:r w:rsidRPr="005C3D97">
        <w:rPr>
          <w:rFonts w:asciiTheme="majorBidi" w:hAnsiTheme="majorBidi" w:cstheme="majorBidi"/>
          <w:szCs w:val="18"/>
        </w:rPr>
        <w:t xml:space="preserve">The results showed that all </w:t>
      </w:r>
      <w:r w:rsidRPr="005C3D97">
        <w:rPr>
          <w:rFonts w:asciiTheme="majorBidi" w:hAnsiTheme="majorBidi" w:cstheme="majorBidi"/>
          <w:i/>
          <w:iCs/>
          <w:szCs w:val="18"/>
        </w:rPr>
        <w:t>K. pneumoniae</w:t>
      </w:r>
      <w:r w:rsidRPr="005C3D97">
        <w:rPr>
          <w:rFonts w:asciiTheme="majorBidi" w:hAnsiTheme="majorBidi" w:cstheme="majorBidi"/>
          <w:szCs w:val="18"/>
        </w:rPr>
        <w:t xml:space="preserve"> isolates was 50 (38.4%).The minimum inhibitory concentrations (MICs) test showed that resistance of isolates was 50(100%) to ticarcillin, 43(86%) to ticarcillin/clavulanic acid, 50(100%) to piperacillin, 32(64%) to piperacillin/tazobactam, 39(78%) to ceftazidime , 34(68%) to cefepime , 44(88%) to aztreonam . Genotyping revealed that </w:t>
      </w:r>
      <w:proofErr w:type="spellStart"/>
      <w:r w:rsidRPr="005C3D97">
        <w:rPr>
          <w:rFonts w:asciiTheme="majorBidi" w:hAnsiTheme="majorBidi" w:cstheme="majorBidi"/>
          <w:i/>
          <w:iCs/>
          <w:szCs w:val="18"/>
        </w:rPr>
        <w:t>oqxA</w:t>
      </w:r>
      <w:proofErr w:type="spellEnd"/>
      <w:r w:rsidRPr="005C3D97">
        <w:rPr>
          <w:rFonts w:asciiTheme="majorBidi" w:hAnsiTheme="majorBidi" w:cstheme="majorBidi"/>
          <w:szCs w:val="18"/>
        </w:rPr>
        <w:t xml:space="preserve"> was present in 50 (100%) of </w:t>
      </w:r>
      <w:r w:rsidRPr="005C3D97">
        <w:rPr>
          <w:rFonts w:asciiTheme="majorBidi" w:hAnsiTheme="majorBidi" w:cstheme="majorBidi"/>
          <w:i/>
          <w:iCs/>
          <w:szCs w:val="18"/>
        </w:rPr>
        <w:t>K. pneumoniae</w:t>
      </w:r>
      <w:r w:rsidRPr="005C3D97">
        <w:rPr>
          <w:rFonts w:asciiTheme="majorBidi" w:hAnsiTheme="majorBidi" w:cstheme="majorBidi"/>
          <w:szCs w:val="18"/>
        </w:rPr>
        <w:t xml:space="preserve">, while </w:t>
      </w:r>
      <w:proofErr w:type="spellStart"/>
      <w:r w:rsidRPr="005C3D97">
        <w:rPr>
          <w:rFonts w:asciiTheme="majorBidi" w:hAnsiTheme="majorBidi" w:cstheme="majorBidi"/>
          <w:i/>
          <w:iCs/>
          <w:szCs w:val="18"/>
        </w:rPr>
        <w:t>oqxB</w:t>
      </w:r>
      <w:proofErr w:type="spellEnd"/>
      <w:r w:rsidRPr="005C3D97">
        <w:rPr>
          <w:rFonts w:asciiTheme="majorBidi" w:hAnsiTheme="majorBidi" w:cstheme="majorBidi"/>
          <w:szCs w:val="18"/>
        </w:rPr>
        <w:t xml:space="preserve"> was present in 27 (54%) of isolates. The results of the genotyping of </w:t>
      </w:r>
      <w:r w:rsidRPr="005C3D97">
        <w:rPr>
          <w:rFonts w:asciiTheme="majorBidi" w:hAnsiTheme="majorBidi" w:cstheme="majorBidi"/>
          <w:i/>
          <w:iCs/>
          <w:szCs w:val="18"/>
        </w:rPr>
        <w:t>K. pneumoniae</w:t>
      </w:r>
      <w:r w:rsidRPr="005C3D97">
        <w:rPr>
          <w:rFonts w:asciiTheme="majorBidi" w:hAnsiTheme="majorBidi" w:cstheme="majorBidi"/>
          <w:szCs w:val="18"/>
        </w:rPr>
        <w:t xml:space="preserve"> using the RAPD method showed that 12 different genotypes with a molecular weight of 250-1500 base pairs. </w:t>
      </w:r>
    </w:p>
    <w:p w14:paraId="1B63BE56" w14:textId="10419070" w:rsidR="004928A3" w:rsidRPr="00916C82" w:rsidRDefault="004928A3" w:rsidP="00A14631">
      <w:pPr>
        <w:pStyle w:val="Abstract"/>
        <w:ind w:left="0"/>
        <w:rPr>
          <w:rFonts w:asciiTheme="majorBidi" w:hAnsiTheme="majorBidi" w:cstheme="majorBidi"/>
          <w:szCs w:val="18"/>
        </w:rPr>
      </w:pPr>
      <w:r w:rsidRPr="00BE01CF">
        <w:rPr>
          <w:rFonts w:asciiTheme="majorBidi" w:hAnsiTheme="majorBidi" w:cstheme="majorBidi"/>
          <w:b/>
          <w:lang w:val="x-none"/>
        </w:rPr>
        <w:t>Keywords</w:t>
      </w:r>
      <w:r w:rsidRPr="00BE01CF">
        <w:rPr>
          <w:rFonts w:asciiTheme="majorBidi" w:hAnsiTheme="majorBidi" w:cstheme="majorBidi"/>
          <w:b/>
          <w:i/>
          <w:iCs/>
          <w:lang w:val="x-none"/>
        </w:rPr>
        <w:t>:</w:t>
      </w:r>
      <w:r w:rsidRPr="005C3D97">
        <w:rPr>
          <w:rFonts w:asciiTheme="majorBidi" w:hAnsiTheme="majorBidi" w:cstheme="majorBidi"/>
          <w:bCs/>
          <w:i/>
        </w:rPr>
        <w:t xml:space="preserve"> </w:t>
      </w:r>
      <w:r w:rsidR="004D1A38" w:rsidRPr="005C3D97">
        <w:rPr>
          <w:rFonts w:asciiTheme="majorBidi" w:hAnsiTheme="majorBidi" w:cstheme="majorBidi"/>
          <w:i/>
          <w:iCs/>
        </w:rPr>
        <w:t>Klebsiella pneumoniae</w:t>
      </w:r>
      <w:r w:rsidR="004D1A38" w:rsidRPr="005C3D97">
        <w:rPr>
          <w:rFonts w:asciiTheme="majorBidi" w:hAnsiTheme="majorBidi" w:cstheme="majorBidi"/>
        </w:rPr>
        <w:t xml:space="preserve">, </w:t>
      </w:r>
      <w:proofErr w:type="spellStart"/>
      <w:r w:rsidR="004D1A38" w:rsidRPr="005C3D97">
        <w:rPr>
          <w:rFonts w:asciiTheme="majorBidi" w:hAnsiTheme="majorBidi" w:cstheme="majorBidi"/>
          <w:i/>
          <w:iCs/>
        </w:rPr>
        <w:t>oqxA</w:t>
      </w:r>
      <w:proofErr w:type="spellEnd"/>
      <w:r w:rsidR="004D1A38" w:rsidRPr="005C3D97">
        <w:rPr>
          <w:rFonts w:asciiTheme="majorBidi" w:hAnsiTheme="majorBidi" w:cstheme="majorBidi"/>
        </w:rPr>
        <w:t xml:space="preserve">, </w:t>
      </w:r>
      <w:proofErr w:type="spellStart"/>
      <w:r w:rsidR="004D1A38" w:rsidRPr="005C3D97">
        <w:rPr>
          <w:rFonts w:asciiTheme="majorBidi" w:hAnsiTheme="majorBidi" w:cstheme="majorBidi"/>
          <w:i/>
          <w:iCs/>
        </w:rPr>
        <w:t>oqxB</w:t>
      </w:r>
      <w:proofErr w:type="spellEnd"/>
      <w:r w:rsidR="004D1A38" w:rsidRPr="005C3D97">
        <w:rPr>
          <w:rFonts w:asciiTheme="majorBidi" w:hAnsiTheme="majorBidi" w:cstheme="majorBidi"/>
        </w:rPr>
        <w:t>, MICs, Genotype, RABD method</w:t>
      </w:r>
      <w:r w:rsidRPr="005C3D97">
        <w:rPr>
          <w:rFonts w:asciiTheme="majorBidi" w:hAnsiTheme="majorBidi" w:cstheme="majorBidi"/>
        </w:rPr>
        <w:t>.</w:t>
      </w:r>
    </w:p>
    <w:p w14:paraId="5240E3FB" w14:textId="2284A121" w:rsidR="003A287B" w:rsidRPr="005C3D97" w:rsidRDefault="00D30F71" w:rsidP="00A14631">
      <w:pPr>
        <w:pStyle w:val="Heading2"/>
        <w:rPr>
          <w:caps/>
          <w:sz w:val="20"/>
        </w:rPr>
      </w:pPr>
      <w:r w:rsidRPr="005C3D97">
        <w:t>INTRODUCTION</w:t>
      </w:r>
    </w:p>
    <w:p w14:paraId="38FD0823" w14:textId="59FC350E" w:rsidR="004D1A38" w:rsidRPr="005C3D97" w:rsidRDefault="00643463" w:rsidP="00581AEC">
      <w:pPr>
        <w:ind w:firstLine="284"/>
        <w:jc w:val="both"/>
        <w:rPr>
          <w:rFonts w:asciiTheme="majorBidi" w:hAnsiTheme="majorBidi" w:cstheme="majorBidi"/>
        </w:rPr>
      </w:pPr>
      <w:r w:rsidRPr="005C3D97">
        <w:rPr>
          <w:rFonts w:asciiTheme="majorBidi" w:hAnsiTheme="majorBidi" w:cstheme="majorBidi"/>
          <w:sz w:val="20"/>
        </w:rPr>
        <w:t xml:space="preserve">The genus </w:t>
      </w:r>
      <w:r w:rsidRPr="005C3D97">
        <w:rPr>
          <w:rFonts w:asciiTheme="majorBidi" w:hAnsiTheme="majorBidi" w:cstheme="majorBidi"/>
          <w:i/>
          <w:iCs/>
          <w:sz w:val="20"/>
        </w:rPr>
        <w:t>Klebsiella</w:t>
      </w:r>
      <w:r w:rsidRPr="005C3D97">
        <w:rPr>
          <w:rFonts w:asciiTheme="majorBidi" w:hAnsiTheme="majorBidi" w:cstheme="majorBidi"/>
          <w:sz w:val="20"/>
        </w:rPr>
        <w:t xml:space="preserve"> </w:t>
      </w:r>
      <w:proofErr w:type="gramStart"/>
      <w:r w:rsidRPr="005C3D97">
        <w:rPr>
          <w:rFonts w:asciiTheme="majorBidi" w:hAnsiTheme="majorBidi" w:cstheme="majorBidi"/>
          <w:sz w:val="20"/>
        </w:rPr>
        <w:t>a member</w:t>
      </w:r>
      <w:proofErr w:type="gramEnd"/>
      <w:r w:rsidRPr="005C3D97">
        <w:rPr>
          <w:rFonts w:asciiTheme="majorBidi" w:hAnsiTheme="majorBidi" w:cstheme="majorBidi"/>
          <w:sz w:val="20"/>
        </w:rPr>
        <w:t xml:space="preserve"> of the family Enterobacteriaceae [1]. It is Gram-negative [2], (0.6-</w:t>
      </w:r>
      <w:proofErr w:type="gramStart"/>
      <w:r w:rsidRPr="005C3D97">
        <w:rPr>
          <w:rFonts w:asciiTheme="majorBidi" w:hAnsiTheme="majorBidi" w:cstheme="majorBidi"/>
          <w:sz w:val="20"/>
        </w:rPr>
        <w:t>6 ,</w:t>
      </w:r>
      <w:proofErr w:type="gramEnd"/>
      <w:r w:rsidRPr="005C3D97">
        <w:rPr>
          <w:rFonts w:asciiTheme="majorBidi" w:hAnsiTheme="majorBidi" w:cstheme="majorBidi"/>
          <w:sz w:val="20"/>
        </w:rPr>
        <w:t xml:space="preserve"> 0.3-1) </w:t>
      </w:r>
      <w:proofErr w:type="spellStart"/>
      <w:r w:rsidRPr="005C3D97">
        <w:rPr>
          <w:rFonts w:asciiTheme="majorBidi" w:hAnsiTheme="majorBidi" w:cstheme="majorBidi"/>
          <w:sz w:val="20"/>
        </w:rPr>
        <w:t>μm</w:t>
      </w:r>
      <w:proofErr w:type="spellEnd"/>
      <w:r w:rsidRPr="005C3D97">
        <w:rPr>
          <w:rFonts w:asciiTheme="majorBidi" w:hAnsiTheme="majorBidi" w:cstheme="majorBidi"/>
          <w:sz w:val="20"/>
        </w:rPr>
        <w:t xml:space="preserve"> wide, singly, in pairs, or as short chains, ferments lactose, is non-motile [3], non-spore forming, oxidase negative, and contains a protuberant polysaccharide capsule. It also develops quickly </w:t>
      </w:r>
      <w:proofErr w:type="gramStart"/>
      <w:r w:rsidRPr="005C3D97">
        <w:rPr>
          <w:rFonts w:asciiTheme="majorBidi" w:hAnsiTheme="majorBidi" w:cstheme="majorBidi"/>
          <w:sz w:val="20"/>
        </w:rPr>
        <w:t>on</w:t>
      </w:r>
      <w:proofErr w:type="gramEnd"/>
      <w:r w:rsidRPr="005C3D97">
        <w:rPr>
          <w:rFonts w:asciiTheme="majorBidi" w:hAnsiTheme="majorBidi" w:cstheme="majorBidi"/>
          <w:sz w:val="20"/>
        </w:rPr>
        <w:t xml:space="preserve"> normal </w:t>
      </w:r>
      <w:proofErr w:type="gramStart"/>
      <w:r w:rsidRPr="005C3D97">
        <w:rPr>
          <w:rFonts w:asciiTheme="majorBidi" w:hAnsiTheme="majorBidi" w:cstheme="majorBidi"/>
          <w:sz w:val="20"/>
        </w:rPr>
        <w:t>media</w:t>
      </w:r>
      <w:proofErr w:type="gramEnd"/>
      <w:r w:rsidRPr="005C3D97">
        <w:rPr>
          <w:rFonts w:asciiTheme="majorBidi" w:hAnsiTheme="majorBidi" w:cstheme="majorBidi"/>
          <w:sz w:val="20"/>
        </w:rPr>
        <w:t xml:space="preserve"> and its colonies seem large, pink, round and mucous on MacConkey agar, demonstrating lactose fermentation and acid production. It also grows rapidly on CHROMO agar, nutrient agar, blood agar, and eosin methylene blue agar (EMB) [4,5]. In 1834, Edwin Klebs discovered the genus Klebsiella and named it after him [6]. In 1883, Friedlander, a German pathologist, isolated an encapsulated bacillus from the lungs of a patient who had died of pneumonia. Klebsiella is called Friedlander’s bacillus [7]. The prevalence of </w:t>
      </w:r>
      <w:r w:rsidRPr="005C3D97">
        <w:rPr>
          <w:rFonts w:asciiTheme="majorBidi" w:hAnsiTheme="majorBidi" w:cstheme="majorBidi"/>
          <w:i/>
          <w:iCs/>
          <w:sz w:val="20"/>
        </w:rPr>
        <w:t>K. pneumoniae</w:t>
      </w:r>
      <w:r w:rsidRPr="005C3D97">
        <w:rPr>
          <w:rFonts w:asciiTheme="majorBidi" w:hAnsiTheme="majorBidi" w:cstheme="majorBidi"/>
          <w:sz w:val="20"/>
        </w:rPr>
        <w:t xml:space="preserve"> may be a nosocomial pathogen in Europe and the United States of America (USA) as a result of the acquisition of antibiotic resistance markers that give it a selective advantage in the hospital environment and is responsible for 6-17% of urinary tract infections (UTIs), 4-15% of septicemia, 7-14% of pneumonia [8], 2-4% of wound infections, 4-17% of nosocomial infections in intensive care units and 3-20% of all neonatal septicemia [9]. Efflux pumps are known to enhance host resistance to antimicrobial peptides in other bacteria and are an important constituent of the host’s innate immune system [10]. Efflux pumps have been recorded as one of the mechanisms respons</w:t>
      </w:r>
      <w:r w:rsidR="005F4EAE" w:rsidRPr="005C3D97">
        <w:rPr>
          <w:rFonts w:asciiTheme="majorBidi" w:hAnsiTheme="majorBidi" w:cstheme="majorBidi"/>
          <w:sz w:val="20"/>
        </w:rPr>
        <w:t xml:space="preserve">ible </w:t>
      </w:r>
      <w:proofErr w:type="gramStart"/>
      <w:r w:rsidR="005F4EAE" w:rsidRPr="005C3D97">
        <w:rPr>
          <w:rFonts w:asciiTheme="majorBidi" w:hAnsiTheme="majorBidi" w:cstheme="majorBidi"/>
          <w:sz w:val="20"/>
        </w:rPr>
        <w:t>of</w:t>
      </w:r>
      <w:proofErr w:type="gramEnd"/>
      <w:r w:rsidR="005F4EAE" w:rsidRPr="005C3D97">
        <w:rPr>
          <w:rFonts w:asciiTheme="majorBidi" w:hAnsiTheme="majorBidi" w:cstheme="majorBidi"/>
          <w:sz w:val="20"/>
        </w:rPr>
        <w:t xml:space="preserve"> antibiotic resistance </w:t>
      </w:r>
      <w:r w:rsidRPr="005C3D97">
        <w:rPr>
          <w:rFonts w:asciiTheme="majorBidi" w:hAnsiTheme="majorBidi" w:cstheme="majorBidi"/>
          <w:sz w:val="20"/>
        </w:rPr>
        <w:t xml:space="preserve">[11]. It is likely that this mechanism plays a similar role in the virulence of </w:t>
      </w:r>
      <w:r w:rsidRPr="005C3D97">
        <w:rPr>
          <w:rFonts w:asciiTheme="majorBidi" w:hAnsiTheme="majorBidi" w:cstheme="majorBidi"/>
          <w:i/>
          <w:iCs/>
          <w:sz w:val="20"/>
        </w:rPr>
        <w:t>K. pneumoniae</w:t>
      </w:r>
      <w:r w:rsidRPr="005C3D97">
        <w:rPr>
          <w:rFonts w:asciiTheme="majorBidi" w:hAnsiTheme="majorBidi" w:cstheme="majorBidi"/>
          <w:sz w:val="20"/>
        </w:rPr>
        <w:t xml:space="preserve">, which has membrane-spanning efflux pumps to discharge toxic combinations extending from heavy metal ions to organic </w:t>
      </w:r>
      <w:proofErr w:type="gramStart"/>
      <w:r w:rsidRPr="005C3D97">
        <w:rPr>
          <w:rFonts w:asciiTheme="majorBidi" w:hAnsiTheme="majorBidi" w:cstheme="majorBidi"/>
          <w:sz w:val="20"/>
        </w:rPr>
        <w:t>chemicals,</w:t>
      </w:r>
      <w:proofErr w:type="gramEnd"/>
      <w:r w:rsidRPr="005C3D97">
        <w:rPr>
          <w:rFonts w:asciiTheme="majorBidi" w:hAnsiTheme="majorBidi" w:cstheme="majorBidi"/>
          <w:sz w:val="20"/>
        </w:rPr>
        <w:t xml:space="preserve"> containing antibiotics. The overall architecture of these efflux pumps is greatly preserved: an energy-transfer subunit in the inner membrane combined through an adapter protein to an outer membrane channel subunit that allows the toxic combinations to be barred into the environment [12].</w:t>
      </w:r>
      <w:r w:rsidR="005F4EAE" w:rsidRPr="005C3D97">
        <w:rPr>
          <w:rFonts w:asciiTheme="majorBidi" w:hAnsiTheme="majorBidi" w:cstheme="majorBidi"/>
          <w:sz w:val="20"/>
        </w:rPr>
        <w:t xml:space="preserve"> </w:t>
      </w:r>
      <w:r w:rsidR="004D1A38" w:rsidRPr="005C3D97">
        <w:rPr>
          <w:rFonts w:asciiTheme="majorBidi" w:hAnsiTheme="majorBidi" w:cstheme="majorBidi"/>
          <w:i/>
          <w:iCs/>
          <w:sz w:val="20"/>
        </w:rPr>
        <w:t xml:space="preserve">K. </w:t>
      </w:r>
      <w:r w:rsidR="00B571B0" w:rsidRPr="005C3D97">
        <w:rPr>
          <w:rFonts w:asciiTheme="majorBidi" w:hAnsiTheme="majorBidi" w:cstheme="majorBidi"/>
          <w:i/>
          <w:iCs/>
          <w:sz w:val="20"/>
        </w:rPr>
        <w:t>pneumonia’s</w:t>
      </w:r>
      <w:r w:rsidR="004D1A38" w:rsidRPr="005C3D97">
        <w:rPr>
          <w:rFonts w:asciiTheme="majorBidi" w:hAnsiTheme="majorBidi" w:cstheme="majorBidi"/>
          <w:sz w:val="20"/>
        </w:rPr>
        <w:t xml:space="preserve"> most common efflux pump is </w:t>
      </w:r>
      <w:proofErr w:type="spellStart"/>
      <w:r w:rsidR="004D1A38" w:rsidRPr="005C3D97">
        <w:rPr>
          <w:rFonts w:asciiTheme="majorBidi" w:hAnsiTheme="majorBidi" w:cstheme="majorBidi"/>
          <w:i/>
          <w:iCs/>
          <w:sz w:val="20"/>
        </w:rPr>
        <w:t>OqxAB</w:t>
      </w:r>
      <w:proofErr w:type="spellEnd"/>
      <w:r w:rsidR="004D1A38" w:rsidRPr="005C3D97">
        <w:rPr>
          <w:rFonts w:asciiTheme="majorBidi" w:hAnsiTheme="majorBidi" w:cstheme="majorBidi"/>
          <w:sz w:val="20"/>
        </w:rPr>
        <w:t xml:space="preserve">. The </w:t>
      </w:r>
      <w:proofErr w:type="spellStart"/>
      <w:r w:rsidR="004D1A38" w:rsidRPr="005C3D97">
        <w:rPr>
          <w:rFonts w:asciiTheme="majorBidi" w:hAnsiTheme="majorBidi" w:cstheme="majorBidi"/>
          <w:i/>
          <w:iCs/>
          <w:sz w:val="20"/>
        </w:rPr>
        <w:t>OqxAB</w:t>
      </w:r>
      <w:proofErr w:type="spellEnd"/>
      <w:r w:rsidR="004D1A38" w:rsidRPr="005C3D97">
        <w:rPr>
          <w:rFonts w:asciiTheme="majorBidi" w:hAnsiTheme="majorBidi" w:cstheme="majorBidi"/>
          <w:sz w:val="20"/>
        </w:rPr>
        <w:t xml:space="preserve"> efflux pump, which involves of </w:t>
      </w:r>
      <w:proofErr w:type="spellStart"/>
      <w:r w:rsidR="004D1A38" w:rsidRPr="005C3D97">
        <w:rPr>
          <w:rFonts w:asciiTheme="majorBidi" w:hAnsiTheme="majorBidi" w:cstheme="majorBidi"/>
          <w:i/>
          <w:iCs/>
          <w:sz w:val="20"/>
        </w:rPr>
        <w:t>OqxA</w:t>
      </w:r>
      <w:proofErr w:type="spellEnd"/>
      <w:r w:rsidR="004D1A38" w:rsidRPr="005C3D97">
        <w:rPr>
          <w:rFonts w:asciiTheme="majorBidi" w:hAnsiTheme="majorBidi" w:cstheme="majorBidi"/>
          <w:sz w:val="20"/>
        </w:rPr>
        <w:t xml:space="preserve"> as a peripheral component and </w:t>
      </w:r>
      <w:proofErr w:type="spellStart"/>
      <w:r w:rsidR="004D1A38" w:rsidRPr="005C3D97">
        <w:rPr>
          <w:rFonts w:asciiTheme="majorBidi" w:hAnsiTheme="majorBidi" w:cstheme="majorBidi"/>
          <w:i/>
          <w:iCs/>
          <w:sz w:val="20"/>
        </w:rPr>
        <w:t>OqxB</w:t>
      </w:r>
      <w:proofErr w:type="spellEnd"/>
      <w:r w:rsidR="004D1A38" w:rsidRPr="005C3D97">
        <w:rPr>
          <w:rFonts w:asciiTheme="majorBidi" w:hAnsiTheme="majorBidi" w:cstheme="majorBidi"/>
          <w:sz w:val="20"/>
        </w:rPr>
        <w:t xml:space="preserve"> as a </w:t>
      </w:r>
      <w:r w:rsidR="005F4EAE" w:rsidRPr="005C3D97">
        <w:rPr>
          <w:rFonts w:asciiTheme="majorBidi" w:hAnsiTheme="majorBidi" w:cstheme="majorBidi"/>
          <w:sz w:val="20"/>
        </w:rPr>
        <w:t>Trans</w:t>
      </w:r>
      <w:r w:rsidR="004D1A38" w:rsidRPr="005C3D97">
        <w:rPr>
          <w:rFonts w:asciiTheme="majorBidi" w:hAnsiTheme="majorBidi" w:cstheme="majorBidi"/>
          <w:sz w:val="20"/>
        </w:rPr>
        <w:t xml:space="preserve"> membrane protein, is a member of the resistance node division (RND) family</w:t>
      </w:r>
      <w:r w:rsidR="00D245A8" w:rsidRPr="005C3D97">
        <w:rPr>
          <w:rFonts w:asciiTheme="majorBidi" w:hAnsiTheme="majorBidi" w:cstheme="majorBidi"/>
          <w:sz w:val="20"/>
        </w:rPr>
        <w:t xml:space="preserve"> </w:t>
      </w:r>
      <w:r w:rsidR="00B571B0" w:rsidRPr="005C3D97">
        <w:rPr>
          <w:rFonts w:asciiTheme="majorBidi" w:hAnsiTheme="majorBidi" w:cstheme="majorBidi"/>
          <w:sz w:val="20"/>
        </w:rPr>
        <w:t>[</w:t>
      </w:r>
      <w:r w:rsidR="004D1A38" w:rsidRPr="005C3D97">
        <w:rPr>
          <w:rFonts w:asciiTheme="majorBidi" w:hAnsiTheme="majorBidi" w:cstheme="majorBidi"/>
          <w:sz w:val="20"/>
        </w:rPr>
        <w:t>13</w:t>
      </w:r>
      <w:r w:rsidR="00B571B0" w:rsidRPr="005C3D97">
        <w:rPr>
          <w:rFonts w:asciiTheme="majorBidi" w:hAnsiTheme="majorBidi" w:cstheme="majorBidi"/>
          <w:sz w:val="20"/>
        </w:rPr>
        <w:t>]</w:t>
      </w:r>
      <w:r w:rsidR="004D1A38" w:rsidRPr="005C3D97">
        <w:rPr>
          <w:rFonts w:asciiTheme="majorBidi" w:hAnsiTheme="majorBidi" w:cstheme="majorBidi"/>
          <w:sz w:val="20"/>
        </w:rPr>
        <w:t xml:space="preserve">. It confers </w:t>
      </w:r>
      <w:r w:rsidR="004D1A38" w:rsidRPr="005C3D97">
        <w:rPr>
          <w:rFonts w:asciiTheme="majorBidi" w:hAnsiTheme="majorBidi" w:cstheme="majorBidi"/>
          <w:sz w:val="20"/>
        </w:rPr>
        <w:lastRenderedPageBreak/>
        <w:t>resistance to several antibiotics, including chloramphenicol</w:t>
      </w:r>
      <w:r w:rsidR="005F4EAE" w:rsidRPr="005C3D97">
        <w:rPr>
          <w:rFonts w:asciiTheme="majorBidi" w:hAnsiTheme="majorBidi" w:cstheme="majorBidi"/>
          <w:sz w:val="20"/>
        </w:rPr>
        <w:t xml:space="preserve">, trimethoprim, nitrofurantoin, </w:t>
      </w:r>
      <w:r w:rsidR="004D1A38" w:rsidRPr="005C3D97">
        <w:rPr>
          <w:rFonts w:asciiTheme="majorBidi" w:hAnsiTheme="majorBidi" w:cstheme="majorBidi"/>
          <w:sz w:val="20"/>
        </w:rPr>
        <w:t>quinoxalines, fluoroquinolones, chloramphenicol, and tigecycline</w:t>
      </w:r>
      <w:r w:rsidR="00D245A8" w:rsidRPr="005C3D97">
        <w:rPr>
          <w:rFonts w:asciiTheme="majorBidi" w:hAnsiTheme="majorBidi" w:cstheme="majorBidi"/>
          <w:sz w:val="20"/>
        </w:rPr>
        <w:t xml:space="preserve"> </w:t>
      </w:r>
      <w:r w:rsidR="00B571B0" w:rsidRPr="005C3D97">
        <w:rPr>
          <w:rFonts w:asciiTheme="majorBidi" w:hAnsiTheme="majorBidi" w:cstheme="majorBidi"/>
          <w:sz w:val="20"/>
        </w:rPr>
        <w:t>[</w:t>
      </w:r>
      <w:r w:rsidR="004D1A38" w:rsidRPr="005C3D97">
        <w:rPr>
          <w:rFonts w:asciiTheme="majorBidi" w:hAnsiTheme="majorBidi" w:cstheme="majorBidi"/>
          <w:sz w:val="20"/>
        </w:rPr>
        <w:t>14</w:t>
      </w:r>
      <w:r w:rsidR="00B571B0" w:rsidRPr="005C3D97">
        <w:rPr>
          <w:rFonts w:asciiTheme="majorBidi" w:hAnsiTheme="majorBidi" w:cstheme="majorBidi"/>
          <w:sz w:val="20"/>
        </w:rPr>
        <w:t>]</w:t>
      </w:r>
      <w:r w:rsidR="004D1A38" w:rsidRPr="005C3D97">
        <w:rPr>
          <w:rFonts w:asciiTheme="majorBidi" w:hAnsiTheme="majorBidi" w:cstheme="majorBidi"/>
          <w:sz w:val="20"/>
        </w:rPr>
        <w:t xml:space="preserve">. </w:t>
      </w:r>
      <w:proofErr w:type="spellStart"/>
      <w:r w:rsidR="004D1A38" w:rsidRPr="005C3D97">
        <w:rPr>
          <w:rFonts w:asciiTheme="majorBidi" w:hAnsiTheme="majorBidi" w:cstheme="majorBidi"/>
          <w:i/>
          <w:iCs/>
          <w:sz w:val="20"/>
        </w:rPr>
        <w:t>oqxAB</w:t>
      </w:r>
      <w:proofErr w:type="spellEnd"/>
      <w:r w:rsidR="004D1A38" w:rsidRPr="005C3D97">
        <w:rPr>
          <w:rFonts w:asciiTheme="majorBidi" w:hAnsiTheme="majorBidi" w:cstheme="majorBidi"/>
          <w:sz w:val="20"/>
        </w:rPr>
        <w:t xml:space="preserve"> has been progressively identified among </w:t>
      </w:r>
      <w:r w:rsidR="004D1A38" w:rsidRPr="005C3D97">
        <w:rPr>
          <w:rFonts w:asciiTheme="majorBidi" w:hAnsiTheme="majorBidi" w:cstheme="majorBidi"/>
          <w:i/>
          <w:iCs/>
          <w:sz w:val="20"/>
        </w:rPr>
        <w:t>K. pneumoniae</w:t>
      </w:r>
      <w:r w:rsidR="004D1A38" w:rsidRPr="005C3D97">
        <w:rPr>
          <w:rFonts w:asciiTheme="majorBidi" w:hAnsiTheme="majorBidi" w:cstheme="majorBidi"/>
          <w:sz w:val="20"/>
        </w:rPr>
        <w:t xml:space="preserve"> as one of the mechanisms of plasmid-mediated quinolone resistance (PMQR) </w:t>
      </w:r>
      <w:proofErr w:type="gramStart"/>
      <w:r w:rsidR="004D1A38" w:rsidRPr="005C3D97">
        <w:rPr>
          <w:rFonts w:asciiTheme="majorBidi" w:hAnsiTheme="majorBidi" w:cstheme="majorBidi"/>
          <w:sz w:val="20"/>
        </w:rPr>
        <w:t>in excess of</w:t>
      </w:r>
      <w:proofErr w:type="gramEnd"/>
      <w:r w:rsidR="004D1A38" w:rsidRPr="005C3D97">
        <w:rPr>
          <w:rFonts w:asciiTheme="majorBidi" w:hAnsiTheme="majorBidi" w:cstheme="majorBidi"/>
          <w:sz w:val="20"/>
        </w:rPr>
        <w:t xml:space="preserve"> the past periods </w:t>
      </w:r>
      <w:r w:rsidR="00B571B0" w:rsidRPr="005C3D97">
        <w:rPr>
          <w:rFonts w:asciiTheme="majorBidi" w:hAnsiTheme="majorBidi" w:cstheme="majorBidi"/>
          <w:sz w:val="20"/>
        </w:rPr>
        <w:t>[</w:t>
      </w:r>
      <w:r w:rsidR="004D1A38" w:rsidRPr="005C3D97">
        <w:rPr>
          <w:rFonts w:asciiTheme="majorBidi" w:hAnsiTheme="majorBidi" w:cstheme="majorBidi"/>
          <w:sz w:val="20"/>
        </w:rPr>
        <w:t>13, 14</w:t>
      </w:r>
      <w:r w:rsidR="00B571B0" w:rsidRPr="00581AEC">
        <w:rPr>
          <w:rFonts w:asciiTheme="majorBidi" w:hAnsiTheme="majorBidi" w:cstheme="majorBidi"/>
          <w:sz w:val="20"/>
        </w:rPr>
        <w:t>]</w:t>
      </w:r>
      <w:r w:rsidR="004928A3" w:rsidRPr="00581AEC">
        <w:rPr>
          <w:rFonts w:asciiTheme="majorBidi" w:hAnsiTheme="majorBidi" w:cstheme="majorBidi"/>
          <w:sz w:val="20"/>
        </w:rPr>
        <w:t>.</w:t>
      </w:r>
      <w:r w:rsidR="00581AEC" w:rsidRPr="00581AEC">
        <w:rPr>
          <w:rFonts w:asciiTheme="majorBidi" w:hAnsiTheme="majorBidi" w:cstheme="majorBidi"/>
          <w:sz w:val="20"/>
        </w:rPr>
        <w:t xml:space="preserve"> </w:t>
      </w:r>
      <w:r w:rsidR="004D1A38" w:rsidRPr="00581AEC">
        <w:rPr>
          <w:rFonts w:asciiTheme="majorBidi" w:hAnsiTheme="majorBidi" w:cstheme="majorBidi"/>
          <w:sz w:val="20"/>
        </w:rPr>
        <w:t xml:space="preserve">RAPD PCR (Random Amplification of Polymorphic DNA PCR) is a simple, fast, inexpensive and widely used typing method that does not require advanced knowledge of the DNA sequences of the target organism. RAPD typing has been successfully used for epidemiological analysis of many bacteria as well as for clinical isolates of </w:t>
      </w:r>
      <w:r w:rsidR="004D1A38" w:rsidRPr="00581AEC">
        <w:rPr>
          <w:rFonts w:asciiTheme="majorBidi" w:hAnsiTheme="majorBidi" w:cstheme="majorBidi"/>
          <w:i/>
          <w:iCs/>
          <w:sz w:val="20"/>
        </w:rPr>
        <w:t>K. pneumonia</w:t>
      </w:r>
      <w:r w:rsidR="00B571B0" w:rsidRPr="00581AEC">
        <w:rPr>
          <w:rFonts w:asciiTheme="majorBidi" w:hAnsiTheme="majorBidi" w:cstheme="majorBidi"/>
          <w:i/>
          <w:iCs/>
          <w:sz w:val="20"/>
          <w:rtl/>
        </w:rPr>
        <w:t xml:space="preserve"> </w:t>
      </w:r>
      <w:r w:rsidR="00B571B0" w:rsidRPr="00581AEC">
        <w:rPr>
          <w:rFonts w:asciiTheme="majorBidi" w:hAnsiTheme="majorBidi" w:cstheme="majorBidi"/>
          <w:sz w:val="20"/>
        </w:rPr>
        <w:t>[</w:t>
      </w:r>
      <w:r w:rsidR="004D1A38" w:rsidRPr="00581AEC">
        <w:rPr>
          <w:rFonts w:asciiTheme="majorBidi" w:hAnsiTheme="majorBidi" w:cstheme="majorBidi"/>
          <w:sz w:val="20"/>
        </w:rPr>
        <w:t>15</w:t>
      </w:r>
      <w:r w:rsidR="00B571B0" w:rsidRPr="00581AEC">
        <w:rPr>
          <w:rFonts w:asciiTheme="majorBidi" w:hAnsiTheme="majorBidi" w:cstheme="majorBidi"/>
          <w:sz w:val="20"/>
        </w:rPr>
        <w:t>]</w:t>
      </w:r>
      <w:r w:rsidR="004D1A38" w:rsidRPr="00581AEC">
        <w:rPr>
          <w:rFonts w:asciiTheme="majorBidi" w:hAnsiTheme="majorBidi" w:cstheme="majorBidi"/>
          <w:sz w:val="20"/>
        </w:rPr>
        <w:t xml:space="preserve">. Molecular typing and virulence analysis of clinical isolates are powerful tools that can shed light on multidrug resistant (MDR) </w:t>
      </w:r>
      <w:r w:rsidR="004D1A38" w:rsidRPr="00581AEC">
        <w:rPr>
          <w:rFonts w:asciiTheme="majorBidi" w:hAnsiTheme="majorBidi" w:cstheme="majorBidi"/>
          <w:i/>
          <w:iCs/>
          <w:sz w:val="20"/>
        </w:rPr>
        <w:t>Klebsiella pneumonia</w:t>
      </w:r>
      <w:r w:rsidR="004D1A38" w:rsidRPr="00581AEC">
        <w:rPr>
          <w:rFonts w:asciiTheme="majorBidi" w:hAnsiTheme="majorBidi" w:cstheme="majorBidi"/>
          <w:sz w:val="20"/>
        </w:rPr>
        <w:t xml:space="preserve"> infections and </w:t>
      </w:r>
      <w:proofErr w:type="gramStart"/>
      <w:r w:rsidR="004D1A38" w:rsidRPr="00581AEC">
        <w:rPr>
          <w:rFonts w:asciiTheme="majorBidi" w:hAnsiTheme="majorBidi" w:cstheme="majorBidi"/>
          <w:sz w:val="20"/>
        </w:rPr>
        <w:t>allows</w:t>
      </w:r>
      <w:proofErr w:type="gramEnd"/>
      <w:r w:rsidR="004D1A38" w:rsidRPr="00581AEC">
        <w:rPr>
          <w:rFonts w:asciiTheme="majorBidi" w:hAnsiTheme="majorBidi" w:cstheme="majorBidi"/>
          <w:sz w:val="20"/>
        </w:rPr>
        <w:t xml:space="preserve"> the identification of different strains of certain bacterial species depending on the analysis of their genetic material. Although all strains tested belong to the same species, subtle differences in the bacterial genome make it possible to distinguish between these unrelated strains and those that may have originated from a common source</w:t>
      </w:r>
      <w:r w:rsidR="00D245A8" w:rsidRPr="00581AEC">
        <w:rPr>
          <w:rFonts w:asciiTheme="majorBidi" w:hAnsiTheme="majorBidi" w:cstheme="majorBidi"/>
          <w:sz w:val="20"/>
        </w:rPr>
        <w:t xml:space="preserve"> </w:t>
      </w:r>
      <w:r w:rsidR="00C75B5D" w:rsidRPr="00581AEC">
        <w:rPr>
          <w:rFonts w:asciiTheme="majorBidi" w:hAnsiTheme="majorBidi" w:cstheme="majorBidi"/>
          <w:sz w:val="20"/>
        </w:rPr>
        <w:t>[</w:t>
      </w:r>
      <w:r w:rsidR="004D1A38" w:rsidRPr="00581AEC">
        <w:rPr>
          <w:rFonts w:asciiTheme="majorBidi" w:hAnsiTheme="majorBidi" w:cstheme="majorBidi"/>
          <w:sz w:val="20"/>
        </w:rPr>
        <w:t>16</w:t>
      </w:r>
      <w:r w:rsidR="00C75B5D" w:rsidRPr="00581AEC">
        <w:rPr>
          <w:rFonts w:asciiTheme="majorBidi" w:hAnsiTheme="majorBidi" w:cstheme="majorBidi"/>
          <w:sz w:val="20"/>
        </w:rPr>
        <w:t>]</w:t>
      </w:r>
      <w:r w:rsidR="004D1A38" w:rsidRPr="00581AEC">
        <w:rPr>
          <w:rFonts w:asciiTheme="majorBidi" w:hAnsiTheme="majorBidi" w:cstheme="majorBidi"/>
          <w:sz w:val="20"/>
        </w:rPr>
        <w:t>. typing is commonly used to identify the source and routes of bacterial infection, track the transmission of healthcare- associated pathogens, identify virulent strains, and evaluate the effectiveness of control measures</w:t>
      </w:r>
      <w:r w:rsidR="00D245A8" w:rsidRPr="00581AEC">
        <w:rPr>
          <w:rFonts w:asciiTheme="majorBidi" w:hAnsiTheme="majorBidi" w:cstheme="majorBidi"/>
          <w:sz w:val="20"/>
        </w:rPr>
        <w:t xml:space="preserve"> </w:t>
      </w:r>
      <w:r w:rsidR="00C75B5D" w:rsidRPr="00581AEC">
        <w:rPr>
          <w:rFonts w:asciiTheme="majorBidi" w:hAnsiTheme="majorBidi" w:cstheme="majorBidi"/>
          <w:sz w:val="20"/>
        </w:rPr>
        <w:t>[</w:t>
      </w:r>
      <w:r w:rsidR="004D1A38" w:rsidRPr="00581AEC">
        <w:rPr>
          <w:rFonts w:asciiTheme="majorBidi" w:hAnsiTheme="majorBidi" w:cstheme="majorBidi"/>
          <w:sz w:val="20"/>
        </w:rPr>
        <w:t>17</w:t>
      </w:r>
      <w:r w:rsidR="00C75B5D" w:rsidRPr="00581AEC">
        <w:rPr>
          <w:rFonts w:asciiTheme="majorBidi" w:hAnsiTheme="majorBidi" w:cstheme="majorBidi"/>
          <w:sz w:val="20"/>
        </w:rPr>
        <w:t>]</w:t>
      </w:r>
      <w:r w:rsidR="004D1A38" w:rsidRPr="00581AEC">
        <w:rPr>
          <w:rFonts w:asciiTheme="majorBidi" w:hAnsiTheme="majorBidi" w:cstheme="majorBidi"/>
          <w:sz w:val="20"/>
        </w:rPr>
        <w:t xml:space="preserve">. The study aimed to detect the RAPD PCR typing and examined the prevalence of the </w:t>
      </w:r>
      <w:proofErr w:type="spellStart"/>
      <w:r w:rsidR="004D1A38" w:rsidRPr="00581AEC">
        <w:rPr>
          <w:rFonts w:asciiTheme="majorBidi" w:hAnsiTheme="majorBidi" w:cstheme="majorBidi"/>
          <w:i/>
          <w:iCs/>
          <w:sz w:val="20"/>
        </w:rPr>
        <w:t>oqxA</w:t>
      </w:r>
      <w:proofErr w:type="spellEnd"/>
      <w:r w:rsidR="004D1A38" w:rsidRPr="00581AEC">
        <w:rPr>
          <w:rFonts w:asciiTheme="majorBidi" w:hAnsiTheme="majorBidi" w:cstheme="majorBidi"/>
          <w:i/>
          <w:iCs/>
          <w:sz w:val="20"/>
        </w:rPr>
        <w:t xml:space="preserve"> </w:t>
      </w:r>
      <w:r w:rsidR="004D1A38" w:rsidRPr="00581AEC">
        <w:rPr>
          <w:rFonts w:asciiTheme="majorBidi" w:hAnsiTheme="majorBidi" w:cstheme="majorBidi"/>
          <w:sz w:val="20"/>
        </w:rPr>
        <w:t xml:space="preserve">and </w:t>
      </w:r>
      <w:proofErr w:type="spellStart"/>
      <w:r w:rsidR="004D1A38" w:rsidRPr="00581AEC">
        <w:rPr>
          <w:rFonts w:asciiTheme="majorBidi" w:hAnsiTheme="majorBidi" w:cstheme="majorBidi"/>
          <w:i/>
          <w:iCs/>
          <w:sz w:val="20"/>
        </w:rPr>
        <w:t>oqxB</w:t>
      </w:r>
      <w:proofErr w:type="spellEnd"/>
      <w:r w:rsidR="004D1A38" w:rsidRPr="00581AEC">
        <w:rPr>
          <w:rFonts w:asciiTheme="majorBidi" w:hAnsiTheme="majorBidi" w:cstheme="majorBidi"/>
          <w:i/>
          <w:iCs/>
          <w:sz w:val="20"/>
        </w:rPr>
        <w:t xml:space="preserve"> </w:t>
      </w:r>
      <w:r w:rsidR="004D1A38" w:rsidRPr="00581AEC">
        <w:rPr>
          <w:rFonts w:asciiTheme="majorBidi" w:hAnsiTheme="majorBidi" w:cstheme="majorBidi"/>
          <w:sz w:val="20"/>
        </w:rPr>
        <w:t xml:space="preserve">genes and their role in the development of the multidrug resistance (MDR) phenotype in clinical isolates of </w:t>
      </w:r>
      <w:r w:rsidR="004D1A38" w:rsidRPr="00581AEC">
        <w:rPr>
          <w:rFonts w:asciiTheme="majorBidi" w:hAnsiTheme="majorBidi" w:cstheme="majorBidi"/>
          <w:i/>
          <w:iCs/>
          <w:sz w:val="20"/>
        </w:rPr>
        <w:t>Klebsiella pneumoniae</w:t>
      </w:r>
      <w:r w:rsidR="004D1A38" w:rsidRPr="00581AEC">
        <w:rPr>
          <w:rFonts w:asciiTheme="majorBidi" w:hAnsiTheme="majorBidi" w:cstheme="majorBidi"/>
          <w:sz w:val="20"/>
        </w:rPr>
        <w:t>.</w:t>
      </w:r>
    </w:p>
    <w:p w14:paraId="49D6FBD1" w14:textId="5FC9C85A" w:rsidR="00725861" w:rsidRPr="005C3D97" w:rsidRDefault="00005AB0" w:rsidP="00A14631">
      <w:pPr>
        <w:pStyle w:val="Heading2"/>
        <w:rPr>
          <w:rFonts w:asciiTheme="majorBidi" w:hAnsiTheme="majorBidi" w:cstheme="majorBidi"/>
        </w:rPr>
      </w:pPr>
      <w:r w:rsidRPr="005C3D97">
        <w:rPr>
          <w:rFonts w:asciiTheme="majorBidi" w:hAnsiTheme="majorBidi" w:cstheme="majorBidi"/>
        </w:rPr>
        <w:t>MATERIALS AND METHODS</w:t>
      </w:r>
    </w:p>
    <w:p w14:paraId="4024EC21" w14:textId="6F521DCD" w:rsidR="00155B67" w:rsidRPr="005C3D97" w:rsidRDefault="004D1A38" w:rsidP="00A14631">
      <w:pPr>
        <w:pStyle w:val="Heading2"/>
        <w:rPr>
          <w:rFonts w:asciiTheme="majorBidi" w:hAnsiTheme="majorBidi" w:cstheme="majorBidi"/>
          <w:bCs/>
        </w:rPr>
      </w:pPr>
      <w:r w:rsidRPr="005C3D97">
        <w:rPr>
          <w:rFonts w:asciiTheme="majorBidi" w:hAnsiTheme="majorBidi" w:cstheme="majorBidi"/>
        </w:rPr>
        <w:t>Samples Collection</w:t>
      </w:r>
      <w:r w:rsidR="00540407" w:rsidRPr="005C3D97">
        <w:rPr>
          <w:rFonts w:asciiTheme="majorBidi" w:hAnsiTheme="majorBidi" w:cstheme="majorBidi"/>
        </w:rPr>
        <w:t xml:space="preserve">, Isolation, Identification and </w:t>
      </w:r>
      <w:r w:rsidR="00540407" w:rsidRPr="005C3D97">
        <w:rPr>
          <w:rFonts w:asciiTheme="majorBidi" w:hAnsiTheme="majorBidi" w:cstheme="majorBidi"/>
          <w:bCs/>
        </w:rPr>
        <w:t>Microscopic Examination</w:t>
      </w:r>
    </w:p>
    <w:p w14:paraId="6383771E" w14:textId="1BC09ECD" w:rsidR="00155B67" w:rsidRPr="005C3D97" w:rsidRDefault="004D1A38" w:rsidP="00A14631">
      <w:pPr>
        <w:pStyle w:val="Paragraph"/>
        <w:rPr>
          <w:rFonts w:asciiTheme="majorBidi" w:hAnsiTheme="majorBidi" w:cstheme="majorBidi"/>
          <w:bCs/>
        </w:rPr>
      </w:pPr>
      <w:r w:rsidRPr="005C3D97">
        <w:rPr>
          <w:rFonts w:asciiTheme="majorBidi" w:hAnsiTheme="majorBidi" w:cstheme="majorBidi"/>
          <w:bCs/>
        </w:rPr>
        <w:t>Fifty clinical samples were taken from patients in Baghdad city hospitals, including (Al-</w:t>
      </w:r>
      <w:proofErr w:type="spellStart"/>
      <w:r w:rsidRPr="005C3D97">
        <w:rPr>
          <w:rFonts w:asciiTheme="majorBidi" w:hAnsiTheme="majorBidi" w:cstheme="majorBidi"/>
          <w:bCs/>
        </w:rPr>
        <w:t>Imamain</w:t>
      </w:r>
      <w:proofErr w:type="spellEnd"/>
      <w:r w:rsidRPr="005C3D97">
        <w:rPr>
          <w:rFonts w:asciiTheme="majorBidi" w:hAnsiTheme="majorBidi" w:cstheme="majorBidi"/>
          <w:bCs/>
        </w:rPr>
        <w:t xml:space="preserve"> Al-</w:t>
      </w:r>
      <w:proofErr w:type="spellStart"/>
      <w:r w:rsidRPr="005C3D97">
        <w:rPr>
          <w:rFonts w:asciiTheme="majorBidi" w:hAnsiTheme="majorBidi" w:cstheme="majorBidi"/>
          <w:bCs/>
        </w:rPr>
        <w:t>Kadhimiya</w:t>
      </w:r>
      <w:proofErr w:type="spellEnd"/>
      <w:r w:rsidRPr="005C3D97">
        <w:rPr>
          <w:rFonts w:asciiTheme="majorBidi" w:hAnsiTheme="majorBidi" w:cstheme="majorBidi"/>
          <w:bCs/>
        </w:rPr>
        <w:t xml:space="preserve"> Hospital, Al-Karkh General Hospital, Al-</w:t>
      </w:r>
      <w:proofErr w:type="spellStart"/>
      <w:r w:rsidRPr="005C3D97">
        <w:rPr>
          <w:rFonts w:asciiTheme="majorBidi" w:hAnsiTheme="majorBidi" w:cstheme="majorBidi"/>
          <w:bCs/>
        </w:rPr>
        <w:t>Kadhimiya</w:t>
      </w:r>
      <w:proofErr w:type="spellEnd"/>
      <w:r w:rsidRPr="005C3D97">
        <w:rPr>
          <w:rFonts w:asciiTheme="majorBidi" w:hAnsiTheme="majorBidi" w:cstheme="majorBidi"/>
          <w:bCs/>
        </w:rPr>
        <w:t xml:space="preserve"> Children's Hospital, Burns Hospital, and Ghazi Al-Hariri Hospital) during the period from 15/10/2023 to 25/12/2023.</w:t>
      </w:r>
    </w:p>
    <w:p w14:paraId="1A1B97A2" w14:textId="6103737B" w:rsidR="00AC5F28" w:rsidRPr="005C3D97" w:rsidRDefault="00AC5F28" w:rsidP="00A14631">
      <w:pPr>
        <w:pStyle w:val="Paragraph"/>
        <w:rPr>
          <w:rFonts w:asciiTheme="majorBidi" w:hAnsiTheme="majorBidi" w:cstheme="majorBidi"/>
          <w:bCs/>
        </w:rPr>
      </w:pPr>
      <w:r w:rsidRPr="005C3D97">
        <w:rPr>
          <w:rFonts w:asciiTheme="majorBidi" w:hAnsiTheme="majorBidi" w:cstheme="majorBidi"/>
          <w:bCs/>
        </w:rPr>
        <w:t xml:space="preserve">All samples were inoculated on MacConkey agar, Eosin blue agar, blood agar (Oxoid, UK) and </w:t>
      </w:r>
      <w:proofErr w:type="spellStart"/>
      <w:r w:rsidRPr="005C3D97">
        <w:rPr>
          <w:rFonts w:asciiTheme="majorBidi" w:hAnsiTheme="majorBidi" w:cstheme="majorBidi"/>
          <w:bCs/>
        </w:rPr>
        <w:t>CHROMaga</w:t>
      </w:r>
      <w:r w:rsidR="00643463" w:rsidRPr="005C3D97">
        <w:rPr>
          <w:rFonts w:asciiTheme="majorBidi" w:hAnsiTheme="majorBidi" w:cstheme="majorBidi"/>
          <w:bCs/>
        </w:rPr>
        <w:t>r</w:t>
      </w:r>
      <w:proofErr w:type="spellEnd"/>
      <w:r w:rsidR="00643463" w:rsidRPr="005C3D97">
        <w:rPr>
          <w:rFonts w:asciiTheme="majorBidi" w:hAnsiTheme="majorBidi" w:cstheme="majorBidi"/>
          <w:bCs/>
        </w:rPr>
        <w:t xml:space="preserve"> Orientation (Pioneer, France)</w:t>
      </w:r>
      <w:r w:rsidRPr="005C3D97">
        <w:rPr>
          <w:rFonts w:asciiTheme="majorBidi" w:hAnsiTheme="majorBidi" w:cstheme="majorBidi"/>
          <w:bCs/>
        </w:rPr>
        <w:t xml:space="preserve"> and further biochemical tests</w:t>
      </w:r>
      <w:r w:rsidR="00D245A8" w:rsidRPr="005C3D97">
        <w:rPr>
          <w:rFonts w:asciiTheme="majorBidi" w:hAnsiTheme="majorBidi" w:cstheme="majorBidi"/>
          <w:bCs/>
        </w:rPr>
        <w:t xml:space="preserve"> </w:t>
      </w:r>
      <w:r w:rsidR="00643463" w:rsidRPr="005C3D97">
        <w:rPr>
          <w:rFonts w:asciiTheme="majorBidi" w:hAnsiTheme="majorBidi" w:cstheme="majorBidi"/>
          <w:bCs/>
        </w:rPr>
        <w:t>including catalase, oxidase, indole, methyl red, Voges Proskauer, and Simon citrate (</w:t>
      </w:r>
      <w:proofErr w:type="spellStart"/>
      <w:r w:rsidR="00643463" w:rsidRPr="005C3D97">
        <w:rPr>
          <w:rFonts w:asciiTheme="majorBidi" w:hAnsiTheme="majorBidi" w:cstheme="majorBidi"/>
          <w:bCs/>
        </w:rPr>
        <w:t>IMViC</w:t>
      </w:r>
      <w:proofErr w:type="spellEnd"/>
      <w:r w:rsidR="00643463" w:rsidRPr="005C3D97">
        <w:rPr>
          <w:rFonts w:asciiTheme="majorBidi" w:hAnsiTheme="majorBidi" w:cstheme="majorBidi"/>
          <w:bCs/>
        </w:rPr>
        <w:t xml:space="preserve">) </w:t>
      </w:r>
      <w:r w:rsidR="00C75B5D" w:rsidRPr="005C3D97">
        <w:rPr>
          <w:rFonts w:asciiTheme="majorBidi" w:hAnsiTheme="majorBidi" w:cstheme="majorBidi"/>
          <w:bCs/>
        </w:rPr>
        <w:t>[</w:t>
      </w:r>
      <w:r w:rsidRPr="005C3D97">
        <w:rPr>
          <w:rFonts w:asciiTheme="majorBidi" w:hAnsiTheme="majorBidi" w:cstheme="majorBidi"/>
          <w:bCs/>
        </w:rPr>
        <w:t>18</w:t>
      </w:r>
      <w:r w:rsidR="00C75B5D" w:rsidRPr="005C3D97">
        <w:rPr>
          <w:rFonts w:asciiTheme="majorBidi" w:hAnsiTheme="majorBidi" w:cstheme="majorBidi"/>
          <w:bCs/>
        </w:rPr>
        <w:t>]</w:t>
      </w:r>
      <w:r w:rsidR="00616F3B" w:rsidRPr="005C3D97">
        <w:rPr>
          <w:rFonts w:asciiTheme="majorBidi" w:hAnsiTheme="majorBidi" w:cstheme="majorBidi"/>
        </w:rPr>
        <w:t>.</w:t>
      </w:r>
      <w:r w:rsidR="00114277" w:rsidRPr="005C3D97">
        <w:rPr>
          <w:rFonts w:asciiTheme="majorBidi" w:hAnsiTheme="majorBidi" w:cstheme="majorBidi"/>
        </w:rPr>
        <w:t xml:space="preserve"> To microscopic examination </w:t>
      </w:r>
      <w:r w:rsidR="005F4EAE" w:rsidRPr="005C3D97">
        <w:rPr>
          <w:rFonts w:asciiTheme="majorBidi" w:hAnsiTheme="majorBidi" w:cstheme="majorBidi"/>
          <w:bCs/>
        </w:rPr>
        <w:t>staining</w:t>
      </w:r>
      <w:r w:rsidRPr="005C3D97">
        <w:rPr>
          <w:rFonts w:asciiTheme="majorBidi" w:hAnsiTheme="majorBidi" w:cstheme="majorBidi"/>
          <w:bCs/>
        </w:rPr>
        <w:t xml:space="preserve"> with Gram stain</w:t>
      </w:r>
      <w:r w:rsidR="00D245A8" w:rsidRPr="005C3D97">
        <w:rPr>
          <w:rFonts w:asciiTheme="majorBidi" w:hAnsiTheme="majorBidi" w:cstheme="majorBidi"/>
          <w:bCs/>
        </w:rPr>
        <w:t xml:space="preserve"> </w:t>
      </w:r>
      <w:r w:rsidR="00C75B5D" w:rsidRPr="005C3D97">
        <w:rPr>
          <w:rFonts w:asciiTheme="majorBidi" w:hAnsiTheme="majorBidi" w:cstheme="majorBidi"/>
          <w:bCs/>
        </w:rPr>
        <w:t>[</w:t>
      </w:r>
      <w:r w:rsidRPr="005C3D97">
        <w:rPr>
          <w:rFonts w:asciiTheme="majorBidi" w:hAnsiTheme="majorBidi" w:cstheme="majorBidi"/>
          <w:bCs/>
        </w:rPr>
        <w:t>19</w:t>
      </w:r>
      <w:proofErr w:type="gramStart"/>
      <w:r w:rsidR="00C75B5D" w:rsidRPr="005C3D97">
        <w:rPr>
          <w:rFonts w:asciiTheme="majorBidi" w:hAnsiTheme="majorBidi" w:cstheme="majorBidi"/>
          <w:bCs/>
        </w:rPr>
        <w:t>]</w:t>
      </w:r>
      <w:r w:rsidR="00005AB0" w:rsidRPr="005C3D97">
        <w:rPr>
          <w:rFonts w:asciiTheme="majorBidi" w:hAnsiTheme="majorBidi" w:cstheme="majorBidi"/>
        </w:rPr>
        <w:t>.</w:t>
      </w:r>
      <w:r w:rsidRPr="005C3D97">
        <w:rPr>
          <w:rFonts w:asciiTheme="majorBidi" w:hAnsiTheme="majorBidi" w:cstheme="majorBidi"/>
          <w:bCs/>
        </w:rPr>
        <w:t>To</w:t>
      </w:r>
      <w:proofErr w:type="gramEnd"/>
      <w:r w:rsidRPr="005C3D97">
        <w:rPr>
          <w:rFonts w:asciiTheme="majorBidi" w:hAnsiTheme="majorBidi" w:cstheme="majorBidi"/>
          <w:bCs/>
        </w:rPr>
        <w:t xml:space="preserve"> final diagnosis using </w:t>
      </w:r>
      <w:r w:rsidRPr="005C3D97">
        <w:rPr>
          <w:rFonts w:asciiTheme="majorBidi" w:hAnsiTheme="majorBidi" w:cstheme="majorBidi"/>
          <w:bCs/>
          <w:i/>
          <w:iCs/>
        </w:rPr>
        <w:t>16S rRNA</w:t>
      </w:r>
      <w:r w:rsidRPr="005C3D97">
        <w:rPr>
          <w:rFonts w:asciiTheme="majorBidi" w:hAnsiTheme="majorBidi" w:cstheme="majorBidi"/>
          <w:bCs/>
        </w:rPr>
        <w:t xml:space="preserve"> gene</w:t>
      </w:r>
      <w:r w:rsidR="00D245A8" w:rsidRPr="005C3D97">
        <w:rPr>
          <w:rFonts w:asciiTheme="majorBidi" w:hAnsiTheme="majorBidi" w:cstheme="majorBidi"/>
          <w:bCs/>
        </w:rPr>
        <w:t xml:space="preserve"> </w:t>
      </w:r>
      <w:r w:rsidR="00C75B5D" w:rsidRPr="005C3D97">
        <w:rPr>
          <w:rFonts w:asciiTheme="majorBidi" w:hAnsiTheme="majorBidi" w:cstheme="majorBidi"/>
          <w:bCs/>
        </w:rPr>
        <w:t>[</w:t>
      </w:r>
      <w:r w:rsidRPr="005C3D97">
        <w:rPr>
          <w:rFonts w:asciiTheme="majorBidi" w:hAnsiTheme="majorBidi" w:cstheme="majorBidi"/>
          <w:bCs/>
        </w:rPr>
        <w:t>20</w:t>
      </w:r>
      <w:r w:rsidR="00C75B5D" w:rsidRPr="005C3D97">
        <w:rPr>
          <w:rFonts w:asciiTheme="majorBidi" w:hAnsiTheme="majorBidi" w:cstheme="majorBidi"/>
          <w:bCs/>
        </w:rPr>
        <w:t>]</w:t>
      </w:r>
      <w:r w:rsidRPr="005C3D97">
        <w:rPr>
          <w:rFonts w:asciiTheme="majorBidi" w:hAnsiTheme="majorBidi" w:cstheme="majorBidi"/>
          <w:bCs/>
        </w:rPr>
        <w:t xml:space="preserve">. </w:t>
      </w:r>
    </w:p>
    <w:p w14:paraId="0F2E2426" w14:textId="42667693" w:rsidR="00AC5F28" w:rsidRPr="005C3D97" w:rsidRDefault="00AC5F28" w:rsidP="00A14631">
      <w:pPr>
        <w:pStyle w:val="Heading2"/>
        <w:rPr>
          <w:rFonts w:asciiTheme="majorBidi" w:hAnsiTheme="majorBidi" w:cstheme="majorBidi"/>
          <w:bCs/>
        </w:rPr>
      </w:pPr>
      <w:r w:rsidRPr="005C3D97">
        <w:rPr>
          <w:rFonts w:asciiTheme="majorBidi" w:hAnsiTheme="majorBidi" w:cstheme="majorBidi"/>
          <w:bCs/>
        </w:rPr>
        <w:t>Antimicrobial Susceptibility Test</w:t>
      </w:r>
    </w:p>
    <w:p w14:paraId="0C90DEA0" w14:textId="04C0F0C9" w:rsidR="00586D98" w:rsidRPr="005C3D97" w:rsidRDefault="00586D98" w:rsidP="00A14631">
      <w:pPr>
        <w:pStyle w:val="Heading2"/>
        <w:ind w:firstLine="284"/>
        <w:jc w:val="both"/>
        <w:rPr>
          <w:rFonts w:asciiTheme="majorBidi" w:hAnsiTheme="majorBidi" w:cstheme="majorBidi"/>
          <w:b w:val="0"/>
          <w:bCs/>
          <w:sz w:val="20"/>
        </w:rPr>
      </w:pPr>
      <w:r w:rsidRPr="005C3D97">
        <w:rPr>
          <w:rFonts w:asciiTheme="majorBidi" w:hAnsiTheme="majorBidi" w:cstheme="majorBidi"/>
          <w:b w:val="0"/>
          <w:bCs/>
          <w:sz w:val="20"/>
        </w:rPr>
        <w:t>The susceptibility of bacterial isolates was detected by defining the MICs values of some antibiotics from different classes using Vitek 2 Compact System using AST-GN cards (Antibiotic sensitivity test card) containing 16 antibiotics with different concentrations distributed on 64 wells. Consequences were deduced according to CLSI [21].</w:t>
      </w:r>
    </w:p>
    <w:p w14:paraId="45C0EEF8" w14:textId="2CB94A03" w:rsidR="00AC5F28" w:rsidRPr="005C3D97" w:rsidRDefault="00AC5F28" w:rsidP="00A14631">
      <w:pPr>
        <w:pStyle w:val="Heading2"/>
        <w:rPr>
          <w:rFonts w:asciiTheme="majorBidi" w:hAnsiTheme="majorBidi" w:cstheme="majorBidi"/>
          <w:bCs/>
        </w:rPr>
      </w:pPr>
      <w:r w:rsidRPr="005C3D97">
        <w:rPr>
          <w:rFonts w:asciiTheme="majorBidi" w:hAnsiTheme="majorBidi" w:cstheme="majorBidi"/>
          <w:bCs/>
        </w:rPr>
        <w:t>DNA Extraction</w:t>
      </w:r>
    </w:p>
    <w:p w14:paraId="6C713C87" w14:textId="0A2DA0FF" w:rsidR="00F1118C" w:rsidRPr="005C3D97" w:rsidRDefault="00AC5F28" w:rsidP="00A14631">
      <w:pPr>
        <w:pStyle w:val="Paragraph"/>
        <w:rPr>
          <w:rFonts w:asciiTheme="majorBidi" w:hAnsiTheme="majorBidi" w:cstheme="majorBidi"/>
          <w:bCs/>
        </w:rPr>
      </w:pPr>
      <w:r w:rsidRPr="005C3D97">
        <w:rPr>
          <w:rFonts w:asciiTheme="majorBidi" w:hAnsiTheme="majorBidi" w:cstheme="majorBidi"/>
          <w:bCs/>
        </w:rPr>
        <w:t xml:space="preserve">Total genomic DNA was extracted from </w:t>
      </w:r>
      <w:r w:rsidRPr="005C3D97">
        <w:rPr>
          <w:rFonts w:asciiTheme="majorBidi" w:hAnsiTheme="majorBidi" w:cstheme="majorBidi"/>
          <w:bCs/>
          <w:i/>
          <w:iCs/>
        </w:rPr>
        <w:t>K. pneumoniae</w:t>
      </w:r>
      <w:r w:rsidRPr="005C3D97">
        <w:rPr>
          <w:rFonts w:asciiTheme="majorBidi" w:hAnsiTheme="majorBidi" w:cstheme="majorBidi"/>
          <w:bCs/>
        </w:rPr>
        <w:t xml:space="preserve"> isolates grown on MacConkey agar utilizing a DNA purification kit (Promega, USA) according to the manufacturer's instructions. DNA concentration was measured by </w:t>
      </w:r>
      <w:proofErr w:type="spellStart"/>
      <w:r w:rsidRPr="005C3D97">
        <w:rPr>
          <w:rFonts w:asciiTheme="majorBidi" w:hAnsiTheme="majorBidi" w:cstheme="majorBidi"/>
          <w:bCs/>
        </w:rPr>
        <w:t>Quantus</w:t>
      </w:r>
      <w:proofErr w:type="spellEnd"/>
      <w:r w:rsidRPr="005C3D97">
        <w:rPr>
          <w:rFonts w:asciiTheme="majorBidi" w:hAnsiTheme="majorBidi" w:cstheme="majorBidi"/>
          <w:bCs/>
        </w:rPr>
        <w:t xml:space="preserve"> Fluorometer and the extracted DNA was screened for </w:t>
      </w:r>
      <w:r w:rsidRPr="005C3D97">
        <w:rPr>
          <w:rFonts w:asciiTheme="majorBidi" w:hAnsiTheme="majorBidi" w:cstheme="majorBidi"/>
          <w:bCs/>
          <w:i/>
          <w:iCs/>
        </w:rPr>
        <w:t>16SrRNA</w:t>
      </w:r>
      <w:r w:rsidR="00FF7071" w:rsidRPr="005C3D97">
        <w:rPr>
          <w:rFonts w:asciiTheme="majorBidi" w:hAnsiTheme="majorBidi" w:cstheme="majorBidi"/>
          <w:bCs/>
          <w:i/>
          <w:iCs/>
        </w:rPr>
        <w:t xml:space="preserve"> (</w:t>
      </w:r>
      <w:r w:rsidR="00FF7071" w:rsidRPr="005C3D97">
        <w:rPr>
          <w:rFonts w:asciiTheme="majorBidi" w:hAnsiTheme="majorBidi" w:cstheme="majorBidi"/>
          <w:lang w:bidi="ar-IQ"/>
        </w:rPr>
        <w:t>F:</w:t>
      </w:r>
      <w:r w:rsidR="00FF7071" w:rsidRPr="005C3D97">
        <w:rPr>
          <w:rFonts w:asciiTheme="majorBidi" w:hAnsiTheme="majorBidi" w:cstheme="majorBidi"/>
        </w:rPr>
        <w:t xml:space="preserve"> GCAAGTCGAGCGGTAGCACAG , </w:t>
      </w:r>
      <w:r w:rsidR="00FF7071" w:rsidRPr="005C3D97">
        <w:rPr>
          <w:rFonts w:asciiTheme="majorBidi" w:hAnsiTheme="majorBidi" w:cstheme="majorBidi"/>
          <w:lang w:bidi="ar-IQ"/>
        </w:rPr>
        <w:t>R:</w:t>
      </w:r>
      <w:r w:rsidR="00FF7071" w:rsidRPr="005C3D97">
        <w:rPr>
          <w:rFonts w:asciiTheme="majorBidi" w:hAnsiTheme="majorBidi" w:cstheme="majorBidi"/>
        </w:rPr>
        <w:t xml:space="preserve"> CAGTGTGGCTGGTCATCCTCTC , 260 bp [22], </w:t>
      </w:r>
      <w:r w:rsidRPr="005C3D97">
        <w:rPr>
          <w:rFonts w:asciiTheme="majorBidi" w:hAnsiTheme="majorBidi" w:cstheme="majorBidi"/>
          <w:bCs/>
        </w:rPr>
        <w:t xml:space="preserve"> </w:t>
      </w:r>
      <w:proofErr w:type="spellStart"/>
      <w:r w:rsidRPr="005C3D97">
        <w:rPr>
          <w:rFonts w:asciiTheme="majorBidi" w:hAnsiTheme="majorBidi" w:cstheme="majorBidi"/>
          <w:bCs/>
          <w:i/>
          <w:iCs/>
        </w:rPr>
        <w:t>oqxA</w:t>
      </w:r>
      <w:proofErr w:type="spellEnd"/>
      <w:r w:rsidRPr="005C3D97">
        <w:rPr>
          <w:rFonts w:asciiTheme="majorBidi" w:hAnsiTheme="majorBidi" w:cstheme="majorBidi"/>
          <w:bCs/>
        </w:rPr>
        <w:t xml:space="preserve"> </w:t>
      </w:r>
      <w:r w:rsidR="00FF7071" w:rsidRPr="005C3D97">
        <w:rPr>
          <w:rFonts w:asciiTheme="majorBidi" w:hAnsiTheme="majorBidi" w:cstheme="majorBidi"/>
          <w:bCs/>
        </w:rPr>
        <w:t>(</w:t>
      </w:r>
      <w:r w:rsidR="00FF7071" w:rsidRPr="005C3D97">
        <w:rPr>
          <w:rFonts w:asciiTheme="majorBidi" w:hAnsiTheme="majorBidi" w:cstheme="majorBidi"/>
          <w:lang w:bidi="ar-IQ"/>
        </w:rPr>
        <w:t>F:</w:t>
      </w:r>
      <w:r w:rsidR="00FF7071" w:rsidRPr="005C3D97">
        <w:rPr>
          <w:rFonts w:asciiTheme="majorBidi" w:hAnsiTheme="majorBidi" w:cstheme="majorBidi"/>
        </w:rPr>
        <w:t xml:space="preserve"> CTCGGCGCGATGATGCT,</w:t>
      </w:r>
      <w:r w:rsidR="00FF7071" w:rsidRPr="005C3D97">
        <w:rPr>
          <w:rFonts w:asciiTheme="majorBidi" w:hAnsiTheme="majorBidi" w:cstheme="majorBidi"/>
          <w:lang w:bidi="ar-IQ"/>
        </w:rPr>
        <w:t xml:space="preserve"> R:</w:t>
      </w:r>
      <w:r w:rsidR="00FF7071" w:rsidRPr="005C3D97">
        <w:rPr>
          <w:rFonts w:asciiTheme="majorBidi" w:hAnsiTheme="majorBidi" w:cstheme="majorBidi"/>
        </w:rPr>
        <w:t xml:space="preserve"> CCACTCTTCACGGGAGACGA) 392bp [23] </w:t>
      </w:r>
      <w:r w:rsidR="00FF7071" w:rsidRPr="005C3D97">
        <w:rPr>
          <w:rFonts w:asciiTheme="majorBidi" w:hAnsiTheme="majorBidi" w:cstheme="majorBidi"/>
          <w:bCs/>
        </w:rPr>
        <w:t xml:space="preserve"> </w:t>
      </w:r>
      <w:r w:rsidRPr="005C3D97">
        <w:rPr>
          <w:rFonts w:asciiTheme="majorBidi" w:hAnsiTheme="majorBidi" w:cstheme="majorBidi"/>
          <w:bCs/>
        </w:rPr>
        <w:t xml:space="preserve">and </w:t>
      </w:r>
      <w:proofErr w:type="spellStart"/>
      <w:r w:rsidRPr="005C3D97">
        <w:rPr>
          <w:rFonts w:asciiTheme="majorBidi" w:hAnsiTheme="majorBidi" w:cstheme="majorBidi"/>
          <w:bCs/>
          <w:i/>
          <w:iCs/>
        </w:rPr>
        <w:t>oqxB</w:t>
      </w:r>
      <w:proofErr w:type="spellEnd"/>
      <w:r w:rsidR="00FF7071" w:rsidRPr="005C3D97">
        <w:rPr>
          <w:rFonts w:asciiTheme="majorBidi" w:hAnsiTheme="majorBidi" w:cstheme="majorBidi"/>
          <w:bCs/>
          <w:i/>
          <w:iCs/>
        </w:rPr>
        <w:t>(</w:t>
      </w:r>
      <w:r w:rsidR="00FF7071" w:rsidRPr="005C3D97">
        <w:rPr>
          <w:rFonts w:asciiTheme="majorBidi" w:hAnsiTheme="majorBidi" w:cstheme="majorBidi"/>
          <w:lang w:bidi="ar-IQ"/>
        </w:rPr>
        <w:t>F:</w:t>
      </w:r>
      <w:r w:rsidR="00FF7071" w:rsidRPr="005C3D97">
        <w:rPr>
          <w:rFonts w:asciiTheme="majorBidi" w:hAnsiTheme="majorBidi" w:cstheme="majorBidi"/>
        </w:rPr>
        <w:t xml:space="preserve"> TTCTCCCCCGGCGGGAAGTAC</w:t>
      </w:r>
      <w:r w:rsidR="00FF7071" w:rsidRPr="005C3D97">
        <w:rPr>
          <w:rFonts w:asciiTheme="majorBidi" w:hAnsiTheme="majorBidi" w:cstheme="majorBidi"/>
          <w:bCs/>
        </w:rPr>
        <w:t xml:space="preserve"> , </w:t>
      </w:r>
      <w:r w:rsidR="00FF7071" w:rsidRPr="005C3D97">
        <w:rPr>
          <w:rFonts w:asciiTheme="majorBidi" w:hAnsiTheme="majorBidi" w:cstheme="majorBidi"/>
          <w:lang w:bidi="ar-IQ"/>
        </w:rPr>
        <w:t>R:</w:t>
      </w:r>
      <w:r w:rsidR="00FF7071" w:rsidRPr="005C3D97">
        <w:rPr>
          <w:rFonts w:asciiTheme="majorBidi" w:hAnsiTheme="majorBidi" w:cstheme="majorBidi"/>
        </w:rPr>
        <w:t xml:space="preserve"> CTCGGCCATTTTGGCGCGTA</w:t>
      </w:r>
      <w:r w:rsidR="00FF7071" w:rsidRPr="005C3D97">
        <w:rPr>
          <w:rFonts w:asciiTheme="majorBidi" w:hAnsiTheme="majorBidi" w:cstheme="majorBidi"/>
          <w:bCs/>
        </w:rPr>
        <w:t xml:space="preserve"> ) 512bp [23]</w:t>
      </w:r>
      <w:r w:rsidRPr="005C3D97">
        <w:rPr>
          <w:rFonts w:asciiTheme="majorBidi" w:hAnsiTheme="majorBidi" w:cstheme="majorBidi"/>
          <w:bCs/>
        </w:rPr>
        <w:t xml:space="preserve">genes </w:t>
      </w:r>
      <w:r w:rsidR="00FF7071" w:rsidRPr="005C3D97">
        <w:rPr>
          <w:rFonts w:asciiTheme="majorBidi" w:hAnsiTheme="majorBidi" w:cstheme="majorBidi"/>
          <w:bCs/>
        </w:rPr>
        <w:t xml:space="preserve">, </w:t>
      </w:r>
      <w:r w:rsidR="00FF7071" w:rsidRPr="005C3D97">
        <w:rPr>
          <w:rFonts w:asciiTheme="majorBidi" w:hAnsiTheme="majorBidi" w:cstheme="majorBidi"/>
          <w:bCs/>
          <w:i/>
          <w:iCs/>
        </w:rPr>
        <w:t>RAPD</w:t>
      </w:r>
      <w:r w:rsidR="00FF7071" w:rsidRPr="005C3D97">
        <w:rPr>
          <w:rFonts w:asciiTheme="majorBidi" w:hAnsiTheme="majorBidi" w:cstheme="majorBidi"/>
          <w:bCs/>
        </w:rPr>
        <w:t xml:space="preserve">  (</w:t>
      </w:r>
      <w:r w:rsidR="00FF7071" w:rsidRPr="005C3D97">
        <w:rPr>
          <w:rFonts w:asciiTheme="majorBidi" w:hAnsiTheme="majorBidi" w:cstheme="majorBidi"/>
        </w:rPr>
        <w:t>AAG ACG CCG T</w:t>
      </w:r>
      <w:r w:rsidR="00FF7071" w:rsidRPr="005C3D97">
        <w:rPr>
          <w:rFonts w:asciiTheme="majorBidi" w:hAnsiTheme="majorBidi" w:cstheme="majorBidi"/>
          <w:bCs/>
        </w:rPr>
        <w:t xml:space="preserve">  ) 300-1500bp [24] </w:t>
      </w:r>
      <w:r w:rsidRPr="005C3D97">
        <w:rPr>
          <w:rFonts w:asciiTheme="majorBidi" w:hAnsiTheme="majorBidi" w:cstheme="majorBidi"/>
          <w:bCs/>
        </w:rPr>
        <w:t>utili</w:t>
      </w:r>
      <w:r w:rsidR="00F1118C" w:rsidRPr="005C3D97">
        <w:rPr>
          <w:rFonts w:asciiTheme="majorBidi" w:hAnsiTheme="majorBidi" w:cstheme="majorBidi"/>
          <w:bCs/>
        </w:rPr>
        <w:t>zing primers (</w:t>
      </w:r>
      <w:proofErr w:type="spellStart"/>
      <w:r w:rsidR="00F1118C" w:rsidRPr="005C3D97">
        <w:rPr>
          <w:rFonts w:asciiTheme="majorBidi" w:hAnsiTheme="majorBidi" w:cstheme="majorBidi"/>
          <w:bCs/>
        </w:rPr>
        <w:t>Macrogen</w:t>
      </w:r>
      <w:proofErr w:type="spellEnd"/>
      <w:r w:rsidR="00F1118C" w:rsidRPr="005C3D97">
        <w:rPr>
          <w:rFonts w:asciiTheme="majorBidi" w:hAnsiTheme="majorBidi" w:cstheme="majorBidi"/>
          <w:bCs/>
        </w:rPr>
        <w:t xml:space="preserve">, </w:t>
      </w:r>
      <w:r w:rsidR="0095151E" w:rsidRPr="005C3D97">
        <w:rPr>
          <w:rFonts w:asciiTheme="majorBidi" w:hAnsiTheme="majorBidi" w:cstheme="majorBidi"/>
          <w:bCs/>
        </w:rPr>
        <w:t>Korea)</w:t>
      </w:r>
      <w:r w:rsidRPr="005C3D97">
        <w:rPr>
          <w:rFonts w:asciiTheme="majorBidi" w:hAnsiTheme="majorBidi" w:cstheme="majorBidi"/>
          <w:bCs/>
        </w:rPr>
        <w:t xml:space="preserve">. The dried product of primers was dissolved in sterile distilled deionized water (Promega, USA) to attain 100 </w:t>
      </w:r>
      <w:proofErr w:type="spellStart"/>
      <w:r w:rsidRPr="005C3D97">
        <w:rPr>
          <w:rFonts w:asciiTheme="majorBidi" w:hAnsiTheme="majorBidi" w:cstheme="majorBidi"/>
          <w:bCs/>
        </w:rPr>
        <w:t>pmol</w:t>
      </w:r>
      <w:proofErr w:type="spellEnd"/>
      <w:r w:rsidRPr="005C3D97">
        <w:rPr>
          <w:rFonts w:asciiTheme="majorBidi" w:hAnsiTheme="majorBidi" w:cstheme="majorBidi"/>
          <w:bCs/>
        </w:rPr>
        <w:t>/</w:t>
      </w:r>
      <w:proofErr w:type="spellStart"/>
      <w:r w:rsidRPr="005C3D97">
        <w:rPr>
          <w:rFonts w:asciiTheme="majorBidi" w:hAnsiTheme="majorBidi" w:cstheme="majorBidi"/>
          <w:bCs/>
        </w:rPr>
        <w:t>μl</w:t>
      </w:r>
      <w:proofErr w:type="spellEnd"/>
      <w:r w:rsidRPr="005C3D97">
        <w:rPr>
          <w:rFonts w:asciiTheme="majorBidi" w:hAnsiTheme="majorBidi" w:cstheme="majorBidi"/>
          <w:bCs/>
        </w:rPr>
        <w:t xml:space="preserve"> and formerly diluted to 10 </w:t>
      </w:r>
      <w:proofErr w:type="spellStart"/>
      <w:r w:rsidRPr="005C3D97">
        <w:rPr>
          <w:rFonts w:asciiTheme="majorBidi" w:hAnsiTheme="majorBidi" w:cstheme="majorBidi"/>
          <w:bCs/>
        </w:rPr>
        <w:t>pmol</w:t>
      </w:r>
      <w:proofErr w:type="spellEnd"/>
      <w:r w:rsidRPr="005C3D97">
        <w:rPr>
          <w:rFonts w:asciiTheme="majorBidi" w:hAnsiTheme="majorBidi" w:cstheme="majorBidi"/>
          <w:bCs/>
        </w:rPr>
        <w:t>/</w:t>
      </w:r>
      <w:proofErr w:type="spellStart"/>
      <w:r w:rsidRPr="005C3D97">
        <w:rPr>
          <w:rFonts w:asciiTheme="majorBidi" w:hAnsiTheme="majorBidi" w:cstheme="majorBidi"/>
          <w:bCs/>
        </w:rPr>
        <w:t>μl</w:t>
      </w:r>
      <w:proofErr w:type="spellEnd"/>
      <w:r w:rsidRPr="005C3D97">
        <w:rPr>
          <w:rFonts w:asciiTheme="majorBidi" w:hAnsiTheme="majorBidi" w:cstheme="majorBidi"/>
          <w:bCs/>
        </w:rPr>
        <w:t xml:space="preserve"> rendering to the manufacturer's instructions</w:t>
      </w:r>
      <w:r w:rsidR="0095151E" w:rsidRPr="005C3D97">
        <w:rPr>
          <w:rFonts w:asciiTheme="majorBidi" w:hAnsiTheme="majorBidi" w:cstheme="majorBidi"/>
          <w:bCs/>
        </w:rPr>
        <w:t>.</w:t>
      </w:r>
      <w:r w:rsidR="005E36EE" w:rsidRPr="005C3D97">
        <w:rPr>
          <w:rFonts w:asciiTheme="majorBidi" w:hAnsiTheme="majorBidi" w:cstheme="majorBidi"/>
          <w:bCs/>
        </w:rPr>
        <w:t xml:space="preserve"> </w:t>
      </w:r>
      <w:r w:rsidR="00F1118C" w:rsidRPr="005C3D97">
        <w:rPr>
          <w:rFonts w:asciiTheme="majorBidi" w:hAnsiTheme="majorBidi" w:cstheme="majorBidi"/>
        </w:rPr>
        <w:t>Polymerase chain reaction (PCR) was done by utilizing a Thermal Cycler (USA/</w:t>
      </w:r>
      <w:proofErr w:type="spellStart"/>
      <w:r w:rsidR="00F1118C" w:rsidRPr="005C3D97">
        <w:rPr>
          <w:rFonts w:asciiTheme="majorBidi" w:hAnsiTheme="majorBidi" w:cstheme="majorBidi"/>
        </w:rPr>
        <w:t>Thermo</w:t>
      </w:r>
      <w:proofErr w:type="spellEnd"/>
      <w:r w:rsidR="00F1118C" w:rsidRPr="005C3D97">
        <w:rPr>
          <w:rFonts w:asciiTheme="majorBidi" w:hAnsiTheme="majorBidi" w:cstheme="majorBidi"/>
        </w:rPr>
        <w:t xml:space="preserve"> Fishe Scientific). The PCR reaction mi</w:t>
      </w:r>
      <w:r w:rsidR="005E36EE" w:rsidRPr="005C3D97">
        <w:rPr>
          <w:rFonts w:asciiTheme="majorBidi" w:hAnsiTheme="majorBidi" w:cstheme="majorBidi"/>
        </w:rPr>
        <w:t>xture with a final volume of 24μl contained 1</w:t>
      </w:r>
      <w:r w:rsidR="00F1118C" w:rsidRPr="005C3D97">
        <w:rPr>
          <w:rFonts w:asciiTheme="majorBidi" w:hAnsiTheme="majorBidi" w:cstheme="majorBidi"/>
        </w:rPr>
        <w:t>μl each of fo</w:t>
      </w:r>
      <w:r w:rsidR="005E36EE" w:rsidRPr="005C3D97">
        <w:rPr>
          <w:rFonts w:asciiTheme="majorBidi" w:hAnsiTheme="majorBidi" w:cstheme="majorBidi"/>
        </w:rPr>
        <w:t>rward and reverse primers, 12.5</w:t>
      </w:r>
      <w:r w:rsidR="00F1118C" w:rsidRPr="005C3D97">
        <w:rPr>
          <w:rFonts w:asciiTheme="majorBidi" w:hAnsiTheme="majorBidi" w:cstheme="majorBidi"/>
        </w:rPr>
        <w:t>μ</w:t>
      </w:r>
      <w:r w:rsidR="005E36EE" w:rsidRPr="005C3D97">
        <w:rPr>
          <w:rFonts w:asciiTheme="majorBidi" w:hAnsiTheme="majorBidi" w:cstheme="majorBidi"/>
        </w:rPr>
        <w:t>l of Go Taq Green Master Mix, 2μl of template DNA, and 7.5</w:t>
      </w:r>
      <w:r w:rsidR="00F1118C" w:rsidRPr="005C3D97">
        <w:rPr>
          <w:rFonts w:asciiTheme="majorBidi" w:hAnsiTheme="majorBidi" w:cstheme="majorBidi"/>
        </w:rPr>
        <w:t xml:space="preserve">μl of sterilized deionized distilled water </w:t>
      </w:r>
    </w:p>
    <w:p w14:paraId="103093D3" w14:textId="6C3047F6" w:rsidR="00C73C36" w:rsidRPr="005C3D97" w:rsidRDefault="005F4EAE" w:rsidP="00A14631">
      <w:pPr>
        <w:pStyle w:val="Heading2"/>
        <w:tabs>
          <w:tab w:val="left" w:pos="1665"/>
          <w:tab w:val="center" w:pos="4680"/>
        </w:tabs>
        <w:jc w:val="left"/>
        <w:rPr>
          <w:rFonts w:asciiTheme="majorBidi" w:hAnsiTheme="majorBidi" w:cstheme="majorBidi"/>
          <w:bCs/>
        </w:rPr>
      </w:pPr>
      <w:r w:rsidRPr="005C3D97">
        <w:rPr>
          <w:rFonts w:asciiTheme="majorBidi" w:hAnsiTheme="majorBidi" w:cstheme="majorBidi"/>
          <w:bCs/>
        </w:rPr>
        <w:tab/>
      </w:r>
      <w:r w:rsidRPr="005C3D97">
        <w:rPr>
          <w:rFonts w:asciiTheme="majorBidi" w:hAnsiTheme="majorBidi" w:cstheme="majorBidi"/>
          <w:bCs/>
        </w:rPr>
        <w:tab/>
      </w:r>
      <w:r w:rsidR="00C73C36" w:rsidRPr="005C3D97">
        <w:rPr>
          <w:rFonts w:asciiTheme="majorBidi" w:hAnsiTheme="majorBidi" w:cstheme="majorBidi"/>
          <w:bCs/>
        </w:rPr>
        <w:t>Agarose Gel Electrophoresis</w:t>
      </w:r>
    </w:p>
    <w:p w14:paraId="3DF512E4" w14:textId="01F82500" w:rsidR="007D4D0F" w:rsidRPr="00DF1DFC" w:rsidRDefault="005F4EAE" w:rsidP="00A14631">
      <w:pPr>
        <w:pStyle w:val="Paragraph"/>
        <w:rPr>
          <w:rFonts w:asciiTheme="majorBidi" w:hAnsiTheme="majorBidi" w:cstheme="majorBidi"/>
          <w:szCs w:val="16"/>
        </w:rPr>
      </w:pPr>
      <w:r w:rsidRPr="005C3D97">
        <w:rPr>
          <w:rFonts w:asciiTheme="majorBidi" w:hAnsiTheme="majorBidi" w:cstheme="majorBidi"/>
          <w:bCs/>
          <w:szCs w:val="16"/>
        </w:rPr>
        <w:t xml:space="preserve"> </w:t>
      </w:r>
      <w:r w:rsidR="00C73C36" w:rsidRPr="005C3D97">
        <w:rPr>
          <w:rFonts w:asciiTheme="majorBidi" w:hAnsiTheme="majorBidi" w:cstheme="majorBidi"/>
          <w:bCs/>
          <w:szCs w:val="16"/>
        </w:rPr>
        <w:t xml:space="preserve">The PCR amplification </w:t>
      </w:r>
      <w:r w:rsidRPr="005C3D97">
        <w:rPr>
          <w:rFonts w:asciiTheme="majorBidi" w:hAnsiTheme="majorBidi" w:cstheme="majorBidi"/>
          <w:bCs/>
          <w:szCs w:val="16"/>
        </w:rPr>
        <w:t>of (</w:t>
      </w:r>
      <w:r w:rsidRPr="005C3D97">
        <w:rPr>
          <w:rFonts w:asciiTheme="majorBidi" w:hAnsiTheme="majorBidi" w:cstheme="majorBidi"/>
          <w:bCs/>
          <w:i/>
          <w:iCs/>
          <w:szCs w:val="16"/>
        </w:rPr>
        <w:t>16S rRNA</w:t>
      </w:r>
      <w:r w:rsidRPr="005C3D97">
        <w:rPr>
          <w:rFonts w:asciiTheme="majorBidi" w:hAnsiTheme="majorBidi" w:cstheme="majorBidi"/>
          <w:bCs/>
          <w:szCs w:val="16"/>
        </w:rPr>
        <w:t xml:space="preserve">, </w:t>
      </w:r>
      <w:proofErr w:type="spellStart"/>
      <w:r w:rsidRPr="005C3D97">
        <w:rPr>
          <w:rFonts w:asciiTheme="majorBidi" w:hAnsiTheme="majorBidi" w:cstheme="majorBidi"/>
          <w:bCs/>
          <w:i/>
          <w:iCs/>
          <w:szCs w:val="16"/>
        </w:rPr>
        <w:t>oqxA</w:t>
      </w:r>
      <w:proofErr w:type="spellEnd"/>
      <w:r w:rsidRPr="005C3D97">
        <w:rPr>
          <w:rFonts w:asciiTheme="majorBidi" w:hAnsiTheme="majorBidi" w:cstheme="majorBidi"/>
          <w:bCs/>
          <w:szCs w:val="16"/>
        </w:rPr>
        <w:t xml:space="preserve"> and </w:t>
      </w:r>
      <w:proofErr w:type="spellStart"/>
      <w:r w:rsidRPr="005C3D97">
        <w:rPr>
          <w:rFonts w:asciiTheme="majorBidi" w:hAnsiTheme="majorBidi" w:cstheme="majorBidi"/>
          <w:bCs/>
          <w:i/>
          <w:iCs/>
          <w:szCs w:val="16"/>
        </w:rPr>
        <w:t>oqxB</w:t>
      </w:r>
      <w:proofErr w:type="spellEnd"/>
      <w:r w:rsidRPr="005C3D97">
        <w:rPr>
          <w:rFonts w:asciiTheme="majorBidi" w:hAnsiTheme="majorBidi" w:cstheme="majorBidi"/>
          <w:bCs/>
          <w:szCs w:val="16"/>
        </w:rPr>
        <w:t xml:space="preserve">) genes </w:t>
      </w:r>
      <w:r w:rsidR="00C73C36" w:rsidRPr="005C3D97">
        <w:rPr>
          <w:rFonts w:asciiTheme="majorBidi" w:hAnsiTheme="majorBidi" w:cstheme="majorBidi"/>
          <w:bCs/>
          <w:szCs w:val="16"/>
        </w:rPr>
        <w:t>was confirmed by electrophoresis at 100 V for 60 min on 2% agarose gel using a ladder (100-1500 base pairs) as a molecular weight marker. A UV-Transilluminator was utilized to monitor the PCR product in 320 nm UV light</w:t>
      </w:r>
      <w:r w:rsidR="00E86926" w:rsidRPr="005C3D97">
        <w:rPr>
          <w:rFonts w:asciiTheme="majorBidi" w:hAnsiTheme="majorBidi" w:cstheme="majorBidi"/>
          <w:bCs/>
          <w:szCs w:val="16"/>
        </w:rPr>
        <w:t xml:space="preserve"> </w:t>
      </w:r>
      <w:r w:rsidR="00C75B5D" w:rsidRPr="005C3D97">
        <w:rPr>
          <w:rFonts w:asciiTheme="majorBidi" w:hAnsiTheme="majorBidi" w:cstheme="majorBidi"/>
          <w:bCs/>
          <w:szCs w:val="16"/>
        </w:rPr>
        <w:t>[</w:t>
      </w:r>
      <w:r w:rsidR="00C73C36" w:rsidRPr="005C3D97">
        <w:rPr>
          <w:rFonts w:asciiTheme="majorBidi" w:hAnsiTheme="majorBidi" w:cstheme="majorBidi"/>
          <w:bCs/>
          <w:szCs w:val="16"/>
        </w:rPr>
        <w:t>25</w:t>
      </w:r>
      <w:r w:rsidR="00C75B5D" w:rsidRPr="005C3D97">
        <w:rPr>
          <w:rFonts w:asciiTheme="majorBidi" w:hAnsiTheme="majorBidi" w:cstheme="majorBidi"/>
          <w:bCs/>
          <w:szCs w:val="16"/>
        </w:rPr>
        <w:t>]</w:t>
      </w:r>
      <w:r w:rsidR="00C73C36" w:rsidRPr="005C3D97">
        <w:rPr>
          <w:rFonts w:asciiTheme="majorBidi" w:hAnsiTheme="majorBidi" w:cstheme="majorBidi"/>
          <w:szCs w:val="16"/>
        </w:rPr>
        <w:t>.</w:t>
      </w:r>
      <w:r w:rsidRPr="005C3D97">
        <w:rPr>
          <w:rFonts w:asciiTheme="majorBidi" w:hAnsiTheme="majorBidi" w:cstheme="majorBidi"/>
          <w:szCs w:val="16"/>
        </w:rPr>
        <w:t xml:space="preserve"> Table 1</w:t>
      </w:r>
    </w:p>
    <w:p w14:paraId="1AD5EF60" w14:textId="77777777" w:rsidR="00916C82" w:rsidRPr="005C3D97" w:rsidRDefault="00916C82" w:rsidP="00A14631">
      <w:pPr>
        <w:pStyle w:val="Paragraph"/>
        <w:ind w:firstLine="0"/>
        <w:rPr>
          <w:rFonts w:asciiTheme="majorBidi" w:hAnsiTheme="majorBidi" w:cstheme="majorBidi"/>
          <w:szCs w:val="16"/>
          <w:lang w:bidi="ar-IQ"/>
        </w:rPr>
      </w:pPr>
    </w:p>
    <w:p w14:paraId="050AD191" w14:textId="77777777" w:rsidR="00A42E1F" w:rsidRDefault="00A42E1F" w:rsidP="00A14631">
      <w:pPr>
        <w:pStyle w:val="Paragraph"/>
        <w:ind w:firstLine="0"/>
        <w:jc w:val="center"/>
        <w:rPr>
          <w:rFonts w:asciiTheme="majorBidi" w:hAnsiTheme="majorBidi" w:cstheme="majorBidi"/>
          <w:b/>
          <w:sz w:val="18"/>
          <w:szCs w:val="18"/>
        </w:rPr>
      </w:pPr>
    </w:p>
    <w:p w14:paraId="1C4CF771" w14:textId="0B16505E" w:rsidR="00916C82" w:rsidRPr="00A42E1F" w:rsidRDefault="00C73C36" w:rsidP="00A42E1F">
      <w:pPr>
        <w:pStyle w:val="Paragraph"/>
        <w:ind w:firstLine="0"/>
        <w:jc w:val="center"/>
        <w:rPr>
          <w:rFonts w:asciiTheme="majorBidi" w:hAnsiTheme="majorBidi" w:cstheme="majorBidi"/>
          <w:sz w:val="18"/>
          <w:szCs w:val="18"/>
        </w:rPr>
      </w:pPr>
      <w:r w:rsidRPr="00AA56B3">
        <w:rPr>
          <w:rFonts w:asciiTheme="majorBidi" w:hAnsiTheme="majorBidi" w:cstheme="majorBidi"/>
          <w:b/>
          <w:sz w:val="18"/>
          <w:szCs w:val="18"/>
        </w:rPr>
        <w:lastRenderedPageBreak/>
        <w:t xml:space="preserve">TABLE </w:t>
      </w:r>
      <w:r w:rsidR="005F4EAE" w:rsidRPr="00AA56B3">
        <w:rPr>
          <w:rFonts w:asciiTheme="majorBidi" w:hAnsiTheme="majorBidi" w:cstheme="majorBidi"/>
          <w:b/>
          <w:sz w:val="18"/>
          <w:szCs w:val="18"/>
        </w:rPr>
        <w:t>1</w:t>
      </w:r>
      <w:r w:rsidRPr="00AA56B3">
        <w:rPr>
          <w:rFonts w:asciiTheme="majorBidi" w:hAnsiTheme="majorBidi" w:cstheme="majorBidi"/>
          <w:b/>
          <w:sz w:val="18"/>
          <w:szCs w:val="18"/>
        </w:rPr>
        <w:t xml:space="preserve">. </w:t>
      </w:r>
      <w:r w:rsidRPr="00AA56B3">
        <w:rPr>
          <w:rFonts w:asciiTheme="majorBidi" w:hAnsiTheme="majorBidi" w:cstheme="majorBidi"/>
          <w:sz w:val="18"/>
          <w:szCs w:val="18"/>
        </w:rPr>
        <w:t>Polymerase chain reaction mixture (PCR Products).</w:t>
      </w:r>
    </w:p>
    <w:tbl>
      <w:tblPr>
        <w:tblStyle w:val="TableGrid"/>
        <w:tblW w:w="500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1702"/>
        <w:gridCol w:w="708"/>
        <w:gridCol w:w="1275"/>
        <w:gridCol w:w="1135"/>
        <w:gridCol w:w="1283"/>
      </w:tblGrid>
      <w:tr w:rsidR="005F4EAE" w:rsidRPr="005C3D97" w14:paraId="2A25E008" w14:textId="25A26403" w:rsidTr="005F4EAE">
        <w:tc>
          <w:tcPr>
            <w:tcW w:w="757" w:type="pct"/>
            <w:tcBorders>
              <w:top w:val="single" w:sz="4" w:space="0" w:color="auto"/>
              <w:left w:val="nil"/>
              <w:bottom w:val="single" w:sz="4" w:space="0" w:color="auto"/>
              <w:right w:val="nil"/>
            </w:tcBorders>
            <w:hideMark/>
          </w:tcPr>
          <w:p w14:paraId="37FB7D02" w14:textId="77777777"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Pr>
              <w:t>PCR Steps</w:t>
            </w:r>
          </w:p>
        </w:tc>
        <w:tc>
          <w:tcPr>
            <w:tcW w:w="984" w:type="pct"/>
            <w:tcBorders>
              <w:top w:val="single" w:sz="4" w:space="0" w:color="auto"/>
              <w:left w:val="nil"/>
              <w:bottom w:val="single" w:sz="4" w:space="0" w:color="auto"/>
              <w:right w:val="nil"/>
            </w:tcBorders>
            <w:hideMark/>
          </w:tcPr>
          <w:p w14:paraId="51E98431" w14:textId="77777777" w:rsidR="00114277" w:rsidRPr="005C3D97" w:rsidRDefault="00114277" w:rsidP="00A14631">
            <w:pPr>
              <w:tabs>
                <w:tab w:val="left" w:pos="2523"/>
              </w:tabs>
              <w:jc w:val="center"/>
              <w:rPr>
                <w:rFonts w:asciiTheme="majorBidi" w:hAnsiTheme="majorBidi" w:cstheme="majorBidi"/>
                <w:sz w:val="20"/>
              </w:rPr>
            </w:pPr>
            <w:r w:rsidRPr="005C3D97">
              <w:rPr>
                <w:rFonts w:asciiTheme="majorBidi" w:hAnsiTheme="majorBidi" w:cstheme="majorBidi"/>
                <w:sz w:val="20"/>
              </w:rPr>
              <w:t>Temperature (°C)</w:t>
            </w:r>
          </w:p>
          <w:p w14:paraId="45F794F6" w14:textId="6C07FEED" w:rsidR="005C3D9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bCs/>
                <w:i/>
                <w:iCs/>
                <w:sz w:val="20"/>
              </w:rPr>
              <w:t>16S rRNA</w:t>
            </w:r>
          </w:p>
          <w:p w14:paraId="09CBC55C" w14:textId="77777777" w:rsidR="00114277" w:rsidRPr="005C3D97" w:rsidRDefault="00114277" w:rsidP="00A14631">
            <w:pPr>
              <w:jc w:val="center"/>
              <w:rPr>
                <w:rFonts w:asciiTheme="majorBidi" w:hAnsiTheme="majorBidi" w:cstheme="majorBidi"/>
                <w:sz w:val="20"/>
                <w:lang w:bidi="ar-IQ"/>
              </w:rPr>
            </w:pPr>
          </w:p>
        </w:tc>
        <w:tc>
          <w:tcPr>
            <w:tcW w:w="909" w:type="pct"/>
            <w:tcBorders>
              <w:top w:val="single" w:sz="4" w:space="0" w:color="auto"/>
              <w:left w:val="nil"/>
              <w:bottom w:val="single" w:sz="4" w:space="0" w:color="auto"/>
              <w:right w:val="nil"/>
            </w:tcBorders>
          </w:tcPr>
          <w:p w14:paraId="62065030" w14:textId="77777777" w:rsidR="00114277" w:rsidRPr="005C3D97" w:rsidRDefault="00114277" w:rsidP="00A14631">
            <w:pPr>
              <w:tabs>
                <w:tab w:val="left" w:pos="2523"/>
              </w:tabs>
              <w:jc w:val="center"/>
              <w:rPr>
                <w:rFonts w:asciiTheme="majorBidi" w:hAnsiTheme="majorBidi" w:cstheme="majorBidi"/>
                <w:sz w:val="20"/>
              </w:rPr>
            </w:pPr>
            <w:r w:rsidRPr="005C3D97">
              <w:rPr>
                <w:rFonts w:asciiTheme="majorBidi" w:hAnsiTheme="majorBidi" w:cstheme="majorBidi"/>
                <w:sz w:val="20"/>
              </w:rPr>
              <w:t>Temperature (°C)</w:t>
            </w:r>
          </w:p>
          <w:p w14:paraId="095B8EF8" w14:textId="273F3BDF" w:rsidR="00114277" w:rsidRPr="005C3D97" w:rsidRDefault="00114277" w:rsidP="00A14631">
            <w:pPr>
              <w:tabs>
                <w:tab w:val="left" w:pos="2523"/>
              </w:tabs>
              <w:jc w:val="center"/>
              <w:rPr>
                <w:rFonts w:asciiTheme="majorBidi" w:hAnsiTheme="majorBidi" w:cstheme="majorBidi"/>
                <w:sz w:val="20"/>
              </w:rPr>
            </w:pPr>
            <w:proofErr w:type="spellStart"/>
            <w:r w:rsidRPr="005C3D97">
              <w:rPr>
                <w:rFonts w:asciiTheme="majorBidi" w:hAnsiTheme="majorBidi" w:cstheme="majorBidi"/>
                <w:i/>
                <w:iCs/>
                <w:sz w:val="20"/>
              </w:rPr>
              <w:t>oqxA</w:t>
            </w:r>
            <w:proofErr w:type="spellEnd"/>
            <w:r w:rsidRPr="005C3D97">
              <w:rPr>
                <w:rFonts w:asciiTheme="majorBidi" w:hAnsiTheme="majorBidi" w:cstheme="majorBidi"/>
                <w:i/>
                <w:iCs/>
                <w:sz w:val="20"/>
              </w:rPr>
              <w:t xml:space="preserve"> and </w:t>
            </w:r>
            <w:proofErr w:type="spellStart"/>
            <w:r w:rsidRPr="005C3D97">
              <w:rPr>
                <w:rFonts w:asciiTheme="majorBidi" w:hAnsiTheme="majorBidi" w:cstheme="majorBidi"/>
                <w:i/>
                <w:iCs/>
                <w:sz w:val="20"/>
              </w:rPr>
              <w:t>oqxB</w:t>
            </w:r>
            <w:proofErr w:type="spellEnd"/>
          </w:p>
        </w:tc>
        <w:tc>
          <w:tcPr>
            <w:tcW w:w="378" w:type="pct"/>
            <w:tcBorders>
              <w:top w:val="single" w:sz="4" w:space="0" w:color="auto"/>
              <w:left w:val="nil"/>
              <w:bottom w:val="single" w:sz="4" w:space="0" w:color="auto"/>
              <w:right w:val="nil"/>
            </w:tcBorders>
            <w:hideMark/>
          </w:tcPr>
          <w:p w14:paraId="58413953" w14:textId="77777777" w:rsidR="00114277" w:rsidRPr="005C3D97" w:rsidRDefault="00114277" w:rsidP="00A14631">
            <w:pPr>
              <w:tabs>
                <w:tab w:val="left" w:pos="2523"/>
              </w:tabs>
              <w:jc w:val="center"/>
              <w:rPr>
                <w:rFonts w:asciiTheme="majorBidi" w:hAnsiTheme="majorBidi" w:cstheme="majorBidi"/>
                <w:sz w:val="20"/>
              </w:rPr>
            </w:pPr>
            <w:r w:rsidRPr="005C3D97">
              <w:rPr>
                <w:rFonts w:asciiTheme="majorBidi" w:hAnsiTheme="majorBidi" w:cstheme="majorBidi"/>
                <w:sz w:val="20"/>
              </w:rPr>
              <w:t>Time</w:t>
            </w:r>
          </w:p>
          <w:p w14:paraId="461A7609" w14:textId="594119E4"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bCs/>
                <w:i/>
                <w:iCs/>
                <w:sz w:val="20"/>
              </w:rPr>
              <w:t>16S rRNA</w:t>
            </w:r>
          </w:p>
        </w:tc>
        <w:tc>
          <w:tcPr>
            <w:tcW w:w="681" w:type="pct"/>
            <w:tcBorders>
              <w:top w:val="single" w:sz="4" w:space="0" w:color="auto"/>
              <w:left w:val="nil"/>
              <w:bottom w:val="single" w:sz="4" w:space="0" w:color="auto"/>
              <w:right w:val="nil"/>
            </w:tcBorders>
          </w:tcPr>
          <w:p w14:paraId="7BF18B88" w14:textId="77777777" w:rsidR="00114277" w:rsidRPr="005C3D97" w:rsidRDefault="00114277" w:rsidP="00A14631">
            <w:pPr>
              <w:tabs>
                <w:tab w:val="left" w:pos="2523"/>
              </w:tabs>
              <w:jc w:val="center"/>
              <w:rPr>
                <w:rFonts w:asciiTheme="majorBidi" w:hAnsiTheme="majorBidi" w:cstheme="majorBidi"/>
                <w:sz w:val="20"/>
              </w:rPr>
            </w:pPr>
            <w:r w:rsidRPr="005C3D97">
              <w:rPr>
                <w:rFonts w:asciiTheme="majorBidi" w:hAnsiTheme="majorBidi" w:cstheme="majorBidi"/>
                <w:sz w:val="20"/>
              </w:rPr>
              <w:t>Time</w:t>
            </w:r>
          </w:p>
          <w:p w14:paraId="7109D962" w14:textId="4345F9F9" w:rsidR="00114277" w:rsidRPr="005C3D97" w:rsidRDefault="00114277" w:rsidP="00A14631">
            <w:pPr>
              <w:tabs>
                <w:tab w:val="left" w:pos="2523"/>
              </w:tabs>
              <w:jc w:val="center"/>
              <w:rPr>
                <w:rFonts w:asciiTheme="majorBidi" w:hAnsiTheme="majorBidi" w:cstheme="majorBidi"/>
                <w:sz w:val="20"/>
              </w:rPr>
            </w:pPr>
            <w:proofErr w:type="spellStart"/>
            <w:r w:rsidRPr="005C3D97">
              <w:rPr>
                <w:rFonts w:asciiTheme="majorBidi" w:hAnsiTheme="majorBidi" w:cstheme="majorBidi"/>
                <w:i/>
                <w:iCs/>
                <w:sz w:val="20"/>
              </w:rPr>
              <w:t>oqxA</w:t>
            </w:r>
            <w:proofErr w:type="spellEnd"/>
            <w:r w:rsidRPr="005C3D97">
              <w:rPr>
                <w:rFonts w:asciiTheme="majorBidi" w:hAnsiTheme="majorBidi" w:cstheme="majorBidi"/>
                <w:i/>
                <w:iCs/>
                <w:sz w:val="20"/>
              </w:rPr>
              <w:t xml:space="preserve"> and </w:t>
            </w:r>
            <w:proofErr w:type="spellStart"/>
            <w:r w:rsidRPr="005C3D97">
              <w:rPr>
                <w:rFonts w:asciiTheme="majorBidi" w:hAnsiTheme="majorBidi" w:cstheme="majorBidi"/>
                <w:i/>
                <w:iCs/>
                <w:sz w:val="20"/>
              </w:rPr>
              <w:t>oqxB</w:t>
            </w:r>
            <w:proofErr w:type="spellEnd"/>
          </w:p>
        </w:tc>
        <w:tc>
          <w:tcPr>
            <w:tcW w:w="606" w:type="pct"/>
            <w:tcBorders>
              <w:top w:val="single" w:sz="4" w:space="0" w:color="auto"/>
              <w:left w:val="nil"/>
              <w:bottom w:val="single" w:sz="4" w:space="0" w:color="auto"/>
              <w:right w:val="nil"/>
            </w:tcBorders>
            <w:hideMark/>
          </w:tcPr>
          <w:p w14:paraId="1716805C" w14:textId="77777777" w:rsidR="00114277" w:rsidRPr="005C3D97" w:rsidRDefault="00114277" w:rsidP="00A14631">
            <w:pPr>
              <w:tabs>
                <w:tab w:val="left" w:pos="2523"/>
              </w:tabs>
              <w:jc w:val="center"/>
              <w:rPr>
                <w:rFonts w:asciiTheme="majorBidi" w:hAnsiTheme="majorBidi" w:cstheme="majorBidi"/>
                <w:sz w:val="20"/>
              </w:rPr>
            </w:pPr>
            <w:proofErr w:type="spellStart"/>
            <w:r w:rsidRPr="005C3D97">
              <w:rPr>
                <w:rFonts w:asciiTheme="majorBidi" w:hAnsiTheme="majorBidi" w:cstheme="majorBidi"/>
                <w:sz w:val="20"/>
              </w:rPr>
              <w:t>Cyclesʼ</w:t>
            </w:r>
            <w:proofErr w:type="spellEnd"/>
            <w:r w:rsidRPr="005C3D97">
              <w:rPr>
                <w:rFonts w:asciiTheme="majorBidi" w:hAnsiTheme="majorBidi" w:cstheme="majorBidi"/>
                <w:sz w:val="20"/>
              </w:rPr>
              <w:t xml:space="preserve"> Number</w:t>
            </w:r>
          </w:p>
          <w:p w14:paraId="002F1ADA" w14:textId="554718B2"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bCs/>
                <w:i/>
                <w:iCs/>
                <w:sz w:val="20"/>
              </w:rPr>
              <w:t>16S rRNA</w:t>
            </w:r>
          </w:p>
        </w:tc>
        <w:tc>
          <w:tcPr>
            <w:tcW w:w="686" w:type="pct"/>
            <w:tcBorders>
              <w:top w:val="single" w:sz="4" w:space="0" w:color="auto"/>
              <w:left w:val="nil"/>
              <w:bottom w:val="single" w:sz="4" w:space="0" w:color="auto"/>
              <w:right w:val="nil"/>
            </w:tcBorders>
          </w:tcPr>
          <w:p w14:paraId="6DC95263" w14:textId="77777777" w:rsidR="00114277" w:rsidRPr="005C3D97" w:rsidRDefault="00114277" w:rsidP="00A14631">
            <w:pPr>
              <w:tabs>
                <w:tab w:val="left" w:pos="2523"/>
              </w:tabs>
              <w:jc w:val="center"/>
              <w:rPr>
                <w:rFonts w:asciiTheme="majorBidi" w:hAnsiTheme="majorBidi" w:cstheme="majorBidi"/>
                <w:sz w:val="20"/>
              </w:rPr>
            </w:pPr>
            <w:proofErr w:type="spellStart"/>
            <w:r w:rsidRPr="005C3D97">
              <w:rPr>
                <w:rFonts w:asciiTheme="majorBidi" w:hAnsiTheme="majorBidi" w:cstheme="majorBidi"/>
                <w:sz w:val="20"/>
              </w:rPr>
              <w:t>Cyclesʼ</w:t>
            </w:r>
            <w:proofErr w:type="spellEnd"/>
            <w:r w:rsidRPr="005C3D97">
              <w:rPr>
                <w:rFonts w:asciiTheme="majorBidi" w:hAnsiTheme="majorBidi" w:cstheme="majorBidi"/>
                <w:sz w:val="20"/>
              </w:rPr>
              <w:t xml:space="preserve"> Number</w:t>
            </w:r>
          </w:p>
          <w:p w14:paraId="47E60374" w14:textId="5F6AA0EA" w:rsidR="00114277" w:rsidRPr="005C3D97" w:rsidRDefault="00114277" w:rsidP="00A14631">
            <w:pPr>
              <w:tabs>
                <w:tab w:val="left" w:pos="2523"/>
              </w:tabs>
              <w:jc w:val="center"/>
              <w:rPr>
                <w:rFonts w:asciiTheme="majorBidi" w:hAnsiTheme="majorBidi" w:cstheme="majorBidi"/>
                <w:sz w:val="20"/>
              </w:rPr>
            </w:pPr>
            <w:proofErr w:type="spellStart"/>
            <w:r w:rsidRPr="005C3D97">
              <w:rPr>
                <w:rFonts w:asciiTheme="majorBidi" w:hAnsiTheme="majorBidi" w:cstheme="majorBidi"/>
                <w:i/>
                <w:iCs/>
                <w:sz w:val="20"/>
              </w:rPr>
              <w:t>oqxA</w:t>
            </w:r>
            <w:proofErr w:type="spellEnd"/>
            <w:r w:rsidRPr="005C3D97">
              <w:rPr>
                <w:rFonts w:asciiTheme="majorBidi" w:hAnsiTheme="majorBidi" w:cstheme="majorBidi"/>
                <w:i/>
                <w:iCs/>
                <w:sz w:val="20"/>
              </w:rPr>
              <w:t xml:space="preserve"> and </w:t>
            </w:r>
            <w:proofErr w:type="spellStart"/>
            <w:r w:rsidRPr="005C3D97">
              <w:rPr>
                <w:rFonts w:asciiTheme="majorBidi" w:hAnsiTheme="majorBidi" w:cstheme="majorBidi"/>
                <w:i/>
                <w:iCs/>
                <w:sz w:val="20"/>
              </w:rPr>
              <w:t>oqxB</w:t>
            </w:r>
            <w:proofErr w:type="spellEnd"/>
          </w:p>
        </w:tc>
      </w:tr>
      <w:tr w:rsidR="005F4EAE" w:rsidRPr="005C3D97" w14:paraId="1BA42EFE" w14:textId="6F8896D8" w:rsidTr="005F4EAE">
        <w:tc>
          <w:tcPr>
            <w:tcW w:w="757" w:type="pct"/>
            <w:tcBorders>
              <w:top w:val="single" w:sz="4" w:space="0" w:color="auto"/>
              <w:left w:val="nil"/>
              <w:bottom w:val="nil"/>
              <w:right w:val="nil"/>
            </w:tcBorders>
            <w:hideMark/>
          </w:tcPr>
          <w:p w14:paraId="0A106DA6" w14:textId="77777777"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Pr>
              <w:t>Initial Denaturation</w:t>
            </w:r>
          </w:p>
        </w:tc>
        <w:tc>
          <w:tcPr>
            <w:tcW w:w="984" w:type="pct"/>
            <w:tcBorders>
              <w:top w:val="single" w:sz="4" w:space="0" w:color="auto"/>
              <w:left w:val="nil"/>
              <w:bottom w:val="nil"/>
              <w:right w:val="nil"/>
            </w:tcBorders>
            <w:hideMark/>
          </w:tcPr>
          <w:p w14:paraId="334B39E5" w14:textId="77777777"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95</w:t>
            </w:r>
          </w:p>
        </w:tc>
        <w:tc>
          <w:tcPr>
            <w:tcW w:w="909" w:type="pct"/>
            <w:tcBorders>
              <w:top w:val="single" w:sz="4" w:space="0" w:color="auto"/>
              <w:left w:val="nil"/>
              <w:bottom w:val="nil"/>
              <w:right w:val="nil"/>
            </w:tcBorders>
          </w:tcPr>
          <w:p w14:paraId="45BDDA19" w14:textId="25A86210" w:rsidR="00114277" w:rsidRPr="005C3D97" w:rsidRDefault="00114277" w:rsidP="00A14631">
            <w:pPr>
              <w:jc w:val="center"/>
              <w:rPr>
                <w:rFonts w:asciiTheme="majorBidi" w:hAnsiTheme="majorBidi" w:cstheme="majorBidi"/>
                <w:sz w:val="20"/>
                <w:rtl/>
                <w:lang w:bidi="ar-IQ"/>
              </w:rPr>
            </w:pPr>
            <w:r w:rsidRPr="005C3D97">
              <w:rPr>
                <w:rFonts w:asciiTheme="majorBidi" w:hAnsiTheme="majorBidi" w:cstheme="majorBidi"/>
                <w:sz w:val="20"/>
                <w:rtl/>
                <w:lang w:bidi="ar-IQ"/>
              </w:rPr>
              <w:t>95</w:t>
            </w:r>
          </w:p>
        </w:tc>
        <w:tc>
          <w:tcPr>
            <w:tcW w:w="378" w:type="pct"/>
            <w:tcBorders>
              <w:top w:val="single" w:sz="4" w:space="0" w:color="auto"/>
              <w:left w:val="nil"/>
              <w:bottom w:val="nil"/>
              <w:right w:val="nil"/>
            </w:tcBorders>
            <w:hideMark/>
          </w:tcPr>
          <w:p w14:paraId="67F8CFB2" w14:textId="1BFF0BE8" w:rsidR="00114277" w:rsidRPr="005C3D97" w:rsidRDefault="00114277" w:rsidP="00A14631">
            <w:pPr>
              <w:jc w:val="center"/>
              <w:rPr>
                <w:rFonts w:asciiTheme="majorBidi" w:hAnsiTheme="majorBidi" w:cstheme="majorBidi"/>
                <w:sz w:val="20"/>
                <w:lang w:bidi="ar-IQ"/>
              </w:rPr>
            </w:pPr>
            <w:r w:rsidRPr="005C3D97">
              <w:rPr>
                <w:rFonts w:asciiTheme="majorBidi" w:hAnsiTheme="majorBidi" w:cstheme="majorBidi"/>
                <w:sz w:val="20"/>
                <w:rtl/>
                <w:lang w:bidi="ar-IQ"/>
              </w:rPr>
              <w:t>3</w:t>
            </w:r>
            <w:r w:rsidRPr="005C3D97">
              <w:rPr>
                <w:rFonts w:asciiTheme="majorBidi" w:hAnsiTheme="majorBidi" w:cstheme="majorBidi"/>
                <w:sz w:val="20"/>
                <w:lang w:bidi="ar-IQ"/>
              </w:rPr>
              <w:t>min</w:t>
            </w:r>
          </w:p>
        </w:tc>
        <w:tc>
          <w:tcPr>
            <w:tcW w:w="681" w:type="pct"/>
            <w:tcBorders>
              <w:top w:val="single" w:sz="4" w:space="0" w:color="auto"/>
              <w:left w:val="nil"/>
              <w:bottom w:val="nil"/>
              <w:right w:val="nil"/>
            </w:tcBorders>
          </w:tcPr>
          <w:p w14:paraId="7D59D226" w14:textId="4C6440E3"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1min</w:t>
            </w:r>
          </w:p>
        </w:tc>
        <w:tc>
          <w:tcPr>
            <w:tcW w:w="606" w:type="pct"/>
            <w:tcBorders>
              <w:top w:val="single" w:sz="4" w:space="0" w:color="auto"/>
              <w:left w:val="nil"/>
              <w:bottom w:val="nil"/>
              <w:right w:val="nil"/>
            </w:tcBorders>
            <w:hideMark/>
          </w:tcPr>
          <w:p w14:paraId="4F44C0C5" w14:textId="12AD1CF3"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1</w:t>
            </w:r>
          </w:p>
        </w:tc>
        <w:tc>
          <w:tcPr>
            <w:tcW w:w="686" w:type="pct"/>
            <w:tcBorders>
              <w:top w:val="single" w:sz="4" w:space="0" w:color="auto"/>
              <w:left w:val="nil"/>
              <w:bottom w:val="nil"/>
              <w:right w:val="nil"/>
            </w:tcBorders>
          </w:tcPr>
          <w:p w14:paraId="73EA2B67" w14:textId="3B86794D"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1</w:t>
            </w:r>
          </w:p>
        </w:tc>
      </w:tr>
      <w:tr w:rsidR="005F4EAE" w:rsidRPr="005C3D97" w14:paraId="0F23C4D4" w14:textId="082D1445" w:rsidTr="005F4EAE">
        <w:tc>
          <w:tcPr>
            <w:tcW w:w="757" w:type="pct"/>
            <w:tcBorders>
              <w:top w:val="nil"/>
              <w:left w:val="nil"/>
              <w:bottom w:val="nil"/>
              <w:right w:val="nil"/>
            </w:tcBorders>
            <w:hideMark/>
          </w:tcPr>
          <w:p w14:paraId="04AB8F8F" w14:textId="77777777"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Pr>
              <w:t>Denaturation</w:t>
            </w:r>
          </w:p>
        </w:tc>
        <w:tc>
          <w:tcPr>
            <w:tcW w:w="984" w:type="pct"/>
            <w:tcBorders>
              <w:top w:val="nil"/>
              <w:left w:val="nil"/>
              <w:bottom w:val="nil"/>
              <w:right w:val="nil"/>
            </w:tcBorders>
            <w:hideMark/>
          </w:tcPr>
          <w:p w14:paraId="44AF06CA" w14:textId="77777777"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95</w:t>
            </w:r>
          </w:p>
        </w:tc>
        <w:tc>
          <w:tcPr>
            <w:tcW w:w="909" w:type="pct"/>
            <w:tcBorders>
              <w:top w:val="nil"/>
              <w:left w:val="nil"/>
              <w:bottom w:val="nil"/>
              <w:right w:val="nil"/>
            </w:tcBorders>
          </w:tcPr>
          <w:p w14:paraId="7A929CD7" w14:textId="47C6BF47" w:rsidR="00114277" w:rsidRPr="005C3D97" w:rsidRDefault="00114277" w:rsidP="00A14631">
            <w:pPr>
              <w:jc w:val="center"/>
              <w:rPr>
                <w:rFonts w:asciiTheme="majorBidi" w:hAnsiTheme="majorBidi" w:cstheme="majorBidi"/>
                <w:sz w:val="20"/>
                <w:rtl/>
                <w:lang w:bidi="ar-IQ"/>
              </w:rPr>
            </w:pPr>
            <w:r w:rsidRPr="005C3D97">
              <w:rPr>
                <w:rFonts w:asciiTheme="majorBidi" w:hAnsiTheme="majorBidi" w:cstheme="majorBidi"/>
                <w:sz w:val="20"/>
                <w:rtl/>
                <w:lang w:bidi="ar-IQ"/>
              </w:rPr>
              <w:t>95</w:t>
            </w:r>
          </w:p>
        </w:tc>
        <w:tc>
          <w:tcPr>
            <w:tcW w:w="378" w:type="pct"/>
            <w:tcBorders>
              <w:top w:val="nil"/>
              <w:left w:val="nil"/>
              <w:bottom w:val="nil"/>
              <w:right w:val="nil"/>
            </w:tcBorders>
            <w:hideMark/>
          </w:tcPr>
          <w:p w14:paraId="09A442CF" w14:textId="045F2BE9" w:rsidR="00114277" w:rsidRPr="005C3D97" w:rsidRDefault="00114277" w:rsidP="00A14631">
            <w:pPr>
              <w:jc w:val="center"/>
              <w:rPr>
                <w:rFonts w:asciiTheme="majorBidi" w:hAnsiTheme="majorBidi" w:cstheme="majorBidi"/>
                <w:sz w:val="20"/>
                <w:lang w:bidi="ar-IQ"/>
              </w:rPr>
            </w:pPr>
            <w:r w:rsidRPr="005C3D97">
              <w:rPr>
                <w:rFonts w:asciiTheme="majorBidi" w:hAnsiTheme="majorBidi" w:cstheme="majorBidi"/>
                <w:sz w:val="20"/>
                <w:rtl/>
                <w:lang w:bidi="ar-IQ"/>
              </w:rPr>
              <w:t>45</w:t>
            </w:r>
            <w:r w:rsidRPr="005C3D97">
              <w:rPr>
                <w:rFonts w:asciiTheme="majorBidi" w:hAnsiTheme="majorBidi" w:cstheme="majorBidi"/>
                <w:sz w:val="20"/>
                <w:lang w:bidi="ar-IQ"/>
              </w:rPr>
              <w:t>sec</w:t>
            </w:r>
          </w:p>
        </w:tc>
        <w:tc>
          <w:tcPr>
            <w:tcW w:w="681" w:type="pct"/>
            <w:tcBorders>
              <w:top w:val="nil"/>
              <w:left w:val="nil"/>
              <w:bottom w:val="nil"/>
              <w:right w:val="nil"/>
            </w:tcBorders>
          </w:tcPr>
          <w:p w14:paraId="215AC479" w14:textId="3D1A2BF1"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tl/>
                <w:lang w:bidi="ar-IQ"/>
              </w:rPr>
              <w:t>45</w:t>
            </w:r>
            <w:r w:rsidRPr="005C3D97">
              <w:rPr>
                <w:rFonts w:asciiTheme="majorBidi" w:hAnsiTheme="majorBidi" w:cstheme="majorBidi"/>
                <w:sz w:val="20"/>
                <w:lang w:bidi="ar-IQ"/>
              </w:rPr>
              <w:t>sec</w:t>
            </w:r>
          </w:p>
        </w:tc>
        <w:tc>
          <w:tcPr>
            <w:tcW w:w="606" w:type="pct"/>
            <w:vMerge w:val="restart"/>
            <w:tcBorders>
              <w:top w:val="nil"/>
              <w:left w:val="nil"/>
              <w:bottom w:val="nil"/>
              <w:right w:val="nil"/>
            </w:tcBorders>
            <w:hideMark/>
          </w:tcPr>
          <w:p w14:paraId="7DA3C75A" w14:textId="228D124A"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28</w:t>
            </w:r>
          </w:p>
        </w:tc>
        <w:tc>
          <w:tcPr>
            <w:tcW w:w="686" w:type="pct"/>
            <w:tcBorders>
              <w:top w:val="nil"/>
              <w:left w:val="nil"/>
              <w:bottom w:val="nil"/>
              <w:right w:val="nil"/>
            </w:tcBorders>
          </w:tcPr>
          <w:p w14:paraId="257F87AB" w14:textId="30E856DD"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35</w:t>
            </w:r>
          </w:p>
        </w:tc>
      </w:tr>
      <w:tr w:rsidR="005F4EAE" w:rsidRPr="005C3D97" w14:paraId="543C35C5" w14:textId="7FF67BB4" w:rsidTr="005F4EAE">
        <w:tc>
          <w:tcPr>
            <w:tcW w:w="757" w:type="pct"/>
            <w:tcBorders>
              <w:top w:val="nil"/>
              <w:left w:val="nil"/>
              <w:bottom w:val="nil"/>
              <w:right w:val="nil"/>
            </w:tcBorders>
            <w:hideMark/>
          </w:tcPr>
          <w:p w14:paraId="6A42B987" w14:textId="77777777"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Pr>
              <w:t>Annealing</w:t>
            </w:r>
          </w:p>
        </w:tc>
        <w:tc>
          <w:tcPr>
            <w:tcW w:w="984" w:type="pct"/>
            <w:tcBorders>
              <w:top w:val="nil"/>
              <w:left w:val="nil"/>
              <w:bottom w:val="nil"/>
              <w:right w:val="nil"/>
            </w:tcBorders>
            <w:hideMark/>
          </w:tcPr>
          <w:p w14:paraId="1CD458F2" w14:textId="77777777"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58</w:t>
            </w:r>
          </w:p>
        </w:tc>
        <w:tc>
          <w:tcPr>
            <w:tcW w:w="909" w:type="pct"/>
            <w:tcBorders>
              <w:top w:val="nil"/>
              <w:left w:val="nil"/>
              <w:bottom w:val="nil"/>
              <w:right w:val="nil"/>
            </w:tcBorders>
          </w:tcPr>
          <w:p w14:paraId="0E976274" w14:textId="2EA4DADD"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lang w:bidi="ar-IQ"/>
              </w:rPr>
              <w:t>60</w:t>
            </w:r>
          </w:p>
        </w:tc>
        <w:tc>
          <w:tcPr>
            <w:tcW w:w="378" w:type="pct"/>
            <w:tcBorders>
              <w:top w:val="nil"/>
              <w:left w:val="nil"/>
              <w:bottom w:val="nil"/>
              <w:right w:val="nil"/>
            </w:tcBorders>
            <w:hideMark/>
          </w:tcPr>
          <w:p w14:paraId="1964FAC8" w14:textId="507B0044"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lang w:bidi="ar-IQ"/>
              </w:rPr>
              <w:t>sec</w:t>
            </w:r>
            <w:r w:rsidRPr="005C3D97">
              <w:rPr>
                <w:rFonts w:asciiTheme="majorBidi" w:hAnsiTheme="majorBidi" w:cstheme="majorBidi"/>
                <w:sz w:val="20"/>
                <w:rtl/>
                <w:lang w:bidi="ar-IQ"/>
              </w:rPr>
              <w:t xml:space="preserve"> 45</w:t>
            </w:r>
          </w:p>
        </w:tc>
        <w:tc>
          <w:tcPr>
            <w:tcW w:w="681" w:type="pct"/>
            <w:tcBorders>
              <w:top w:val="nil"/>
              <w:left w:val="nil"/>
              <w:bottom w:val="nil"/>
              <w:right w:val="nil"/>
            </w:tcBorders>
          </w:tcPr>
          <w:p w14:paraId="79A724D1" w14:textId="30149079" w:rsidR="00114277" w:rsidRPr="005C3D97" w:rsidRDefault="00114277" w:rsidP="00A14631">
            <w:pPr>
              <w:jc w:val="center"/>
              <w:rPr>
                <w:rFonts w:asciiTheme="majorBidi" w:hAnsiTheme="majorBidi" w:cstheme="majorBidi"/>
                <w:sz w:val="20"/>
                <w:lang w:bidi="ar-IQ"/>
              </w:rPr>
            </w:pPr>
            <w:r w:rsidRPr="005C3D97">
              <w:rPr>
                <w:rFonts w:asciiTheme="majorBidi" w:hAnsiTheme="majorBidi" w:cstheme="majorBidi"/>
                <w:sz w:val="20"/>
                <w:lang w:bidi="ar-IQ"/>
              </w:rPr>
              <w:t>sec</w:t>
            </w:r>
            <w:r w:rsidRPr="005C3D97">
              <w:rPr>
                <w:rFonts w:asciiTheme="majorBidi" w:hAnsiTheme="majorBidi" w:cstheme="majorBidi"/>
                <w:sz w:val="20"/>
                <w:rtl/>
                <w:lang w:bidi="ar-IQ"/>
              </w:rPr>
              <w:t xml:space="preserve"> 45</w:t>
            </w:r>
          </w:p>
        </w:tc>
        <w:tc>
          <w:tcPr>
            <w:tcW w:w="606" w:type="pct"/>
            <w:vMerge/>
            <w:tcBorders>
              <w:top w:val="nil"/>
              <w:left w:val="nil"/>
              <w:bottom w:val="nil"/>
              <w:right w:val="nil"/>
            </w:tcBorders>
            <w:vAlign w:val="center"/>
            <w:hideMark/>
          </w:tcPr>
          <w:p w14:paraId="51F58D57" w14:textId="32C79C91" w:rsidR="00114277" w:rsidRPr="005C3D97" w:rsidRDefault="00114277" w:rsidP="00A14631">
            <w:pPr>
              <w:rPr>
                <w:rFonts w:asciiTheme="majorBidi" w:hAnsiTheme="majorBidi" w:cstheme="majorBidi"/>
                <w:sz w:val="20"/>
                <w:lang w:bidi="ar-IQ"/>
              </w:rPr>
            </w:pPr>
          </w:p>
        </w:tc>
        <w:tc>
          <w:tcPr>
            <w:tcW w:w="686" w:type="pct"/>
            <w:tcBorders>
              <w:top w:val="nil"/>
              <w:left w:val="nil"/>
              <w:bottom w:val="nil"/>
              <w:right w:val="nil"/>
            </w:tcBorders>
            <w:vAlign w:val="center"/>
          </w:tcPr>
          <w:p w14:paraId="7ABA9367" w14:textId="77777777" w:rsidR="00114277" w:rsidRPr="005C3D97" w:rsidRDefault="00114277" w:rsidP="00A14631">
            <w:pPr>
              <w:rPr>
                <w:rFonts w:asciiTheme="majorBidi" w:hAnsiTheme="majorBidi" w:cstheme="majorBidi"/>
                <w:sz w:val="20"/>
                <w:lang w:bidi="ar-IQ"/>
              </w:rPr>
            </w:pPr>
          </w:p>
        </w:tc>
      </w:tr>
      <w:tr w:rsidR="005F4EAE" w:rsidRPr="005C3D97" w14:paraId="5C6658EB" w14:textId="1E19FF36" w:rsidTr="005F4EAE">
        <w:tc>
          <w:tcPr>
            <w:tcW w:w="757" w:type="pct"/>
            <w:tcBorders>
              <w:top w:val="nil"/>
              <w:left w:val="nil"/>
              <w:bottom w:val="nil"/>
              <w:right w:val="nil"/>
            </w:tcBorders>
            <w:hideMark/>
          </w:tcPr>
          <w:p w14:paraId="24E7A760" w14:textId="77777777"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Pr>
              <w:t>Extension</w:t>
            </w:r>
          </w:p>
        </w:tc>
        <w:tc>
          <w:tcPr>
            <w:tcW w:w="984" w:type="pct"/>
            <w:tcBorders>
              <w:top w:val="nil"/>
              <w:left w:val="nil"/>
              <w:bottom w:val="nil"/>
              <w:right w:val="nil"/>
            </w:tcBorders>
            <w:hideMark/>
          </w:tcPr>
          <w:p w14:paraId="660CDB6C" w14:textId="77777777"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72</w:t>
            </w:r>
          </w:p>
        </w:tc>
        <w:tc>
          <w:tcPr>
            <w:tcW w:w="909" w:type="pct"/>
            <w:tcBorders>
              <w:top w:val="nil"/>
              <w:left w:val="nil"/>
              <w:bottom w:val="nil"/>
              <w:right w:val="nil"/>
            </w:tcBorders>
          </w:tcPr>
          <w:p w14:paraId="429CAF9D" w14:textId="056D227C"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72</w:t>
            </w:r>
          </w:p>
        </w:tc>
        <w:tc>
          <w:tcPr>
            <w:tcW w:w="378" w:type="pct"/>
            <w:tcBorders>
              <w:top w:val="nil"/>
              <w:left w:val="nil"/>
              <w:bottom w:val="nil"/>
              <w:right w:val="nil"/>
            </w:tcBorders>
            <w:hideMark/>
          </w:tcPr>
          <w:p w14:paraId="164ABE5D" w14:textId="5CA95283"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lang w:bidi="ar-IQ"/>
              </w:rPr>
              <w:t>1 min</w:t>
            </w:r>
          </w:p>
        </w:tc>
        <w:tc>
          <w:tcPr>
            <w:tcW w:w="681" w:type="pct"/>
            <w:tcBorders>
              <w:top w:val="nil"/>
              <w:left w:val="nil"/>
              <w:bottom w:val="nil"/>
              <w:right w:val="nil"/>
            </w:tcBorders>
          </w:tcPr>
          <w:p w14:paraId="557A0279" w14:textId="1FF73638" w:rsidR="00114277" w:rsidRPr="005C3D97" w:rsidRDefault="00114277" w:rsidP="00A14631">
            <w:pPr>
              <w:jc w:val="center"/>
              <w:rPr>
                <w:rFonts w:asciiTheme="majorBidi" w:hAnsiTheme="majorBidi" w:cstheme="majorBidi"/>
                <w:sz w:val="20"/>
                <w:lang w:bidi="ar-IQ"/>
              </w:rPr>
            </w:pPr>
            <w:r w:rsidRPr="005C3D97">
              <w:rPr>
                <w:rFonts w:asciiTheme="majorBidi" w:hAnsiTheme="majorBidi" w:cstheme="majorBidi"/>
                <w:sz w:val="20"/>
                <w:lang w:bidi="ar-IQ"/>
              </w:rPr>
              <w:t>1 min</w:t>
            </w:r>
          </w:p>
        </w:tc>
        <w:tc>
          <w:tcPr>
            <w:tcW w:w="606" w:type="pct"/>
            <w:vMerge/>
            <w:tcBorders>
              <w:top w:val="nil"/>
              <w:left w:val="nil"/>
              <w:bottom w:val="nil"/>
              <w:right w:val="nil"/>
            </w:tcBorders>
            <w:vAlign w:val="center"/>
            <w:hideMark/>
          </w:tcPr>
          <w:p w14:paraId="4C75C07D" w14:textId="35916789" w:rsidR="00114277" w:rsidRPr="005C3D97" w:rsidRDefault="00114277" w:rsidP="00A14631">
            <w:pPr>
              <w:rPr>
                <w:rFonts w:asciiTheme="majorBidi" w:hAnsiTheme="majorBidi" w:cstheme="majorBidi"/>
                <w:sz w:val="20"/>
                <w:lang w:bidi="ar-IQ"/>
              </w:rPr>
            </w:pPr>
          </w:p>
        </w:tc>
        <w:tc>
          <w:tcPr>
            <w:tcW w:w="686" w:type="pct"/>
            <w:tcBorders>
              <w:top w:val="nil"/>
              <w:left w:val="nil"/>
              <w:bottom w:val="nil"/>
              <w:right w:val="nil"/>
            </w:tcBorders>
            <w:vAlign w:val="center"/>
          </w:tcPr>
          <w:p w14:paraId="75E8D8A4" w14:textId="77777777" w:rsidR="00114277" w:rsidRPr="005C3D97" w:rsidRDefault="00114277" w:rsidP="00A14631">
            <w:pPr>
              <w:rPr>
                <w:rFonts w:asciiTheme="majorBidi" w:hAnsiTheme="majorBidi" w:cstheme="majorBidi"/>
                <w:sz w:val="20"/>
                <w:lang w:bidi="ar-IQ"/>
              </w:rPr>
            </w:pPr>
          </w:p>
        </w:tc>
      </w:tr>
      <w:tr w:rsidR="005F4EAE" w:rsidRPr="005C3D97" w14:paraId="1BC6AFAC" w14:textId="1FD35935" w:rsidTr="005F4EAE">
        <w:tc>
          <w:tcPr>
            <w:tcW w:w="757" w:type="pct"/>
            <w:tcBorders>
              <w:top w:val="nil"/>
              <w:left w:val="nil"/>
              <w:bottom w:val="single" w:sz="4" w:space="0" w:color="auto"/>
              <w:right w:val="nil"/>
            </w:tcBorders>
            <w:hideMark/>
          </w:tcPr>
          <w:p w14:paraId="5D6E2395" w14:textId="77777777"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rPr>
              <w:t>Final Extension</w:t>
            </w:r>
          </w:p>
        </w:tc>
        <w:tc>
          <w:tcPr>
            <w:tcW w:w="984" w:type="pct"/>
            <w:tcBorders>
              <w:top w:val="nil"/>
              <w:left w:val="nil"/>
              <w:bottom w:val="single" w:sz="4" w:space="0" w:color="auto"/>
              <w:right w:val="nil"/>
            </w:tcBorders>
            <w:hideMark/>
          </w:tcPr>
          <w:p w14:paraId="655800C4" w14:textId="77777777"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72</w:t>
            </w:r>
          </w:p>
        </w:tc>
        <w:tc>
          <w:tcPr>
            <w:tcW w:w="909" w:type="pct"/>
            <w:tcBorders>
              <w:top w:val="nil"/>
              <w:left w:val="nil"/>
              <w:bottom w:val="single" w:sz="4" w:space="0" w:color="auto"/>
              <w:right w:val="nil"/>
            </w:tcBorders>
          </w:tcPr>
          <w:p w14:paraId="68900D89" w14:textId="46D0AC7D"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rtl/>
                <w:lang w:bidi="ar-IQ"/>
              </w:rPr>
              <w:t>72</w:t>
            </w:r>
          </w:p>
        </w:tc>
        <w:tc>
          <w:tcPr>
            <w:tcW w:w="378" w:type="pct"/>
            <w:tcBorders>
              <w:top w:val="nil"/>
              <w:left w:val="nil"/>
              <w:bottom w:val="single" w:sz="4" w:space="0" w:color="auto"/>
              <w:right w:val="nil"/>
            </w:tcBorders>
            <w:hideMark/>
          </w:tcPr>
          <w:p w14:paraId="7C223FC8" w14:textId="3BFFF818" w:rsidR="00114277" w:rsidRPr="005C3D97" w:rsidRDefault="00114277" w:rsidP="00A14631">
            <w:pPr>
              <w:bidi/>
              <w:jc w:val="center"/>
              <w:rPr>
                <w:rFonts w:asciiTheme="majorBidi" w:hAnsiTheme="majorBidi" w:cstheme="majorBidi"/>
                <w:sz w:val="20"/>
                <w:lang w:bidi="ar-IQ"/>
              </w:rPr>
            </w:pPr>
            <w:r w:rsidRPr="005C3D97">
              <w:rPr>
                <w:rFonts w:asciiTheme="majorBidi" w:hAnsiTheme="majorBidi" w:cstheme="majorBidi"/>
                <w:sz w:val="20"/>
                <w:lang w:bidi="ar-IQ"/>
              </w:rPr>
              <w:t>min</w:t>
            </w:r>
            <w:r w:rsidRPr="005C3D97">
              <w:rPr>
                <w:rFonts w:asciiTheme="majorBidi" w:hAnsiTheme="majorBidi" w:cstheme="majorBidi"/>
                <w:sz w:val="20"/>
                <w:rtl/>
                <w:lang w:bidi="ar-IQ"/>
              </w:rPr>
              <w:t>5</w:t>
            </w:r>
          </w:p>
        </w:tc>
        <w:tc>
          <w:tcPr>
            <w:tcW w:w="681" w:type="pct"/>
            <w:tcBorders>
              <w:top w:val="nil"/>
              <w:left w:val="nil"/>
              <w:bottom w:val="single" w:sz="4" w:space="0" w:color="auto"/>
              <w:right w:val="nil"/>
            </w:tcBorders>
          </w:tcPr>
          <w:p w14:paraId="3FCB6410" w14:textId="69E7C806"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min</w:t>
            </w:r>
            <w:r w:rsidRPr="005C3D97">
              <w:rPr>
                <w:rFonts w:asciiTheme="majorBidi" w:hAnsiTheme="majorBidi" w:cstheme="majorBidi"/>
                <w:sz w:val="20"/>
                <w:rtl/>
                <w:lang w:bidi="ar-IQ"/>
              </w:rPr>
              <w:t>5</w:t>
            </w:r>
          </w:p>
        </w:tc>
        <w:tc>
          <w:tcPr>
            <w:tcW w:w="606" w:type="pct"/>
            <w:tcBorders>
              <w:top w:val="nil"/>
              <w:left w:val="nil"/>
              <w:bottom w:val="single" w:sz="4" w:space="0" w:color="auto"/>
              <w:right w:val="nil"/>
            </w:tcBorders>
            <w:hideMark/>
          </w:tcPr>
          <w:p w14:paraId="48F5E107" w14:textId="2C946633"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1</w:t>
            </w:r>
          </w:p>
        </w:tc>
        <w:tc>
          <w:tcPr>
            <w:tcW w:w="686" w:type="pct"/>
            <w:tcBorders>
              <w:top w:val="nil"/>
              <w:left w:val="nil"/>
              <w:bottom w:val="single" w:sz="4" w:space="0" w:color="auto"/>
              <w:right w:val="nil"/>
            </w:tcBorders>
          </w:tcPr>
          <w:p w14:paraId="2FC45FC8" w14:textId="5C593898" w:rsidR="00114277" w:rsidRPr="005C3D97" w:rsidRDefault="00114277" w:rsidP="00A14631">
            <w:pPr>
              <w:tabs>
                <w:tab w:val="left" w:pos="2523"/>
              </w:tabs>
              <w:jc w:val="center"/>
              <w:rPr>
                <w:rFonts w:asciiTheme="majorBidi" w:hAnsiTheme="majorBidi" w:cstheme="majorBidi"/>
                <w:sz w:val="20"/>
                <w:lang w:bidi="ar-IQ"/>
              </w:rPr>
            </w:pPr>
            <w:r w:rsidRPr="005C3D97">
              <w:rPr>
                <w:rFonts w:asciiTheme="majorBidi" w:hAnsiTheme="majorBidi" w:cstheme="majorBidi"/>
                <w:sz w:val="20"/>
                <w:lang w:bidi="ar-IQ"/>
              </w:rPr>
              <w:t>1</w:t>
            </w:r>
          </w:p>
        </w:tc>
      </w:tr>
    </w:tbl>
    <w:p w14:paraId="3FEC080E" w14:textId="0A57704E" w:rsidR="00C73C36" w:rsidRPr="005C3D97" w:rsidRDefault="00C73C36" w:rsidP="00A14631">
      <w:pPr>
        <w:pStyle w:val="Heading2"/>
        <w:rPr>
          <w:rFonts w:asciiTheme="majorBidi" w:hAnsiTheme="majorBidi" w:cstheme="majorBidi"/>
          <w:bCs/>
        </w:rPr>
      </w:pPr>
      <w:r w:rsidRPr="005C3D97">
        <w:rPr>
          <w:rFonts w:asciiTheme="majorBidi" w:hAnsiTheme="majorBidi" w:cstheme="majorBidi"/>
          <w:bCs/>
        </w:rPr>
        <w:t xml:space="preserve">Typing of </w:t>
      </w:r>
      <w:r w:rsidRPr="005C3D97">
        <w:rPr>
          <w:rFonts w:asciiTheme="majorBidi" w:hAnsiTheme="majorBidi" w:cstheme="majorBidi"/>
          <w:bCs/>
          <w:i/>
          <w:iCs/>
        </w:rPr>
        <w:t xml:space="preserve">K. </w:t>
      </w:r>
      <w:r w:rsidR="00D30F71" w:rsidRPr="005C3D97">
        <w:rPr>
          <w:rFonts w:asciiTheme="majorBidi" w:hAnsiTheme="majorBidi" w:cstheme="majorBidi"/>
          <w:bCs/>
          <w:i/>
          <w:iCs/>
        </w:rPr>
        <w:t>Pneumoniae</w:t>
      </w:r>
      <w:r w:rsidRPr="005C3D97">
        <w:rPr>
          <w:rFonts w:asciiTheme="majorBidi" w:hAnsiTheme="majorBidi" w:cstheme="majorBidi"/>
          <w:bCs/>
        </w:rPr>
        <w:t xml:space="preserve"> </w:t>
      </w:r>
      <w:r w:rsidR="00540407" w:rsidRPr="005C3D97">
        <w:rPr>
          <w:rFonts w:asciiTheme="majorBidi" w:hAnsiTheme="majorBidi" w:cstheme="majorBidi"/>
          <w:bCs/>
        </w:rPr>
        <w:t>using</w:t>
      </w:r>
      <w:r w:rsidRPr="005C3D97">
        <w:rPr>
          <w:rFonts w:asciiTheme="majorBidi" w:hAnsiTheme="majorBidi" w:cstheme="majorBidi"/>
          <w:bCs/>
        </w:rPr>
        <w:t xml:space="preserve"> the RAPD Method</w:t>
      </w:r>
    </w:p>
    <w:p w14:paraId="39E670C4" w14:textId="0DDC17C6" w:rsidR="00BA2BC4" w:rsidRPr="005C3D97" w:rsidRDefault="00C73C36" w:rsidP="00A14631">
      <w:pPr>
        <w:pStyle w:val="Paragraph"/>
        <w:rPr>
          <w:rFonts w:asciiTheme="majorBidi" w:hAnsiTheme="majorBidi" w:cstheme="majorBidi"/>
          <w:b/>
          <w:bCs/>
          <w:szCs w:val="16"/>
        </w:rPr>
      </w:pPr>
      <w:r w:rsidRPr="005C3D97">
        <w:rPr>
          <w:rFonts w:asciiTheme="majorBidi" w:hAnsiTheme="majorBidi" w:cstheme="majorBidi"/>
          <w:bCs/>
          <w:szCs w:val="16"/>
        </w:rPr>
        <w:t xml:space="preserve">The PCR mixture was prepared at 24 </w:t>
      </w:r>
      <w:proofErr w:type="spellStart"/>
      <w:r w:rsidRPr="005C3D97">
        <w:rPr>
          <w:rFonts w:asciiTheme="majorBidi" w:hAnsiTheme="majorBidi" w:cstheme="majorBidi"/>
          <w:bCs/>
          <w:szCs w:val="16"/>
        </w:rPr>
        <w:t>μl</w:t>
      </w:r>
      <w:proofErr w:type="spellEnd"/>
      <w:r w:rsidRPr="005C3D97">
        <w:rPr>
          <w:rFonts w:asciiTheme="majorBidi" w:hAnsiTheme="majorBidi" w:cstheme="majorBidi"/>
          <w:bCs/>
          <w:szCs w:val="16"/>
        </w:rPr>
        <w:t xml:space="preserve"> </w:t>
      </w:r>
      <w:r w:rsidR="00586D98" w:rsidRPr="005C3D97">
        <w:rPr>
          <w:rFonts w:asciiTheme="majorBidi" w:hAnsiTheme="majorBidi" w:cstheme="majorBidi"/>
          <w:szCs w:val="16"/>
        </w:rPr>
        <w:t xml:space="preserve">contained 1 </w:t>
      </w:r>
      <w:proofErr w:type="spellStart"/>
      <w:r w:rsidR="00586D98" w:rsidRPr="005C3D97">
        <w:rPr>
          <w:rFonts w:asciiTheme="majorBidi" w:hAnsiTheme="majorBidi" w:cstheme="majorBidi"/>
          <w:szCs w:val="16"/>
        </w:rPr>
        <w:t>μl</w:t>
      </w:r>
      <w:proofErr w:type="spellEnd"/>
      <w:r w:rsidR="00586D98" w:rsidRPr="005C3D97">
        <w:rPr>
          <w:rFonts w:asciiTheme="majorBidi" w:hAnsiTheme="majorBidi" w:cstheme="majorBidi"/>
          <w:szCs w:val="16"/>
        </w:rPr>
        <w:t xml:space="preserve"> each of forward and reverse primers, 12.5 </w:t>
      </w:r>
      <w:proofErr w:type="spellStart"/>
      <w:r w:rsidR="00586D98" w:rsidRPr="005C3D97">
        <w:rPr>
          <w:rFonts w:asciiTheme="majorBidi" w:hAnsiTheme="majorBidi" w:cstheme="majorBidi"/>
          <w:szCs w:val="16"/>
        </w:rPr>
        <w:t>μl</w:t>
      </w:r>
      <w:proofErr w:type="spellEnd"/>
      <w:r w:rsidR="00586D98" w:rsidRPr="005C3D97">
        <w:rPr>
          <w:rFonts w:asciiTheme="majorBidi" w:hAnsiTheme="majorBidi" w:cstheme="majorBidi"/>
          <w:szCs w:val="16"/>
        </w:rPr>
        <w:t xml:space="preserve"> of Go Taq Green Master Mix, 2 </w:t>
      </w:r>
      <w:proofErr w:type="spellStart"/>
      <w:r w:rsidR="00586D98" w:rsidRPr="005C3D97">
        <w:rPr>
          <w:rFonts w:asciiTheme="majorBidi" w:hAnsiTheme="majorBidi" w:cstheme="majorBidi"/>
          <w:szCs w:val="16"/>
        </w:rPr>
        <w:t>μl</w:t>
      </w:r>
      <w:proofErr w:type="spellEnd"/>
      <w:r w:rsidR="00586D98" w:rsidRPr="005C3D97">
        <w:rPr>
          <w:rFonts w:asciiTheme="majorBidi" w:hAnsiTheme="majorBidi" w:cstheme="majorBidi"/>
          <w:szCs w:val="16"/>
        </w:rPr>
        <w:t xml:space="preserve"> of DNA, and 7.5 </w:t>
      </w:r>
      <w:proofErr w:type="spellStart"/>
      <w:r w:rsidR="00586D98" w:rsidRPr="005C3D97">
        <w:rPr>
          <w:rFonts w:asciiTheme="majorBidi" w:hAnsiTheme="majorBidi" w:cstheme="majorBidi"/>
          <w:szCs w:val="16"/>
        </w:rPr>
        <w:t>μl</w:t>
      </w:r>
      <w:proofErr w:type="spellEnd"/>
      <w:r w:rsidR="00586D98" w:rsidRPr="005C3D97">
        <w:rPr>
          <w:rFonts w:asciiTheme="majorBidi" w:hAnsiTheme="majorBidi" w:cstheme="majorBidi"/>
          <w:szCs w:val="16"/>
        </w:rPr>
        <w:t xml:space="preserve"> of sterilized deionized distilled water</w:t>
      </w:r>
      <w:r w:rsidR="00586D98" w:rsidRPr="005C3D97">
        <w:rPr>
          <w:rFonts w:asciiTheme="majorBidi" w:hAnsiTheme="majorBidi" w:cstheme="majorBidi"/>
          <w:bCs/>
          <w:szCs w:val="16"/>
        </w:rPr>
        <w:t xml:space="preserve"> </w:t>
      </w:r>
      <w:r w:rsidRPr="005C3D97">
        <w:rPr>
          <w:rFonts w:asciiTheme="majorBidi" w:hAnsiTheme="majorBidi" w:cstheme="majorBidi"/>
          <w:bCs/>
          <w:szCs w:val="16"/>
        </w:rPr>
        <w:t xml:space="preserve">for the genes. Then the contents of the PCR tubes were mixed well with the mixer and then placed in a thermal cycle as shown in Table </w:t>
      </w:r>
      <w:r w:rsidR="005F4EAE" w:rsidRPr="005C3D97">
        <w:rPr>
          <w:rFonts w:asciiTheme="majorBidi" w:hAnsiTheme="majorBidi" w:cstheme="majorBidi"/>
          <w:bCs/>
          <w:szCs w:val="16"/>
        </w:rPr>
        <w:t>2</w:t>
      </w:r>
      <w:r w:rsidR="00BA2BC4" w:rsidRPr="005C3D97">
        <w:rPr>
          <w:rFonts w:asciiTheme="majorBidi" w:hAnsiTheme="majorBidi" w:cstheme="majorBidi"/>
          <w:b/>
          <w:bCs/>
          <w:szCs w:val="16"/>
        </w:rPr>
        <w:t>.</w:t>
      </w:r>
    </w:p>
    <w:p w14:paraId="3554FBCD" w14:textId="77777777" w:rsidR="00C73C36" w:rsidRPr="005C3D97" w:rsidRDefault="00C73C36" w:rsidP="00A14631">
      <w:pPr>
        <w:pStyle w:val="Paragraph"/>
        <w:ind w:firstLine="0"/>
        <w:jc w:val="center"/>
        <w:rPr>
          <w:rFonts w:asciiTheme="majorBidi" w:hAnsiTheme="majorBidi" w:cstheme="majorBidi"/>
          <w:i/>
          <w:iCs/>
          <w:sz w:val="18"/>
          <w:szCs w:val="18"/>
        </w:rPr>
      </w:pPr>
    </w:p>
    <w:p w14:paraId="4FBD5B0E" w14:textId="7215CB76" w:rsidR="00916C82" w:rsidRPr="00A42E1F" w:rsidRDefault="005F4EAE" w:rsidP="00A42E1F">
      <w:pPr>
        <w:pStyle w:val="Paragraph"/>
        <w:ind w:firstLine="0"/>
        <w:jc w:val="center"/>
        <w:rPr>
          <w:rFonts w:asciiTheme="majorBidi" w:hAnsiTheme="majorBidi" w:cstheme="majorBidi"/>
          <w:sz w:val="18"/>
          <w:szCs w:val="18"/>
        </w:rPr>
      </w:pPr>
      <w:r w:rsidRPr="00AA56B3">
        <w:rPr>
          <w:rFonts w:asciiTheme="majorBidi" w:hAnsiTheme="majorBidi" w:cstheme="majorBidi"/>
          <w:b/>
          <w:sz w:val="18"/>
          <w:szCs w:val="18"/>
        </w:rPr>
        <w:t>TABLE</w:t>
      </w:r>
      <w:r w:rsidR="002D78C6">
        <w:rPr>
          <w:rFonts w:asciiTheme="majorBidi" w:hAnsiTheme="majorBidi" w:cstheme="majorBidi"/>
          <w:b/>
          <w:sz w:val="18"/>
          <w:szCs w:val="18"/>
        </w:rPr>
        <w:t xml:space="preserve"> </w:t>
      </w:r>
      <w:r w:rsidRPr="00AA56B3">
        <w:rPr>
          <w:rFonts w:asciiTheme="majorBidi" w:hAnsiTheme="majorBidi" w:cstheme="majorBidi"/>
          <w:b/>
          <w:sz w:val="18"/>
          <w:szCs w:val="18"/>
        </w:rPr>
        <w:t>2</w:t>
      </w:r>
      <w:r w:rsidR="00C73C36" w:rsidRPr="00AA56B3">
        <w:rPr>
          <w:rFonts w:asciiTheme="majorBidi" w:hAnsiTheme="majorBidi" w:cstheme="majorBidi"/>
          <w:b/>
          <w:sz w:val="18"/>
          <w:szCs w:val="18"/>
        </w:rPr>
        <w:t xml:space="preserve">. </w:t>
      </w:r>
      <w:r w:rsidR="00BA2BC4" w:rsidRPr="00AA56B3">
        <w:rPr>
          <w:rFonts w:asciiTheme="majorBidi" w:hAnsiTheme="majorBidi" w:cstheme="majorBidi"/>
          <w:bCs/>
          <w:sz w:val="18"/>
          <w:szCs w:val="18"/>
        </w:rPr>
        <w:t>Optimal Conditions for PCR for RAPD gene investigation</w:t>
      </w:r>
      <w:r w:rsidR="00C73C36" w:rsidRPr="00AA56B3">
        <w:rPr>
          <w:rFonts w:asciiTheme="majorBidi" w:hAnsiTheme="majorBidi" w:cstheme="majorBidi"/>
          <w:sz w:val="18"/>
          <w:szCs w:val="18"/>
        </w:rPr>
        <w:t>.</w:t>
      </w:r>
    </w:p>
    <w:tbl>
      <w:tblPr>
        <w:tblStyle w:val="TableGrid"/>
        <w:tblW w:w="501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2883"/>
        <w:gridCol w:w="1879"/>
        <w:gridCol w:w="1879"/>
        <w:gridCol w:w="1879"/>
      </w:tblGrid>
      <w:tr w:rsidR="00BA2BC4" w:rsidRPr="005C3D97" w14:paraId="2A176387" w14:textId="77777777" w:rsidTr="00981788">
        <w:trPr>
          <w:trHeight w:val="357"/>
        </w:trPr>
        <w:tc>
          <w:tcPr>
            <w:tcW w:w="466" w:type="pct"/>
            <w:tcBorders>
              <w:top w:val="single" w:sz="4" w:space="0" w:color="auto"/>
              <w:bottom w:val="single" w:sz="4" w:space="0" w:color="auto"/>
            </w:tcBorders>
            <w:hideMark/>
          </w:tcPr>
          <w:p w14:paraId="10577818"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lang w:bidi="ar-IQ"/>
              </w:rPr>
              <w:t>No.</w:t>
            </w:r>
          </w:p>
        </w:tc>
        <w:tc>
          <w:tcPr>
            <w:tcW w:w="1534" w:type="pct"/>
            <w:tcBorders>
              <w:top w:val="single" w:sz="4" w:space="0" w:color="auto"/>
              <w:bottom w:val="single" w:sz="4" w:space="0" w:color="auto"/>
            </w:tcBorders>
            <w:hideMark/>
          </w:tcPr>
          <w:p w14:paraId="06A6D79C"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lang w:bidi="ar-IQ"/>
              </w:rPr>
              <w:t>Phase</w:t>
            </w:r>
          </w:p>
        </w:tc>
        <w:tc>
          <w:tcPr>
            <w:tcW w:w="1000" w:type="pct"/>
            <w:tcBorders>
              <w:top w:val="single" w:sz="4" w:space="0" w:color="auto"/>
              <w:bottom w:val="single" w:sz="4" w:space="0" w:color="auto"/>
            </w:tcBorders>
            <w:hideMark/>
          </w:tcPr>
          <w:p w14:paraId="49AA3990"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lang w:bidi="ar-IQ"/>
              </w:rPr>
              <w:t>Temperature</w:t>
            </w:r>
          </w:p>
        </w:tc>
        <w:tc>
          <w:tcPr>
            <w:tcW w:w="1000" w:type="pct"/>
            <w:tcBorders>
              <w:top w:val="single" w:sz="4" w:space="0" w:color="auto"/>
              <w:bottom w:val="single" w:sz="4" w:space="0" w:color="auto"/>
            </w:tcBorders>
            <w:hideMark/>
          </w:tcPr>
          <w:p w14:paraId="226F2481"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lang w:bidi="ar-IQ"/>
              </w:rPr>
              <w:t>Time</w:t>
            </w:r>
          </w:p>
        </w:tc>
        <w:tc>
          <w:tcPr>
            <w:tcW w:w="1000" w:type="pct"/>
            <w:tcBorders>
              <w:top w:val="single" w:sz="4" w:space="0" w:color="auto"/>
              <w:bottom w:val="single" w:sz="4" w:space="0" w:color="auto"/>
            </w:tcBorders>
            <w:hideMark/>
          </w:tcPr>
          <w:p w14:paraId="1CD81E84"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lang w:bidi="ar-IQ"/>
              </w:rPr>
              <w:t>Cycles number</w:t>
            </w:r>
          </w:p>
        </w:tc>
      </w:tr>
      <w:tr w:rsidR="00BA2BC4" w:rsidRPr="005C3D97" w14:paraId="03AFF051" w14:textId="77777777" w:rsidTr="00981788">
        <w:trPr>
          <w:trHeight w:val="357"/>
        </w:trPr>
        <w:tc>
          <w:tcPr>
            <w:tcW w:w="466" w:type="pct"/>
            <w:tcBorders>
              <w:top w:val="single" w:sz="4" w:space="0" w:color="auto"/>
            </w:tcBorders>
            <w:hideMark/>
          </w:tcPr>
          <w:p w14:paraId="5E520703"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1</w:t>
            </w:r>
          </w:p>
        </w:tc>
        <w:tc>
          <w:tcPr>
            <w:tcW w:w="1534" w:type="pct"/>
            <w:tcBorders>
              <w:top w:val="single" w:sz="4" w:space="0" w:color="auto"/>
            </w:tcBorders>
            <w:hideMark/>
          </w:tcPr>
          <w:p w14:paraId="0BE3D72F"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lang w:bidi="ar-IQ"/>
              </w:rPr>
              <w:t>Initial Denaturation</w:t>
            </w:r>
          </w:p>
        </w:tc>
        <w:tc>
          <w:tcPr>
            <w:tcW w:w="1000" w:type="pct"/>
            <w:tcBorders>
              <w:top w:val="single" w:sz="4" w:space="0" w:color="auto"/>
            </w:tcBorders>
            <w:hideMark/>
          </w:tcPr>
          <w:p w14:paraId="3EC2D86D"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94</w:t>
            </w:r>
          </w:p>
        </w:tc>
        <w:tc>
          <w:tcPr>
            <w:tcW w:w="1000" w:type="pct"/>
            <w:tcBorders>
              <w:top w:val="single" w:sz="4" w:space="0" w:color="auto"/>
            </w:tcBorders>
            <w:hideMark/>
          </w:tcPr>
          <w:p w14:paraId="53F5A9D5"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 xml:space="preserve">5 </w:t>
            </w:r>
            <w:r w:rsidRPr="005C3D97">
              <w:rPr>
                <w:rFonts w:asciiTheme="majorBidi" w:hAnsiTheme="majorBidi" w:cstheme="majorBidi"/>
                <w:sz w:val="20"/>
                <w:lang w:bidi="ar-IQ"/>
              </w:rPr>
              <w:t xml:space="preserve"> min</w:t>
            </w:r>
          </w:p>
        </w:tc>
        <w:tc>
          <w:tcPr>
            <w:tcW w:w="1000" w:type="pct"/>
            <w:tcBorders>
              <w:top w:val="single" w:sz="4" w:space="0" w:color="auto"/>
            </w:tcBorders>
            <w:hideMark/>
          </w:tcPr>
          <w:p w14:paraId="12814139"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1</w:t>
            </w:r>
          </w:p>
        </w:tc>
      </w:tr>
      <w:tr w:rsidR="00BA2BC4" w:rsidRPr="005C3D97" w14:paraId="525C4B64" w14:textId="77777777" w:rsidTr="00981788">
        <w:trPr>
          <w:trHeight w:val="357"/>
        </w:trPr>
        <w:tc>
          <w:tcPr>
            <w:tcW w:w="466" w:type="pct"/>
            <w:hideMark/>
          </w:tcPr>
          <w:p w14:paraId="0FA30748"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2</w:t>
            </w:r>
          </w:p>
        </w:tc>
        <w:tc>
          <w:tcPr>
            <w:tcW w:w="1534" w:type="pct"/>
            <w:hideMark/>
          </w:tcPr>
          <w:p w14:paraId="7C5AFCF1" w14:textId="77777777" w:rsidR="00BA2BC4" w:rsidRPr="005C3D97" w:rsidRDefault="00BA2BC4" w:rsidP="00A14631">
            <w:pPr>
              <w:pStyle w:val="Default"/>
              <w:jc w:val="center"/>
              <w:rPr>
                <w:rFonts w:asciiTheme="majorBidi" w:hAnsiTheme="majorBidi" w:cstheme="majorBidi"/>
                <w:sz w:val="20"/>
                <w:szCs w:val="20"/>
                <w:lang w:bidi="ar-IQ"/>
              </w:rPr>
            </w:pPr>
            <w:r w:rsidRPr="005C3D97">
              <w:rPr>
                <w:rFonts w:asciiTheme="majorBidi" w:hAnsiTheme="majorBidi" w:cstheme="majorBidi"/>
                <w:sz w:val="20"/>
                <w:szCs w:val="20"/>
              </w:rPr>
              <w:t>Denaturation</w:t>
            </w:r>
          </w:p>
        </w:tc>
        <w:tc>
          <w:tcPr>
            <w:tcW w:w="1000" w:type="pct"/>
            <w:hideMark/>
          </w:tcPr>
          <w:p w14:paraId="49A694B3"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94</w:t>
            </w:r>
          </w:p>
        </w:tc>
        <w:tc>
          <w:tcPr>
            <w:tcW w:w="1000" w:type="pct"/>
            <w:hideMark/>
          </w:tcPr>
          <w:p w14:paraId="16A36721"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 xml:space="preserve">1 </w:t>
            </w:r>
            <w:r w:rsidRPr="005C3D97">
              <w:rPr>
                <w:rFonts w:asciiTheme="majorBidi" w:hAnsiTheme="majorBidi" w:cstheme="majorBidi"/>
                <w:sz w:val="20"/>
                <w:lang w:bidi="ar-IQ"/>
              </w:rPr>
              <w:t xml:space="preserve"> min</w:t>
            </w:r>
          </w:p>
        </w:tc>
        <w:tc>
          <w:tcPr>
            <w:tcW w:w="1000" w:type="pct"/>
            <w:vMerge w:val="restart"/>
            <w:hideMark/>
          </w:tcPr>
          <w:p w14:paraId="15B81723"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45</w:t>
            </w:r>
          </w:p>
        </w:tc>
      </w:tr>
      <w:tr w:rsidR="00BA2BC4" w:rsidRPr="005C3D97" w14:paraId="52115E53" w14:textId="77777777" w:rsidTr="00981788">
        <w:trPr>
          <w:trHeight w:val="357"/>
        </w:trPr>
        <w:tc>
          <w:tcPr>
            <w:tcW w:w="466" w:type="pct"/>
            <w:hideMark/>
          </w:tcPr>
          <w:p w14:paraId="39C52594"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3</w:t>
            </w:r>
          </w:p>
        </w:tc>
        <w:tc>
          <w:tcPr>
            <w:tcW w:w="1534" w:type="pct"/>
            <w:hideMark/>
          </w:tcPr>
          <w:p w14:paraId="5B3F67F8" w14:textId="77777777" w:rsidR="00BA2BC4" w:rsidRPr="005C3D97" w:rsidRDefault="00BA2BC4" w:rsidP="00A14631">
            <w:pPr>
              <w:pStyle w:val="Default"/>
              <w:jc w:val="center"/>
              <w:rPr>
                <w:rFonts w:asciiTheme="majorBidi" w:hAnsiTheme="majorBidi" w:cstheme="majorBidi"/>
                <w:sz w:val="20"/>
                <w:szCs w:val="20"/>
                <w:lang w:bidi="ar-IQ"/>
              </w:rPr>
            </w:pPr>
            <w:r w:rsidRPr="005C3D97">
              <w:rPr>
                <w:rFonts w:asciiTheme="majorBidi" w:hAnsiTheme="majorBidi" w:cstheme="majorBidi"/>
                <w:sz w:val="20"/>
                <w:szCs w:val="20"/>
              </w:rPr>
              <w:t>Annealing</w:t>
            </w:r>
          </w:p>
        </w:tc>
        <w:tc>
          <w:tcPr>
            <w:tcW w:w="1000" w:type="pct"/>
            <w:hideMark/>
          </w:tcPr>
          <w:p w14:paraId="2A8480B1"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36</w:t>
            </w:r>
          </w:p>
        </w:tc>
        <w:tc>
          <w:tcPr>
            <w:tcW w:w="1000" w:type="pct"/>
            <w:hideMark/>
          </w:tcPr>
          <w:p w14:paraId="3849D9D9"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 xml:space="preserve">1 </w:t>
            </w:r>
            <w:r w:rsidRPr="005C3D97">
              <w:rPr>
                <w:rFonts w:asciiTheme="majorBidi" w:hAnsiTheme="majorBidi" w:cstheme="majorBidi"/>
                <w:sz w:val="20"/>
                <w:lang w:bidi="ar-IQ"/>
              </w:rPr>
              <w:t xml:space="preserve"> min</w:t>
            </w:r>
          </w:p>
        </w:tc>
        <w:tc>
          <w:tcPr>
            <w:tcW w:w="0" w:type="auto"/>
            <w:vMerge/>
            <w:vAlign w:val="center"/>
            <w:hideMark/>
          </w:tcPr>
          <w:p w14:paraId="0437219E" w14:textId="77777777" w:rsidR="00BA2BC4" w:rsidRPr="005C3D97" w:rsidRDefault="00BA2BC4" w:rsidP="00A14631">
            <w:pPr>
              <w:rPr>
                <w:rFonts w:asciiTheme="majorBidi" w:hAnsiTheme="majorBidi" w:cstheme="majorBidi"/>
                <w:sz w:val="20"/>
                <w:lang w:bidi="ar-IQ"/>
              </w:rPr>
            </w:pPr>
          </w:p>
        </w:tc>
      </w:tr>
      <w:tr w:rsidR="00BA2BC4" w:rsidRPr="005C3D97" w14:paraId="76F40452" w14:textId="77777777" w:rsidTr="00981788">
        <w:trPr>
          <w:trHeight w:val="357"/>
        </w:trPr>
        <w:tc>
          <w:tcPr>
            <w:tcW w:w="466" w:type="pct"/>
            <w:hideMark/>
          </w:tcPr>
          <w:p w14:paraId="7F5C6B44"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4</w:t>
            </w:r>
          </w:p>
        </w:tc>
        <w:tc>
          <w:tcPr>
            <w:tcW w:w="1534" w:type="pct"/>
            <w:hideMark/>
          </w:tcPr>
          <w:p w14:paraId="178C1D18" w14:textId="77777777" w:rsidR="00BA2BC4" w:rsidRPr="005C3D97" w:rsidRDefault="00BA2BC4" w:rsidP="00A14631">
            <w:pPr>
              <w:pStyle w:val="Default"/>
              <w:jc w:val="center"/>
              <w:rPr>
                <w:rFonts w:asciiTheme="majorBidi" w:hAnsiTheme="majorBidi" w:cstheme="majorBidi"/>
                <w:sz w:val="20"/>
                <w:szCs w:val="20"/>
                <w:lang w:bidi="ar-IQ"/>
              </w:rPr>
            </w:pPr>
            <w:r w:rsidRPr="005C3D97">
              <w:rPr>
                <w:rFonts w:asciiTheme="majorBidi" w:hAnsiTheme="majorBidi" w:cstheme="majorBidi"/>
                <w:sz w:val="20"/>
                <w:szCs w:val="20"/>
              </w:rPr>
              <w:t>Extension</w:t>
            </w:r>
          </w:p>
        </w:tc>
        <w:tc>
          <w:tcPr>
            <w:tcW w:w="1000" w:type="pct"/>
            <w:hideMark/>
          </w:tcPr>
          <w:p w14:paraId="7544F244"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72</w:t>
            </w:r>
          </w:p>
        </w:tc>
        <w:tc>
          <w:tcPr>
            <w:tcW w:w="1000" w:type="pct"/>
            <w:hideMark/>
          </w:tcPr>
          <w:p w14:paraId="710EFEA8"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 xml:space="preserve">1 </w:t>
            </w:r>
            <w:r w:rsidRPr="005C3D97">
              <w:rPr>
                <w:rFonts w:asciiTheme="majorBidi" w:hAnsiTheme="majorBidi" w:cstheme="majorBidi"/>
                <w:sz w:val="20"/>
                <w:lang w:bidi="ar-IQ"/>
              </w:rPr>
              <w:t xml:space="preserve"> min</w:t>
            </w:r>
          </w:p>
        </w:tc>
        <w:tc>
          <w:tcPr>
            <w:tcW w:w="0" w:type="auto"/>
            <w:vMerge/>
            <w:vAlign w:val="center"/>
            <w:hideMark/>
          </w:tcPr>
          <w:p w14:paraId="674C58B5" w14:textId="77777777" w:rsidR="00BA2BC4" w:rsidRPr="005C3D97" w:rsidRDefault="00BA2BC4" w:rsidP="00A14631">
            <w:pPr>
              <w:rPr>
                <w:rFonts w:asciiTheme="majorBidi" w:hAnsiTheme="majorBidi" w:cstheme="majorBidi"/>
                <w:sz w:val="20"/>
                <w:lang w:bidi="ar-IQ"/>
              </w:rPr>
            </w:pPr>
          </w:p>
        </w:tc>
      </w:tr>
      <w:tr w:rsidR="00BA2BC4" w:rsidRPr="005C3D97" w14:paraId="542CC6B4" w14:textId="77777777" w:rsidTr="00981788">
        <w:trPr>
          <w:trHeight w:val="357"/>
        </w:trPr>
        <w:tc>
          <w:tcPr>
            <w:tcW w:w="466" w:type="pct"/>
            <w:hideMark/>
          </w:tcPr>
          <w:p w14:paraId="0A56C590"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5</w:t>
            </w:r>
          </w:p>
        </w:tc>
        <w:tc>
          <w:tcPr>
            <w:tcW w:w="1534" w:type="pct"/>
            <w:hideMark/>
          </w:tcPr>
          <w:p w14:paraId="3DE5DDE2" w14:textId="77777777" w:rsidR="00BA2BC4" w:rsidRPr="005C3D97" w:rsidRDefault="00BA2BC4" w:rsidP="00A14631">
            <w:pPr>
              <w:pStyle w:val="Default"/>
              <w:jc w:val="center"/>
              <w:rPr>
                <w:rFonts w:asciiTheme="majorBidi" w:hAnsiTheme="majorBidi" w:cstheme="majorBidi"/>
                <w:sz w:val="20"/>
                <w:szCs w:val="20"/>
                <w:lang w:bidi="ar-IQ"/>
              </w:rPr>
            </w:pPr>
            <w:r w:rsidRPr="005C3D97">
              <w:rPr>
                <w:rFonts w:asciiTheme="majorBidi" w:hAnsiTheme="majorBidi" w:cstheme="majorBidi"/>
                <w:sz w:val="20"/>
                <w:szCs w:val="20"/>
              </w:rPr>
              <w:t>Final Extension</w:t>
            </w:r>
          </w:p>
        </w:tc>
        <w:tc>
          <w:tcPr>
            <w:tcW w:w="1000" w:type="pct"/>
            <w:hideMark/>
          </w:tcPr>
          <w:p w14:paraId="367E0643"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72</w:t>
            </w:r>
          </w:p>
        </w:tc>
        <w:tc>
          <w:tcPr>
            <w:tcW w:w="1000" w:type="pct"/>
            <w:hideMark/>
          </w:tcPr>
          <w:p w14:paraId="1BC3060B"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 xml:space="preserve">9 </w:t>
            </w:r>
            <w:r w:rsidRPr="005C3D97">
              <w:rPr>
                <w:rFonts w:asciiTheme="majorBidi" w:hAnsiTheme="majorBidi" w:cstheme="majorBidi"/>
                <w:sz w:val="20"/>
                <w:lang w:bidi="ar-IQ"/>
              </w:rPr>
              <w:t xml:space="preserve"> min</w:t>
            </w:r>
          </w:p>
        </w:tc>
        <w:tc>
          <w:tcPr>
            <w:tcW w:w="1000" w:type="pct"/>
            <w:hideMark/>
          </w:tcPr>
          <w:p w14:paraId="23CB9556" w14:textId="77777777" w:rsidR="00BA2BC4" w:rsidRPr="005C3D97" w:rsidRDefault="00BA2BC4" w:rsidP="00A14631">
            <w:pPr>
              <w:jc w:val="center"/>
              <w:rPr>
                <w:rFonts w:asciiTheme="majorBidi" w:hAnsiTheme="majorBidi" w:cstheme="majorBidi"/>
                <w:sz w:val="20"/>
                <w:lang w:bidi="ar-IQ"/>
              </w:rPr>
            </w:pPr>
            <w:r w:rsidRPr="005C3D97">
              <w:rPr>
                <w:rFonts w:asciiTheme="majorBidi" w:hAnsiTheme="majorBidi" w:cstheme="majorBidi"/>
                <w:sz w:val="20"/>
                <w:rtl/>
                <w:lang w:bidi="ar-IQ"/>
              </w:rPr>
              <w:t>1</w:t>
            </w:r>
          </w:p>
        </w:tc>
      </w:tr>
    </w:tbl>
    <w:p w14:paraId="54CFC5A6" w14:textId="068C2020" w:rsidR="00BA2BC4" w:rsidRPr="005C3D97" w:rsidRDefault="00BA2BC4" w:rsidP="00A14631">
      <w:pPr>
        <w:pStyle w:val="Paragraph"/>
        <w:rPr>
          <w:rFonts w:asciiTheme="majorBidi" w:hAnsiTheme="majorBidi" w:cstheme="majorBidi"/>
          <w:sz w:val="18"/>
          <w:szCs w:val="18"/>
        </w:rPr>
      </w:pPr>
      <w:r w:rsidRPr="005C3D97">
        <w:rPr>
          <w:rFonts w:asciiTheme="majorBidi" w:hAnsiTheme="majorBidi" w:cstheme="majorBidi"/>
          <w:bCs/>
          <w:sz w:val="18"/>
          <w:szCs w:val="18"/>
        </w:rPr>
        <w:t xml:space="preserve">Five </w:t>
      </w:r>
      <w:proofErr w:type="spellStart"/>
      <w:r w:rsidRPr="005C3D97">
        <w:rPr>
          <w:rFonts w:asciiTheme="majorBidi" w:hAnsiTheme="majorBidi" w:cstheme="majorBidi"/>
          <w:bCs/>
          <w:sz w:val="18"/>
          <w:szCs w:val="18"/>
        </w:rPr>
        <w:t>μL</w:t>
      </w:r>
      <w:proofErr w:type="spellEnd"/>
      <w:r w:rsidRPr="005C3D97">
        <w:rPr>
          <w:rFonts w:asciiTheme="majorBidi" w:hAnsiTheme="majorBidi" w:cstheme="majorBidi"/>
          <w:bCs/>
          <w:sz w:val="18"/>
          <w:szCs w:val="18"/>
        </w:rPr>
        <w:t xml:space="preserve"> of the PCR was then transferred to the electrophoresis on the prepared agarose gel at a concentration of 2%.</w:t>
      </w:r>
    </w:p>
    <w:p w14:paraId="0D28D60A" w14:textId="184CC0CA" w:rsidR="001571DE" w:rsidRPr="005C3D97" w:rsidRDefault="00C73C36" w:rsidP="00A14631">
      <w:pPr>
        <w:pStyle w:val="Heading2"/>
        <w:rPr>
          <w:rFonts w:asciiTheme="majorBidi" w:hAnsiTheme="majorBidi" w:cstheme="majorBidi"/>
        </w:rPr>
      </w:pPr>
      <w:r w:rsidRPr="005C3D97">
        <w:rPr>
          <w:rFonts w:asciiTheme="majorBidi" w:hAnsiTheme="majorBidi" w:cstheme="majorBidi"/>
          <w:b w:val="0"/>
          <w:bCs/>
          <w:sz w:val="20"/>
          <w:szCs w:val="16"/>
        </w:rPr>
        <w:t xml:space="preserve"> </w:t>
      </w:r>
      <w:r w:rsidR="00FC0006" w:rsidRPr="005C3D97">
        <w:rPr>
          <w:rFonts w:asciiTheme="majorBidi" w:hAnsiTheme="majorBidi" w:cstheme="majorBidi"/>
        </w:rPr>
        <w:t xml:space="preserve">Ethical Approval </w:t>
      </w:r>
    </w:p>
    <w:p w14:paraId="72A7F54D" w14:textId="0F10C49C" w:rsidR="001571DE" w:rsidRPr="005C3D97" w:rsidRDefault="00FC0006" w:rsidP="00A14631">
      <w:pPr>
        <w:pStyle w:val="Paragraph"/>
        <w:rPr>
          <w:rFonts w:asciiTheme="majorBidi" w:hAnsiTheme="majorBidi" w:cstheme="majorBidi"/>
        </w:rPr>
      </w:pPr>
      <w:r w:rsidRPr="005C3D97">
        <w:rPr>
          <w:rFonts w:asciiTheme="majorBidi" w:hAnsiTheme="majorBidi" w:cstheme="majorBidi"/>
        </w:rPr>
        <w:t>Ethical Approval and consent to participate, according to the Helsinki Declaration, Ethical permission h</w:t>
      </w:r>
      <w:r w:rsidR="0069067D" w:rsidRPr="005C3D97">
        <w:rPr>
          <w:rFonts w:asciiTheme="majorBidi" w:hAnsiTheme="majorBidi" w:cstheme="majorBidi"/>
        </w:rPr>
        <w:t xml:space="preserve">as been obtained from the College of Education for Pure Science (Ibn Al-Haitham) at the University of Baghdad and the Iraqi Ministry of Health and Environment no. (39891) on 19/10/2023, </w:t>
      </w:r>
      <w:r w:rsidRPr="005C3D97">
        <w:rPr>
          <w:rFonts w:asciiTheme="majorBidi" w:hAnsiTheme="majorBidi" w:cstheme="majorBidi"/>
        </w:rPr>
        <w:t>subject to the agreement of the patients directed</w:t>
      </w:r>
      <w:r w:rsidR="001571DE" w:rsidRPr="005C3D97">
        <w:rPr>
          <w:rFonts w:asciiTheme="majorBidi" w:hAnsiTheme="majorBidi" w:cstheme="majorBidi"/>
        </w:rPr>
        <w:t>.</w:t>
      </w:r>
    </w:p>
    <w:p w14:paraId="19496C26" w14:textId="6A4BF1D7" w:rsidR="00BA3B3D" w:rsidRPr="005C3D97" w:rsidRDefault="00AA56B3" w:rsidP="00A14631">
      <w:pPr>
        <w:pStyle w:val="Heading2"/>
        <w:rPr>
          <w:caps/>
          <w:sz w:val="20"/>
        </w:rPr>
      </w:pPr>
      <w:r w:rsidRPr="005C3D97">
        <w:t>RESULTS</w:t>
      </w:r>
    </w:p>
    <w:p w14:paraId="530E6BD2" w14:textId="65C711B1" w:rsidR="00BA3B3D" w:rsidRPr="005C3D97" w:rsidRDefault="0069067D" w:rsidP="00A14631">
      <w:pPr>
        <w:pStyle w:val="Heading2"/>
        <w:rPr>
          <w:rFonts w:asciiTheme="majorBidi" w:hAnsiTheme="majorBidi" w:cstheme="majorBidi"/>
        </w:rPr>
      </w:pPr>
      <w:r w:rsidRPr="005C3D97">
        <w:rPr>
          <w:rFonts w:asciiTheme="majorBidi" w:hAnsiTheme="majorBidi" w:cstheme="majorBidi"/>
          <w:bCs/>
        </w:rPr>
        <w:t>Isolation a</w:t>
      </w:r>
      <w:r w:rsidR="0033439F" w:rsidRPr="005C3D97">
        <w:rPr>
          <w:rFonts w:asciiTheme="majorBidi" w:hAnsiTheme="majorBidi" w:cstheme="majorBidi"/>
          <w:bCs/>
        </w:rPr>
        <w:t>nd Detection o</w:t>
      </w:r>
      <w:r w:rsidRPr="005C3D97">
        <w:rPr>
          <w:rFonts w:asciiTheme="majorBidi" w:hAnsiTheme="majorBidi" w:cstheme="majorBidi"/>
          <w:bCs/>
        </w:rPr>
        <w:t>f Samples</w:t>
      </w:r>
    </w:p>
    <w:p w14:paraId="3B647E34" w14:textId="2D11215B" w:rsidR="0033439F" w:rsidRPr="005C3D97" w:rsidRDefault="0069067D" w:rsidP="00A14631">
      <w:pPr>
        <w:pStyle w:val="Paragraph"/>
        <w:rPr>
          <w:rFonts w:asciiTheme="majorBidi" w:hAnsiTheme="majorBidi" w:cstheme="majorBidi"/>
        </w:rPr>
      </w:pPr>
      <w:r w:rsidRPr="005C3D97">
        <w:rPr>
          <w:rFonts w:asciiTheme="majorBidi" w:hAnsiTheme="majorBidi" w:cstheme="majorBidi"/>
          <w:bCs/>
        </w:rPr>
        <w:t xml:space="preserve">After performing morphological and microscopic examinations, biochemical tests and genetic diagnosis by detecting the </w:t>
      </w:r>
      <w:r w:rsidRPr="005C3D97">
        <w:rPr>
          <w:rFonts w:asciiTheme="majorBidi" w:hAnsiTheme="majorBidi" w:cstheme="majorBidi"/>
          <w:bCs/>
          <w:i/>
          <w:iCs/>
        </w:rPr>
        <w:t>16S rRNA</w:t>
      </w:r>
      <w:r w:rsidRPr="005C3D97">
        <w:rPr>
          <w:rFonts w:asciiTheme="majorBidi" w:hAnsiTheme="majorBidi" w:cstheme="majorBidi"/>
          <w:bCs/>
        </w:rPr>
        <w:t xml:space="preserve"> gene. After the final diagnosis, 50 (38.4%) of </w:t>
      </w:r>
      <w:r w:rsidRPr="005C3D97">
        <w:rPr>
          <w:rFonts w:asciiTheme="majorBidi" w:hAnsiTheme="majorBidi" w:cstheme="majorBidi"/>
          <w:bCs/>
          <w:i/>
          <w:iCs/>
        </w:rPr>
        <w:t>K. pneumoniae</w:t>
      </w:r>
      <w:r w:rsidRPr="005C3D97">
        <w:rPr>
          <w:rFonts w:asciiTheme="majorBidi" w:hAnsiTheme="majorBidi" w:cstheme="majorBidi"/>
          <w:bCs/>
        </w:rPr>
        <w:t xml:space="preserve"> bacteria were obtained. The results of the study presented that the highest percentage of </w:t>
      </w:r>
      <w:r w:rsidRPr="005C3D97">
        <w:rPr>
          <w:rFonts w:asciiTheme="majorBidi" w:hAnsiTheme="majorBidi" w:cstheme="majorBidi"/>
          <w:bCs/>
          <w:i/>
          <w:iCs/>
        </w:rPr>
        <w:t>K. pneumoniae</w:t>
      </w:r>
      <w:r w:rsidRPr="005C3D97">
        <w:rPr>
          <w:rFonts w:asciiTheme="majorBidi" w:hAnsiTheme="majorBidi" w:cstheme="majorBidi"/>
          <w:bCs/>
        </w:rPr>
        <w:t xml:space="preserve"> isolation was from urine samples Urine of patients with urinary tract infections (UTI) as it reached 25 (50%) of the total isolates, 14 (28%) from sputum, 6 (12%) from wounds, 3 (6%) from blood, 2 (4</w:t>
      </w:r>
      <w:r w:rsidR="005F4EAE" w:rsidRPr="005C3D97">
        <w:rPr>
          <w:rFonts w:asciiTheme="majorBidi" w:hAnsiTheme="majorBidi" w:cstheme="majorBidi"/>
          <w:bCs/>
        </w:rPr>
        <w:t>%) from burns</w:t>
      </w:r>
      <w:r w:rsidR="002F495B" w:rsidRPr="005C3D97">
        <w:rPr>
          <w:rFonts w:asciiTheme="majorBidi" w:hAnsiTheme="majorBidi" w:cstheme="majorBidi"/>
        </w:rPr>
        <w:t>.</w:t>
      </w:r>
      <w:r w:rsidR="001C4E23" w:rsidRPr="005C3D97">
        <w:rPr>
          <w:rFonts w:asciiTheme="majorBidi" w:hAnsiTheme="majorBidi" w:cstheme="majorBidi"/>
          <w:b/>
          <w:i/>
          <w:iCs/>
        </w:rPr>
        <w:tab/>
      </w:r>
      <w:r w:rsidR="008331D3" w:rsidRPr="005C3D97">
        <w:rPr>
          <w:rFonts w:asciiTheme="majorBidi" w:hAnsiTheme="majorBidi" w:cstheme="majorBidi"/>
          <w:bCs/>
        </w:rPr>
        <w:t xml:space="preserve">Fifty bacterial isolates showed the ability to grow on MacConkey agar and showed bright pink colonies with a mucoid structure, which is a distinctive feature of </w:t>
      </w:r>
      <w:r w:rsidR="008331D3" w:rsidRPr="005C3D97">
        <w:rPr>
          <w:rFonts w:asciiTheme="majorBidi" w:hAnsiTheme="majorBidi" w:cstheme="majorBidi"/>
          <w:bCs/>
          <w:i/>
          <w:iCs/>
        </w:rPr>
        <w:t>K. pneumoniae</w:t>
      </w:r>
      <w:r w:rsidR="008331D3" w:rsidRPr="005C3D97">
        <w:rPr>
          <w:rFonts w:asciiTheme="majorBidi" w:hAnsiTheme="majorBidi" w:cstheme="majorBidi"/>
          <w:bCs/>
        </w:rPr>
        <w:t xml:space="preserve"> bacteria because it ferments lactose. When grown on blood agar medium, large, shiny, gray-white, round colonies appeared with no non-hemolytic hemolysis of the type (γ-hemolysis). Also, when grown on </w:t>
      </w:r>
      <w:proofErr w:type="spellStart"/>
      <w:r w:rsidR="008331D3" w:rsidRPr="005C3D97">
        <w:rPr>
          <w:rFonts w:asciiTheme="majorBidi" w:hAnsiTheme="majorBidi" w:cstheme="majorBidi"/>
          <w:bCs/>
        </w:rPr>
        <w:t>CHROMagar</w:t>
      </w:r>
      <w:proofErr w:type="spellEnd"/>
      <w:r w:rsidR="008331D3" w:rsidRPr="005C3D97">
        <w:rPr>
          <w:rFonts w:asciiTheme="majorBidi" w:hAnsiTheme="majorBidi" w:cstheme="majorBidi"/>
          <w:bCs/>
        </w:rPr>
        <w:t>™ medium, a metallic blue bacteri</w:t>
      </w:r>
      <w:r w:rsidR="005F4EAE" w:rsidRPr="005C3D97">
        <w:rPr>
          <w:rFonts w:asciiTheme="majorBidi" w:hAnsiTheme="majorBidi" w:cstheme="majorBidi"/>
          <w:bCs/>
        </w:rPr>
        <w:t>al colony appeared.</w:t>
      </w:r>
      <w:r w:rsidR="00532455" w:rsidRPr="005C3D97">
        <w:rPr>
          <w:rFonts w:asciiTheme="majorBidi" w:hAnsiTheme="majorBidi" w:cstheme="majorBidi"/>
          <w:bCs/>
        </w:rPr>
        <w:t xml:space="preserve"> All 50 was performed after staining with Gram stain. The results of microscopic </w:t>
      </w:r>
      <w:r w:rsidR="005F4EAE" w:rsidRPr="005C3D97">
        <w:rPr>
          <w:rFonts w:asciiTheme="majorBidi" w:hAnsiTheme="majorBidi" w:cstheme="majorBidi"/>
          <w:bCs/>
        </w:rPr>
        <w:t>examination showed</w:t>
      </w:r>
      <w:r w:rsidR="00532455" w:rsidRPr="005C3D97">
        <w:rPr>
          <w:rFonts w:asciiTheme="majorBidi" w:hAnsiTheme="majorBidi" w:cstheme="majorBidi"/>
          <w:bCs/>
        </w:rPr>
        <w:t xml:space="preserve"> that they were Gram-negative </w:t>
      </w:r>
      <w:r w:rsidR="005F4EAE" w:rsidRPr="005C3D97">
        <w:rPr>
          <w:rFonts w:asciiTheme="majorBidi" w:hAnsiTheme="majorBidi" w:cstheme="majorBidi"/>
          <w:bCs/>
        </w:rPr>
        <w:t xml:space="preserve">rods. </w:t>
      </w:r>
      <w:r w:rsidR="00532455" w:rsidRPr="005C3D97">
        <w:rPr>
          <w:rFonts w:asciiTheme="majorBidi" w:hAnsiTheme="majorBidi" w:cstheme="majorBidi"/>
          <w:bCs/>
        </w:rPr>
        <w:t xml:space="preserve">For further identification, biochemical tests were performed on 50 isolates, including </w:t>
      </w:r>
      <w:r w:rsidR="005F4EAE" w:rsidRPr="005C3D97">
        <w:rPr>
          <w:rFonts w:asciiTheme="majorBidi" w:hAnsiTheme="majorBidi" w:cstheme="majorBidi"/>
          <w:bCs/>
        </w:rPr>
        <w:t>urease,</w:t>
      </w:r>
      <w:r w:rsidR="00532455" w:rsidRPr="005C3D97">
        <w:rPr>
          <w:rFonts w:asciiTheme="majorBidi" w:hAnsiTheme="majorBidi" w:cstheme="majorBidi"/>
          <w:bCs/>
        </w:rPr>
        <w:t xml:space="preserve"> </w:t>
      </w:r>
      <w:r w:rsidR="005F4EAE" w:rsidRPr="005C3D97">
        <w:rPr>
          <w:rFonts w:asciiTheme="majorBidi" w:hAnsiTheme="majorBidi" w:cstheme="majorBidi"/>
          <w:bCs/>
        </w:rPr>
        <w:t>citrate,</w:t>
      </w:r>
      <w:r w:rsidR="00532455" w:rsidRPr="005C3D97">
        <w:rPr>
          <w:rFonts w:asciiTheme="majorBidi" w:hAnsiTheme="majorBidi" w:cstheme="majorBidi"/>
          <w:bCs/>
        </w:rPr>
        <w:t xml:space="preserve"> </w:t>
      </w:r>
      <w:r w:rsidR="005F4EAE" w:rsidRPr="005C3D97">
        <w:rPr>
          <w:rFonts w:asciiTheme="majorBidi" w:hAnsiTheme="majorBidi" w:cstheme="majorBidi"/>
          <w:bCs/>
        </w:rPr>
        <w:t>catalase,</w:t>
      </w:r>
      <w:r w:rsidR="00532455" w:rsidRPr="005C3D97">
        <w:rPr>
          <w:rFonts w:asciiTheme="majorBidi" w:hAnsiTheme="majorBidi" w:cstheme="majorBidi"/>
          <w:bCs/>
        </w:rPr>
        <w:t xml:space="preserve"> and Fuchs-Proskauer. All isolates gave positive results, and gave negative results for the </w:t>
      </w:r>
      <w:r w:rsidR="005F4EAE" w:rsidRPr="005C3D97">
        <w:rPr>
          <w:rFonts w:asciiTheme="majorBidi" w:hAnsiTheme="majorBidi" w:cstheme="majorBidi"/>
          <w:bCs/>
        </w:rPr>
        <w:t>oxidase,</w:t>
      </w:r>
      <w:r w:rsidR="00532455" w:rsidRPr="005C3D97">
        <w:rPr>
          <w:rFonts w:asciiTheme="majorBidi" w:hAnsiTheme="majorBidi" w:cstheme="majorBidi"/>
          <w:bCs/>
        </w:rPr>
        <w:t xml:space="preserve"> indole, and methyl red test.</w:t>
      </w:r>
    </w:p>
    <w:p w14:paraId="764C9597" w14:textId="5F70192D" w:rsidR="00FD75C0" w:rsidRPr="005C3D97" w:rsidRDefault="00FD75C0" w:rsidP="00A14631">
      <w:pPr>
        <w:pStyle w:val="Heading2"/>
        <w:rPr>
          <w:rFonts w:asciiTheme="majorBidi" w:hAnsiTheme="majorBidi" w:cstheme="majorBidi"/>
          <w:rtl/>
        </w:rPr>
      </w:pPr>
      <w:r w:rsidRPr="005C3D97">
        <w:rPr>
          <w:rFonts w:asciiTheme="majorBidi" w:hAnsiTheme="majorBidi" w:cstheme="majorBidi"/>
        </w:rPr>
        <w:lastRenderedPageBreak/>
        <w:t xml:space="preserve">Antimicrobial Susceptibility of </w:t>
      </w:r>
      <w:r w:rsidRPr="005C3D97">
        <w:rPr>
          <w:rFonts w:asciiTheme="majorBidi" w:hAnsiTheme="majorBidi" w:cstheme="majorBidi"/>
          <w:i/>
          <w:iCs/>
        </w:rPr>
        <w:t>K.</w:t>
      </w:r>
      <w:r w:rsidR="00AA56B3">
        <w:rPr>
          <w:rFonts w:asciiTheme="majorBidi" w:hAnsiTheme="majorBidi" w:cstheme="majorBidi"/>
          <w:i/>
          <w:iCs/>
        </w:rPr>
        <w:t xml:space="preserve"> </w:t>
      </w:r>
      <w:r w:rsidR="00AA56B3" w:rsidRPr="005C3D97">
        <w:rPr>
          <w:rFonts w:asciiTheme="majorBidi" w:hAnsiTheme="majorBidi" w:cstheme="majorBidi"/>
          <w:i/>
          <w:iCs/>
        </w:rPr>
        <w:t>Pneumoniae</w:t>
      </w:r>
      <w:r w:rsidR="00AA56B3" w:rsidRPr="005C3D97">
        <w:rPr>
          <w:rFonts w:asciiTheme="majorBidi" w:hAnsiTheme="majorBidi" w:cstheme="majorBidi"/>
        </w:rPr>
        <w:t xml:space="preserve"> </w:t>
      </w:r>
      <w:r w:rsidR="00AA56B3">
        <w:rPr>
          <w:rFonts w:asciiTheme="majorBidi" w:hAnsiTheme="majorBidi" w:cstheme="majorBidi"/>
        </w:rPr>
        <w:t xml:space="preserve"> </w:t>
      </w:r>
    </w:p>
    <w:p w14:paraId="5885E9DB" w14:textId="05318C9B" w:rsidR="00FD75C0" w:rsidRPr="005C3D97" w:rsidRDefault="00A82390" w:rsidP="00A14631">
      <w:pPr>
        <w:pStyle w:val="Paragraph"/>
        <w:rPr>
          <w:rFonts w:asciiTheme="majorBidi" w:hAnsiTheme="majorBidi" w:cstheme="majorBidi"/>
          <w:bCs/>
        </w:rPr>
      </w:pPr>
      <w:r w:rsidRPr="005C3D97">
        <w:rPr>
          <w:rFonts w:asciiTheme="majorBidi" w:hAnsiTheme="majorBidi" w:cstheme="majorBidi"/>
          <w:bCs/>
        </w:rPr>
        <w:t>In this study, antibiotic sensitivity testing was</w:t>
      </w:r>
      <w:r w:rsidR="005F4EAE" w:rsidRPr="005C3D97">
        <w:rPr>
          <w:rFonts w:asciiTheme="majorBidi" w:hAnsiTheme="majorBidi" w:cstheme="majorBidi"/>
          <w:bCs/>
        </w:rPr>
        <w:t xml:space="preserve"> performed on seven antibiotics</w:t>
      </w:r>
      <w:r w:rsidRPr="005C3D97">
        <w:rPr>
          <w:rFonts w:asciiTheme="majorBidi" w:hAnsiTheme="majorBidi" w:cstheme="majorBidi"/>
          <w:bCs/>
        </w:rPr>
        <w:t xml:space="preserve">. Most of the </w:t>
      </w:r>
      <w:r w:rsidRPr="005C3D97">
        <w:rPr>
          <w:rFonts w:asciiTheme="majorBidi" w:hAnsiTheme="majorBidi" w:cstheme="majorBidi"/>
          <w:bCs/>
          <w:i/>
          <w:iCs/>
        </w:rPr>
        <w:t>K. pneumoniae</w:t>
      </w:r>
      <w:r w:rsidRPr="005C3D97">
        <w:rPr>
          <w:rFonts w:asciiTheme="majorBidi" w:hAnsiTheme="majorBidi" w:cstheme="majorBidi"/>
          <w:bCs/>
        </w:rPr>
        <w:t xml:space="preserve"> bacteria showed resistance to an extensive range of antibiotics that were examined. The bacterial isolates showed resistance to Ticarcillin and Ticarcillin/Clavulanic Acid by 100% and 86%, respectively, All bacterial isolates showed resistance to Piperacillin, which is one of the beta-lactam antibiotics, at a rate of (100%); The results of this study presented that the resistance of bacterial isolates against Piperacillin/Tazobactam at (64%)  The resistance of bacterial isolates to Ceftazidime, one of the antibiotics of the Cephalosporins group, reached (79%). The results of the current study indicated that the resistance to Cefepime, which amounted to (68%), which is one of the antibiotics of the Cephalosporins group. The results of the present study indicated that resistance to the antibiotic Aztreonam, which belongs to the group of Monobactam family antibiotics, was (88%). </w:t>
      </w:r>
    </w:p>
    <w:p w14:paraId="79BC4B81" w14:textId="012FE210" w:rsidR="00A82390" w:rsidRPr="005C3D97" w:rsidRDefault="004670BF" w:rsidP="00A14631">
      <w:pPr>
        <w:pStyle w:val="Heading2"/>
        <w:rPr>
          <w:rFonts w:asciiTheme="majorBidi" w:hAnsiTheme="majorBidi" w:cstheme="majorBidi"/>
        </w:rPr>
      </w:pPr>
      <w:r w:rsidRPr="005C3D97">
        <w:rPr>
          <w:rFonts w:asciiTheme="majorBidi" w:hAnsiTheme="majorBidi" w:cstheme="majorBidi"/>
          <w:bCs/>
        </w:rPr>
        <w:t xml:space="preserve">Detection of </w:t>
      </w:r>
      <w:r w:rsidRPr="005C3D97">
        <w:rPr>
          <w:rFonts w:asciiTheme="majorBidi" w:hAnsiTheme="majorBidi" w:cstheme="majorBidi"/>
          <w:bCs/>
          <w:i/>
          <w:iCs/>
        </w:rPr>
        <w:t xml:space="preserve">16SrRNA, </w:t>
      </w:r>
      <w:proofErr w:type="spellStart"/>
      <w:r w:rsidRPr="005C3D97">
        <w:rPr>
          <w:rFonts w:asciiTheme="majorBidi" w:hAnsiTheme="majorBidi" w:cstheme="majorBidi"/>
          <w:bCs/>
          <w:i/>
          <w:iCs/>
        </w:rPr>
        <w:t>oqxA</w:t>
      </w:r>
      <w:proofErr w:type="spellEnd"/>
      <w:r w:rsidRPr="005C3D97">
        <w:rPr>
          <w:rFonts w:asciiTheme="majorBidi" w:hAnsiTheme="majorBidi" w:cstheme="majorBidi"/>
          <w:bCs/>
          <w:i/>
          <w:iCs/>
        </w:rPr>
        <w:t xml:space="preserve"> and </w:t>
      </w:r>
      <w:proofErr w:type="spellStart"/>
      <w:r w:rsidRPr="005C3D97">
        <w:rPr>
          <w:rFonts w:asciiTheme="majorBidi" w:hAnsiTheme="majorBidi" w:cstheme="majorBidi"/>
          <w:bCs/>
          <w:i/>
          <w:iCs/>
        </w:rPr>
        <w:t>oqxB</w:t>
      </w:r>
      <w:proofErr w:type="spellEnd"/>
      <w:r w:rsidRPr="005C3D97">
        <w:rPr>
          <w:rFonts w:asciiTheme="majorBidi" w:hAnsiTheme="majorBidi" w:cstheme="majorBidi"/>
          <w:bCs/>
          <w:i/>
          <w:iCs/>
        </w:rPr>
        <w:t xml:space="preserve"> </w:t>
      </w:r>
      <w:r w:rsidRPr="005C3D97">
        <w:rPr>
          <w:rFonts w:asciiTheme="majorBidi" w:hAnsiTheme="majorBidi" w:cstheme="majorBidi"/>
          <w:bCs/>
        </w:rPr>
        <w:t>Gene</w:t>
      </w:r>
      <w:r w:rsidR="00A82390" w:rsidRPr="005C3D97">
        <w:rPr>
          <w:rFonts w:asciiTheme="majorBidi" w:hAnsiTheme="majorBidi" w:cstheme="majorBidi"/>
        </w:rPr>
        <w:t>s</w:t>
      </w:r>
    </w:p>
    <w:p w14:paraId="4DB90CFC" w14:textId="7137C5E0" w:rsidR="002E5EB2" w:rsidRPr="005C3D97" w:rsidRDefault="004670BF" w:rsidP="00A14631">
      <w:pPr>
        <w:pStyle w:val="Paragraph"/>
        <w:rPr>
          <w:rFonts w:asciiTheme="majorBidi" w:hAnsiTheme="majorBidi" w:cstheme="majorBidi"/>
          <w:bCs/>
        </w:rPr>
      </w:pPr>
      <w:r w:rsidRPr="005C3D97">
        <w:rPr>
          <w:rFonts w:asciiTheme="majorBidi" w:hAnsiTheme="majorBidi" w:cstheme="majorBidi"/>
          <w:bCs/>
        </w:rPr>
        <w:t xml:space="preserve">All </w:t>
      </w:r>
      <w:r w:rsidRPr="005C3D97">
        <w:rPr>
          <w:rFonts w:asciiTheme="majorBidi" w:hAnsiTheme="majorBidi" w:cstheme="majorBidi"/>
          <w:bCs/>
          <w:i/>
          <w:iCs/>
        </w:rPr>
        <w:t>K. pneumoniae</w:t>
      </w:r>
      <w:r w:rsidRPr="005C3D97">
        <w:rPr>
          <w:rFonts w:asciiTheme="majorBidi" w:hAnsiTheme="majorBidi" w:cstheme="majorBidi"/>
          <w:bCs/>
        </w:rPr>
        <w:t xml:space="preserve"> isolates were subjected to molecular diagnosis using PCR technology to confirm the diagnosis using the primer for the </w:t>
      </w:r>
      <w:r w:rsidRPr="005C3D97">
        <w:rPr>
          <w:rFonts w:asciiTheme="majorBidi" w:hAnsiTheme="majorBidi" w:cstheme="majorBidi"/>
          <w:bCs/>
          <w:i/>
          <w:iCs/>
        </w:rPr>
        <w:t>16SrRNA</w:t>
      </w:r>
      <w:r w:rsidRPr="005C3D97">
        <w:rPr>
          <w:rFonts w:asciiTheme="majorBidi" w:hAnsiTheme="majorBidi" w:cstheme="majorBidi"/>
          <w:bCs/>
        </w:rPr>
        <w:t xml:space="preserve"> gene because it is a stable gene and has little variation for long periods in the bacterial species. The electrophoresis results showed that all </w:t>
      </w:r>
      <w:r w:rsidRPr="005C3D97">
        <w:rPr>
          <w:rFonts w:asciiTheme="majorBidi" w:hAnsiTheme="majorBidi" w:cstheme="majorBidi"/>
          <w:bCs/>
          <w:i/>
          <w:iCs/>
        </w:rPr>
        <w:t>K. pneumoniae</w:t>
      </w:r>
      <w:r w:rsidRPr="005C3D97">
        <w:rPr>
          <w:rFonts w:asciiTheme="majorBidi" w:hAnsiTheme="majorBidi" w:cstheme="majorBidi"/>
          <w:bCs/>
        </w:rPr>
        <w:t xml:space="preserve"> isolates (50 isolates) at a rate of 100% possessed the 1</w:t>
      </w:r>
      <w:r w:rsidR="004652D2" w:rsidRPr="005C3D97">
        <w:rPr>
          <w:rFonts w:asciiTheme="majorBidi" w:hAnsiTheme="majorBidi" w:cstheme="majorBidi"/>
          <w:bCs/>
        </w:rPr>
        <w:t xml:space="preserve">6SrRNA gene as shown in Fig. </w:t>
      </w:r>
      <w:r w:rsidR="005F4EAE" w:rsidRPr="005C3D97">
        <w:rPr>
          <w:rFonts w:asciiTheme="majorBidi" w:hAnsiTheme="majorBidi" w:cstheme="majorBidi"/>
          <w:bCs/>
        </w:rPr>
        <w:t>1 (a)</w:t>
      </w:r>
      <w:r w:rsidRPr="005C3D97">
        <w:rPr>
          <w:rFonts w:asciiTheme="majorBidi" w:hAnsiTheme="majorBidi" w:cstheme="majorBidi"/>
          <w:bCs/>
        </w:rPr>
        <w:t>. Compared with the multiplexed bands and the DNA ladder size indicator, it was found that the resulting bands had a molecular weight of 260 base pairs.</w:t>
      </w:r>
    </w:p>
    <w:p w14:paraId="20586AAF" w14:textId="473EA61A" w:rsidR="00BA3B3D" w:rsidRPr="005C3D97" w:rsidRDefault="002C78B9" w:rsidP="00A14631">
      <w:pPr>
        <w:pStyle w:val="Paragraph"/>
        <w:rPr>
          <w:rFonts w:asciiTheme="majorBidi" w:hAnsiTheme="majorBidi" w:cstheme="majorBidi"/>
        </w:rPr>
      </w:pPr>
      <w:r w:rsidRPr="005C3D97">
        <w:rPr>
          <w:rFonts w:asciiTheme="majorBidi" w:hAnsiTheme="majorBidi" w:cstheme="majorBidi"/>
        </w:rPr>
        <w:t xml:space="preserve">The results of the existing study presented that 50 bacterial isolates (100%) belong to </w:t>
      </w:r>
      <w:r w:rsidRPr="005C3D97">
        <w:rPr>
          <w:rFonts w:asciiTheme="majorBidi" w:hAnsiTheme="majorBidi" w:cstheme="majorBidi"/>
          <w:i/>
          <w:iCs/>
        </w:rPr>
        <w:t>K. pneumoniae</w:t>
      </w:r>
      <w:r w:rsidRPr="005C3D97">
        <w:rPr>
          <w:rFonts w:asciiTheme="majorBidi" w:hAnsiTheme="majorBidi" w:cstheme="majorBidi"/>
        </w:rPr>
        <w:t xml:space="preserve"> bacteria that possess the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gene. After comparing the multiple bands with the ladder size indicator bands, it was found that all of them have a molecular weight of 392 base pairs, as presented in Fig.</w:t>
      </w:r>
      <w:r w:rsidR="005F4EAE" w:rsidRPr="005C3D97">
        <w:rPr>
          <w:rFonts w:asciiTheme="majorBidi" w:hAnsiTheme="majorBidi" w:cstheme="majorBidi"/>
        </w:rPr>
        <w:t xml:space="preserve"> 1 (b)</w:t>
      </w:r>
      <w:r w:rsidR="00226876" w:rsidRPr="005C3D97">
        <w:rPr>
          <w:rFonts w:asciiTheme="majorBidi" w:hAnsiTheme="majorBidi" w:cstheme="majorBidi"/>
        </w:rPr>
        <w:t>.</w:t>
      </w:r>
    </w:p>
    <w:p w14:paraId="4F33F903" w14:textId="7B7698AE" w:rsidR="002E5EB2" w:rsidRDefault="00380535" w:rsidP="00A14631">
      <w:pPr>
        <w:pStyle w:val="Paragraph"/>
        <w:rPr>
          <w:rFonts w:asciiTheme="majorBidi" w:hAnsiTheme="majorBidi" w:cstheme="majorBidi"/>
        </w:rPr>
      </w:pPr>
      <w:r w:rsidRPr="005C3D97">
        <w:rPr>
          <w:rFonts w:asciiTheme="majorBidi" w:hAnsiTheme="majorBidi" w:cstheme="majorBidi"/>
          <w:bCs/>
        </w:rPr>
        <w:t xml:space="preserve">The results of the existing study displayed that 27 bacterial isolates (54%) out of a total of 50 bacterial isolates belonging to </w:t>
      </w:r>
      <w:r w:rsidRPr="005C3D97">
        <w:rPr>
          <w:rFonts w:asciiTheme="majorBidi" w:hAnsiTheme="majorBidi" w:cstheme="majorBidi"/>
          <w:bCs/>
          <w:i/>
          <w:iCs/>
        </w:rPr>
        <w:t>K. pneumoniae</w:t>
      </w:r>
      <w:r w:rsidRPr="005C3D97">
        <w:rPr>
          <w:rFonts w:asciiTheme="majorBidi" w:hAnsiTheme="majorBidi" w:cstheme="majorBidi"/>
          <w:bCs/>
        </w:rPr>
        <w:t xml:space="preserve"> bacteria possess the </w:t>
      </w:r>
      <w:proofErr w:type="spellStart"/>
      <w:r w:rsidRPr="005C3D97">
        <w:rPr>
          <w:rFonts w:asciiTheme="majorBidi" w:hAnsiTheme="majorBidi" w:cstheme="majorBidi"/>
          <w:bCs/>
          <w:i/>
          <w:iCs/>
        </w:rPr>
        <w:t>oqxB</w:t>
      </w:r>
      <w:proofErr w:type="spellEnd"/>
      <w:r w:rsidRPr="005C3D97">
        <w:rPr>
          <w:rFonts w:asciiTheme="majorBidi" w:hAnsiTheme="majorBidi" w:cstheme="majorBidi"/>
          <w:bCs/>
        </w:rPr>
        <w:t xml:space="preserve"> gene. After comparing the multiple bands with the ladder size indicator bands, it was found that all of them had a molecular weight of 512 base pairs, as presented in Fig.</w:t>
      </w:r>
      <w:r w:rsidR="005F4EAE" w:rsidRPr="005C3D97">
        <w:rPr>
          <w:rFonts w:asciiTheme="majorBidi" w:hAnsiTheme="majorBidi" w:cstheme="majorBidi"/>
          <w:bCs/>
        </w:rPr>
        <w:t xml:space="preserve"> 1</w:t>
      </w:r>
      <w:r w:rsidR="005F4EAE" w:rsidRPr="005C3D97">
        <w:rPr>
          <w:rFonts w:asciiTheme="majorBidi" w:hAnsiTheme="majorBidi" w:cstheme="majorBidi"/>
        </w:rPr>
        <w:t>(c).</w:t>
      </w:r>
    </w:p>
    <w:p w14:paraId="5BA11ED3" w14:textId="77777777" w:rsidR="00A14631" w:rsidRDefault="00A14631" w:rsidP="00A14631">
      <w:pPr>
        <w:pStyle w:val="Paragraph"/>
        <w:jc w:val="center"/>
        <w:rPr>
          <w:rFonts w:asciiTheme="majorBidi" w:hAnsiTheme="majorBidi" w:cstheme="majorBidi"/>
        </w:rPr>
      </w:pPr>
      <w:r w:rsidRPr="005C3D97">
        <w:rPr>
          <w:rFonts w:asciiTheme="majorBidi" w:hAnsiTheme="majorBidi" w:cstheme="majorBidi"/>
          <w:noProof/>
        </w:rPr>
        <w:drawing>
          <wp:inline distT="0" distB="0" distL="0" distR="0" wp14:anchorId="6D05D846" wp14:editId="06BB9693">
            <wp:extent cx="2181225" cy="1600200"/>
            <wp:effectExtent l="0" t="0" r="9525" b="0"/>
            <wp:docPr id="3" name="صورة 26" descr="A close-up of a test tube&#10;&#10;AI-generated content may be incorrect."/>
            <wp:cNvGraphicFramePr/>
            <a:graphic xmlns:a="http://schemas.openxmlformats.org/drawingml/2006/main">
              <a:graphicData uri="http://schemas.openxmlformats.org/drawingml/2006/picture">
                <pic:pic xmlns:pic="http://schemas.openxmlformats.org/drawingml/2006/picture">
                  <pic:nvPicPr>
                    <pic:cNvPr id="3" name="صورة 26" descr="A close-up of a test tub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81225" cy="1600200"/>
                    </a:xfrm>
                    <a:prstGeom prst="rect">
                      <a:avLst/>
                    </a:prstGeom>
                    <a:noFill/>
                    <a:ln>
                      <a:noFill/>
                    </a:ln>
                  </pic:spPr>
                </pic:pic>
              </a:graphicData>
            </a:graphic>
          </wp:inline>
        </w:drawing>
      </w:r>
      <w:r>
        <w:rPr>
          <w:rFonts w:asciiTheme="majorBidi" w:hAnsiTheme="majorBidi" w:cstheme="majorBidi"/>
        </w:rPr>
        <w:tab/>
      </w:r>
      <w:r>
        <w:rPr>
          <w:rFonts w:asciiTheme="majorBidi" w:hAnsiTheme="majorBidi" w:cstheme="majorBidi"/>
        </w:rPr>
        <w:tab/>
      </w:r>
      <w:r w:rsidRPr="005C3D97">
        <w:rPr>
          <w:rFonts w:asciiTheme="majorBidi" w:hAnsiTheme="majorBidi" w:cstheme="majorBidi"/>
          <w:noProof/>
        </w:rPr>
        <w:drawing>
          <wp:inline distT="0" distB="0" distL="0" distR="0" wp14:anchorId="6933CAB4" wp14:editId="02F43FF3">
            <wp:extent cx="1966595" cy="1623060"/>
            <wp:effectExtent l="0" t="0" r="0" b="0"/>
            <wp:docPr id="46" name="صورة 46" descr="A close-up of a sample&#10;&#10;AI-generated content may be incorrect."/>
            <wp:cNvGraphicFramePr/>
            <a:graphic xmlns:a="http://schemas.openxmlformats.org/drawingml/2006/main">
              <a:graphicData uri="http://schemas.openxmlformats.org/drawingml/2006/picture">
                <pic:pic xmlns:pic="http://schemas.openxmlformats.org/drawingml/2006/picture">
                  <pic:nvPicPr>
                    <pic:cNvPr id="46" name="صورة 46" descr="A close-up of a samp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6595" cy="1623060"/>
                    </a:xfrm>
                    <a:prstGeom prst="rect">
                      <a:avLst/>
                    </a:prstGeom>
                    <a:noFill/>
                    <a:ln>
                      <a:noFill/>
                    </a:ln>
                  </pic:spPr>
                </pic:pic>
              </a:graphicData>
            </a:graphic>
          </wp:inline>
        </w:drawing>
      </w:r>
    </w:p>
    <w:p w14:paraId="5B89F043" w14:textId="564AF6CB" w:rsidR="00A14631" w:rsidRDefault="00A14631" w:rsidP="00A14631">
      <w:pPr>
        <w:pStyle w:val="Paragraph"/>
        <w:jc w:val="center"/>
        <w:rPr>
          <w:rFonts w:asciiTheme="majorBidi" w:hAnsiTheme="majorBidi" w:cstheme="majorBidi"/>
        </w:rPr>
      </w:pPr>
      <w:r>
        <w:rPr>
          <w:rFonts w:asciiTheme="majorBidi" w:hAnsiTheme="majorBidi" w:cstheme="majorBidi"/>
        </w:rPr>
        <w: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b</w:t>
      </w:r>
    </w:p>
    <w:p w14:paraId="6AF0102A" w14:textId="4F2863D0" w:rsidR="00A14631" w:rsidRDefault="00A14631" w:rsidP="00A14631">
      <w:pPr>
        <w:pStyle w:val="Paragraph"/>
        <w:jc w:val="center"/>
        <w:rPr>
          <w:rFonts w:asciiTheme="majorBidi" w:hAnsiTheme="majorBidi" w:cstheme="majorBidi"/>
        </w:rPr>
      </w:pPr>
      <w:r w:rsidRPr="005C3D97">
        <w:rPr>
          <w:rFonts w:asciiTheme="majorBidi" w:hAnsiTheme="majorBidi" w:cstheme="majorBidi"/>
          <w:noProof/>
        </w:rPr>
        <w:drawing>
          <wp:inline distT="0" distB="0" distL="0" distR="0" wp14:anchorId="1FBFF4C5" wp14:editId="25C35495">
            <wp:extent cx="2491740" cy="1813560"/>
            <wp:effectExtent l="0" t="0" r="3810" b="0"/>
            <wp:docPr id="48" name="صورة 48" descr="A close-up of a dna test&#10;&#10;AI-generated content may be incorrect."/>
            <wp:cNvGraphicFramePr/>
            <a:graphic xmlns:a="http://schemas.openxmlformats.org/drawingml/2006/main">
              <a:graphicData uri="http://schemas.openxmlformats.org/drawingml/2006/picture">
                <pic:pic xmlns:pic="http://schemas.openxmlformats.org/drawingml/2006/picture">
                  <pic:nvPicPr>
                    <pic:cNvPr id="48" name="صورة 48" descr="A close-up of a dna test&#10;&#10;AI-generated content may be incorrect."/>
                    <pic:cNvPicPr/>
                  </pic:nvPicPr>
                  <pic:blipFill rotWithShape="1">
                    <a:blip r:embed="rId14" cstate="print">
                      <a:extLst>
                        <a:ext uri="{28A0092B-C50C-407E-A947-70E740481C1C}">
                          <a14:useLocalDpi xmlns:a14="http://schemas.microsoft.com/office/drawing/2010/main" val="0"/>
                        </a:ext>
                      </a:extLst>
                    </a:blip>
                    <a:srcRect r="7000"/>
                    <a:stretch>
                      <a:fillRect/>
                    </a:stretch>
                  </pic:blipFill>
                  <pic:spPr bwMode="auto">
                    <a:xfrm>
                      <a:off x="0" y="0"/>
                      <a:ext cx="2491740" cy="1813560"/>
                    </a:xfrm>
                    <a:prstGeom prst="rect">
                      <a:avLst/>
                    </a:prstGeom>
                    <a:noFill/>
                    <a:ln>
                      <a:noFill/>
                    </a:ln>
                    <a:extLst>
                      <a:ext uri="{53640926-AAD7-44D8-BBD7-CCE9431645EC}">
                        <a14:shadowObscured xmlns:a14="http://schemas.microsoft.com/office/drawing/2010/main"/>
                      </a:ext>
                    </a:extLst>
                  </pic:spPr>
                </pic:pic>
              </a:graphicData>
            </a:graphic>
          </wp:inline>
        </w:drawing>
      </w:r>
    </w:p>
    <w:p w14:paraId="07E04B30" w14:textId="42B1166D" w:rsidR="00A14631" w:rsidRPr="005C3D97" w:rsidRDefault="00A14631" w:rsidP="00A14631">
      <w:pPr>
        <w:pStyle w:val="Paragraph"/>
        <w:jc w:val="center"/>
        <w:rPr>
          <w:rFonts w:asciiTheme="majorBidi" w:hAnsiTheme="majorBidi" w:cstheme="majorBidi"/>
        </w:rPr>
      </w:pPr>
      <w:r>
        <w:rPr>
          <w:rFonts w:asciiTheme="majorBidi" w:hAnsiTheme="majorBidi" w:cstheme="majorBidi"/>
        </w:rPr>
        <w:t>c</w:t>
      </w:r>
    </w:p>
    <w:p w14:paraId="25D8ECDE" w14:textId="71083F7E" w:rsidR="007A2E45" w:rsidRPr="005C3D97" w:rsidRDefault="005F4EAE" w:rsidP="00A14631">
      <w:pPr>
        <w:pStyle w:val="Paragraph"/>
        <w:ind w:firstLine="0"/>
        <w:jc w:val="center"/>
        <w:rPr>
          <w:rFonts w:asciiTheme="majorBidi" w:hAnsiTheme="majorBidi" w:cstheme="majorBidi"/>
          <w:bCs/>
          <w:sz w:val="18"/>
          <w:szCs w:val="18"/>
        </w:rPr>
      </w:pPr>
      <w:r w:rsidRPr="005C3D97">
        <w:rPr>
          <w:rFonts w:asciiTheme="majorBidi" w:hAnsiTheme="majorBidi" w:cstheme="majorBidi"/>
          <w:b/>
          <w:caps/>
          <w:sz w:val="18"/>
          <w:szCs w:val="18"/>
        </w:rPr>
        <w:t>Figure 1</w:t>
      </w:r>
      <w:r w:rsidR="00380535" w:rsidRPr="005C3D97">
        <w:rPr>
          <w:rFonts w:asciiTheme="majorBidi" w:hAnsiTheme="majorBidi" w:cstheme="majorBidi"/>
          <w:b/>
          <w:caps/>
          <w:sz w:val="18"/>
          <w:szCs w:val="18"/>
        </w:rPr>
        <w:t>.</w:t>
      </w:r>
      <w:r w:rsidR="00380535" w:rsidRPr="005C3D97">
        <w:rPr>
          <w:rFonts w:asciiTheme="majorBidi" w:hAnsiTheme="majorBidi" w:cstheme="majorBidi"/>
          <w:sz w:val="18"/>
          <w:szCs w:val="18"/>
        </w:rPr>
        <w:t xml:space="preserve"> </w:t>
      </w:r>
      <w:r w:rsidR="00684107" w:rsidRPr="005C3D97">
        <w:rPr>
          <w:rFonts w:asciiTheme="majorBidi" w:hAnsiTheme="majorBidi" w:cstheme="majorBidi"/>
          <w:sz w:val="18"/>
          <w:szCs w:val="18"/>
        </w:rPr>
        <w:t xml:space="preserve">(a) </w:t>
      </w:r>
      <w:r w:rsidR="00380535" w:rsidRPr="005C3D97">
        <w:rPr>
          <w:rFonts w:asciiTheme="majorBidi" w:hAnsiTheme="majorBidi" w:cstheme="majorBidi"/>
          <w:bCs/>
          <w:sz w:val="18"/>
          <w:szCs w:val="18"/>
        </w:rPr>
        <w:t xml:space="preserve">Electrophoresis of the PCR product of the </w:t>
      </w:r>
      <w:r w:rsidR="00380535" w:rsidRPr="005C3D97">
        <w:rPr>
          <w:rFonts w:asciiTheme="majorBidi" w:hAnsiTheme="majorBidi" w:cstheme="majorBidi"/>
          <w:bCs/>
          <w:i/>
          <w:iCs/>
          <w:sz w:val="18"/>
          <w:szCs w:val="18"/>
        </w:rPr>
        <w:t>16S rRNA</w:t>
      </w:r>
      <w:r w:rsidR="00380535" w:rsidRPr="005C3D97">
        <w:rPr>
          <w:rFonts w:asciiTheme="majorBidi" w:hAnsiTheme="majorBidi" w:cstheme="majorBidi"/>
          <w:bCs/>
          <w:sz w:val="18"/>
          <w:szCs w:val="18"/>
        </w:rPr>
        <w:t xml:space="preserve"> gene (260 base pairs) of </w:t>
      </w:r>
      <w:r w:rsidR="00380535" w:rsidRPr="005C3D97">
        <w:rPr>
          <w:rFonts w:asciiTheme="majorBidi" w:hAnsiTheme="majorBidi" w:cstheme="majorBidi"/>
          <w:bCs/>
          <w:i/>
          <w:iCs/>
          <w:sz w:val="18"/>
          <w:szCs w:val="18"/>
        </w:rPr>
        <w:t>K. pneumoniae</w:t>
      </w:r>
      <w:r w:rsidR="00380535" w:rsidRPr="005C3D97">
        <w:rPr>
          <w:rFonts w:asciiTheme="majorBidi" w:hAnsiTheme="majorBidi" w:cstheme="majorBidi"/>
          <w:bCs/>
          <w:sz w:val="18"/>
          <w:szCs w:val="18"/>
        </w:rPr>
        <w:t xml:space="preserve"> </w:t>
      </w:r>
      <w:r w:rsidR="00684107" w:rsidRPr="005C3D97">
        <w:rPr>
          <w:rFonts w:asciiTheme="majorBidi" w:hAnsiTheme="majorBidi" w:cstheme="majorBidi"/>
          <w:bCs/>
          <w:sz w:val="18"/>
          <w:szCs w:val="18"/>
        </w:rPr>
        <w:t xml:space="preserve">(b) </w:t>
      </w:r>
      <w:r w:rsidR="00D27392" w:rsidRPr="005C3D97">
        <w:rPr>
          <w:rFonts w:asciiTheme="majorBidi" w:hAnsiTheme="majorBidi" w:cstheme="majorBidi"/>
          <w:bCs/>
          <w:sz w:val="18"/>
          <w:szCs w:val="18"/>
        </w:rPr>
        <w:t xml:space="preserve">Electrophoresis of the PCR product of the </w:t>
      </w:r>
      <w:proofErr w:type="spellStart"/>
      <w:r w:rsidR="00D27392" w:rsidRPr="005C3D97">
        <w:rPr>
          <w:rFonts w:asciiTheme="majorBidi" w:hAnsiTheme="majorBidi" w:cstheme="majorBidi"/>
          <w:bCs/>
          <w:i/>
          <w:iCs/>
          <w:sz w:val="18"/>
          <w:szCs w:val="18"/>
        </w:rPr>
        <w:t>oqxA</w:t>
      </w:r>
      <w:proofErr w:type="spellEnd"/>
      <w:r w:rsidR="00684107" w:rsidRPr="005C3D97">
        <w:rPr>
          <w:rFonts w:asciiTheme="majorBidi" w:hAnsiTheme="majorBidi" w:cstheme="majorBidi"/>
          <w:bCs/>
          <w:sz w:val="18"/>
          <w:szCs w:val="18"/>
        </w:rPr>
        <w:t xml:space="preserve"> g</w:t>
      </w:r>
      <w:r w:rsidR="00D27392" w:rsidRPr="005C3D97">
        <w:rPr>
          <w:rFonts w:asciiTheme="majorBidi" w:hAnsiTheme="majorBidi" w:cstheme="majorBidi"/>
          <w:bCs/>
          <w:sz w:val="18"/>
          <w:szCs w:val="18"/>
        </w:rPr>
        <w:t xml:space="preserve">ene (392 base pairs) of </w:t>
      </w:r>
      <w:r w:rsidR="00D27392" w:rsidRPr="005C3D97">
        <w:rPr>
          <w:rFonts w:asciiTheme="majorBidi" w:hAnsiTheme="majorBidi" w:cstheme="majorBidi"/>
          <w:bCs/>
          <w:i/>
          <w:iCs/>
          <w:sz w:val="18"/>
          <w:szCs w:val="18"/>
        </w:rPr>
        <w:t>K. pneumoniae</w:t>
      </w:r>
      <w:r w:rsidR="00D27392" w:rsidRPr="005C3D97">
        <w:rPr>
          <w:rFonts w:asciiTheme="majorBidi" w:hAnsiTheme="majorBidi" w:cstheme="majorBidi"/>
          <w:bCs/>
          <w:sz w:val="18"/>
          <w:szCs w:val="18"/>
        </w:rPr>
        <w:t xml:space="preserve"> </w:t>
      </w:r>
      <w:r w:rsidR="00684107" w:rsidRPr="005C3D97">
        <w:rPr>
          <w:rFonts w:asciiTheme="majorBidi" w:hAnsiTheme="majorBidi" w:cstheme="majorBidi"/>
          <w:bCs/>
          <w:sz w:val="18"/>
          <w:szCs w:val="18"/>
        </w:rPr>
        <w:t xml:space="preserve">(c) </w:t>
      </w:r>
      <w:r w:rsidR="00380535" w:rsidRPr="005C3D97">
        <w:rPr>
          <w:rFonts w:asciiTheme="majorBidi" w:hAnsiTheme="majorBidi" w:cstheme="majorBidi"/>
          <w:bCs/>
          <w:sz w:val="18"/>
          <w:szCs w:val="18"/>
        </w:rPr>
        <w:t xml:space="preserve">Electrophoresis of the PCR product of the </w:t>
      </w:r>
      <w:proofErr w:type="spellStart"/>
      <w:r w:rsidR="00380535" w:rsidRPr="005C3D97">
        <w:rPr>
          <w:rFonts w:asciiTheme="majorBidi" w:hAnsiTheme="majorBidi" w:cstheme="majorBidi"/>
          <w:bCs/>
          <w:i/>
          <w:iCs/>
          <w:sz w:val="18"/>
          <w:szCs w:val="18"/>
        </w:rPr>
        <w:t>oqxB</w:t>
      </w:r>
      <w:proofErr w:type="spellEnd"/>
      <w:r w:rsidR="00380535" w:rsidRPr="005C3D97">
        <w:rPr>
          <w:rFonts w:asciiTheme="majorBidi" w:hAnsiTheme="majorBidi" w:cstheme="majorBidi"/>
          <w:bCs/>
          <w:sz w:val="18"/>
          <w:szCs w:val="18"/>
        </w:rPr>
        <w:t xml:space="preserve"> gene (512 base pairs) of </w:t>
      </w:r>
      <w:r w:rsidR="00380535" w:rsidRPr="005C3D97">
        <w:rPr>
          <w:rFonts w:asciiTheme="majorBidi" w:hAnsiTheme="majorBidi" w:cstheme="majorBidi"/>
          <w:bCs/>
          <w:i/>
          <w:iCs/>
          <w:sz w:val="18"/>
          <w:szCs w:val="18"/>
        </w:rPr>
        <w:t>K. pneumoniae</w:t>
      </w:r>
      <w:r w:rsidR="00380535" w:rsidRPr="005C3D97">
        <w:rPr>
          <w:rFonts w:asciiTheme="majorBidi" w:hAnsiTheme="majorBidi" w:cstheme="majorBidi"/>
          <w:bCs/>
          <w:sz w:val="18"/>
          <w:szCs w:val="18"/>
        </w:rPr>
        <w:t xml:space="preserve"> </w:t>
      </w:r>
      <w:r w:rsidR="00684107" w:rsidRPr="005C3D97">
        <w:rPr>
          <w:rFonts w:asciiTheme="majorBidi" w:hAnsiTheme="majorBidi" w:cstheme="majorBidi"/>
          <w:bCs/>
          <w:sz w:val="18"/>
          <w:szCs w:val="18"/>
        </w:rPr>
        <w:t xml:space="preserve"> on agarose gel at a concentration of (0.2%) and a potential difference of 100 volts for 60 minutes. Line M (volume index) 100 – 1500 base pairs.</w:t>
      </w:r>
    </w:p>
    <w:p w14:paraId="17291C7C" w14:textId="218E500F" w:rsidR="007A2E45" w:rsidRPr="005C3D97" w:rsidRDefault="005F4EAE" w:rsidP="00A14631">
      <w:pPr>
        <w:pStyle w:val="Heading2"/>
        <w:tabs>
          <w:tab w:val="left" w:pos="705"/>
          <w:tab w:val="center" w:pos="4680"/>
        </w:tabs>
        <w:jc w:val="left"/>
        <w:rPr>
          <w:rFonts w:asciiTheme="majorBidi" w:hAnsiTheme="majorBidi" w:cstheme="majorBidi"/>
          <w:bCs/>
        </w:rPr>
      </w:pPr>
      <w:r w:rsidRPr="005C3D97">
        <w:rPr>
          <w:rFonts w:asciiTheme="majorBidi" w:hAnsiTheme="majorBidi" w:cstheme="majorBidi"/>
          <w:bCs/>
        </w:rPr>
        <w:lastRenderedPageBreak/>
        <w:tab/>
      </w:r>
      <w:r w:rsidRPr="005C3D97">
        <w:rPr>
          <w:rFonts w:asciiTheme="majorBidi" w:hAnsiTheme="majorBidi" w:cstheme="majorBidi"/>
          <w:bCs/>
        </w:rPr>
        <w:tab/>
      </w:r>
      <w:r w:rsidR="007A2E45" w:rsidRPr="005C3D97">
        <w:rPr>
          <w:rFonts w:asciiTheme="majorBidi" w:hAnsiTheme="majorBidi" w:cstheme="majorBidi"/>
          <w:bCs/>
        </w:rPr>
        <w:t xml:space="preserve">Genotyping of </w:t>
      </w:r>
      <w:r w:rsidR="007A2E45" w:rsidRPr="005C3D97">
        <w:rPr>
          <w:rFonts w:asciiTheme="majorBidi" w:hAnsiTheme="majorBidi" w:cstheme="majorBidi"/>
          <w:bCs/>
          <w:i/>
          <w:iCs/>
        </w:rPr>
        <w:t>K. pneumoniae</w:t>
      </w:r>
      <w:r w:rsidR="007A2E45" w:rsidRPr="005C3D97">
        <w:rPr>
          <w:rFonts w:asciiTheme="majorBidi" w:hAnsiTheme="majorBidi" w:cstheme="majorBidi"/>
          <w:bCs/>
        </w:rPr>
        <w:t xml:space="preserve"> </w:t>
      </w:r>
      <w:r w:rsidR="00D72C1A" w:rsidRPr="005C3D97">
        <w:rPr>
          <w:rFonts w:asciiTheme="majorBidi" w:hAnsiTheme="majorBidi" w:cstheme="majorBidi"/>
          <w:bCs/>
        </w:rPr>
        <w:t>by</w:t>
      </w:r>
      <w:r w:rsidR="007A2E45" w:rsidRPr="005C3D97">
        <w:rPr>
          <w:rFonts w:asciiTheme="majorBidi" w:hAnsiTheme="majorBidi" w:cstheme="majorBidi"/>
          <w:bCs/>
        </w:rPr>
        <w:t xml:space="preserve"> RAPD Method</w:t>
      </w:r>
    </w:p>
    <w:p w14:paraId="310FB70D" w14:textId="15ABF758" w:rsidR="005E36EE" w:rsidRDefault="007A2E45" w:rsidP="00A14631">
      <w:pPr>
        <w:pStyle w:val="Paragraph"/>
        <w:rPr>
          <w:rFonts w:asciiTheme="majorBidi" w:hAnsiTheme="majorBidi" w:cstheme="majorBidi"/>
          <w:bCs/>
        </w:rPr>
      </w:pPr>
      <w:r w:rsidRPr="005C3D97">
        <w:rPr>
          <w:rFonts w:asciiTheme="majorBidi" w:hAnsiTheme="majorBidi" w:cstheme="majorBidi"/>
          <w:bCs/>
        </w:rPr>
        <w:t xml:space="preserve">The results of the genotyping of </w:t>
      </w:r>
      <w:r w:rsidRPr="005C3D97">
        <w:rPr>
          <w:rFonts w:asciiTheme="majorBidi" w:hAnsiTheme="majorBidi" w:cstheme="majorBidi"/>
          <w:bCs/>
          <w:i/>
          <w:iCs/>
        </w:rPr>
        <w:t>K. pneumoniae</w:t>
      </w:r>
      <w:r w:rsidRPr="005C3D97">
        <w:rPr>
          <w:rFonts w:asciiTheme="majorBidi" w:hAnsiTheme="majorBidi" w:cstheme="majorBidi"/>
          <w:bCs/>
        </w:rPr>
        <w:t xml:space="preserve"> bacteria using the RAPD method showed the presence of 12 different genotypes with a molecular weight of 250-1500 base </w:t>
      </w:r>
      <w:r w:rsidR="00A416AD" w:rsidRPr="005C3D97">
        <w:rPr>
          <w:rFonts w:asciiTheme="majorBidi" w:hAnsiTheme="majorBidi" w:cstheme="majorBidi"/>
          <w:bCs/>
        </w:rPr>
        <w:t xml:space="preserve">pairs as in Fig. </w:t>
      </w:r>
      <w:r w:rsidR="00DD1CAF" w:rsidRPr="005C3D97">
        <w:rPr>
          <w:rFonts w:asciiTheme="majorBidi" w:hAnsiTheme="majorBidi" w:cstheme="majorBidi"/>
          <w:bCs/>
        </w:rPr>
        <w:t>2</w:t>
      </w:r>
      <w:r w:rsidRPr="005C3D97">
        <w:rPr>
          <w:rFonts w:asciiTheme="majorBidi" w:hAnsiTheme="majorBidi" w:cstheme="majorBidi"/>
          <w:bCs/>
        </w:rPr>
        <w:t xml:space="preserve">, the most frequent being 500, 550 and 1400 base pairs. However, 43 (86%) of the isolates had bands, while 7 (14%) had no bands. </w:t>
      </w:r>
      <w:r w:rsidRPr="005C3D97">
        <w:rPr>
          <w:rFonts w:asciiTheme="majorBidi" w:hAnsiTheme="majorBidi" w:cstheme="majorBidi"/>
        </w:rPr>
        <w:t xml:space="preserve">The remaining 12 samples of </w:t>
      </w:r>
      <w:r w:rsidRPr="005C3D97">
        <w:rPr>
          <w:rFonts w:asciiTheme="majorBidi" w:hAnsiTheme="majorBidi" w:cstheme="majorBidi"/>
          <w:i/>
          <w:iCs/>
        </w:rPr>
        <w:t>K. pneumoniae</w:t>
      </w:r>
      <w:r w:rsidRPr="005C3D97">
        <w:rPr>
          <w:rFonts w:asciiTheme="majorBidi" w:hAnsiTheme="majorBidi" w:cstheme="majorBidi"/>
        </w:rPr>
        <w:t xml:space="preserve"> showed similarities in the positions of some bands, but their RAPD profiles were not similar. Therefore, it was concluded that these samples belong to different genetic groups</w:t>
      </w:r>
      <w:r w:rsidRPr="005C3D97">
        <w:rPr>
          <w:rFonts w:asciiTheme="majorBidi" w:hAnsiTheme="majorBidi" w:cstheme="majorBidi"/>
          <w:bCs/>
        </w:rPr>
        <w:t>.</w:t>
      </w:r>
    </w:p>
    <w:p w14:paraId="27BE1BAB" w14:textId="28B2ADDC" w:rsidR="00A14631" w:rsidRDefault="00A14631" w:rsidP="00A14631">
      <w:pPr>
        <w:pStyle w:val="Paragraph"/>
        <w:rPr>
          <w:rFonts w:asciiTheme="majorBidi" w:hAnsiTheme="majorBidi" w:cstheme="majorBidi"/>
          <w:bCs/>
        </w:rPr>
      </w:pPr>
      <w:r>
        <w:rPr>
          <w:noProof/>
        </w:rPr>
        <w:drawing>
          <wp:inline distT="0" distB="0" distL="0" distR="0" wp14:anchorId="5FADD87F" wp14:editId="37093211">
            <wp:extent cx="2647950" cy="1684020"/>
            <wp:effectExtent l="0" t="0" r="0" b="0"/>
            <wp:docPr id="309933395" name="صورة 6" descr="الوصف: C:\Users\best\Desktop\التنميط الجيني\photo_2024-07-18_10-53-38.jpg"/>
            <wp:cNvGraphicFramePr/>
            <a:graphic xmlns:a="http://schemas.openxmlformats.org/drawingml/2006/main">
              <a:graphicData uri="http://schemas.openxmlformats.org/drawingml/2006/picture">
                <pic:pic xmlns:pic="http://schemas.openxmlformats.org/drawingml/2006/picture">
                  <pic:nvPicPr>
                    <pic:cNvPr id="309933395" name="صورة 6" descr="الوصف: C:\Users\best\Desktop\التنميط الجيني\photo_2024-07-18_10-53-38.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8543" cy="1684397"/>
                    </a:xfrm>
                    <a:prstGeom prst="rect">
                      <a:avLst/>
                    </a:prstGeom>
                    <a:noFill/>
                    <a:ln>
                      <a:noFill/>
                    </a:ln>
                  </pic:spPr>
                </pic:pic>
              </a:graphicData>
            </a:graphic>
          </wp:inline>
        </w:drawing>
      </w:r>
      <w:r>
        <w:rPr>
          <w:rFonts w:asciiTheme="majorBidi" w:hAnsiTheme="majorBidi" w:cstheme="majorBidi"/>
          <w:bCs/>
          <w:noProof/>
          <w:sz w:val="18"/>
          <w:szCs w:val="18"/>
        </w:rPr>
        <w:drawing>
          <wp:inline distT="0" distB="0" distL="0" distR="0" wp14:anchorId="69C4A4C4" wp14:editId="1BA773D8">
            <wp:extent cx="2316480" cy="1638300"/>
            <wp:effectExtent l="0" t="0" r="7620" b="0"/>
            <wp:docPr id="225117585" name="صورة 5" descr="الوصف: C:\Users\best\Desktop\التنميط الجيني\4.jpg"/>
            <wp:cNvGraphicFramePr/>
            <a:graphic xmlns:a="http://schemas.openxmlformats.org/drawingml/2006/main">
              <a:graphicData uri="http://schemas.openxmlformats.org/drawingml/2006/picture">
                <pic:pic xmlns:pic="http://schemas.openxmlformats.org/drawingml/2006/picture">
                  <pic:nvPicPr>
                    <pic:cNvPr id="225117585" name="صورة 5" descr="الوصف: C:\Users\best\Desktop\التنميط الجيني\4.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6630" cy="1638406"/>
                    </a:xfrm>
                    <a:prstGeom prst="rect">
                      <a:avLst/>
                    </a:prstGeom>
                    <a:noFill/>
                    <a:ln>
                      <a:noFill/>
                    </a:ln>
                  </pic:spPr>
                </pic:pic>
              </a:graphicData>
            </a:graphic>
          </wp:inline>
        </w:drawing>
      </w:r>
    </w:p>
    <w:p w14:paraId="5E0BE702" w14:textId="6B7890F5" w:rsidR="00A14631" w:rsidRPr="005C3D97" w:rsidRDefault="00A14631" w:rsidP="00A14631">
      <w:pPr>
        <w:pStyle w:val="Paragraph"/>
        <w:jc w:val="center"/>
        <w:rPr>
          <w:rFonts w:asciiTheme="majorBidi" w:hAnsiTheme="majorBidi" w:cstheme="majorBidi"/>
          <w:bCs/>
        </w:rPr>
      </w:pPr>
      <w:r>
        <w:rPr>
          <w:rFonts w:asciiTheme="majorBidi" w:hAnsiTheme="majorBidi" w:cstheme="majorBidi"/>
          <w:bCs/>
        </w:rPr>
        <w:t>a</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b</w:t>
      </w:r>
    </w:p>
    <w:p w14:paraId="2F27223A" w14:textId="737DD99C" w:rsidR="006B4B68" w:rsidRPr="006B4B68" w:rsidRDefault="006B4B68" w:rsidP="00A14631">
      <w:pPr>
        <w:pStyle w:val="Heading2"/>
        <w:spacing w:before="0" w:after="0"/>
        <w:rPr>
          <w:rFonts w:asciiTheme="majorBidi" w:hAnsiTheme="majorBidi" w:cstheme="majorBidi"/>
          <w:sz w:val="18"/>
          <w:szCs w:val="18"/>
        </w:rPr>
      </w:pPr>
      <w:r w:rsidRPr="005C3D97">
        <w:rPr>
          <w:rFonts w:asciiTheme="majorBidi" w:hAnsiTheme="majorBidi" w:cstheme="majorBidi"/>
          <w:bCs/>
          <w:caps/>
          <w:sz w:val="18"/>
          <w:szCs w:val="18"/>
        </w:rPr>
        <w:t>Figure 2</w:t>
      </w:r>
      <w:r w:rsidRPr="005C3D97">
        <w:rPr>
          <w:rFonts w:asciiTheme="majorBidi" w:hAnsiTheme="majorBidi" w:cstheme="majorBidi"/>
          <w:b w:val="0"/>
          <w:caps/>
          <w:sz w:val="18"/>
          <w:szCs w:val="18"/>
        </w:rPr>
        <w:t>.</w:t>
      </w:r>
      <w:r w:rsidRPr="005C3D97">
        <w:rPr>
          <w:rFonts w:asciiTheme="majorBidi" w:hAnsiTheme="majorBidi" w:cstheme="majorBidi"/>
          <w:sz w:val="18"/>
          <w:szCs w:val="18"/>
        </w:rPr>
        <w:t xml:space="preserve"> </w:t>
      </w:r>
      <w:r w:rsidRPr="005C3D97">
        <w:rPr>
          <w:rFonts w:asciiTheme="majorBidi" w:hAnsiTheme="majorBidi" w:cstheme="majorBidi"/>
          <w:b w:val="0"/>
          <w:bCs/>
          <w:sz w:val="18"/>
          <w:szCs w:val="18"/>
        </w:rPr>
        <w:t xml:space="preserve">Electrophoresis of PCR Product of RAPD Gene using primer (300-1500 base pairs) of </w:t>
      </w:r>
      <w:r w:rsidRPr="005C3D97">
        <w:rPr>
          <w:rFonts w:asciiTheme="majorBidi" w:hAnsiTheme="majorBidi" w:cstheme="majorBidi"/>
          <w:b w:val="0"/>
          <w:bCs/>
          <w:i/>
          <w:iCs/>
          <w:sz w:val="18"/>
          <w:szCs w:val="18"/>
        </w:rPr>
        <w:t>K. pneumoniae</w:t>
      </w:r>
      <w:r w:rsidRPr="005C3D97">
        <w:rPr>
          <w:rFonts w:asciiTheme="majorBidi" w:hAnsiTheme="majorBidi" w:cstheme="majorBidi"/>
          <w:b w:val="0"/>
          <w:bCs/>
          <w:sz w:val="18"/>
          <w:szCs w:val="18"/>
        </w:rPr>
        <w:t xml:space="preserve"> Isolates agarose gel at a potential difference of 70 volts for 50 minutes. The PCR reaction product was visualized under UV light at 280 nm. M line 250-10000 base pairs, lines (K1-18) in Fig. (2a), (K19-36) in Fig. (2b).</w:t>
      </w:r>
      <w:r>
        <w:rPr>
          <w:rFonts w:asciiTheme="majorBidi" w:hAnsiTheme="majorBidi" w:cstheme="majorBidi"/>
          <w:bCs/>
        </w:rPr>
        <w:br/>
      </w:r>
    </w:p>
    <w:p w14:paraId="7A130BE1" w14:textId="4C40BA88" w:rsidR="00D42BAA" w:rsidRPr="005C3D97" w:rsidRDefault="00D42BAA" w:rsidP="00A14631">
      <w:pPr>
        <w:pStyle w:val="Paragraph"/>
        <w:ind w:firstLine="0"/>
        <w:jc w:val="center"/>
        <w:rPr>
          <w:rFonts w:asciiTheme="majorBidi" w:hAnsiTheme="majorBidi" w:cstheme="majorBidi"/>
          <w:b/>
          <w:bCs/>
        </w:rPr>
      </w:pPr>
      <w:r w:rsidRPr="005C3D97">
        <w:rPr>
          <w:rFonts w:asciiTheme="majorBidi" w:hAnsiTheme="majorBidi" w:cstheme="majorBidi"/>
          <w:noProof/>
        </w:rPr>
        <w:drawing>
          <wp:inline distT="0" distB="0" distL="0" distR="0" wp14:anchorId="6A40C886" wp14:editId="30E744C8">
            <wp:extent cx="2270681" cy="4053759"/>
            <wp:effectExtent l="3810" t="0" r="635" b="635"/>
            <wp:docPr id="60" name="Picture 1">
              <a:extLst xmlns:a="http://schemas.openxmlformats.org/drawingml/2006/main">
                <a:ext uri="{FF2B5EF4-FFF2-40B4-BE49-F238E27FC236}">
                  <a16:creationId xmlns:a16="http://schemas.microsoft.com/office/drawing/2014/main" id="{B71E4A4C-5DA4-23EA-4515-5B278C8D84E5}"/>
                </a:ext>
              </a:extLst>
            </wp:docPr>
            <wp:cNvGraphicFramePr/>
            <a:graphic xmlns:a="http://schemas.openxmlformats.org/drawingml/2006/main">
              <a:graphicData uri="http://schemas.openxmlformats.org/drawingml/2006/picture">
                <pic:pic xmlns:pic="http://schemas.openxmlformats.org/drawingml/2006/picture">
                  <pic:nvPicPr>
                    <pic:cNvPr id="60" name="Picture 1">
                      <a:extLst>
                        <a:ext uri="{FF2B5EF4-FFF2-40B4-BE49-F238E27FC236}">
                          <a16:creationId xmlns:a16="http://schemas.microsoft.com/office/drawing/2014/main" id="{B71E4A4C-5DA4-23EA-4515-5B278C8D84E5}"/>
                        </a:ext>
                      </a:extLst>
                    </pic:cNvPr>
                    <pic:cNvPicPr/>
                  </pic:nvPicPr>
                  <pic:blipFill rotWithShape="1">
                    <a:blip r:embed="rId17" cstate="print">
                      <a:extLst>
                        <a:ext uri="{28A0092B-C50C-407E-A947-70E740481C1C}">
                          <a14:useLocalDpi xmlns:a14="http://schemas.microsoft.com/office/drawing/2010/main" val="0"/>
                        </a:ext>
                      </a:extLst>
                    </a:blip>
                    <a:srcRect r="29886"/>
                    <a:stretch/>
                  </pic:blipFill>
                  <pic:spPr bwMode="auto">
                    <a:xfrm rot="5400000">
                      <a:off x="0" y="0"/>
                      <a:ext cx="2279301" cy="4069148"/>
                    </a:xfrm>
                    <a:prstGeom prst="rect">
                      <a:avLst/>
                    </a:prstGeom>
                    <a:noFill/>
                  </pic:spPr>
                </pic:pic>
              </a:graphicData>
            </a:graphic>
          </wp:inline>
        </w:drawing>
      </w:r>
    </w:p>
    <w:p w14:paraId="7F9B37E2" w14:textId="2C1335CA" w:rsidR="00D42BAA" w:rsidRDefault="00D42BAA" w:rsidP="00A14631">
      <w:pPr>
        <w:pStyle w:val="Paragraph"/>
        <w:ind w:firstLine="0"/>
        <w:jc w:val="center"/>
        <w:rPr>
          <w:rFonts w:asciiTheme="majorBidi" w:hAnsiTheme="majorBidi" w:cstheme="majorBidi"/>
          <w:b/>
          <w:bCs/>
          <w:sz w:val="18"/>
          <w:szCs w:val="18"/>
        </w:rPr>
      </w:pPr>
      <w:r w:rsidRPr="00916C82">
        <w:rPr>
          <w:rFonts w:asciiTheme="majorBidi" w:hAnsiTheme="majorBidi" w:cstheme="majorBidi"/>
          <w:b/>
          <w:caps/>
          <w:sz w:val="18"/>
          <w:szCs w:val="18"/>
        </w:rPr>
        <w:t xml:space="preserve">Figure </w:t>
      </w:r>
      <w:r w:rsidR="00DD1CAF" w:rsidRPr="00916C82">
        <w:rPr>
          <w:rFonts w:asciiTheme="majorBidi" w:hAnsiTheme="majorBidi" w:cstheme="majorBidi"/>
          <w:b/>
          <w:caps/>
          <w:sz w:val="18"/>
          <w:szCs w:val="18"/>
        </w:rPr>
        <w:t>3</w:t>
      </w:r>
      <w:r w:rsidRPr="005C3D97">
        <w:rPr>
          <w:rFonts w:asciiTheme="majorBidi" w:hAnsiTheme="majorBidi" w:cstheme="majorBidi"/>
          <w:b/>
          <w:caps/>
          <w:sz w:val="18"/>
          <w:szCs w:val="18"/>
        </w:rPr>
        <w:t>.</w:t>
      </w:r>
      <w:r w:rsidRPr="005C3D97">
        <w:rPr>
          <w:rFonts w:asciiTheme="majorBidi" w:hAnsiTheme="majorBidi" w:cstheme="majorBidi"/>
          <w:sz w:val="18"/>
          <w:szCs w:val="18"/>
        </w:rPr>
        <w:t xml:space="preserve"> </w:t>
      </w:r>
      <w:r w:rsidRPr="005C3D97">
        <w:rPr>
          <w:rFonts w:asciiTheme="majorBidi" w:hAnsiTheme="majorBidi" w:cstheme="majorBidi"/>
          <w:bCs/>
          <w:sz w:val="18"/>
          <w:szCs w:val="18"/>
        </w:rPr>
        <w:t xml:space="preserve">Shows the genetic tree of </w:t>
      </w:r>
      <w:proofErr w:type="spellStart"/>
      <w:proofErr w:type="gramStart"/>
      <w:r w:rsidRPr="005C3D97">
        <w:rPr>
          <w:rFonts w:asciiTheme="majorBidi" w:hAnsiTheme="majorBidi" w:cstheme="majorBidi"/>
          <w:bCs/>
          <w:i/>
          <w:iCs/>
          <w:sz w:val="18"/>
          <w:szCs w:val="18"/>
        </w:rPr>
        <w:t>K.pneumoniae</w:t>
      </w:r>
      <w:proofErr w:type="spellEnd"/>
      <w:proofErr w:type="gramEnd"/>
      <w:r w:rsidRPr="005C3D97">
        <w:rPr>
          <w:rFonts w:asciiTheme="majorBidi" w:hAnsiTheme="majorBidi" w:cstheme="majorBidi"/>
          <w:bCs/>
          <w:sz w:val="18"/>
          <w:szCs w:val="18"/>
        </w:rPr>
        <w:t xml:space="preserve"> isolates using the RAPD technique</w:t>
      </w:r>
      <w:r w:rsidRPr="005C3D97">
        <w:rPr>
          <w:rFonts w:asciiTheme="majorBidi" w:hAnsiTheme="majorBidi" w:cstheme="majorBidi"/>
          <w:b/>
          <w:bCs/>
          <w:sz w:val="18"/>
          <w:szCs w:val="18"/>
        </w:rPr>
        <w:t>.</w:t>
      </w:r>
    </w:p>
    <w:p w14:paraId="2E19DF9F" w14:textId="77777777" w:rsidR="00A14631" w:rsidRDefault="00A14631" w:rsidP="00A14631">
      <w:pPr>
        <w:pStyle w:val="Paragraph"/>
        <w:rPr>
          <w:rFonts w:asciiTheme="majorBidi" w:hAnsiTheme="majorBidi" w:cstheme="majorBidi"/>
          <w:bCs/>
        </w:rPr>
      </w:pPr>
    </w:p>
    <w:p w14:paraId="56535390" w14:textId="4FE8B94F" w:rsidR="00A14631" w:rsidRDefault="00A14631" w:rsidP="00A14631">
      <w:pPr>
        <w:pStyle w:val="Paragraph"/>
        <w:rPr>
          <w:rFonts w:asciiTheme="majorBidi" w:hAnsiTheme="majorBidi" w:cstheme="majorBidi"/>
        </w:rPr>
      </w:pPr>
      <w:r w:rsidRPr="005C3D97">
        <w:rPr>
          <w:rFonts w:asciiTheme="majorBidi" w:hAnsiTheme="majorBidi" w:cstheme="majorBidi"/>
          <w:bCs/>
        </w:rPr>
        <w:t xml:space="preserve">The random amplification of the polymorphic DNA (RAPD) of the DNA tree of </w:t>
      </w:r>
      <w:r w:rsidRPr="005C3D97">
        <w:rPr>
          <w:rFonts w:asciiTheme="majorBidi" w:hAnsiTheme="majorBidi" w:cstheme="majorBidi"/>
          <w:bCs/>
          <w:i/>
          <w:iCs/>
        </w:rPr>
        <w:t>K. pneumoniae</w:t>
      </w:r>
      <w:r w:rsidRPr="005C3D97">
        <w:rPr>
          <w:rFonts w:asciiTheme="majorBidi" w:hAnsiTheme="majorBidi" w:cstheme="majorBidi"/>
          <w:bCs/>
        </w:rPr>
        <w:t xml:space="preserve"> revealed the presence of two main groups with a similarity of 0.2 (Fig. 3). The first group contained isolation 2, while the second group was the main group containing 43 isolates arranged in two groups:</w:t>
      </w:r>
      <w:r w:rsidRPr="005C3D97">
        <w:rPr>
          <w:rFonts w:asciiTheme="majorBidi" w:hAnsiTheme="majorBidi" w:cstheme="majorBidi"/>
          <w:b/>
          <w:bCs/>
        </w:rPr>
        <w:t xml:space="preserve"> </w:t>
      </w:r>
      <w:r w:rsidRPr="005C3D97">
        <w:rPr>
          <w:rFonts w:asciiTheme="majorBidi" w:hAnsiTheme="majorBidi" w:cstheme="majorBidi"/>
        </w:rPr>
        <w:t xml:space="preserve">The first contained five groups (10, 12), (19, 30, 40, 44, 49), (37, 39, 43, </w:t>
      </w:r>
      <w:proofErr w:type="gramStart"/>
      <w:r w:rsidRPr="005C3D97">
        <w:rPr>
          <w:rFonts w:asciiTheme="majorBidi" w:hAnsiTheme="majorBidi" w:cstheme="majorBidi"/>
        </w:rPr>
        <w:t>45</w:t>
      </w:r>
      <w:proofErr w:type="gramEnd"/>
      <w:r w:rsidRPr="005C3D97">
        <w:rPr>
          <w:rFonts w:asciiTheme="majorBidi" w:hAnsiTheme="majorBidi" w:cstheme="majorBidi"/>
        </w:rPr>
        <w:t xml:space="preserve">, 47, 50), (41, 48) and (42, 46). The second contained three groups (3, 24, 25, 26, 27, 28, 33, 34), (8, 9) and (4, 5, 11, 13, 14, 15, 16, 17, 18, 20, 21, 22, 23, 29, 32, 35). Isolates 1, 6, 7, 31, 36 and 38 represent different genotypes. The results of the current study showed a relationship between bacterial isolates isolated from different clinical sources, with the first group containing one (2) isolate characterized by being strong in biofilm formation and isolated from urine and containing a gene </w:t>
      </w:r>
      <w:proofErr w:type="spellStart"/>
      <w:r w:rsidRPr="005C3D97">
        <w:rPr>
          <w:rFonts w:asciiTheme="majorBidi" w:hAnsiTheme="majorBidi" w:cstheme="majorBidi"/>
          <w:i/>
          <w:iCs/>
        </w:rPr>
        <w:t>acrAB</w:t>
      </w:r>
      <w:proofErr w:type="spellEnd"/>
      <w:r w:rsidRPr="005C3D97">
        <w:rPr>
          <w:rFonts w:asciiTheme="majorBidi" w:hAnsiTheme="majorBidi" w:cstheme="majorBidi"/>
        </w:rPr>
        <w:t xml:space="preserve">. The second main group is divided into two groups: The first group contains five subgroups (10, 12) collected from the Ghazi Hariri Hospital. The source of isolation was the production and formations of both are strongly biofilm-forming and contain the 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and </w:t>
      </w:r>
      <w:proofErr w:type="spellStart"/>
      <w:r w:rsidRPr="005C3D97">
        <w:rPr>
          <w:rFonts w:asciiTheme="majorBidi" w:hAnsiTheme="majorBidi" w:cstheme="majorBidi"/>
          <w:i/>
          <w:iCs/>
        </w:rPr>
        <w:t>tolC</w:t>
      </w:r>
      <w:proofErr w:type="spellEnd"/>
      <w:r w:rsidRPr="005C3D97">
        <w:rPr>
          <w:rFonts w:asciiTheme="majorBidi" w:hAnsiTheme="majorBidi" w:cstheme="majorBidi"/>
        </w:rPr>
        <w:t xml:space="preserve">. (19, 30, 40, 44, 49) The source of isolation is </w:t>
      </w:r>
      <w:proofErr w:type="gramStart"/>
      <w:r w:rsidRPr="005C3D97">
        <w:rPr>
          <w:rFonts w:asciiTheme="majorBidi" w:hAnsiTheme="majorBidi" w:cstheme="majorBidi"/>
        </w:rPr>
        <w:t>the production</w:t>
      </w:r>
      <w:proofErr w:type="gramEnd"/>
      <w:r w:rsidRPr="005C3D97">
        <w:rPr>
          <w:rFonts w:asciiTheme="majorBidi" w:hAnsiTheme="majorBidi" w:cstheme="majorBidi"/>
        </w:rPr>
        <w:t xml:space="preserve"> and contains the 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tolC</w:t>
      </w:r>
      <w:proofErr w:type="spellEnd"/>
      <w:r w:rsidRPr="005C3D97">
        <w:rPr>
          <w:rFonts w:asciiTheme="majorBidi" w:hAnsiTheme="majorBidi" w:cstheme="majorBidi"/>
        </w:rPr>
        <w:t xml:space="preserve">. The isolates (37, 39, 43, 45, 47, 50) have in common that they contain the 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tolC</w:t>
      </w:r>
      <w:proofErr w:type="spellEnd"/>
      <w:r w:rsidRPr="005C3D97">
        <w:rPr>
          <w:rFonts w:asciiTheme="majorBidi" w:hAnsiTheme="majorBidi" w:cstheme="majorBidi"/>
        </w:rPr>
        <w:t xml:space="preserve">. (41, 48) contain the five </w:t>
      </w:r>
      <w:r w:rsidRPr="005C3D97">
        <w:rPr>
          <w:rFonts w:asciiTheme="majorBidi" w:hAnsiTheme="majorBidi" w:cstheme="majorBidi"/>
          <w:i/>
          <w:iCs/>
        </w:rPr>
        <w:t xml:space="preserve">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tolC</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mdtK</w:t>
      </w:r>
      <w:proofErr w:type="spellEnd"/>
      <w:r w:rsidRPr="005C3D97">
        <w:rPr>
          <w:rFonts w:asciiTheme="majorBidi" w:hAnsiTheme="majorBidi" w:cstheme="majorBidi"/>
        </w:rPr>
        <w:t xml:space="preserve">. (42, 46) have in common that they contain the 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tolC</w:t>
      </w:r>
      <w:proofErr w:type="spellEnd"/>
      <w:r w:rsidRPr="005C3D97">
        <w:rPr>
          <w:rFonts w:asciiTheme="majorBidi" w:hAnsiTheme="majorBidi" w:cstheme="majorBidi"/>
        </w:rPr>
        <w:t xml:space="preserve">. The second group of the main group also contains three subgroups (3, 24, 25, 26, 27, 28, 33 and 34), which have in common that they contain the 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r w:rsidRPr="005C3D97">
        <w:rPr>
          <w:rFonts w:asciiTheme="majorBidi" w:hAnsiTheme="majorBidi" w:cstheme="majorBidi"/>
        </w:rPr>
        <w:t>and</w:t>
      </w:r>
      <w:r w:rsidRPr="005C3D97">
        <w:rPr>
          <w:rFonts w:asciiTheme="majorBidi" w:hAnsiTheme="majorBidi" w:cstheme="majorBidi"/>
          <w:i/>
          <w:iCs/>
        </w:rPr>
        <w:t xml:space="preserve"> </w:t>
      </w:r>
      <w:proofErr w:type="spellStart"/>
      <w:r w:rsidRPr="005C3D97">
        <w:rPr>
          <w:rFonts w:asciiTheme="majorBidi" w:hAnsiTheme="majorBidi" w:cstheme="majorBidi"/>
          <w:i/>
          <w:iCs/>
        </w:rPr>
        <w:t>tolC</w:t>
      </w:r>
      <w:proofErr w:type="spellEnd"/>
      <w:r w:rsidRPr="005C3D97">
        <w:rPr>
          <w:rFonts w:asciiTheme="majorBidi" w:hAnsiTheme="majorBidi" w:cstheme="majorBidi"/>
        </w:rPr>
        <w:t xml:space="preserve">. (8, 9) were isolated from Ghazi Hariri Hospital and contain four genes </w:t>
      </w:r>
      <w:proofErr w:type="spellStart"/>
      <w:r w:rsidRPr="005C3D97">
        <w:rPr>
          <w:rFonts w:asciiTheme="majorBidi" w:hAnsiTheme="majorBidi" w:cstheme="majorBidi"/>
          <w:i/>
          <w:iCs/>
        </w:rPr>
        <w:lastRenderedPageBreak/>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tolC</w:t>
      </w:r>
      <w:proofErr w:type="spellEnd"/>
      <w:r w:rsidRPr="005C3D97">
        <w:rPr>
          <w:rFonts w:asciiTheme="majorBidi" w:hAnsiTheme="majorBidi" w:cstheme="majorBidi"/>
          <w:i/>
          <w:iCs/>
        </w:rPr>
        <w:t xml:space="preserve"> </w:t>
      </w:r>
      <w:r w:rsidRPr="005C3D97">
        <w:rPr>
          <w:rFonts w:asciiTheme="majorBidi" w:hAnsiTheme="majorBidi" w:cstheme="majorBidi"/>
        </w:rPr>
        <w:t>and</w:t>
      </w:r>
      <w:r w:rsidRPr="005C3D97">
        <w:rPr>
          <w:rFonts w:asciiTheme="majorBidi" w:hAnsiTheme="majorBidi" w:cstheme="majorBidi"/>
          <w:i/>
          <w:iCs/>
        </w:rPr>
        <w:t xml:space="preserve"> </w:t>
      </w:r>
      <w:proofErr w:type="spellStart"/>
      <w:r w:rsidRPr="005C3D97">
        <w:rPr>
          <w:rFonts w:asciiTheme="majorBidi" w:hAnsiTheme="majorBidi" w:cstheme="majorBidi"/>
          <w:i/>
          <w:iCs/>
        </w:rPr>
        <w:t>mdtK</w:t>
      </w:r>
      <w:proofErr w:type="spellEnd"/>
      <w:r w:rsidRPr="005C3D97">
        <w:rPr>
          <w:rFonts w:asciiTheme="majorBidi" w:hAnsiTheme="majorBidi" w:cstheme="majorBidi"/>
        </w:rPr>
        <w:t xml:space="preserve">. (4, 5, 11, 13, 14, 15, 16, 17, 18, 20, 21, 22, 23, 29, 32, 35) this group contains three genes </w:t>
      </w:r>
      <w:proofErr w:type="spellStart"/>
      <w:r w:rsidRPr="005C3D97">
        <w:rPr>
          <w:rFonts w:asciiTheme="majorBidi" w:hAnsiTheme="majorBidi" w:cstheme="majorBidi"/>
          <w:i/>
          <w:iCs/>
        </w:rPr>
        <w:t>acrAB</w:t>
      </w:r>
      <w:proofErr w:type="spellEnd"/>
      <w:r w:rsidRPr="005C3D97">
        <w:rPr>
          <w:rFonts w:asciiTheme="majorBidi" w:hAnsiTheme="majorBidi" w:cstheme="majorBidi"/>
          <w:i/>
          <w:iCs/>
        </w:rPr>
        <w:t xml:space="preserve">, </w:t>
      </w:r>
      <w:proofErr w:type="spellStart"/>
      <w:r w:rsidRPr="005C3D97">
        <w:rPr>
          <w:rFonts w:asciiTheme="majorBidi" w:hAnsiTheme="majorBidi" w:cstheme="majorBidi"/>
          <w:i/>
          <w:iCs/>
        </w:rPr>
        <w:t>oqxA</w:t>
      </w:r>
      <w:proofErr w:type="spellEnd"/>
      <w:r w:rsidRPr="005C3D97">
        <w:rPr>
          <w:rFonts w:asciiTheme="majorBidi" w:hAnsiTheme="majorBidi" w:cstheme="majorBidi"/>
          <w:i/>
          <w:iCs/>
        </w:rPr>
        <w:t xml:space="preserve"> </w:t>
      </w:r>
      <w:r w:rsidRPr="005C3D97">
        <w:rPr>
          <w:rFonts w:asciiTheme="majorBidi" w:hAnsiTheme="majorBidi" w:cstheme="majorBidi"/>
        </w:rPr>
        <w:t xml:space="preserve">and </w:t>
      </w:r>
      <w:proofErr w:type="spellStart"/>
      <w:r w:rsidRPr="005C3D97">
        <w:rPr>
          <w:rFonts w:asciiTheme="majorBidi" w:hAnsiTheme="majorBidi" w:cstheme="majorBidi"/>
          <w:i/>
          <w:iCs/>
        </w:rPr>
        <w:t>tolC</w:t>
      </w:r>
      <w:proofErr w:type="spellEnd"/>
      <w:r w:rsidRPr="005C3D97">
        <w:rPr>
          <w:rFonts w:asciiTheme="majorBidi" w:hAnsiTheme="majorBidi" w:cstheme="majorBidi"/>
        </w:rPr>
        <w:t>. The isolates (1, 6, 7, 31, 36, 38) represent different genotypes.</w:t>
      </w:r>
    </w:p>
    <w:p w14:paraId="519172D5" w14:textId="33155248" w:rsidR="00FC349B" w:rsidRPr="005C3D97" w:rsidRDefault="00AA56B3" w:rsidP="00A14631">
      <w:pPr>
        <w:pStyle w:val="Heading2"/>
        <w:rPr>
          <w:caps/>
          <w:sz w:val="20"/>
        </w:rPr>
      </w:pPr>
      <w:r w:rsidRPr="005C3D97">
        <w:t>DISCUSSION</w:t>
      </w:r>
    </w:p>
    <w:p w14:paraId="69471D85" w14:textId="3D7395D0" w:rsidR="00D42BAA" w:rsidRPr="005C3D97" w:rsidRDefault="00D42BAA" w:rsidP="00A14631">
      <w:pPr>
        <w:pStyle w:val="Paragraph"/>
        <w:rPr>
          <w:rFonts w:asciiTheme="majorBidi" w:hAnsiTheme="majorBidi" w:cstheme="majorBidi"/>
        </w:rPr>
      </w:pPr>
      <w:r w:rsidRPr="005C3D97">
        <w:rPr>
          <w:rFonts w:asciiTheme="majorBidi" w:hAnsiTheme="majorBidi" w:cstheme="majorBidi"/>
        </w:rPr>
        <w:t xml:space="preserve">Fifty bacterial isolates (38.4%) of the total 130 samples were recognized as </w:t>
      </w:r>
      <w:r w:rsidRPr="005C3D97">
        <w:rPr>
          <w:rFonts w:asciiTheme="majorBidi" w:hAnsiTheme="majorBidi" w:cstheme="majorBidi"/>
          <w:i/>
          <w:iCs/>
        </w:rPr>
        <w:t>K. pneumoniae</w:t>
      </w:r>
      <w:r w:rsidRPr="005C3D97">
        <w:rPr>
          <w:rFonts w:asciiTheme="majorBidi" w:hAnsiTheme="majorBidi" w:cstheme="majorBidi"/>
        </w:rPr>
        <w:t xml:space="preserve">. The isolated bacterial samples </w:t>
      </w:r>
      <w:r w:rsidR="00094908" w:rsidRPr="005C3D97">
        <w:rPr>
          <w:rFonts w:asciiTheme="majorBidi" w:hAnsiTheme="majorBidi" w:cstheme="majorBidi"/>
        </w:rPr>
        <w:t>originated</w:t>
      </w:r>
      <w:r w:rsidRPr="005C3D97">
        <w:rPr>
          <w:rFonts w:asciiTheme="majorBidi" w:hAnsiTheme="majorBidi" w:cstheme="majorBidi"/>
        </w:rPr>
        <w:t xml:space="preserve"> with high prevalence in urine 25 (50%), while less prevalence was found in sputum 14 (28%), wounds 6 (12%), blood 3 (6%) and lastly burns 2 (4%). Numerous studies have shown that the most common Found is urinary tract infections</w:t>
      </w:r>
      <w:r w:rsidR="00E86926" w:rsidRPr="005C3D97">
        <w:rPr>
          <w:rFonts w:asciiTheme="majorBidi" w:hAnsiTheme="majorBidi" w:cstheme="majorBidi"/>
        </w:rPr>
        <w:t xml:space="preserve"> </w:t>
      </w:r>
      <w:r w:rsidR="00094908" w:rsidRPr="005C3D97">
        <w:rPr>
          <w:rFonts w:asciiTheme="majorBidi" w:hAnsiTheme="majorBidi" w:cstheme="majorBidi"/>
        </w:rPr>
        <w:t>[</w:t>
      </w:r>
      <w:r w:rsidRPr="005C3D97">
        <w:rPr>
          <w:rFonts w:asciiTheme="majorBidi" w:hAnsiTheme="majorBidi" w:cstheme="majorBidi"/>
        </w:rPr>
        <w:t>26</w:t>
      </w:r>
      <w:r w:rsidR="008A2842" w:rsidRPr="005C3D97">
        <w:rPr>
          <w:rFonts w:asciiTheme="majorBidi" w:hAnsiTheme="majorBidi" w:cstheme="majorBidi"/>
        </w:rPr>
        <w:t xml:space="preserve">, </w:t>
      </w:r>
      <w:r w:rsidRPr="005C3D97">
        <w:rPr>
          <w:rFonts w:asciiTheme="majorBidi" w:hAnsiTheme="majorBidi" w:cstheme="majorBidi"/>
        </w:rPr>
        <w:t>27</w:t>
      </w:r>
      <w:r w:rsidR="00197F5A" w:rsidRPr="005C3D97">
        <w:rPr>
          <w:rFonts w:asciiTheme="majorBidi" w:hAnsiTheme="majorBidi" w:cstheme="majorBidi"/>
        </w:rPr>
        <w:t>,</w:t>
      </w:r>
      <w:r w:rsidR="008A2842" w:rsidRPr="005C3D97">
        <w:rPr>
          <w:rFonts w:asciiTheme="majorBidi" w:hAnsiTheme="majorBidi" w:cstheme="majorBidi"/>
        </w:rPr>
        <w:t xml:space="preserve"> </w:t>
      </w:r>
      <w:r w:rsidRPr="005C3D97">
        <w:rPr>
          <w:rFonts w:asciiTheme="majorBidi" w:hAnsiTheme="majorBidi" w:cstheme="majorBidi"/>
        </w:rPr>
        <w:t>28</w:t>
      </w:r>
      <w:r w:rsidR="00094908" w:rsidRPr="005C3D97">
        <w:rPr>
          <w:rFonts w:asciiTheme="majorBidi" w:hAnsiTheme="majorBidi" w:cstheme="majorBidi"/>
        </w:rPr>
        <w:t>]</w:t>
      </w:r>
      <w:r w:rsidRPr="005C3D97">
        <w:rPr>
          <w:rFonts w:asciiTheme="majorBidi" w:hAnsiTheme="majorBidi" w:cstheme="majorBidi"/>
        </w:rPr>
        <w:t xml:space="preserve">. The results of </w:t>
      </w:r>
      <w:r w:rsidR="00094908" w:rsidRPr="005C3D97">
        <w:rPr>
          <w:rFonts w:asciiTheme="majorBidi" w:hAnsiTheme="majorBidi" w:cstheme="majorBidi"/>
        </w:rPr>
        <w:t xml:space="preserve">the </w:t>
      </w:r>
      <w:r w:rsidRPr="005C3D97">
        <w:rPr>
          <w:rFonts w:asciiTheme="majorBidi" w:hAnsiTheme="majorBidi" w:cstheme="majorBidi"/>
        </w:rPr>
        <w:t>microscopic examination of bacteria showed that they were Gram-negative rods with single or double chains or short chains</w:t>
      </w:r>
      <w:r w:rsidR="00E86926" w:rsidRPr="005C3D97">
        <w:rPr>
          <w:rFonts w:asciiTheme="majorBidi" w:hAnsiTheme="majorBidi" w:cstheme="majorBidi"/>
        </w:rPr>
        <w:t xml:space="preserve"> </w:t>
      </w:r>
      <w:r w:rsidR="00094908" w:rsidRPr="005C3D97">
        <w:rPr>
          <w:rFonts w:asciiTheme="majorBidi" w:hAnsiTheme="majorBidi" w:cstheme="majorBidi"/>
        </w:rPr>
        <w:t>[</w:t>
      </w:r>
      <w:r w:rsidRPr="005C3D97">
        <w:rPr>
          <w:rFonts w:asciiTheme="majorBidi" w:hAnsiTheme="majorBidi" w:cstheme="majorBidi"/>
        </w:rPr>
        <w:t>29</w:t>
      </w:r>
      <w:r w:rsidR="00094908" w:rsidRPr="005C3D97">
        <w:rPr>
          <w:rFonts w:asciiTheme="majorBidi" w:hAnsiTheme="majorBidi" w:cstheme="majorBidi"/>
        </w:rPr>
        <w:t>]</w:t>
      </w:r>
      <w:r w:rsidRPr="005C3D97">
        <w:rPr>
          <w:rFonts w:asciiTheme="majorBidi" w:hAnsiTheme="majorBidi" w:cstheme="majorBidi"/>
        </w:rPr>
        <w:t>. For further identification, some biochemical tests were performed on 50 bacterial isolates, including the urease, citrate, catalase, and Fuchs-Proskauer test. All isolates gave positive results and negative results for the oxidase, indole, and methyl red test</w:t>
      </w:r>
      <w:r w:rsidR="00E86926" w:rsidRPr="005C3D97">
        <w:rPr>
          <w:rFonts w:asciiTheme="majorBidi" w:hAnsiTheme="majorBidi" w:cstheme="majorBidi"/>
        </w:rPr>
        <w:t xml:space="preserve"> </w:t>
      </w:r>
      <w:r w:rsidR="00094908" w:rsidRPr="005C3D97">
        <w:rPr>
          <w:rFonts w:asciiTheme="majorBidi" w:hAnsiTheme="majorBidi" w:cstheme="majorBidi"/>
        </w:rPr>
        <w:t>[</w:t>
      </w:r>
      <w:r w:rsidRPr="005C3D97">
        <w:rPr>
          <w:rFonts w:asciiTheme="majorBidi" w:hAnsiTheme="majorBidi" w:cstheme="majorBidi"/>
        </w:rPr>
        <w:t>30</w:t>
      </w:r>
      <w:r w:rsidR="00094908" w:rsidRPr="005C3D97">
        <w:rPr>
          <w:rFonts w:asciiTheme="majorBidi" w:hAnsiTheme="majorBidi" w:cstheme="majorBidi"/>
        </w:rPr>
        <w:t>]</w:t>
      </w:r>
      <w:r w:rsidRPr="005C3D97">
        <w:rPr>
          <w:rFonts w:asciiTheme="majorBidi" w:hAnsiTheme="majorBidi" w:cstheme="majorBidi"/>
        </w:rPr>
        <w:t>.</w:t>
      </w:r>
    </w:p>
    <w:p w14:paraId="4A8166DB" w14:textId="3CF584AD" w:rsidR="00C60FAA" w:rsidRPr="005C3D97" w:rsidRDefault="00783D07" w:rsidP="00A14631">
      <w:pPr>
        <w:pStyle w:val="Paragraph"/>
        <w:rPr>
          <w:rFonts w:asciiTheme="majorBidi" w:hAnsiTheme="majorBidi" w:cstheme="majorBidi"/>
        </w:rPr>
      </w:pPr>
      <w:r w:rsidRPr="005C3D97">
        <w:rPr>
          <w:rFonts w:asciiTheme="majorBidi" w:hAnsiTheme="majorBidi" w:cstheme="majorBidi"/>
        </w:rPr>
        <w:t xml:space="preserve">The electrophoresis results showed that all </w:t>
      </w:r>
      <w:r w:rsidRPr="005C3D97">
        <w:rPr>
          <w:rFonts w:asciiTheme="majorBidi" w:hAnsiTheme="majorBidi" w:cstheme="majorBidi"/>
          <w:i/>
          <w:iCs/>
        </w:rPr>
        <w:t>K. pneumoniae</w:t>
      </w:r>
      <w:r w:rsidRPr="005C3D97">
        <w:rPr>
          <w:rFonts w:asciiTheme="majorBidi" w:hAnsiTheme="majorBidi" w:cstheme="majorBidi"/>
        </w:rPr>
        <w:t xml:space="preserve"> isolates at a rate of 100% of 16SrRNA gene, bands had a molecular weight of 260 base pairs. The results of this study are consistent with study of </w:t>
      </w:r>
      <w:proofErr w:type="spellStart"/>
      <w:r w:rsidRPr="005C3D97">
        <w:rPr>
          <w:rFonts w:asciiTheme="majorBidi" w:hAnsiTheme="majorBidi" w:cstheme="majorBidi"/>
        </w:rPr>
        <w:t>Budiarso</w:t>
      </w:r>
      <w:proofErr w:type="spellEnd"/>
      <w:r w:rsidRPr="005C3D97">
        <w:rPr>
          <w:rFonts w:asciiTheme="majorBidi" w:hAnsiTheme="majorBidi" w:cstheme="majorBidi"/>
        </w:rPr>
        <w:t xml:space="preserve"> </w:t>
      </w:r>
      <w:r w:rsidRPr="005C3D97">
        <w:rPr>
          <w:rFonts w:asciiTheme="majorBidi" w:hAnsiTheme="majorBidi" w:cstheme="majorBidi"/>
          <w:i/>
          <w:iCs/>
        </w:rPr>
        <w:t>et al</w:t>
      </w:r>
      <w:r w:rsidRPr="005C3D97">
        <w:rPr>
          <w:rFonts w:asciiTheme="majorBidi" w:hAnsiTheme="majorBidi" w:cstheme="majorBidi"/>
        </w:rPr>
        <w:t>. [31]. Molecular identification such as PCR for clinical bacterial isolates has occupied a prominent position in clinical identification research due to its accuracy and rapid identification compared to other identification methods such as morphological and biochemical diagnosis [32].</w:t>
      </w:r>
      <w:r w:rsidR="00D42BAA" w:rsidRPr="005C3D97">
        <w:rPr>
          <w:rFonts w:asciiTheme="majorBidi" w:hAnsiTheme="majorBidi" w:cstheme="majorBidi"/>
        </w:rPr>
        <w:t xml:space="preserve">Among the several thousand genes within the bacterial genome, the </w:t>
      </w:r>
      <w:r w:rsidR="00D42BAA" w:rsidRPr="005C3D97">
        <w:rPr>
          <w:rFonts w:asciiTheme="majorBidi" w:hAnsiTheme="majorBidi" w:cstheme="majorBidi"/>
          <w:i/>
          <w:iCs/>
        </w:rPr>
        <w:t>16SrRNA</w:t>
      </w:r>
      <w:r w:rsidR="00D42BAA" w:rsidRPr="005C3D97">
        <w:rPr>
          <w:rFonts w:asciiTheme="majorBidi" w:hAnsiTheme="majorBidi" w:cstheme="majorBidi"/>
        </w:rPr>
        <w:t xml:space="preserve"> gene has been the primary key to evolutionary identification compared to well-curated </w:t>
      </w:r>
      <w:r w:rsidR="00D42BAA" w:rsidRPr="005C3D97">
        <w:rPr>
          <w:rFonts w:asciiTheme="majorBidi" w:hAnsiTheme="majorBidi" w:cstheme="majorBidi"/>
          <w:i/>
          <w:iCs/>
        </w:rPr>
        <w:t>16SrRNA</w:t>
      </w:r>
      <w:r w:rsidR="00D42BAA" w:rsidRPr="005C3D97">
        <w:rPr>
          <w:rFonts w:asciiTheme="majorBidi" w:hAnsiTheme="majorBidi" w:cstheme="majorBidi"/>
        </w:rPr>
        <w:t xml:space="preserve"> gene sequence databases</w:t>
      </w:r>
      <w:r w:rsidR="00E86926" w:rsidRPr="005C3D97">
        <w:rPr>
          <w:rFonts w:asciiTheme="majorBidi" w:hAnsiTheme="majorBidi" w:cstheme="majorBidi"/>
        </w:rPr>
        <w:t xml:space="preserve"> </w:t>
      </w:r>
      <w:r w:rsidR="00094908" w:rsidRPr="005C3D97">
        <w:rPr>
          <w:rFonts w:asciiTheme="majorBidi" w:hAnsiTheme="majorBidi" w:cstheme="majorBidi"/>
        </w:rPr>
        <w:t>[</w:t>
      </w:r>
      <w:r w:rsidR="00D42BAA" w:rsidRPr="005C3D97">
        <w:rPr>
          <w:rFonts w:asciiTheme="majorBidi" w:hAnsiTheme="majorBidi" w:cstheme="majorBidi"/>
        </w:rPr>
        <w:t>33</w:t>
      </w:r>
      <w:r w:rsidR="00094908" w:rsidRPr="005C3D97">
        <w:rPr>
          <w:rFonts w:asciiTheme="majorBidi" w:hAnsiTheme="majorBidi" w:cstheme="majorBidi"/>
        </w:rPr>
        <w:t>]</w:t>
      </w:r>
      <w:r w:rsidR="00D42BAA" w:rsidRPr="005C3D97">
        <w:rPr>
          <w:rFonts w:asciiTheme="majorBidi" w:hAnsiTheme="majorBidi" w:cstheme="majorBidi"/>
        </w:rPr>
        <w:t xml:space="preserve">. The utility of the </w:t>
      </w:r>
      <w:r w:rsidR="00D42BAA" w:rsidRPr="005C3D97">
        <w:rPr>
          <w:rFonts w:asciiTheme="majorBidi" w:hAnsiTheme="majorBidi" w:cstheme="majorBidi"/>
          <w:i/>
          <w:iCs/>
        </w:rPr>
        <w:t>16SrRNA</w:t>
      </w:r>
      <w:r w:rsidR="00D42BAA" w:rsidRPr="005C3D97">
        <w:rPr>
          <w:rFonts w:asciiTheme="majorBidi" w:hAnsiTheme="majorBidi" w:cstheme="majorBidi"/>
        </w:rPr>
        <w:t xml:space="preserve"> gene has not altered eventually, meaning that random sequence alterations are a more perfect extent of time (evolution), and that the </w:t>
      </w:r>
      <w:r w:rsidR="00D42BAA" w:rsidRPr="005C3D97">
        <w:rPr>
          <w:rFonts w:asciiTheme="majorBidi" w:hAnsiTheme="majorBidi" w:cstheme="majorBidi"/>
          <w:i/>
          <w:iCs/>
        </w:rPr>
        <w:t>16SrRNA</w:t>
      </w:r>
      <w:r w:rsidR="00D42BAA" w:rsidRPr="005C3D97">
        <w:rPr>
          <w:rFonts w:asciiTheme="majorBidi" w:hAnsiTheme="majorBidi" w:cstheme="majorBidi"/>
        </w:rPr>
        <w:t xml:space="preserve"> gene (1500 bp) is large </w:t>
      </w:r>
      <w:r w:rsidR="00094908" w:rsidRPr="005C3D97">
        <w:rPr>
          <w:rFonts w:asciiTheme="majorBidi" w:hAnsiTheme="majorBidi" w:cstheme="majorBidi"/>
        </w:rPr>
        <w:t xml:space="preserve">and </w:t>
      </w:r>
      <w:r w:rsidR="00D42BAA" w:rsidRPr="005C3D97">
        <w:rPr>
          <w:rFonts w:asciiTheme="majorBidi" w:hAnsiTheme="majorBidi" w:cstheme="majorBidi"/>
        </w:rPr>
        <w:t>adequate for informatics determinations</w:t>
      </w:r>
      <w:r w:rsidR="00E86926" w:rsidRPr="005C3D97">
        <w:rPr>
          <w:rFonts w:asciiTheme="majorBidi" w:hAnsiTheme="majorBidi" w:cstheme="majorBidi"/>
        </w:rPr>
        <w:t xml:space="preserve"> </w:t>
      </w:r>
      <w:r w:rsidR="00094908" w:rsidRPr="005C3D97">
        <w:rPr>
          <w:rFonts w:asciiTheme="majorBidi" w:hAnsiTheme="majorBidi" w:cstheme="majorBidi"/>
        </w:rPr>
        <w:t>[</w:t>
      </w:r>
      <w:r w:rsidR="00D42BAA" w:rsidRPr="005C3D97">
        <w:rPr>
          <w:rFonts w:asciiTheme="majorBidi" w:hAnsiTheme="majorBidi" w:cstheme="majorBidi"/>
        </w:rPr>
        <w:t>34</w:t>
      </w:r>
      <w:r w:rsidR="00094908" w:rsidRPr="005C3D97">
        <w:rPr>
          <w:rFonts w:asciiTheme="majorBidi" w:hAnsiTheme="majorBidi" w:cstheme="majorBidi"/>
        </w:rPr>
        <w:t>]</w:t>
      </w:r>
      <w:r w:rsidR="00D42BAA" w:rsidRPr="005C3D97">
        <w:rPr>
          <w:rFonts w:asciiTheme="majorBidi" w:hAnsiTheme="majorBidi" w:cstheme="majorBidi"/>
        </w:rPr>
        <w:t>.</w:t>
      </w:r>
      <w:r w:rsidR="00233356" w:rsidRPr="005C3D97">
        <w:rPr>
          <w:rFonts w:asciiTheme="majorBidi" w:hAnsiTheme="majorBidi" w:cstheme="majorBidi"/>
        </w:rPr>
        <w:t xml:space="preserve"> </w:t>
      </w:r>
      <w:r w:rsidR="00C60FAA" w:rsidRPr="005C3D97">
        <w:rPr>
          <w:rFonts w:asciiTheme="majorBidi" w:hAnsiTheme="majorBidi" w:cstheme="majorBidi"/>
        </w:rPr>
        <w:t xml:space="preserve">The isolates showed resistance to Ticarcillin and Ticarcillin/Clavulanic </w:t>
      </w:r>
      <w:proofErr w:type="gramStart"/>
      <w:r w:rsidR="00C60FAA" w:rsidRPr="005C3D97">
        <w:rPr>
          <w:rFonts w:asciiTheme="majorBidi" w:hAnsiTheme="majorBidi" w:cstheme="majorBidi"/>
        </w:rPr>
        <w:t>Acid ,</w:t>
      </w:r>
      <w:proofErr w:type="gramEnd"/>
      <w:r w:rsidR="00C60FAA" w:rsidRPr="005C3D97">
        <w:rPr>
          <w:rFonts w:asciiTheme="majorBidi" w:hAnsiTheme="majorBidi" w:cstheme="majorBidi"/>
        </w:rPr>
        <w:t xml:space="preserve"> which was consistent </w:t>
      </w:r>
      <w:proofErr w:type="gramStart"/>
      <w:r w:rsidR="00C60FAA" w:rsidRPr="005C3D97">
        <w:rPr>
          <w:rFonts w:asciiTheme="majorBidi" w:hAnsiTheme="majorBidi" w:cstheme="majorBidi"/>
        </w:rPr>
        <w:t>with  Mustafa</w:t>
      </w:r>
      <w:proofErr w:type="gramEnd"/>
      <w:r w:rsidR="00C60FAA" w:rsidRPr="005C3D97">
        <w:rPr>
          <w:rFonts w:asciiTheme="majorBidi" w:hAnsiTheme="majorBidi" w:cstheme="majorBidi"/>
        </w:rPr>
        <w:t xml:space="preserve"> [35]. All isolates showed resistance to </w:t>
      </w:r>
      <w:proofErr w:type="gramStart"/>
      <w:r w:rsidR="00C60FAA" w:rsidRPr="005C3D97">
        <w:rPr>
          <w:rFonts w:asciiTheme="majorBidi" w:hAnsiTheme="majorBidi" w:cstheme="majorBidi"/>
        </w:rPr>
        <w:t>Piperacillin  agreed</w:t>
      </w:r>
      <w:proofErr w:type="gramEnd"/>
      <w:r w:rsidR="00C60FAA" w:rsidRPr="005C3D97">
        <w:rPr>
          <w:rFonts w:asciiTheme="majorBidi" w:hAnsiTheme="majorBidi" w:cstheme="majorBidi"/>
        </w:rPr>
        <w:t xml:space="preserve"> </w:t>
      </w:r>
      <w:proofErr w:type="gramStart"/>
      <w:r w:rsidR="00C60FAA" w:rsidRPr="005C3D97">
        <w:rPr>
          <w:rFonts w:asciiTheme="majorBidi" w:hAnsiTheme="majorBidi" w:cstheme="majorBidi"/>
        </w:rPr>
        <w:t>with  Mustafa</w:t>
      </w:r>
      <w:proofErr w:type="gramEnd"/>
      <w:r w:rsidR="00C60FAA" w:rsidRPr="005C3D97">
        <w:rPr>
          <w:rFonts w:asciiTheme="majorBidi" w:hAnsiTheme="majorBidi" w:cstheme="majorBidi"/>
        </w:rPr>
        <w:t xml:space="preserve"> and Abdullah [36]. The reason for the resistance is that the bacteria can produce chromosomally encoded β-lactamases and can deal with this intrinsic resistance or plasmid-encoded penicillinase enzymes. </w:t>
      </w:r>
      <w:proofErr w:type="gramStart"/>
      <w:r w:rsidR="00C60FAA" w:rsidRPr="005C3D97">
        <w:rPr>
          <w:rFonts w:asciiTheme="majorBidi" w:hAnsiTheme="majorBidi" w:cstheme="majorBidi"/>
        </w:rPr>
        <w:t>Furthermost</w:t>
      </w:r>
      <w:proofErr w:type="gramEnd"/>
      <w:r w:rsidR="00C60FAA" w:rsidRPr="005C3D97">
        <w:rPr>
          <w:rFonts w:asciiTheme="majorBidi" w:hAnsiTheme="majorBidi" w:cstheme="majorBidi"/>
        </w:rPr>
        <w:t xml:space="preserve"> K. pneumoniae isolates product beta-lactamase SHV-1 [37]. The results of this study displayed that the resistance of isolates against Piperacillin/</w:t>
      </w:r>
      <w:proofErr w:type="gramStart"/>
      <w:r w:rsidR="00C60FAA" w:rsidRPr="005C3D97">
        <w:rPr>
          <w:rFonts w:asciiTheme="majorBidi" w:hAnsiTheme="majorBidi" w:cstheme="majorBidi"/>
        </w:rPr>
        <w:t>Tazobactam  agreed</w:t>
      </w:r>
      <w:proofErr w:type="gramEnd"/>
      <w:r w:rsidR="00C60FAA" w:rsidRPr="005C3D97">
        <w:rPr>
          <w:rFonts w:asciiTheme="majorBidi" w:hAnsiTheme="majorBidi" w:cstheme="majorBidi"/>
        </w:rPr>
        <w:t xml:space="preserve"> </w:t>
      </w:r>
      <w:proofErr w:type="gramStart"/>
      <w:r w:rsidR="00C60FAA" w:rsidRPr="005C3D97">
        <w:rPr>
          <w:rFonts w:asciiTheme="majorBidi" w:hAnsiTheme="majorBidi" w:cstheme="majorBidi"/>
        </w:rPr>
        <w:t>with  Khalid</w:t>
      </w:r>
      <w:proofErr w:type="gramEnd"/>
      <w:r w:rsidR="00C60FAA" w:rsidRPr="005C3D97">
        <w:rPr>
          <w:rFonts w:asciiTheme="majorBidi" w:hAnsiTheme="majorBidi" w:cstheme="majorBidi"/>
        </w:rPr>
        <w:t xml:space="preserve"> and Ghareeb [38]. The resistance of isolates to </w:t>
      </w:r>
      <w:proofErr w:type="gramStart"/>
      <w:r w:rsidR="00C60FAA" w:rsidRPr="005C3D97">
        <w:rPr>
          <w:rFonts w:asciiTheme="majorBidi" w:hAnsiTheme="majorBidi" w:cstheme="majorBidi"/>
        </w:rPr>
        <w:t>Ceftazidime, and</w:t>
      </w:r>
      <w:proofErr w:type="gramEnd"/>
      <w:r w:rsidR="00C60FAA" w:rsidRPr="005C3D97">
        <w:rPr>
          <w:rFonts w:asciiTheme="majorBidi" w:hAnsiTheme="majorBidi" w:cstheme="majorBidi"/>
        </w:rPr>
        <w:t xml:space="preserve"> was consistent with Hasan et al. [39] [40]. Beta-lactam targets (penicillin-binding proteins) to avoid the use of antibiotics.  permeability of antibiotics into and out of the cell through several mechanisms, such as efflux pumps, through the outer membrane [41]. The results of the existing study indicated that the resistance to Cefepime. The results were close </w:t>
      </w:r>
      <w:proofErr w:type="gramStart"/>
      <w:r w:rsidR="00C60FAA" w:rsidRPr="005C3D97">
        <w:rPr>
          <w:rFonts w:asciiTheme="majorBidi" w:hAnsiTheme="majorBidi" w:cstheme="majorBidi"/>
        </w:rPr>
        <w:t>of</w:t>
      </w:r>
      <w:proofErr w:type="gramEnd"/>
      <w:r w:rsidR="00C60FAA" w:rsidRPr="005C3D97">
        <w:rPr>
          <w:rFonts w:asciiTheme="majorBidi" w:hAnsiTheme="majorBidi" w:cstheme="majorBidi"/>
        </w:rPr>
        <w:t xml:space="preserve"> Obaid and Hasson [42], as they indicated that the percentage of resistance to the antibiotic was (60%). The results of the current study differed from Yazgan </w:t>
      </w:r>
      <w:r w:rsidR="00C60FAA" w:rsidRPr="005C3D97">
        <w:rPr>
          <w:rFonts w:asciiTheme="majorBidi" w:hAnsiTheme="majorBidi" w:cstheme="majorBidi"/>
          <w:i/>
          <w:iCs/>
        </w:rPr>
        <w:t>et al</w:t>
      </w:r>
      <w:r w:rsidR="00C60FAA" w:rsidRPr="005C3D97">
        <w:rPr>
          <w:rFonts w:asciiTheme="majorBidi" w:hAnsiTheme="majorBidi" w:cstheme="majorBidi"/>
        </w:rPr>
        <w:t xml:space="preserve">. [43]. They found that the resistance to the antibiotic was (100%). Many studies have shown that </w:t>
      </w:r>
      <w:r w:rsidR="00C60FAA" w:rsidRPr="005C3D97">
        <w:rPr>
          <w:rFonts w:asciiTheme="majorBidi" w:hAnsiTheme="majorBidi" w:cstheme="majorBidi"/>
          <w:i/>
          <w:iCs/>
        </w:rPr>
        <w:t>K. pneumoniae</w:t>
      </w:r>
      <w:r w:rsidR="00C60FAA" w:rsidRPr="005C3D97">
        <w:rPr>
          <w:rFonts w:asciiTheme="majorBidi" w:hAnsiTheme="majorBidi" w:cstheme="majorBidi"/>
        </w:rPr>
        <w:t xml:space="preserve"> are resistant to antibiotics such as third-generation cephalosporins, carbapenems, fluoroquinolones, and aminoglycosides [44]. The results of the recent study displayed that resistan</w:t>
      </w:r>
      <w:r w:rsidR="00540407" w:rsidRPr="005C3D97">
        <w:rPr>
          <w:rFonts w:asciiTheme="majorBidi" w:hAnsiTheme="majorBidi" w:cstheme="majorBidi"/>
        </w:rPr>
        <w:t>ce to the antibiotic Aztreonam</w:t>
      </w:r>
      <w:r w:rsidR="00C60FAA" w:rsidRPr="005C3D97">
        <w:rPr>
          <w:rFonts w:asciiTheme="majorBidi" w:hAnsiTheme="majorBidi" w:cstheme="majorBidi"/>
        </w:rPr>
        <w:t>,</w:t>
      </w:r>
      <w:r w:rsidR="00540407" w:rsidRPr="005C3D97">
        <w:rPr>
          <w:rFonts w:asciiTheme="majorBidi" w:hAnsiTheme="majorBidi" w:cstheme="majorBidi"/>
        </w:rPr>
        <w:t xml:space="preserve"> </w:t>
      </w:r>
      <w:r w:rsidR="00C60FAA" w:rsidRPr="005C3D97">
        <w:rPr>
          <w:rFonts w:asciiTheme="majorBidi" w:hAnsiTheme="majorBidi" w:cstheme="majorBidi"/>
        </w:rPr>
        <w:t xml:space="preserve">which is close to Ajeel and Mohammed [45].  The researchers mentioned that the unsuitable usage of antibiotics or the transfer of resistance genes between organisms via plasmids accomplished by taking resistant genes, integrins, bacteriophages and transposons are possibilities, as evidence of the high prevalence of multidrug-resistant </w:t>
      </w:r>
      <w:r w:rsidR="00C60FAA" w:rsidRPr="005C3D97">
        <w:rPr>
          <w:rFonts w:asciiTheme="majorBidi" w:hAnsiTheme="majorBidi" w:cstheme="majorBidi"/>
          <w:i/>
          <w:iCs/>
        </w:rPr>
        <w:t>K. pneumoniae</w:t>
      </w:r>
      <w:r w:rsidR="00C60FAA" w:rsidRPr="005C3D97">
        <w:rPr>
          <w:rFonts w:asciiTheme="majorBidi" w:hAnsiTheme="majorBidi" w:cstheme="majorBidi"/>
        </w:rPr>
        <w:t xml:space="preserve"> strains [46].</w:t>
      </w:r>
    </w:p>
    <w:p w14:paraId="7A391D4C" w14:textId="318EC7C3" w:rsidR="00C60FAA" w:rsidRPr="005C3D97" w:rsidRDefault="00C60FAA" w:rsidP="00A14631">
      <w:pPr>
        <w:pStyle w:val="Paragraph"/>
        <w:rPr>
          <w:rFonts w:asciiTheme="majorBidi" w:hAnsiTheme="majorBidi" w:cstheme="majorBidi"/>
        </w:rPr>
      </w:pPr>
      <w:r w:rsidRPr="005C3D97">
        <w:rPr>
          <w:rFonts w:asciiTheme="majorBidi" w:hAnsiTheme="majorBidi" w:cstheme="majorBidi"/>
        </w:rPr>
        <w:t xml:space="preserve">Many studies agreed with the results of the present study for the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gene and did not agree with the results of the study for the </w:t>
      </w:r>
      <w:proofErr w:type="spellStart"/>
      <w:r w:rsidRPr="005C3D97">
        <w:rPr>
          <w:rFonts w:asciiTheme="majorBidi" w:hAnsiTheme="majorBidi" w:cstheme="majorBidi"/>
          <w:i/>
          <w:iCs/>
        </w:rPr>
        <w:t>oqxB</w:t>
      </w:r>
      <w:proofErr w:type="spellEnd"/>
      <w:r w:rsidRPr="005C3D97">
        <w:rPr>
          <w:rFonts w:asciiTheme="majorBidi" w:hAnsiTheme="majorBidi" w:cstheme="majorBidi"/>
        </w:rPr>
        <w:t xml:space="preserve"> gene. Among these studies is the study of Mustafa and Abdullah [47], where 50 bacterial isolates were isolated from different hospitals in Baghdad from different clinical sources. They found that the percentage of bacterial isolates possessing the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gene was 48 (96%), while the bacterial isolates that possessed the </w:t>
      </w:r>
      <w:proofErr w:type="spellStart"/>
      <w:r w:rsidRPr="005C3D97">
        <w:rPr>
          <w:rFonts w:asciiTheme="majorBidi" w:hAnsiTheme="majorBidi" w:cstheme="majorBidi"/>
          <w:i/>
          <w:iCs/>
        </w:rPr>
        <w:t>oqxB</w:t>
      </w:r>
      <w:proofErr w:type="spellEnd"/>
      <w:r w:rsidRPr="005C3D97">
        <w:rPr>
          <w:rFonts w:asciiTheme="majorBidi" w:hAnsiTheme="majorBidi" w:cstheme="majorBidi"/>
        </w:rPr>
        <w:t xml:space="preserve"> gene were very low, reaching 6(12%) in isolate. According to the studies, the high prevalence of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in </w:t>
      </w:r>
      <w:r w:rsidRPr="005C3D97">
        <w:rPr>
          <w:rFonts w:asciiTheme="majorBidi" w:hAnsiTheme="majorBidi" w:cstheme="majorBidi"/>
          <w:i/>
          <w:iCs/>
        </w:rPr>
        <w:t>K. pneumoniae</w:t>
      </w:r>
      <w:r w:rsidRPr="005C3D97">
        <w:rPr>
          <w:rFonts w:asciiTheme="majorBidi" w:hAnsiTheme="majorBidi" w:cstheme="majorBidi"/>
        </w:rPr>
        <w:t xml:space="preserve"> isolates is a probable p</w:t>
      </w:r>
      <w:r w:rsidR="005E36EE" w:rsidRPr="005C3D97">
        <w:rPr>
          <w:rFonts w:asciiTheme="majorBidi" w:hAnsiTheme="majorBidi" w:cstheme="majorBidi"/>
        </w:rPr>
        <w:t>ool for the gene'</w:t>
      </w:r>
      <w:r w:rsidR="00540407" w:rsidRPr="005C3D97">
        <w:rPr>
          <w:rFonts w:asciiTheme="majorBidi" w:hAnsiTheme="majorBidi" w:cstheme="majorBidi"/>
        </w:rPr>
        <w:t>s extent [14</w:t>
      </w:r>
      <w:proofErr w:type="gramStart"/>
      <w:r w:rsidR="00540407" w:rsidRPr="005C3D97">
        <w:rPr>
          <w:rFonts w:asciiTheme="majorBidi" w:hAnsiTheme="majorBidi" w:cstheme="majorBidi"/>
        </w:rPr>
        <w:t>]</w:t>
      </w:r>
      <w:r w:rsidR="005E36EE" w:rsidRPr="005C3D97">
        <w:rPr>
          <w:rFonts w:asciiTheme="majorBidi" w:hAnsiTheme="majorBidi" w:cstheme="majorBidi"/>
        </w:rPr>
        <w:t>.</w:t>
      </w:r>
      <w:r w:rsidRPr="005C3D97">
        <w:rPr>
          <w:rFonts w:asciiTheme="majorBidi" w:hAnsiTheme="majorBidi" w:cstheme="majorBidi"/>
        </w:rPr>
        <w:t>Horizontal</w:t>
      </w:r>
      <w:proofErr w:type="gramEnd"/>
      <w:r w:rsidRPr="005C3D97">
        <w:rPr>
          <w:rFonts w:asciiTheme="majorBidi" w:hAnsiTheme="majorBidi" w:cstheme="majorBidi"/>
        </w:rPr>
        <w:t xml:space="preserve"> transfer of these genes and their exchange from the chromosome to the plasmid enhances the capability to raise the level of MDR phenotypes [48]. </w:t>
      </w:r>
      <w:proofErr w:type="gramStart"/>
      <w:r w:rsidRPr="005C3D97">
        <w:rPr>
          <w:rFonts w:asciiTheme="majorBidi" w:hAnsiTheme="majorBidi" w:cstheme="majorBidi"/>
        </w:rPr>
        <w:t>Also</w:t>
      </w:r>
      <w:proofErr w:type="gramEnd"/>
      <w:r w:rsidRPr="005C3D97">
        <w:rPr>
          <w:rFonts w:asciiTheme="majorBidi" w:hAnsiTheme="majorBidi" w:cstheme="majorBidi"/>
        </w:rPr>
        <w:t xml:space="preserve"> with the results of the study of </w:t>
      </w:r>
      <w:proofErr w:type="spellStart"/>
      <w:r w:rsidRPr="005C3D97">
        <w:rPr>
          <w:rFonts w:asciiTheme="majorBidi" w:hAnsiTheme="majorBidi" w:cstheme="majorBidi"/>
        </w:rPr>
        <w:t>Amereh</w:t>
      </w:r>
      <w:proofErr w:type="spellEnd"/>
      <w:r w:rsidRPr="005C3D97">
        <w:rPr>
          <w:rFonts w:asciiTheme="majorBidi" w:hAnsiTheme="majorBidi" w:cstheme="majorBidi"/>
        </w:rPr>
        <w:t xml:space="preserve"> </w:t>
      </w:r>
      <w:r w:rsidRPr="005C3D97">
        <w:rPr>
          <w:rFonts w:asciiTheme="majorBidi" w:hAnsiTheme="majorBidi" w:cstheme="majorBidi"/>
          <w:i/>
          <w:iCs/>
        </w:rPr>
        <w:t>et al</w:t>
      </w:r>
      <w:r w:rsidRPr="005C3D97">
        <w:rPr>
          <w:rFonts w:asciiTheme="majorBidi" w:hAnsiTheme="majorBidi" w:cstheme="majorBidi"/>
        </w:rPr>
        <w:t xml:space="preserve">. [49] when isolating 100 bacterial isolates from different clinical sources in the city of Hamdan, they found that the percentages of isolates containing the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and </w:t>
      </w:r>
      <w:proofErr w:type="spellStart"/>
      <w:r w:rsidRPr="005C3D97">
        <w:rPr>
          <w:rFonts w:asciiTheme="majorBidi" w:hAnsiTheme="majorBidi" w:cstheme="majorBidi"/>
          <w:i/>
          <w:iCs/>
        </w:rPr>
        <w:t>oqxB</w:t>
      </w:r>
      <w:proofErr w:type="spellEnd"/>
      <w:r w:rsidRPr="005C3D97">
        <w:rPr>
          <w:rFonts w:asciiTheme="majorBidi" w:hAnsiTheme="majorBidi" w:cstheme="majorBidi"/>
        </w:rPr>
        <w:t xml:space="preserve"> genes reached (95, </w:t>
      </w:r>
      <w:proofErr w:type="gramStart"/>
      <w:r w:rsidRPr="005C3D97">
        <w:rPr>
          <w:rFonts w:asciiTheme="majorBidi" w:hAnsiTheme="majorBidi" w:cstheme="majorBidi"/>
        </w:rPr>
        <w:t>98)%</w:t>
      </w:r>
      <w:proofErr w:type="gramEnd"/>
      <w:r w:rsidRPr="005C3D97">
        <w:rPr>
          <w:rFonts w:asciiTheme="majorBidi" w:hAnsiTheme="majorBidi" w:cstheme="majorBidi"/>
        </w:rPr>
        <w:t xml:space="preserve"> correspondingly. According to Li et al. [14] study, the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efflux pump is one mechanism by which quinolone and fluoroquinolone resistance is achieved. </w:t>
      </w:r>
      <w:r w:rsidRPr="005C3D97">
        <w:rPr>
          <w:rFonts w:asciiTheme="majorBidi" w:hAnsiTheme="majorBidi" w:cstheme="majorBidi"/>
          <w:i/>
          <w:iCs/>
        </w:rPr>
        <w:t>E. coli</w:t>
      </w:r>
      <w:r w:rsidRPr="005C3D97">
        <w:rPr>
          <w:rFonts w:asciiTheme="majorBidi" w:hAnsiTheme="majorBidi" w:cstheme="majorBidi"/>
        </w:rPr>
        <w:t xml:space="preserve"> and </w:t>
      </w:r>
      <w:r w:rsidRPr="005C3D97">
        <w:rPr>
          <w:rFonts w:asciiTheme="majorBidi" w:hAnsiTheme="majorBidi" w:cstheme="majorBidi"/>
          <w:i/>
          <w:iCs/>
        </w:rPr>
        <w:t>K. pneumoniae</w:t>
      </w:r>
      <w:r w:rsidRPr="005C3D97">
        <w:rPr>
          <w:rFonts w:asciiTheme="majorBidi" w:hAnsiTheme="majorBidi" w:cstheme="majorBidi"/>
        </w:rPr>
        <w:t xml:space="preserve">, two species of quinolone-resistant bacteria, frequently possess the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gene. According to the same study, the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efflux pump may also be linked to resistance to other antibiotics in addition to fluoroquinolone resistance. In hospitals, the high prevalence of </w:t>
      </w:r>
      <w:r w:rsidRPr="005C3D97">
        <w:rPr>
          <w:rFonts w:asciiTheme="majorBidi" w:hAnsiTheme="majorBidi" w:cstheme="majorBidi"/>
          <w:i/>
          <w:iCs/>
        </w:rPr>
        <w:t>K. pneumoniae</w:t>
      </w:r>
      <w:r w:rsidRPr="005C3D97">
        <w:rPr>
          <w:rFonts w:asciiTheme="majorBidi" w:hAnsiTheme="majorBidi" w:cstheme="majorBidi"/>
        </w:rPr>
        <w:t xml:space="preserve"> strains containing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genes in their efflux pump genes poses a significant threat to infection control and antibiotic therapy. </w:t>
      </w:r>
      <w:r w:rsidRPr="005C3D97">
        <w:rPr>
          <w:rFonts w:asciiTheme="majorBidi" w:hAnsiTheme="majorBidi" w:cstheme="majorBidi"/>
          <w:i/>
          <w:iCs/>
        </w:rPr>
        <w:t>K. pneumoniae</w:t>
      </w:r>
      <w:r w:rsidRPr="005C3D97">
        <w:rPr>
          <w:rFonts w:asciiTheme="majorBidi" w:hAnsiTheme="majorBidi" w:cstheme="majorBidi"/>
        </w:rPr>
        <w:t xml:space="preserve"> appears to have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resistance to ciprofloxacin because of its high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pump expression.  Also, the results of the study by </w:t>
      </w:r>
      <w:proofErr w:type="spellStart"/>
      <w:r w:rsidRPr="005C3D97">
        <w:rPr>
          <w:rFonts w:asciiTheme="majorBidi" w:hAnsiTheme="majorBidi" w:cstheme="majorBidi"/>
        </w:rPr>
        <w:t>Albarri</w:t>
      </w:r>
      <w:proofErr w:type="spellEnd"/>
      <w:r w:rsidRPr="005C3D97">
        <w:rPr>
          <w:rFonts w:asciiTheme="majorBidi" w:hAnsiTheme="majorBidi" w:cstheme="majorBidi"/>
        </w:rPr>
        <w:t xml:space="preserve"> et al. [50] in Turkey, in which 50 bacterial isolates were isolated, showed that the percentage of bacterial isolates that possessed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genes was 29(63%) and </w:t>
      </w:r>
      <w:proofErr w:type="spellStart"/>
      <w:r w:rsidRPr="005C3D97">
        <w:rPr>
          <w:rFonts w:asciiTheme="majorBidi" w:hAnsiTheme="majorBidi" w:cstheme="majorBidi"/>
        </w:rPr>
        <w:t>oqxB</w:t>
      </w:r>
      <w:proofErr w:type="spellEnd"/>
      <w:r w:rsidRPr="005C3D97">
        <w:rPr>
          <w:rFonts w:asciiTheme="majorBidi" w:hAnsiTheme="majorBidi" w:cstheme="majorBidi"/>
        </w:rPr>
        <w:t xml:space="preserve"> genes was 24(52%), the last gene being consistent with our study.</w:t>
      </w:r>
      <w:r w:rsidR="00540407" w:rsidRPr="005C3D97">
        <w:rPr>
          <w:rFonts w:asciiTheme="majorBidi" w:hAnsiTheme="majorBidi" w:cstheme="majorBidi"/>
        </w:rPr>
        <w:t xml:space="preserve"> </w:t>
      </w:r>
      <w:r w:rsidRPr="005C3D97">
        <w:rPr>
          <w:rFonts w:asciiTheme="majorBidi" w:hAnsiTheme="majorBidi" w:cstheme="majorBidi"/>
        </w:rPr>
        <w:t xml:space="preserve">Several genes associated with antibiotic resistance were found, </w:t>
      </w:r>
      <w:r w:rsidRPr="005C3D97">
        <w:rPr>
          <w:rFonts w:asciiTheme="majorBidi" w:hAnsiTheme="majorBidi" w:cstheme="majorBidi"/>
        </w:rPr>
        <w:lastRenderedPageBreak/>
        <w:t xml:space="preserve">including the genes </w:t>
      </w:r>
      <w:proofErr w:type="spellStart"/>
      <w:r w:rsidRPr="005C3D97">
        <w:rPr>
          <w:rFonts w:asciiTheme="majorBidi" w:hAnsiTheme="majorBidi" w:cstheme="majorBidi"/>
          <w:i/>
          <w:iCs/>
        </w:rPr>
        <w:t>acrAB</w:t>
      </w:r>
      <w:proofErr w:type="spellEnd"/>
      <w:r w:rsidRPr="005C3D97">
        <w:rPr>
          <w:rFonts w:asciiTheme="majorBidi" w:hAnsiTheme="majorBidi" w:cstheme="majorBidi"/>
        </w:rPr>
        <w:t xml:space="preserve"> and </w:t>
      </w:r>
      <w:proofErr w:type="spellStart"/>
      <w:r w:rsidRPr="005C3D97">
        <w:rPr>
          <w:rFonts w:asciiTheme="majorBidi" w:hAnsiTheme="majorBidi" w:cstheme="majorBidi"/>
          <w:i/>
          <w:iCs/>
        </w:rPr>
        <w:t>oqxAB</w:t>
      </w:r>
      <w:proofErr w:type="spellEnd"/>
      <w:r w:rsidRPr="005C3D97">
        <w:rPr>
          <w:rFonts w:asciiTheme="majorBidi" w:hAnsiTheme="majorBidi" w:cstheme="majorBidi"/>
        </w:rPr>
        <w:t xml:space="preserve"> as well as the transcriptional activators </w:t>
      </w:r>
      <w:proofErr w:type="spellStart"/>
      <w:r w:rsidRPr="005C3D97">
        <w:rPr>
          <w:rFonts w:asciiTheme="majorBidi" w:hAnsiTheme="majorBidi" w:cstheme="majorBidi"/>
          <w:i/>
          <w:iCs/>
        </w:rPr>
        <w:t>ramA</w:t>
      </w:r>
      <w:proofErr w:type="spellEnd"/>
      <w:r w:rsidRPr="005C3D97">
        <w:rPr>
          <w:rFonts w:asciiTheme="majorBidi" w:hAnsiTheme="majorBidi" w:cstheme="majorBidi"/>
        </w:rPr>
        <w:t xml:space="preserve"> and </w:t>
      </w:r>
      <w:proofErr w:type="spellStart"/>
      <w:r w:rsidRPr="005C3D97">
        <w:rPr>
          <w:rFonts w:asciiTheme="majorBidi" w:hAnsiTheme="majorBidi" w:cstheme="majorBidi"/>
          <w:i/>
          <w:iCs/>
        </w:rPr>
        <w:t>soxS</w:t>
      </w:r>
      <w:proofErr w:type="spellEnd"/>
      <w:r w:rsidRPr="005C3D97">
        <w:rPr>
          <w:rFonts w:asciiTheme="majorBidi" w:hAnsiTheme="majorBidi" w:cstheme="majorBidi"/>
        </w:rPr>
        <w:t>, which are overexpressed in non-susceptible K. pneumoniae isolates [51].</w:t>
      </w:r>
    </w:p>
    <w:p w14:paraId="23FF70CF" w14:textId="4D924780" w:rsidR="009E0728" w:rsidRPr="005C3D97" w:rsidRDefault="00D1739D" w:rsidP="00A14631">
      <w:pPr>
        <w:pStyle w:val="Paragraph"/>
        <w:rPr>
          <w:rFonts w:asciiTheme="majorBidi" w:hAnsiTheme="majorBidi" w:cstheme="majorBidi"/>
        </w:rPr>
      </w:pPr>
      <w:proofErr w:type="spellStart"/>
      <w:r w:rsidRPr="005C3D97">
        <w:rPr>
          <w:rFonts w:asciiTheme="majorBidi" w:hAnsiTheme="majorBidi" w:cstheme="majorBidi"/>
        </w:rPr>
        <w:t>Mahmmudi</w:t>
      </w:r>
      <w:proofErr w:type="spellEnd"/>
      <w:r w:rsidRPr="005C3D97">
        <w:rPr>
          <w:rFonts w:asciiTheme="majorBidi" w:hAnsiTheme="majorBidi" w:cstheme="majorBidi"/>
        </w:rPr>
        <w:t xml:space="preserve"> </w:t>
      </w:r>
      <w:r w:rsidRPr="005C3D97">
        <w:rPr>
          <w:rFonts w:asciiTheme="majorBidi" w:hAnsiTheme="majorBidi" w:cstheme="majorBidi"/>
          <w:i/>
          <w:iCs/>
        </w:rPr>
        <w:t xml:space="preserve">et al. </w:t>
      </w:r>
      <w:r w:rsidR="005145D1" w:rsidRPr="005C3D97">
        <w:rPr>
          <w:rFonts w:asciiTheme="majorBidi" w:hAnsiTheme="majorBidi" w:cstheme="majorBidi"/>
        </w:rPr>
        <w:t>[</w:t>
      </w:r>
      <w:r w:rsidR="00D42BAA" w:rsidRPr="005C3D97">
        <w:rPr>
          <w:rFonts w:asciiTheme="majorBidi" w:hAnsiTheme="majorBidi" w:cstheme="majorBidi"/>
        </w:rPr>
        <w:t>52</w:t>
      </w:r>
      <w:r w:rsidR="005145D1" w:rsidRPr="005C3D97">
        <w:rPr>
          <w:rFonts w:asciiTheme="majorBidi" w:hAnsiTheme="majorBidi" w:cstheme="majorBidi"/>
        </w:rPr>
        <w:t>]</w:t>
      </w:r>
      <w:r w:rsidRPr="005C3D97">
        <w:rPr>
          <w:rFonts w:asciiTheme="majorBidi" w:hAnsiTheme="majorBidi" w:cstheme="majorBidi"/>
        </w:rPr>
        <w:t xml:space="preserve"> </w:t>
      </w:r>
      <w:r w:rsidR="00D42BAA" w:rsidRPr="005C3D97">
        <w:rPr>
          <w:rFonts w:asciiTheme="majorBidi" w:hAnsiTheme="majorBidi" w:cstheme="majorBidi"/>
        </w:rPr>
        <w:t xml:space="preserve">have shown that RAPD-PCR markers are powerful and effective techniques for isolate identification and initial screening, screening and identification of species differences at strain level as well as the lower time and cost compared to biochemical methods. The RAPD method can be used for the rapid identification of the major variants of </w:t>
      </w:r>
      <w:r w:rsidR="00D42BAA" w:rsidRPr="005C3D97">
        <w:rPr>
          <w:rFonts w:asciiTheme="majorBidi" w:hAnsiTheme="majorBidi" w:cstheme="majorBidi"/>
          <w:i/>
          <w:iCs/>
        </w:rPr>
        <w:t>Klebsiella</w:t>
      </w:r>
      <w:r w:rsidR="00D42BAA" w:rsidRPr="005C3D97">
        <w:rPr>
          <w:rFonts w:asciiTheme="majorBidi" w:hAnsiTheme="majorBidi" w:cstheme="majorBidi"/>
        </w:rPr>
        <w:t xml:space="preserve"> spp., including the pathogenic, multidrug-resistant </w:t>
      </w:r>
      <w:r w:rsidR="00D42BAA" w:rsidRPr="005C3D97">
        <w:rPr>
          <w:rFonts w:asciiTheme="majorBidi" w:hAnsiTheme="majorBidi" w:cstheme="majorBidi"/>
          <w:i/>
          <w:iCs/>
        </w:rPr>
        <w:t>K. pneumoniae</w:t>
      </w:r>
      <w:r w:rsidR="00D42BAA" w:rsidRPr="005C3D97">
        <w:rPr>
          <w:rFonts w:asciiTheme="majorBidi" w:hAnsiTheme="majorBidi" w:cstheme="majorBidi"/>
        </w:rPr>
        <w:t xml:space="preserve"> group, and is highly versatile. The numerous serotypes in </w:t>
      </w:r>
      <w:r w:rsidR="00D42BAA" w:rsidRPr="005C3D97">
        <w:rPr>
          <w:rFonts w:asciiTheme="majorBidi" w:hAnsiTheme="majorBidi" w:cstheme="majorBidi"/>
          <w:i/>
          <w:iCs/>
        </w:rPr>
        <w:t>Klebsiella</w:t>
      </w:r>
      <w:r w:rsidR="00D42BAA" w:rsidRPr="005C3D97">
        <w:rPr>
          <w:rFonts w:asciiTheme="majorBidi" w:hAnsiTheme="majorBidi" w:cstheme="majorBidi"/>
        </w:rPr>
        <w:t xml:space="preserve"> spp. can explain the relevant extent of genetic diversity by RAPD analysis</w:t>
      </w:r>
      <w:r w:rsidRPr="005C3D97">
        <w:rPr>
          <w:rFonts w:asciiTheme="majorBidi" w:hAnsiTheme="majorBidi" w:cstheme="majorBidi"/>
        </w:rPr>
        <w:t xml:space="preserve"> </w:t>
      </w:r>
      <w:r w:rsidR="00B91401" w:rsidRPr="005C3D97">
        <w:rPr>
          <w:rFonts w:asciiTheme="majorBidi" w:hAnsiTheme="majorBidi" w:cstheme="majorBidi"/>
        </w:rPr>
        <w:t>[</w:t>
      </w:r>
      <w:r w:rsidR="00D42BAA" w:rsidRPr="005C3D97">
        <w:rPr>
          <w:rFonts w:asciiTheme="majorBidi" w:hAnsiTheme="majorBidi" w:cstheme="majorBidi"/>
        </w:rPr>
        <w:t>53</w:t>
      </w:r>
      <w:r w:rsidR="00B91401" w:rsidRPr="005C3D97">
        <w:rPr>
          <w:rFonts w:asciiTheme="majorBidi" w:hAnsiTheme="majorBidi" w:cstheme="majorBidi"/>
        </w:rPr>
        <w:t>]</w:t>
      </w:r>
      <w:r w:rsidR="00D42BAA" w:rsidRPr="005C3D97">
        <w:rPr>
          <w:rFonts w:asciiTheme="majorBidi" w:hAnsiTheme="majorBidi" w:cstheme="majorBidi"/>
        </w:rPr>
        <w:t>.</w:t>
      </w:r>
      <w:r w:rsidR="00114277" w:rsidRPr="005C3D97">
        <w:rPr>
          <w:rFonts w:asciiTheme="majorBidi" w:hAnsiTheme="majorBidi" w:cstheme="majorBidi"/>
        </w:rPr>
        <w:t xml:space="preserve">The current result differs from the studies of Hassan et al. [54], who applied the RAPD assay to classify 96 samples of </w:t>
      </w:r>
      <w:r w:rsidR="00114277" w:rsidRPr="005C3D97">
        <w:rPr>
          <w:rFonts w:asciiTheme="majorBidi" w:hAnsiTheme="majorBidi" w:cstheme="majorBidi"/>
          <w:i/>
          <w:iCs/>
        </w:rPr>
        <w:t>K. pneumoniae</w:t>
      </w:r>
      <w:r w:rsidR="00114277" w:rsidRPr="005C3D97">
        <w:rPr>
          <w:rFonts w:asciiTheme="majorBidi" w:hAnsiTheme="majorBidi" w:cstheme="majorBidi"/>
        </w:rPr>
        <w:t xml:space="preserve"> into 51 different patterns, and Wasfi </w:t>
      </w:r>
      <w:r w:rsidR="00114277" w:rsidRPr="005C3D97">
        <w:rPr>
          <w:rFonts w:asciiTheme="majorBidi" w:hAnsiTheme="majorBidi" w:cstheme="majorBidi"/>
          <w:i/>
          <w:iCs/>
        </w:rPr>
        <w:t>et a</w:t>
      </w:r>
      <w:r w:rsidR="00114277" w:rsidRPr="005C3D97">
        <w:rPr>
          <w:rFonts w:asciiTheme="majorBidi" w:hAnsiTheme="majorBidi" w:cstheme="majorBidi"/>
        </w:rPr>
        <w:t xml:space="preserve">l. [55], who found 18 different RAPD phenotypes in 36 samples of </w:t>
      </w:r>
      <w:r w:rsidR="00114277" w:rsidRPr="005C3D97">
        <w:rPr>
          <w:rFonts w:asciiTheme="majorBidi" w:hAnsiTheme="majorBidi" w:cstheme="majorBidi"/>
          <w:i/>
          <w:iCs/>
        </w:rPr>
        <w:t>K. pneumoniae</w:t>
      </w:r>
      <w:r w:rsidR="00114277" w:rsidRPr="005C3D97">
        <w:rPr>
          <w:rFonts w:asciiTheme="majorBidi" w:hAnsiTheme="majorBidi" w:cstheme="majorBidi"/>
        </w:rPr>
        <w:t>.</w:t>
      </w:r>
      <w:r w:rsidR="00540407" w:rsidRPr="005C3D97">
        <w:rPr>
          <w:rFonts w:asciiTheme="majorBidi" w:hAnsiTheme="majorBidi" w:cstheme="majorBidi"/>
        </w:rPr>
        <w:t xml:space="preserve"> </w:t>
      </w:r>
      <w:r w:rsidR="00114277" w:rsidRPr="005C3D97">
        <w:rPr>
          <w:rFonts w:asciiTheme="majorBidi" w:hAnsiTheme="majorBidi" w:cstheme="majorBidi"/>
        </w:rPr>
        <w:t xml:space="preserve">Farivar </w:t>
      </w:r>
      <w:r w:rsidR="00114277" w:rsidRPr="005C3D97">
        <w:rPr>
          <w:rFonts w:asciiTheme="majorBidi" w:hAnsiTheme="majorBidi" w:cstheme="majorBidi"/>
          <w:i/>
          <w:iCs/>
        </w:rPr>
        <w:t>et al</w:t>
      </w:r>
      <w:r w:rsidR="00114277" w:rsidRPr="005C3D97">
        <w:rPr>
          <w:rFonts w:asciiTheme="majorBidi" w:hAnsiTheme="majorBidi" w:cstheme="majorBidi"/>
        </w:rPr>
        <w:t xml:space="preserve">. [56] classified 81 samples of </w:t>
      </w:r>
      <w:r w:rsidR="00114277" w:rsidRPr="005C3D97">
        <w:rPr>
          <w:rFonts w:asciiTheme="majorBidi" w:hAnsiTheme="majorBidi" w:cstheme="majorBidi"/>
          <w:i/>
          <w:iCs/>
        </w:rPr>
        <w:t>K. pneumoniae</w:t>
      </w:r>
      <w:r w:rsidR="00114277" w:rsidRPr="005C3D97">
        <w:rPr>
          <w:rFonts w:asciiTheme="majorBidi" w:hAnsiTheme="majorBidi" w:cstheme="majorBidi"/>
        </w:rPr>
        <w:t xml:space="preserve"> using RAPD-PCR. This resulted in five groups, 16 individual species and 14 common species, and linked these genotypes to resistance patterns. </w:t>
      </w:r>
      <w:proofErr w:type="gramStart"/>
      <w:r w:rsidR="00114277" w:rsidRPr="005C3D97">
        <w:rPr>
          <w:rFonts w:asciiTheme="majorBidi" w:hAnsiTheme="majorBidi" w:cstheme="majorBidi"/>
        </w:rPr>
        <w:t>Finally</w:t>
      </w:r>
      <w:proofErr w:type="gramEnd"/>
      <w:r w:rsidR="00114277" w:rsidRPr="005C3D97">
        <w:rPr>
          <w:rFonts w:asciiTheme="majorBidi" w:hAnsiTheme="majorBidi" w:cstheme="majorBidi"/>
        </w:rPr>
        <w:t xml:space="preserve"> the results of the current study were close to the results of Mustafa [35] who revealed the random amplification of polymorphic DNA (RAPD) of </w:t>
      </w:r>
      <w:r w:rsidR="00114277" w:rsidRPr="005C3D97">
        <w:rPr>
          <w:rFonts w:asciiTheme="majorBidi" w:hAnsiTheme="majorBidi" w:cstheme="majorBidi"/>
          <w:i/>
          <w:iCs/>
        </w:rPr>
        <w:t>K. pneumoniae</w:t>
      </w:r>
      <w:r w:rsidR="00114277" w:rsidRPr="005C3D97">
        <w:rPr>
          <w:rFonts w:asciiTheme="majorBidi" w:hAnsiTheme="majorBidi" w:cstheme="majorBidi"/>
        </w:rPr>
        <w:t xml:space="preserve"> DNA tree for the presence of two main groups at a similarity of 0.2. The first group contained isolation 8, while the second group was the main group with 19 isolations arranged in four subgroups.</w:t>
      </w:r>
    </w:p>
    <w:p w14:paraId="238F91B4" w14:textId="47096E87" w:rsidR="00D87E2A" w:rsidRPr="00DF1DFC" w:rsidRDefault="0025263B" w:rsidP="00A14631">
      <w:pPr>
        <w:pStyle w:val="Heading2"/>
      </w:pPr>
      <w:r w:rsidRPr="00DF1DFC">
        <w:t>CONCLUSION</w:t>
      </w:r>
    </w:p>
    <w:p w14:paraId="55D56508" w14:textId="0C1BB11E" w:rsidR="00D87E2A" w:rsidRPr="005C3D97" w:rsidRDefault="00D42BAA" w:rsidP="00A14631">
      <w:pPr>
        <w:pStyle w:val="Paragraph"/>
        <w:rPr>
          <w:rFonts w:asciiTheme="majorBidi" w:hAnsiTheme="majorBidi" w:cstheme="majorBidi"/>
        </w:rPr>
      </w:pPr>
      <w:r w:rsidRPr="005C3D97">
        <w:rPr>
          <w:rFonts w:asciiTheme="majorBidi" w:hAnsiTheme="majorBidi" w:cstheme="majorBidi"/>
        </w:rPr>
        <w:t xml:space="preserve">According to this study, </w:t>
      </w:r>
      <w:r w:rsidRPr="005C3D97">
        <w:rPr>
          <w:rFonts w:asciiTheme="majorBidi" w:hAnsiTheme="majorBidi" w:cstheme="majorBidi"/>
          <w:i/>
          <w:iCs/>
        </w:rPr>
        <w:t>K. pneumoniae</w:t>
      </w:r>
      <w:r w:rsidRPr="005C3D97">
        <w:rPr>
          <w:rFonts w:asciiTheme="majorBidi" w:hAnsiTheme="majorBidi" w:cstheme="majorBidi"/>
        </w:rPr>
        <w:t xml:space="preserve"> isolates may be less susceptible to multiple antimicrobial agents due to their high </w:t>
      </w:r>
      <w:proofErr w:type="spellStart"/>
      <w:r w:rsidRPr="005C3D97">
        <w:rPr>
          <w:rFonts w:asciiTheme="majorBidi" w:hAnsiTheme="majorBidi" w:cstheme="majorBidi"/>
          <w:i/>
          <w:iCs/>
        </w:rPr>
        <w:t>oqxA</w:t>
      </w:r>
      <w:proofErr w:type="spellEnd"/>
      <w:r w:rsidRPr="005C3D97">
        <w:rPr>
          <w:rFonts w:asciiTheme="majorBidi" w:hAnsiTheme="majorBidi" w:cstheme="majorBidi"/>
        </w:rPr>
        <w:t xml:space="preserve"> prevalence. In addition, 12 different genotypes were detected using the RAPD method</w:t>
      </w:r>
      <w:r w:rsidR="00D87E2A" w:rsidRPr="005C3D97">
        <w:rPr>
          <w:rFonts w:asciiTheme="majorBidi" w:hAnsiTheme="majorBidi" w:cstheme="majorBidi"/>
        </w:rPr>
        <w:t>.</w:t>
      </w:r>
    </w:p>
    <w:p w14:paraId="7691B80C" w14:textId="7B3FECF2" w:rsidR="00613B4D" w:rsidRPr="005C3D97" w:rsidRDefault="00AA56B3" w:rsidP="00A14631">
      <w:pPr>
        <w:pStyle w:val="Heading2"/>
      </w:pPr>
      <w:r w:rsidRPr="005C3D97">
        <w:t>ACKNOWLEDGMENTS</w:t>
      </w:r>
    </w:p>
    <w:p w14:paraId="4F4EA3E3" w14:textId="3FE564EA" w:rsidR="000B3A2D" w:rsidRPr="005C3D97" w:rsidRDefault="0025263B" w:rsidP="00A14631">
      <w:pPr>
        <w:pStyle w:val="Paragraph"/>
        <w:rPr>
          <w:rFonts w:asciiTheme="majorBidi" w:hAnsiTheme="majorBidi" w:cstheme="majorBidi"/>
        </w:rPr>
      </w:pPr>
      <w:r w:rsidRPr="005C3D97">
        <w:rPr>
          <w:rFonts w:asciiTheme="majorBidi" w:hAnsiTheme="majorBidi" w:cstheme="majorBidi"/>
        </w:rPr>
        <w:t xml:space="preserve">The authors would like </w:t>
      </w:r>
      <w:proofErr w:type="gramStart"/>
      <w:r w:rsidRPr="005C3D97">
        <w:rPr>
          <w:rFonts w:asciiTheme="majorBidi" w:hAnsiTheme="majorBidi" w:cstheme="majorBidi"/>
        </w:rPr>
        <w:t>to</w:t>
      </w:r>
      <w:proofErr w:type="gramEnd"/>
      <w:r w:rsidRPr="005C3D97">
        <w:rPr>
          <w:rFonts w:asciiTheme="majorBidi" w:hAnsiTheme="majorBidi" w:cstheme="majorBidi"/>
        </w:rPr>
        <w:t xml:space="preserve"> University of Baghdad and </w:t>
      </w:r>
      <w:r w:rsidR="009E0728" w:rsidRPr="005C3D97">
        <w:rPr>
          <w:rFonts w:asciiTheme="majorBidi" w:hAnsiTheme="majorBidi" w:cstheme="majorBidi"/>
        </w:rPr>
        <w:t>Ministry of Health</w:t>
      </w:r>
      <w:r w:rsidRPr="005C3D97">
        <w:rPr>
          <w:rFonts w:asciiTheme="majorBidi" w:hAnsiTheme="majorBidi" w:cstheme="majorBidi"/>
        </w:rPr>
        <w:t xml:space="preserve"> to provide the necessary facilities to conduct the research</w:t>
      </w:r>
      <w:r w:rsidR="005E71ED" w:rsidRPr="005C3D97">
        <w:rPr>
          <w:rFonts w:asciiTheme="majorBidi" w:hAnsiTheme="majorBidi" w:cstheme="majorBidi"/>
        </w:rPr>
        <w:t>.</w:t>
      </w:r>
    </w:p>
    <w:p w14:paraId="16F21B4D" w14:textId="54816768" w:rsidR="00613B4D" w:rsidRPr="005C3D97" w:rsidRDefault="00AA56B3" w:rsidP="00A14631">
      <w:pPr>
        <w:pStyle w:val="Heading2"/>
        <w:rPr>
          <w:caps/>
          <w:sz w:val="20"/>
        </w:rPr>
      </w:pPr>
      <w:r w:rsidRPr="005C3D97">
        <w:t>REFERENCES</w:t>
      </w:r>
    </w:p>
    <w:p w14:paraId="69E5FD0A" w14:textId="3BBA8AAE" w:rsidR="00420CC5" w:rsidRPr="005C3D97" w:rsidRDefault="000E145D"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T.M. </w:t>
      </w:r>
      <w:r w:rsidR="00420CC5" w:rsidRPr="005C3D97">
        <w:rPr>
          <w:rFonts w:asciiTheme="majorBidi" w:hAnsiTheme="majorBidi" w:cstheme="majorBidi"/>
          <w:lang w:val="en-GB"/>
        </w:rPr>
        <w:t xml:space="preserve">Khalid, </w:t>
      </w:r>
      <w:r w:rsidRPr="005C3D97">
        <w:rPr>
          <w:rFonts w:asciiTheme="majorBidi" w:hAnsiTheme="majorBidi" w:cstheme="majorBidi"/>
          <w:lang w:val="en-GB"/>
        </w:rPr>
        <w:t xml:space="preserve">and K.K. </w:t>
      </w:r>
      <w:proofErr w:type="spellStart"/>
      <w:r w:rsidR="00420CC5" w:rsidRPr="005C3D97">
        <w:rPr>
          <w:rFonts w:asciiTheme="majorBidi" w:hAnsiTheme="majorBidi" w:cstheme="majorBidi"/>
          <w:lang w:val="en-GB"/>
        </w:rPr>
        <w:t>Ghaima</w:t>
      </w:r>
      <w:proofErr w:type="spellEnd"/>
      <w:r w:rsidR="00420CC5" w:rsidRPr="005C3D97">
        <w:rPr>
          <w:rFonts w:asciiTheme="majorBidi" w:hAnsiTheme="majorBidi" w:cstheme="majorBidi"/>
          <w:lang w:val="en-GB"/>
        </w:rPr>
        <w:t xml:space="preserve">, Iraqi J </w:t>
      </w:r>
      <w:proofErr w:type="spellStart"/>
      <w:r w:rsidR="00420CC5" w:rsidRPr="005C3D97">
        <w:rPr>
          <w:rFonts w:asciiTheme="majorBidi" w:hAnsiTheme="majorBidi" w:cstheme="majorBidi"/>
          <w:lang w:val="en-GB"/>
        </w:rPr>
        <w:t>Biotechn</w:t>
      </w:r>
      <w:r w:rsidRPr="005C3D97">
        <w:rPr>
          <w:rFonts w:asciiTheme="majorBidi" w:hAnsiTheme="majorBidi" w:cstheme="majorBidi"/>
          <w:lang w:val="en-GB"/>
        </w:rPr>
        <w:t>ol</w:t>
      </w:r>
      <w:proofErr w:type="spellEnd"/>
      <w:r w:rsidRPr="005C3D97">
        <w:rPr>
          <w:rFonts w:asciiTheme="majorBidi" w:hAnsiTheme="majorBidi" w:cstheme="majorBidi"/>
          <w:lang w:val="en-GB"/>
        </w:rPr>
        <w:t xml:space="preserve">. </w:t>
      </w:r>
      <w:r w:rsidRPr="005C3D97">
        <w:rPr>
          <w:rFonts w:asciiTheme="majorBidi" w:hAnsiTheme="majorBidi" w:cstheme="majorBidi"/>
          <w:b/>
          <w:bCs/>
          <w:lang w:val="en-GB"/>
        </w:rPr>
        <w:t>21</w:t>
      </w:r>
      <w:r w:rsidRPr="005C3D97">
        <w:rPr>
          <w:rFonts w:asciiTheme="majorBidi" w:hAnsiTheme="majorBidi" w:cstheme="majorBidi"/>
          <w:lang w:val="en-GB"/>
        </w:rPr>
        <w:t xml:space="preserve">(2), </w:t>
      </w:r>
      <w:r w:rsidR="00420CC5" w:rsidRPr="005C3D97">
        <w:rPr>
          <w:rFonts w:asciiTheme="majorBidi" w:hAnsiTheme="majorBidi" w:cstheme="majorBidi"/>
          <w:lang w:val="en-GB"/>
        </w:rPr>
        <w:t>124-135</w:t>
      </w:r>
      <w:r w:rsidRPr="005C3D97">
        <w:rPr>
          <w:rFonts w:asciiTheme="majorBidi" w:hAnsiTheme="majorBidi" w:cstheme="majorBidi"/>
          <w:lang w:val="en-GB"/>
        </w:rPr>
        <w:t xml:space="preserve"> (2022)</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http://jige.uobaghdad.edu.iq/index.php/IJB</w:t>
      </w:r>
      <w:r w:rsidR="00420CC5" w:rsidRPr="005C3D97">
        <w:rPr>
          <w:rFonts w:asciiTheme="majorBidi" w:hAnsiTheme="majorBidi" w:cstheme="majorBidi"/>
          <w:lang w:val="en-GB"/>
        </w:rPr>
        <w:t xml:space="preserve">. </w:t>
      </w:r>
    </w:p>
    <w:p w14:paraId="37295042" w14:textId="4F2CE043" w:rsidR="00420CC5" w:rsidRPr="005C3D97" w:rsidRDefault="000E145D"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R.M. </w:t>
      </w:r>
      <w:r w:rsidR="00420CC5" w:rsidRPr="005C3D97">
        <w:rPr>
          <w:rFonts w:asciiTheme="majorBidi" w:hAnsiTheme="majorBidi" w:cstheme="majorBidi"/>
          <w:lang w:val="en-GB"/>
        </w:rPr>
        <w:t>Abd Al-Rhman,</w:t>
      </w:r>
      <w:r w:rsidRPr="005C3D97">
        <w:rPr>
          <w:rFonts w:asciiTheme="majorBidi" w:hAnsiTheme="majorBidi" w:cstheme="majorBidi"/>
          <w:lang w:val="en-GB"/>
        </w:rPr>
        <w:t xml:space="preserve"> and M.A.</w:t>
      </w:r>
      <w:r w:rsidR="00420CC5" w:rsidRPr="005C3D97">
        <w:rPr>
          <w:rFonts w:asciiTheme="majorBidi" w:hAnsiTheme="majorBidi" w:cstheme="majorBidi"/>
          <w:lang w:val="en-GB"/>
        </w:rPr>
        <w:t xml:space="preserve"> Al-Aubydi</w:t>
      </w:r>
      <w:r w:rsidRPr="005C3D97">
        <w:rPr>
          <w:rFonts w:asciiTheme="majorBidi" w:hAnsiTheme="majorBidi" w:cstheme="majorBidi"/>
          <w:lang w:val="en-GB"/>
        </w:rPr>
        <w:t xml:space="preserve">, Iraqi J. Sci. </w:t>
      </w:r>
      <w:r w:rsidRPr="005C3D97">
        <w:rPr>
          <w:rFonts w:asciiTheme="majorBidi" w:hAnsiTheme="majorBidi" w:cstheme="majorBidi"/>
          <w:b/>
          <w:bCs/>
          <w:lang w:val="en-GB"/>
        </w:rPr>
        <w:t>57</w:t>
      </w:r>
      <w:r w:rsidRPr="005C3D97">
        <w:rPr>
          <w:rFonts w:asciiTheme="majorBidi" w:hAnsiTheme="majorBidi" w:cstheme="majorBidi"/>
          <w:lang w:val="en-GB"/>
        </w:rPr>
        <w:t>(2A),</w:t>
      </w:r>
      <w:r w:rsidR="00420CC5" w:rsidRPr="005C3D97">
        <w:rPr>
          <w:rFonts w:asciiTheme="majorBidi" w:hAnsiTheme="majorBidi" w:cstheme="majorBidi"/>
          <w:lang w:val="en-GB"/>
        </w:rPr>
        <w:t xml:space="preserve"> 893-900</w:t>
      </w:r>
      <w:r w:rsidRPr="005C3D97">
        <w:rPr>
          <w:rFonts w:asciiTheme="majorBidi" w:hAnsiTheme="majorBidi" w:cstheme="majorBidi"/>
          <w:lang w:val="en-GB"/>
        </w:rPr>
        <w:t xml:space="preserve"> (2016)</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https://ijs.uobaghdad.edu.iq/index.php/eijs/article/view/7456</w:t>
      </w:r>
      <w:r w:rsidR="00420CC5" w:rsidRPr="005C3D97">
        <w:rPr>
          <w:rFonts w:asciiTheme="majorBidi" w:hAnsiTheme="majorBidi" w:cstheme="majorBidi"/>
          <w:lang w:val="en-GB"/>
        </w:rPr>
        <w:t xml:space="preserve">. </w:t>
      </w:r>
    </w:p>
    <w:p w14:paraId="46F8D5D5" w14:textId="437C6E85" w:rsidR="00420CC5" w:rsidRPr="005C3D97" w:rsidRDefault="000E145D"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M.S. </w:t>
      </w:r>
      <w:r w:rsidR="00420CC5" w:rsidRPr="005C3D97">
        <w:rPr>
          <w:rFonts w:asciiTheme="majorBidi" w:hAnsiTheme="majorBidi" w:cstheme="majorBidi"/>
          <w:lang w:val="en-GB"/>
        </w:rPr>
        <w:t xml:space="preserve">Mustafa, </w:t>
      </w:r>
      <w:r w:rsidRPr="005C3D97">
        <w:rPr>
          <w:rFonts w:asciiTheme="majorBidi" w:hAnsiTheme="majorBidi" w:cstheme="majorBidi"/>
          <w:lang w:val="en-GB"/>
        </w:rPr>
        <w:t xml:space="preserve">and R.M. </w:t>
      </w:r>
      <w:r w:rsidR="00420CC5" w:rsidRPr="005C3D97">
        <w:rPr>
          <w:rFonts w:asciiTheme="majorBidi" w:hAnsiTheme="majorBidi" w:cstheme="majorBidi"/>
          <w:lang w:val="en-GB"/>
        </w:rPr>
        <w:t>Abdullah</w:t>
      </w:r>
      <w:r w:rsidRPr="005C3D97">
        <w:rPr>
          <w:rFonts w:asciiTheme="majorBidi" w:hAnsiTheme="majorBidi" w:cstheme="majorBidi"/>
          <w:lang w:val="en-GB"/>
        </w:rPr>
        <w:t xml:space="preserve">, Iraqi J Sci. </w:t>
      </w:r>
      <w:r w:rsidR="00420CC5" w:rsidRPr="005C3D97">
        <w:rPr>
          <w:rFonts w:asciiTheme="majorBidi" w:hAnsiTheme="majorBidi" w:cstheme="majorBidi"/>
          <w:b/>
          <w:bCs/>
          <w:lang w:val="en-GB"/>
        </w:rPr>
        <w:t>61</w:t>
      </w:r>
      <w:r w:rsidR="00420CC5" w:rsidRPr="005C3D97">
        <w:rPr>
          <w:rFonts w:asciiTheme="majorBidi" w:hAnsiTheme="majorBidi" w:cstheme="majorBidi"/>
          <w:lang w:val="en-GB"/>
        </w:rPr>
        <w:t>(8), 1902-1912</w:t>
      </w:r>
      <w:r w:rsidRPr="005C3D97">
        <w:rPr>
          <w:rFonts w:asciiTheme="majorBidi" w:hAnsiTheme="majorBidi" w:cstheme="majorBidi"/>
          <w:lang w:val="en-GB"/>
        </w:rPr>
        <w:t xml:space="preserve"> (2020)</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https://ijs.uobaghdad.edu.iq/index.php/eijs/article/view/7456</w:t>
      </w:r>
      <w:r w:rsidR="00420CC5" w:rsidRPr="005C3D97">
        <w:rPr>
          <w:rFonts w:asciiTheme="majorBidi" w:hAnsiTheme="majorBidi" w:cstheme="majorBidi"/>
          <w:lang w:val="en-GB"/>
        </w:rPr>
        <w:t xml:space="preserve">. </w:t>
      </w:r>
    </w:p>
    <w:p w14:paraId="53302EC2" w14:textId="26B6F450" w:rsidR="00420CC5" w:rsidRPr="005C3D97" w:rsidRDefault="000E145D"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S.N.A. </w:t>
      </w:r>
      <w:r w:rsidR="00420CC5" w:rsidRPr="005C3D97">
        <w:rPr>
          <w:rFonts w:asciiTheme="majorBidi" w:hAnsiTheme="majorBidi" w:cstheme="majorBidi"/>
          <w:lang w:val="en-GB"/>
        </w:rPr>
        <w:t>Al-</w:t>
      </w:r>
      <w:proofErr w:type="spellStart"/>
      <w:r w:rsidR="00420CC5" w:rsidRPr="005C3D97">
        <w:rPr>
          <w:rFonts w:asciiTheme="majorBidi" w:hAnsiTheme="majorBidi" w:cstheme="majorBidi"/>
          <w:lang w:val="en-GB"/>
        </w:rPr>
        <w:t>Timimi</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w:t>
      </w:r>
      <w:r w:rsidR="00420CC5" w:rsidRPr="005C3D97">
        <w:rPr>
          <w:rFonts w:asciiTheme="majorBidi" w:hAnsiTheme="majorBidi" w:cstheme="majorBidi"/>
          <w:lang w:val="en-GB"/>
        </w:rPr>
        <w:t xml:space="preserve">Persistence and Filaments Formation in </w:t>
      </w:r>
      <w:r w:rsidR="00420CC5" w:rsidRPr="005C3D97">
        <w:rPr>
          <w:rFonts w:asciiTheme="majorBidi" w:hAnsiTheme="majorBidi" w:cstheme="majorBidi"/>
          <w:i/>
          <w:iCs/>
          <w:lang w:val="en-GB"/>
        </w:rPr>
        <w:t>Klebsiella pneumoniae</w:t>
      </w:r>
      <w:r w:rsidR="00420CC5" w:rsidRPr="005C3D97">
        <w:rPr>
          <w:rFonts w:asciiTheme="majorBidi" w:hAnsiTheme="majorBidi" w:cstheme="majorBidi"/>
          <w:lang w:val="en-GB"/>
        </w:rPr>
        <w:t xml:space="preserve"> Clinical Isolates,</w:t>
      </w:r>
      <w:r w:rsidRPr="005C3D97">
        <w:rPr>
          <w:rFonts w:asciiTheme="majorBidi" w:hAnsiTheme="majorBidi" w:cstheme="majorBidi"/>
          <w:lang w:val="en-GB"/>
        </w:rPr>
        <w:t>"</w:t>
      </w:r>
      <w:r w:rsidR="00420CC5" w:rsidRPr="005C3D97">
        <w:rPr>
          <w:rFonts w:asciiTheme="majorBidi" w:hAnsiTheme="majorBidi" w:cstheme="majorBidi"/>
          <w:lang w:val="en-GB"/>
        </w:rPr>
        <w:t xml:space="preserve"> MSc. Thesis. </w:t>
      </w:r>
      <w:proofErr w:type="spellStart"/>
      <w:r w:rsidR="00420CC5" w:rsidRPr="005C3D97">
        <w:rPr>
          <w:rFonts w:asciiTheme="majorBidi" w:hAnsiTheme="majorBidi" w:cstheme="majorBidi"/>
          <w:lang w:val="en-GB"/>
        </w:rPr>
        <w:t>Mustansiriyah</w:t>
      </w:r>
      <w:proofErr w:type="spellEnd"/>
      <w:r w:rsidR="00420CC5" w:rsidRPr="005C3D97">
        <w:rPr>
          <w:rFonts w:asciiTheme="majorBidi" w:hAnsiTheme="majorBidi" w:cstheme="majorBidi"/>
          <w:lang w:val="en-GB"/>
        </w:rPr>
        <w:t xml:space="preserve"> University, 2021.</w:t>
      </w:r>
    </w:p>
    <w:p w14:paraId="7A7EB545" w14:textId="42067A03" w:rsidR="00420CC5" w:rsidRPr="005C3D97" w:rsidRDefault="000E145D"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S.K. </w:t>
      </w:r>
      <w:r w:rsidR="00420CC5" w:rsidRPr="005C3D97">
        <w:rPr>
          <w:rFonts w:asciiTheme="majorBidi" w:hAnsiTheme="majorBidi" w:cstheme="majorBidi"/>
          <w:lang w:val="en-GB"/>
        </w:rPr>
        <w:t xml:space="preserve">Sharma, </w:t>
      </w:r>
      <w:r w:rsidRPr="005C3D97">
        <w:rPr>
          <w:rFonts w:asciiTheme="majorBidi" w:hAnsiTheme="majorBidi" w:cstheme="majorBidi"/>
          <w:lang w:val="en-GB"/>
        </w:rPr>
        <w:t xml:space="preserve">N.K. </w:t>
      </w:r>
      <w:r w:rsidR="00420CC5" w:rsidRPr="005C3D97">
        <w:rPr>
          <w:rFonts w:asciiTheme="majorBidi" w:hAnsiTheme="majorBidi" w:cstheme="majorBidi"/>
          <w:lang w:val="en-GB"/>
        </w:rPr>
        <w:t xml:space="preserve">Mudgal, </w:t>
      </w:r>
      <w:r w:rsidRPr="005C3D97">
        <w:rPr>
          <w:rFonts w:asciiTheme="majorBidi" w:hAnsiTheme="majorBidi" w:cstheme="majorBidi"/>
          <w:lang w:val="en-GB"/>
        </w:rPr>
        <w:t xml:space="preserve">P. </w:t>
      </w:r>
      <w:r w:rsidR="00420CC5" w:rsidRPr="005C3D97">
        <w:rPr>
          <w:rFonts w:asciiTheme="majorBidi" w:hAnsiTheme="majorBidi" w:cstheme="majorBidi"/>
          <w:lang w:val="en-GB"/>
        </w:rPr>
        <w:t>Sharma,</w:t>
      </w:r>
      <w:r w:rsidRPr="005C3D97">
        <w:rPr>
          <w:rFonts w:asciiTheme="majorBidi" w:hAnsiTheme="majorBidi" w:cstheme="majorBidi"/>
          <w:lang w:val="en-GB"/>
        </w:rPr>
        <w:t xml:space="preserve"> and B.N. </w:t>
      </w:r>
      <w:proofErr w:type="spellStart"/>
      <w:r w:rsidRPr="005C3D97">
        <w:rPr>
          <w:rFonts w:asciiTheme="majorBidi" w:hAnsiTheme="majorBidi" w:cstheme="majorBidi"/>
          <w:lang w:val="en-GB"/>
        </w:rPr>
        <w:t>Shrngi</w:t>
      </w:r>
      <w:proofErr w:type="spellEnd"/>
      <w:r w:rsidRPr="005C3D97">
        <w:rPr>
          <w:rFonts w:asciiTheme="majorBidi" w:hAnsiTheme="majorBidi" w:cstheme="majorBidi"/>
          <w:lang w:val="en-GB"/>
        </w:rPr>
        <w:t xml:space="preserve">, Adv Anim Vet Sci. </w:t>
      </w:r>
      <w:r w:rsidRPr="005C3D97">
        <w:rPr>
          <w:rFonts w:asciiTheme="majorBidi" w:hAnsiTheme="majorBidi" w:cstheme="majorBidi"/>
          <w:b/>
          <w:bCs/>
          <w:lang w:val="en-GB"/>
        </w:rPr>
        <w:t>3</w:t>
      </w:r>
      <w:r w:rsidRPr="005C3D97">
        <w:rPr>
          <w:rFonts w:asciiTheme="majorBidi" w:hAnsiTheme="majorBidi" w:cstheme="majorBidi"/>
          <w:lang w:val="en-GB"/>
        </w:rPr>
        <w:t>(2),</w:t>
      </w:r>
      <w:r w:rsidR="00420CC5" w:rsidRPr="005C3D97">
        <w:rPr>
          <w:rFonts w:asciiTheme="majorBidi" w:hAnsiTheme="majorBidi" w:cstheme="majorBidi"/>
          <w:lang w:val="en-GB"/>
        </w:rPr>
        <w:t xml:space="preserve"> 116-</w:t>
      </w:r>
      <w:r w:rsidRPr="005C3D97">
        <w:rPr>
          <w:rFonts w:asciiTheme="majorBidi" w:hAnsiTheme="majorBidi" w:cstheme="majorBidi"/>
          <w:lang w:val="en-GB"/>
        </w:rPr>
        <w:t>1</w:t>
      </w:r>
      <w:r w:rsidR="00420CC5" w:rsidRPr="005C3D97">
        <w:rPr>
          <w:rFonts w:asciiTheme="majorBidi" w:hAnsiTheme="majorBidi" w:cstheme="majorBidi"/>
          <w:lang w:val="en-GB"/>
        </w:rPr>
        <w:t>22</w:t>
      </w:r>
      <w:r w:rsidRPr="005C3D97">
        <w:rPr>
          <w:rFonts w:asciiTheme="majorBidi" w:hAnsiTheme="majorBidi" w:cstheme="majorBidi"/>
          <w:lang w:val="en-GB"/>
        </w:rPr>
        <w:t xml:space="preserve"> (2015)</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http://dx.doi.org/10.14737/journal.aavs/2015/3.2.116.122</w:t>
      </w:r>
      <w:r w:rsidR="00420CC5" w:rsidRPr="005C3D97">
        <w:rPr>
          <w:rFonts w:asciiTheme="majorBidi" w:hAnsiTheme="majorBidi" w:cstheme="majorBidi"/>
          <w:lang w:val="en-GB"/>
        </w:rPr>
        <w:t xml:space="preserve">. </w:t>
      </w:r>
    </w:p>
    <w:p w14:paraId="69FD0E60" w14:textId="0AFC7E97"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L. </w:t>
      </w:r>
      <w:proofErr w:type="spellStart"/>
      <w:r w:rsidRPr="005C3D97">
        <w:rPr>
          <w:rFonts w:asciiTheme="majorBidi" w:hAnsiTheme="majorBidi" w:cstheme="majorBidi"/>
          <w:lang w:val="en-GB"/>
        </w:rPr>
        <w:t>Righini</w:t>
      </w:r>
      <w:proofErr w:type="spellEnd"/>
      <w:r w:rsidRPr="005C3D97">
        <w:rPr>
          <w:rFonts w:asciiTheme="majorBidi" w:hAnsiTheme="majorBidi" w:cstheme="majorBidi"/>
          <w:lang w:val="en-GB"/>
        </w:rPr>
        <w:t xml:space="preserve">, </w:t>
      </w:r>
      <w:r w:rsidR="000E145D" w:rsidRPr="005C3D97">
        <w:rPr>
          <w:rFonts w:asciiTheme="majorBidi" w:hAnsiTheme="majorBidi" w:cstheme="majorBidi"/>
          <w:lang w:val="en-GB"/>
        </w:rPr>
        <w:t>"</w:t>
      </w:r>
      <w:r w:rsidR="00420CC5" w:rsidRPr="005C3D97">
        <w:rPr>
          <w:rFonts w:asciiTheme="majorBidi" w:hAnsiTheme="majorBidi" w:cstheme="majorBidi"/>
        </w:rPr>
        <w:t xml:space="preserve">Genomic and Functional Analysis of Members of the Gut Microbiota: Novel Insight on </w:t>
      </w:r>
      <w:r w:rsidR="00420CC5" w:rsidRPr="005C3D97">
        <w:rPr>
          <w:rFonts w:asciiTheme="majorBidi" w:hAnsiTheme="majorBidi" w:cstheme="majorBidi"/>
          <w:i/>
          <w:iCs/>
        </w:rPr>
        <w:t xml:space="preserve">Clostridium </w:t>
      </w:r>
      <w:proofErr w:type="spellStart"/>
      <w:r w:rsidR="00420CC5" w:rsidRPr="005C3D97">
        <w:rPr>
          <w:rFonts w:asciiTheme="majorBidi" w:hAnsiTheme="majorBidi" w:cstheme="majorBidi"/>
          <w:i/>
          <w:iCs/>
        </w:rPr>
        <w:t>ramosum</w:t>
      </w:r>
      <w:proofErr w:type="spellEnd"/>
      <w:r w:rsidR="00420CC5" w:rsidRPr="005C3D97">
        <w:rPr>
          <w:rFonts w:asciiTheme="majorBidi" w:hAnsiTheme="majorBidi" w:cstheme="majorBidi"/>
        </w:rPr>
        <w:t xml:space="preserve">, </w:t>
      </w:r>
      <w:r w:rsidR="00420CC5" w:rsidRPr="005C3D97">
        <w:rPr>
          <w:rFonts w:asciiTheme="majorBidi" w:hAnsiTheme="majorBidi" w:cstheme="majorBidi"/>
          <w:i/>
          <w:iCs/>
        </w:rPr>
        <w:t>Escherichia coli</w:t>
      </w:r>
      <w:r w:rsidR="00420CC5" w:rsidRPr="005C3D97">
        <w:rPr>
          <w:rFonts w:asciiTheme="majorBidi" w:hAnsiTheme="majorBidi" w:cstheme="majorBidi"/>
        </w:rPr>
        <w:t>, and Enterobacteriaceae</w:t>
      </w:r>
      <w:r w:rsidR="00420CC5" w:rsidRPr="005C3D97">
        <w:rPr>
          <w:rFonts w:asciiTheme="majorBidi" w:hAnsiTheme="majorBidi" w:cstheme="majorBidi"/>
          <w:lang w:val="en-GB"/>
        </w:rPr>
        <w:t>,</w:t>
      </w:r>
      <w:r w:rsidR="000E145D" w:rsidRPr="005C3D97">
        <w:rPr>
          <w:rFonts w:asciiTheme="majorBidi" w:hAnsiTheme="majorBidi" w:cstheme="majorBidi"/>
          <w:lang w:val="en-GB"/>
        </w:rPr>
        <w:t>"</w:t>
      </w:r>
      <w:r w:rsidR="00420CC5" w:rsidRPr="005C3D97">
        <w:rPr>
          <w:rFonts w:asciiTheme="majorBidi" w:hAnsiTheme="majorBidi" w:cstheme="majorBidi"/>
          <w:lang w:val="en-GB"/>
        </w:rPr>
        <w:t xml:space="preserve"> University of Modena and Reggio Emilia Ph.D. School Of Ag</w:t>
      </w:r>
      <w:r w:rsidR="000E145D" w:rsidRPr="005C3D97">
        <w:rPr>
          <w:rFonts w:asciiTheme="majorBidi" w:hAnsiTheme="majorBidi" w:cstheme="majorBidi"/>
          <w:lang w:val="en-GB"/>
        </w:rPr>
        <w:t>ri-Food Sciences, Technologies a</w:t>
      </w:r>
      <w:r w:rsidR="00420CC5" w:rsidRPr="005C3D97">
        <w:rPr>
          <w:rFonts w:asciiTheme="majorBidi" w:hAnsiTheme="majorBidi" w:cstheme="majorBidi"/>
          <w:lang w:val="en-GB"/>
        </w:rPr>
        <w:t xml:space="preserve">nd Biotechnologies, 2020. </w:t>
      </w:r>
      <w:r w:rsidR="00420CC5" w:rsidRPr="0025029C">
        <w:rPr>
          <w:rFonts w:asciiTheme="majorBidi" w:hAnsiTheme="majorBidi" w:cstheme="majorBidi"/>
          <w:lang w:val="en-GB"/>
        </w:rPr>
        <w:t>https://hdl.handle.net/11380/1201048</w:t>
      </w:r>
      <w:r w:rsidR="00420CC5" w:rsidRPr="005C3D97">
        <w:rPr>
          <w:rFonts w:asciiTheme="majorBidi" w:hAnsiTheme="majorBidi" w:cstheme="majorBidi"/>
          <w:lang w:val="en-GB"/>
        </w:rPr>
        <w:t xml:space="preserve">. (In Italian). </w:t>
      </w:r>
    </w:p>
    <w:p w14:paraId="2C1D71E3" w14:textId="3E7E59A4"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M. </w:t>
      </w:r>
      <w:proofErr w:type="spellStart"/>
      <w:r w:rsidR="00420CC5" w:rsidRPr="005C3D97">
        <w:rPr>
          <w:rFonts w:asciiTheme="majorBidi" w:hAnsiTheme="majorBidi" w:cstheme="majorBidi"/>
          <w:lang w:val="en-GB"/>
        </w:rPr>
        <w:t>Pokra</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D.K. </w:t>
      </w:r>
      <w:r w:rsidR="00420CC5" w:rsidRPr="005C3D97">
        <w:rPr>
          <w:rFonts w:asciiTheme="majorBidi" w:hAnsiTheme="majorBidi" w:cstheme="majorBidi"/>
          <w:lang w:val="en-GB"/>
        </w:rPr>
        <w:t xml:space="preserve">Sharma, </w:t>
      </w:r>
      <w:r w:rsidRPr="005C3D97">
        <w:rPr>
          <w:rFonts w:asciiTheme="majorBidi" w:hAnsiTheme="majorBidi" w:cstheme="majorBidi"/>
          <w:lang w:val="en-GB"/>
        </w:rPr>
        <w:t xml:space="preserve">P. </w:t>
      </w:r>
      <w:proofErr w:type="gramStart"/>
      <w:r w:rsidRPr="005C3D97">
        <w:rPr>
          <w:rFonts w:asciiTheme="majorBidi" w:hAnsiTheme="majorBidi" w:cstheme="majorBidi"/>
          <w:lang w:val="en-GB"/>
        </w:rPr>
        <w:t>Mehta</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 H.R.</w:t>
      </w:r>
      <w:proofErr w:type="gramEnd"/>
      <w:r w:rsidRPr="005C3D97">
        <w:rPr>
          <w:rFonts w:asciiTheme="majorBidi" w:hAnsiTheme="majorBidi" w:cstheme="majorBidi"/>
          <w:lang w:val="en-GB"/>
        </w:rPr>
        <w:t xml:space="preserve"> </w:t>
      </w:r>
      <w:r w:rsidR="00420CC5" w:rsidRPr="005C3D97">
        <w:rPr>
          <w:rFonts w:asciiTheme="majorBidi" w:hAnsiTheme="majorBidi" w:cstheme="majorBidi"/>
          <w:lang w:val="en-GB"/>
        </w:rPr>
        <w:t xml:space="preserve">Verma, </w:t>
      </w:r>
      <w:r w:rsidRPr="005C3D97">
        <w:rPr>
          <w:rFonts w:asciiTheme="majorBidi" w:hAnsiTheme="majorBidi" w:cstheme="majorBidi"/>
          <w:lang w:val="en-GB"/>
        </w:rPr>
        <w:t xml:space="preserve">S. </w:t>
      </w:r>
      <w:r w:rsidR="00420CC5" w:rsidRPr="005C3D97">
        <w:rPr>
          <w:rFonts w:asciiTheme="majorBidi" w:hAnsiTheme="majorBidi" w:cstheme="majorBidi"/>
          <w:lang w:val="en-GB"/>
        </w:rPr>
        <w:t>Pundir,</w:t>
      </w:r>
      <w:r w:rsidRPr="005C3D97">
        <w:rPr>
          <w:rFonts w:asciiTheme="majorBidi" w:hAnsiTheme="majorBidi" w:cstheme="majorBidi"/>
          <w:lang w:val="en-GB"/>
        </w:rPr>
        <w:t xml:space="preserve"> J.</w:t>
      </w:r>
      <w:r w:rsidR="00420CC5" w:rsidRPr="005C3D97">
        <w:rPr>
          <w:rFonts w:asciiTheme="majorBidi" w:hAnsiTheme="majorBidi" w:cstheme="majorBidi"/>
          <w:lang w:val="en-GB"/>
        </w:rPr>
        <w:t xml:space="preserve"> Rana,</w:t>
      </w:r>
      <w:r w:rsidRPr="005C3D97">
        <w:rPr>
          <w:rFonts w:asciiTheme="majorBidi" w:hAnsiTheme="majorBidi" w:cstheme="majorBidi"/>
          <w:lang w:val="en-GB"/>
        </w:rPr>
        <w:t xml:space="preserve"> and D.</w:t>
      </w:r>
      <w:r w:rsidR="00420CC5" w:rsidRPr="005C3D97">
        <w:rPr>
          <w:rFonts w:asciiTheme="majorBidi" w:hAnsiTheme="majorBidi" w:cstheme="majorBidi"/>
          <w:lang w:val="en-GB"/>
        </w:rPr>
        <w:t xml:space="preserve"> Kulmi</w:t>
      </w:r>
      <w:r w:rsidRPr="005C3D97">
        <w:rPr>
          <w:rFonts w:asciiTheme="majorBidi" w:hAnsiTheme="majorBidi" w:cstheme="majorBidi"/>
          <w:lang w:val="en-GB"/>
        </w:rPr>
        <w:t xml:space="preserve">, Int J Curr </w:t>
      </w:r>
      <w:proofErr w:type="spellStart"/>
      <w:r w:rsidRPr="005C3D97">
        <w:rPr>
          <w:rFonts w:asciiTheme="majorBidi" w:hAnsiTheme="majorBidi" w:cstheme="majorBidi"/>
          <w:lang w:val="en-GB"/>
        </w:rPr>
        <w:t>Microbiol</w:t>
      </w:r>
      <w:proofErr w:type="spellEnd"/>
      <w:r w:rsidRPr="005C3D97">
        <w:rPr>
          <w:rFonts w:asciiTheme="majorBidi" w:hAnsiTheme="majorBidi" w:cstheme="majorBidi"/>
          <w:lang w:val="en-GB"/>
        </w:rPr>
        <w:t xml:space="preserve"> Appl Sci. </w:t>
      </w:r>
      <w:r w:rsidR="00420CC5" w:rsidRPr="005C3D97">
        <w:rPr>
          <w:rFonts w:asciiTheme="majorBidi" w:hAnsiTheme="majorBidi" w:cstheme="majorBidi"/>
          <w:b/>
          <w:bCs/>
          <w:lang w:val="en-GB"/>
        </w:rPr>
        <w:t>5</w:t>
      </w:r>
      <w:r w:rsidR="00420CC5" w:rsidRPr="005C3D97">
        <w:rPr>
          <w:rFonts w:asciiTheme="majorBidi" w:hAnsiTheme="majorBidi" w:cstheme="majorBidi"/>
          <w:lang w:val="en-GB"/>
        </w:rPr>
        <w:t>(6), 150-60</w:t>
      </w:r>
      <w:r w:rsidRPr="005C3D97">
        <w:rPr>
          <w:rFonts w:asciiTheme="majorBidi" w:hAnsiTheme="majorBidi" w:cstheme="majorBidi"/>
          <w:lang w:val="en-GB"/>
        </w:rPr>
        <w:t xml:space="preserve"> (2016)</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http://dx.doi.org/10.20546/ijcmas.2016.506.019</w:t>
      </w:r>
      <w:r w:rsidR="00420CC5" w:rsidRPr="005C3D97">
        <w:rPr>
          <w:rFonts w:asciiTheme="majorBidi" w:hAnsiTheme="majorBidi" w:cstheme="majorBidi"/>
          <w:lang w:val="en-GB"/>
        </w:rPr>
        <w:t xml:space="preserve">.  </w:t>
      </w:r>
    </w:p>
    <w:p w14:paraId="00A6D25B" w14:textId="44CF5FEC"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G.A. </w:t>
      </w:r>
      <w:r w:rsidR="00420CC5" w:rsidRPr="005C3D97">
        <w:rPr>
          <w:rFonts w:asciiTheme="majorBidi" w:hAnsiTheme="majorBidi" w:cstheme="majorBidi"/>
          <w:lang w:val="en-GB"/>
        </w:rPr>
        <w:t>Abdulhasan, Iraqi J Sci</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56</w:t>
      </w:r>
      <w:r w:rsidR="00420CC5" w:rsidRPr="005C3D97">
        <w:rPr>
          <w:rFonts w:asciiTheme="majorBidi" w:hAnsiTheme="majorBidi" w:cstheme="majorBidi"/>
          <w:lang w:val="en-GB"/>
        </w:rPr>
        <w:t>(3C), 2553-2560</w:t>
      </w:r>
      <w:r w:rsidRPr="005C3D97">
        <w:rPr>
          <w:rFonts w:asciiTheme="majorBidi" w:hAnsiTheme="majorBidi" w:cstheme="majorBidi"/>
          <w:lang w:val="en-GB"/>
        </w:rPr>
        <w:t xml:space="preserve"> (2015)</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https://www.ijs.uobaghdad.edu.iq/index.php/eijs/article/view/9621</w:t>
      </w:r>
      <w:r w:rsidR="00420CC5" w:rsidRPr="005C3D97">
        <w:rPr>
          <w:rFonts w:asciiTheme="majorBidi" w:hAnsiTheme="majorBidi" w:cstheme="majorBidi"/>
          <w:lang w:val="en-GB"/>
        </w:rPr>
        <w:t xml:space="preserve">. </w:t>
      </w:r>
    </w:p>
    <w:p w14:paraId="1AE0AC13" w14:textId="274F0DD9"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R.A. </w:t>
      </w:r>
      <w:r w:rsidR="00420CC5" w:rsidRPr="005C3D97">
        <w:rPr>
          <w:rFonts w:asciiTheme="majorBidi" w:hAnsiTheme="majorBidi" w:cstheme="majorBidi"/>
          <w:lang w:val="en-GB"/>
        </w:rPr>
        <w:t xml:space="preserve">Fodah, </w:t>
      </w:r>
      <w:r w:rsidRPr="005C3D97">
        <w:rPr>
          <w:rFonts w:asciiTheme="majorBidi" w:hAnsiTheme="majorBidi" w:cstheme="majorBidi"/>
          <w:lang w:val="en-GB"/>
        </w:rPr>
        <w:t xml:space="preserve">J.B. </w:t>
      </w:r>
      <w:r w:rsidR="00420CC5" w:rsidRPr="005C3D97">
        <w:rPr>
          <w:rFonts w:asciiTheme="majorBidi" w:hAnsiTheme="majorBidi" w:cstheme="majorBidi"/>
          <w:lang w:val="en-GB"/>
        </w:rPr>
        <w:t xml:space="preserve">Scott, </w:t>
      </w:r>
      <w:r w:rsidRPr="005C3D97">
        <w:rPr>
          <w:rFonts w:asciiTheme="majorBidi" w:hAnsiTheme="majorBidi" w:cstheme="majorBidi"/>
          <w:lang w:val="en-GB"/>
        </w:rPr>
        <w:t xml:space="preserve">H.H. </w:t>
      </w:r>
      <w:r w:rsidR="00420CC5" w:rsidRPr="005C3D97">
        <w:rPr>
          <w:rFonts w:asciiTheme="majorBidi" w:hAnsiTheme="majorBidi" w:cstheme="majorBidi"/>
          <w:lang w:val="en-GB"/>
        </w:rPr>
        <w:t xml:space="preserve">Tam, </w:t>
      </w:r>
      <w:r w:rsidRPr="005C3D97">
        <w:rPr>
          <w:rFonts w:asciiTheme="majorBidi" w:hAnsiTheme="majorBidi" w:cstheme="majorBidi"/>
          <w:lang w:val="en-GB"/>
        </w:rPr>
        <w:t xml:space="preserve">P. </w:t>
      </w:r>
      <w:r w:rsidR="00420CC5" w:rsidRPr="005C3D97">
        <w:rPr>
          <w:rFonts w:asciiTheme="majorBidi" w:hAnsiTheme="majorBidi" w:cstheme="majorBidi"/>
          <w:lang w:val="en-GB"/>
        </w:rPr>
        <w:t xml:space="preserve">Yan, </w:t>
      </w:r>
      <w:r w:rsidRPr="005C3D97">
        <w:rPr>
          <w:rFonts w:asciiTheme="majorBidi" w:hAnsiTheme="majorBidi" w:cstheme="majorBidi"/>
          <w:lang w:val="en-GB"/>
        </w:rPr>
        <w:t xml:space="preserve">T.L. </w:t>
      </w:r>
      <w:r w:rsidR="00420CC5" w:rsidRPr="005C3D97">
        <w:rPr>
          <w:rFonts w:asciiTheme="majorBidi" w:hAnsiTheme="majorBidi" w:cstheme="majorBidi"/>
          <w:lang w:val="en-GB"/>
        </w:rPr>
        <w:t xml:space="preserve">Pfeffer, </w:t>
      </w:r>
      <w:r w:rsidRPr="005C3D97">
        <w:rPr>
          <w:rFonts w:asciiTheme="majorBidi" w:hAnsiTheme="majorBidi" w:cstheme="majorBidi"/>
          <w:lang w:val="en-GB"/>
        </w:rPr>
        <w:t xml:space="preserve">R. </w:t>
      </w:r>
      <w:r w:rsidR="00420CC5" w:rsidRPr="005C3D97">
        <w:rPr>
          <w:rFonts w:asciiTheme="majorBidi" w:hAnsiTheme="majorBidi" w:cstheme="majorBidi"/>
          <w:lang w:val="en-GB"/>
        </w:rPr>
        <w:t xml:space="preserve">Bundschuh, </w:t>
      </w:r>
      <w:r w:rsidRPr="005C3D97">
        <w:rPr>
          <w:rFonts w:asciiTheme="majorBidi" w:hAnsiTheme="majorBidi" w:cstheme="majorBidi"/>
          <w:lang w:val="en-GB"/>
        </w:rPr>
        <w:t xml:space="preserve">and J.M. </w:t>
      </w:r>
      <w:r w:rsidR="00420CC5" w:rsidRPr="005C3D97">
        <w:rPr>
          <w:rFonts w:asciiTheme="majorBidi" w:hAnsiTheme="majorBidi" w:cstheme="majorBidi"/>
          <w:lang w:val="en-GB"/>
        </w:rPr>
        <w:t>Warawa</w:t>
      </w:r>
      <w:r w:rsidRPr="005C3D97">
        <w:rPr>
          <w:rFonts w:asciiTheme="majorBidi" w:hAnsiTheme="majorBidi" w:cstheme="majorBidi"/>
          <w:lang w:val="en-GB"/>
        </w:rPr>
        <w:t xml:space="preserve">, </w:t>
      </w:r>
      <w:proofErr w:type="spellStart"/>
      <w:r w:rsidRPr="005C3D97">
        <w:rPr>
          <w:rFonts w:asciiTheme="majorBidi" w:hAnsiTheme="majorBidi" w:cstheme="majorBidi"/>
          <w:lang w:val="en-GB"/>
        </w:rPr>
        <w:t>PloS</w:t>
      </w:r>
      <w:proofErr w:type="spellEnd"/>
      <w:r w:rsidRPr="005C3D97">
        <w:rPr>
          <w:rFonts w:asciiTheme="majorBidi" w:hAnsiTheme="majorBidi" w:cstheme="majorBidi"/>
          <w:lang w:val="en-GB"/>
        </w:rPr>
        <w:t xml:space="preserve"> One,</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9</w:t>
      </w:r>
      <w:r w:rsidR="00420CC5" w:rsidRPr="005C3D97">
        <w:rPr>
          <w:rFonts w:asciiTheme="majorBidi" w:hAnsiTheme="majorBidi" w:cstheme="majorBidi"/>
          <w:lang w:val="en-GB"/>
        </w:rPr>
        <w:t>(9)</w:t>
      </w:r>
      <w:r w:rsidRPr="005C3D97">
        <w:rPr>
          <w:rFonts w:asciiTheme="majorBidi" w:hAnsiTheme="majorBidi" w:cstheme="majorBidi"/>
          <w:lang w:val="en-GB"/>
        </w:rPr>
        <w:t>,</w:t>
      </w:r>
      <w:r w:rsidR="00420CC5" w:rsidRPr="005C3D97">
        <w:rPr>
          <w:rFonts w:asciiTheme="majorBidi" w:hAnsiTheme="majorBidi" w:cstheme="majorBidi"/>
          <w:lang w:val="en-GB"/>
        </w:rPr>
        <w:t xml:space="preserve"> e107394</w:t>
      </w:r>
      <w:r w:rsidRPr="005C3D97">
        <w:rPr>
          <w:rFonts w:asciiTheme="majorBidi" w:hAnsiTheme="majorBidi" w:cstheme="majorBidi"/>
          <w:lang w:val="en-GB"/>
        </w:rPr>
        <w:t xml:space="preserve"> (2014)</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https://doi.org/10.1371/journal.pone.0107394</w:t>
      </w:r>
      <w:r w:rsidR="00420CC5" w:rsidRPr="005C3D97">
        <w:rPr>
          <w:rFonts w:asciiTheme="majorBidi" w:hAnsiTheme="majorBidi" w:cstheme="majorBidi"/>
          <w:lang w:val="en-GB"/>
        </w:rPr>
        <w:t xml:space="preserve">. </w:t>
      </w:r>
    </w:p>
    <w:p w14:paraId="38362587" w14:textId="2196864C"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R.M. </w:t>
      </w:r>
      <w:r w:rsidR="00420CC5" w:rsidRPr="005C3D97">
        <w:rPr>
          <w:rFonts w:asciiTheme="majorBidi" w:hAnsiTheme="majorBidi" w:cstheme="majorBidi"/>
          <w:lang w:val="en-GB"/>
        </w:rPr>
        <w:t xml:space="preserve">Martin, </w:t>
      </w:r>
      <w:r w:rsidRPr="005C3D97">
        <w:rPr>
          <w:rFonts w:asciiTheme="majorBidi" w:hAnsiTheme="majorBidi" w:cstheme="majorBidi"/>
          <w:lang w:val="en-GB"/>
        </w:rPr>
        <w:t xml:space="preserve">and M.A. </w:t>
      </w:r>
      <w:r w:rsidR="00420CC5" w:rsidRPr="005C3D97">
        <w:rPr>
          <w:rFonts w:asciiTheme="majorBidi" w:hAnsiTheme="majorBidi" w:cstheme="majorBidi"/>
          <w:lang w:val="en-GB"/>
        </w:rPr>
        <w:t>Bachman</w:t>
      </w:r>
      <w:r w:rsidRPr="005C3D97">
        <w:rPr>
          <w:rFonts w:asciiTheme="majorBidi" w:hAnsiTheme="majorBidi" w:cstheme="majorBidi"/>
          <w:lang w:val="en-GB"/>
        </w:rPr>
        <w:t xml:space="preserve">, Front Cell Infect </w:t>
      </w:r>
      <w:proofErr w:type="spellStart"/>
      <w:r w:rsidRPr="005C3D97">
        <w:rPr>
          <w:rFonts w:asciiTheme="majorBidi" w:hAnsiTheme="majorBidi" w:cstheme="majorBidi"/>
          <w:lang w:val="en-GB"/>
        </w:rPr>
        <w:t>Microbiol</w:t>
      </w:r>
      <w:proofErr w:type="spellEnd"/>
      <w:r w:rsidRPr="005C3D97">
        <w:rPr>
          <w:rFonts w:asciiTheme="majorBidi" w:hAnsiTheme="majorBidi" w:cstheme="majorBidi"/>
          <w:lang w:val="en-GB"/>
        </w:rPr>
        <w:t xml:space="preserve">. </w:t>
      </w:r>
      <w:r w:rsidRPr="005C3D97">
        <w:rPr>
          <w:rFonts w:asciiTheme="majorBidi" w:hAnsiTheme="majorBidi" w:cstheme="majorBidi"/>
          <w:b/>
          <w:bCs/>
          <w:lang w:val="en-GB"/>
        </w:rPr>
        <w:t>8</w:t>
      </w:r>
      <w:r w:rsidRPr="005C3D97">
        <w:rPr>
          <w:rFonts w:asciiTheme="majorBidi" w:hAnsiTheme="majorBidi" w:cstheme="majorBidi"/>
          <w:lang w:val="en-GB"/>
        </w:rPr>
        <w:t>,</w:t>
      </w:r>
      <w:r w:rsidR="00420CC5" w:rsidRPr="005C3D97">
        <w:rPr>
          <w:rFonts w:asciiTheme="majorBidi" w:hAnsiTheme="majorBidi" w:cstheme="majorBidi"/>
          <w:lang w:val="en-GB"/>
        </w:rPr>
        <w:t xml:space="preserve"> 4</w:t>
      </w:r>
      <w:r w:rsidRPr="005C3D97">
        <w:rPr>
          <w:rFonts w:asciiTheme="majorBidi" w:hAnsiTheme="majorBidi" w:cstheme="majorBidi"/>
          <w:lang w:val="en-GB"/>
        </w:rPr>
        <w:t xml:space="preserve"> (2018)</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https://doi.org/10.3389/fcimb.2018.00004</w:t>
      </w:r>
      <w:r w:rsidR="00420CC5" w:rsidRPr="005C3D97">
        <w:rPr>
          <w:rFonts w:asciiTheme="majorBidi" w:hAnsiTheme="majorBidi" w:cstheme="majorBidi"/>
          <w:lang w:val="en-GB"/>
        </w:rPr>
        <w:t xml:space="preserve">. </w:t>
      </w:r>
    </w:p>
    <w:p w14:paraId="104A7C1B" w14:textId="0570B3F4"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Z.H.A. </w:t>
      </w:r>
      <w:r w:rsidR="00420CC5" w:rsidRPr="005C3D97">
        <w:rPr>
          <w:rFonts w:asciiTheme="majorBidi" w:hAnsiTheme="majorBidi" w:cstheme="majorBidi"/>
          <w:lang w:val="en-GB"/>
        </w:rPr>
        <w:t xml:space="preserve">Al-Saadi, </w:t>
      </w:r>
      <w:r w:rsidRPr="005C3D97">
        <w:rPr>
          <w:rFonts w:asciiTheme="majorBidi" w:hAnsiTheme="majorBidi" w:cstheme="majorBidi"/>
          <w:lang w:val="en-GB"/>
        </w:rPr>
        <w:t xml:space="preserve">and R.M. </w:t>
      </w:r>
      <w:r w:rsidR="00420CC5" w:rsidRPr="005C3D97">
        <w:rPr>
          <w:rFonts w:asciiTheme="majorBidi" w:hAnsiTheme="majorBidi" w:cstheme="majorBidi"/>
          <w:lang w:val="en-GB"/>
        </w:rPr>
        <w:t>Abdullah</w:t>
      </w:r>
      <w:r w:rsidRPr="005C3D97">
        <w:rPr>
          <w:rFonts w:asciiTheme="majorBidi" w:hAnsiTheme="majorBidi" w:cstheme="majorBidi"/>
          <w:lang w:val="en-GB"/>
        </w:rPr>
        <w:t xml:space="preserve">, </w:t>
      </w:r>
      <w:proofErr w:type="spellStart"/>
      <w:r w:rsidRPr="005C3D97">
        <w:rPr>
          <w:rFonts w:asciiTheme="majorBidi" w:hAnsiTheme="majorBidi" w:cstheme="majorBidi"/>
          <w:lang w:val="en-GB"/>
        </w:rPr>
        <w:t>Biochem</w:t>
      </w:r>
      <w:proofErr w:type="spellEnd"/>
      <w:r w:rsidRPr="005C3D97">
        <w:rPr>
          <w:rFonts w:asciiTheme="majorBidi" w:hAnsiTheme="majorBidi" w:cstheme="majorBidi"/>
          <w:lang w:val="en-GB"/>
        </w:rPr>
        <w:t xml:space="preserve"> Cell Arch. </w:t>
      </w:r>
      <w:r w:rsidRPr="005C3D97">
        <w:rPr>
          <w:rFonts w:asciiTheme="majorBidi" w:hAnsiTheme="majorBidi" w:cstheme="majorBidi"/>
          <w:b/>
          <w:bCs/>
          <w:lang w:val="en-GB"/>
        </w:rPr>
        <w:t>19</w:t>
      </w:r>
      <w:r w:rsidRPr="005C3D97">
        <w:rPr>
          <w:rFonts w:asciiTheme="majorBidi" w:hAnsiTheme="majorBidi" w:cstheme="majorBidi"/>
          <w:lang w:val="en-GB"/>
        </w:rPr>
        <w:t>, Supplement 1,</w:t>
      </w:r>
      <w:r w:rsidR="00420CC5" w:rsidRPr="005C3D97">
        <w:rPr>
          <w:rFonts w:asciiTheme="majorBidi" w:hAnsiTheme="majorBidi" w:cstheme="majorBidi"/>
          <w:lang w:val="en-GB"/>
        </w:rPr>
        <w:t xml:space="preserve"> 2371-2376</w:t>
      </w:r>
      <w:r w:rsidRPr="005C3D97">
        <w:rPr>
          <w:rFonts w:asciiTheme="majorBidi" w:hAnsiTheme="majorBidi" w:cstheme="majorBidi"/>
          <w:lang w:val="en-GB"/>
        </w:rPr>
        <w:t xml:space="preserve"> (2019)</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https://connectjournals.com/file_html_pdf/3012000H_2371A.pdf</w:t>
      </w:r>
      <w:r w:rsidR="00420CC5" w:rsidRPr="005C3D97">
        <w:rPr>
          <w:rFonts w:asciiTheme="majorBidi" w:hAnsiTheme="majorBidi" w:cstheme="majorBidi"/>
          <w:lang w:val="en-GB"/>
        </w:rPr>
        <w:t xml:space="preserve">. </w:t>
      </w:r>
    </w:p>
    <w:p w14:paraId="1487E1B1" w14:textId="53F48116" w:rsidR="00420CC5" w:rsidRPr="005C3D97" w:rsidRDefault="00BF7D47"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C.J. </w:t>
      </w:r>
      <w:r w:rsidR="00420CC5" w:rsidRPr="005C3D97">
        <w:rPr>
          <w:rFonts w:asciiTheme="majorBidi" w:hAnsiTheme="majorBidi" w:cstheme="majorBidi"/>
          <w:lang w:val="en-GB"/>
        </w:rPr>
        <w:t xml:space="preserve">Stubenrauch, </w:t>
      </w:r>
      <w:r w:rsidRPr="005C3D97">
        <w:rPr>
          <w:rFonts w:asciiTheme="majorBidi" w:hAnsiTheme="majorBidi" w:cstheme="majorBidi"/>
          <w:lang w:val="en-GB"/>
        </w:rPr>
        <w:t xml:space="preserve">R.S. </w:t>
      </w:r>
      <w:r w:rsidR="00420CC5" w:rsidRPr="005C3D97">
        <w:rPr>
          <w:rFonts w:asciiTheme="majorBidi" w:hAnsiTheme="majorBidi" w:cstheme="majorBidi"/>
          <w:lang w:val="en-GB"/>
        </w:rPr>
        <w:t xml:space="preserve">Bamert, </w:t>
      </w:r>
      <w:r w:rsidRPr="005C3D97">
        <w:rPr>
          <w:rFonts w:asciiTheme="majorBidi" w:hAnsiTheme="majorBidi" w:cstheme="majorBidi"/>
          <w:lang w:val="en-GB"/>
        </w:rPr>
        <w:t xml:space="preserve">J. </w:t>
      </w:r>
      <w:r w:rsidR="00420CC5" w:rsidRPr="005C3D97">
        <w:rPr>
          <w:rFonts w:asciiTheme="majorBidi" w:hAnsiTheme="majorBidi" w:cstheme="majorBidi"/>
          <w:lang w:val="en-GB"/>
        </w:rPr>
        <w:t>Wang,</w:t>
      </w:r>
      <w:r w:rsidRPr="005C3D97">
        <w:rPr>
          <w:rFonts w:asciiTheme="majorBidi" w:hAnsiTheme="majorBidi" w:cstheme="majorBidi"/>
          <w:lang w:val="en-GB"/>
        </w:rPr>
        <w:t xml:space="preserve"> and T.</w:t>
      </w:r>
      <w:r w:rsidR="00420CC5" w:rsidRPr="005C3D97">
        <w:rPr>
          <w:rFonts w:asciiTheme="majorBidi" w:hAnsiTheme="majorBidi" w:cstheme="majorBidi"/>
          <w:lang w:val="en-GB"/>
        </w:rPr>
        <w:t xml:space="preserve"> Lithgow</w:t>
      </w:r>
      <w:r w:rsidRPr="005C3D97">
        <w:rPr>
          <w:rFonts w:asciiTheme="majorBidi" w:hAnsiTheme="majorBidi" w:cstheme="majorBidi"/>
          <w:lang w:val="en-GB"/>
        </w:rPr>
        <w:t xml:space="preserve">, </w:t>
      </w:r>
      <w:proofErr w:type="spellStart"/>
      <w:r w:rsidRPr="005C3D97">
        <w:rPr>
          <w:rFonts w:asciiTheme="majorBidi" w:hAnsiTheme="majorBidi" w:cstheme="majorBidi"/>
          <w:lang w:val="en-GB"/>
        </w:rPr>
        <w:t>PLoS</w:t>
      </w:r>
      <w:proofErr w:type="spellEnd"/>
      <w:r w:rsidRPr="005C3D97">
        <w:rPr>
          <w:rFonts w:asciiTheme="majorBidi" w:hAnsiTheme="majorBidi" w:cstheme="majorBidi"/>
          <w:lang w:val="en-GB"/>
        </w:rPr>
        <w:t xml:space="preserve"> Biol. </w:t>
      </w:r>
      <w:r w:rsidR="00420CC5" w:rsidRPr="005C3D97">
        <w:rPr>
          <w:rFonts w:asciiTheme="majorBidi" w:hAnsiTheme="majorBidi" w:cstheme="majorBidi"/>
          <w:b/>
          <w:bCs/>
          <w:lang w:val="en-GB"/>
        </w:rPr>
        <w:t>20</w:t>
      </w:r>
      <w:r w:rsidR="00420CC5" w:rsidRPr="005C3D97">
        <w:rPr>
          <w:rFonts w:asciiTheme="majorBidi" w:hAnsiTheme="majorBidi" w:cstheme="majorBidi"/>
          <w:lang w:val="en-GB"/>
        </w:rPr>
        <w:t>(1), e3001523</w:t>
      </w:r>
      <w:r w:rsidRPr="005C3D97">
        <w:rPr>
          <w:rFonts w:asciiTheme="majorBidi" w:hAnsiTheme="majorBidi" w:cstheme="majorBidi"/>
          <w:lang w:val="en-GB"/>
        </w:rPr>
        <w:t xml:space="preserve"> (2022)</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https://doi.org/10.1371/journal.pbio.3001523</w:t>
      </w:r>
      <w:r w:rsidR="00420CC5" w:rsidRPr="005C3D97">
        <w:rPr>
          <w:rFonts w:asciiTheme="majorBidi" w:hAnsiTheme="majorBidi" w:cstheme="majorBidi"/>
          <w:lang w:val="en-GB"/>
        </w:rPr>
        <w:t xml:space="preserve">. </w:t>
      </w:r>
    </w:p>
    <w:p w14:paraId="3BE9FA86" w14:textId="719A67BA" w:rsidR="00420CC5" w:rsidRPr="005C3D97" w:rsidRDefault="004D50D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lastRenderedPageBreak/>
        <w:t xml:space="preserve">G.A. </w:t>
      </w:r>
      <w:r w:rsidR="00BF7D47" w:rsidRPr="005C3D97">
        <w:rPr>
          <w:rFonts w:asciiTheme="majorBidi" w:hAnsiTheme="majorBidi" w:cstheme="majorBidi"/>
          <w:lang w:val="en-GB"/>
        </w:rPr>
        <w:t xml:space="preserve">Jacoby, </w:t>
      </w:r>
      <w:r w:rsidR="00420CC5" w:rsidRPr="005C3D97">
        <w:rPr>
          <w:rFonts w:asciiTheme="majorBidi" w:hAnsiTheme="majorBidi" w:cstheme="majorBidi"/>
          <w:lang w:val="en-GB"/>
        </w:rPr>
        <w:t xml:space="preserve">Plasmid-Mediated Quinolone Resistance. In: </w:t>
      </w:r>
      <w:r w:rsidR="00BF7D47" w:rsidRPr="005C3D97">
        <w:rPr>
          <w:rFonts w:asciiTheme="majorBidi" w:hAnsiTheme="majorBidi" w:cstheme="majorBidi"/>
          <w:lang w:val="en-GB"/>
        </w:rPr>
        <w:t xml:space="preserve">D.L. </w:t>
      </w:r>
      <w:r w:rsidR="00420CC5" w:rsidRPr="005C3D97">
        <w:rPr>
          <w:rFonts w:asciiTheme="majorBidi" w:hAnsiTheme="majorBidi" w:cstheme="majorBidi"/>
          <w:lang w:val="en-GB"/>
        </w:rPr>
        <w:t xml:space="preserve">Mayers, </w:t>
      </w:r>
      <w:r w:rsidR="00BF7D47" w:rsidRPr="005C3D97">
        <w:rPr>
          <w:rFonts w:asciiTheme="majorBidi" w:hAnsiTheme="majorBidi" w:cstheme="majorBidi"/>
          <w:lang w:val="en-GB"/>
        </w:rPr>
        <w:t xml:space="preserve">J.D. Sobel, M. </w:t>
      </w:r>
      <w:r w:rsidR="00420CC5" w:rsidRPr="005C3D97">
        <w:rPr>
          <w:rFonts w:asciiTheme="majorBidi" w:hAnsiTheme="majorBidi" w:cstheme="majorBidi"/>
          <w:lang w:val="en-GB"/>
        </w:rPr>
        <w:t xml:space="preserve">Ouellette, </w:t>
      </w:r>
      <w:r w:rsidR="00BF7D47" w:rsidRPr="005C3D97">
        <w:rPr>
          <w:rFonts w:asciiTheme="majorBidi" w:hAnsiTheme="majorBidi" w:cstheme="majorBidi"/>
          <w:lang w:val="en-GB"/>
        </w:rPr>
        <w:t xml:space="preserve">K.S. </w:t>
      </w:r>
      <w:r w:rsidR="00420CC5" w:rsidRPr="005C3D97">
        <w:rPr>
          <w:rFonts w:asciiTheme="majorBidi" w:hAnsiTheme="majorBidi" w:cstheme="majorBidi"/>
          <w:lang w:val="en-GB"/>
        </w:rPr>
        <w:t xml:space="preserve">Kaye, </w:t>
      </w:r>
      <w:r w:rsidR="00BF7D47" w:rsidRPr="005C3D97">
        <w:rPr>
          <w:rFonts w:asciiTheme="majorBidi" w:hAnsiTheme="majorBidi" w:cstheme="majorBidi"/>
          <w:lang w:val="en-GB"/>
        </w:rPr>
        <w:t>and D.</w:t>
      </w:r>
      <w:r w:rsidR="00420CC5" w:rsidRPr="005C3D97">
        <w:rPr>
          <w:rFonts w:asciiTheme="majorBidi" w:hAnsiTheme="majorBidi" w:cstheme="majorBidi"/>
          <w:lang w:val="en-GB"/>
        </w:rPr>
        <w:t xml:space="preserve"> </w:t>
      </w:r>
      <w:proofErr w:type="spellStart"/>
      <w:r w:rsidR="00420CC5" w:rsidRPr="005C3D97">
        <w:rPr>
          <w:rFonts w:asciiTheme="majorBidi" w:hAnsiTheme="majorBidi" w:cstheme="majorBidi"/>
          <w:lang w:val="en-GB"/>
        </w:rPr>
        <w:t>Marchaim</w:t>
      </w:r>
      <w:proofErr w:type="spellEnd"/>
      <w:r w:rsidR="00420CC5" w:rsidRPr="005C3D97">
        <w:rPr>
          <w:rFonts w:asciiTheme="majorBidi" w:hAnsiTheme="majorBidi" w:cstheme="majorBidi"/>
          <w:lang w:val="en-GB"/>
        </w:rPr>
        <w:t xml:space="preserve"> (eds), </w:t>
      </w:r>
      <w:r w:rsidR="00420CC5" w:rsidRPr="005C3D97">
        <w:rPr>
          <w:rFonts w:asciiTheme="majorBidi" w:hAnsiTheme="majorBidi" w:cstheme="majorBidi"/>
          <w:i/>
          <w:iCs/>
          <w:lang w:val="en-GB"/>
        </w:rPr>
        <w:t>Antimicrobial Drug Resistance, Mech</w:t>
      </w:r>
      <w:r w:rsidRPr="005C3D97">
        <w:rPr>
          <w:rFonts w:asciiTheme="majorBidi" w:hAnsiTheme="majorBidi" w:cstheme="majorBidi"/>
          <w:i/>
          <w:iCs/>
          <w:lang w:val="en-GB"/>
        </w:rPr>
        <w:t>anisms of Drug resistance</w:t>
      </w:r>
      <w:r w:rsidRPr="005C3D97">
        <w:rPr>
          <w:rFonts w:asciiTheme="majorBidi" w:hAnsiTheme="majorBidi" w:cstheme="majorBidi"/>
          <w:lang w:val="en-GB"/>
        </w:rPr>
        <w:t>, Vol.</w:t>
      </w:r>
      <w:r w:rsidR="00420CC5" w:rsidRPr="005C3D97">
        <w:rPr>
          <w:rFonts w:asciiTheme="majorBidi" w:hAnsiTheme="majorBidi" w:cstheme="majorBidi"/>
          <w:lang w:val="en-GB"/>
        </w:rPr>
        <w:t xml:space="preserve"> 1. 2</w:t>
      </w:r>
      <w:r w:rsidR="00420CC5" w:rsidRPr="005C3D97">
        <w:rPr>
          <w:rFonts w:asciiTheme="majorBidi" w:hAnsiTheme="majorBidi" w:cstheme="majorBidi"/>
          <w:vertAlign w:val="superscript"/>
          <w:lang w:val="en-GB"/>
        </w:rPr>
        <w:t>nd</w:t>
      </w:r>
      <w:r w:rsidR="00420CC5" w:rsidRPr="005C3D97">
        <w:rPr>
          <w:rFonts w:asciiTheme="majorBidi" w:hAnsiTheme="majorBidi" w:cstheme="majorBidi"/>
          <w:lang w:val="en-GB"/>
        </w:rPr>
        <w:t xml:space="preserve"> ed. </w:t>
      </w:r>
      <w:r w:rsidRPr="005C3D97">
        <w:rPr>
          <w:rFonts w:asciiTheme="majorBidi" w:hAnsiTheme="majorBidi" w:cstheme="majorBidi"/>
          <w:lang w:val="en-GB"/>
        </w:rPr>
        <w:t>(</w:t>
      </w:r>
      <w:r w:rsidR="00420CC5" w:rsidRPr="005C3D97">
        <w:rPr>
          <w:rFonts w:asciiTheme="majorBidi" w:hAnsiTheme="majorBidi" w:cstheme="majorBidi"/>
          <w:lang w:val="en-GB"/>
        </w:rPr>
        <w:t>Switz</w:t>
      </w:r>
      <w:r w:rsidRPr="005C3D97">
        <w:rPr>
          <w:rFonts w:asciiTheme="majorBidi" w:hAnsiTheme="majorBidi" w:cstheme="majorBidi"/>
          <w:lang w:val="en-GB"/>
        </w:rPr>
        <w:t>erland: Springer, 2017)</w:t>
      </w:r>
      <w:r w:rsidR="00420CC5" w:rsidRPr="005C3D97">
        <w:rPr>
          <w:rFonts w:asciiTheme="majorBidi" w:hAnsiTheme="majorBidi" w:cstheme="majorBidi"/>
          <w:lang w:val="en-GB"/>
        </w:rPr>
        <w:t xml:space="preserve"> 265-268.</w:t>
      </w:r>
    </w:p>
    <w:p w14:paraId="1A3CBB80" w14:textId="027F39E6" w:rsidR="00420CC5" w:rsidRPr="005C3D97" w:rsidRDefault="004D50D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J. </w:t>
      </w:r>
      <w:r w:rsidR="00420CC5" w:rsidRPr="005C3D97">
        <w:rPr>
          <w:rFonts w:asciiTheme="majorBidi" w:hAnsiTheme="majorBidi" w:cstheme="majorBidi"/>
          <w:lang w:val="en-GB"/>
        </w:rPr>
        <w:t>Li,</w:t>
      </w:r>
      <w:r w:rsidRPr="005C3D97">
        <w:rPr>
          <w:rFonts w:asciiTheme="majorBidi" w:hAnsiTheme="majorBidi" w:cstheme="majorBidi"/>
          <w:lang w:val="en-GB"/>
        </w:rPr>
        <w:t xml:space="preserve"> H.</w:t>
      </w:r>
      <w:r w:rsidR="00420CC5" w:rsidRPr="005C3D97">
        <w:rPr>
          <w:rFonts w:asciiTheme="majorBidi" w:hAnsiTheme="majorBidi" w:cstheme="majorBidi"/>
          <w:lang w:val="en-GB"/>
        </w:rPr>
        <w:t xml:space="preserve"> Zhang, </w:t>
      </w:r>
      <w:r w:rsidRPr="005C3D97">
        <w:rPr>
          <w:rFonts w:asciiTheme="majorBidi" w:hAnsiTheme="majorBidi" w:cstheme="majorBidi"/>
          <w:lang w:val="en-GB"/>
        </w:rPr>
        <w:t xml:space="preserve">J. </w:t>
      </w:r>
      <w:r w:rsidR="00420CC5" w:rsidRPr="005C3D97">
        <w:rPr>
          <w:rFonts w:asciiTheme="majorBidi" w:hAnsiTheme="majorBidi" w:cstheme="majorBidi"/>
          <w:lang w:val="en-GB"/>
        </w:rPr>
        <w:t>Ning,</w:t>
      </w:r>
      <w:r w:rsidRPr="005C3D97">
        <w:rPr>
          <w:rFonts w:asciiTheme="majorBidi" w:hAnsiTheme="majorBidi" w:cstheme="majorBidi"/>
          <w:lang w:val="en-GB"/>
        </w:rPr>
        <w:t xml:space="preserve"> A.</w:t>
      </w:r>
      <w:r w:rsidR="00420CC5" w:rsidRPr="005C3D97">
        <w:rPr>
          <w:rFonts w:asciiTheme="majorBidi" w:hAnsiTheme="majorBidi" w:cstheme="majorBidi"/>
          <w:lang w:val="en-GB"/>
        </w:rPr>
        <w:t xml:space="preserve"> Sajid, </w:t>
      </w:r>
      <w:r w:rsidRPr="005C3D97">
        <w:rPr>
          <w:rFonts w:asciiTheme="majorBidi" w:hAnsiTheme="majorBidi" w:cstheme="majorBidi"/>
          <w:lang w:val="en-GB"/>
        </w:rPr>
        <w:t xml:space="preserve">G. </w:t>
      </w:r>
      <w:r w:rsidR="00420CC5" w:rsidRPr="005C3D97">
        <w:rPr>
          <w:rFonts w:asciiTheme="majorBidi" w:hAnsiTheme="majorBidi" w:cstheme="majorBidi"/>
          <w:lang w:val="en-GB"/>
        </w:rPr>
        <w:t xml:space="preserve">Cheng, </w:t>
      </w:r>
      <w:r w:rsidRPr="005C3D97">
        <w:rPr>
          <w:rFonts w:asciiTheme="majorBidi" w:hAnsiTheme="majorBidi" w:cstheme="majorBidi"/>
          <w:lang w:val="en-GB"/>
        </w:rPr>
        <w:t xml:space="preserve">Z. </w:t>
      </w:r>
      <w:r w:rsidR="00420CC5" w:rsidRPr="005C3D97">
        <w:rPr>
          <w:rFonts w:asciiTheme="majorBidi" w:hAnsiTheme="majorBidi" w:cstheme="majorBidi"/>
          <w:lang w:val="en-GB"/>
        </w:rPr>
        <w:t>Yuan,</w:t>
      </w:r>
      <w:r w:rsidRPr="005C3D97">
        <w:rPr>
          <w:rFonts w:asciiTheme="majorBidi" w:hAnsiTheme="majorBidi" w:cstheme="majorBidi"/>
          <w:lang w:val="en-GB"/>
        </w:rPr>
        <w:t xml:space="preserve"> H. Hao, </w:t>
      </w:r>
      <w:proofErr w:type="spellStart"/>
      <w:r w:rsidR="00420CC5" w:rsidRPr="005C3D97">
        <w:rPr>
          <w:rFonts w:asciiTheme="majorBidi" w:hAnsiTheme="majorBidi" w:cstheme="majorBidi"/>
          <w:lang w:val="en-GB"/>
        </w:rPr>
        <w:t>Antimicrob</w:t>
      </w:r>
      <w:proofErr w:type="spellEnd"/>
      <w:r w:rsidR="00420CC5" w:rsidRPr="005C3D97">
        <w:rPr>
          <w:rFonts w:asciiTheme="majorBidi" w:hAnsiTheme="majorBidi" w:cstheme="majorBidi"/>
          <w:lang w:val="en-GB"/>
        </w:rPr>
        <w:t xml:space="preserve"> Resist Infect Control</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8</w:t>
      </w:r>
      <w:r w:rsidR="00420CC5" w:rsidRPr="005C3D97">
        <w:rPr>
          <w:rFonts w:asciiTheme="majorBidi" w:hAnsiTheme="majorBidi" w:cstheme="majorBidi"/>
          <w:lang w:val="en-GB"/>
        </w:rPr>
        <w:t>: 44</w:t>
      </w:r>
      <w:r w:rsidRPr="005C3D97">
        <w:rPr>
          <w:rFonts w:asciiTheme="majorBidi" w:hAnsiTheme="majorBidi" w:cstheme="majorBidi"/>
          <w:lang w:val="en-GB"/>
        </w:rPr>
        <w:t xml:space="preserve"> (2019)</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https://doi.org/10.1186/s13756-019-0489-3</w:t>
      </w:r>
      <w:r w:rsidR="00420CC5" w:rsidRPr="005C3D97">
        <w:rPr>
          <w:rFonts w:asciiTheme="majorBidi" w:hAnsiTheme="majorBidi" w:cstheme="majorBidi"/>
          <w:lang w:val="en-GB"/>
        </w:rPr>
        <w:t>.</w:t>
      </w:r>
    </w:p>
    <w:p w14:paraId="26F1E8A8" w14:textId="6790CD4D" w:rsidR="00420CC5" w:rsidRPr="005C3D97" w:rsidRDefault="004D50D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A. </w:t>
      </w:r>
      <w:proofErr w:type="spellStart"/>
      <w:r w:rsidR="00420CC5" w:rsidRPr="005C3D97">
        <w:rPr>
          <w:rFonts w:asciiTheme="majorBidi" w:hAnsiTheme="majorBidi" w:cstheme="majorBidi"/>
          <w:lang w:val="en-GB"/>
        </w:rPr>
        <w:t>Saadatian</w:t>
      </w:r>
      <w:proofErr w:type="spellEnd"/>
      <w:r w:rsidR="00420CC5" w:rsidRPr="005C3D97">
        <w:rPr>
          <w:rFonts w:asciiTheme="majorBidi" w:hAnsiTheme="majorBidi" w:cstheme="majorBidi"/>
          <w:lang w:val="en-GB"/>
        </w:rPr>
        <w:t xml:space="preserve"> Farivar, </w:t>
      </w:r>
      <w:r w:rsidRPr="005C3D97">
        <w:rPr>
          <w:rFonts w:asciiTheme="majorBidi" w:hAnsiTheme="majorBidi" w:cstheme="majorBidi"/>
          <w:lang w:val="en-GB"/>
        </w:rPr>
        <w:t xml:space="preserve">J. </w:t>
      </w:r>
      <w:r w:rsidR="00420CC5" w:rsidRPr="005C3D97">
        <w:rPr>
          <w:rFonts w:asciiTheme="majorBidi" w:hAnsiTheme="majorBidi" w:cstheme="majorBidi"/>
          <w:lang w:val="en-GB"/>
        </w:rPr>
        <w:t xml:space="preserve">Nowroozi, </w:t>
      </w:r>
      <w:r w:rsidRPr="005C3D97">
        <w:rPr>
          <w:rFonts w:asciiTheme="majorBidi" w:hAnsiTheme="majorBidi" w:cstheme="majorBidi"/>
          <w:lang w:val="en-GB"/>
        </w:rPr>
        <w:t xml:space="preserve">G. </w:t>
      </w:r>
      <w:r w:rsidR="00420CC5" w:rsidRPr="005C3D97">
        <w:rPr>
          <w:rFonts w:asciiTheme="majorBidi" w:hAnsiTheme="majorBidi" w:cstheme="majorBidi"/>
          <w:lang w:val="en-GB"/>
        </w:rPr>
        <w:t>Eslami,</w:t>
      </w:r>
      <w:r w:rsidRPr="005C3D97">
        <w:rPr>
          <w:rFonts w:asciiTheme="majorBidi" w:hAnsiTheme="majorBidi" w:cstheme="majorBidi"/>
          <w:lang w:val="en-GB"/>
        </w:rPr>
        <w:t xml:space="preserve"> and A. </w:t>
      </w:r>
      <w:proofErr w:type="spellStart"/>
      <w:r w:rsidRPr="005C3D97">
        <w:rPr>
          <w:rFonts w:asciiTheme="majorBidi" w:hAnsiTheme="majorBidi" w:cstheme="majorBidi"/>
          <w:lang w:val="en-GB"/>
        </w:rPr>
        <w:t>Sabokbar</w:t>
      </w:r>
      <w:proofErr w:type="spellEnd"/>
      <w:r w:rsidRPr="005C3D97">
        <w:rPr>
          <w:rFonts w:asciiTheme="majorBidi" w:hAnsiTheme="majorBidi" w:cstheme="majorBidi"/>
          <w:lang w:val="en-GB"/>
        </w:rPr>
        <w:t xml:space="preserve">, </w:t>
      </w:r>
      <w:proofErr w:type="spellStart"/>
      <w:r w:rsidR="00420CC5" w:rsidRPr="005C3D97">
        <w:rPr>
          <w:rFonts w:asciiTheme="majorBidi" w:hAnsiTheme="majorBidi" w:cstheme="majorBidi"/>
          <w:lang w:val="en-GB"/>
        </w:rPr>
        <w:t>Canad</w:t>
      </w:r>
      <w:proofErr w:type="spellEnd"/>
      <w:r w:rsidR="00420CC5" w:rsidRPr="005C3D97">
        <w:rPr>
          <w:rFonts w:asciiTheme="majorBidi" w:hAnsiTheme="majorBidi" w:cstheme="majorBidi"/>
          <w:lang w:val="en-GB"/>
        </w:rPr>
        <w:t xml:space="preserve"> </w:t>
      </w:r>
      <w:proofErr w:type="spellStart"/>
      <w:r w:rsidR="00420CC5" w:rsidRPr="005C3D97">
        <w:rPr>
          <w:rFonts w:asciiTheme="majorBidi" w:hAnsiTheme="majorBidi" w:cstheme="majorBidi"/>
          <w:lang w:val="en-GB"/>
        </w:rPr>
        <w:t>JInfect</w:t>
      </w:r>
      <w:proofErr w:type="spellEnd"/>
      <w:r w:rsidR="00420CC5" w:rsidRPr="005C3D97">
        <w:rPr>
          <w:rFonts w:asciiTheme="majorBidi" w:hAnsiTheme="majorBidi" w:cstheme="majorBidi"/>
          <w:lang w:val="en-GB"/>
        </w:rPr>
        <w:t xml:space="preserve"> Dis Med </w:t>
      </w:r>
      <w:proofErr w:type="spellStart"/>
      <w:r w:rsidR="00420CC5" w:rsidRPr="005C3D97">
        <w:rPr>
          <w:rFonts w:asciiTheme="majorBidi" w:hAnsiTheme="majorBidi" w:cstheme="majorBidi"/>
          <w:lang w:val="en-GB"/>
        </w:rPr>
        <w:t>Microbi</w:t>
      </w:r>
      <w:r w:rsidRPr="005C3D97">
        <w:rPr>
          <w:rFonts w:asciiTheme="majorBidi" w:hAnsiTheme="majorBidi" w:cstheme="majorBidi"/>
          <w:lang w:val="en-GB"/>
        </w:rPr>
        <w:t>ol</w:t>
      </w:r>
      <w:proofErr w:type="spellEnd"/>
      <w:r w:rsidRPr="005C3D97">
        <w:rPr>
          <w:rFonts w:asciiTheme="majorBidi" w:hAnsiTheme="majorBidi" w:cstheme="majorBidi"/>
          <w:lang w:val="en-GB"/>
        </w:rPr>
        <w:t xml:space="preserve">., </w:t>
      </w:r>
      <w:r w:rsidR="00420CC5" w:rsidRPr="005C3D97">
        <w:rPr>
          <w:rFonts w:asciiTheme="majorBidi" w:hAnsiTheme="majorBidi" w:cstheme="majorBidi"/>
          <w:b/>
          <w:bCs/>
          <w:lang w:val="en-GB"/>
        </w:rPr>
        <w:t>2018</w:t>
      </w:r>
      <w:r w:rsidR="00420CC5" w:rsidRPr="005C3D97">
        <w:rPr>
          <w:rFonts w:asciiTheme="majorBidi" w:hAnsiTheme="majorBidi" w:cstheme="majorBidi"/>
          <w:lang w:val="en-GB"/>
        </w:rPr>
        <w:t>, 6183162</w:t>
      </w:r>
      <w:r w:rsidRPr="005C3D97">
        <w:rPr>
          <w:rFonts w:asciiTheme="majorBidi" w:hAnsiTheme="majorBidi" w:cstheme="majorBidi"/>
          <w:lang w:val="en-GB"/>
        </w:rPr>
        <w:t>(2018)</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https://doi.org/10.1155/2018/6183162</w:t>
      </w:r>
      <w:r w:rsidR="00420CC5" w:rsidRPr="005C3D97">
        <w:rPr>
          <w:rFonts w:asciiTheme="majorBidi" w:hAnsiTheme="majorBidi" w:cstheme="majorBidi"/>
          <w:lang w:val="en-GB"/>
        </w:rPr>
        <w:t xml:space="preserve">.  </w:t>
      </w:r>
    </w:p>
    <w:p w14:paraId="29772FA0" w14:textId="3E36B88D" w:rsidR="00420CC5" w:rsidRPr="005C3D97" w:rsidRDefault="004D50D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R.A. </w:t>
      </w:r>
      <w:r w:rsidR="00420CC5" w:rsidRPr="005C3D97">
        <w:rPr>
          <w:rFonts w:asciiTheme="majorBidi" w:hAnsiTheme="majorBidi" w:cstheme="majorBidi"/>
          <w:lang w:val="en-GB"/>
        </w:rPr>
        <w:t xml:space="preserve">Luna, </w:t>
      </w:r>
      <w:r w:rsidRPr="005C3D97">
        <w:rPr>
          <w:rFonts w:asciiTheme="majorBidi" w:hAnsiTheme="majorBidi" w:cstheme="majorBidi"/>
          <w:lang w:val="en-GB"/>
        </w:rPr>
        <w:t xml:space="preserve">L.A. </w:t>
      </w:r>
      <w:proofErr w:type="spellStart"/>
      <w:r w:rsidR="00420CC5" w:rsidRPr="005C3D97">
        <w:rPr>
          <w:rFonts w:asciiTheme="majorBidi" w:hAnsiTheme="majorBidi" w:cstheme="majorBidi"/>
          <w:lang w:val="en-GB"/>
        </w:rPr>
        <w:t>Millecker</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C.R. </w:t>
      </w:r>
      <w:r w:rsidR="00420CC5" w:rsidRPr="005C3D97">
        <w:rPr>
          <w:rFonts w:asciiTheme="majorBidi" w:hAnsiTheme="majorBidi" w:cstheme="majorBidi"/>
          <w:lang w:val="en-GB"/>
        </w:rPr>
        <w:t>Webb,</w:t>
      </w:r>
      <w:r w:rsidRPr="005C3D97">
        <w:rPr>
          <w:rFonts w:asciiTheme="majorBidi" w:hAnsiTheme="majorBidi" w:cstheme="majorBidi"/>
          <w:lang w:val="en-GB"/>
        </w:rPr>
        <w:t xml:space="preserve"> S.K.</w:t>
      </w:r>
      <w:r w:rsidR="00420CC5" w:rsidRPr="005C3D97">
        <w:rPr>
          <w:rFonts w:asciiTheme="majorBidi" w:hAnsiTheme="majorBidi" w:cstheme="majorBidi"/>
          <w:lang w:val="en-GB"/>
        </w:rPr>
        <w:t xml:space="preserve"> Mason, </w:t>
      </w:r>
      <w:r w:rsidRPr="005C3D97">
        <w:rPr>
          <w:rFonts w:asciiTheme="majorBidi" w:hAnsiTheme="majorBidi" w:cstheme="majorBidi"/>
          <w:lang w:val="en-GB"/>
        </w:rPr>
        <w:t xml:space="preserve">E.M. </w:t>
      </w:r>
      <w:r w:rsidR="00420CC5" w:rsidRPr="005C3D97">
        <w:rPr>
          <w:rFonts w:asciiTheme="majorBidi" w:hAnsiTheme="majorBidi" w:cstheme="majorBidi"/>
          <w:lang w:val="en-GB"/>
        </w:rPr>
        <w:t xml:space="preserve">Whaley, </w:t>
      </w:r>
      <w:r w:rsidRPr="005C3D97">
        <w:rPr>
          <w:rFonts w:asciiTheme="majorBidi" w:hAnsiTheme="majorBidi" w:cstheme="majorBidi"/>
          <w:lang w:val="en-GB"/>
        </w:rPr>
        <w:t xml:space="preserve">J.R. </w:t>
      </w:r>
      <w:r w:rsidR="00420CC5" w:rsidRPr="005C3D97">
        <w:rPr>
          <w:rFonts w:asciiTheme="majorBidi" w:hAnsiTheme="majorBidi" w:cstheme="majorBidi"/>
          <w:lang w:val="en-GB"/>
        </w:rPr>
        <w:t>Sta</w:t>
      </w:r>
      <w:r w:rsidRPr="005C3D97">
        <w:rPr>
          <w:rFonts w:asciiTheme="majorBidi" w:hAnsiTheme="majorBidi" w:cstheme="majorBidi"/>
          <w:lang w:val="en-GB"/>
        </w:rPr>
        <w:t xml:space="preserve">rke, P.W. Hiatt, and J. </w:t>
      </w:r>
      <w:proofErr w:type="spellStart"/>
      <w:r w:rsidRPr="005C3D97">
        <w:rPr>
          <w:rFonts w:asciiTheme="majorBidi" w:hAnsiTheme="majorBidi" w:cstheme="majorBidi"/>
          <w:lang w:val="en-GB"/>
        </w:rPr>
        <w:t>Versalovic</w:t>
      </w:r>
      <w:proofErr w:type="spellEnd"/>
      <w:r w:rsidRPr="005C3D97">
        <w:rPr>
          <w:rFonts w:asciiTheme="majorBidi" w:hAnsiTheme="majorBidi" w:cstheme="majorBidi"/>
          <w:lang w:val="en-GB"/>
        </w:rPr>
        <w:t xml:space="preserve">, J Clin Microbiol. </w:t>
      </w:r>
      <w:r w:rsidRPr="005C3D97">
        <w:rPr>
          <w:rFonts w:asciiTheme="majorBidi" w:hAnsiTheme="majorBidi" w:cstheme="majorBidi"/>
          <w:b/>
          <w:bCs/>
          <w:lang w:val="en-GB"/>
        </w:rPr>
        <w:t>51</w:t>
      </w:r>
      <w:r w:rsidRPr="005C3D97">
        <w:rPr>
          <w:rFonts w:asciiTheme="majorBidi" w:hAnsiTheme="majorBidi" w:cstheme="majorBidi"/>
          <w:lang w:val="en-GB"/>
        </w:rPr>
        <w:t>(4),</w:t>
      </w:r>
      <w:r w:rsidR="00420CC5" w:rsidRPr="005C3D97">
        <w:rPr>
          <w:rFonts w:asciiTheme="majorBidi" w:hAnsiTheme="majorBidi" w:cstheme="majorBidi"/>
          <w:lang w:val="en-GB"/>
        </w:rPr>
        <w:t xml:space="preserve"> 1237-1240</w:t>
      </w:r>
      <w:r w:rsidRPr="005C3D97">
        <w:rPr>
          <w:rFonts w:asciiTheme="majorBidi" w:hAnsiTheme="majorBidi" w:cstheme="majorBidi"/>
          <w:lang w:val="en-GB"/>
        </w:rPr>
        <w:t>(2013)</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https://doi.org/10.1128/JCM.02157-12</w:t>
      </w:r>
      <w:r w:rsidR="00420CC5" w:rsidRPr="005C3D97">
        <w:rPr>
          <w:rFonts w:asciiTheme="majorBidi" w:hAnsiTheme="majorBidi" w:cstheme="majorBidi"/>
          <w:lang w:val="en-GB"/>
        </w:rPr>
        <w:t xml:space="preserve">. </w:t>
      </w:r>
    </w:p>
    <w:p w14:paraId="5C6AE89C" w14:textId="63E44500" w:rsidR="00420CC5" w:rsidRPr="005C3D97" w:rsidRDefault="004D50D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R. </w:t>
      </w:r>
      <w:r w:rsidR="00420CC5" w:rsidRPr="005C3D97">
        <w:rPr>
          <w:rFonts w:asciiTheme="majorBidi" w:hAnsiTheme="majorBidi" w:cstheme="majorBidi"/>
          <w:lang w:val="en-GB"/>
        </w:rPr>
        <w:t xml:space="preserve">Ranjbar, </w:t>
      </w:r>
      <w:r w:rsidRPr="005C3D97">
        <w:rPr>
          <w:rFonts w:asciiTheme="majorBidi" w:hAnsiTheme="majorBidi" w:cstheme="majorBidi"/>
          <w:lang w:val="en-GB"/>
        </w:rPr>
        <w:t xml:space="preserve">A. </w:t>
      </w:r>
      <w:r w:rsidR="00420CC5" w:rsidRPr="005C3D97">
        <w:rPr>
          <w:rFonts w:asciiTheme="majorBidi" w:hAnsiTheme="majorBidi" w:cstheme="majorBidi"/>
          <w:lang w:val="en-GB"/>
        </w:rPr>
        <w:t xml:space="preserve">Karami, </w:t>
      </w:r>
      <w:r w:rsidRPr="005C3D97">
        <w:rPr>
          <w:rFonts w:asciiTheme="majorBidi" w:hAnsiTheme="majorBidi" w:cstheme="majorBidi"/>
          <w:lang w:val="en-GB"/>
        </w:rPr>
        <w:t xml:space="preserve">S. </w:t>
      </w:r>
      <w:r w:rsidR="00420CC5" w:rsidRPr="005C3D97">
        <w:rPr>
          <w:rFonts w:asciiTheme="majorBidi" w:hAnsiTheme="majorBidi" w:cstheme="majorBidi"/>
          <w:lang w:val="en-GB"/>
        </w:rPr>
        <w:t xml:space="preserve">Farshad, </w:t>
      </w:r>
      <w:r w:rsidRPr="005C3D97">
        <w:rPr>
          <w:rFonts w:asciiTheme="majorBidi" w:hAnsiTheme="majorBidi" w:cstheme="majorBidi"/>
          <w:lang w:val="en-GB"/>
        </w:rPr>
        <w:t xml:space="preserve">G.M. </w:t>
      </w:r>
      <w:r w:rsidR="00420CC5" w:rsidRPr="005C3D97">
        <w:rPr>
          <w:rFonts w:asciiTheme="majorBidi" w:hAnsiTheme="majorBidi" w:cstheme="majorBidi"/>
          <w:lang w:val="en-GB"/>
        </w:rPr>
        <w:t xml:space="preserve">Giammanco, </w:t>
      </w:r>
      <w:r w:rsidRPr="005C3D97">
        <w:rPr>
          <w:rFonts w:asciiTheme="majorBidi" w:hAnsiTheme="majorBidi" w:cstheme="majorBidi"/>
          <w:lang w:val="en-GB"/>
        </w:rPr>
        <w:t>and C. Mammina,</w:t>
      </w:r>
      <w:r w:rsidR="00420CC5" w:rsidRPr="005C3D97">
        <w:rPr>
          <w:rFonts w:asciiTheme="majorBidi" w:hAnsiTheme="majorBidi" w:cstheme="majorBidi"/>
          <w:lang w:val="en-GB"/>
        </w:rPr>
        <w:t xml:space="preserve"> New </w:t>
      </w:r>
      <w:proofErr w:type="spellStart"/>
      <w:r w:rsidR="00420CC5" w:rsidRPr="005C3D97">
        <w:rPr>
          <w:rFonts w:asciiTheme="majorBidi" w:hAnsiTheme="majorBidi" w:cstheme="majorBidi"/>
          <w:lang w:val="en-GB"/>
        </w:rPr>
        <w:t>Microbiol</w:t>
      </w:r>
      <w:proofErr w:type="spellEnd"/>
      <w:r w:rsidRPr="005C3D97">
        <w:rPr>
          <w:rFonts w:asciiTheme="majorBidi" w:hAnsiTheme="majorBidi" w:cstheme="majorBidi"/>
          <w:lang w:val="en-GB"/>
        </w:rPr>
        <w:t xml:space="preserve">. </w:t>
      </w:r>
      <w:r w:rsidRPr="005C3D97">
        <w:rPr>
          <w:rFonts w:asciiTheme="majorBidi" w:hAnsiTheme="majorBidi" w:cstheme="majorBidi"/>
          <w:b/>
          <w:bCs/>
          <w:lang w:val="en-GB"/>
        </w:rPr>
        <w:t>37</w:t>
      </w:r>
      <w:r w:rsidRPr="005C3D97">
        <w:rPr>
          <w:rFonts w:asciiTheme="majorBidi" w:hAnsiTheme="majorBidi" w:cstheme="majorBidi"/>
          <w:lang w:val="en-GB"/>
        </w:rPr>
        <w:t>(1),</w:t>
      </w:r>
      <w:r w:rsidR="00420CC5" w:rsidRPr="005C3D97">
        <w:rPr>
          <w:rFonts w:asciiTheme="majorBidi" w:hAnsiTheme="majorBidi" w:cstheme="majorBidi"/>
          <w:lang w:val="en-GB"/>
        </w:rPr>
        <w:t xml:space="preserve"> 1-15</w:t>
      </w:r>
      <w:r w:rsidRPr="005C3D97">
        <w:rPr>
          <w:rFonts w:asciiTheme="majorBidi" w:hAnsiTheme="majorBidi" w:cstheme="majorBidi"/>
          <w:lang w:val="en-GB"/>
        </w:rPr>
        <w:t xml:space="preserve"> (2014)</w:t>
      </w:r>
      <w:r w:rsidR="00420CC5" w:rsidRPr="005C3D97">
        <w:rPr>
          <w:rFonts w:asciiTheme="majorBidi" w:hAnsiTheme="majorBidi" w:cstheme="majorBidi"/>
          <w:lang w:val="en-GB"/>
        </w:rPr>
        <w:t xml:space="preserve">. </w:t>
      </w:r>
    </w:p>
    <w:p w14:paraId="0C6AA090" w14:textId="093875D3" w:rsidR="00420CC5" w:rsidRPr="005C3D97" w:rsidRDefault="004D50D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D.R. </w:t>
      </w:r>
      <w:r w:rsidR="00420CC5" w:rsidRPr="005C3D97">
        <w:rPr>
          <w:rFonts w:asciiTheme="majorBidi" w:hAnsiTheme="majorBidi" w:cstheme="majorBidi"/>
          <w:lang w:val="en-GB"/>
        </w:rPr>
        <w:t>Hamady,</w:t>
      </w:r>
      <w:r w:rsidRPr="005C3D97">
        <w:rPr>
          <w:rFonts w:asciiTheme="majorBidi" w:hAnsiTheme="majorBidi" w:cstheme="majorBidi"/>
          <w:lang w:val="en-GB"/>
        </w:rPr>
        <w:t xml:space="preserve"> and S.K. Ibrahim, </w:t>
      </w:r>
      <w:proofErr w:type="spellStart"/>
      <w:r w:rsidR="00420CC5" w:rsidRPr="005C3D97">
        <w:rPr>
          <w:rFonts w:asciiTheme="majorBidi" w:hAnsiTheme="majorBidi" w:cstheme="majorBidi"/>
          <w:lang w:val="en-GB"/>
        </w:rPr>
        <w:t>Biochem</w:t>
      </w:r>
      <w:proofErr w:type="spellEnd"/>
      <w:r w:rsidR="00420CC5" w:rsidRPr="005C3D97">
        <w:rPr>
          <w:rFonts w:asciiTheme="majorBidi" w:hAnsiTheme="majorBidi" w:cstheme="majorBidi"/>
          <w:lang w:val="en-GB"/>
        </w:rPr>
        <w:t xml:space="preserve"> Cell Arch </w:t>
      </w:r>
      <w:r w:rsidRPr="005C3D97">
        <w:rPr>
          <w:rFonts w:asciiTheme="majorBidi" w:hAnsiTheme="majorBidi" w:cstheme="majorBidi"/>
          <w:b/>
          <w:bCs/>
          <w:lang w:val="en-GB"/>
        </w:rPr>
        <w:t>20</w:t>
      </w:r>
      <w:r w:rsidRPr="005C3D97">
        <w:rPr>
          <w:rFonts w:asciiTheme="majorBidi" w:hAnsiTheme="majorBidi" w:cstheme="majorBidi"/>
          <w:lang w:val="en-GB"/>
        </w:rPr>
        <w:t>(2),</w:t>
      </w:r>
      <w:r w:rsidR="00420CC5" w:rsidRPr="005C3D97">
        <w:rPr>
          <w:rFonts w:asciiTheme="majorBidi" w:hAnsiTheme="majorBidi" w:cstheme="majorBidi"/>
          <w:lang w:val="en-GB"/>
        </w:rPr>
        <w:t xml:space="preserve"> 5553-5557</w:t>
      </w:r>
      <w:r w:rsidRPr="005C3D97">
        <w:rPr>
          <w:rFonts w:asciiTheme="majorBidi" w:hAnsiTheme="majorBidi" w:cstheme="majorBidi"/>
          <w:lang w:val="en-GB"/>
        </w:rPr>
        <w:t xml:space="preserve"> (2020)</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https://connectjournals.com/03896.2020.20.5553</w:t>
      </w:r>
      <w:r w:rsidR="00420CC5" w:rsidRPr="005C3D97">
        <w:rPr>
          <w:rFonts w:asciiTheme="majorBidi" w:hAnsiTheme="majorBidi" w:cstheme="majorBidi"/>
          <w:lang w:val="en-GB"/>
        </w:rPr>
        <w:t xml:space="preserve">. </w:t>
      </w:r>
      <w:r w:rsidR="00420CC5" w:rsidRPr="005C3D97">
        <w:rPr>
          <w:rFonts w:asciiTheme="majorBidi" w:hAnsiTheme="majorBidi" w:cstheme="majorBidi"/>
          <w:rtl/>
        </w:rPr>
        <w:t>‏</w:t>
      </w:r>
    </w:p>
    <w:p w14:paraId="719E5966" w14:textId="23AD6999" w:rsidR="00420CC5" w:rsidRPr="005C3D97" w:rsidRDefault="00EE31A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G.F. </w:t>
      </w:r>
      <w:r w:rsidR="00420CC5" w:rsidRPr="005C3D97">
        <w:rPr>
          <w:rFonts w:asciiTheme="majorBidi" w:hAnsiTheme="majorBidi" w:cstheme="majorBidi"/>
          <w:lang w:val="en-GB"/>
        </w:rPr>
        <w:t xml:space="preserve">Brooks, </w:t>
      </w:r>
      <w:r w:rsidRPr="005C3D97">
        <w:rPr>
          <w:rFonts w:asciiTheme="majorBidi" w:hAnsiTheme="majorBidi" w:cstheme="majorBidi"/>
          <w:lang w:val="en-GB"/>
        </w:rPr>
        <w:t xml:space="preserve">K.C. </w:t>
      </w:r>
      <w:r w:rsidR="00420CC5" w:rsidRPr="005C3D97">
        <w:rPr>
          <w:rFonts w:asciiTheme="majorBidi" w:hAnsiTheme="majorBidi" w:cstheme="majorBidi"/>
          <w:lang w:val="en-GB"/>
        </w:rPr>
        <w:t xml:space="preserve">Carroll, </w:t>
      </w:r>
      <w:r w:rsidRPr="005C3D97">
        <w:rPr>
          <w:rFonts w:asciiTheme="majorBidi" w:hAnsiTheme="majorBidi" w:cstheme="majorBidi"/>
          <w:lang w:val="en-GB"/>
        </w:rPr>
        <w:t xml:space="preserve">J.S. </w:t>
      </w:r>
      <w:r w:rsidR="00420CC5" w:rsidRPr="005C3D97">
        <w:rPr>
          <w:rFonts w:asciiTheme="majorBidi" w:hAnsiTheme="majorBidi" w:cstheme="majorBidi"/>
          <w:lang w:val="en-GB"/>
        </w:rPr>
        <w:t xml:space="preserve">Butel, </w:t>
      </w:r>
      <w:r w:rsidRPr="005C3D97">
        <w:rPr>
          <w:rFonts w:asciiTheme="majorBidi" w:hAnsiTheme="majorBidi" w:cstheme="majorBidi"/>
          <w:lang w:val="en-GB"/>
        </w:rPr>
        <w:t xml:space="preserve">S.A. </w:t>
      </w:r>
      <w:r w:rsidR="00420CC5" w:rsidRPr="005C3D97">
        <w:rPr>
          <w:rFonts w:asciiTheme="majorBidi" w:hAnsiTheme="majorBidi" w:cstheme="majorBidi"/>
          <w:lang w:val="en-GB"/>
        </w:rPr>
        <w:t xml:space="preserve">Mores, </w:t>
      </w:r>
      <w:r w:rsidRPr="005C3D97">
        <w:rPr>
          <w:rFonts w:asciiTheme="majorBidi" w:hAnsiTheme="majorBidi" w:cstheme="majorBidi"/>
          <w:lang w:val="en-GB"/>
        </w:rPr>
        <w:t xml:space="preserve">and T.A. Mietzner, </w:t>
      </w:r>
      <w:proofErr w:type="spellStart"/>
      <w:r w:rsidR="00420CC5" w:rsidRPr="005C3D97">
        <w:rPr>
          <w:rFonts w:asciiTheme="majorBidi" w:hAnsiTheme="majorBidi" w:cstheme="majorBidi"/>
          <w:i/>
          <w:iCs/>
          <w:lang w:val="en-GB"/>
        </w:rPr>
        <w:t>Jawetiz</w:t>
      </w:r>
      <w:proofErr w:type="spellEnd"/>
      <w:r w:rsidR="00420CC5" w:rsidRPr="005C3D97">
        <w:rPr>
          <w:rFonts w:asciiTheme="majorBidi" w:hAnsiTheme="majorBidi" w:cstheme="majorBidi"/>
          <w:i/>
          <w:iCs/>
          <w:lang w:val="en-GB"/>
        </w:rPr>
        <w:t>, Melnick &amp; Adelberg’s Medical Microbiology.</w:t>
      </w:r>
      <w:r w:rsidR="00420CC5" w:rsidRPr="005C3D97">
        <w:rPr>
          <w:rFonts w:asciiTheme="majorBidi" w:hAnsiTheme="majorBidi" w:cstheme="majorBidi"/>
          <w:lang w:val="en-GB"/>
        </w:rPr>
        <w:t xml:space="preserve"> 26</w:t>
      </w:r>
      <w:r w:rsidR="00420CC5" w:rsidRPr="005C3D97">
        <w:rPr>
          <w:rFonts w:asciiTheme="majorBidi" w:hAnsiTheme="majorBidi" w:cstheme="majorBidi"/>
          <w:vertAlign w:val="superscript"/>
          <w:lang w:val="en-GB"/>
        </w:rPr>
        <w:t>th</w:t>
      </w:r>
      <w:r w:rsidR="00420CC5" w:rsidRPr="005C3D97">
        <w:rPr>
          <w:rFonts w:asciiTheme="majorBidi" w:hAnsiTheme="majorBidi" w:cstheme="majorBidi"/>
          <w:lang w:val="en-GB"/>
        </w:rPr>
        <w:t xml:space="preserve"> edi</w:t>
      </w:r>
      <w:r w:rsidRPr="005C3D97">
        <w:rPr>
          <w:rFonts w:asciiTheme="majorBidi" w:hAnsiTheme="majorBidi" w:cstheme="majorBidi"/>
          <w:lang w:val="en-GB"/>
        </w:rPr>
        <w:t>tion. (</w:t>
      </w:r>
      <w:r w:rsidR="004D50DB" w:rsidRPr="005C3D97">
        <w:rPr>
          <w:rFonts w:asciiTheme="majorBidi" w:hAnsiTheme="majorBidi" w:cstheme="majorBidi"/>
          <w:lang w:val="en-GB"/>
        </w:rPr>
        <w:t>Mc</w:t>
      </w:r>
      <w:r w:rsidRPr="005C3D97">
        <w:rPr>
          <w:rFonts w:asciiTheme="majorBidi" w:hAnsiTheme="majorBidi" w:cstheme="majorBidi"/>
          <w:lang w:val="en-GB"/>
        </w:rPr>
        <w:t>Graw-Hill. U.S.A. 2013)</w:t>
      </w:r>
      <w:r w:rsidR="00420CC5" w:rsidRPr="005C3D97">
        <w:rPr>
          <w:rFonts w:asciiTheme="majorBidi" w:hAnsiTheme="majorBidi" w:cstheme="majorBidi"/>
          <w:lang w:val="en-GB"/>
        </w:rPr>
        <w:t xml:space="preserve"> 245-248</w:t>
      </w:r>
      <w:r w:rsidR="004D50DB" w:rsidRPr="005C3D97">
        <w:rPr>
          <w:rFonts w:asciiTheme="majorBidi" w:hAnsiTheme="majorBidi" w:cstheme="majorBidi"/>
          <w:lang w:val="en-GB"/>
        </w:rPr>
        <w:t>.</w:t>
      </w:r>
    </w:p>
    <w:p w14:paraId="62D89AE2" w14:textId="4C5A2C24" w:rsidR="00420CC5" w:rsidRPr="005C3D97" w:rsidRDefault="00EE31A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P.M. </w:t>
      </w:r>
      <w:r w:rsidR="00420CC5" w:rsidRPr="005C3D97">
        <w:rPr>
          <w:rFonts w:asciiTheme="majorBidi" w:hAnsiTheme="majorBidi" w:cstheme="majorBidi"/>
          <w:lang w:val="en-GB"/>
        </w:rPr>
        <w:t>Tille</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420CC5" w:rsidRPr="005C3D97">
        <w:rPr>
          <w:rFonts w:asciiTheme="majorBidi" w:hAnsiTheme="majorBidi" w:cstheme="majorBidi"/>
          <w:i/>
          <w:iCs/>
          <w:lang w:val="en-GB"/>
        </w:rPr>
        <w:t xml:space="preserve">Bailey and </w:t>
      </w:r>
      <w:proofErr w:type="spellStart"/>
      <w:r w:rsidR="00420CC5" w:rsidRPr="005C3D97">
        <w:rPr>
          <w:rFonts w:asciiTheme="majorBidi" w:hAnsiTheme="majorBidi" w:cstheme="majorBidi"/>
          <w:i/>
          <w:iCs/>
          <w:lang w:val="en-GB"/>
        </w:rPr>
        <w:t>Scottʼs</w:t>
      </w:r>
      <w:proofErr w:type="spellEnd"/>
      <w:r w:rsidR="00420CC5" w:rsidRPr="005C3D97">
        <w:rPr>
          <w:rFonts w:asciiTheme="majorBidi" w:hAnsiTheme="majorBidi" w:cstheme="majorBidi"/>
          <w:i/>
          <w:iCs/>
          <w:lang w:val="en-GB"/>
        </w:rPr>
        <w:t xml:space="preserve"> Diagnostic Microbiology</w:t>
      </w:r>
      <w:r w:rsidR="00420CC5" w:rsidRPr="005C3D97">
        <w:rPr>
          <w:rFonts w:asciiTheme="majorBidi" w:hAnsiTheme="majorBidi" w:cstheme="majorBidi"/>
          <w:lang w:val="en-GB"/>
        </w:rPr>
        <w:t>. 14</w:t>
      </w:r>
      <w:proofErr w:type="gramStart"/>
      <w:r w:rsidR="00420CC5" w:rsidRPr="005C3D97">
        <w:rPr>
          <w:rFonts w:asciiTheme="majorBidi" w:hAnsiTheme="majorBidi" w:cstheme="majorBidi"/>
          <w:vertAlign w:val="superscript"/>
          <w:lang w:val="en-GB"/>
        </w:rPr>
        <w:t>th</w:t>
      </w:r>
      <w:r w:rsidR="00420CC5" w:rsidRPr="005C3D97">
        <w:rPr>
          <w:rFonts w:asciiTheme="majorBidi" w:hAnsiTheme="majorBidi" w:cstheme="majorBidi"/>
          <w:lang w:val="en-GB"/>
        </w:rPr>
        <w:t xml:space="preserve">  ed.</w:t>
      </w:r>
      <w:proofErr w:type="gramEnd"/>
      <w:r w:rsidR="00420CC5" w:rsidRPr="005C3D97">
        <w:rPr>
          <w:rFonts w:asciiTheme="majorBidi" w:hAnsiTheme="majorBidi" w:cstheme="majorBidi"/>
          <w:lang w:val="en-GB"/>
        </w:rPr>
        <w:t xml:space="preserve"> </w:t>
      </w:r>
      <w:r w:rsidRPr="005C3D97">
        <w:rPr>
          <w:rFonts w:asciiTheme="majorBidi" w:hAnsiTheme="majorBidi" w:cstheme="majorBidi"/>
          <w:lang w:val="en-GB"/>
        </w:rPr>
        <w:t>(Elsevier, China, 2017)</w:t>
      </w:r>
      <w:r w:rsidR="00420CC5" w:rsidRPr="005C3D97">
        <w:rPr>
          <w:rFonts w:asciiTheme="majorBidi" w:hAnsiTheme="majorBidi" w:cstheme="majorBidi"/>
          <w:lang w:val="en-GB"/>
        </w:rPr>
        <w:t xml:space="preserve"> 1115pp.</w:t>
      </w:r>
    </w:p>
    <w:p w14:paraId="2ABAC178" w14:textId="5E0EB251" w:rsidR="00420CC5" w:rsidRPr="005C3D97" w:rsidRDefault="00420CC5"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CLSI. </w:t>
      </w:r>
      <w:r w:rsidRPr="005C3D97">
        <w:rPr>
          <w:rFonts w:asciiTheme="majorBidi" w:hAnsiTheme="majorBidi" w:cstheme="majorBidi"/>
          <w:i/>
          <w:iCs/>
          <w:lang w:val="en-GB"/>
        </w:rPr>
        <w:t>Performance Standard for Antimicrobial Susceptibility Testing</w:t>
      </w:r>
      <w:r w:rsidRPr="005C3D97">
        <w:rPr>
          <w:rFonts w:asciiTheme="majorBidi" w:hAnsiTheme="majorBidi" w:cstheme="majorBidi"/>
          <w:lang w:val="en-GB"/>
        </w:rPr>
        <w:t>, 27</w:t>
      </w:r>
      <w:r w:rsidRPr="005C3D97">
        <w:rPr>
          <w:rFonts w:asciiTheme="majorBidi" w:hAnsiTheme="majorBidi" w:cstheme="majorBidi"/>
          <w:vertAlign w:val="superscript"/>
          <w:lang w:val="en-GB"/>
        </w:rPr>
        <w:t>th</w:t>
      </w:r>
      <w:r w:rsidRPr="005C3D97">
        <w:rPr>
          <w:rFonts w:asciiTheme="majorBidi" w:hAnsiTheme="majorBidi" w:cstheme="majorBidi"/>
          <w:lang w:val="en-GB"/>
        </w:rPr>
        <w:t xml:space="preserve"> ed. CSLI supplement M100. Wayne, PA: </w:t>
      </w:r>
      <w:r w:rsidR="00EE31AF" w:rsidRPr="005C3D97">
        <w:rPr>
          <w:rFonts w:asciiTheme="majorBidi" w:hAnsiTheme="majorBidi" w:cstheme="majorBidi"/>
          <w:lang w:val="en-GB"/>
        </w:rPr>
        <w:t>(</w:t>
      </w:r>
      <w:r w:rsidRPr="005C3D97">
        <w:rPr>
          <w:rFonts w:asciiTheme="majorBidi" w:hAnsiTheme="majorBidi" w:cstheme="majorBidi"/>
          <w:lang w:val="en-GB"/>
        </w:rPr>
        <w:t>Clinical and Laboratory Standards Institute, 2017</w:t>
      </w:r>
      <w:r w:rsidR="00EE31AF" w:rsidRPr="005C3D97">
        <w:rPr>
          <w:rFonts w:asciiTheme="majorBidi" w:hAnsiTheme="majorBidi" w:cstheme="majorBidi"/>
          <w:lang w:val="en-GB"/>
        </w:rPr>
        <w:t>)</w:t>
      </w:r>
      <w:r w:rsidRPr="005C3D97">
        <w:rPr>
          <w:rFonts w:asciiTheme="majorBidi" w:hAnsiTheme="majorBidi" w:cstheme="majorBidi"/>
          <w:lang w:val="en-GB"/>
        </w:rPr>
        <w:t>.</w:t>
      </w:r>
    </w:p>
    <w:p w14:paraId="599CEB9D" w14:textId="43D8D880" w:rsidR="00420CC5" w:rsidRPr="005C3D97" w:rsidRDefault="00EE31A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F. </w:t>
      </w:r>
      <w:r w:rsidR="00420CC5" w:rsidRPr="005C3D97">
        <w:rPr>
          <w:rFonts w:asciiTheme="majorBidi" w:hAnsiTheme="majorBidi" w:cstheme="majorBidi"/>
          <w:lang w:val="en-GB"/>
        </w:rPr>
        <w:t xml:space="preserve">Tayebeh, </w:t>
      </w:r>
      <w:r w:rsidRPr="005C3D97">
        <w:rPr>
          <w:rFonts w:asciiTheme="majorBidi" w:hAnsiTheme="majorBidi" w:cstheme="majorBidi"/>
          <w:lang w:val="en-GB"/>
        </w:rPr>
        <w:t xml:space="preserve">J. </w:t>
      </w:r>
      <w:r w:rsidR="00420CC5" w:rsidRPr="005C3D97">
        <w:rPr>
          <w:rFonts w:asciiTheme="majorBidi" w:hAnsiTheme="majorBidi" w:cstheme="majorBidi"/>
          <w:lang w:val="en-GB"/>
        </w:rPr>
        <w:t xml:space="preserve">Amani, </w:t>
      </w:r>
      <w:r w:rsidRPr="005C3D97">
        <w:rPr>
          <w:rFonts w:asciiTheme="majorBidi" w:hAnsiTheme="majorBidi" w:cstheme="majorBidi"/>
          <w:lang w:val="en-GB"/>
        </w:rPr>
        <w:t xml:space="preserve">S. </w:t>
      </w:r>
      <w:r w:rsidR="00420CC5" w:rsidRPr="005C3D97">
        <w:rPr>
          <w:rFonts w:asciiTheme="majorBidi" w:hAnsiTheme="majorBidi" w:cstheme="majorBidi"/>
          <w:lang w:val="en-GB"/>
        </w:rPr>
        <w:t xml:space="preserve">Nazarian, </w:t>
      </w:r>
      <w:r w:rsidRPr="005C3D97">
        <w:rPr>
          <w:rFonts w:asciiTheme="majorBidi" w:hAnsiTheme="majorBidi" w:cstheme="majorBidi"/>
          <w:lang w:val="en-GB"/>
        </w:rPr>
        <w:t xml:space="preserve">M. </w:t>
      </w:r>
      <w:proofErr w:type="spellStart"/>
      <w:r w:rsidR="00420CC5" w:rsidRPr="005C3D97">
        <w:rPr>
          <w:rFonts w:asciiTheme="majorBidi" w:hAnsiTheme="majorBidi" w:cstheme="majorBidi"/>
          <w:lang w:val="en-GB"/>
        </w:rPr>
        <w:t>Moradyar</w:t>
      </w:r>
      <w:proofErr w:type="spellEnd"/>
      <w:r w:rsidR="00420CC5" w:rsidRPr="005C3D97">
        <w:rPr>
          <w:rFonts w:asciiTheme="majorBidi" w:hAnsiTheme="majorBidi" w:cstheme="majorBidi"/>
          <w:lang w:val="en-GB"/>
        </w:rPr>
        <w:t>,</w:t>
      </w:r>
      <w:r w:rsidRPr="005C3D97">
        <w:rPr>
          <w:rFonts w:asciiTheme="majorBidi" w:hAnsiTheme="majorBidi" w:cstheme="majorBidi"/>
          <w:lang w:val="en-GB"/>
        </w:rPr>
        <w:t xml:space="preserve"> and S.A. </w:t>
      </w:r>
      <w:proofErr w:type="spellStart"/>
      <w:r w:rsidRPr="005C3D97">
        <w:rPr>
          <w:rFonts w:asciiTheme="majorBidi" w:hAnsiTheme="majorBidi" w:cstheme="majorBidi"/>
          <w:lang w:val="en-GB"/>
        </w:rPr>
        <w:t>Mirhosseini</w:t>
      </w:r>
      <w:proofErr w:type="spellEnd"/>
      <w:r w:rsidR="00420CC5" w:rsidRPr="005C3D97">
        <w:rPr>
          <w:rFonts w:asciiTheme="majorBidi" w:hAnsiTheme="majorBidi" w:cstheme="majorBidi"/>
          <w:lang w:val="en-GB"/>
        </w:rPr>
        <w:t xml:space="preserve">, J Appl </w:t>
      </w:r>
      <w:proofErr w:type="spellStart"/>
      <w:r w:rsidR="00420CC5" w:rsidRPr="005C3D97">
        <w:rPr>
          <w:rFonts w:asciiTheme="majorBidi" w:hAnsiTheme="majorBidi" w:cstheme="majorBidi"/>
          <w:lang w:val="en-GB"/>
        </w:rPr>
        <w:t>Biotechnol</w:t>
      </w:r>
      <w:proofErr w:type="spellEnd"/>
      <w:r w:rsidR="00420CC5" w:rsidRPr="005C3D97">
        <w:rPr>
          <w:rFonts w:asciiTheme="majorBidi" w:hAnsiTheme="majorBidi" w:cstheme="majorBidi"/>
          <w:lang w:val="en-GB"/>
        </w:rPr>
        <w:t xml:space="preserve"> Rep</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Pr="005C3D97">
        <w:rPr>
          <w:rFonts w:asciiTheme="majorBidi" w:hAnsiTheme="majorBidi" w:cstheme="majorBidi"/>
          <w:b/>
          <w:bCs/>
          <w:lang w:val="en-GB"/>
        </w:rPr>
        <w:t>3</w:t>
      </w:r>
      <w:r w:rsidRPr="005C3D97">
        <w:rPr>
          <w:rFonts w:asciiTheme="majorBidi" w:hAnsiTheme="majorBidi" w:cstheme="majorBidi"/>
          <w:lang w:val="en-GB"/>
        </w:rPr>
        <w:t>(4),</w:t>
      </w:r>
      <w:r w:rsidR="00420CC5" w:rsidRPr="005C3D97">
        <w:rPr>
          <w:rFonts w:asciiTheme="majorBidi" w:hAnsiTheme="majorBidi" w:cstheme="majorBidi"/>
          <w:lang w:val="en-GB"/>
        </w:rPr>
        <w:t xml:space="preserve"> 501-505</w:t>
      </w:r>
      <w:r w:rsidRPr="005C3D97">
        <w:rPr>
          <w:rFonts w:asciiTheme="majorBidi" w:hAnsiTheme="majorBidi" w:cstheme="majorBidi"/>
          <w:lang w:val="en-GB"/>
        </w:rPr>
        <w:t xml:space="preserve"> (2016)</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https://www.biotechrep.ir/article_69242.html</w:t>
      </w:r>
      <w:r w:rsidR="00420CC5" w:rsidRPr="005C3D97">
        <w:rPr>
          <w:rFonts w:asciiTheme="majorBidi" w:hAnsiTheme="majorBidi" w:cstheme="majorBidi"/>
          <w:lang w:val="en-GB"/>
        </w:rPr>
        <w:t xml:space="preserve">. </w:t>
      </w:r>
    </w:p>
    <w:p w14:paraId="7407C9C3" w14:textId="38AC9D8D" w:rsidR="00420CC5" w:rsidRPr="005C3D97" w:rsidRDefault="00EE31A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M. </w:t>
      </w:r>
      <w:proofErr w:type="spellStart"/>
      <w:r w:rsidRPr="005C3D97">
        <w:rPr>
          <w:rFonts w:asciiTheme="majorBidi" w:hAnsiTheme="majorBidi" w:cstheme="majorBidi"/>
          <w:lang w:val="en-GB"/>
        </w:rPr>
        <w:t>Dehnamaki</w:t>
      </w:r>
      <w:proofErr w:type="spellEnd"/>
      <w:r w:rsidRPr="005C3D97">
        <w:rPr>
          <w:rFonts w:asciiTheme="majorBidi" w:hAnsiTheme="majorBidi" w:cstheme="majorBidi"/>
          <w:lang w:val="en-GB"/>
        </w:rPr>
        <w:t xml:space="preserve">, M. </w:t>
      </w:r>
      <w:r w:rsidR="00420CC5" w:rsidRPr="005C3D97">
        <w:rPr>
          <w:rFonts w:asciiTheme="majorBidi" w:hAnsiTheme="majorBidi" w:cstheme="majorBidi"/>
          <w:lang w:val="en-GB"/>
        </w:rPr>
        <w:t xml:space="preserve">Ghane, </w:t>
      </w:r>
      <w:r w:rsidRPr="005C3D97">
        <w:rPr>
          <w:rFonts w:asciiTheme="majorBidi" w:hAnsiTheme="majorBidi" w:cstheme="majorBidi"/>
          <w:lang w:val="en-GB"/>
        </w:rPr>
        <w:t xml:space="preserve">L. </w:t>
      </w:r>
      <w:proofErr w:type="spellStart"/>
      <w:r w:rsidR="00420CC5" w:rsidRPr="005C3D97">
        <w:rPr>
          <w:rFonts w:asciiTheme="majorBidi" w:hAnsiTheme="majorBidi" w:cstheme="majorBidi"/>
          <w:lang w:val="en-GB"/>
        </w:rPr>
        <w:t>Babaeekhou</w:t>
      </w:r>
      <w:proofErr w:type="spellEnd"/>
      <w:r w:rsidRPr="005C3D97">
        <w:rPr>
          <w:rFonts w:asciiTheme="majorBidi" w:hAnsiTheme="majorBidi" w:cstheme="majorBidi"/>
          <w:lang w:val="en-GB"/>
        </w:rPr>
        <w:t xml:space="preserve">, Int J Infect. </w:t>
      </w:r>
      <w:r w:rsidR="00420CC5" w:rsidRPr="005C3D97">
        <w:rPr>
          <w:rFonts w:asciiTheme="majorBidi" w:hAnsiTheme="majorBidi" w:cstheme="majorBidi"/>
          <w:b/>
          <w:bCs/>
          <w:lang w:val="en-GB"/>
        </w:rPr>
        <w:t>7</w:t>
      </w:r>
      <w:r w:rsidRPr="005C3D97">
        <w:rPr>
          <w:rFonts w:asciiTheme="majorBidi" w:hAnsiTheme="majorBidi" w:cstheme="majorBidi"/>
          <w:lang w:val="en-GB"/>
        </w:rPr>
        <w:t>(4),</w:t>
      </w:r>
      <w:r w:rsidR="00420CC5" w:rsidRPr="005C3D97">
        <w:rPr>
          <w:rFonts w:asciiTheme="majorBidi" w:hAnsiTheme="majorBidi" w:cstheme="majorBidi"/>
          <w:lang w:val="en-GB"/>
        </w:rPr>
        <w:t xml:space="preserve"> e107397</w:t>
      </w:r>
      <w:r w:rsidRPr="005C3D97">
        <w:rPr>
          <w:rFonts w:asciiTheme="majorBidi" w:hAnsiTheme="majorBidi" w:cstheme="majorBidi"/>
          <w:lang w:val="en-GB"/>
        </w:rPr>
        <w:t xml:space="preserve"> (2020)</w:t>
      </w:r>
      <w:r w:rsidR="00420CC5" w:rsidRPr="005C3D97">
        <w:rPr>
          <w:rFonts w:asciiTheme="majorBidi" w:hAnsiTheme="majorBidi" w:cstheme="majorBidi"/>
          <w:lang w:val="en-GB"/>
        </w:rPr>
        <w:t xml:space="preserve">. </w:t>
      </w:r>
      <w:r w:rsidR="00420CC5" w:rsidRPr="0025029C">
        <w:rPr>
          <w:rFonts w:asciiTheme="majorBidi" w:hAnsiTheme="majorBidi" w:cstheme="majorBidi"/>
          <w:lang w:val="en-GB"/>
        </w:rPr>
        <w:t>https://doi.org/10.5812/iji.107397</w:t>
      </w:r>
      <w:r w:rsidR="00420CC5" w:rsidRPr="005C3D97">
        <w:rPr>
          <w:rFonts w:asciiTheme="majorBidi" w:hAnsiTheme="majorBidi" w:cstheme="majorBidi"/>
          <w:lang w:val="en-GB"/>
        </w:rPr>
        <w:t xml:space="preserve">. </w:t>
      </w:r>
    </w:p>
    <w:p w14:paraId="69D434F9" w14:textId="10FA8F71" w:rsidR="00420CC5" w:rsidRPr="005C3D97" w:rsidRDefault="00EE31A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A.A. </w:t>
      </w:r>
      <w:r w:rsidR="00420CC5" w:rsidRPr="005C3D97">
        <w:rPr>
          <w:rFonts w:asciiTheme="majorBidi" w:hAnsiTheme="majorBidi" w:cstheme="majorBidi"/>
          <w:lang w:val="en-GB"/>
        </w:rPr>
        <w:t>Al-</w:t>
      </w:r>
      <w:proofErr w:type="spellStart"/>
      <w:r w:rsidR="00420CC5" w:rsidRPr="005C3D97">
        <w:rPr>
          <w:rFonts w:asciiTheme="majorBidi" w:hAnsiTheme="majorBidi" w:cstheme="majorBidi"/>
          <w:lang w:val="en-GB"/>
        </w:rPr>
        <w:t>Shimmari</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M.S. </w:t>
      </w:r>
      <w:r w:rsidR="00420CC5" w:rsidRPr="005C3D97">
        <w:rPr>
          <w:rFonts w:asciiTheme="majorBidi" w:hAnsiTheme="majorBidi" w:cstheme="majorBidi"/>
          <w:lang w:val="en-GB"/>
        </w:rPr>
        <w:t xml:space="preserve">AL-Shukri, </w:t>
      </w:r>
      <w:r w:rsidRPr="005C3D97">
        <w:rPr>
          <w:rFonts w:asciiTheme="majorBidi" w:hAnsiTheme="majorBidi" w:cstheme="majorBidi"/>
          <w:lang w:val="en-GB"/>
        </w:rPr>
        <w:t>and A.G. Al-</w:t>
      </w:r>
      <w:proofErr w:type="spellStart"/>
      <w:r w:rsidRPr="005C3D97">
        <w:rPr>
          <w:rFonts w:asciiTheme="majorBidi" w:hAnsiTheme="majorBidi" w:cstheme="majorBidi"/>
          <w:lang w:val="en-GB"/>
        </w:rPr>
        <w:t>maamori</w:t>
      </w:r>
      <w:proofErr w:type="spellEnd"/>
      <w:r w:rsidRPr="005C3D97">
        <w:rPr>
          <w:rFonts w:asciiTheme="majorBidi" w:hAnsiTheme="majorBidi" w:cstheme="majorBidi"/>
          <w:lang w:val="en-GB"/>
        </w:rPr>
        <w:t xml:space="preserve">, </w:t>
      </w:r>
      <w:r w:rsidR="00420CC5" w:rsidRPr="005C3D97">
        <w:rPr>
          <w:rFonts w:asciiTheme="majorBidi" w:hAnsiTheme="majorBidi" w:cstheme="majorBidi"/>
          <w:lang w:val="en-GB"/>
        </w:rPr>
        <w:t xml:space="preserve">Plant </w:t>
      </w:r>
      <w:proofErr w:type="spellStart"/>
      <w:r w:rsidR="00420CC5" w:rsidRPr="005C3D97">
        <w:rPr>
          <w:rFonts w:asciiTheme="majorBidi" w:hAnsiTheme="majorBidi" w:cstheme="majorBidi"/>
          <w:lang w:val="en-GB"/>
        </w:rPr>
        <w:t>Archiv</w:t>
      </w:r>
      <w:proofErr w:type="spellEnd"/>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Pr="005C3D97">
        <w:rPr>
          <w:rFonts w:asciiTheme="majorBidi" w:hAnsiTheme="majorBidi" w:cstheme="majorBidi"/>
          <w:b/>
          <w:bCs/>
          <w:lang w:val="en-GB"/>
        </w:rPr>
        <w:t>20</w:t>
      </w:r>
      <w:r w:rsidRPr="005C3D97">
        <w:rPr>
          <w:rFonts w:asciiTheme="majorBidi" w:hAnsiTheme="majorBidi" w:cstheme="majorBidi"/>
          <w:lang w:val="en-GB"/>
        </w:rPr>
        <w:t>,</w:t>
      </w:r>
      <w:r w:rsidR="00420CC5" w:rsidRPr="005C3D97">
        <w:rPr>
          <w:rFonts w:asciiTheme="majorBidi" w:hAnsiTheme="majorBidi" w:cstheme="majorBidi"/>
          <w:lang w:val="en-GB"/>
        </w:rPr>
        <w:t xml:space="preserve"> 7080-7084</w:t>
      </w:r>
      <w:r w:rsidRPr="005C3D97">
        <w:rPr>
          <w:rFonts w:asciiTheme="majorBidi" w:hAnsiTheme="majorBidi" w:cstheme="majorBidi"/>
          <w:lang w:val="en-GB"/>
        </w:rPr>
        <w:t xml:space="preserve"> (2020)</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https://www.plantarchives.org/20-2/7080-7084%20(7003).pdf</w:t>
      </w:r>
      <w:r w:rsidR="00420CC5" w:rsidRPr="005C3D97">
        <w:rPr>
          <w:rFonts w:asciiTheme="majorBidi" w:hAnsiTheme="majorBidi" w:cstheme="majorBidi"/>
          <w:lang w:val="en-GB"/>
        </w:rPr>
        <w:t>.</w:t>
      </w:r>
    </w:p>
    <w:p w14:paraId="0D012D52" w14:textId="5B63B78B" w:rsidR="00420CC5" w:rsidRPr="005C3D97" w:rsidRDefault="001A1989"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M.S. Mustafa, and R.M. </w:t>
      </w:r>
      <w:r w:rsidR="00420CC5" w:rsidRPr="005C3D97">
        <w:rPr>
          <w:rFonts w:asciiTheme="majorBidi" w:hAnsiTheme="majorBidi" w:cstheme="majorBidi"/>
          <w:lang w:val="en-GB"/>
        </w:rPr>
        <w:t>Abdullah</w:t>
      </w:r>
      <w:r w:rsidRPr="005C3D97">
        <w:rPr>
          <w:rFonts w:asciiTheme="majorBidi" w:hAnsiTheme="majorBidi" w:cstheme="majorBidi"/>
          <w:lang w:val="en-GB"/>
        </w:rPr>
        <w:t xml:space="preserve">, Baghdad Sci J. </w:t>
      </w:r>
      <w:r w:rsidRPr="005C3D97">
        <w:rPr>
          <w:rFonts w:asciiTheme="majorBidi" w:hAnsiTheme="majorBidi" w:cstheme="majorBidi"/>
          <w:b/>
          <w:bCs/>
          <w:lang w:val="en-GB"/>
        </w:rPr>
        <w:t>17</w:t>
      </w:r>
      <w:r w:rsidRPr="005C3D97">
        <w:rPr>
          <w:rFonts w:asciiTheme="majorBidi" w:hAnsiTheme="majorBidi" w:cstheme="majorBidi"/>
          <w:lang w:val="en-GB"/>
        </w:rPr>
        <w:t>(2),</w:t>
      </w:r>
      <w:r w:rsidR="00420CC5" w:rsidRPr="005C3D97">
        <w:rPr>
          <w:rFonts w:asciiTheme="majorBidi" w:hAnsiTheme="majorBidi" w:cstheme="majorBidi"/>
          <w:lang w:val="en-GB"/>
        </w:rPr>
        <w:t xml:space="preserve"> 0406-0406</w:t>
      </w:r>
      <w:r w:rsidRPr="005C3D97">
        <w:rPr>
          <w:rFonts w:asciiTheme="majorBidi" w:hAnsiTheme="majorBidi" w:cstheme="majorBidi"/>
          <w:lang w:val="en-GB"/>
        </w:rPr>
        <w:t xml:space="preserve"> (2020)</w:t>
      </w:r>
      <w:r w:rsidR="00420CC5" w:rsidRPr="005C3D97">
        <w:rPr>
          <w:rFonts w:asciiTheme="majorBidi" w:hAnsiTheme="majorBidi" w:cstheme="majorBidi"/>
          <w:lang w:val="en-GB"/>
        </w:rPr>
        <w:t>.</w:t>
      </w:r>
      <w:r w:rsidRPr="005C3D97">
        <w:rPr>
          <w:rFonts w:asciiTheme="majorBidi" w:hAnsiTheme="majorBidi" w:cstheme="majorBidi"/>
          <w:rtl/>
        </w:rPr>
        <w:t>‏</w:t>
      </w:r>
      <w:r w:rsidRPr="005C3D97">
        <w:rPr>
          <w:rFonts w:asciiTheme="majorBidi" w:hAnsiTheme="majorBidi" w:cstheme="majorBidi"/>
        </w:rPr>
        <w:t xml:space="preserve"> </w:t>
      </w:r>
      <w:r w:rsidR="00420CC5" w:rsidRPr="0025029C">
        <w:rPr>
          <w:rFonts w:asciiTheme="majorBidi" w:hAnsiTheme="majorBidi" w:cstheme="majorBidi"/>
          <w:lang w:val="en-GB"/>
        </w:rPr>
        <w:t>https://doi.org/10.21123/bsj.2020.17.2.0406</w:t>
      </w:r>
      <w:r w:rsidR="00420CC5" w:rsidRPr="005C3D97">
        <w:rPr>
          <w:rFonts w:asciiTheme="majorBidi" w:hAnsiTheme="majorBidi" w:cstheme="majorBidi"/>
          <w:lang w:val="en-GB"/>
        </w:rPr>
        <w:t xml:space="preserve">. </w:t>
      </w:r>
    </w:p>
    <w:p w14:paraId="013455BF" w14:textId="5F758F91" w:rsidR="00420CC5" w:rsidRPr="005C3D97" w:rsidRDefault="001A1989"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M.S. </w:t>
      </w:r>
      <w:r w:rsidR="00420CC5" w:rsidRPr="005C3D97">
        <w:rPr>
          <w:rFonts w:asciiTheme="majorBidi" w:hAnsiTheme="majorBidi" w:cstheme="majorBidi"/>
          <w:lang w:val="en-GB"/>
        </w:rPr>
        <w:t xml:space="preserve">Mustafa, </w:t>
      </w:r>
      <w:r w:rsidRPr="005C3D97">
        <w:rPr>
          <w:rFonts w:asciiTheme="majorBidi" w:hAnsiTheme="majorBidi" w:cstheme="majorBidi"/>
          <w:lang w:val="en-GB"/>
        </w:rPr>
        <w:t>and R.M. Abdullah, Iraqi J Sci.</w:t>
      </w:r>
      <w:r w:rsidR="00420CC5" w:rsidRPr="005C3D97">
        <w:rPr>
          <w:rFonts w:asciiTheme="majorBidi" w:hAnsiTheme="majorBidi" w:cstheme="majorBidi"/>
          <w:lang w:val="en-GB"/>
        </w:rPr>
        <w:t xml:space="preserve"> </w:t>
      </w:r>
      <w:r w:rsidRPr="005C3D97">
        <w:rPr>
          <w:rFonts w:asciiTheme="majorBidi" w:hAnsiTheme="majorBidi" w:cstheme="majorBidi"/>
          <w:b/>
          <w:bCs/>
          <w:lang w:val="en-GB"/>
        </w:rPr>
        <w:t>61</w:t>
      </w:r>
      <w:r w:rsidRPr="005C3D97">
        <w:rPr>
          <w:rFonts w:asciiTheme="majorBidi" w:hAnsiTheme="majorBidi" w:cstheme="majorBidi"/>
          <w:lang w:val="en-GB"/>
        </w:rPr>
        <w:t xml:space="preserve">(11), </w:t>
      </w:r>
      <w:r w:rsidR="00420CC5" w:rsidRPr="005C3D97">
        <w:rPr>
          <w:rFonts w:asciiTheme="majorBidi" w:hAnsiTheme="majorBidi" w:cstheme="majorBidi"/>
          <w:lang w:val="en-GB"/>
        </w:rPr>
        <w:t>2866-2878</w:t>
      </w:r>
      <w:r w:rsidRPr="005C3D97">
        <w:rPr>
          <w:rFonts w:asciiTheme="majorBidi" w:hAnsiTheme="majorBidi" w:cstheme="majorBidi"/>
          <w:lang w:val="en-GB"/>
        </w:rPr>
        <w:t xml:space="preserve"> (2020)</w:t>
      </w:r>
      <w:r w:rsidR="00420CC5" w:rsidRPr="005C3D97">
        <w:rPr>
          <w:rFonts w:asciiTheme="majorBidi" w:hAnsiTheme="majorBidi" w:cstheme="majorBidi"/>
          <w:lang w:val="en-GB"/>
        </w:rPr>
        <w:t>.</w:t>
      </w:r>
      <w:r w:rsidR="00EE31AF" w:rsidRPr="005C3D97">
        <w:rPr>
          <w:rFonts w:asciiTheme="majorBidi" w:hAnsiTheme="majorBidi" w:cstheme="majorBidi"/>
        </w:rPr>
        <w:t xml:space="preserve"> </w:t>
      </w:r>
      <w:r w:rsidR="00420CC5" w:rsidRPr="0025029C">
        <w:rPr>
          <w:rFonts w:asciiTheme="majorBidi" w:hAnsiTheme="majorBidi" w:cstheme="majorBidi"/>
          <w:lang w:val="en-GB"/>
        </w:rPr>
        <w:t>https://doi.org/10.24996/ijs.2020.61.11.10</w:t>
      </w:r>
      <w:r w:rsidR="00420CC5" w:rsidRPr="005C3D97">
        <w:rPr>
          <w:rFonts w:asciiTheme="majorBidi" w:hAnsiTheme="majorBidi" w:cstheme="majorBidi"/>
          <w:lang w:val="en-GB"/>
        </w:rPr>
        <w:t xml:space="preserve">. </w:t>
      </w:r>
    </w:p>
    <w:p w14:paraId="186B9709" w14:textId="4008ABF2" w:rsidR="00420CC5" w:rsidRPr="00A14631" w:rsidRDefault="001A1989" w:rsidP="000F3382">
      <w:pPr>
        <w:pStyle w:val="Reference"/>
        <w:ind w:left="450"/>
        <w:jc w:val="left"/>
        <w:rPr>
          <w:rFonts w:asciiTheme="majorBidi" w:hAnsiTheme="majorBidi" w:cstheme="majorBidi"/>
          <w:lang w:val="en-GB"/>
        </w:rPr>
      </w:pPr>
      <w:r w:rsidRPr="00A14631">
        <w:rPr>
          <w:rFonts w:asciiTheme="majorBidi" w:hAnsiTheme="majorBidi" w:cstheme="majorBidi"/>
          <w:lang w:val="en-GB"/>
        </w:rPr>
        <w:t xml:space="preserve">R.M. </w:t>
      </w:r>
      <w:r w:rsidR="00420CC5" w:rsidRPr="00A14631">
        <w:rPr>
          <w:rFonts w:asciiTheme="majorBidi" w:hAnsiTheme="majorBidi" w:cstheme="majorBidi"/>
          <w:lang w:val="en-GB"/>
        </w:rPr>
        <w:t xml:space="preserve">Abd Al-Rhman, </w:t>
      </w:r>
      <w:r w:rsidRPr="00A14631">
        <w:rPr>
          <w:rFonts w:asciiTheme="majorBidi" w:hAnsiTheme="majorBidi" w:cstheme="majorBidi"/>
          <w:lang w:val="en-GB"/>
        </w:rPr>
        <w:t xml:space="preserve">and M.A. </w:t>
      </w:r>
      <w:r w:rsidR="00420CC5" w:rsidRPr="00A14631">
        <w:rPr>
          <w:rFonts w:asciiTheme="majorBidi" w:hAnsiTheme="majorBidi" w:cstheme="majorBidi"/>
          <w:lang w:val="en-GB"/>
        </w:rPr>
        <w:t>Al-Aubydi, Ir</w:t>
      </w:r>
      <w:r w:rsidRPr="00A14631">
        <w:rPr>
          <w:rFonts w:asciiTheme="majorBidi" w:hAnsiTheme="majorBidi" w:cstheme="majorBidi"/>
          <w:lang w:val="en-GB"/>
        </w:rPr>
        <w:t xml:space="preserve">aqi J. Sci. </w:t>
      </w:r>
      <w:r w:rsidRPr="00A14631">
        <w:rPr>
          <w:rFonts w:asciiTheme="majorBidi" w:hAnsiTheme="majorBidi" w:cstheme="majorBidi"/>
          <w:b/>
          <w:bCs/>
          <w:lang w:val="en-GB"/>
        </w:rPr>
        <w:t>56</w:t>
      </w:r>
      <w:r w:rsidRPr="00A14631">
        <w:rPr>
          <w:rFonts w:asciiTheme="majorBidi" w:hAnsiTheme="majorBidi" w:cstheme="majorBidi"/>
          <w:lang w:val="en-GB"/>
        </w:rPr>
        <w:t>(2B),</w:t>
      </w:r>
      <w:r w:rsidR="00420CC5" w:rsidRPr="00A14631">
        <w:rPr>
          <w:rFonts w:asciiTheme="majorBidi" w:hAnsiTheme="majorBidi" w:cstheme="majorBidi"/>
          <w:lang w:val="en-GB"/>
        </w:rPr>
        <w:t xml:space="preserve"> 1385-1393</w:t>
      </w:r>
      <w:r w:rsidRPr="00A14631">
        <w:rPr>
          <w:rFonts w:asciiTheme="majorBidi" w:hAnsiTheme="majorBidi" w:cstheme="majorBidi"/>
          <w:lang w:val="en-GB"/>
        </w:rPr>
        <w:t xml:space="preserve"> (2015)</w:t>
      </w:r>
      <w:r w:rsidR="00420CC5" w:rsidRPr="00A14631">
        <w:rPr>
          <w:rFonts w:asciiTheme="majorBidi" w:hAnsiTheme="majorBidi" w:cstheme="majorBidi"/>
          <w:lang w:val="en-GB"/>
        </w:rPr>
        <w:t>.</w:t>
      </w:r>
      <w:r w:rsidRPr="00A14631">
        <w:rPr>
          <w:rFonts w:asciiTheme="majorBidi" w:hAnsiTheme="majorBidi" w:cstheme="majorBidi"/>
          <w:rtl/>
        </w:rPr>
        <w:t>‏</w:t>
      </w:r>
      <w:r w:rsidRPr="00A14631">
        <w:rPr>
          <w:rFonts w:asciiTheme="majorBidi" w:hAnsiTheme="majorBidi" w:cstheme="majorBidi"/>
        </w:rPr>
        <w:t xml:space="preserve"> </w:t>
      </w:r>
      <w:r w:rsidRPr="00A14631">
        <w:rPr>
          <w:rFonts w:asciiTheme="majorBidi" w:hAnsiTheme="majorBidi" w:cstheme="majorBidi"/>
          <w:lang w:val="en-GB"/>
        </w:rPr>
        <w:t xml:space="preserve">F.H. </w:t>
      </w:r>
      <w:r w:rsidR="00420CC5" w:rsidRPr="00A14631">
        <w:rPr>
          <w:rFonts w:asciiTheme="majorBidi" w:hAnsiTheme="majorBidi" w:cstheme="majorBidi"/>
          <w:lang w:val="en-GB"/>
        </w:rPr>
        <w:t xml:space="preserve">Omar, </w:t>
      </w:r>
      <w:r w:rsidRPr="00A14631">
        <w:rPr>
          <w:rFonts w:asciiTheme="majorBidi" w:hAnsiTheme="majorBidi" w:cstheme="majorBidi"/>
          <w:lang w:val="en-GB"/>
        </w:rPr>
        <w:t xml:space="preserve">and A.H. </w:t>
      </w:r>
      <w:r w:rsidR="00420CC5" w:rsidRPr="00A14631">
        <w:rPr>
          <w:rFonts w:asciiTheme="majorBidi" w:hAnsiTheme="majorBidi" w:cstheme="majorBidi"/>
          <w:lang w:val="en-GB"/>
        </w:rPr>
        <w:t>Ibrahim</w:t>
      </w:r>
      <w:r w:rsidRPr="00A14631">
        <w:rPr>
          <w:rFonts w:asciiTheme="majorBidi" w:hAnsiTheme="majorBidi" w:cstheme="majorBidi"/>
          <w:lang w:val="en-GB"/>
        </w:rPr>
        <w:t xml:space="preserve">, Iraqi J Agric Sci. </w:t>
      </w:r>
      <w:r w:rsidRPr="00A14631">
        <w:rPr>
          <w:rFonts w:asciiTheme="majorBidi" w:hAnsiTheme="majorBidi" w:cstheme="majorBidi"/>
          <w:b/>
          <w:bCs/>
          <w:lang w:val="en-GB"/>
        </w:rPr>
        <w:t>54</w:t>
      </w:r>
      <w:r w:rsidRPr="00A14631">
        <w:rPr>
          <w:rFonts w:asciiTheme="majorBidi" w:hAnsiTheme="majorBidi" w:cstheme="majorBidi"/>
          <w:lang w:val="en-GB"/>
        </w:rPr>
        <w:t>(3),</w:t>
      </w:r>
      <w:r w:rsidR="00420CC5" w:rsidRPr="00A14631">
        <w:rPr>
          <w:rFonts w:asciiTheme="majorBidi" w:hAnsiTheme="majorBidi" w:cstheme="majorBidi"/>
          <w:lang w:val="en-GB"/>
        </w:rPr>
        <w:t xml:space="preserve"> 619-629</w:t>
      </w:r>
      <w:r w:rsidRPr="00A14631">
        <w:rPr>
          <w:rFonts w:asciiTheme="majorBidi" w:hAnsiTheme="majorBidi" w:cstheme="majorBidi"/>
          <w:lang w:val="en-GB"/>
        </w:rPr>
        <w:t xml:space="preserve"> (2023)</w:t>
      </w:r>
      <w:r w:rsidR="00420CC5" w:rsidRPr="00A14631">
        <w:rPr>
          <w:rFonts w:asciiTheme="majorBidi" w:hAnsiTheme="majorBidi" w:cstheme="majorBidi"/>
          <w:lang w:val="en-GB"/>
        </w:rPr>
        <w:t>.</w:t>
      </w:r>
      <w:r w:rsidRPr="00A14631">
        <w:rPr>
          <w:rFonts w:asciiTheme="majorBidi" w:hAnsiTheme="majorBidi" w:cstheme="majorBidi"/>
          <w:rtl/>
        </w:rPr>
        <w:t>‏</w:t>
      </w:r>
      <w:r w:rsidRPr="00A14631">
        <w:rPr>
          <w:rFonts w:asciiTheme="majorBidi" w:hAnsiTheme="majorBidi" w:cstheme="majorBidi"/>
        </w:rPr>
        <w:t xml:space="preserve"> </w:t>
      </w:r>
    </w:p>
    <w:p w14:paraId="728DE4F8" w14:textId="243EC898" w:rsidR="00420CC5" w:rsidRPr="005C3D97" w:rsidRDefault="000344E2"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C.R. </w:t>
      </w:r>
      <w:r w:rsidR="00420CC5" w:rsidRPr="005C3D97">
        <w:rPr>
          <w:rFonts w:asciiTheme="majorBidi" w:hAnsiTheme="majorBidi" w:cstheme="majorBidi"/>
          <w:lang w:val="en-GB"/>
        </w:rPr>
        <w:t xml:space="preserve">Mahon, </w:t>
      </w:r>
      <w:r w:rsidRPr="005C3D97">
        <w:rPr>
          <w:rFonts w:asciiTheme="majorBidi" w:hAnsiTheme="majorBidi" w:cstheme="majorBidi"/>
          <w:lang w:val="en-GB"/>
        </w:rPr>
        <w:t xml:space="preserve">and M.M.D.C, </w:t>
      </w:r>
      <w:r w:rsidR="00420CC5" w:rsidRPr="005C3D97">
        <w:rPr>
          <w:rFonts w:asciiTheme="majorBidi" w:hAnsiTheme="majorBidi" w:cstheme="majorBidi"/>
          <w:lang w:val="en-GB"/>
        </w:rPr>
        <w:t>Lehman</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420CC5" w:rsidRPr="005C3D97">
        <w:rPr>
          <w:rFonts w:asciiTheme="majorBidi" w:hAnsiTheme="majorBidi" w:cstheme="majorBidi"/>
          <w:i/>
          <w:iCs/>
          <w:lang w:val="en-GB"/>
        </w:rPr>
        <w:t>Textbook of diagnostic microbiology-e-book</w:t>
      </w:r>
      <w:r w:rsidR="00420CC5" w:rsidRPr="005C3D97">
        <w:rPr>
          <w:rFonts w:asciiTheme="majorBidi" w:hAnsiTheme="majorBidi" w:cstheme="majorBidi"/>
          <w:lang w:val="en-GB"/>
        </w:rPr>
        <w:t xml:space="preserve"> </w:t>
      </w:r>
      <w:r w:rsidRPr="005C3D97">
        <w:rPr>
          <w:rFonts w:asciiTheme="majorBidi" w:hAnsiTheme="majorBidi" w:cstheme="majorBidi"/>
          <w:lang w:val="en-GB"/>
        </w:rPr>
        <w:t>(</w:t>
      </w:r>
      <w:r w:rsidR="00420CC5" w:rsidRPr="005C3D97">
        <w:rPr>
          <w:rFonts w:asciiTheme="majorBidi" w:hAnsiTheme="majorBidi" w:cstheme="majorBidi"/>
          <w:lang w:val="en-GB"/>
        </w:rPr>
        <w:t>Elsevier Health Sciences, 2022</w:t>
      </w:r>
      <w:r w:rsidRPr="005C3D97">
        <w:rPr>
          <w:rFonts w:asciiTheme="majorBidi" w:hAnsiTheme="majorBidi" w:cstheme="majorBidi"/>
          <w:lang w:val="en-GB"/>
        </w:rPr>
        <w:t>)</w:t>
      </w:r>
      <w:r w:rsidR="00420CC5" w:rsidRPr="005C3D97">
        <w:rPr>
          <w:rFonts w:asciiTheme="majorBidi" w:hAnsiTheme="majorBidi" w:cstheme="majorBidi"/>
          <w:lang w:val="en-GB"/>
        </w:rPr>
        <w:t>.</w:t>
      </w:r>
    </w:p>
    <w:p w14:paraId="489600D8" w14:textId="51BCE7EA" w:rsidR="00420CC5" w:rsidRPr="005C3D97" w:rsidRDefault="0062155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B.J. </w:t>
      </w:r>
      <w:r w:rsidR="00420CC5" w:rsidRPr="005C3D97">
        <w:rPr>
          <w:rFonts w:asciiTheme="majorBidi" w:hAnsiTheme="majorBidi" w:cstheme="majorBidi"/>
          <w:lang w:val="en-GB"/>
        </w:rPr>
        <w:t xml:space="preserve">Mohammed, </w:t>
      </w:r>
      <w:r w:rsidRPr="005C3D97">
        <w:rPr>
          <w:rFonts w:asciiTheme="majorBidi" w:hAnsiTheme="majorBidi" w:cstheme="majorBidi"/>
          <w:lang w:val="en-GB"/>
        </w:rPr>
        <w:t xml:space="preserve">Z.F. </w:t>
      </w:r>
      <w:r w:rsidR="00420CC5" w:rsidRPr="005C3D97">
        <w:rPr>
          <w:rFonts w:asciiTheme="majorBidi" w:hAnsiTheme="majorBidi" w:cstheme="majorBidi"/>
          <w:lang w:val="en-GB"/>
        </w:rPr>
        <w:t xml:space="preserve">Saleh, </w:t>
      </w:r>
      <w:r w:rsidRPr="005C3D97">
        <w:rPr>
          <w:rFonts w:asciiTheme="majorBidi" w:hAnsiTheme="majorBidi" w:cstheme="majorBidi"/>
          <w:lang w:val="en-GB"/>
        </w:rPr>
        <w:t xml:space="preserve">J.R. </w:t>
      </w:r>
      <w:r w:rsidR="00420CC5" w:rsidRPr="005C3D97">
        <w:rPr>
          <w:rFonts w:asciiTheme="majorBidi" w:hAnsiTheme="majorBidi" w:cstheme="majorBidi"/>
          <w:lang w:val="en-GB"/>
        </w:rPr>
        <w:t>Esmaeel,</w:t>
      </w:r>
      <w:r w:rsidRPr="005C3D97">
        <w:rPr>
          <w:rFonts w:asciiTheme="majorBidi" w:hAnsiTheme="majorBidi" w:cstheme="majorBidi"/>
          <w:lang w:val="en-GB"/>
        </w:rPr>
        <w:t xml:space="preserve"> S.F.</w:t>
      </w:r>
      <w:r w:rsidR="00420CC5" w:rsidRPr="005C3D97">
        <w:rPr>
          <w:rFonts w:asciiTheme="majorBidi" w:hAnsiTheme="majorBidi" w:cstheme="majorBidi"/>
          <w:lang w:val="en-GB"/>
        </w:rPr>
        <w:t xml:space="preserve"> </w:t>
      </w:r>
      <w:proofErr w:type="spellStart"/>
      <w:r w:rsidR="00420CC5" w:rsidRPr="005C3D97">
        <w:rPr>
          <w:rFonts w:asciiTheme="majorBidi" w:hAnsiTheme="majorBidi" w:cstheme="majorBidi"/>
          <w:lang w:val="en-GB"/>
        </w:rPr>
        <w:t>Klaif</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M.S. </w:t>
      </w:r>
      <w:r w:rsidR="00420CC5" w:rsidRPr="005C3D97">
        <w:rPr>
          <w:rFonts w:asciiTheme="majorBidi" w:hAnsiTheme="majorBidi" w:cstheme="majorBidi"/>
          <w:lang w:val="en-GB"/>
        </w:rPr>
        <w:t xml:space="preserve">Jawad, </w:t>
      </w:r>
      <w:r w:rsidRPr="005C3D97">
        <w:rPr>
          <w:rFonts w:asciiTheme="majorBidi" w:hAnsiTheme="majorBidi" w:cstheme="majorBidi"/>
          <w:lang w:val="en-GB"/>
        </w:rPr>
        <w:t xml:space="preserve">and K.H. </w:t>
      </w:r>
      <w:r w:rsidR="00420CC5" w:rsidRPr="005C3D97">
        <w:rPr>
          <w:rFonts w:asciiTheme="majorBidi" w:hAnsiTheme="majorBidi" w:cstheme="majorBidi"/>
          <w:lang w:val="en-GB"/>
        </w:rPr>
        <w:t>Fahad, Ann Trop Med Health</w:t>
      </w:r>
      <w:r w:rsidR="000344E2"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0344E2" w:rsidRPr="005C3D97">
        <w:rPr>
          <w:rFonts w:asciiTheme="majorBidi" w:hAnsiTheme="majorBidi" w:cstheme="majorBidi"/>
          <w:b/>
          <w:bCs/>
          <w:lang w:val="en-GB"/>
        </w:rPr>
        <w:t>23</w:t>
      </w:r>
      <w:r w:rsidR="000344E2" w:rsidRPr="005C3D97">
        <w:rPr>
          <w:rFonts w:asciiTheme="majorBidi" w:hAnsiTheme="majorBidi" w:cstheme="majorBidi"/>
          <w:lang w:val="en-GB"/>
        </w:rPr>
        <w:t>(5),</w:t>
      </w:r>
      <w:r w:rsidR="00420CC5" w:rsidRPr="005C3D97">
        <w:rPr>
          <w:rFonts w:asciiTheme="majorBidi" w:hAnsiTheme="majorBidi" w:cstheme="majorBidi"/>
          <w:lang w:val="en-GB"/>
        </w:rPr>
        <w:t xml:space="preserve"> 218-225</w:t>
      </w:r>
      <w:r w:rsidR="000344E2" w:rsidRPr="005C3D97">
        <w:rPr>
          <w:rFonts w:asciiTheme="majorBidi" w:hAnsiTheme="majorBidi" w:cstheme="majorBidi"/>
          <w:lang w:val="en-GB"/>
        </w:rPr>
        <w:t xml:space="preserve"> (2020)</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https://doi.org/10.24996/ijs.2023.64.6.7</w:t>
      </w:r>
      <w:r w:rsidR="00420CC5" w:rsidRPr="005C3D97">
        <w:rPr>
          <w:rFonts w:asciiTheme="majorBidi" w:hAnsiTheme="majorBidi" w:cstheme="majorBidi"/>
          <w:lang w:val="en-GB"/>
        </w:rPr>
        <w:t xml:space="preserve">. </w:t>
      </w:r>
    </w:p>
    <w:p w14:paraId="6C6842B2" w14:textId="4BD80AD7" w:rsidR="00420CC5" w:rsidRPr="00A14631" w:rsidRDefault="0062155F" w:rsidP="005411DE">
      <w:pPr>
        <w:pStyle w:val="Reference"/>
        <w:ind w:left="450"/>
        <w:jc w:val="left"/>
        <w:rPr>
          <w:rFonts w:asciiTheme="majorBidi" w:hAnsiTheme="majorBidi" w:cstheme="majorBidi"/>
          <w:lang w:val="en-GB"/>
        </w:rPr>
      </w:pPr>
      <w:r w:rsidRPr="00A14631">
        <w:rPr>
          <w:rFonts w:asciiTheme="majorBidi" w:hAnsiTheme="majorBidi" w:cstheme="majorBidi"/>
          <w:lang w:val="en-GB"/>
        </w:rPr>
        <w:t xml:space="preserve">T.Y. </w:t>
      </w:r>
      <w:proofErr w:type="spellStart"/>
      <w:r w:rsidR="00420CC5" w:rsidRPr="00A14631">
        <w:rPr>
          <w:rFonts w:asciiTheme="majorBidi" w:hAnsiTheme="majorBidi" w:cstheme="majorBidi"/>
          <w:lang w:val="en-GB"/>
        </w:rPr>
        <w:t>Budiarso</w:t>
      </w:r>
      <w:proofErr w:type="spellEnd"/>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C. </w:t>
      </w:r>
      <w:proofErr w:type="spellStart"/>
      <w:r w:rsidR="00420CC5" w:rsidRPr="00A14631">
        <w:rPr>
          <w:rFonts w:asciiTheme="majorBidi" w:hAnsiTheme="majorBidi" w:cstheme="majorBidi"/>
          <w:lang w:val="en-GB"/>
        </w:rPr>
        <w:t>Amarantini</w:t>
      </w:r>
      <w:proofErr w:type="spellEnd"/>
      <w:r w:rsidR="00420CC5" w:rsidRPr="00A14631">
        <w:rPr>
          <w:rFonts w:asciiTheme="majorBidi" w:hAnsiTheme="majorBidi" w:cstheme="majorBidi"/>
          <w:lang w:val="en-GB"/>
        </w:rPr>
        <w:t>,</w:t>
      </w:r>
      <w:r w:rsidRPr="00A14631">
        <w:rPr>
          <w:rFonts w:asciiTheme="majorBidi" w:hAnsiTheme="majorBidi" w:cstheme="majorBidi"/>
          <w:lang w:val="en-GB"/>
        </w:rPr>
        <w:t xml:space="preserve"> and S. </w:t>
      </w:r>
      <w:proofErr w:type="spellStart"/>
      <w:r w:rsidRPr="00A14631">
        <w:rPr>
          <w:rFonts w:asciiTheme="majorBidi" w:hAnsiTheme="majorBidi" w:cstheme="majorBidi"/>
          <w:lang w:val="en-GB"/>
        </w:rPr>
        <w:t>Pakpahan</w:t>
      </w:r>
      <w:proofErr w:type="spellEnd"/>
      <w:r w:rsidR="00420CC5" w:rsidRPr="00A14631">
        <w:rPr>
          <w:rFonts w:asciiTheme="majorBidi" w:hAnsiTheme="majorBidi" w:cstheme="majorBidi"/>
          <w:lang w:val="en-GB"/>
        </w:rPr>
        <w:t xml:space="preserve">, </w:t>
      </w:r>
      <w:proofErr w:type="spellStart"/>
      <w:r w:rsidR="00420CC5" w:rsidRPr="00A14631">
        <w:rPr>
          <w:rFonts w:asciiTheme="majorBidi" w:hAnsiTheme="majorBidi" w:cstheme="majorBidi"/>
          <w:lang w:val="en-GB"/>
        </w:rPr>
        <w:t>Biodi</w:t>
      </w:r>
      <w:r w:rsidRPr="00A14631">
        <w:rPr>
          <w:rFonts w:asciiTheme="majorBidi" w:hAnsiTheme="majorBidi" w:cstheme="majorBidi"/>
          <w:lang w:val="en-GB"/>
        </w:rPr>
        <w:t>vers</w:t>
      </w:r>
      <w:proofErr w:type="spellEnd"/>
      <w:r w:rsidRPr="00A14631">
        <w:rPr>
          <w:rFonts w:asciiTheme="majorBidi" w:hAnsiTheme="majorBidi" w:cstheme="majorBidi"/>
          <w:lang w:val="en-GB"/>
        </w:rPr>
        <w:t xml:space="preserve"> J </w:t>
      </w:r>
      <w:proofErr w:type="spellStart"/>
      <w:r w:rsidRPr="00A14631">
        <w:rPr>
          <w:rFonts w:asciiTheme="majorBidi" w:hAnsiTheme="majorBidi" w:cstheme="majorBidi"/>
          <w:lang w:val="en-GB"/>
        </w:rPr>
        <w:t>Biol</w:t>
      </w:r>
      <w:proofErr w:type="spellEnd"/>
      <w:r w:rsidRPr="00A14631">
        <w:rPr>
          <w:rFonts w:asciiTheme="majorBidi" w:hAnsiTheme="majorBidi" w:cstheme="majorBidi"/>
          <w:lang w:val="en-GB"/>
        </w:rPr>
        <w:t xml:space="preserve"> Divers. </w:t>
      </w:r>
      <w:r w:rsidRPr="00A14631">
        <w:rPr>
          <w:rFonts w:asciiTheme="majorBidi" w:hAnsiTheme="majorBidi" w:cstheme="majorBidi"/>
          <w:b/>
          <w:bCs/>
          <w:lang w:val="en-GB"/>
        </w:rPr>
        <w:t>22</w:t>
      </w:r>
      <w:r w:rsidRPr="00A14631">
        <w:rPr>
          <w:rFonts w:asciiTheme="majorBidi" w:hAnsiTheme="majorBidi" w:cstheme="majorBidi"/>
          <w:lang w:val="en-GB"/>
        </w:rPr>
        <w:t>(12),</w:t>
      </w:r>
      <w:r w:rsidR="00420CC5" w:rsidRPr="00A14631">
        <w:rPr>
          <w:rFonts w:asciiTheme="majorBidi" w:hAnsiTheme="majorBidi" w:cstheme="majorBidi"/>
          <w:lang w:val="en-GB"/>
        </w:rPr>
        <w:t xml:space="preserve"> 5452-5458</w:t>
      </w:r>
      <w:r w:rsidRPr="00A14631">
        <w:rPr>
          <w:rFonts w:asciiTheme="majorBidi" w:hAnsiTheme="majorBidi" w:cstheme="majorBidi"/>
          <w:lang w:val="en-GB"/>
        </w:rPr>
        <w:t xml:space="preserve"> (2021)</w:t>
      </w:r>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P.H.J. </w:t>
      </w:r>
      <w:r w:rsidR="00420CC5" w:rsidRPr="00A14631">
        <w:rPr>
          <w:rFonts w:asciiTheme="majorBidi" w:hAnsiTheme="majorBidi" w:cstheme="majorBidi"/>
          <w:lang w:val="en-GB"/>
        </w:rPr>
        <w:t xml:space="preserve">Riegman, </w:t>
      </w:r>
      <w:r w:rsidRPr="00A14631">
        <w:rPr>
          <w:rFonts w:asciiTheme="majorBidi" w:hAnsiTheme="majorBidi" w:cstheme="majorBidi"/>
          <w:lang w:val="en-GB"/>
        </w:rPr>
        <w:t xml:space="preserve">K.F. </w:t>
      </w:r>
      <w:r w:rsidR="00420CC5" w:rsidRPr="00A14631">
        <w:rPr>
          <w:rFonts w:asciiTheme="majorBidi" w:hAnsiTheme="majorBidi" w:cstheme="majorBidi"/>
          <w:lang w:val="en-GB"/>
        </w:rPr>
        <w:t xml:space="preserve">Becker, </w:t>
      </w:r>
      <w:r w:rsidRPr="00A14631">
        <w:rPr>
          <w:rFonts w:asciiTheme="majorBidi" w:hAnsiTheme="majorBidi" w:cstheme="majorBidi"/>
          <w:lang w:val="en-GB"/>
        </w:rPr>
        <w:t xml:space="preserve">K. </w:t>
      </w:r>
      <w:r w:rsidR="00420CC5" w:rsidRPr="00A14631">
        <w:rPr>
          <w:rFonts w:asciiTheme="majorBidi" w:hAnsiTheme="majorBidi" w:cstheme="majorBidi"/>
          <w:lang w:val="en-GB"/>
        </w:rPr>
        <w:t xml:space="preserve">Zatloukal, </w:t>
      </w:r>
      <w:r w:rsidRPr="00A14631">
        <w:rPr>
          <w:rFonts w:asciiTheme="majorBidi" w:hAnsiTheme="majorBidi" w:cstheme="majorBidi"/>
          <w:lang w:val="en-GB"/>
        </w:rPr>
        <w:t xml:space="preserve">M. </w:t>
      </w:r>
      <w:proofErr w:type="spellStart"/>
      <w:r w:rsidR="00420CC5" w:rsidRPr="00A14631">
        <w:rPr>
          <w:rFonts w:asciiTheme="majorBidi" w:hAnsiTheme="majorBidi" w:cstheme="majorBidi"/>
          <w:lang w:val="en-GB"/>
        </w:rPr>
        <w:t>Pazzagli</w:t>
      </w:r>
      <w:proofErr w:type="spellEnd"/>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U. </w:t>
      </w:r>
      <w:r w:rsidR="00420CC5" w:rsidRPr="00A14631">
        <w:rPr>
          <w:rFonts w:asciiTheme="majorBidi" w:hAnsiTheme="majorBidi" w:cstheme="majorBidi"/>
          <w:lang w:val="en-GB"/>
        </w:rPr>
        <w:t>Schröder,</w:t>
      </w:r>
      <w:r w:rsidRPr="00A14631">
        <w:rPr>
          <w:rFonts w:asciiTheme="majorBidi" w:hAnsiTheme="majorBidi" w:cstheme="majorBidi"/>
          <w:lang w:val="en-GB"/>
        </w:rPr>
        <w:t xml:space="preserve"> and U.</w:t>
      </w:r>
      <w:r w:rsidR="00420CC5" w:rsidRPr="00A14631">
        <w:rPr>
          <w:rFonts w:asciiTheme="majorBidi" w:hAnsiTheme="majorBidi" w:cstheme="majorBidi"/>
          <w:lang w:val="en-GB"/>
        </w:rPr>
        <w:t xml:space="preserve"> </w:t>
      </w:r>
      <w:proofErr w:type="spellStart"/>
      <w:r w:rsidR="00420CC5" w:rsidRPr="00A14631">
        <w:rPr>
          <w:rFonts w:asciiTheme="majorBidi" w:hAnsiTheme="majorBidi" w:cstheme="majorBidi"/>
          <w:lang w:val="en-GB"/>
        </w:rPr>
        <w:t>Oelmuller</w:t>
      </w:r>
      <w:proofErr w:type="spellEnd"/>
      <w:r w:rsidRPr="00A14631">
        <w:rPr>
          <w:rFonts w:asciiTheme="majorBidi" w:hAnsiTheme="majorBidi" w:cstheme="majorBidi"/>
          <w:lang w:val="en-GB"/>
        </w:rPr>
        <w:t xml:space="preserve">, New </w:t>
      </w:r>
      <w:proofErr w:type="spellStart"/>
      <w:r w:rsidRPr="00A14631">
        <w:rPr>
          <w:rFonts w:asciiTheme="majorBidi" w:hAnsiTheme="majorBidi" w:cstheme="majorBidi"/>
          <w:lang w:val="en-GB"/>
        </w:rPr>
        <w:t>Biotechnol</w:t>
      </w:r>
      <w:proofErr w:type="spellEnd"/>
      <w:r w:rsidRPr="00A14631">
        <w:rPr>
          <w:rFonts w:asciiTheme="majorBidi" w:hAnsiTheme="majorBidi" w:cstheme="majorBidi"/>
          <w:lang w:val="en-GB"/>
        </w:rPr>
        <w:t xml:space="preserve">. </w:t>
      </w:r>
      <w:r w:rsidRPr="00A14631">
        <w:rPr>
          <w:rFonts w:asciiTheme="majorBidi" w:hAnsiTheme="majorBidi" w:cstheme="majorBidi"/>
          <w:b/>
          <w:bCs/>
          <w:lang w:val="en-GB"/>
        </w:rPr>
        <w:t>53</w:t>
      </w:r>
      <w:r w:rsidRPr="00A14631">
        <w:rPr>
          <w:rFonts w:asciiTheme="majorBidi" w:hAnsiTheme="majorBidi" w:cstheme="majorBidi"/>
          <w:lang w:val="en-GB"/>
        </w:rPr>
        <w:t>,</w:t>
      </w:r>
      <w:r w:rsidR="00420CC5" w:rsidRPr="00A14631">
        <w:rPr>
          <w:rFonts w:asciiTheme="majorBidi" w:hAnsiTheme="majorBidi" w:cstheme="majorBidi"/>
          <w:lang w:val="en-GB"/>
        </w:rPr>
        <w:t xml:space="preserve"> 35-40</w:t>
      </w:r>
      <w:r w:rsidRPr="00A14631">
        <w:rPr>
          <w:rFonts w:asciiTheme="majorBidi" w:hAnsiTheme="majorBidi" w:cstheme="majorBidi"/>
          <w:lang w:val="en-GB"/>
        </w:rPr>
        <w:t xml:space="preserve"> (2019)</w:t>
      </w:r>
      <w:r w:rsidR="00420CC5" w:rsidRPr="00A14631">
        <w:rPr>
          <w:rFonts w:asciiTheme="majorBidi" w:hAnsiTheme="majorBidi" w:cstheme="majorBidi"/>
          <w:lang w:val="en-GB"/>
        </w:rPr>
        <w:t xml:space="preserve">. https://doi.org/10.1016/j.nbt.2019.06.007. </w:t>
      </w:r>
    </w:p>
    <w:p w14:paraId="76D3A3DE" w14:textId="1048ECCC" w:rsidR="00420CC5" w:rsidRPr="005C3D97" w:rsidRDefault="0062155F"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M.H. </w:t>
      </w:r>
      <w:r w:rsidR="00420CC5" w:rsidRPr="005C3D97">
        <w:rPr>
          <w:rFonts w:asciiTheme="majorBidi" w:hAnsiTheme="majorBidi" w:cstheme="majorBidi"/>
          <w:lang w:val="en-GB"/>
        </w:rPr>
        <w:t>Al-</w:t>
      </w:r>
      <w:proofErr w:type="spellStart"/>
      <w:r w:rsidRPr="005C3D97">
        <w:rPr>
          <w:rFonts w:asciiTheme="majorBidi" w:hAnsiTheme="majorBidi" w:cstheme="majorBidi"/>
          <w:lang w:val="en-GB"/>
        </w:rPr>
        <w:t>Jailawi</w:t>
      </w:r>
      <w:proofErr w:type="spellEnd"/>
      <w:r w:rsidRPr="005C3D97">
        <w:rPr>
          <w:rFonts w:asciiTheme="majorBidi" w:hAnsiTheme="majorBidi" w:cstheme="majorBidi"/>
          <w:lang w:val="en-GB"/>
        </w:rPr>
        <w:t>, T.H. Zedan, and K.A. Jassim</w:t>
      </w:r>
      <w:r w:rsidR="00420CC5" w:rsidRPr="005C3D97">
        <w:rPr>
          <w:rFonts w:asciiTheme="majorBidi" w:hAnsiTheme="majorBidi" w:cstheme="majorBidi"/>
          <w:lang w:val="en-GB"/>
        </w:rPr>
        <w:t>, Int J Pharm Sci Rev Res</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Pr="005C3D97">
        <w:rPr>
          <w:rFonts w:asciiTheme="majorBidi" w:hAnsiTheme="majorBidi" w:cstheme="majorBidi"/>
          <w:b/>
          <w:bCs/>
          <w:lang w:val="en-GB"/>
        </w:rPr>
        <w:t>26</w:t>
      </w:r>
      <w:r w:rsidRPr="005C3D97">
        <w:rPr>
          <w:rFonts w:asciiTheme="majorBidi" w:hAnsiTheme="majorBidi" w:cstheme="majorBidi"/>
          <w:lang w:val="en-GB"/>
        </w:rPr>
        <w:t>(1),</w:t>
      </w:r>
      <w:r w:rsidR="00420CC5" w:rsidRPr="005C3D97">
        <w:rPr>
          <w:rFonts w:asciiTheme="majorBidi" w:hAnsiTheme="majorBidi" w:cstheme="majorBidi"/>
          <w:lang w:val="en-GB"/>
        </w:rPr>
        <w:t xml:space="preserve"> 112-117</w:t>
      </w:r>
      <w:r w:rsidRPr="005C3D97">
        <w:rPr>
          <w:rFonts w:asciiTheme="majorBidi" w:hAnsiTheme="majorBidi" w:cstheme="majorBidi"/>
          <w:lang w:val="en-GB"/>
        </w:rPr>
        <w:t xml:space="preserve"> (2024)</w:t>
      </w:r>
      <w:r w:rsidR="00420CC5" w:rsidRPr="005C3D97">
        <w:rPr>
          <w:rFonts w:asciiTheme="majorBidi" w:hAnsiTheme="majorBidi" w:cstheme="majorBidi"/>
          <w:lang w:val="en-GB"/>
        </w:rPr>
        <w:t>.</w:t>
      </w:r>
    </w:p>
    <w:p w14:paraId="7ED8CB7E" w14:textId="347A04DD" w:rsidR="00420CC5" w:rsidRPr="00A14631" w:rsidRDefault="0062155F" w:rsidP="008F1F6C">
      <w:pPr>
        <w:pStyle w:val="Reference"/>
        <w:ind w:left="450"/>
        <w:jc w:val="left"/>
        <w:rPr>
          <w:rFonts w:asciiTheme="majorBidi" w:hAnsiTheme="majorBidi" w:cstheme="majorBidi"/>
          <w:lang w:val="en-GB"/>
        </w:rPr>
      </w:pPr>
      <w:r w:rsidRPr="00A14631">
        <w:rPr>
          <w:rFonts w:asciiTheme="majorBidi" w:hAnsiTheme="majorBidi" w:cstheme="majorBidi"/>
          <w:lang w:val="en-GB"/>
        </w:rPr>
        <w:t xml:space="preserve">I.Q. </w:t>
      </w:r>
      <w:r w:rsidR="00420CC5" w:rsidRPr="00A14631">
        <w:rPr>
          <w:rFonts w:asciiTheme="majorBidi" w:hAnsiTheme="majorBidi" w:cstheme="majorBidi"/>
          <w:lang w:val="en-GB"/>
        </w:rPr>
        <w:t xml:space="preserve">Mohamed, </w:t>
      </w:r>
      <w:r w:rsidRPr="00A14631">
        <w:rPr>
          <w:rFonts w:asciiTheme="majorBidi" w:hAnsiTheme="majorBidi" w:cstheme="majorBidi"/>
          <w:lang w:val="en-GB"/>
        </w:rPr>
        <w:t xml:space="preserve">and H.R.R. </w:t>
      </w:r>
      <w:r w:rsidR="00420CC5" w:rsidRPr="00A14631">
        <w:rPr>
          <w:rFonts w:asciiTheme="majorBidi" w:hAnsiTheme="majorBidi" w:cstheme="majorBidi"/>
          <w:lang w:val="en-GB"/>
        </w:rPr>
        <w:t>Al-Taai, Iraq, Iraqi J Sci</w:t>
      </w:r>
      <w:r w:rsidRPr="00A14631">
        <w:rPr>
          <w:rFonts w:asciiTheme="majorBidi" w:hAnsiTheme="majorBidi" w:cstheme="majorBidi"/>
          <w:lang w:val="en-GB"/>
        </w:rPr>
        <w:t>.</w:t>
      </w:r>
      <w:r w:rsidR="00420CC5" w:rsidRPr="00A14631">
        <w:rPr>
          <w:rFonts w:asciiTheme="majorBidi" w:hAnsiTheme="majorBidi" w:cstheme="majorBidi"/>
          <w:lang w:val="en-GB"/>
        </w:rPr>
        <w:t xml:space="preserve"> </w:t>
      </w:r>
      <w:r w:rsidRPr="00A14631">
        <w:rPr>
          <w:rFonts w:asciiTheme="majorBidi" w:hAnsiTheme="majorBidi" w:cstheme="majorBidi"/>
          <w:b/>
          <w:bCs/>
          <w:lang w:val="en-GB"/>
        </w:rPr>
        <w:t>64</w:t>
      </w:r>
      <w:r w:rsidRPr="00A14631">
        <w:rPr>
          <w:rFonts w:asciiTheme="majorBidi" w:hAnsiTheme="majorBidi" w:cstheme="majorBidi"/>
          <w:lang w:val="en-GB"/>
        </w:rPr>
        <w:t>(6),</w:t>
      </w:r>
      <w:r w:rsidR="00420CC5" w:rsidRPr="00A14631">
        <w:rPr>
          <w:rFonts w:asciiTheme="majorBidi" w:hAnsiTheme="majorBidi" w:cstheme="majorBidi"/>
          <w:lang w:val="en-GB"/>
        </w:rPr>
        <w:t xml:space="preserve"> 2726-2740</w:t>
      </w:r>
      <w:r w:rsidRPr="00A14631">
        <w:rPr>
          <w:rFonts w:asciiTheme="majorBidi" w:hAnsiTheme="majorBidi" w:cstheme="majorBidi"/>
          <w:lang w:val="en-GB"/>
        </w:rPr>
        <w:t xml:space="preserve"> (2023)</w:t>
      </w:r>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M.S. </w:t>
      </w:r>
      <w:r w:rsidR="00420CC5" w:rsidRPr="00A14631">
        <w:rPr>
          <w:rFonts w:asciiTheme="majorBidi" w:hAnsiTheme="majorBidi" w:cstheme="majorBidi"/>
          <w:lang w:val="en-GB"/>
        </w:rPr>
        <w:t xml:space="preserve">Mustafa </w:t>
      </w:r>
      <w:r w:rsidR="000344E2" w:rsidRPr="00A14631">
        <w:rPr>
          <w:rFonts w:asciiTheme="majorBidi" w:hAnsiTheme="majorBidi" w:cstheme="majorBidi"/>
          <w:lang w:val="en-GB"/>
        </w:rPr>
        <w:t>"</w:t>
      </w:r>
      <w:proofErr w:type="spellStart"/>
      <w:proofErr w:type="gramStart"/>
      <w:r w:rsidR="00420CC5" w:rsidRPr="00A14631">
        <w:rPr>
          <w:rFonts w:asciiTheme="majorBidi" w:hAnsiTheme="majorBidi" w:cstheme="majorBidi"/>
          <w:lang w:val="en-GB"/>
        </w:rPr>
        <w:t>Microbiaal,Molecular</w:t>
      </w:r>
      <w:proofErr w:type="spellEnd"/>
      <w:proofErr w:type="gramEnd"/>
      <w:r w:rsidR="00420CC5" w:rsidRPr="00A14631">
        <w:rPr>
          <w:rFonts w:asciiTheme="majorBidi" w:hAnsiTheme="majorBidi" w:cstheme="majorBidi"/>
          <w:lang w:val="en-GB"/>
        </w:rPr>
        <w:t xml:space="preserve"> and Immunological Study of some </w:t>
      </w:r>
      <w:proofErr w:type="gramStart"/>
      <w:r w:rsidR="00420CC5" w:rsidRPr="00A14631">
        <w:rPr>
          <w:rFonts w:asciiTheme="majorBidi" w:hAnsiTheme="majorBidi" w:cstheme="majorBidi"/>
          <w:lang w:val="en-GB"/>
        </w:rPr>
        <w:t>Gram Negative</w:t>
      </w:r>
      <w:proofErr w:type="gramEnd"/>
      <w:r w:rsidR="00420CC5" w:rsidRPr="00A14631">
        <w:rPr>
          <w:rFonts w:asciiTheme="majorBidi" w:hAnsiTheme="majorBidi" w:cstheme="majorBidi"/>
          <w:lang w:val="en-GB"/>
        </w:rPr>
        <w:t xml:space="preserve"> Bacteria with MDR Isolated from Iraqi Patients with acute </w:t>
      </w:r>
      <w:proofErr w:type="spellStart"/>
      <w:r w:rsidR="00420CC5" w:rsidRPr="00A14631">
        <w:rPr>
          <w:rFonts w:asciiTheme="majorBidi" w:hAnsiTheme="majorBidi" w:cstheme="majorBidi"/>
          <w:lang w:val="en-GB"/>
        </w:rPr>
        <w:t>Leukemia</w:t>
      </w:r>
      <w:proofErr w:type="spellEnd"/>
      <w:r w:rsidR="00420CC5" w:rsidRPr="00A14631">
        <w:rPr>
          <w:rFonts w:asciiTheme="majorBidi" w:hAnsiTheme="majorBidi" w:cstheme="majorBidi"/>
          <w:lang w:val="en-GB"/>
        </w:rPr>
        <w:t>,</w:t>
      </w:r>
      <w:r w:rsidR="000344E2" w:rsidRPr="00A14631">
        <w:rPr>
          <w:rFonts w:asciiTheme="majorBidi" w:hAnsiTheme="majorBidi" w:cstheme="majorBidi"/>
          <w:lang w:val="en-GB"/>
        </w:rPr>
        <w:t>"</w:t>
      </w:r>
      <w:r w:rsidR="00420CC5" w:rsidRPr="00A14631">
        <w:rPr>
          <w:rFonts w:asciiTheme="majorBidi" w:hAnsiTheme="majorBidi" w:cstheme="majorBidi"/>
          <w:lang w:val="en-GB"/>
        </w:rPr>
        <w:t xml:space="preserve"> PhD.in College of Education for Pure Science (Ibn AL-Haitha</w:t>
      </w:r>
      <w:r w:rsidR="000344E2" w:rsidRPr="00A14631">
        <w:rPr>
          <w:rFonts w:asciiTheme="majorBidi" w:hAnsiTheme="majorBidi" w:cstheme="majorBidi"/>
          <w:lang w:val="en-GB"/>
        </w:rPr>
        <w:t>m), University of Baghdad, 2023</w:t>
      </w:r>
      <w:r w:rsidR="00420CC5" w:rsidRPr="00A14631">
        <w:rPr>
          <w:rFonts w:asciiTheme="majorBidi" w:hAnsiTheme="majorBidi" w:cstheme="majorBidi"/>
          <w:lang w:val="en-GB"/>
        </w:rPr>
        <w:t>.</w:t>
      </w:r>
    </w:p>
    <w:p w14:paraId="4E73EF46" w14:textId="3D96AFA9" w:rsidR="00420CC5" w:rsidRPr="00A14631" w:rsidRDefault="0062155F" w:rsidP="000050B0">
      <w:pPr>
        <w:pStyle w:val="Reference"/>
        <w:ind w:left="450"/>
        <w:jc w:val="left"/>
        <w:rPr>
          <w:rFonts w:asciiTheme="majorBidi" w:hAnsiTheme="majorBidi" w:cstheme="majorBidi"/>
          <w:lang w:val="en-GB"/>
        </w:rPr>
      </w:pPr>
      <w:r w:rsidRPr="00A14631">
        <w:rPr>
          <w:rFonts w:asciiTheme="majorBidi" w:hAnsiTheme="majorBidi" w:cstheme="majorBidi"/>
          <w:lang w:val="en-GB"/>
        </w:rPr>
        <w:t xml:space="preserve">M.S. </w:t>
      </w:r>
      <w:r w:rsidR="00420CC5" w:rsidRPr="00A14631">
        <w:rPr>
          <w:rFonts w:asciiTheme="majorBidi" w:hAnsiTheme="majorBidi" w:cstheme="majorBidi"/>
          <w:lang w:val="en-GB"/>
        </w:rPr>
        <w:t xml:space="preserve">Mustafa, </w:t>
      </w:r>
      <w:r w:rsidRPr="00A14631">
        <w:rPr>
          <w:rFonts w:asciiTheme="majorBidi" w:hAnsiTheme="majorBidi" w:cstheme="majorBidi"/>
          <w:lang w:val="en-GB"/>
        </w:rPr>
        <w:t xml:space="preserve">and R.M. Abdullah, </w:t>
      </w:r>
      <w:r w:rsidR="00420CC5" w:rsidRPr="00A14631">
        <w:rPr>
          <w:rFonts w:asciiTheme="majorBidi" w:hAnsiTheme="majorBidi" w:cstheme="majorBidi"/>
          <w:lang w:val="en-GB"/>
        </w:rPr>
        <w:t>Iraqi J Sci</w:t>
      </w:r>
      <w:r w:rsidRPr="00A14631">
        <w:rPr>
          <w:rFonts w:asciiTheme="majorBidi" w:hAnsiTheme="majorBidi" w:cstheme="majorBidi"/>
          <w:lang w:val="en-GB"/>
        </w:rPr>
        <w:t>.</w:t>
      </w:r>
      <w:r w:rsidR="00420CC5" w:rsidRPr="00A14631">
        <w:rPr>
          <w:rFonts w:asciiTheme="majorBidi" w:hAnsiTheme="majorBidi" w:cstheme="majorBidi"/>
          <w:lang w:val="en-GB"/>
        </w:rPr>
        <w:t xml:space="preserve"> </w:t>
      </w:r>
      <w:r w:rsidRPr="00A14631">
        <w:rPr>
          <w:rFonts w:asciiTheme="majorBidi" w:hAnsiTheme="majorBidi" w:cstheme="majorBidi"/>
          <w:b/>
          <w:bCs/>
          <w:lang w:val="en-GB"/>
        </w:rPr>
        <w:t>65</w:t>
      </w:r>
      <w:r w:rsidRPr="00A14631">
        <w:rPr>
          <w:rFonts w:asciiTheme="majorBidi" w:hAnsiTheme="majorBidi" w:cstheme="majorBidi"/>
          <w:lang w:val="en-GB"/>
        </w:rPr>
        <w:t>(6),</w:t>
      </w:r>
      <w:r w:rsidR="00420CC5" w:rsidRPr="00A14631">
        <w:rPr>
          <w:rFonts w:asciiTheme="majorBidi" w:hAnsiTheme="majorBidi" w:cstheme="majorBidi"/>
          <w:lang w:val="en-GB"/>
        </w:rPr>
        <w:t xml:space="preserve"> 3057-3074</w:t>
      </w:r>
      <w:r w:rsidRPr="00A14631">
        <w:rPr>
          <w:rFonts w:asciiTheme="majorBidi" w:hAnsiTheme="majorBidi" w:cstheme="majorBidi"/>
          <w:lang w:val="en-GB"/>
        </w:rPr>
        <w:t xml:space="preserve"> (2024)</w:t>
      </w:r>
      <w:r w:rsidR="00420CC5" w:rsidRPr="00A14631">
        <w:rPr>
          <w:rFonts w:asciiTheme="majorBidi" w:hAnsiTheme="majorBidi" w:cstheme="majorBidi"/>
          <w:lang w:val="en-GB"/>
        </w:rPr>
        <w:t>.</w:t>
      </w:r>
      <w:r w:rsidRPr="00A14631">
        <w:rPr>
          <w:rFonts w:asciiTheme="majorBidi" w:hAnsiTheme="majorBidi" w:cstheme="majorBidi"/>
          <w:rtl/>
        </w:rPr>
        <w:t>‏</w:t>
      </w:r>
      <w:r w:rsidRPr="00A14631">
        <w:rPr>
          <w:rFonts w:asciiTheme="majorBidi" w:hAnsiTheme="majorBidi" w:cstheme="majorBidi"/>
        </w:rPr>
        <w:t xml:space="preserve"> </w:t>
      </w:r>
      <w:r w:rsidR="00081486" w:rsidRPr="00A14631">
        <w:rPr>
          <w:rFonts w:asciiTheme="majorBidi" w:hAnsiTheme="majorBidi" w:cstheme="majorBidi"/>
          <w:lang w:val="en-GB"/>
        </w:rPr>
        <w:t>G.S. Babini</w:t>
      </w:r>
      <w:r w:rsidR="00420CC5" w:rsidRPr="00A14631">
        <w:rPr>
          <w:rFonts w:asciiTheme="majorBidi" w:hAnsiTheme="majorBidi" w:cstheme="majorBidi"/>
          <w:lang w:val="en-GB"/>
        </w:rPr>
        <w:t xml:space="preserve">, </w:t>
      </w:r>
      <w:r w:rsidR="00081486" w:rsidRPr="00A14631">
        <w:rPr>
          <w:rFonts w:asciiTheme="majorBidi" w:hAnsiTheme="majorBidi" w:cstheme="majorBidi"/>
          <w:lang w:val="en-GB"/>
        </w:rPr>
        <w:t>and D.M. Livermore,</w:t>
      </w:r>
      <w:r w:rsidR="00420CC5" w:rsidRPr="00A14631">
        <w:rPr>
          <w:rFonts w:asciiTheme="majorBidi" w:hAnsiTheme="majorBidi" w:cstheme="majorBidi"/>
          <w:lang w:val="en-GB"/>
        </w:rPr>
        <w:t xml:space="preserve"> </w:t>
      </w:r>
      <w:proofErr w:type="spellStart"/>
      <w:r w:rsidR="00420CC5" w:rsidRPr="00A14631">
        <w:rPr>
          <w:rFonts w:asciiTheme="majorBidi" w:hAnsiTheme="majorBidi" w:cstheme="majorBidi"/>
          <w:lang w:val="en-GB"/>
        </w:rPr>
        <w:t>A</w:t>
      </w:r>
      <w:r w:rsidR="00081486" w:rsidRPr="00A14631">
        <w:rPr>
          <w:rFonts w:asciiTheme="majorBidi" w:hAnsiTheme="majorBidi" w:cstheme="majorBidi"/>
          <w:lang w:val="en-GB"/>
        </w:rPr>
        <w:t>ntimicrob</w:t>
      </w:r>
      <w:proofErr w:type="spellEnd"/>
      <w:r w:rsidR="00081486" w:rsidRPr="00A14631">
        <w:rPr>
          <w:rFonts w:asciiTheme="majorBidi" w:hAnsiTheme="majorBidi" w:cstheme="majorBidi"/>
          <w:lang w:val="en-GB"/>
        </w:rPr>
        <w:t xml:space="preserve"> Agents </w:t>
      </w:r>
      <w:proofErr w:type="spellStart"/>
      <w:r w:rsidR="00081486" w:rsidRPr="00A14631">
        <w:rPr>
          <w:rFonts w:asciiTheme="majorBidi" w:hAnsiTheme="majorBidi" w:cstheme="majorBidi"/>
          <w:lang w:val="en-GB"/>
        </w:rPr>
        <w:t>Chemother</w:t>
      </w:r>
      <w:proofErr w:type="spellEnd"/>
      <w:r w:rsidR="00081486" w:rsidRPr="00A14631">
        <w:rPr>
          <w:rFonts w:asciiTheme="majorBidi" w:hAnsiTheme="majorBidi" w:cstheme="majorBidi"/>
          <w:lang w:val="en-GB"/>
        </w:rPr>
        <w:t xml:space="preserve">. </w:t>
      </w:r>
      <w:r w:rsidR="00081486" w:rsidRPr="00A14631">
        <w:rPr>
          <w:rFonts w:asciiTheme="majorBidi" w:hAnsiTheme="majorBidi" w:cstheme="majorBidi"/>
          <w:b/>
          <w:bCs/>
          <w:lang w:val="en-GB"/>
        </w:rPr>
        <w:t>44</w:t>
      </w:r>
      <w:r w:rsidR="00081486" w:rsidRPr="00A14631">
        <w:rPr>
          <w:rFonts w:asciiTheme="majorBidi" w:hAnsiTheme="majorBidi" w:cstheme="majorBidi"/>
          <w:lang w:val="en-GB"/>
        </w:rPr>
        <w:t>(8),</w:t>
      </w:r>
      <w:r w:rsidR="00420CC5" w:rsidRPr="00A14631">
        <w:rPr>
          <w:rFonts w:asciiTheme="majorBidi" w:hAnsiTheme="majorBidi" w:cstheme="majorBidi"/>
          <w:lang w:val="en-GB"/>
        </w:rPr>
        <w:t xml:space="preserve"> 2230-2230</w:t>
      </w:r>
      <w:r w:rsidR="00081486" w:rsidRPr="00A14631">
        <w:rPr>
          <w:rFonts w:asciiTheme="majorBidi" w:hAnsiTheme="majorBidi" w:cstheme="majorBidi"/>
          <w:lang w:val="en-GB"/>
        </w:rPr>
        <w:t xml:space="preserve"> (2020)</w:t>
      </w:r>
      <w:r w:rsidR="00420CC5" w:rsidRPr="00A14631">
        <w:rPr>
          <w:rFonts w:asciiTheme="majorBidi" w:hAnsiTheme="majorBidi" w:cstheme="majorBidi"/>
          <w:lang w:val="en-GB"/>
        </w:rPr>
        <w:t xml:space="preserve">. </w:t>
      </w:r>
    </w:p>
    <w:p w14:paraId="6B31C805" w14:textId="627D23D3" w:rsidR="00420CC5" w:rsidRPr="00A14631" w:rsidRDefault="00081486" w:rsidP="00431503">
      <w:pPr>
        <w:pStyle w:val="Reference"/>
        <w:ind w:left="450"/>
        <w:jc w:val="left"/>
        <w:rPr>
          <w:rFonts w:asciiTheme="majorBidi" w:hAnsiTheme="majorBidi" w:cstheme="majorBidi"/>
          <w:lang w:val="en-GB"/>
        </w:rPr>
      </w:pPr>
      <w:r w:rsidRPr="00A14631">
        <w:rPr>
          <w:rFonts w:asciiTheme="majorBidi" w:hAnsiTheme="majorBidi" w:cstheme="majorBidi"/>
          <w:lang w:val="en-GB"/>
        </w:rPr>
        <w:t xml:space="preserve">M.Y. </w:t>
      </w:r>
      <w:r w:rsidR="00420CC5" w:rsidRPr="00A14631">
        <w:rPr>
          <w:rFonts w:asciiTheme="majorBidi" w:hAnsiTheme="majorBidi" w:cstheme="majorBidi"/>
          <w:lang w:val="en-GB"/>
        </w:rPr>
        <w:t xml:space="preserve">Khalid, </w:t>
      </w:r>
      <w:r w:rsidRPr="00A14631">
        <w:rPr>
          <w:rFonts w:asciiTheme="majorBidi" w:hAnsiTheme="majorBidi" w:cstheme="majorBidi"/>
          <w:lang w:val="en-GB"/>
        </w:rPr>
        <w:t>and A.M. Ghareeb</w:t>
      </w:r>
      <w:r w:rsidR="00420CC5" w:rsidRPr="00A14631">
        <w:rPr>
          <w:rFonts w:asciiTheme="majorBidi" w:hAnsiTheme="majorBidi" w:cstheme="majorBidi"/>
          <w:lang w:val="en-GB"/>
        </w:rPr>
        <w:t xml:space="preserve">, Iraqi J </w:t>
      </w:r>
      <w:proofErr w:type="spellStart"/>
      <w:r w:rsidR="00420CC5" w:rsidRPr="00A14631">
        <w:rPr>
          <w:rFonts w:asciiTheme="majorBidi" w:hAnsiTheme="majorBidi" w:cstheme="majorBidi"/>
          <w:lang w:val="en-GB"/>
        </w:rPr>
        <w:t>Biotechnol</w:t>
      </w:r>
      <w:proofErr w:type="spellEnd"/>
      <w:r w:rsidRPr="00A14631">
        <w:rPr>
          <w:rFonts w:asciiTheme="majorBidi" w:hAnsiTheme="majorBidi" w:cstheme="majorBidi"/>
          <w:lang w:val="en-GB"/>
        </w:rPr>
        <w:t>.</w:t>
      </w:r>
      <w:r w:rsidR="00420CC5" w:rsidRPr="00A14631">
        <w:rPr>
          <w:rFonts w:asciiTheme="majorBidi" w:hAnsiTheme="majorBidi" w:cstheme="majorBidi"/>
          <w:lang w:val="en-GB"/>
        </w:rPr>
        <w:t xml:space="preserve"> </w:t>
      </w:r>
      <w:r w:rsidRPr="00A14631">
        <w:rPr>
          <w:rFonts w:asciiTheme="majorBidi" w:hAnsiTheme="majorBidi" w:cstheme="majorBidi"/>
          <w:b/>
          <w:bCs/>
          <w:lang w:val="en-GB"/>
        </w:rPr>
        <w:t>21</w:t>
      </w:r>
      <w:r w:rsidRPr="00A14631">
        <w:rPr>
          <w:rFonts w:asciiTheme="majorBidi" w:hAnsiTheme="majorBidi" w:cstheme="majorBidi"/>
          <w:lang w:val="en-GB"/>
        </w:rPr>
        <w:t>(2),</w:t>
      </w:r>
      <w:r w:rsidR="00420CC5" w:rsidRPr="00A14631">
        <w:rPr>
          <w:rFonts w:asciiTheme="majorBidi" w:hAnsiTheme="majorBidi" w:cstheme="majorBidi"/>
          <w:lang w:val="en-GB"/>
        </w:rPr>
        <w:t xml:space="preserve"> 457-464</w:t>
      </w:r>
      <w:r w:rsidRPr="00A14631">
        <w:rPr>
          <w:rFonts w:asciiTheme="majorBidi" w:hAnsiTheme="majorBidi" w:cstheme="majorBidi"/>
          <w:lang w:val="en-GB"/>
        </w:rPr>
        <w:t xml:space="preserve"> (2022)</w:t>
      </w:r>
      <w:r w:rsidR="00420CC5" w:rsidRPr="00A14631">
        <w:rPr>
          <w:rFonts w:asciiTheme="majorBidi" w:hAnsiTheme="majorBidi" w:cstheme="majorBidi"/>
          <w:lang w:val="en-GB"/>
        </w:rPr>
        <w:t>.</w:t>
      </w:r>
      <w:r w:rsidRPr="00A14631">
        <w:rPr>
          <w:rFonts w:asciiTheme="majorBidi" w:hAnsiTheme="majorBidi" w:cstheme="majorBidi"/>
          <w:rtl/>
        </w:rPr>
        <w:t>‏</w:t>
      </w:r>
      <w:r w:rsidRPr="00A14631">
        <w:rPr>
          <w:rFonts w:asciiTheme="majorBidi" w:hAnsiTheme="majorBidi" w:cstheme="majorBidi"/>
        </w:rPr>
        <w:t xml:space="preserve"> </w:t>
      </w:r>
      <w:r w:rsidR="006B394B" w:rsidRPr="00A14631">
        <w:rPr>
          <w:rFonts w:asciiTheme="majorBidi" w:hAnsiTheme="majorBidi" w:cstheme="majorBidi"/>
          <w:lang w:val="en-GB"/>
        </w:rPr>
        <w:t>T.H. Hasan</w:t>
      </w:r>
      <w:r w:rsidR="00420CC5" w:rsidRPr="00A14631">
        <w:rPr>
          <w:rFonts w:asciiTheme="majorBidi" w:hAnsiTheme="majorBidi" w:cstheme="majorBidi"/>
          <w:lang w:val="en-GB"/>
        </w:rPr>
        <w:t xml:space="preserve">, </w:t>
      </w:r>
      <w:r w:rsidR="006B394B" w:rsidRPr="00A14631">
        <w:rPr>
          <w:rFonts w:asciiTheme="majorBidi" w:hAnsiTheme="majorBidi" w:cstheme="majorBidi"/>
          <w:lang w:val="en-GB"/>
        </w:rPr>
        <w:t>K.K. Alasedi</w:t>
      </w:r>
      <w:r w:rsidR="00420CC5" w:rsidRPr="00A14631">
        <w:rPr>
          <w:rFonts w:asciiTheme="majorBidi" w:hAnsiTheme="majorBidi" w:cstheme="majorBidi"/>
          <w:lang w:val="en-GB"/>
        </w:rPr>
        <w:t xml:space="preserve">, </w:t>
      </w:r>
      <w:r w:rsidR="006B394B" w:rsidRPr="00A14631">
        <w:rPr>
          <w:rFonts w:asciiTheme="majorBidi" w:hAnsiTheme="majorBidi" w:cstheme="majorBidi"/>
          <w:lang w:val="en-GB"/>
        </w:rPr>
        <w:t xml:space="preserve">A.A.J. </w:t>
      </w:r>
      <w:proofErr w:type="spellStart"/>
      <w:r w:rsidR="006B394B" w:rsidRPr="00A14631">
        <w:rPr>
          <w:rFonts w:asciiTheme="majorBidi" w:hAnsiTheme="majorBidi" w:cstheme="majorBidi"/>
          <w:lang w:val="en-GB"/>
        </w:rPr>
        <w:t>Aljanaby</w:t>
      </w:r>
      <w:proofErr w:type="spellEnd"/>
      <w:r w:rsidR="006B394B" w:rsidRPr="00A14631">
        <w:rPr>
          <w:rFonts w:asciiTheme="majorBidi" w:hAnsiTheme="majorBidi" w:cstheme="majorBidi"/>
          <w:lang w:val="en-GB"/>
        </w:rPr>
        <w:t xml:space="preserve">, </w:t>
      </w:r>
      <w:r w:rsidR="00420CC5" w:rsidRPr="00A14631">
        <w:rPr>
          <w:rFonts w:asciiTheme="majorBidi" w:hAnsiTheme="majorBidi" w:cstheme="majorBidi"/>
          <w:lang w:val="en-GB"/>
        </w:rPr>
        <w:t>Latin</w:t>
      </w:r>
      <w:r w:rsidR="006B394B" w:rsidRPr="00A14631">
        <w:rPr>
          <w:rFonts w:asciiTheme="majorBidi" w:hAnsiTheme="majorBidi" w:cstheme="majorBidi"/>
          <w:lang w:val="en-GB"/>
        </w:rPr>
        <w:t xml:space="preserve"> Am J Pharm. </w:t>
      </w:r>
      <w:r w:rsidR="006B394B" w:rsidRPr="00A14631">
        <w:rPr>
          <w:rFonts w:asciiTheme="majorBidi" w:hAnsiTheme="majorBidi" w:cstheme="majorBidi"/>
          <w:b/>
          <w:bCs/>
          <w:lang w:val="en-GB"/>
        </w:rPr>
        <w:t>40</w:t>
      </w:r>
      <w:r w:rsidR="006B394B" w:rsidRPr="00A14631">
        <w:rPr>
          <w:rFonts w:asciiTheme="majorBidi" w:hAnsiTheme="majorBidi" w:cstheme="majorBidi"/>
          <w:lang w:val="en-GB"/>
        </w:rPr>
        <w:t>,</w:t>
      </w:r>
      <w:r w:rsidR="00420CC5" w:rsidRPr="00A14631">
        <w:rPr>
          <w:rFonts w:asciiTheme="majorBidi" w:hAnsiTheme="majorBidi" w:cstheme="majorBidi"/>
          <w:lang w:val="en-GB"/>
        </w:rPr>
        <w:t xml:space="preserve"> 174-178</w:t>
      </w:r>
      <w:r w:rsidR="006B394B" w:rsidRPr="00A14631">
        <w:rPr>
          <w:rFonts w:asciiTheme="majorBidi" w:hAnsiTheme="majorBidi" w:cstheme="majorBidi"/>
          <w:lang w:val="en-GB"/>
        </w:rPr>
        <w:t xml:space="preserve"> (2021)</w:t>
      </w:r>
      <w:r w:rsidR="00420CC5" w:rsidRPr="00A14631">
        <w:rPr>
          <w:rFonts w:asciiTheme="majorBidi" w:hAnsiTheme="majorBidi" w:cstheme="majorBidi"/>
          <w:lang w:val="en-GB"/>
        </w:rPr>
        <w:t>.</w:t>
      </w:r>
    </w:p>
    <w:p w14:paraId="6FD35DC0" w14:textId="5D3EFA77" w:rsidR="00420CC5" w:rsidRPr="005C3D97" w:rsidRDefault="006B394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T.H. Hasan, Iraq, Int J Pharm Res.</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12</w:t>
      </w:r>
      <w:r w:rsidRPr="005C3D97">
        <w:rPr>
          <w:rFonts w:asciiTheme="majorBidi" w:hAnsiTheme="majorBidi" w:cstheme="majorBidi"/>
          <w:lang w:val="en-GB"/>
        </w:rPr>
        <w:t>(4),</w:t>
      </w:r>
      <w:r w:rsidR="00420CC5" w:rsidRPr="005C3D97">
        <w:rPr>
          <w:rFonts w:asciiTheme="majorBidi" w:hAnsiTheme="majorBidi" w:cstheme="majorBidi"/>
          <w:lang w:val="en-GB"/>
        </w:rPr>
        <w:t xml:space="preserve"> 10-14</w:t>
      </w:r>
      <w:r w:rsidRPr="005C3D97">
        <w:rPr>
          <w:rFonts w:asciiTheme="majorBidi" w:hAnsiTheme="majorBidi" w:cstheme="majorBidi"/>
          <w:lang w:val="en-GB"/>
        </w:rPr>
        <w:t xml:space="preserve"> (2020)</w:t>
      </w:r>
      <w:r w:rsidR="00420CC5" w:rsidRPr="005C3D97">
        <w:rPr>
          <w:rFonts w:asciiTheme="majorBidi" w:hAnsiTheme="majorBidi" w:cstheme="majorBidi"/>
          <w:lang w:val="en-GB"/>
        </w:rPr>
        <w:t>.</w:t>
      </w:r>
      <w:r w:rsidR="00420CC5" w:rsidRPr="005C3D97">
        <w:rPr>
          <w:rFonts w:asciiTheme="majorBidi" w:hAnsiTheme="majorBidi" w:cstheme="majorBidi"/>
          <w:rtl/>
        </w:rPr>
        <w:t xml:space="preserve">‏ </w:t>
      </w:r>
      <w:r w:rsidR="00420CC5" w:rsidRPr="00B93235">
        <w:rPr>
          <w:rFonts w:asciiTheme="majorBidi" w:hAnsiTheme="majorBidi" w:cstheme="majorBidi"/>
          <w:lang w:val="en-GB"/>
        </w:rPr>
        <w:t>https://doi.org/10.31838/ijpr%2F2020.12.04.049</w:t>
      </w:r>
      <w:r w:rsidR="00420CC5" w:rsidRPr="005C3D97">
        <w:rPr>
          <w:rFonts w:asciiTheme="majorBidi" w:hAnsiTheme="majorBidi" w:cstheme="majorBidi"/>
          <w:lang w:val="en-GB"/>
        </w:rPr>
        <w:t xml:space="preserve">. </w:t>
      </w:r>
    </w:p>
    <w:p w14:paraId="1AC08B35" w14:textId="0A0E4C87" w:rsidR="00420CC5" w:rsidRPr="005C3D97" w:rsidRDefault="006B394B"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H.T. Majeed</w:t>
      </w:r>
      <w:r w:rsidR="00420CC5" w:rsidRPr="005C3D97">
        <w:rPr>
          <w:rFonts w:asciiTheme="majorBidi" w:hAnsiTheme="majorBidi" w:cstheme="majorBidi"/>
          <w:lang w:val="en-GB"/>
        </w:rPr>
        <w:t xml:space="preserve">, </w:t>
      </w:r>
      <w:r w:rsidRPr="005C3D97">
        <w:rPr>
          <w:rFonts w:asciiTheme="majorBidi" w:hAnsiTheme="majorBidi" w:cstheme="majorBidi"/>
          <w:lang w:val="en-GB"/>
        </w:rPr>
        <w:t>T.H. Hasan</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and A.A. </w:t>
      </w:r>
      <w:proofErr w:type="spellStart"/>
      <w:r w:rsidRPr="005C3D97">
        <w:rPr>
          <w:rFonts w:asciiTheme="majorBidi" w:hAnsiTheme="majorBidi" w:cstheme="majorBidi"/>
          <w:lang w:val="en-GB"/>
        </w:rPr>
        <w:t>Aljanaby</w:t>
      </w:r>
      <w:proofErr w:type="spellEnd"/>
      <w:r w:rsidRPr="005C3D97">
        <w:rPr>
          <w:rFonts w:asciiTheme="majorBidi" w:hAnsiTheme="majorBidi" w:cstheme="majorBidi"/>
          <w:lang w:val="en-GB"/>
        </w:rPr>
        <w:t xml:space="preserve">, Int J Pharm Res. </w:t>
      </w:r>
      <w:r w:rsidRPr="005C3D97">
        <w:rPr>
          <w:rFonts w:asciiTheme="majorBidi" w:hAnsiTheme="majorBidi" w:cstheme="majorBidi"/>
          <w:b/>
          <w:bCs/>
          <w:lang w:val="en-GB"/>
        </w:rPr>
        <w:t>12</w:t>
      </w:r>
      <w:r w:rsidRPr="005C3D97">
        <w:rPr>
          <w:rFonts w:asciiTheme="majorBidi" w:hAnsiTheme="majorBidi" w:cstheme="majorBidi"/>
          <w:lang w:val="en-GB"/>
        </w:rPr>
        <w:t>,</w:t>
      </w:r>
      <w:r w:rsidR="00420CC5" w:rsidRPr="005C3D97">
        <w:rPr>
          <w:rFonts w:asciiTheme="majorBidi" w:hAnsiTheme="majorBidi" w:cstheme="majorBidi"/>
          <w:lang w:val="en-GB"/>
        </w:rPr>
        <w:t xml:space="preserve"> 1442-1447</w:t>
      </w:r>
      <w:r w:rsidRPr="005C3D97">
        <w:rPr>
          <w:rFonts w:asciiTheme="majorBidi" w:hAnsiTheme="majorBidi" w:cstheme="majorBidi"/>
          <w:lang w:val="en-GB"/>
        </w:rPr>
        <w:t xml:space="preserve"> (2020)</w:t>
      </w:r>
      <w:r w:rsidR="00420CC5" w:rsidRPr="005C3D97">
        <w:rPr>
          <w:rFonts w:asciiTheme="majorBidi" w:hAnsiTheme="majorBidi" w:cstheme="majorBidi"/>
          <w:lang w:val="en-GB"/>
        </w:rPr>
        <w:t xml:space="preserve">. </w:t>
      </w:r>
    </w:p>
    <w:p w14:paraId="5819661E" w14:textId="266BCDF7" w:rsidR="00420CC5" w:rsidRPr="00A14631" w:rsidRDefault="006B394B" w:rsidP="00DB1517">
      <w:pPr>
        <w:pStyle w:val="Reference"/>
        <w:ind w:left="450"/>
        <w:jc w:val="left"/>
        <w:rPr>
          <w:rFonts w:asciiTheme="majorBidi" w:hAnsiTheme="majorBidi" w:cstheme="majorBidi"/>
          <w:lang w:val="en-GB"/>
        </w:rPr>
      </w:pPr>
      <w:r w:rsidRPr="00A14631">
        <w:rPr>
          <w:rFonts w:asciiTheme="majorBidi" w:hAnsiTheme="majorBidi" w:cstheme="majorBidi"/>
          <w:lang w:val="en-GB"/>
        </w:rPr>
        <w:t>W.F. Obaid</w:t>
      </w:r>
      <w:r w:rsidR="00420CC5" w:rsidRPr="00A14631">
        <w:rPr>
          <w:rFonts w:asciiTheme="majorBidi" w:hAnsiTheme="majorBidi" w:cstheme="majorBidi"/>
          <w:lang w:val="en-GB"/>
        </w:rPr>
        <w:t xml:space="preserve">, </w:t>
      </w:r>
      <w:r w:rsidRPr="00A14631">
        <w:rPr>
          <w:rFonts w:asciiTheme="majorBidi" w:hAnsiTheme="majorBidi" w:cstheme="majorBidi"/>
          <w:lang w:val="en-GB"/>
        </w:rPr>
        <w:t>and S.O. Hasson</w:t>
      </w:r>
      <w:r w:rsidR="00420CC5" w:rsidRPr="00A14631">
        <w:rPr>
          <w:rFonts w:asciiTheme="majorBidi" w:hAnsiTheme="majorBidi" w:cstheme="majorBidi"/>
          <w:lang w:val="en-GB"/>
        </w:rPr>
        <w:t xml:space="preserve">, Ann </w:t>
      </w:r>
      <w:r w:rsidRPr="00A14631">
        <w:rPr>
          <w:rFonts w:asciiTheme="majorBidi" w:hAnsiTheme="majorBidi" w:cstheme="majorBidi"/>
          <w:lang w:val="en-GB"/>
        </w:rPr>
        <w:t xml:space="preserve">Roman Soc Cell Biol. </w:t>
      </w:r>
      <w:r w:rsidRPr="00A14631">
        <w:rPr>
          <w:rFonts w:asciiTheme="majorBidi" w:hAnsiTheme="majorBidi" w:cstheme="majorBidi"/>
          <w:b/>
          <w:bCs/>
          <w:lang w:val="en-GB"/>
        </w:rPr>
        <w:t>25</w:t>
      </w:r>
      <w:r w:rsidRPr="00A14631">
        <w:rPr>
          <w:rFonts w:asciiTheme="majorBidi" w:hAnsiTheme="majorBidi" w:cstheme="majorBidi"/>
          <w:lang w:val="en-GB"/>
        </w:rPr>
        <w:t>(3),</w:t>
      </w:r>
      <w:r w:rsidR="00420CC5" w:rsidRPr="00A14631">
        <w:rPr>
          <w:rFonts w:asciiTheme="majorBidi" w:hAnsiTheme="majorBidi" w:cstheme="majorBidi"/>
          <w:lang w:val="en-GB"/>
        </w:rPr>
        <w:t xml:space="preserve"> 5350-5360</w:t>
      </w:r>
      <w:r w:rsidRPr="00A14631">
        <w:rPr>
          <w:rFonts w:asciiTheme="majorBidi" w:hAnsiTheme="majorBidi" w:cstheme="majorBidi"/>
          <w:lang w:val="en-GB"/>
        </w:rPr>
        <w:t xml:space="preserve"> (2021)</w:t>
      </w:r>
      <w:r w:rsidR="00420CC5" w:rsidRPr="00A14631">
        <w:rPr>
          <w:rFonts w:asciiTheme="majorBidi" w:hAnsiTheme="majorBidi" w:cstheme="majorBidi"/>
          <w:lang w:val="en-GB"/>
        </w:rPr>
        <w:t>.</w:t>
      </w:r>
      <w:r w:rsidRPr="00A14631">
        <w:rPr>
          <w:rFonts w:asciiTheme="majorBidi" w:hAnsiTheme="majorBidi" w:cstheme="majorBidi"/>
          <w:rtl/>
        </w:rPr>
        <w:t>‏</w:t>
      </w:r>
      <w:r w:rsidRPr="00A14631">
        <w:rPr>
          <w:rFonts w:asciiTheme="majorBidi" w:hAnsiTheme="majorBidi" w:cstheme="majorBidi"/>
        </w:rPr>
        <w:t xml:space="preserve"> </w:t>
      </w:r>
      <w:r w:rsidR="00FA6686" w:rsidRPr="00A14631">
        <w:rPr>
          <w:rFonts w:asciiTheme="majorBidi" w:hAnsiTheme="majorBidi" w:cstheme="majorBidi"/>
          <w:lang w:val="en-GB"/>
        </w:rPr>
        <w:t>B. Yazgan</w:t>
      </w:r>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 xml:space="preserve">I. </w:t>
      </w:r>
      <w:proofErr w:type="spellStart"/>
      <w:r w:rsidR="00FA6686" w:rsidRPr="00A14631">
        <w:rPr>
          <w:rFonts w:asciiTheme="majorBidi" w:hAnsiTheme="majorBidi" w:cstheme="majorBidi"/>
          <w:lang w:val="en-GB"/>
        </w:rPr>
        <w:t>Türkel</w:t>
      </w:r>
      <w:proofErr w:type="spellEnd"/>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 xml:space="preserve">R. </w:t>
      </w:r>
      <w:proofErr w:type="spellStart"/>
      <w:r w:rsidR="00FA6686" w:rsidRPr="00A14631">
        <w:rPr>
          <w:rFonts w:asciiTheme="majorBidi" w:hAnsiTheme="majorBidi" w:cstheme="majorBidi"/>
          <w:lang w:val="en-GB"/>
        </w:rPr>
        <w:t>Güçkan</w:t>
      </w:r>
      <w:proofErr w:type="spellEnd"/>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 xml:space="preserve">K. </w:t>
      </w:r>
      <w:proofErr w:type="spellStart"/>
      <w:r w:rsidR="00FA6686" w:rsidRPr="00A14631">
        <w:rPr>
          <w:rFonts w:asciiTheme="majorBidi" w:hAnsiTheme="majorBidi" w:cstheme="majorBidi"/>
          <w:lang w:val="en-GB"/>
        </w:rPr>
        <w:t>Kılınç</w:t>
      </w:r>
      <w:proofErr w:type="spellEnd"/>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and T. Yıldırım, </w:t>
      </w:r>
      <w:r w:rsidR="00420CC5" w:rsidRPr="00A14631">
        <w:rPr>
          <w:rFonts w:asciiTheme="majorBidi" w:hAnsiTheme="majorBidi" w:cstheme="majorBidi"/>
          <w:lang w:val="en-GB"/>
        </w:rPr>
        <w:t>J Inf</w:t>
      </w:r>
      <w:r w:rsidRPr="00A14631">
        <w:rPr>
          <w:rFonts w:asciiTheme="majorBidi" w:hAnsiTheme="majorBidi" w:cstheme="majorBidi"/>
          <w:lang w:val="en-GB"/>
        </w:rPr>
        <w:t xml:space="preserve">ect Develop Countr. </w:t>
      </w:r>
      <w:r w:rsidRPr="00A14631">
        <w:rPr>
          <w:rFonts w:asciiTheme="majorBidi" w:hAnsiTheme="majorBidi" w:cstheme="majorBidi"/>
          <w:b/>
          <w:bCs/>
          <w:lang w:val="en-GB"/>
        </w:rPr>
        <w:t>12</w:t>
      </w:r>
      <w:r w:rsidRPr="00A14631">
        <w:rPr>
          <w:rFonts w:asciiTheme="majorBidi" w:hAnsiTheme="majorBidi" w:cstheme="majorBidi"/>
          <w:lang w:val="en-GB"/>
        </w:rPr>
        <w:t>(03),</w:t>
      </w:r>
      <w:r w:rsidR="00420CC5" w:rsidRPr="00A14631">
        <w:rPr>
          <w:rFonts w:asciiTheme="majorBidi" w:hAnsiTheme="majorBidi" w:cstheme="majorBidi"/>
          <w:lang w:val="en-GB"/>
        </w:rPr>
        <w:t xml:space="preserve"> 156-163</w:t>
      </w:r>
      <w:r w:rsidRPr="00A14631">
        <w:rPr>
          <w:rFonts w:asciiTheme="majorBidi" w:hAnsiTheme="majorBidi" w:cstheme="majorBidi"/>
          <w:lang w:val="en-GB"/>
        </w:rPr>
        <w:t xml:space="preserve"> (2018)</w:t>
      </w:r>
      <w:r w:rsidR="00420CC5" w:rsidRPr="00A14631">
        <w:rPr>
          <w:rFonts w:asciiTheme="majorBidi" w:hAnsiTheme="majorBidi" w:cstheme="majorBidi"/>
          <w:lang w:val="en-GB"/>
        </w:rPr>
        <w:t>.</w:t>
      </w:r>
      <w:r w:rsidR="00420CC5" w:rsidRPr="00A14631">
        <w:rPr>
          <w:rFonts w:asciiTheme="majorBidi" w:hAnsiTheme="majorBidi" w:cstheme="majorBidi"/>
          <w:rtl/>
        </w:rPr>
        <w:t xml:space="preserve">‏ </w:t>
      </w:r>
      <w:r w:rsidR="00FA6686" w:rsidRPr="00A14631">
        <w:rPr>
          <w:rFonts w:asciiTheme="majorBidi" w:hAnsiTheme="majorBidi" w:cstheme="majorBidi"/>
          <w:lang w:val="en-GB"/>
        </w:rPr>
        <w:t xml:space="preserve">L. </w:t>
      </w:r>
      <w:proofErr w:type="spellStart"/>
      <w:r w:rsidR="00FA6686" w:rsidRPr="00A14631">
        <w:rPr>
          <w:rFonts w:asciiTheme="majorBidi" w:hAnsiTheme="majorBidi" w:cstheme="majorBidi"/>
          <w:lang w:val="en-GB"/>
        </w:rPr>
        <w:t>Poirel</w:t>
      </w:r>
      <w:proofErr w:type="spellEnd"/>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M. Yilmaz</w:t>
      </w:r>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 xml:space="preserve">A. </w:t>
      </w:r>
      <w:proofErr w:type="spellStart"/>
      <w:r w:rsidR="00FA6686" w:rsidRPr="00A14631">
        <w:rPr>
          <w:rFonts w:asciiTheme="majorBidi" w:hAnsiTheme="majorBidi" w:cstheme="majorBidi"/>
          <w:lang w:val="en-GB"/>
        </w:rPr>
        <w:t>Istanbullu</w:t>
      </w:r>
      <w:proofErr w:type="spellEnd"/>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F. Arslan</w:t>
      </w:r>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A. Mert</w:t>
      </w:r>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S. Bernabeu</w:t>
      </w:r>
      <w:r w:rsidR="00420CC5" w:rsidRPr="00A14631">
        <w:rPr>
          <w:rFonts w:asciiTheme="majorBidi" w:hAnsiTheme="majorBidi" w:cstheme="majorBidi"/>
          <w:lang w:val="en-GB"/>
        </w:rPr>
        <w:t xml:space="preserve">, </w:t>
      </w:r>
      <w:r w:rsidR="00FA6686" w:rsidRPr="00A14631">
        <w:rPr>
          <w:rFonts w:asciiTheme="majorBidi" w:hAnsiTheme="majorBidi" w:cstheme="majorBidi"/>
          <w:lang w:val="en-GB"/>
        </w:rPr>
        <w:t>and P. Nordmann</w:t>
      </w:r>
      <w:r w:rsidR="00420CC5" w:rsidRPr="00A14631">
        <w:rPr>
          <w:rFonts w:asciiTheme="majorBidi" w:hAnsiTheme="majorBidi" w:cstheme="majorBidi"/>
          <w:lang w:val="en-GB"/>
        </w:rPr>
        <w:t xml:space="preserve">, </w:t>
      </w:r>
      <w:proofErr w:type="spellStart"/>
      <w:r w:rsidR="00420CC5" w:rsidRPr="00A14631">
        <w:rPr>
          <w:rFonts w:asciiTheme="majorBidi" w:hAnsiTheme="majorBidi" w:cstheme="majorBidi"/>
          <w:lang w:val="en-GB"/>
        </w:rPr>
        <w:t>Antimicr</w:t>
      </w:r>
      <w:r w:rsidR="00FA6686" w:rsidRPr="00A14631">
        <w:rPr>
          <w:rFonts w:asciiTheme="majorBidi" w:hAnsiTheme="majorBidi" w:cstheme="majorBidi"/>
          <w:lang w:val="en-GB"/>
        </w:rPr>
        <w:t>ob</w:t>
      </w:r>
      <w:proofErr w:type="spellEnd"/>
      <w:r w:rsidR="00FA6686" w:rsidRPr="00A14631">
        <w:rPr>
          <w:rFonts w:asciiTheme="majorBidi" w:hAnsiTheme="majorBidi" w:cstheme="majorBidi"/>
          <w:lang w:val="en-GB"/>
        </w:rPr>
        <w:t xml:space="preserve"> Agents </w:t>
      </w:r>
      <w:proofErr w:type="spellStart"/>
      <w:r w:rsidR="00FA6686" w:rsidRPr="00A14631">
        <w:rPr>
          <w:rFonts w:asciiTheme="majorBidi" w:hAnsiTheme="majorBidi" w:cstheme="majorBidi"/>
          <w:lang w:val="en-GB"/>
        </w:rPr>
        <w:t>Chemother</w:t>
      </w:r>
      <w:proofErr w:type="spellEnd"/>
      <w:r w:rsidR="00FA6686" w:rsidRPr="00A14631">
        <w:rPr>
          <w:rFonts w:asciiTheme="majorBidi" w:hAnsiTheme="majorBidi" w:cstheme="majorBidi"/>
          <w:lang w:val="en-GB"/>
        </w:rPr>
        <w:t xml:space="preserve">. </w:t>
      </w:r>
      <w:r w:rsidR="00FA6686" w:rsidRPr="00A14631">
        <w:rPr>
          <w:rFonts w:asciiTheme="majorBidi" w:hAnsiTheme="majorBidi" w:cstheme="majorBidi"/>
          <w:b/>
          <w:bCs/>
          <w:lang w:val="en-GB"/>
        </w:rPr>
        <w:t>58</w:t>
      </w:r>
      <w:r w:rsidR="00FA6686" w:rsidRPr="00A14631">
        <w:rPr>
          <w:rFonts w:asciiTheme="majorBidi" w:hAnsiTheme="majorBidi" w:cstheme="majorBidi"/>
          <w:lang w:val="en-GB"/>
        </w:rPr>
        <w:t>(5),</w:t>
      </w:r>
      <w:r w:rsidR="00420CC5" w:rsidRPr="00A14631">
        <w:rPr>
          <w:rFonts w:asciiTheme="majorBidi" w:hAnsiTheme="majorBidi" w:cstheme="majorBidi"/>
          <w:lang w:val="en-GB"/>
        </w:rPr>
        <w:t xml:space="preserve"> 2929–2933</w:t>
      </w:r>
      <w:r w:rsidR="00FA6686" w:rsidRPr="00A14631">
        <w:rPr>
          <w:rFonts w:asciiTheme="majorBidi" w:hAnsiTheme="majorBidi" w:cstheme="majorBidi"/>
          <w:lang w:val="en-GB"/>
        </w:rPr>
        <w:t xml:space="preserve"> (2014)</w:t>
      </w:r>
      <w:r w:rsidR="00420CC5" w:rsidRPr="00A14631">
        <w:rPr>
          <w:rFonts w:asciiTheme="majorBidi" w:hAnsiTheme="majorBidi" w:cstheme="majorBidi"/>
          <w:lang w:val="en-GB"/>
        </w:rPr>
        <w:t xml:space="preserve">. https://doi.org/10.1128%2FAAC.02047-13.  </w:t>
      </w:r>
    </w:p>
    <w:p w14:paraId="2FE3F942" w14:textId="1B17849C" w:rsidR="00420CC5" w:rsidRPr="00A14631" w:rsidRDefault="00FA6686" w:rsidP="00A81DF0">
      <w:pPr>
        <w:pStyle w:val="Reference"/>
        <w:ind w:left="450"/>
        <w:jc w:val="left"/>
        <w:rPr>
          <w:rFonts w:asciiTheme="majorBidi" w:hAnsiTheme="majorBidi" w:cstheme="majorBidi"/>
          <w:lang w:val="en-GB"/>
        </w:rPr>
      </w:pPr>
      <w:r w:rsidRPr="00A14631">
        <w:rPr>
          <w:rFonts w:asciiTheme="majorBidi" w:hAnsiTheme="majorBidi" w:cstheme="majorBidi"/>
          <w:lang w:val="en-GB"/>
        </w:rPr>
        <w:t xml:space="preserve">E.A. Ajeel, and R.K. Mohammed, Iraqi J </w:t>
      </w:r>
      <w:proofErr w:type="spellStart"/>
      <w:r w:rsidRPr="00A14631">
        <w:rPr>
          <w:rFonts w:asciiTheme="majorBidi" w:hAnsiTheme="majorBidi" w:cstheme="majorBidi"/>
          <w:lang w:val="en-GB"/>
        </w:rPr>
        <w:t>Biotechnol</w:t>
      </w:r>
      <w:proofErr w:type="spellEnd"/>
      <w:r w:rsidRPr="00A14631">
        <w:rPr>
          <w:rFonts w:asciiTheme="majorBidi" w:hAnsiTheme="majorBidi" w:cstheme="majorBidi"/>
          <w:lang w:val="en-GB"/>
        </w:rPr>
        <w:t xml:space="preserve">. </w:t>
      </w:r>
      <w:r w:rsidRPr="00A14631">
        <w:rPr>
          <w:rFonts w:asciiTheme="majorBidi" w:hAnsiTheme="majorBidi" w:cstheme="majorBidi"/>
          <w:b/>
          <w:bCs/>
          <w:lang w:val="en-GB"/>
        </w:rPr>
        <w:t>21</w:t>
      </w:r>
      <w:r w:rsidRPr="00A14631">
        <w:rPr>
          <w:rFonts w:asciiTheme="majorBidi" w:hAnsiTheme="majorBidi" w:cstheme="majorBidi"/>
          <w:lang w:val="en-GB"/>
        </w:rPr>
        <w:t>(2),</w:t>
      </w:r>
      <w:r w:rsidR="00420CC5" w:rsidRPr="00A14631">
        <w:rPr>
          <w:rFonts w:asciiTheme="majorBidi" w:hAnsiTheme="majorBidi" w:cstheme="majorBidi"/>
          <w:lang w:val="en-GB"/>
        </w:rPr>
        <w:t xml:space="preserve"> 400-408</w:t>
      </w:r>
      <w:r w:rsidRPr="00A14631">
        <w:rPr>
          <w:rFonts w:asciiTheme="majorBidi" w:hAnsiTheme="majorBidi" w:cstheme="majorBidi"/>
          <w:lang w:val="en-GB"/>
        </w:rPr>
        <w:t xml:space="preserve"> (2022)</w:t>
      </w:r>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I.J. </w:t>
      </w:r>
      <w:r w:rsidR="00420CC5" w:rsidRPr="00A14631">
        <w:rPr>
          <w:rFonts w:asciiTheme="majorBidi" w:hAnsiTheme="majorBidi" w:cstheme="majorBidi"/>
          <w:lang w:val="en-GB"/>
        </w:rPr>
        <w:t xml:space="preserve">Adeosun, </w:t>
      </w:r>
      <w:r w:rsidRPr="00A14631">
        <w:rPr>
          <w:rFonts w:asciiTheme="majorBidi" w:hAnsiTheme="majorBidi" w:cstheme="majorBidi"/>
          <w:lang w:val="en-GB"/>
        </w:rPr>
        <w:t>K.E. Oladipo</w:t>
      </w:r>
      <w:r w:rsidR="00420CC5" w:rsidRPr="00A14631">
        <w:rPr>
          <w:rFonts w:asciiTheme="majorBidi" w:hAnsiTheme="majorBidi" w:cstheme="majorBidi"/>
          <w:lang w:val="en-GB"/>
        </w:rPr>
        <w:t xml:space="preserve">, </w:t>
      </w:r>
      <w:r w:rsidRPr="00A14631">
        <w:rPr>
          <w:rFonts w:asciiTheme="majorBidi" w:hAnsiTheme="majorBidi" w:cstheme="majorBidi"/>
          <w:lang w:val="en-GB"/>
        </w:rPr>
        <w:t>O.A. Ajibade</w:t>
      </w:r>
      <w:r w:rsidR="00420CC5" w:rsidRPr="00A14631">
        <w:rPr>
          <w:rFonts w:asciiTheme="majorBidi" w:hAnsiTheme="majorBidi" w:cstheme="majorBidi"/>
          <w:lang w:val="en-GB"/>
        </w:rPr>
        <w:t xml:space="preserve">, </w:t>
      </w:r>
      <w:r w:rsidRPr="00A14631">
        <w:rPr>
          <w:rFonts w:asciiTheme="majorBidi" w:hAnsiTheme="majorBidi" w:cstheme="majorBidi"/>
          <w:lang w:val="en-GB"/>
        </w:rPr>
        <w:t>T.M. Olotu</w:t>
      </w:r>
      <w:r w:rsidR="00420CC5" w:rsidRPr="00A14631">
        <w:rPr>
          <w:rFonts w:asciiTheme="majorBidi" w:hAnsiTheme="majorBidi" w:cstheme="majorBidi"/>
          <w:lang w:val="en-GB"/>
        </w:rPr>
        <w:t xml:space="preserve">, </w:t>
      </w:r>
      <w:r w:rsidRPr="00A14631">
        <w:rPr>
          <w:rFonts w:asciiTheme="majorBidi" w:hAnsiTheme="majorBidi" w:cstheme="majorBidi"/>
          <w:lang w:val="en-GB"/>
        </w:rPr>
        <w:t>A.A. Oladipo</w:t>
      </w:r>
      <w:r w:rsidR="00420CC5" w:rsidRPr="00A14631">
        <w:rPr>
          <w:rFonts w:asciiTheme="majorBidi" w:hAnsiTheme="majorBidi" w:cstheme="majorBidi"/>
          <w:lang w:val="en-GB"/>
        </w:rPr>
        <w:t xml:space="preserve">, </w:t>
      </w:r>
      <w:r w:rsidRPr="00A14631">
        <w:rPr>
          <w:rFonts w:asciiTheme="majorBidi" w:hAnsiTheme="majorBidi" w:cstheme="majorBidi"/>
          <w:lang w:val="en-GB"/>
        </w:rPr>
        <w:t>and E.H. Awoyelu</w:t>
      </w:r>
      <w:r w:rsidR="00420CC5" w:rsidRPr="00A14631">
        <w:rPr>
          <w:rFonts w:asciiTheme="majorBidi" w:hAnsiTheme="majorBidi" w:cstheme="majorBidi"/>
          <w:lang w:val="en-GB"/>
        </w:rPr>
        <w:t>, Iraqi J Sci</w:t>
      </w:r>
      <w:r w:rsidRPr="00A14631">
        <w:rPr>
          <w:rFonts w:asciiTheme="majorBidi" w:hAnsiTheme="majorBidi" w:cstheme="majorBidi"/>
          <w:lang w:val="en-GB"/>
        </w:rPr>
        <w:t xml:space="preserve">. </w:t>
      </w:r>
      <w:r w:rsidR="00420CC5" w:rsidRPr="00A14631">
        <w:rPr>
          <w:rFonts w:asciiTheme="majorBidi" w:hAnsiTheme="majorBidi" w:cstheme="majorBidi"/>
          <w:lang w:val="en-GB"/>
        </w:rPr>
        <w:t>1423-1429</w:t>
      </w:r>
      <w:r w:rsidRPr="00A14631">
        <w:rPr>
          <w:rFonts w:asciiTheme="majorBidi" w:hAnsiTheme="majorBidi" w:cstheme="majorBidi"/>
          <w:lang w:val="en-GB"/>
        </w:rPr>
        <w:t xml:space="preserve"> (2019)</w:t>
      </w:r>
      <w:r w:rsidR="00420CC5" w:rsidRPr="00A14631">
        <w:rPr>
          <w:rFonts w:asciiTheme="majorBidi" w:hAnsiTheme="majorBidi" w:cstheme="majorBidi"/>
          <w:lang w:val="en-GB"/>
        </w:rPr>
        <w:t xml:space="preserve">. </w:t>
      </w:r>
      <w:r w:rsidRPr="00A14631">
        <w:rPr>
          <w:rFonts w:asciiTheme="majorBidi" w:hAnsiTheme="majorBidi" w:cstheme="majorBidi"/>
          <w:lang w:val="en-GB"/>
        </w:rPr>
        <w:t xml:space="preserve">M.S. </w:t>
      </w:r>
      <w:r w:rsidR="00420CC5" w:rsidRPr="00A14631">
        <w:rPr>
          <w:rFonts w:asciiTheme="majorBidi" w:hAnsiTheme="majorBidi" w:cstheme="majorBidi"/>
          <w:lang w:val="en-GB"/>
        </w:rPr>
        <w:t xml:space="preserve">Mustafa, </w:t>
      </w:r>
      <w:r w:rsidRPr="00A14631">
        <w:rPr>
          <w:rFonts w:asciiTheme="majorBidi" w:hAnsiTheme="majorBidi" w:cstheme="majorBidi"/>
          <w:lang w:val="en-GB"/>
        </w:rPr>
        <w:t xml:space="preserve">and R.M. </w:t>
      </w:r>
      <w:r w:rsidR="00420CC5" w:rsidRPr="00A14631">
        <w:rPr>
          <w:rFonts w:asciiTheme="majorBidi" w:hAnsiTheme="majorBidi" w:cstheme="majorBidi"/>
          <w:lang w:val="en-GB"/>
        </w:rPr>
        <w:t>Abdullah, Iraqi J Sci</w:t>
      </w:r>
      <w:r w:rsidRPr="00A14631">
        <w:rPr>
          <w:rFonts w:asciiTheme="majorBidi" w:hAnsiTheme="majorBidi" w:cstheme="majorBidi"/>
          <w:lang w:val="en-GB"/>
        </w:rPr>
        <w:t xml:space="preserve">. 2020; </w:t>
      </w:r>
      <w:r w:rsidRPr="00A14631">
        <w:rPr>
          <w:rFonts w:asciiTheme="majorBidi" w:hAnsiTheme="majorBidi" w:cstheme="majorBidi"/>
          <w:b/>
          <w:bCs/>
          <w:lang w:val="en-GB"/>
        </w:rPr>
        <w:t>61</w:t>
      </w:r>
      <w:r w:rsidRPr="00A14631">
        <w:rPr>
          <w:rFonts w:asciiTheme="majorBidi" w:hAnsiTheme="majorBidi" w:cstheme="majorBidi"/>
          <w:lang w:val="en-GB"/>
        </w:rPr>
        <w:t>(8),</w:t>
      </w:r>
      <w:r w:rsidR="00420CC5" w:rsidRPr="00A14631">
        <w:rPr>
          <w:rFonts w:asciiTheme="majorBidi" w:hAnsiTheme="majorBidi" w:cstheme="majorBidi"/>
          <w:lang w:val="en-GB"/>
        </w:rPr>
        <w:t xml:space="preserve"> 1902-1912</w:t>
      </w:r>
      <w:r w:rsidRPr="00A14631">
        <w:rPr>
          <w:rFonts w:asciiTheme="majorBidi" w:hAnsiTheme="majorBidi" w:cstheme="majorBidi"/>
          <w:lang w:val="en-GB"/>
        </w:rPr>
        <w:t xml:space="preserve"> (2020). https://doi.org/10.24996/ijs.2020.61.8.7</w:t>
      </w:r>
      <w:r w:rsidR="00420CC5" w:rsidRPr="00A14631">
        <w:rPr>
          <w:rFonts w:asciiTheme="majorBidi" w:hAnsiTheme="majorBidi" w:cstheme="majorBidi"/>
          <w:lang w:val="en-GB"/>
        </w:rPr>
        <w:t xml:space="preserve">. </w:t>
      </w:r>
    </w:p>
    <w:p w14:paraId="57DE2D6B" w14:textId="756AE207" w:rsidR="00420CC5" w:rsidRPr="005C3D97" w:rsidRDefault="00A15F8A"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S. Navon-Venezia</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K. </w:t>
      </w:r>
      <w:r w:rsidR="00420CC5" w:rsidRPr="005C3D97">
        <w:rPr>
          <w:rFonts w:asciiTheme="majorBidi" w:hAnsiTheme="majorBidi" w:cstheme="majorBidi"/>
          <w:lang w:val="en-GB"/>
        </w:rPr>
        <w:t>Kondratyev</w:t>
      </w:r>
      <w:r w:rsidRPr="005C3D97">
        <w:rPr>
          <w:rFonts w:asciiTheme="majorBidi" w:hAnsiTheme="majorBidi" w:cstheme="majorBidi"/>
          <w:lang w:val="en-GB"/>
        </w:rPr>
        <w:t>a</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and A. </w:t>
      </w:r>
      <w:proofErr w:type="spellStart"/>
      <w:r w:rsidRPr="005C3D97">
        <w:rPr>
          <w:rFonts w:asciiTheme="majorBidi" w:hAnsiTheme="majorBidi" w:cstheme="majorBidi"/>
          <w:lang w:val="en-GB"/>
        </w:rPr>
        <w:t>Carattoli</w:t>
      </w:r>
      <w:proofErr w:type="spellEnd"/>
      <w:r w:rsidR="00420CC5" w:rsidRPr="005C3D97">
        <w:rPr>
          <w:rFonts w:asciiTheme="majorBidi" w:hAnsiTheme="majorBidi" w:cstheme="majorBidi"/>
          <w:lang w:val="en-GB"/>
        </w:rPr>
        <w:t>,</w:t>
      </w:r>
      <w:r w:rsidR="00FA6686" w:rsidRPr="005C3D97">
        <w:rPr>
          <w:rFonts w:asciiTheme="majorBidi" w:hAnsiTheme="majorBidi" w:cstheme="majorBidi"/>
          <w:lang w:val="en-GB"/>
        </w:rPr>
        <w:t xml:space="preserve"> FEMS </w:t>
      </w:r>
      <w:proofErr w:type="spellStart"/>
      <w:r w:rsidR="00FA6686" w:rsidRPr="005C3D97">
        <w:rPr>
          <w:rFonts w:asciiTheme="majorBidi" w:hAnsiTheme="majorBidi" w:cstheme="majorBidi"/>
          <w:lang w:val="en-GB"/>
        </w:rPr>
        <w:t>Micrbiol</w:t>
      </w:r>
      <w:proofErr w:type="spellEnd"/>
      <w:r w:rsidR="00FA6686" w:rsidRPr="005C3D97">
        <w:rPr>
          <w:rFonts w:asciiTheme="majorBidi" w:hAnsiTheme="majorBidi" w:cstheme="majorBidi"/>
          <w:lang w:val="en-GB"/>
        </w:rPr>
        <w:t xml:space="preserve"> Rev. </w:t>
      </w:r>
      <w:r w:rsidR="00FA6686" w:rsidRPr="005C3D97">
        <w:rPr>
          <w:rFonts w:asciiTheme="majorBidi" w:hAnsiTheme="majorBidi" w:cstheme="majorBidi"/>
          <w:b/>
          <w:bCs/>
          <w:lang w:val="en-GB"/>
        </w:rPr>
        <w:t>41</w:t>
      </w:r>
      <w:r w:rsidR="00FA6686" w:rsidRPr="005C3D97">
        <w:rPr>
          <w:rFonts w:asciiTheme="majorBidi" w:hAnsiTheme="majorBidi" w:cstheme="majorBidi"/>
          <w:lang w:val="en-GB"/>
        </w:rPr>
        <w:t>(3),</w:t>
      </w:r>
      <w:r w:rsidR="00420CC5" w:rsidRPr="005C3D97">
        <w:rPr>
          <w:rFonts w:asciiTheme="majorBidi" w:hAnsiTheme="majorBidi" w:cstheme="majorBidi"/>
          <w:lang w:val="en-GB"/>
        </w:rPr>
        <w:t xml:space="preserve"> 252-275</w:t>
      </w:r>
      <w:r w:rsidR="00FA6686" w:rsidRPr="005C3D97">
        <w:rPr>
          <w:rFonts w:asciiTheme="majorBidi" w:hAnsiTheme="majorBidi" w:cstheme="majorBidi"/>
          <w:lang w:val="en-GB"/>
        </w:rPr>
        <w:t xml:space="preserve"> (2017)</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https://doi.org/10.1093/femsre/fux013</w:t>
      </w:r>
      <w:r w:rsidR="00420CC5" w:rsidRPr="005C3D97">
        <w:rPr>
          <w:rFonts w:asciiTheme="majorBidi" w:hAnsiTheme="majorBidi" w:cstheme="majorBidi"/>
          <w:lang w:val="en-GB"/>
        </w:rPr>
        <w:t xml:space="preserve">. </w:t>
      </w:r>
    </w:p>
    <w:p w14:paraId="018156EA" w14:textId="3D63D89D" w:rsidR="00420CC5" w:rsidRPr="005C3D97" w:rsidRDefault="00A15F8A"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lastRenderedPageBreak/>
        <w:t xml:space="preserve">F. </w:t>
      </w:r>
      <w:proofErr w:type="spellStart"/>
      <w:r w:rsidRPr="005C3D97">
        <w:rPr>
          <w:rFonts w:asciiTheme="majorBidi" w:hAnsiTheme="majorBidi" w:cstheme="majorBidi"/>
          <w:lang w:val="en-GB"/>
        </w:rPr>
        <w:t>Amereh</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M.R. </w:t>
      </w:r>
      <w:proofErr w:type="spellStart"/>
      <w:r w:rsidR="00420CC5" w:rsidRPr="005C3D97">
        <w:rPr>
          <w:rFonts w:asciiTheme="majorBidi" w:hAnsiTheme="majorBidi" w:cstheme="majorBidi"/>
          <w:lang w:val="en-GB"/>
        </w:rPr>
        <w:t>Arabe</w:t>
      </w:r>
      <w:r w:rsidRPr="005C3D97">
        <w:rPr>
          <w:rFonts w:asciiTheme="majorBidi" w:hAnsiTheme="majorBidi" w:cstheme="majorBidi"/>
          <w:lang w:val="en-GB"/>
        </w:rPr>
        <w:t>stani</w:t>
      </w:r>
      <w:proofErr w:type="spellEnd"/>
      <w:r w:rsidRPr="005C3D97">
        <w:rPr>
          <w:rFonts w:asciiTheme="majorBidi" w:hAnsiTheme="majorBidi" w:cstheme="majorBidi"/>
          <w:lang w:val="en-GB"/>
        </w:rPr>
        <w:t xml:space="preserve">, and L. </w:t>
      </w:r>
      <w:proofErr w:type="spellStart"/>
      <w:r w:rsidRPr="005C3D97">
        <w:rPr>
          <w:rFonts w:asciiTheme="majorBidi" w:hAnsiTheme="majorBidi" w:cstheme="majorBidi"/>
          <w:lang w:val="en-GB"/>
        </w:rPr>
        <w:t>Shokoohizadeh</w:t>
      </w:r>
      <w:proofErr w:type="spellEnd"/>
      <w:r w:rsidR="00420CC5" w:rsidRPr="005C3D97">
        <w:rPr>
          <w:rFonts w:asciiTheme="majorBidi" w:hAnsiTheme="majorBidi" w:cstheme="majorBidi"/>
          <w:lang w:val="en-GB"/>
        </w:rPr>
        <w:t>, Iran</w:t>
      </w:r>
      <w:r w:rsidRPr="005C3D97">
        <w:rPr>
          <w:rFonts w:asciiTheme="majorBidi" w:hAnsiTheme="majorBidi" w:cstheme="majorBidi"/>
          <w:lang w:val="en-GB"/>
        </w:rPr>
        <w:t xml:space="preserve">ian J Basic Med Sci. </w:t>
      </w:r>
      <w:r w:rsidRPr="005C3D97">
        <w:rPr>
          <w:rFonts w:asciiTheme="majorBidi" w:hAnsiTheme="majorBidi" w:cstheme="majorBidi"/>
          <w:b/>
          <w:bCs/>
          <w:lang w:val="en-GB"/>
        </w:rPr>
        <w:t>26</w:t>
      </w:r>
      <w:r w:rsidRPr="005C3D97">
        <w:rPr>
          <w:rFonts w:asciiTheme="majorBidi" w:hAnsiTheme="majorBidi" w:cstheme="majorBidi"/>
          <w:lang w:val="en-GB"/>
        </w:rPr>
        <w:t>(1),</w:t>
      </w:r>
      <w:r w:rsidR="00420CC5" w:rsidRPr="005C3D97">
        <w:rPr>
          <w:rFonts w:asciiTheme="majorBidi" w:hAnsiTheme="majorBidi" w:cstheme="majorBidi"/>
          <w:lang w:val="en-GB"/>
        </w:rPr>
        <w:t xml:space="preserve"> 93-98</w:t>
      </w:r>
      <w:r w:rsidRPr="005C3D97">
        <w:rPr>
          <w:rFonts w:asciiTheme="majorBidi" w:hAnsiTheme="majorBidi" w:cstheme="majorBidi"/>
          <w:lang w:val="en-GB"/>
        </w:rPr>
        <w:t xml:space="preserve"> (2023)</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https://doi.org/10.22038%2FIJBMS.2022.67095.14714</w:t>
      </w:r>
      <w:r w:rsidR="00420CC5" w:rsidRPr="005C3D97">
        <w:rPr>
          <w:rFonts w:asciiTheme="majorBidi" w:hAnsiTheme="majorBidi" w:cstheme="majorBidi"/>
          <w:lang w:val="en-GB"/>
        </w:rPr>
        <w:t xml:space="preserve">. </w:t>
      </w:r>
    </w:p>
    <w:p w14:paraId="59EFF7D8" w14:textId="6EC70373" w:rsidR="00420CC5" w:rsidRPr="005C3D97" w:rsidRDefault="00A15F8A"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O. </w:t>
      </w:r>
      <w:proofErr w:type="spellStart"/>
      <w:r w:rsidRPr="005C3D97">
        <w:rPr>
          <w:rFonts w:asciiTheme="majorBidi" w:hAnsiTheme="majorBidi" w:cstheme="majorBidi"/>
          <w:lang w:val="en-GB"/>
        </w:rPr>
        <w:t>Albarri</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 </w:t>
      </w:r>
      <w:proofErr w:type="spellStart"/>
      <w:r w:rsidRPr="005C3D97">
        <w:rPr>
          <w:rFonts w:asciiTheme="majorBidi" w:hAnsiTheme="majorBidi" w:cstheme="majorBidi"/>
          <w:lang w:val="en-GB"/>
        </w:rPr>
        <w:t>AlMatar</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M.M. </w:t>
      </w:r>
      <w:r w:rsidR="00420CC5" w:rsidRPr="005C3D97">
        <w:rPr>
          <w:rFonts w:asciiTheme="majorBidi" w:hAnsiTheme="majorBidi" w:cstheme="majorBidi"/>
          <w:lang w:val="en-GB"/>
        </w:rPr>
        <w:t xml:space="preserve">Öcal, </w:t>
      </w:r>
      <w:r w:rsidRPr="005C3D97">
        <w:rPr>
          <w:rFonts w:asciiTheme="majorBidi" w:hAnsiTheme="majorBidi" w:cstheme="majorBidi"/>
          <w:lang w:val="en-GB"/>
        </w:rPr>
        <w:t xml:space="preserve">and F. </w:t>
      </w:r>
      <w:r w:rsidR="00420CC5" w:rsidRPr="005C3D97">
        <w:rPr>
          <w:rFonts w:asciiTheme="majorBidi" w:hAnsiTheme="majorBidi" w:cstheme="majorBidi"/>
          <w:lang w:val="en-GB"/>
        </w:rPr>
        <w:t>Köksal, Curr Prote</w:t>
      </w:r>
      <w:r w:rsidRPr="005C3D97">
        <w:rPr>
          <w:rFonts w:asciiTheme="majorBidi" w:hAnsiTheme="majorBidi" w:cstheme="majorBidi"/>
          <w:lang w:val="en-GB"/>
        </w:rPr>
        <w:t xml:space="preserve">in Peptide Sci. </w:t>
      </w:r>
      <w:r w:rsidRPr="005C3D97">
        <w:rPr>
          <w:rFonts w:asciiTheme="majorBidi" w:hAnsiTheme="majorBidi" w:cstheme="majorBidi"/>
          <w:b/>
          <w:bCs/>
          <w:lang w:val="en-GB"/>
        </w:rPr>
        <w:t>23</w:t>
      </w:r>
      <w:r w:rsidRPr="005C3D97">
        <w:rPr>
          <w:rFonts w:asciiTheme="majorBidi" w:hAnsiTheme="majorBidi" w:cstheme="majorBidi"/>
          <w:lang w:val="en-GB"/>
        </w:rPr>
        <w:t>(5),</w:t>
      </w:r>
      <w:r w:rsidR="00420CC5" w:rsidRPr="005C3D97">
        <w:rPr>
          <w:rFonts w:asciiTheme="majorBidi" w:hAnsiTheme="majorBidi" w:cstheme="majorBidi"/>
          <w:lang w:val="en-GB"/>
        </w:rPr>
        <w:t xml:space="preserve"> 356-368</w:t>
      </w:r>
      <w:r w:rsidRPr="005C3D97">
        <w:rPr>
          <w:rFonts w:asciiTheme="majorBidi" w:hAnsiTheme="majorBidi" w:cstheme="majorBidi"/>
          <w:lang w:val="en-GB"/>
        </w:rPr>
        <w:t xml:space="preserve"> (2022)</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https://doi.org/10.2174/1389203723666220630162920</w:t>
      </w:r>
      <w:r w:rsidR="00420CC5" w:rsidRPr="005C3D97">
        <w:rPr>
          <w:rFonts w:asciiTheme="majorBidi" w:hAnsiTheme="majorBidi" w:cstheme="majorBidi"/>
          <w:lang w:val="en-GB"/>
        </w:rPr>
        <w:t xml:space="preserve">. </w:t>
      </w:r>
    </w:p>
    <w:p w14:paraId="6603F315" w14:textId="42E0A6F7" w:rsidR="00420CC5" w:rsidRPr="005C3D97" w:rsidRDefault="00A15F8A"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B.M. Gabr, A.S.A. Zamzam, E.A. Eisa</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G.F. </w:t>
      </w:r>
      <w:r w:rsidR="00420CC5" w:rsidRPr="005C3D97">
        <w:rPr>
          <w:rFonts w:asciiTheme="majorBidi" w:hAnsiTheme="majorBidi" w:cstheme="majorBidi"/>
          <w:lang w:val="en-GB"/>
        </w:rPr>
        <w:t>El-</w:t>
      </w:r>
      <w:proofErr w:type="spellStart"/>
      <w:r w:rsidR="00420CC5" w:rsidRPr="005C3D97">
        <w:rPr>
          <w:rFonts w:asciiTheme="majorBidi" w:hAnsiTheme="majorBidi" w:cstheme="majorBidi"/>
          <w:lang w:val="en-GB"/>
        </w:rPr>
        <w:t>Baradey</w:t>
      </w:r>
      <w:proofErr w:type="spellEnd"/>
      <w:r w:rsidR="00420CC5" w:rsidRPr="005C3D97">
        <w:rPr>
          <w:rFonts w:asciiTheme="majorBidi" w:hAnsiTheme="majorBidi" w:cstheme="majorBidi"/>
          <w:lang w:val="en-GB"/>
        </w:rPr>
        <w:t>,</w:t>
      </w:r>
      <w:r w:rsidRPr="005C3D97">
        <w:rPr>
          <w:rFonts w:asciiTheme="majorBidi" w:hAnsiTheme="majorBidi" w:cstheme="majorBidi"/>
          <w:lang w:val="en-GB"/>
        </w:rPr>
        <w:t xml:space="preserve"> and</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M.A.S. </w:t>
      </w:r>
      <w:r w:rsidR="00420CC5" w:rsidRPr="005C3D97">
        <w:rPr>
          <w:rFonts w:asciiTheme="majorBidi" w:hAnsiTheme="majorBidi" w:cstheme="majorBidi"/>
          <w:lang w:val="en-GB"/>
        </w:rPr>
        <w:t>Eldeen</w:t>
      </w:r>
      <w:r w:rsidRPr="005C3D97">
        <w:rPr>
          <w:rFonts w:asciiTheme="majorBidi" w:hAnsiTheme="majorBidi" w:cstheme="majorBidi"/>
          <w:lang w:val="en-GB"/>
        </w:rPr>
        <w:t>, J Acute Dis.</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10</w:t>
      </w:r>
      <w:r w:rsidRPr="005C3D97">
        <w:rPr>
          <w:rFonts w:asciiTheme="majorBidi" w:hAnsiTheme="majorBidi" w:cstheme="majorBidi"/>
          <w:lang w:val="en-GB"/>
        </w:rPr>
        <w:t>(3),</w:t>
      </w:r>
      <w:r w:rsidR="00420CC5" w:rsidRPr="005C3D97">
        <w:rPr>
          <w:rFonts w:asciiTheme="majorBidi" w:hAnsiTheme="majorBidi" w:cstheme="majorBidi"/>
          <w:lang w:val="en-GB"/>
        </w:rPr>
        <w:t xml:space="preserve"> 117-121</w:t>
      </w:r>
      <w:r w:rsidRPr="005C3D97">
        <w:rPr>
          <w:rFonts w:asciiTheme="majorBidi" w:hAnsiTheme="majorBidi" w:cstheme="majorBidi"/>
          <w:lang w:val="en-GB"/>
        </w:rPr>
        <w:t>(2022)</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https://doi.org/10.4103/2221-6189.316676</w:t>
      </w:r>
      <w:r w:rsidR="00420CC5" w:rsidRPr="005C3D97">
        <w:rPr>
          <w:rFonts w:asciiTheme="majorBidi" w:hAnsiTheme="majorBidi" w:cstheme="majorBidi"/>
          <w:lang w:val="en-GB"/>
        </w:rPr>
        <w:t>.</w:t>
      </w:r>
    </w:p>
    <w:p w14:paraId="40915B39" w14:textId="09B07F7A" w:rsidR="00420CC5" w:rsidRPr="005C3D97" w:rsidRDefault="00A472A1"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Z. </w:t>
      </w:r>
      <w:proofErr w:type="spellStart"/>
      <w:r w:rsidRPr="005C3D97">
        <w:rPr>
          <w:rFonts w:asciiTheme="majorBidi" w:hAnsiTheme="majorBidi" w:cstheme="majorBidi"/>
          <w:lang w:val="en-GB"/>
        </w:rPr>
        <w:t>Mahmmudi</w:t>
      </w:r>
      <w:proofErr w:type="spellEnd"/>
      <w:r w:rsidRPr="005C3D97">
        <w:rPr>
          <w:rFonts w:asciiTheme="majorBidi" w:hAnsiTheme="majorBidi" w:cstheme="majorBidi"/>
          <w:lang w:val="en-GB"/>
        </w:rPr>
        <w:t xml:space="preserve">, A. Emami, and A. </w:t>
      </w:r>
      <w:proofErr w:type="spellStart"/>
      <w:r w:rsidRPr="005C3D97">
        <w:rPr>
          <w:rFonts w:asciiTheme="majorBidi" w:hAnsiTheme="majorBidi" w:cstheme="majorBidi"/>
          <w:lang w:val="en-GB"/>
        </w:rPr>
        <w:t>Gorzin</w:t>
      </w:r>
      <w:proofErr w:type="spellEnd"/>
      <w:r w:rsidRPr="005C3D97">
        <w:rPr>
          <w:rFonts w:asciiTheme="majorBidi" w:hAnsiTheme="majorBidi" w:cstheme="majorBidi"/>
          <w:lang w:val="en-GB"/>
        </w:rPr>
        <w:t xml:space="preserve">, </w:t>
      </w:r>
      <w:r w:rsidR="00420CC5" w:rsidRPr="005C3D97">
        <w:rPr>
          <w:rFonts w:asciiTheme="majorBidi" w:hAnsiTheme="majorBidi" w:cstheme="majorBidi"/>
          <w:lang w:val="en-GB"/>
        </w:rPr>
        <w:t xml:space="preserve">Int </w:t>
      </w:r>
      <w:r w:rsidRPr="005C3D97">
        <w:rPr>
          <w:rFonts w:asciiTheme="majorBidi" w:hAnsiTheme="majorBidi" w:cstheme="majorBidi"/>
          <w:lang w:val="en-GB"/>
        </w:rPr>
        <w:t xml:space="preserve">J Adv </w:t>
      </w:r>
      <w:proofErr w:type="spellStart"/>
      <w:r w:rsidRPr="005C3D97">
        <w:rPr>
          <w:rFonts w:asciiTheme="majorBidi" w:hAnsiTheme="majorBidi" w:cstheme="majorBidi"/>
          <w:lang w:val="en-GB"/>
        </w:rPr>
        <w:t>Biotechnol</w:t>
      </w:r>
      <w:proofErr w:type="spellEnd"/>
      <w:r w:rsidRPr="005C3D97">
        <w:rPr>
          <w:rFonts w:asciiTheme="majorBidi" w:hAnsiTheme="majorBidi" w:cstheme="majorBidi"/>
          <w:lang w:val="en-GB"/>
        </w:rPr>
        <w:t xml:space="preserve"> Res. </w:t>
      </w:r>
      <w:r w:rsidRPr="005C3D97">
        <w:rPr>
          <w:rFonts w:asciiTheme="majorBidi" w:hAnsiTheme="majorBidi" w:cstheme="majorBidi"/>
          <w:b/>
          <w:bCs/>
          <w:lang w:val="en-GB"/>
        </w:rPr>
        <w:t>7</w:t>
      </w:r>
      <w:r w:rsidRPr="005C3D97">
        <w:rPr>
          <w:rFonts w:asciiTheme="majorBidi" w:hAnsiTheme="majorBidi" w:cstheme="majorBidi"/>
          <w:lang w:val="en-GB"/>
        </w:rPr>
        <w:t>(2),</w:t>
      </w:r>
      <w:r w:rsidR="00420CC5" w:rsidRPr="005C3D97">
        <w:rPr>
          <w:rFonts w:asciiTheme="majorBidi" w:hAnsiTheme="majorBidi" w:cstheme="majorBidi"/>
          <w:lang w:val="en-GB"/>
        </w:rPr>
        <w:t xml:space="preserve"> 102-110</w:t>
      </w:r>
      <w:r w:rsidRPr="005C3D97">
        <w:rPr>
          <w:rFonts w:asciiTheme="majorBidi" w:hAnsiTheme="majorBidi" w:cstheme="majorBidi"/>
          <w:lang w:val="en-GB"/>
        </w:rPr>
        <w:t xml:space="preserve"> (2016)</w:t>
      </w:r>
      <w:r w:rsidR="00420CC5" w:rsidRPr="005C3D97">
        <w:rPr>
          <w:rFonts w:asciiTheme="majorBidi" w:hAnsiTheme="majorBidi" w:cstheme="majorBidi"/>
          <w:lang w:val="en-GB"/>
        </w:rPr>
        <w:t>.</w:t>
      </w:r>
    </w:p>
    <w:p w14:paraId="23657772" w14:textId="1A576DB4" w:rsidR="00420CC5" w:rsidRPr="005C3D97" w:rsidRDefault="00A472A1"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D. </w:t>
      </w:r>
      <w:proofErr w:type="spellStart"/>
      <w:r w:rsidRPr="005C3D97">
        <w:rPr>
          <w:rFonts w:asciiTheme="majorBidi" w:hAnsiTheme="majorBidi" w:cstheme="majorBidi"/>
          <w:lang w:val="en-GB"/>
        </w:rPr>
        <w:t>Venieri</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A. </w:t>
      </w:r>
      <w:proofErr w:type="spellStart"/>
      <w:r w:rsidRPr="005C3D97">
        <w:rPr>
          <w:rFonts w:asciiTheme="majorBidi" w:hAnsiTheme="majorBidi" w:cstheme="majorBidi"/>
          <w:lang w:val="en-GB"/>
        </w:rPr>
        <w:t>Fraggedaki</w:t>
      </w:r>
      <w:proofErr w:type="spellEnd"/>
      <w:r w:rsidR="00420CC5" w:rsidRPr="005C3D97">
        <w:rPr>
          <w:rFonts w:asciiTheme="majorBidi" w:hAnsiTheme="majorBidi" w:cstheme="majorBidi"/>
          <w:lang w:val="en-GB"/>
        </w:rPr>
        <w:t xml:space="preserve">, </w:t>
      </w:r>
      <w:r w:rsidRPr="005C3D97">
        <w:rPr>
          <w:rFonts w:asciiTheme="majorBidi" w:hAnsiTheme="majorBidi" w:cstheme="majorBidi"/>
          <w:lang w:val="en-GB"/>
        </w:rPr>
        <w:t>V. Binas</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A. Zachopoulos, G. </w:t>
      </w:r>
      <w:proofErr w:type="spellStart"/>
      <w:r w:rsidRPr="005C3D97">
        <w:rPr>
          <w:rFonts w:asciiTheme="majorBidi" w:hAnsiTheme="majorBidi" w:cstheme="majorBidi"/>
          <w:lang w:val="en-GB"/>
        </w:rPr>
        <w:t>Kiriakidis</w:t>
      </w:r>
      <w:proofErr w:type="spellEnd"/>
      <w:r w:rsidRPr="005C3D97">
        <w:rPr>
          <w:rFonts w:asciiTheme="majorBidi" w:hAnsiTheme="majorBidi" w:cstheme="majorBidi"/>
          <w:lang w:val="en-GB"/>
        </w:rPr>
        <w:t xml:space="preserve">, and D. </w:t>
      </w:r>
      <w:proofErr w:type="spellStart"/>
      <w:r w:rsidRPr="005C3D97">
        <w:rPr>
          <w:rFonts w:asciiTheme="majorBidi" w:hAnsiTheme="majorBidi" w:cstheme="majorBidi"/>
          <w:lang w:val="en-GB"/>
        </w:rPr>
        <w:t>Mantzavinos</w:t>
      </w:r>
      <w:proofErr w:type="spellEnd"/>
      <w:r w:rsidRPr="005C3D97">
        <w:rPr>
          <w:rFonts w:asciiTheme="majorBidi" w:hAnsiTheme="majorBidi" w:cstheme="majorBidi"/>
          <w:lang w:val="en-GB"/>
        </w:rPr>
        <w:t>,</w:t>
      </w:r>
      <w:r w:rsidR="00420CC5" w:rsidRPr="005C3D97">
        <w:rPr>
          <w:rFonts w:asciiTheme="majorBidi" w:hAnsiTheme="majorBidi" w:cstheme="majorBidi"/>
          <w:lang w:val="en-GB"/>
        </w:rPr>
        <w:t xml:space="preserve"> </w:t>
      </w:r>
      <w:proofErr w:type="spellStart"/>
      <w:r w:rsidR="00420CC5" w:rsidRPr="005C3D97">
        <w:rPr>
          <w:rFonts w:asciiTheme="majorBidi" w:hAnsiTheme="majorBidi" w:cstheme="majorBidi"/>
          <w:lang w:val="en-GB"/>
        </w:rPr>
        <w:t>Phot</w:t>
      </w:r>
      <w:r w:rsidRPr="005C3D97">
        <w:rPr>
          <w:rFonts w:asciiTheme="majorBidi" w:hAnsiTheme="majorBidi" w:cstheme="majorBidi"/>
          <w:lang w:val="en-GB"/>
        </w:rPr>
        <w:t>ochem</w:t>
      </w:r>
      <w:proofErr w:type="spellEnd"/>
      <w:r w:rsidRPr="005C3D97">
        <w:rPr>
          <w:rFonts w:asciiTheme="majorBidi" w:hAnsiTheme="majorBidi" w:cstheme="majorBidi"/>
          <w:lang w:val="en-GB"/>
        </w:rPr>
        <w:t xml:space="preserve"> </w:t>
      </w:r>
      <w:proofErr w:type="spellStart"/>
      <w:r w:rsidRPr="005C3D97">
        <w:rPr>
          <w:rFonts w:asciiTheme="majorBidi" w:hAnsiTheme="majorBidi" w:cstheme="majorBidi"/>
          <w:lang w:val="en-GB"/>
        </w:rPr>
        <w:t>Photobiol</w:t>
      </w:r>
      <w:proofErr w:type="spellEnd"/>
      <w:r w:rsidRPr="005C3D97">
        <w:rPr>
          <w:rFonts w:asciiTheme="majorBidi" w:hAnsiTheme="majorBidi" w:cstheme="majorBidi"/>
          <w:lang w:val="en-GB"/>
        </w:rPr>
        <w:t xml:space="preserve"> Sci. </w:t>
      </w:r>
      <w:r w:rsidRPr="005C3D97">
        <w:rPr>
          <w:rFonts w:asciiTheme="majorBidi" w:hAnsiTheme="majorBidi" w:cstheme="majorBidi"/>
          <w:b/>
          <w:bCs/>
          <w:lang w:val="en-GB"/>
        </w:rPr>
        <w:t>14</w:t>
      </w:r>
      <w:r w:rsidRPr="005C3D97">
        <w:rPr>
          <w:rFonts w:asciiTheme="majorBidi" w:hAnsiTheme="majorBidi" w:cstheme="majorBidi"/>
          <w:lang w:val="en-GB"/>
        </w:rPr>
        <w:t>(3),</w:t>
      </w:r>
      <w:r w:rsidR="00420CC5" w:rsidRPr="005C3D97">
        <w:rPr>
          <w:rFonts w:asciiTheme="majorBidi" w:hAnsiTheme="majorBidi" w:cstheme="majorBidi"/>
          <w:lang w:val="en-GB"/>
        </w:rPr>
        <w:t xml:space="preserve"> 506-513</w:t>
      </w:r>
      <w:r w:rsidRPr="005C3D97">
        <w:rPr>
          <w:rFonts w:asciiTheme="majorBidi" w:hAnsiTheme="majorBidi" w:cstheme="majorBidi"/>
          <w:lang w:val="en-GB"/>
        </w:rPr>
        <w:t xml:space="preserve"> (2015)</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https://doi.org/10.1039/c4pp00291a</w:t>
      </w:r>
      <w:r w:rsidR="00420CC5" w:rsidRPr="005C3D97">
        <w:rPr>
          <w:rFonts w:asciiTheme="majorBidi" w:hAnsiTheme="majorBidi" w:cstheme="majorBidi"/>
          <w:lang w:val="en-GB"/>
        </w:rPr>
        <w:t xml:space="preserve">. </w:t>
      </w:r>
    </w:p>
    <w:p w14:paraId="06A40CCF" w14:textId="6D05DBBC" w:rsidR="00420CC5" w:rsidRPr="005C3D97" w:rsidRDefault="00A472A1"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R. Hassan</w:t>
      </w:r>
      <w:r w:rsidR="00420CC5" w:rsidRPr="005C3D97">
        <w:rPr>
          <w:rFonts w:asciiTheme="majorBidi" w:hAnsiTheme="majorBidi" w:cstheme="majorBidi"/>
          <w:lang w:val="en-GB"/>
        </w:rPr>
        <w:t xml:space="preserve">, </w:t>
      </w:r>
      <w:r w:rsidRPr="005C3D97">
        <w:rPr>
          <w:rFonts w:asciiTheme="majorBidi" w:hAnsiTheme="majorBidi" w:cstheme="majorBidi"/>
          <w:lang w:val="en-GB"/>
        </w:rPr>
        <w:t>R. Barwa</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M.I. </w:t>
      </w:r>
      <w:r w:rsidR="00420CC5" w:rsidRPr="005C3D97">
        <w:rPr>
          <w:rFonts w:asciiTheme="majorBidi" w:hAnsiTheme="majorBidi" w:cstheme="majorBidi"/>
          <w:lang w:val="en-GB"/>
        </w:rPr>
        <w:t xml:space="preserve">Shaaban, </w:t>
      </w:r>
      <w:r w:rsidRPr="005C3D97">
        <w:rPr>
          <w:rFonts w:asciiTheme="majorBidi" w:hAnsiTheme="majorBidi" w:cstheme="majorBidi"/>
          <w:lang w:val="en-GB"/>
        </w:rPr>
        <w:t xml:space="preserve">and L. Adel, </w:t>
      </w:r>
      <w:proofErr w:type="spellStart"/>
      <w:r w:rsidR="00420CC5" w:rsidRPr="005C3D97">
        <w:rPr>
          <w:rFonts w:asciiTheme="majorBidi" w:hAnsiTheme="majorBidi" w:cstheme="majorBidi"/>
          <w:lang w:val="en-GB"/>
        </w:rPr>
        <w:t>Afric</w:t>
      </w:r>
      <w:proofErr w:type="spellEnd"/>
      <w:r w:rsidR="00420CC5" w:rsidRPr="005C3D97">
        <w:rPr>
          <w:rFonts w:asciiTheme="majorBidi" w:hAnsiTheme="majorBidi" w:cstheme="majorBidi"/>
          <w:lang w:val="en-GB"/>
        </w:rPr>
        <w:t xml:space="preserve"> J </w:t>
      </w:r>
      <w:proofErr w:type="spellStart"/>
      <w:r w:rsidR="00420CC5" w:rsidRPr="005C3D97">
        <w:rPr>
          <w:rFonts w:asciiTheme="majorBidi" w:hAnsiTheme="majorBidi" w:cstheme="majorBidi"/>
          <w:lang w:val="en-GB"/>
        </w:rPr>
        <w:t>Microbiol</w:t>
      </w:r>
      <w:proofErr w:type="spellEnd"/>
      <w:r w:rsidR="00420CC5" w:rsidRPr="005C3D97">
        <w:rPr>
          <w:rFonts w:asciiTheme="majorBidi" w:hAnsiTheme="majorBidi" w:cstheme="majorBidi"/>
          <w:lang w:val="en-GB"/>
        </w:rPr>
        <w:t xml:space="preserve"> Res</w:t>
      </w:r>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9</w:t>
      </w:r>
      <w:r w:rsidRPr="005C3D97">
        <w:rPr>
          <w:rFonts w:asciiTheme="majorBidi" w:hAnsiTheme="majorBidi" w:cstheme="majorBidi"/>
          <w:lang w:val="en-GB"/>
        </w:rPr>
        <w:t>(9),</w:t>
      </w:r>
      <w:r w:rsidR="00420CC5" w:rsidRPr="005C3D97">
        <w:rPr>
          <w:rFonts w:asciiTheme="majorBidi" w:hAnsiTheme="majorBidi" w:cstheme="majorBidi"/>
          <w:lang w:val="en-GB"/>
        </w:rPr>
        <w:t xml:space="preserve"> 621-630</w:t>
      </w:r>
      <w:r w:rsidRPr="005C3D97">
        <w:rPr>
          <w:rFonts w:asciiTheme="majorBidi" w:hAnsiTheme="majorBidi" w:cstheme="majorBidi"/>
          <w:lang w:val="en-GB"/>
        </w:rPr>
        <w:t xml:space="preserve"> (2015)</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https://doi.org/10.5897/AJMR2014.7256</w:t>
      </w:r>
      <w:r w:rsidR="00420CC5" w:rsidRPr="005C3D97">
        <w:rPr>
          <w:rFonts w:asciiTheme="majorBidi" w:hAnsiTheme="majorBidi" w:cstheme="majorBidi"/>
          <w:lang w:val="en-GB"/>
        </w:rPr>
        <w:t xml:space="preserve">. </w:t>
      </w:r>
    </w:p>
    <w:p w14:paraId="5E8C241C" w14:textId="65AB9D6B" w:rsidR="00420CC5" w:rsidRPr="005C3D97" w:rsidRDefault="00A472A1"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R. Wasfi</w:t>
      </w:r>
      <w:r w:rsidR="00420CC5" w:rsidRPr="005C3D97">
        <w:rPr>
          <w:rFonts w:asciiTheme="majorBidi" w:hAnsiTheme="majorBidi" w:cstheme="majorBidi"/>
          <w:lang w:val="en-GB"/>
        </w:rPr>
        <w:t xml:space="preserve">, </w:t>
      </w:r>
      <w:r w:rsidRPr="005C3D97">
        <w:rPr>
          <w:rFonts w:asciiTheme="majorBidi" w:hAnsiTheme="majorBidi" w:cstheme="majorBidi"/>
          <w:lang w:val="en-GB"/>
        </w:rPr>
        <w:t>W. Elkhatib</w:t>
      </w:r>
      <w:r w:rsidR="00420CC5" w:rsidRPr="005C3D97">
        <w:rPr>
          <w:rFonts w:asciiTheme="majorBidi" w:hAnsiTheme="majorBidi" w:cstheme="majorBidi"/>
          <w:lang w:val="en-GB"/>
        </w:rPr>
        <w:t xml:space="preserve">, </w:t>
      </w:r>
      <w:r w:rsidRPr="005C3D97">
        <w:rPr>
          <w:rFonts w:asciiTheme="majorBidi" w:hAnsiTheme="majorBidi" w:cstheme="majorBidi"/>
          <w:lang w:val="en-GB"/>
        </w:rPr>
        <w:t xml:space="preserve">and H. </w:t>
      </w:r>
      <w:proofErr w:type="gramStart"/>
      <w:r w:rsidR="00420CC5" w:rsidRPr="005C3D97">
        <w:rPr>
          <w:rFonts w:asciiTheme="majorBidi" w:hAnsiTheme="majorBidi" w:cstheme="majorBidi"/>
          <w:lang w:val="en-GB"/>
        </w:rPr>
        <w:t>Ashour</w:t>
      </w:r>
      <w:r w:rsidRPr="005C3D97">
        <w:rPr>
          <w:rFonts w:asciiTheme="majorBidi" w:hAnsiTheme="majorBidi" w:cstheme="majorBidi"/>
          <w:lang w:val="en-GB"/>
        </w:rPr>
        <w:t>,.</w:t>
      </w:r>
      <w:proofErr w:type="gramEnd"/>
      <w:r w:rsidRPr="005C3D97">
        <w:rPr>
          <w:rFonts w:asciiTheme="majorBidi" w:hAnsiTheme="majorBidi" w:cstheme="majorBidi"/>
          <w:lang w:val="en-GB"/>
        </w:rPr>
        <w:t xml:space="preserve"> Scient Rep. </w:t>
      </w:r>
      <w:r w:rsidRPr="005C3D97">
        <w:rPr>
          <w:rFonts w:asciiTheme="majorBidi" w:hAnsiTheme="majorBidi" w:cstheme="majorBidi"/>
          <w:b/>
          <w:bCs/>
          <w:lang w:val="en-GB"/>
        </w:rPr>
        <w:t>6</w:t>
      </w:r>
      <w:r w:rsidRPr="005C3D97">
        <w:rPr>
          <w:rFonts w:asciiTheme="majorBidi" w:hAnsiTheme="majorBidi" w:cstheme="majorBidi"/>
          <w:lang w:val="en-GB"/>
        </w:rPr>
        <w:t>,</w:t>
      </w:r>
      <w:r w:rsidR="00420CC5" w:rsidRPr="005C3D97">
        <w:rPr>
          <w:rFonts w:asciiTheme="majorBidi" w:hAnsiTheme="majorBidi" w:cstheme="majorBidi"/>
          <w:lang w:val="en-GB"/>
        </w:rPr>
        <w:t xml:space="preserve"> 38929</w:t>
      </w:r>
      <w:r w:rsidRPr="005C3D97">
        <w:rPr>
          <w:rFonts w:asciiTheme="majorBidi" w:hAnsiTheme="majorBidi" w:cstheme="majorBidi"/>
          <w:lang w:val="en-GB"/>
        </w:rPr>
        <w:t xml:space="preserve"> (2016)</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https://doi.org/10.1038/srep38929</w:t>
      </w:r>
      <w:r w:rsidR="00420CC5" w:rsidRPr="005C3D97">
        <w:rPr>
          <w:rFonts w:asciiTheme="majorBidi" w:hAnsiTheme="majorBidi" w:cstheme="majorBidi"/>
          <w:lang w:val="en-GB"/>
        </w:rPr>
        <w:t xml:space="preserve">. </w:t>
      </w:r>
    </w:p>
    <w:p w14:paraId="415227E1" w14:textId="683292C7" w:rsidR="00420CC5" w:rsidRPr="005C3D97" w:rsidRDefault="00A472A1" w:rsidP="00A14631">
      <w:pPr>
        <w:pStyle w:val="Reference"/>
        <w:ind w:left="450"/>
        <w:jc w:val="left"/>
        <w:rPr>
          <w:rFonts w:asciiTheme="majorBidi" w:hAnsiTheme="majorBidi" w:cstheme="majorBidi"/>
          <w:lang w:val="en-GB"/>
        </w:rPr>
      </w:pPr>
      <w:r w:rsidRPr="005C3D97">
        <w:rPr>
          <w:rFonts w:asciiTheme="majorBidi" w:hAnsiTheme="majorBidi" w:cstheme="majorBidi"/>
          <w:lang w:val="en-GB"/>
        </w:rPr>
        <w:t xml:space="preserve">S.A. </w:t>
      </w:r>
      <w:r w:rsidR="00420CC5" w:rsidRPr="005C3D97">
        <w:rPr>
          <w:rFonts w:asciiTheme="majorBidi" w:hAnsiTheme="majorBidi" w:cstheme="majorBidi"/>
          <w:lang w:val="en-GB"/>
        </w:rPr>
        <w:t xml:space="preserve">Farivar, </w:t>
      </w:r>
      <w:r w:rsidRPr="005C3D97">
        <w:rPr>
          <w:rFonts w:asciiTheme="majorBidi" w:hAnsiTheme="majorBidi" w:cstheme="majorBidi"/>
          <w:lang w:val="en-GB"/>
        </w:rPr>
        <w:t xml:space="preserve">J. </w:t>
      </w:r>
      <w:r w:rsidR="00420CC5" w:rsidRPr="005C3D97">
        <w:rPr>
          <w:rFonts w:asciiTheme="majorBidi" w:hAnsiTheme="majorBidi" w:cstheme="majorBidi"/>
          <w:lang w:val="en-GB"/>
        </w:rPr>
        <w:t xml:space="preserve">Nowroozi, </w:t>
      </w:r>
      <w:r w:rsidRPr="005C3D97">
        <w:rPr>
          <w:rFonts w:asciiTheme="majorBidi" w:hAnsiTheme="majorBidi" w:cstheme="majorBidi"/>
          <w:lang w:val="en-GB"/>
        </w:rPr>
        <w:t xml:space="preserve">G. </w:t>
      </w:r>
      <w:r w:rsidR="00420CC5" w:rsidRPr="005C3D97">
        <w:rPr>
          <w:rFonts w:asciiTheme="majorBidi" w:hAnsiTheme="majorBidi" w:cstheme="majorBidi"/>
          <w:lang w:val="en-GB"/>
        </w:rPr>
        <w:t xml:space="preserve">Eslami, </w:t>
      </w:r>
      <w:r w:rsidRPr="005C3D97">
        <w:rPr>
          <w:rFonts w:asciiTheme="majorBidi" w:hAnsiTheme="majorBidi" w:cstheme="majorBidi"/>
          <w:lang w:val="en-GB"/>
        </w:rPr>
        <w:t xml:space="preserve">and A. </w:t>
      </w:r>
      <w:proofErr w:type="spellStart"/>
      <w:r w:rsidR="00420CC5" w:rsidRPr="005C3D97">
        <w:rPr>
          <w:rFonts w:asciiTheme="majorBidi" w:hAnsiTheme="majorBidi" w:cstheme="majorBidi"/>
          <w:lang w:val="en-GB"/>
        </w:rPr>
        <w:t>Sabokbar</w:t>
      </w:r>
      <w:proofErr w:type="spellEnd"/>
      <w:r w:rsidRPr="005C3D97">
        <w:rPr>
          <w:rFonts w:asciiTheme="majorBidi" w:hAnsiTheme="majorBidi" w:cstheme="majorBidi"/>
          <w:lang w:val="en-GB"/>
        </w:rPr>
        <w:t>,</w:t>
      </w:r>
      <w:r w:rsidR="00420CC5" w:rsidRPr="005C3D97">
        <w:rPr>
          <w:rFonts w:asciiTheme="majorBidi" w:hAnsiTheme="majorBidi" w:cstheme="majorBidi"/>
          <w:lang w:val="en-GB"/>
        </w:rPr>
        <w:t xml:space="preserve"> A. </w:t>
      </w:r>
      <w:proofErr w:type="spellStart"/>
      <w:r w:rsidR="00420CC5" w:rsidRPr="005C3D97">
        <w:rPr>
          <w:rFonts w:asciiTheme="majorBidi" w:hAnsiTheme="majorBidi" w:cstheme="majorBidi"/>
          <w:lang w:val="en-GB"/>
        </w:rPr>
        <w:t>Canad</w:t>
      </w:r>
      <w:proofErr w:type="spellEnd"/>
      <w:r w:rsidR="00420CC5" w:rsidRPr="005C3D97">
        <w:rPr>
          <w:rFonts w:asciiTheme="majorBidi" w:hAnsiTheme="majorBidi" w:cstheme="majorBidi"/>
          <w:lang w:val="en-GB"/>
        </w:rPr>
        <w:t xml:space="preserve"> J Infect Dis Med </w:t>
      </w:r>
      <w:proofErr w:type="spellStart"/>
      <w:r w:rsidR="00420CC5" w:rsidRPr="005C3D97">
        <w:rPr>
          <w:rFonts w:asciiTheme="majorBidi" w:hAnsiTheme="majorBidi" w:cstheme="majorBidi"/>
          <w:lang w:val="en-GB"/>
        </w:rPr>
        <w:t>Microbiol</w:t>
      </w:r>
      <w:proofErr w:type="spellEnd"/>
      <w:r w:rsidRPr="005C3D97">
        <w:rPr>
          <w:rFonts w:asciiTheme="majorBidi" w:hAnsiTheme="majorBidi" w:cstheme="majorBidi"/>
          <w:lang w:val="en-GB"/>
        </w:rPr>
        <w:t>.</w:t>
      </w:r>
      <w:r w:rsidR="00420CC5" w:rsidRPr="005C3D97">
        <w:rPr>
          <w:rFonts w:asciiTheme="majorBidi" w:hAnsiTheme="majorBidi" w:cstheme="majorBidi"/>
          <w:lang w:val="en-GB"/>
        </w:rPr>
        <w:t xml:space="preserve"> </w:t>
      </w:r>
      <w:r w:rsidR="00420CC5" w:rsidRPr="005C3D97">
        <w:rPr>
          <w:rFonts w:asciiTheme="majorBidi" w:hAnsiTheme="majorBidi" w:cstheme="majorBidi"/>
          <w:b/>
          <w:bCs/>
          <w:lang w:val="en-GB"/>
        </w:rPr>
        <w:t>2018</w:t>
      </w:r>
      <w:r w:rsidRPr="005C3D97">
        <w:rPr>
          <w:rFonts w:asciiTheme="majorBidi" w:hAnsiTheme="majorBidi" w:cstheme="majorBidi"/>
          <w:lang w:val="en-GB"/>
        </w:rPr>
        <w:t>,</w:t>
      </w:r>
      <w:r w:rsidR="00420CC5" w:rsidRPr="005C3D97">
        <w:rPr>
          <w:rFonts w:asciiTheme="majorBidi" w:hAnsiTheme="majorBidi" w:cstheme="majorBidi"/>
          <w:lang w:val="en-GB"/>
        </w:rPr>
        <w:t xml:space="preserve"> 6183162</w:t>
      </w:r>
      <w:r w:rsidRPr="005C3D97">
        <w:rPr>
          <w:rFonts w:asciiTheme="majorBidi" w:hAnsiTheme="majorBidi" w:cstheme="majorBidi"/>
          <w:lang w:val="en-GB"/>
        </w:rPr>
        <w:t xml:space="preserve"> (2018)</w:t>
      </w:r>
      <w:r w:rsidR="00420CC5" w:rsidRPr="005C3D97">
        <w:rPr>
          <w:rFonts w:asciiTheme="majorBidi" w:hAnsiTheme="majorBidi" w:cstheme="majorBidi"/>
          <w:lang w:val="en-GB"/>
        </w:rPr>
        <w:t xml:space="preserve">. </w:t>
      </w:r>
      <w:r w:rsidR="00420CC5" w:rsidRPr="00B93235">
        <w:rPr>
          <w:rFonts w:asciiTheme="majorBidi" w:hAnsiTheme="majorBidi" w:cstheme="majorBidi"/>
          <w:lang w:val="en-GB"/>
        </w:rPr>
        <w:t>https://doi.org/10.1155/2018/6183162</w:t>
      </w:r>
      <w:r w:rsidR="00420CC5" w:rsidRPr="005C3D97">
        <w:rPr>
          <w:rFonts w:asciiTheme="majorBidi" w:hAnsiTheme="majorBidi" w:cstheme="majorBidi"/>
          <w:lang w:val="en-GB"/>
        </w:rPr>
        <w:t xml:space="preserve">. </w:t>
      </w:r>
    </w:p>
    <w:p w14:paraId="1C26A293" w14:textId="6661BC70" w:rsidR="00420CC5" w:rsidRPr="005C3D97" w:rsidRDefault="00420CC5" w:rsidP="00A14631">
      <w:pPr>
        <w:pStyle w:val="Reference"/>
        <w:ind w:left="450"/>
        <w:jc w:val="left"/>
        <w:rPr>
          <w:rFonts w:asciiTheme="majorBidi" w:hAnsiTheme="majorBidi" w:cstheme="majorBidi"/>
        </w:rPr>
      </w:pPr>
      <w:r w:rsidRPr="005C3D97">
        <w:rPr>
          <w:rFonts w:asciiTheme="majorBidi" w:hAnsiTheme="majorBidi" w:cstheme="majorBidi"/>
        </w:rPr>
        <w:t xml:space="preserve">P. </w:t>
      </w:r>
      <w:proofErr w:type="spellStart"/>
      <w:r w:rsidRPr="005C3D97">
        <w:rPr>
          <w:rFonts w:asciiTheme="majorBidi" w:hAnsiTheme="majorBidi" w:cstheme="majorBidi"/>
        </w:rPr>
        <w:t>Cheddie</w:t>
      </w:r>
      <w:proofErr w:type="spellEnd"/>
      <w:r w:rsidRPr="005C3D97">
        <w:rPr>
          <w:rFonts w:asciiTheme="majorBidi" w:hAnsiTheme="majorBidi" w:cstheme="majorBidi"/>
        </w:rPr>
        <w:t xml:space="preserve">, F. Dziva, and P.E. </w:t>
      </w:r>
      <w:proofErr w:type="spellStart"/>
      <w:r w:rsidRPr="005C3D97">
        <w:rPr>
          <w:rFonts w:asciiTheme="majorBidi" w:hAnsiTheme="majorBidi" w:cstheme="majorBidi"/>
        </w:rPr>
        <w:t>Akpaka</w:t>
      </w:r>
      <w:proofErr w:type="spellEnd"/>
      <w:r w:rsidRPr="005C3D97">
        <w:rPr>
          <w:rFonts w:asciiTheme="majorBidi" w:hAnsiTheme="majorBidi" w:cstheme="majorBidi"/>
        </w:rPr>
        <w:t xml:space="preserve"> P.E., Ann Clin Microbiol Antimicrob</w:t>
      </w:r>
      <w:r w:rsidR="00A472A1" w:rsidRPr="005C3D97">
        <w:rPr>
          <w:rFonts w:asciiTheme="majorBidi" w:hAnsiTheme="majorBidi" w:cstheme="majorBidi"/>
        </w:rPr>
        <w:t>.</w:t>
      </w:r>
      <w:r w:rsidRPr="005C3D97">
        <w:rPr>
          <w:rFonts w:asciiTheme="majorBidi" w:hAnsiTheme="majorBidi" w:cstheme="majorBidi"/>
        </w:rPr>
        <w:t xml:space="preserve"> </w:t>
      </w:r>
      <w:r w:rsidRPr="005C3D97">
        <w:rPr>
          <w:rFonts w:asciiTheme="majorBidi" w:hAnsiTheme="majorBidi" w:cstheme="majorBidi"/>
          <w:b/>
          <w:bCs/>
        </w:rPr>
        <w:t>16</w:t>
      </w:r>
      <w:r w:rsidR="00A472A1" w:rsidRPr="005C3D97">
        <w:rPr>
          <w:rFonts w:asciiTheme="majorBidi" w:hAnsiTheme="majorBidi" w:cstheme="majorBidi"/>
        </w:rPr>
        <w:t>,</w:t>
      </w:r>
      <w:r w:rsidRPr="005C3D97">
        <w:rPr>
          <w:rFonts w:asciiTheme="majorBidi" w:hAnsiTheme="majorBidi" w:cstheme="majorBidi"/>
        </w:rPr>
        <w:t xml:space="preserve"> 1-7</w:t>
      </w:r>
      <w:r w:rsidR="00A472A1" w:rsidRPr="005C3D97">
        <w:rPr>
          <w:rFonts w:asciiTheme="majorBidi" w:hAnsiTheme="majorBidi" w:cstheme="majorBidi"/>
        </w:rPr>
        <w:t xml:space="preserve"> (2017)</w:t>
      </w:r>
      <w:r w:rsidRPr="005C3D97">
        <w:rPr>
          <w:rFonts w:asciiTheme="majorBidi" w:hAnsiTheme="majorBidi" w:cstheme="majorBidi"/>
        </w:rPr>
        <w:t xml:space="preserve">. </w:t>
      </w:r>
      <w:r w:rsidRPr="00B93235">
        <w:rPr>
          <w:rFonts w:asciiTheme="majorBidi" w:hAnsiTheme="majorBidi" w:cstheme="majorBidi"/>
        </w:rPr>
        <w:t>https://doi.org/10.1186/s12941-017-0209-x</w:t>
      </w:r>
      <w:r w:rsidRPr="005C3D97">
        <w:rPr>
          <w:rFonts w:asciiTheme="majorBidi" w:hAnsiTheme="majorBidi" w:cstheme="majorBidi"/>
        </w:rPr>
        <w:t>.</w:t>
      </w:r>
    </w:p>
    <w:sectPr w:rsidR="00420CC5" w:rsidRPr="005C3D97" w:rsidSect="00A14631">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BF5D" w14:textId="77777777" w:rsidR="003F6C87" w:rsidRDefault="003F6C87" w:rsidP="000104B0">
      <w:r>
        <w:separator/>
      </w:r>
    </w:p>
  </w:endnote>
  <w:endnote w:type="continuationSeparator" w:id="0">
    <w:p w14:paraId="42910B0C" w14:textId="77777777" w:rsidR="003F6C87" w:rsidRDefault="003F6C87" w:rsidP="0001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2084" w14:textId="3876D609" w:rsidR="000104B0" w:rsidRDefault="000104B0">
    <w:pPr>
      <w:pStyle w:val="Footer"/>
      <w:jc w:val="center"/>
    </w:pPr>
  </w:p>
  <w:p w14:paraId="5E088B66" w14:textId="77777777" w:rsidR="000104B0" w:rsidRDefault="00010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AEEA" w14:textId="77777777" w:rsidR="003F6C87" w:rsidRDefault="003F6C87" w:rsidP="000104B0">
      <w:r>
        <w:separator/>
      </w:r>
    </w:p>
  </w:footnote>
  <w:footnote w:type="continuationSeparator" w:id="0">
    <w:p w14:paraId="2CF96781" w14:textId="77777777" w:rsidR="003F6C87" w:rsidRDefault="003F6C87" w:rsidP="0001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85BA9"/>
    <w:multiLevelType w:val="hybridMultilevel"/>
    <w:tmpl w:val="6B08AF64"/>
    <w:lvl w:ilvl="0" w:tplc="34B0B9D4">
      <w:start w:val="1"/>
      <w:numFmt w:val="decimal"/>
      <w:lvlText w:val="%1."/>
      <w:lvlJc w:val="left"/>
      <w:pPr>
        <w:ind w:left="720" w:hanging="360"/>
      </w:pPr>
    </w:lvl>
    <w:lvl w:ilvl="1" w:tplc="B26C69D8">
      <w:start w:val="1"/>
      <w:numFmt w:val="lowerLetter"/>
      <w:lvlText w:val="%2."/>
      <w:lvlJc w:val="left"/>
      <w:pPr>
        <w:ind w:left="1440" w:hanging="360"/>
      </w:pPr>
    </w:lvl>
    <w:lvl w:ilvl="2" w:tplc="E5C076BE">
      <w:start w:val="1"/>
      <w:numFmt w:val="lowerRoman"/>
      <w:lvlText w:val="%3."/>
      <w:lvlJc w:val="right"/>
      <w:pPr>
        <w:ind w:left="2160" w:hanging="180"/>
      </w:pPr>
    </w:lvl>
    <w:lvl w:ilvl="3" w:tplc="DF5E9FBE">
      <w:start w:val="1"/>
      <w:numFmt w:val="decimal"/>
      <w:lvlText w:val="%4."/>
      <w:lvlJc w:val="left"/>
      <w:pPr>
        <w:ind w:left="2880" w:hanging="360"/>
      </w:pPr>
    </w:lvl>
    <w:lvl w:ilvl="4" w:tplc="E526635C">
      <w:start w:val="1"/>
      <w:numFmt w:val="lowerLetter"/>
      <w:lvlText w:val="%5."/>
      <w:lvlJc w:val="left"/>
      <w:pPr>
        <w:ind w:left="3600" w:hanging="360"/>
      </w:pPr>
    </w:lvl>
    <w:lvl w:ilvl="5" w:tplc="4B986988">
      <w:start w:val="1"/>
      <w:numFmt w:val="lowerRoman"/>
      <w:lvlText w:val="%6."/>
      <w:lvlJc w:val="right"/>
      <w:pPr>
        <w:ind w:left="4320" w:hanging="180"/>
      </w:pPr>
    </w:lvl>
    <w:lvl w:ilvl="6" w:tplc="F4B8C446">
      <w:start w:val="1"/>
      <w:numFmt w:val="decimal"/>
      <w:lvlText w:val="%7."/>
      <w:lvlJc w:val="left"/>
      <w:pPr>
        <w:ind w:left="5040" w:hanging="360"/>
      </w:pPr>
    </w:lvl>
    <w:lvl w:ilvl="7" w:tplc="50042956">
      <w:start w:val="1"/>
      <w:numFmt w:val="lowerLetter"/>
      <w:lvlText w:val="%8."/>
      <w:lvlJc w:val="left"/>
      <w:pPr>
        <w:ind w:left="5760" w:hanging="360"/>
      </w:pPr>
    </w:lvl>
    <w:lvl w:ilvl="8" w:tplc="24100380">
      <w:start w:val="1"/>
      <w:numFmt w:val="lowerRoman"/>
      <w:lvlText w:val="%9."/>
      <w:lvlJc w:val="right"/>
      <w:pPr>
        <w:ind w:left="6480" w:hanging="18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7" w15:restartNumberingAfterBreak="0">
    <w:nsid w:val="7C453B02"/>
    <w:multiLevelType w:val="multilevel"/>
    <w:tmpl w:val="55DE9FB2"/>
    <w:lvl w:ilvl="0">
      <w:start w:val="1"/>
      <w:numFmt w:val="decimal"/>
      <w:pStyle w:val="D-Title1"/>
      <w:suff w:val="space"/>
      <w:lvlText w:val="%1."/>
      <w:lvlJc w:val="left"/>
      <w:pPr>
        <w:ind w:left="0" w:firstLine="0"/>
      </w:pPr>
      <w:rPr>
        <w:rFonts w:hint="eastAsia"/>
        <w:sz w:val="24"/>
        <w:szCs w:val="20"/>
      </w:rPr>
    </w:lvl>
    <w:lvl w:ilvl="1">
      <w:start w:val="1"/>
      <w:numFmt w:val="decimal"/>
      <w:pStyle w:val="D-Title2"/>
      <w:suff w:val="space"/>
      <w:lvlText w:val="%1.%2."/>
      <w:lvlJc w:val="left"/>
      <w:pPr>
        <w:ind w:left="142" w:firstLine="0"/>
      </w:pPr>
      <w:rPr>
        <w:rFonts w:hint="eastAsia"/>
        <w:b/>
        <w:bCs w:val="0"/>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323627230">
    <w:abstractNumId w:val="16"/>
  </w:num>
  <w:num w:numId="2" w16cid:durableId="56828350">
    <w:abstractNumId w:val="3"/>
  </w:num>
  <w:num w:numId="3" w16cid:durableId="1547720909">
    <w:abstractNumId w:val="13"/>
  </w:num>
  <w:num w:numId="4" w16cid:durableId="1801066622">
    <w:abstractNumId w:val="7"/>
  </w:num>
  <w:num w:numId="5" w16cid:durableId="320433045">
    <w:abstractNumId w:val="12"/>
  </w:num>
  <w:num w:numId="6" w16cid:durableId="1343389363">
    <w:abstractNumId w:val="4"/>
  </w:num>
  <w:num w:numId="7" w16cid:durableId="75981037">
    <w:abstractNumId w:val="6"/>
  </w:num>
  <w:num w:numId="8" w16cid:durableId="937174401">
    <w:abstractNumId w:val="1"/>
  </w:num>
  <w:num w:numId="9" w16cid:durableId="966471685">
    <w:abstractNumId w:val="15"/>
  </w:num>
  <w:num w:numId="10" w16cid:durableId="229927821">
    <w:abstractNumId w:val="9"/>
  </w:num>
  <w:num w:numId="11" w16cid:durableId="429938450">
    <w:abstractNumId w:val="14"/>
  </w:num>
  <w:num w:numId="12" w16cid:durableId="17121274">
    <w:abstractNumId w:val="11"/>
  </w:num>
  <w:num w:numId="13" w16cid:durableId="2002810487">
    <w:abstractNumId w:val="5"/>
  </w:num>
  <w:num w:numId="14" w16cid:durableId="1252394754">
    <w:abstractNumId w:val="15"/>
  </w:num>
  <w:num w:numId="15" w16cid:durableId="1451631256">
    <w:abstractNumId w:val="8"/>
  </w:num>
  <w:num w:numId="16" w16cid:durableId="1816290549">
    <w:abstractNumId w:val="5"/>
  </w:num>
  <w:num w:numId="17" w16cid:durableId="1684940856">
    <w:abstractNumId w:val="5"/>
  </w:num>
  <w:num w:numId="18" w16cid:durableId="941493609">
    <w:abstractNumId w:val="5"/>
  </w:num>
  <w:num w:numId="19" w16cid:durableId="680661651">
    <w:abstractNumId w:val="5"/>
  </w:num>
  <w:num w:numId="20" w16cid:durableId="473449713">
    <w:abstractNumId w:val="5"/>
  </w:num>
  <w:num w:numId="21" w16cid:durableId="2044743513">
    <w:abstractNumId w:val="5"/>
  </w:num>
  <w:num w:numId="22" w16cid:durableId="1759137927">
    <w:abstractNumId w:val="5"/>
  </w:num>
  <w:num w:numId="23" w16cid:durableId="754135234">
    <w:abstractNumId w:val="5"/>
  </w:num>
  <w:num w:numId="24" w16cid:durableId="1827428628">
    <w:abstractNumId w:val="5"/>
  </w:num>
  <w:num w:numId="25" w16cid:durableId="56056527">
    <w:abstractNumId w:val="5"/>
  </w:num>
  <w:num w:numId="26" w16cid:durableId="790978726">
    <w:abstractNumId w:val="5"/>
  </w:num>
  <w:num w:numId="27" w16cid:durableId="273947318">
    <w:abstractNumId w:val="5"/>
  </w:num>
  <w:num w:numId="28" w16cid:durableId="2111781539">
    <w:abstractNumId w:val="5"/>
  </w:num>
  <w:num w:numId="29" w16cid:durableId="263340107">
    <w:abstractNumId w:val="12"/>
  </w:num>
  <w:num w:numId="30" w16cid:durableId="1873953783">
    <w:abstractNumId w:val="12"/>
  </w:num>
  <w:num w:numId="31" w16cid:durableId="378939367">
    <w:abstractNumId w:val="12"/>
    <w:lvlOverride w:ilvl="0">
      <w:startOverride w:val="1"/>
    </w:lvlOverride>
  </w:num>
  <w:num w:numId="32" w16cid:durableId="1763646918">
    <w:abstractNumId w:val="12"/>
  </w:num>
  <w:num w:numId="33" w16cid:durableId="1951550361">
    <w:abstractNumId w:val="12"/>
    <w:lvlOverride w:ilvl="0">
      <w:startOverride w:val="1"/>
    </w:lvlOverride>
  </w:num>
  <w:num w:numId="34" w16cid:durableId="2013102060">
    <w:abstractNumId w:val="12"/>
    <w:lvlOverride w:ilvl="0">
      <w:startOverride w:val="1"/>
    </w:lvlOverride>
  </w:num>
  <w:num w:numId="35" w16cid:durableId="1889023696">
    <w:abstractNumId w:val="13"/>
    <w:lvlOverride w:ilvl="0">
      <w:startOverride w:val="1"/>
    </w:lvlOverride>
  </w:num>
  <w:num w:numId="36" w16cid:durableId="1450971182">
    <w:abstractNumId w:val="13"/>
  </w:num>
  <w:num w:numId="37" w16cid:durableId="1496265819">
    <w:abstractNumId w:val="13"/>
    <w:lvlOverride w:ilvl="0">
      <w:startOverride w:val="1"/>
    </w:lvlOverride>
  </w:num>
  <w:num w:numId="38" w16cid:durableId="1476022711">
    <w:abstractNumId w:val="13"/>
  </w:num>
  <w:num w:numId="39" w16cid:durableId="172958160">
    <w:abstractNumId w:val="13"/>
    <w:lvlOverride w:ilvl="0">
      <w:startOverride w:val="1"/>
    </w:lvlOverride>
  </w:num>
  <w:num w:numId="40" w16cid:durableId="1289235730">
    <w:abstractNumId w:val="13"/>
    <w:lvlOverride w:ilvl="0">
      <w:startOverride w:val="1"/>
    </w:lvlOverride>
  </w:num>
  <w:num w:numId="41" w16cid:durableId="1073896917">
    <w:abstractNumId w:val="13"/>
    <w:lvlOverride w:ilvl="0">
      <w:startOverride w:val="1"/>
    </w:lvlOverride>
  </w:num>
  <w:num w:numId="42" w16cid:durableId="1362701873">
    <w:abstractNumId w:val="13"/>
  </w:num>
  <w:num w:numId="43" w16cid:durableId="1090152503">
    <w:abstractNumId w:val="13"/>
  </w:num>
  <w:num w:numId="44" w16cid:durableId="782502208">
    <w:abstractNumId w:val="2"/>
  </w:num>
  <w:num w:numId="45" w16cid:durableId="2061709228">
    <w:abstractNumId w:val="0"/>
  </w:num>
  <w:num w:numId="46" w16cid:durableId="945698560">
    <w:abstractNumId w:val="17"/>
  </w:num>
  <w:num w:numId="47" w16cid:durableId="1194810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05AB0"/>
    <w:rsid w:val="000104B0"/>
    <w:rsid w:val="00014140"/>
    <w:rsid w:val="000246FA"/>
    <w:rsid w:val="00027428"/>
    <w:rsid w:val="00031EC9"/>
    <w:rsid w:val="000344E2"/>
    <w:rsid w:val="000430C7"/>
    <w:rsid w:val="000444F0"/>
    <w:rsid w:val="000535F6"/>
    <w:rsid w:val="00063FFC"/>
    <w:rsid w:val="00066FED"/>
    <w:rsid w:val="00075EA6"/>
    <w:rsid w:val="0007709F"/>
    <w:rsid w:val="00081486"/>
    <w:rsid w:val="00086F62"/>
    <w:rsid w:val="00090674"/>
    <w:rsid w:val="0009320B"/>
    <w:rsid w:val="00094908"/>
    <w:rsid w:val="00096AE0"/>
    <w:rsid w:val="000A02D9"/>
    <w:rsid w:val="000A455C"/>
    <w:rsid w:val="000B1B74"/>
    <w:rsid w:val="000B3A2D"/>
    <w:rsid w:val="000B49C0"/>
    <w:rsid w:val="000E145D"/>
    <w:rsid w:val="000E2784"/>
    <w:rsid w:val="000E382F"/>
    <w:rsid w:val="000E4079"/>
    <w:rsid w:val="000E75CD"/>
    <w:rsid w:val="001036BA"/>
    <w:rsid w:val="00113458"/>
    <w:rsid w:val="00114277"/>
    <w:rsid w:val="001146DC"/>
    <w:rsid w:val="00114AB1"/>
    <w:rsid w:val="001230FF"/>
    <w:rsid w:val="00125F8E"/>
    <w:rsid w:val="00130BD7"/>
    <w:rsid w:val="001315BA"/>
    <w:rsid w:val="001340EC"/>
    <w:rsid w:val="00143903"/>
    <w:rsid w:val="00153D2F"/>
    <w:rsid w:val="00155B67"/>
    <w:rsid w:val="001562AF"/>
    <w:rsid w:val="001571DE"/>
    <w:rsid w:val="00161A5B"/>
    <w:rsid w:val="0016385D"/>
    <w:rsid w:val="0016782F"/>
    <w:rsid w:val="00172E2F"/>
    <w:rsid w:val="0019220B"/>
    <w:rsid w:val="001937E9"/>
    <w:rsid w:val="001964E5"/>
    <w:rsid w:val="00197F5A"/>
    <w:rsid w:val="001A0CC1"/>
    <w:rsid w:val="001A1989"/>
    <w:rsid w:val="001B263B"/>
    <w:rsid w:val="001B476A"/>
    <w:rsid w:val="001C4E23"/>
    <w:rsid w:val="001C764F"/>
    <w:rsid w:val="001C7BB3"/>
    <w:rsid w:val="001D469C"/>
    <w:rsid w:val="001E47A6"/>
    <w:rsid w:val="001F5D48"/>
    <w:rsid w:val="0021619E"/>
    <w:rsid w:val="00226876"/>
    <w:rsid w:val="0023171B"/>
    <w:rsid w:val="00233356"/>
    <w:rsid w:val="00236BFC"/>
    <w:rsid w:val="00237437"/>
    <w:rsid w:val="0025029C"/>
    <w:rsid w:val="002502FD"/>
    <w:rsid w:val="0025263B"/>
    <w:rsid w:val="0025309D"/>
    <w:rsid w:val="00253972"/>
    <w:rsid w:val="00274622"/>
    <w:rsid w:val="00276024"/>
    <w:rsid w:val="0027719B"/>
    <w:rsid w:val="00285D24"/>
    <w:rsid w:val="00290390"/>
    <w:rsid w:val="00290EB9"/>
    <w:rsid w:val="002915D3"/>
    <w:rsid w:val="002924DB"/>
    <w:rsid w:val="002941DA"/>
    <w:rsid w:val="002956C7"/>
    <w:rsid w:val="002A6180"/>
    <w:rsid w:val="002B5648"/>
    <w:rsid w:val="002B60E8"/>
    <w:rsid w:val="002C78B9"/>
    <w:rsid w:val="002D02CE"/>
    <w:rsid w:val="002D5C15"/>
    <w:rsid w:val="002D78C6"/>
    <w:rsid w:val="002E3C35"/>
    <w:rsid w:val="002E5EB2"/>
    <w:rsid w:val="002F495B"/>
    <w:rsid w:val="002F5298"/>
    <w:rsid w:val="002F5D26"/>
    <w:rsid w:val="00323A3F"/>
    <w:rsid w:val="00326AE0"/>
    <w:rsid w:val="00326D4A"/>
    <w:rsid w:val="0033439F"/>
    <w:rsid w:val="00337E4F"/>
    <w:rsid w:val="00340C36"/>
    <w:rsid w:val="00346A9D"/>
    <w:rsid w:val="00346CCE"/>
    <w:rsid w:val="00380535"/>
    <w:rsid w:val="0039376F"/>
    <w:rsid w:val="0039593C"/>
    <w:rsid w:val="003A287B"/>
    <w:rsid w:val="003A446B"/>
    <w:rsid w:val="003A5C85"/>
    <w:rsid w:val="003A61B1"/>
    <w:rsid w:val="003B0050"/>
    <w:rsid w:val="003D402D"/>
    <w:rsid w:val="003D6312"/>
    <w:rsid w:val="003E02D9"/>
    <w:rsid w:val="003E509A"/>
    <w:rsid w:val="003E5855"/>
    <w:rsid w:val="003E7C74"/>
    <w:rsid w:val="003F31C6"/>
    <w:rsid w:val="003F6C87"/>
    <w:rsid w:val="0040225B"/>
    <w:rsid w:val="00402DA2"/>
    <w:rsid w:val="00405FE3"/>
    <w:rsid w:val="0042065A"/>
    <w:rsid w:val="00420CC5"/>
    <w:rsid w:val="00425AC2"/>
    <w:rsid w:val="00446AF5"/>
    <w:rsid w:val="0044771F"/>
    <w:rsid w:val="004652D2"/>
    <w:rsid w:val="004670BF"/>
    <w:rsid w:val="0047024A"/>
    <w:rsid w:val="004814E7"/>
    <w:rsid w:val="0048274B"/>
    <w:rsid w:val="00485D9A"/>
    <w:rsid w:val="004928A0"/>
    <w:rsid w:val="004928A3"/>
    <w:rsid w:val="004B0F1D"/>
    <w:rsid w:val="004B151D"/>
    <w:rsid w:val="004C107F"/>
    <w:rsid w:val="004C7243"/>
    <w:rsid w:val="004D1A38"/>
    <w:rsid w:val="004D50DB"/>
    <w:rsid w:val="004E21DE"/>
    <w:rsid w:val="004E3C57"/>
    <w:rsid w:val="004E3CB2"/>
    <w:rsid w:val="004E720F"/>
    <w:rsid w:val="005145D1"/>
    <w:rsid w:val="00523356"/>
    <w:rsid w:val="00525813"/>
    <w:rsid w:val="00532455"/>
    <w:rsid w:val="005337A8"/>
    <w:rsid w:val="0053513F"/>
    <w:rsid w:val="00540407"/>
    <w:rsid w:val="005626D7"/>
    <w:rsid w:val="00572CBF"/>
    <w:rsid w:val="00574405"/>
    <w:rsid w:val="005763F7"/>
    <w:rsid w:val="00581AEC"/>
    <w:rsid w:val="005854B0"/>
    <w:rsid w:val="00586D98"/>
    <w:rsid w:val="005A0E21"/>
    <w:rsid w:val="005A3A10"/>
    <w:rsid w:val="005B3A34"/>
    <w:rsid w:val="005B41A5"/>
    <w:rsid w:val="005B4489"/>
    <w:rsid w:val="005C3D97"/>
    <w:rsid w:val="005D49AF"/>
    <w:rsid w:val="005E36EE"/>
    <w:rsid w:val="005E3746"/>
    <w:rsid w:val="005E415C"/>
    <w:rsid w:val="005E71ED"/>
    <w:rsid w:val="005E7946"/>
    <w:rsid w:val="005F13AC"/>
    <w:rsid w:val="005F4EAE"/>
    <w:rsid w:val="005F7475"/>
    <w:rsid w:val="00601689"/>
    <w:rsid w:val="00611299"/>
    <w:rsid w:val="00613B4D"/>
    <w:rsid w:val="00615B56"/>
    <w:rsid w:val="00616365"/>
    <w:rsid w:val="00616F3B"/>
    <w:rsid w:val="0062155F"/>
    <w:rsid w:val="006249A7"/>
    <w:rsid w:val="00634BCB"/>
    <w:rsid w:val="00640E06"/>
    <w:rsid w:val="0064225B"/>
    <w:rsid w:val="00643463"/>
    <w:rsid w:val="00646C22"/>
    <w:rsid w:val="00674EEB"/>
    <w:rsid w:val="006763F9"/>
    <w:rsid w:val="00684107"/>
    <w:rsid w:val="0069067D"/>
    <w:rsid w:val="006949BC"/>
    <w:rsid w:val="006B096E"/>
    <w:rsid w:val="006B394B"/>
    <w:rsid w:val="006B4B68"/>
    <w:rsid w:val="006B5CC0"/>
    <w:rsid w:val="006C03A0"/>
    <w:rsid w:val="006C22A3"/>
    <w:rsid w:val="006D1229"/>
    <w:rsid w:val="006D372F"/>
    <w:rsid w:val="006D3EE5"/>
    <w:rsid w:val="006D7A18"/>
    <w:rsid w:val="006E4474"/>
    <w:rsid w:val="00701388"/>
    <w:rsid w:val="00723B7F"/>
    <w:rsid w:val="00725861"/>
    <w:rsid w:val="00725D71"/>
    <w:rsid w:val="0073393A"/>
    <w:rsid w:val="0073539D"/>
    <w:rsid w:val="00741276"/>
    <w:rsid w:val="007517DE"/>
    <w:rsid w:val="00767B8A"/>
    <w:rsid w:val="0077391C"/>
    <w:rsid w:val="00775481"/>
    <w:rsid w:val="00783D07"/>
    <w:rsid w:val="007A233B"/>
    <w:rsid w:val="007A2404"/>
    <w:rsid w:val="007A2E45"/>
    <w:rsid w:val="007A423A"/>
    <w:rsid w:val="007B4257"/>
    <w:rsid w:val="007B4863"/>
    <w:rsid w:val="007C65E6"/>
    <w:rsid w:val="007D406B"/>
    <w:rsid w:val="007D4407"/>
    <w:rsid w:val="007D4D0F"/>
    <w:rsid w:val="007D5B95"/>
    <w:rsid w:val="007E0C1D"/>
    <w:rsid w:val="007E1CA3"/>
    <w:rsid w:val="007E5D4B"/>
    <w:rsid w:val="007F3A28"/>
    <w:rsid w:val="00801EEC"/>
    <w:rsid w:val="00812D62"/>
    <w:rsid w:val="00812D97"/>
    <w:rsid w:val="00812F29"/>
    <w:rsid w:val="00821713"/>
    <w:rsid w:val="00825BDE"/>
    <w:rsid w:val="00827050"/>
    <w:rsid w:val="00827778"/>
    <w:rsid w:val="0083278B"/>
    <w:rsid w:val="008331D3"/>
    <w:rsid w:val="00834538"/>
    <w:rsid w:val="00850E89"/>
    <w:rsid w:val="008512AA"/>
    <w:rsid w:val="00851C6C"/>
    <w:rsid w:val="0086166D"/>
    <w:rsid w:val="008622EA"/>
    <w:rsid w:val="008930E4"/>
    <w:rsid w:val="00893821"/>
    <w:rsid w:val="0089437A"/>
    <w:rsid w:val="0089649D"/>
    <w:rsid w:val="008A2842"/>
    <w:rsid w:val="008A7B9C"/>
    <w:rsid w:val="008B2069"/>
    <w:rsid w:val="008B39FA"/>
    <w:rsid w:val="008B4754"/>
    <w:rsid w:val="008D4767"/>
    <w:rsid w:val="008E6A7A"/>
    <w:rsid w:val="008F03AE"/>
    <w:rsid w:val="008F1038"/>
    <w:rsid w:val="008F7046"/>
    <w:rsid w:val="009005FC"/>
    <w:rsid w:val="0091020E"/>
    <w:rsid w:val="00916C82"/>
    <w:rsid w:val="00917B21"/>
    <w:rsid w:val="00922D85"/>
    <w:rsid w:val="00922E5A"/>
    <w:rsid w:val="009242ED"/>
    <w:rsid w:val="00943315"/>
    <w:rsid w:val="00946C27"/>
    <w:rsid w:val="0095151E"/>
    <w:rsid w:val="00955324"/>
    <w:rsid w:val="00955ACA"/>
    <w:rsid w:val="009727DF"/>
    <w:rsid w:val="00976152"/>
    <w:rsid w:val="00981788"/>
    <w:rsid w:val="009869A9"/>
    <w:rsid w:val="009950F9"/>
    <w:rsid w:val="00997572"/>
    <w:rsid w:val="009A0185"/>
    <w:rsid w:val="009A4F3D"/>
    <w:rsid w:val="009B42C6"/>
    <w:rsid w:val="009B524B"/>
    <w:rsid w:val="009B696B"/>
    <w:rsid w:val="009B7671"/>
    <w:rsid w:val="009D61A7"/>
    <w:rsid w:val="009E0728"/>
    <w:rsid w:val="009E5BA1"/>
    <w:rsid w:val="009E6D64"/>
    <w:rsid w:val="009F056E"/>
    <w:rsid w:val="009F0B19"/>
    <w:rsid w:val="00A01BE5"/>
    <w:rsid w:val="00A070E4"/>
    <w:rsid w:val="00A14631"/>
    <w:rsid w:val="00A15F8A"/>
    <w:rsid w:val="00A16CED"/>
    <w:rsid w:val="00A24F3D"/>
    <w:rsid w:val="00A26191"/>
    <w:rsid w:val="00A26DCD"/>
    <w:rsid w:val="00A314BB"/>
    <w:rsid w:val="00A32B7D"/>
    <w:rsid w:val="00A32E7D"/>
    <w:rsid w:val="00A35AE4"/>
    <w:rsid w:val="00A416AD"/>
    <w:rsid w:val="00A42E1F"/>
    <w:rsid w:val="00A4649B"/>
    <w:rsid w:val="00A472A1"/>
    <w:rsid w:val="00A5596B"/>
    <w:rsid w:val="00A605B8"/>
    <w:rsid w:val="00A646B3"/>
    <w:rsid w:val="00A6739B"/>
    <w:rsid w:val="00A70BD2"/>
    <w:rsid w:val="00A82390"/>
    <w:rsid w:val="00A90413"/>
    <w:rsid w:val="00AA56B3"/>
    <w:rsid w:val="00AA728C"/>
    <w:rsid w:val="00AB0A9C"/>
    <w:rsid w:val="00AB7119"/>
    <w:rsid w:val="00AC57C5"/>
    <w:rsid w:val="00AC5F28"/>
    <w:rsid w:val="00AD5855"/>
    <w:rsid w:val="00AD6871"/>
    <w:rsid w:val="00AE7500"/>
    <w:rsid w:val="00AE7F87"/>
    <w:rsid w:val="00AF3542"/>
    <w:rsid w:val="00AF3E46"/>
    <w:rsid w:val="00AF462A"/>
    <w:rsid w:val="00AF5ABE"/>
    <w:rsid w:val="00B000A4"/>
    <w:rsid w:val="00B00415"/>
    <w:rsid w:val="00B02C3E"/>
    <w:rsid w:val="00B02C53"/>
    <w:rsid w:val="00B03C2A"/>
    <w:rsid w:val="00B1000D"/>
    <w:rsid w:val="00B10134"/>
    <w:rsid w:val="00B11B8D"/>
    <w:rsid w:val="00B15B90"/>
    <w:rsid w:val="00B16BFE"/>
    <w:rsid w:val="00B45F6D"/>
    <w:rsid w:val="00B500E5"/>
    <w:rsid w:val="00B571B0"/>
    <w:rsid w:val="00B66083"/>
    <w:rsid w:val="00B86A94"/>
    <w:rsid w:val="00B91401"/>
    <w:rsid w:val="00B92042"/>
    <w:rsid w:val="00B929B8"/>
    <w:rsid w:val="00B92E19"/>
    <w:rsid w:val="00B93235"/>
    <w:rsid w:val="00B958B8"/>
    <w:rsid w:val="00BA2BC4"/>
    <w:rsid w:val="00BA39BB"/>
    <w:rsid w:val="00BA3B3D"/>
    <w:rsid w:val="00BA7997"/>
    <w:rsid w:val="00BB7EEA"/>
    <w:rsid w:val="00BD1909"/>
    <w:rsid w:val="00BE01CF"/>
    <w:rsid w:val="00BE1F3A"/>
    <w:rsid w:val="00BE4F70"/>
    <w:rsid w:val="00BE5E16"/>
    <w:rsid w:val="00BE5FD1"/>
    <w:rsid w:val="00BF7D47"/>
    <w:rsid w:val="00C06E05"/>
    <w:rsid w:val="00C14B14"/>
    <w:rsid w:val="00C17370"/>
    <w:rsid w:val="00C2054D"/>
    <w:rsid w:val="00C252EB"/>
    <w:rsid w:val="00C26EC0"/>
    <w:rsid w:val="00C341A9"/>
    <w:rsid w:val="00C56C77"/>
    <w:rsid w:val="00C60FAA"/>
    <w:rsid w:val="00C73C36"/>
    <w:rsid w:val="00C74EE5"/>
    <w:rsid w:val="00C75B5D"/>
    <w:rsid w:val="00C84923"/>
    <w:rsid w:val="00CB7B3E"/>
    <w:rsid w:val="00CC739D"/>
    <w:rsid w:val="00CD0444"/>
    <w:rsid w:val="00D04468"/>
    <w:rsid w:val="00D07824"/>
    <w:rsid w:val="00D1739D"/>
    <w:rsid w:val="00D245A8"/>
    <w:rsid w:val="00D27392"/>
    <w:rsid w:val="00D30F71"/>
    <w:rsid w:val="00D36257"/>
    <w:rsid w:val="00D42BAA"/>
    <w:rsid w:val="00D4687E"/>
    <w:rsid w:val="00D4761E"/>
    <w:rsid w:val="00D520E4"/>
    <w:rsid w:val="00D5332D"/>
    <w:rsid w:val="00D53A12"/>
    <w:rsid w:val="00D67C4B"/>
    <w:rsid w:val="00D72C1A"/>
    <w:rsid w:val="00D83C97"/>
    <w:rsid w:val="00D87E2A"/>
    <w:rsid w:val="00D94C89"/>
    <w:rsid w:val="00DB0C43"/>
    <w:rsid w:val="00DB2A5F"/>
    <w:rsid w:val="00DC442B"/>
    <w:rsid w:val="00DD1CAF"/>
    <w:rsid w:val="00DE3354"/>
    <w:rsid w:val="00DF1DFC"/>
    <w:rsid w:val="00DF7DCD"/>
    <w:rsid w:val="00E00D73"/>
    <w:rsid w:val="00E14402"/>
    <w:rsid w:val="00E179A7"/>
    <w:rsid w:val="00E50B7D"/>
    <w:rsid w:val="00E5136C"/>
    <w:rsid w:val="00E604AC"/>
    <w:rsid w:val="00E66EF5"/>
    <w:rsid w:val="00E746DB"/>
    <w:rsid w:val="00E74EAA"/>
    <w:rsid w:val="00E77A62"/>
    <w:rsid w:val="00E86926"/>
    <w:rsid w:val="00E904A1"/>
    <w:rsid w:val="00EB1F15"/>
    <w:rsid w:val="00EB7D28"/>
    <w:rsid w:val="00EC0D0C"/>
    <w:rsid w:val="00EC37D9"/>
    <w:rsid w:val="00EC6C16"/>
    <w:rsid w:val="00EC73A7"/>
    <w:rsid w:val="00ED4A2C"/>
    <w:rsid w:val="00ED7871"/>
    <w:rsid w:val="00EE2C33"/>
    <w:rsid w:val="00EE31AF"/>
    <w:rsid w:val="00EF6940"/>
    <w:rsid w:val="00F022B3"/>
    <w:rsid w:val="00F04EC1"/>
    <w:rsid w:val="00F1118C"/>
    <w:rsid w:val="00F2044A"/>
    <w:rsid w:val="00F20BFC"/>
    <w:rsid w:val="00F24D5F"/>
    <w:rsid w:val="00F32AC0"/>
    <w:rsid w:val="00F726C3"/>
    <w:rsid w:val="00F75154"/>
    <w:rsid w:val="00F820CA"/>
    <w:rsid w:val="00F8554C"/>
    <w:rsid w:val="00F95691"/>
    <w:rsid w:val="00F95F82"/>
    <w:rsid w:val="00F97A90"/>
    <w:rsid w:val="00FA0E52"/>
    <w:rsid w:val="00FA64DC"/>
    <w:rsid w:val="00FA6686"/>
    <w:rsid w:val="00FA69C9"/>
    <w:rsid w:val="00FA79EC"/>
    <w:rsid w:val="00FB1597"/>
    <w:rsid w:val="00FB3FB8"/>
    <w:rsid w:val="00FC0006"/>
    <w:rsid w:val="00FC2F35"/>
    <w:rsid w:val="00FC349B"/>
    <w:rsid w:val="00FC3FD7"/>
    <w:rsid w:val="00FD1FC6"/>
    <w:rsid w:val="00FD75C0"/>
    <w:rsid w:val="00FE5869"/>
    <w:rsid w:val="00FF7071"/>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673177F6-E379-4A0C-9C64-1FEBFF2E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
    <w:name w:val="إشارة لم يتم حلها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2Char">
    <w:name w:val="Heading 2 Char"/>
    <w:basedOn w:val="DefaultParagraphFont"/>
    <w:link w:val="Heading2"/>
    <w:rsid w:val="001571DE"/>
    <w:rPr>
      <w:b/>
      <w:sz w:val="24"/>
      <w:lang w:val="en-US" w:eastAsia="en-US"/>
    </w:rPr>
  </w:style>
  <w:style w:type="table" w:customStyle="1" w:styleId="TableGrid1">
    <w:name w:val="Table Grid1"/>
    <w:basedOn w:val="TableNormal"/>
    <w:next w:val="TableGrid"/>
    <w:uiPriority w:val="39"/>
    <w:rsid w:val="002F49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itle1">
    <w:name w:val="D-Title1"/>
    <w:basedOn w:val="Normal"/>
    <w:link w:val="D-Title1Char"/>
    <w:qFormat/>
    <w:rsid w:val="003A446B"/>
    <w:pPr>
      <w:numPr>
        <w:numId w:val="46"/>
      </w:numPr>
      <w:spacing w:beforeLines="50" w:before="120" w:afterLines="50" w:after="120" w:line="240" w:lineRule="exact"/>
      <w:jc w:val="both"/>
    </w:pPr>
    <w:rPr>
      <w:rFonts w:eastAsia="SimSun"/>
      <w:b/>
      <w:lang w:val="x-none"/>
    </w:rPr>
  </w:style>
  <w:style w:type="paragraph" w:customStyle="1" w:styleId="D-Title2">
    <w:name w:val="D-Title2"/>
    <w:basedOn w:val="Normal"/>
    <w:qFormat/>
    <w:rsid w:val="003A446B"/>
    <w:pPr>
      <w:numPr>
        <w:ilvl w:val="1"/>
        <w:numId w:val="46"/>
      </w:numPr>
      <w:spacing w:beforeLines="50" w:before="50" w:afterLines="50" w:after="50" w:line="240" w:lineRule="exact"/>
      <w:ind w:left="0"/>
      <w:jc w:val="both"/>
    </w:pPr>
    <w:rPr>
      <w:rFonts w:eastAsia="SimSun"/>
      <w:b/>
      <w:sz w:val="22"/>
      <w:szCs w:val="22"/>
      <w:lang w:val="x-none"/>
    </w:rPr>
  </w:style>
  <w:style w:type="character" w:customStyle="1" w:styleId="D-Title1Char">
    <w:name w:val="D-Title1 Char"/>
    <w:link w:val="D-Title1"/>
    <w:rsid w:val="003A446B"/>
    <w:rPr>
      <w:rFonts w:eastAsia="SimSun"/>
      <w:b/>
      <w:sz w:val="24"/>
      <w:lang w:val="x-none" w:eastAsia="en-US"/>
    </w:rPr>
  </w:style>
  <w:style w:type="character" w:customStyle="1" w:styleId="2">
    <w:name w:val="إشارة لم يتم حلها2"/>
    <w:basedOn w:val="DefaultParagraphFont"/>
    <w:uiPriority w:val="99"/>
    <w:semiHidden/>
    <w:unhideWhenUsed/>
    <w:rsid w:val="002F5D26"/>
    <w:rPr>
      <w:color w:val="605E5C"/>
      <w:shd w:val="clear" w:color="auto" w:fill="E1DFDD"/>
    </w:rPr>
  </w:style>
  <w:style w:type="table" w:customStyle="1" w:styleId="10">
    <w:name w:val="شبكة جدول1"/>
    <w:basedOn w:val="TableNormal"/>
    <w:uiPriority w:val="39"/>
    <w:rsid w:val="009727DF"/>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28"/>
    <w:pPr>
      <w:autoSpaceDE w:val="0"/>
      <w:autoSpaceDN w:val="0"/>
      <w:adjustRightInd w:val="0"/>
    </w:pPr>
    <w:rPr>
      <w:rFonts w:eastAsiaTheme="minorHAnsi"/>
      <w:color w:val="000000"/>
      <w:sz w:val="24"/>
      <w:szCs w:val="24"/>
      <w:lang w:val="en-US" w:eastAsia="en-US"/>
    </w:rPr>
  </w:style>
  <w:style w:type="paragraph" w:styleId="Header">
    <w:name w:val="header"/>
    <w:basedOn w:val="Normal"/>
    <w:link w:val="HeaderChar"/>
    <w:unhideWhenUsed/>
    <w:rsid w:val="000104B0"/>
    <w:pPr>
      <w:tabs>
        <w:tab w:val="center" w:pos="4153"/>
        <w:tab w:val="right" w:pos="8306"/>
      </w:tabs>
    </w:pPr>
  </w:style>
  <w:style w:type="character" w:customStyle="1" w:styleId="HeaderChar">
    <w:name w:val="Header Char"/>
    <w:basedOn w:val="DefaultParagraphFont"/>
    <w:link w:val="Header"/>
    <w:rsid w:val="000104B0"/>
    <w:rPr>
      <w:sz w:val="24"/>
      <w:lang w:val="en-US" w:eastAsia="en-US"/>
    </w:rPr>
  </w:style>
  <w:style w:type="paragraph" w:styleId="Footer">
    <w:name w:val="footer"/>
    <w:basedOn w:val="Normal"/>
    <w:link w:val="FooterChar"/>
    <w:uiPriority w:val="99"/>
    <w:unhideWhenUsed/>
    <w:rsid w:val="000104B0"/>
    <w:pPr>
      <w:tabs>
        <w:tab w:val="center" w:pos="4153"/>
        <w:tab w:val="right" w:pos="8306"/>
      </w:tabs>
    </w:pPr>
  </w:style>
  <w:style w:type="character" w:customStyle="1" w:styleId="FooterChar">
    <w:name w:val="Footer Char"/>
    <w:basedOn w:val="DefaultParagraphFont"/>
    <w:link w:val="Footer"/>
    <w:uiPriority w:val="99"/>
    <w:rsid w:val="000104B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836">
      <w:bodyDiv w:val="1"/>
      <w:marLeft w:val="0"/>
      <w:marRight w:val="0"/>
      <w:marTop w:val="0"/>
      <w:marBottom w:val="0"/>
      <w:divBdr>
        <w:top w:val="none" w:sz="0" w:space="0" w:color="auto"/>
        <w:left w:val="none" w:sz="0" w:space="0" w:color="auto"/>
        <w:bottom w:val="none" w:sz="0" w:space="0" w:color="auto"/>
        <w:right w:val="none" w:sz="0" w:space="0" w:color="auto"/>
      </w:divBdr>
    </w:div>
    <w:div w:id="270086794">
      <w:bodyDiv w:val="1"/>
      <w:marLeft w:val="0"/>
      <w:marRight w:val="0"/>
      <w:marTop w:val="0"/>
      <w:marBottom w:val="0"/>
      <w:divBdr>
        <w:top w:val="none" w:sz="0" w:space="0" w:color="auto"/>
        <w:left w:val="none" w:sz="0" w:space="0" w:color="auto"/>
        <w:bottom w:val="none" w:sz="0" w:space="0" w:color="auto"/>
        <w:right w:val="none" w:sz="0" w:space="0" w:color="auto"/>
      </w:divBdr>
    </w:div>
    <w:div w:id="275137058">
      <w:bodyDiv w:val="1"/>
      <w:marLeft w:val="0"/>
      <w:marRight w:val="0"/>
      <w:marTop w:val="0"/>
      <w:marBottom w:val="0"/>
      <w:divBdr>
        <w:top w:val="none" w:sz="0" w:space="0" w:color="auto"/>
        <w:left w:val="none" w:sz="0" w:space="0" w:color="auto"/>
        <w:bottom w:val="none" w:sz="0" w:space="0" w:color="auto"/>
        <w:right w:val="none" w:sz="0" w:space="0" w:color="auto"/>
      </w:divBdr>
    </w:div>
    <w:div w:id="411124879">
      <w:bodyDiv w:val="1"/>
      <w:marLeft w:val="0"/>
      <w:marRight w:val="0"/>
      <w:marTop w:val="0"/>
      <w:marBottom w:val="0"/>
      <w:divBdr>
        <w:top w:val="none" w:sz="0" w:space="0" w:color="auto"/>
        <w:left w:val="none" w:sz="0" w:space="0" w:color="auto"/>
        <w:bottom w:val="none" w:sz="0" w:space="0" w:color="auto"/>
        <w:right w:val="none" w:sz="0" w:space="0" w:color="auto"/>
      </w:divBdr>
    </w:div>
    <w:div w:id="421336971">
      <w:bodyDiv w:val="1"/>
      <w:marLeft w:val="0"/>
      <w:marRight w:val="0"/>
      <w:marTop w:val="0"/>
      <w:marBottom w:val="0"/>
      <w:divBdr>
        <w:top w:val="none" w:sz="0" w:space="0" w:color="auto"/>
        <w:left w:val="none" w:sz="0" w:space="0" w:color="auto"/>
        <w:bottom w:val="none" w:sz="0" w:space="0" w:color="auto"/>
        <w:right w:val="none" w:sz="0" w:space="0" w:color="auto"/>
      </w:divBdr>
    </w:div>
    <w:div w:id="469791228">
      <w:bodyDiv w:val="1"/>
      <w:marLeft w:val="0"/>
      <w:marRight w:val="0"/>
      <w:marTop w:val="0"/>
      <w:marBottom w:val="0"/>
      <w:divBdr>
        <w:top w:val="none" w:sz="0" w:space="0" w:color="auto"/>
        <w:left w:val="none" w:sz="0" w:space="0" w:color="auto"/>
        <w:bottom w:val="none" w:sz="0" w:space="0" w:color="auto"/>
        <w:right w:val="none" w:sz="0" w:space="0" w:color="auto"/>
      </w:divBdr>
    </w:div>
    <w:div w:id="500123694">
      <w:bodyDiv w:val="1"/>
      <w:marLeft w:val="0"/>
      <w:marRight w:val="0"/>
      <w:marTop w:val="0"/>
      <w:marBottom w:val="0"/>
      <w:divBdr>
        <w:top w:val="none" w:sz="0" w:space="0" w:color="auto"/>
        <w:left w:val="none" w:sz="0" w:space="0" w:color="auto"/>
        <w:bottom w:val="none" w:sz="0" w:space="0" w:color="auto"/>
        <w:right w:val="none" w:sz="0" w:space="0" w:color="auto"/>
      </w:divBdr>
    </w:div>
    <w:div w:id="510678627">
      <w:bodyDiv w:val="1"/>
      <w:marLeft w:val="0"/>
      <w:marRight w:val="0"/>
      <w:marTop w:val="0"/>
      <w:marBottom w:val="0"/>
      <w:divBdr>
        <w:top w:val="none" w:sz="0" w:space="0" w:color="auto"/>
        <w:left w:val="none" w:sz="0" w:space="0" w:color="auto"/>
        <w:bottom w:val="none" w:sz="0" w:space="0" w:color="auto"/>
        <w:right w:val="none" w:sz="0" w:space="0" w:color="auto"/>
      </w:divBdr>
    </w:div>
    <w:div w:id="528184709">
      <w:bodyDiv w:val="1"/>
      <w:marLeft w:val="0"/>
      <w:marRight w:val="0"/>
      <w:marTop w:val="0"/>
      <w:marBottom w:val="0"/>
      <w:divBdr>
        <w:top w:val="none" w:sz="0" w:space="0" w:color="auto"/>
        <w:left w:val="none" w:sz="0" w:space="0" w:color="auto"/>
        <w:bottom w:val="none" w:sz="0" w:space="0" w:color="auto"/>
        <w:right w:val="none" w:sz="0" w:space="0" w:color="auto"/>
      </w:divBdr>
    </w:div>
    <w:div w:id="573124081">
      <w:bodyDiv w:val="1"/>
      <w:marLeft w:val="0"/>
      <w:marRight w:val="0"/>
      <w:marTop w:val="0"/>
      <w:marBottom w:val="0"/>
      <w:divBdr>
        <w:top w:val="none" w:sz="0" w:space="0" w:color="auto"/>
        <w:left w:val="none" w:sz="0" w:space="0" w:color="auto"/>
        <w:bottom w:val="none" w:sz="0" w:space="0" w:color="auto"/>
        <w:right w:val="none" w:sz="0" w:space="0" w:color="auto"/>
      </w:divBdr>
    </w:div>
    <w:div w:id="587158761">
      <w:bodyDiv w:val="1"/>
      <w:marLeft w:val="0"/>
      <w:marRight w:val="0"/>
      <w:marTop w:val="0"/>
      <w:marBottom w:val="0"/>
      <w:divBdr>
        <w:top w:val="none" w:sz="0" w:space="0" w:color="auto"/>
        <w:left w:val="none" w:sz="0" w:space="0" w:color="auto"/>
        <w:bottom w:val="none" w:sz="0" w:space="0" w:color="auto"/>
        <w:right w:val="none" w:sz="0" w:space="0" w:color="auto"/>
      </w:divBdr>
    </w:div>
    <w:div w:id="607852121">
      <w:bodyDiv w:val="1"/>
      <w:marLeft w:val="0"/>
      <w:marRight w:val="0"/>
      <w:marTop w:val="0"/>
      <w:marBottom w:val="0"/>
      <w:divBdr>
        <w:top w:val="none" w:sz="0" w:space="0" w:color="auto"/>
        <w:left w:val="none" w:sz="0" w:space="0" w:color="auto"/>
        <w:bottom w:val="none" w:sz="0" w:space="0" w:color="auto"/>
        <w:right w:val="none" w:sz="0" w:space="0" w:color="auto"/>
      </w:divBdr>
    </w:div>
    <w:div w:id="618685407">
      <w:bodyDiv w:val="1"/>
      <w:marLeft w:val="0"/>
      <w:marRight w:val="0"/>
      <w:marTop w:val="0"/>
      <w:marBottom w:val="0"/>
      <w:divBdr>
        <w:top w:val="none" w:sz="0" w:space="0" w:color="auto"/>
        <w:left w:val="none" w:sz="0" w:space="0" w:color="auto"/>
        <w:bottom w:val="none" w:sz="0" w:space="0" w:color="auto"/>
        <w:right w:val="none" w:sz="0" w:space="0" w:color="auto"/>
      </w:divBdr>
    </w:div>
    <w:div w:id="635306074">
      <w:bodyDiv w:val="1"/>
      <w:marLeft w:val="0"/>
      <w:marRight w:val="0"/>
      <w:marTop w:val="0"/>
      <w:marBottom w:val="0"/>
      <w:divBdr>
        <w:top w:val="none" w:sz="0" w:space="0" w:color="auto"/>
        <w:left w:val="none" w:sz="0" w:space="0" w:color="auto"/>
        <w:bottom w:val="none" w:sz="0" w:space="0" w:color="auto"/>
        <w:right w:val="none" w:sz="0" w:space="0" w:color="auto"/>
      </w:divBdr>
    </w:div>
    <w:div w:id="759912947">
      <w:bodyDiv w:val="1"/>
      <w:marLeft w:val="0"/>
      <w:marRight w:val="0"/>
      <w:marTop w:val="0"/>
      <w:marBottom w:val="0"/>
      <w:divBdr>
        <w:top w:val="none" w:sz="0" w:space="0" w:color="auto"/>
        <w:left w:val="none" w:sz="0" w:space="0" w:color="auto"/>
        <w:bottom w:val="none" w:sz="0" w:space="0" w:color="auto"/>
        <w:right w:val="none" w:sz="0" w:space="0" w:color="auto"/>
      </w:divBdr>
    </w:div>
    <w:div w:id="786002067">
      <w:bodyDiv w:val="1"/>
      <w:marLeft w:val="0"/>
      <w:marRight w:val="0"/>
      <w:marTop w:val="0"/>
      <w:marBottom w:val="0"/>
      <w:divBdr>
        <w:top w:val="none" w:sz="0" w:space="0" w:color="auto"/>
        <w:left w:val="none" w:sz="0" w:space="0" w:color="auto"/>
        <w:bottom w:val="none" w:sz="0" w:space="0" w:color="auto"/>
        <w:right w:val="none" w:sz="0" w:space="0" w:color="auto"/>
      </w:divBdr>
    </w:div>
    <w:div w:id="800925137">
      <w:bodyDiv w:val="1"/>
      <w:marLeft w:val="0"/>
      <w:marRight w:val="0"/>
      <w:marTop w:val="0"/>
      <w:marBottom w:val="0"/>
      <w:divBdr>
        <w:top w:val="none" w:sz="0" w:space="0" w:color="auto"/>
        <w:left w:val="none" w:sz="0" w:space="0" w:color="auto"/>
        <w:bottom w:val="none" w:sz="0" w:space="0" w:color="auto"/>
        <w:right w:val="none" w:sz="0" w:space="0" w:color="auto"/>
      </w:divBdr>
    </w:div>
    <w:div w:id="883061917">
      <w:bodyDiv w:val="1"/>
      <w:marLeft w:val="0"/>
      <w:marRight w:val="0"/>
      <w:marTop w:val="0"/>
      <w:marBottom w:val="0"/>
      <w:divBdr>
        <w:top w:val="none" w:sz="0" w:space="0" w:color="auto"/>
        <w:left w:val="none" w:sz="0" w:space="0" w:color="auto"/>
        <w:bottom w:val="none" w:sz="0" w:space="0" w:color="auto"/>
        <w:right w:val="none" w:sz="0" w:space="0" w:color="auto"/>
      </w:divBdr>
    </w:div>
    <w:div w:id="904800221">
      <w:bodyDiv w:val="1"/>
      <w:marLeft w:val="0"/>
      <w:marRight w:val="0"/>
      <w:marTop w:val="0"/>
      <w:marBottom w:val="0"/>
      <w:divBdr>
        <w:top w:val="none" w:sz="0" w:space="0" w:color="auto"/>
        <w:left w:val="none" w:sz="0" w:space="0" w:color="auto"/>
        <w:bottom w:val="none" w:sz="0" w:space="0" w:color="auto"/>
        <w:right w:val="none" w:sz="0" w:space="0" w:color="auto"/>
      </w:divBdr>
    </w:div>
    <w:div w:id="953750244">
      <w:bodyDiv w:val="1"/>
      <w:marLeft w:val="0"/>
      <w:marRight w:val="0"/>
      <w:marTop w:val="0"/>
      <w:marBottom w:val="0"/>
      <w:divBdr>
        <w:top w:val="none" w:sz="0" w:space="0" w:color="auto"/>
        <w:left w:val="none" w:sz="0" w:space="0" w:color="auto"/>
        <w:bottom w:val="none" w:sz="0" w:space="0" w:color="auto"/>
        <w:right w:val="none" w:sz="0" w:space="0" w:color="auto"/>
      </w:divBdr>
    </w:div>
    <w:div w:id="1050110389">
      <w:bodyDiv w:val="1"/>
      <w:marLeft w:val="0"/>
      <w:marRight w:val="0"/>
      <w:marTop w:val="0"/>
      <w:marBottom w:val="0"/>
      <w:divBdr>
        <w:top w:val="none" w:sz="0" w:space="0" w:color="auto"/>
        <w:left w:val="none" w:sz="0" w:space="0" w:color="auto"/>
        <w:bottom w:val="none" w:sz="0" w:space="0" w:color="auto"/>
        <w:right w:val="none" w:sz="0" w:space="0" w:color="auto"/>
      </w:divBdr>
    </w:div>
    <w:div w:id="1136024842">
      <w:bodyDiv w:val="1"/>
      <w:marLeft w:val="0"/>
      <w:marRight w:val="0"/>
      <w:marTop w:val="0"/>
      <w:marBottom w:val="0"/>
      <w:divBdr>
        <w:top w:val="none" w:sz="0" w:space="0" w:color="auto"/>
        <w:left w:val="none" w:sz="0" w:space="0" w:color="auto"/>
        <w:bottom w:val="none" w:sz="0" w:space="0" w:color="auto"/>
        <w:right w:val="none" w:sz="0" w:space="0" w:color="auto"/>
      </w:divBdr>
    </w:div>
    <w:div w:id="1151368293">
      <w:bodyDiv w:val="1"/>
      <w:marLeft w:val="0"/>
      <w:marRight w:val="0"/>
      <w:marTop w:val="0"/>
      <w:marBottom w:val="0"/>
      <w:divBdr>
        <w:top w:val="none" w:sz="0" w:space="0" w:color="auto"/>
        <w:left w:val="none" w:sz="0" w:space="0" w:color="auto"/>
        <w:bottom w:val="none" w:sz="0" w:space="0" w:color="auto"/>
        <w:right w:val="none" w:sz="0" w:space="0" w:color="auto"/>
      </w:divBdr>
    </w:div>
    <w:div w:id="125390261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12950282">
      <w:bodyDiv w:val="1"/>
      <w:marLeft w:val="0"/>
      <w:marRight w:val="0"/>
      <w:marTop w:val="0"/>
      <w:marBottom w:val="0"/>
      <w:divBdr>
        <w:top w:val="none" w:sz="0" w:space="0" w:color="auto"/>
        <w:left w:val="none" w:sz="0" w:space="0" w:color="auto"/>
        <w:bottom w:val="none" w:sz="0" w:space="0" w:color="auto"/>
        <w:right w:val="none" w:sz="0" w:space="0" w:color="auto"/>
      </w:divBdr>
    </w:div>
    <w:div w:id="1413232456">
      <w:bodyDiv w:val="1"/>
      <w:marLeft w:val="0"/>
      <w:marRight w:val="0"/>
      <w:marTop w:val="0"/>
      <w:marBottom w:val="0"/>
      <w:divBdr>
        <w:top w:val="none" w:sz="0" w:space="0" w:color="auto"/>
        <w:left w:val="none" w:sz="0" w:space="0" w:color="auto"/>
        <w:bottom w:val="none" w:sz="0" w:space="0" w:color="auto"/>
        <w:right w:val="none" w:sz="0" w:space="0" w:color="auto"/>
      </w:divBdr>
    </w:div>
    <w:div w:id="1421173594">
      <w:bodyDiv w:val="1"/>
      <w:marLeft w:val="0"/>
      <w:marRight w:val="0"/>
      <w:marTop w:val="0"/>
      <w:marBottom w:val="0"/>
      <w:divBdr>
        <w:top w:val="none" w:sz="0" w:space="0" w:color="auto"/>
        <w:left w:val="none" w:sz="0" w:space="0" w:color="auto"/>
        <w:bottom w:val="none" w:sz="0" w:space="0" w:color="auto"/>
        <w:right w:val="none" w:sz="0" w:space="0" w:color="auto"/>
      </w:divBdr>
    </w:div>
    <w:div w:id="1456288290">
      <w:bodyDiv w:val="1"/>
      <w:marLeft w:val="0"/>
      <w:marRight w:val="0"/>
      <w:marTop w:val="0"/>
      <w:marBottom w:val="0"/>
      <w:divBdr>
        <w:top w:val="none" w:sz="0" w:space="0" w:color="auto"/>
        <w:left w:val="none" w:sz="0" w:space="0" w:color="auto"/>
        <w:bottom w:val="none" w:sz="0" w:space="0" w:color="auto"/>
        <w:right w:val="none" w:sz="0" w:space="0" w:color="auto"/>
      </w:divBdr>
    </w:div>
    <w:div w:id="1487277967">
      <w:bodyDiv w:val="1"/>
      <w:marLeft w:val="0"/>
      <w:marRight w:val="0"/>
      <w:marTop w:val="0"/>
      <w:marBottom w:val="0"/>
      <w:divBdr>
        <w:top w:val="none" w:sz="0" w:space="0" w:color="auto"/>
        <w:left w:val="none" w:sz="0" w:space="0" w:color="auto"/>
        <w:bottom w:val="none" w:sz="0" w:space="0" w:color="auto"/>
        <w:right w:val="none" w:sz="0" w:space="0" w:color="auto"/>
      </w:divBdr>
    </w:div>
    <w:div w:id="1521895343">
      <w:bodyDiv w:val="1"/>
      <w:marLeft w:val="0"/>
      <w:marRight w:val="0"/>
      <w:marTop w:val="0"/>
      <w:marBottom w:val="0"/>
      <w:divBdr>
        <w:top w:val="none" w:sz="0" w:space="0" w:color="auto"/>
        <w:left w:val="none" w:sz="0" w:space="0" w:color="auto"/>
        <w:bottom w:val="none" w:sz="0" w:space="0" w:color="auto"/>
        <w:right w:val="none" w:sz="0" w:space="0" w:color="auto"/>
      </w:divBdr>
    </w:div>
    <w:div w:id="1587610790">
      <w:bodyDiv w:val="1"/>
      <w:marLeft w:val="0"/>
      <w:marRight w:val="0"/>
      <w:marTop w:val="0"/>
      <w:marBottom w:val="0"/>
      <w:divBdr>
        <w:top w:val="none" w:sz="0" w:space="0" w:color="auto"/>
        <w:left w:val="none" w:sz="0" w:space="0" w:color="auto"/>
        <w:bottom w:val="none" w:sz="0" w:space="0" w:color="auto"/>
        <w:right w:val="none" w:sz="0" w:space="0" w:color="auto"/>
      </w:divBdr>
    </w:div>
    <w:div w:id="1644576038">
      <w:bodyDiv w:val="1"/>
      <w:marLeft w:val="0"/>
      <w:marRight w:val="0"/>
      <w:marTop w:val="0"/>
      <w:marBottom w:val="0"/>
      <w:divBdr>
        <w:top w:val="none" w:sz="0" w:space="0" w:color="auto"/>
        <w:left w:val="none" w:sz="0" w:space="0" w:color="auto"/>
        <w:bottom w:val="none" w:sz="0" w:space="0" w:color="auto"/>
        <w:right w:val="none" w:sz="0" w:space="0" w:color="auto"/>
      </w:divBdr>
    </w:div>
    <w:div w:id="170432946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70848801">
      <w:bodyDiv w:val="1"/>
      <w:marLeft w:val="0"/>
      <w:marRight w:val="0"/>
      <w:marTop w:val="0"/>
      <w:marBottom w:val="0"/>
      <w:divBdr>
        <w:top w:val="none" w:sz="0" w:space="0" w:color="auto"/>
        <w:left w:val="none" w:sz="0" w:space="0" w:color="auto"/>
        <w:bottom w:val="none" w:sz="0" w:space="0" w:color="auto"/>
        <w:right w:val="none" w:sz="0" w:space="0" w:color="auto"/>
      </w:divBdr>
    </w:div>
    <w:div w:id="1778596876">
      <w:bodyDiv w:val="1"/>
      <w:marLeft w:val="0"/>
      <w:marRight w:val="0"/>
      <w:marTop w:val="0"/>
      <w:marBottom w:val="0"/>
      <w:divBdr>
        <w:top w:val="none" w:sz="0" w:space="0" w:color="auto"/>
        <w:left w:val="none" w:sz="0" w:space="0" w:color="auto"/>
        <w:bottom w:val="none" w:sz="0" w:space="0" w:color="auto"/>
        <w:right w:val="none" w:sz="0" w:space="0" w:color="auto"/>
      </w:divBdr>
    </w:div>
    <w:div w:id="1814758762">
      <w:bodyDiv w:val="1"/>
      <w:marLeft w:val="0"/>
      <w:marRight w:val="0"/>
      <w:marTop w:val="0"/>
      <w:marBottom w:val="0"/>
      <w:divBdr>
        <w:top w:val="none" w:sz="0" w:space="0" w:color="auto"/>
        <w:left w:val="none" w:sz="0" w:space="0" w:color="auto"/>
        <w:bottom w:val="none" w:sz="0" w:space="0" w:color="auto"/>
        <w:right w:val="none" w:sz="0" w:space="0" w:color="auto"/>
      </w:divBdr>
    </w:div>
    <w:div w:id="1894656773">
      <w:bodyDiv w:val="1"/>
      <w:marLeft w:val="0"/>
      <w:marRight w:val="0"/>
      <w:marTop w:val="0"/>
      <w:marBottom w:val="0"/>
      <w:divBdr>
        <w:top w:val="none" w:sz="0" w:space="0" w:color="auto"/>
        <w:left w:val="none" w:sz="0" w:space="0" w:color="auto"/>
        <w:bottom w:val="none" w:sz="0" w:space="0" w:color="auto"/>
        <w:right w:val="none" w:sz="0" w:space="0" w:color="auto"/>
      </w:divBdr>
    </w:div>
    <w:div w:id="1930114263">
      <w:bodyDiv w:val="1"/>
      <w:marLeft w:val="0"/>
      <w:marRight w:val="0"/>
      <w:marTop w:val="0"/>
      <w:marBottom w:val="0"/>
      <w:divBdr>
        <w:top w:val="none" w:sz="0" w:space="0" w:color="auto"/>
        <w:left w:val="none" w:sz="0" w:space="0" w:color="auto"/>
        <w:bottom w:val="none" w:sz="0" w:space="0" w:color="auto"/>
        <w:right w:val="none" w:sz="0" w:space="0" w:color="auto"/>
      </w:divBdr>
    </w:div>
    <w:div w:id="1949972394">
      <w:bodyDiv w:val="1"/>
      <w:marLeft w:val="0"/>
      <w:marRight w:val="0"/>
      <w:marTop w:val="0"/>
      <w:marBottom w:val="0"/>
      <w:divBdr>
        <w:top w:val="none" w:sz="0" w:space="0" w:color="auto"/>
        <w:left w:val="none" w:sz="0" w:space="0" w:color="auto"/>
        <w:bottom w:val="none" w:sz="0" w:space="0" w:color="auto"/>
        <w:right w:val="none" w:sz="0" w:space="0" w:color="auto"/>
      </w:divBdr>
    </w:div>
    <w:div w:id="1987541526">
      <w:bodyDiv w:val="1"/>
      <w:marLeft w:val="0"/>
      <w:marRight w:val="0"/>
      <w:marTop w:val="0"/>
      <w:marBottom w:val="0"/>
      <w:divBdr>
        <w:top w:val="none" w:sz="0" w:space="0" w:color="auto"/>
        <w:left w:val="none" w:sz="0" w:space="0" w:color="auto"/>
        <w:bottom w:val="none" w:sz="0" w:space="0" w:color="auto"/>
        <w:right w:val="none" w:sz="0" w:space="0" w:color="auto"/>
      </w:divBdr>
    </w:div>
    <w:div w:id="2029017687">
      <w:bodyDiv w:val="1"/>
      <w:marLeft w:val="0"/>
      <w:marRight w:val="0"/>
      <w:marTop w:val="0"/>
      <w:marBottom w:val="0"/>
      <w:divBdr>
        <w:top w:val="none" w:sz="0" w:space="0" w:color="auto"/>
        <w:left w:val="none" w:sz="0" w:space="0" w:color="auto"/>
        <w:bottom w:val="none" w:sz="0" w:space="0" w:color="auto"/>
        <w:right w:val="none" w:sz="0" w:space="0" w:color="auto"/>
      </w:divBdr>
    </w:div>
    <w:div w:id="2123186553">
      <w:bodyDiv w:val="1"/>
      <w:marLeft w:val="0"/>
      <w:marRight w:val="0"/>
      <w:marTop w:val="0"/>
      <w:marBottom w:val="0"/>
      <w:divBdr>
        <w:top w:val="none" w:sz="0" w:space="0" w:color="auto"/>
        <w:left w:val="none" w:sz="0" w:space="0" w:color="auto"/>
        <w:bottom w:val="none" w:sz="0" w:space="0" w:color="auto"/>
        <w:right w:val="none" w:sz="0" w:space="0" w:color="auto"/>
      </w:divBdr>
    </w:div>
    <w:div w:id="21341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uaarashed@yahoo.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46DB48-2B76-47F4-8FB8-03EA7C9EFF02}">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447</TotalTime>
  <Pages>9</Pages>
  <Words>4743</Words>
  <Characters>27154</Characters>
  <Application>Microsoft Office Word</Application>
  <DocSecurity>0</DocSecurity>
  <Lines>433</Lines>
  <Paragraphs>174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Title Goes Here</vt:lpstr>
      <vt:lpstr>Title Goes Here</vt:lpstr>
    </vt:vector>
  </TitlesOfParts>
  <Company>PPI</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41</cp:revision>
  <cp:lastPrinted>2011-03-03T08:29:00Z</cp:lastPrinted>
  <dcterms:created xsi:type="dcterms:W3CDTF">2025-11-02T14:52:00Z</dcterms:created>
  <dcterms:modified xsi:type="dcterms:W3CDTF">2025-12-06T20:21:00Z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41d005b970594acdca154079f2e90868d5de9f9b19e32ec437a18eac3e4ab1e5</vt:lpwstr>
  </property>
</Properties>
</file>