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23223A0B" w:rsidR="0016385D" w:rsidRPr="001746C5" w:rsidRDefault="00E85DB7" w:rsidP="00ED0933">
      <w:pPr>
        <w:pStyle w:val="PaperTitle"/>
        <w:spacing w:before="0"/>
        <w:rPr>
          <w:b w:val="0"/>
          <w:bCs/>
          <w:sz w:val="24"/>
          <w:szCs w:val="24"/>
        </w:rPr>
      </w:pPr>
      <w:r w:rsidRPr="001746C5">
        <w:t>Q</w:t>
      </w:r>
      <w:r w:rsidR="00B15F53" w:rsidRPr="001746C5">
        <w:t xml:space="preserve">RT-PCR Profiling of Adhesion Genes in </w:t>
      </w:r>
      <w:r w:rsidR="00ED0933" w:rsidRPr="001746C5">
        <w:t>Acinetobact</w:t>
      </w:r>
      <w:r w:rsidR="00B15F53" w:rsidRPr="001746C5">
        <w:t xml:space="preserve">er </w:t>
      </w:r>
      <w:r w:rsidR="001746C5" w:rsidRPr="001746C5">
        <w:t>B</w:t>
      </w:r>
      <w:r w:rsidR="00B15F53" w:rsidRPr="001746C5">
        <w:t>aumannii</w:t>
      </w:r>
    </w:p>
    <w:p w14:paraId="548D96A3" w14:textId="77439FF8" w:rsidR="00C14B14" w:rsidRPr="0053474B" w:rsidRDefault="00DC48A1" w:rsidP="007258E0">
      <w:pPr>
        <w:pStyle w:val="AuthorName"/>
        <w:rPr>
          <w:sz w:val="20"/>
          <w:lang w:val="en-GB" w:eastAsia="en-GB"/>
        </w:rPr>
      </w:pPr>
      <w:r w:rsidRPr="0053474B">
        <w:t>Omar I. Khalif</w:t>
      </w:r>
      <w:r w:rsidR="00FF3010">
        <w:t xml:space="preserve"> </w:t>
      </w:r>
      <w:r w:rsidR="00783FF6" w:rsidRPr="0053474B">
        <w:rPr>
          <w:vertAlign w:val="superscript"/>
        </w:rPr>
        <w:t>1, a</w:t>
      </w:r>
      <w:r w:rsidR="00EF6940" w:rsidRPr="0053474B">
        <w:rPr>
          <w:vertAlign w:val="superscript"/>
        </w:rPr>
        <w:t>)</w:t>
      </w:r>
      <w:r w:rsidR="002B797C" w:rsidRPr="0053474B">
        <w:t>,</w:t>
      </w:r>
      <w:r w:rsidR="001427FE" w:rsidRPr="0053474B">
        <w:t xml:space="preserve"> </w:t>
      </w:r>
      <w:r w:rsidR="0016385D" w:rsidRPr="0053474B">
        <w:t xml:space="preserve">and </w:t>
      </w:r>
      <w:r w:rsidR="007258E0" w:rsidRPr="0053474B">
        <w:t>Esam J. Alkalifawi</w:t>
      </w:r>
      <w:r w:rsidR="007B6FD3">
        <w:rPr>
          <w:vertAlign w:val="superscript"/>
        </w:rPr>
        <w:t>1</w:t>
      </w:r>
      <w:r w:rsidR="001B2FCB" w:rsidRPr="0053474B">
        <w:rPr>
          <w:vertAlign w:val="superscript"/>
        </w:rPr>
        <w:t>, b</w:t>
      </w:r>
      <w:r w:rsidR="003A5C85" w:rsidRPr="0053474B">
        <w:rPr>
          <w:vertAlign w:val="superscript"/>
        </w:rPr>
        <w:t>)</w:t>
      </w:r>
    </w:p>
    <w:p w14:paraId="31F8ADA4" w14:textId="77777777" w:rsidR="00FF3010" w:rsidRDefault="00027428" w:rsidP="007F0F54">
      <w:pPr>
        <w:pStyle w:val="AuthorAffiliation"/>
      </w:pPr>
      <w:r w:rsidRPr="007F0F54">
        <w:rPr>
          <w:vertAlign w:val="superscript"/>
        </w:rPr>
        <w:t>1</w:t>
      </w:r>
      <w:r w:rsidR="00073829" w:rsidRPr="007F0F54">
        <w:t>Department of Bio</w:t>
      </w:r>
      <w:r w:rsidR="005F39F6" w:rsidRPr="007F0F54">
        <w:t>logy, College of Education for Pure Science</w:t>
      </w:r>
      <w:r w:rsidR="0054048B" w:rsidRPr="007F0F54">
        <w:t>,</w:t>
      </w:r>
      <w:r w:rsidR="005F39F6" w:rsidRPr="007F0F54">
        <w:t xml:space="preserve"> Ibn Al-Haith</w:t>
      </w:r>
      <w:r w:rsidR="00073829" w:rsidRPr="007F0F54">
        <w:t>am, University of Baghdad</w:t>
      </w:r>
      <w:r w:rsidR="005F39F6" w:rsidRPr="007F0F54">
        <w:t>, Baghdad, Iraq</w:t>
      </w:r>
      <w:r w:rsidR="00FF3010">
        <w:t>.</w:t>
      </w:r>
    </w:p>
    <w:p w14:paraId="5CDD0BAE" w14:textId="5576617A" w:rsidR="00251284" w:rsidRPr="007B6FD3" w:rsidRDefault="0016782F" w:rsidP="007F0F54">
      <w:pPr>
        <w:pStyle w:val="AuthorAffiliation"/>
      </w:pPr>
      <w:r w:rsidRPr="007F0F54">
        <w:br/>
      </w:r>
      <w:r w:rsidR="00003D7C" w:rsidRPr="0053474B">
        <w:rPr>
          <w:szCs w:val="28"/>
          <w:vertAlign w:val="superscript"/>
        </w:rPr>
        <w:t>a)</w:t>
      </w:r>
      <w:r w:rsidR="006D47BC">
        <w:rPr>
          <w:szCs w:val="28"/>
          <w:vertAlign w:val="superscript"/>
        </w:rPr>
        <w:t xml:space="preserve"> </w:t>
      </w:r>
      <w:r w:rsidR="007B6FD3" w:rsidRPr="007B6FD3">
        <w:rPr>
          <w:szCs w:val="28"/>
          <w:lang w:bidi="ar-IQ"/>
        </w:rPr>
        <w:t>Corresponding author</w:t>
      </w:r>
      <w:r w:rsidR="00FF3010">
        <w:rPr>
          <w:sz w:val="14"/>
          <w:lang w:bidi="ar-IQ"/>
        </w:rPr>
        <w:t>:</w:t>
      </w:r>
      <w:r w:rsidR="007007DE">
        <w:t xml:space="preserve"> </w:t>
      </w:r>
      <w:hyperlink r:id="rId9" w:history="1">
        <w:r w:rsidR="00251284" w:rsidRPr="00FF3010">
          <w:rPr>
            <w:rStyle w:val="Hyperlink"/>
            <w:color w:val="auto"/>
            <w:u w:val="none"/>
          </w:rPr>
          <w:t>Omar.Alwan2202m@ihcoedu.uobaghdad.edu.iq</w:t>
        </w:r>
      </w:hyperlink>
    </w:p>
    <w:p w14:paraId="5E05E235" w14:textId="7125C6E8" w:rsidR="003A5C85" w:rsidRPr="0053474B" w:rsidRDefault="003A5C85" w:rsidP="00DC48A1">
      <w:pPr>
        <w:pStyle w:val="AuthorAffiliation"/>
        <w:rPr>
          <w:u w:val="single"/>
        </w:rPr>
      </w:pPr>
      <w:r w:rsidRPr="007B6FD3">
        <w:rPr>
          <w:szCs w:val="28"/>
          <w:vertAlign w:val="superscript"/>
        </w:rPr>
        <w:t>b)</w:t>
      </w:r>
      <w:r w:rsidR="00EB1611" w:rsidRPr="007B6FD3">
        <w:t xml:space="preserve"> </w:t>
      </w:r>
      <w:hyperlink r:id="rId10" w:history="1">
        <w:r w:rsidR="00DC48A1" w:rsidRPr="00FF3010">
          <w:rPr>
            <w:rStyle w:val="Hyperlink"/>
            <w:color w:val="auto"/>
            <w:u w:val="none"/>
          </w:rPr>
          <w:t>aesam365@Yahoo.com</w:t>
        </w:r>
      </w:hyperlink>
      <w:r w:rsidR="00EB1611" w:rsidRPr="0053474B">
        <w:rPr>
          <w:lang w:bidi="ar-IQ"/>
        </w:rPr>
        <w:t xml:space="preserve"> </w:t>
      </w:r>
    </w:p>
    <w:p w14:paraId="66EA3975" w14:textId="384995D3" w:rsidR="00AE6111" w:rsidRPr="0053474B" w:rsidRDefault="0016385D" w:rsidP="00EB5DAA">
      <w:pPr>
        <w:pStyle w:val="Abstract"/>
      </w:pPr>
      <w:r w:rsidRPr="0053474B">
        <w:rPr>
          <w:b/>
          <w:bCs/>
        </w:rPr>
        <w:t>Abstract.</w:t>
      </w:r>
      <w:r w:rsidRPr="0053474B">
        <w:t xml:space="preserve"> </w:t>
      </w:r>
      <w:r w:rsidR="00EB5DAA" w:rsidRPr="0053474B">
        <w:rPr>
          <w:i/>
          <w:iCs/>
        </w:rPr>
        <w:t>Acinetobacter baumannii</w:t>
      </w:r>
      <w:r w:rsidR="00EB5DAA" w:rsidRPr="0053474B">
        <w:t xml:space="preserve"> is a multidrug-resistant opportunistic pathogen that causes significant hospital-acquired infections. The ability of </w:t>
      </w:r>
      <w:r w:rsidR="00EB5DAA" w:rsidRPr="00B96938">
        <w:rPr>
          <w:i/>
          <w:iCs/>
        </w:rPr>
        <w:t>A. baumannii</w:t>
      </w:r>
      <w:r w:rsidR="00EB5DAA" w:rsidRPr="0053474B">
        <w:t xml:space="preserve"> to adhere to surfaces and form biofilms is mostly due to the mediation of certain genes related to adhesion, namely </w:t>
      </w:r>
      <w:proofErr w:type="spellStart"/>
      <w:r w:rsidR="00EB5DAA" w:rsidRPr="0053474B">
        <w:rPr>
          <w:i/>
          <w:iCs/>
        </w:rPr>
        <w:t>OmpA</w:t>
      </w:r>
      <w:proofErr w:type="spellEnd"/>
      <w:r w:rsidR="00EB5DAA" w:rsidRPr="0053474B">
        <w:rPr>
          <w:i/>
          <w:iCs/>
        </w:rPr>
        <w:t xml:space="preserve">, </w:t>
      </w:r>
      <w:proofErr w:type="spellStart"/>
      <w:r w:rsidR="00EB5DAA" w:rsidRPr="0053474B">
        <w:rPr>
          <w:i/>
          <w:iCs/>
        </w:rPr>
        <w:t>CsuC</w:t>
      </w:r>
      <w:proofErr w:type="spellEnd"/>
      <w:r w:rsidR="00EB5DAA" w:rsidRPr="0053474B">
        <w:t xml:space="preserve">, and </w:t>
      </w:r>
      <w:proofErr w:type="spellStart"/>
      <w:r w:rsidR="00EB5DAA" w:rsidRPr="0053474B">
        <w:rPr>
          <w:i/>
          <w:iCs/>
        </w:rPr>
        <w:t>CsuE</w:t>
      </w:r>
      <w:proofErr w:type="spellEnd"/>
      <w:r w:rsidR="00EB5DAA" w:rsidRPr="0053474B">
        <w:t>. The present study intended to assess the molecular prevalence and expression of these genes using conventional PCR and quantitative real-time PCR (</w:t>
      </w:r>
      <w:proofErr w:type="spellStart"/>
      <w:r w:rsidR="00EB5DAA" w:rsidRPr="0053474B">
        <w:t>qRT</w:t>
      </w:r>
      <w:proofErr w:type="spellEnd"/>
      <w:r w:rsidR="00EB5DAA" w:rsidRPr="0053474B">
        <w:t xml:space="preserve">-PCR). Twenty clinical isolates of </w:t>
      </w:r>
      <w:r w:rsidR="00EB5DAA" w:rsidRPr="0053474B">
        <w:rPr>
          <w:i/>
          <w:iCs/>
        </w:rPr>
        <w:t>A. baumannii</w:t>
      </w:r>
      <w:r w:rsidR="00EB5DAA" w:rsidRPr="0053474B">
        <w:t xml:space="preserve"> were obtained from infection sources and identified using a combination of morphological, biochemical and molecular methods. PCR screening showed that there was a high prevalence of adhesion genes </w:t>
      </w:r>
      <w:proofErr w:type="spellStart"/>
      <w:r w:rsidR="00EB5DAA" w:rsidRPr="00B96938">
        <w:rPr>
          <w:i/>
          <w:iCs/>
        </w:rPr>
        <w:t>OmpA</w:t>
      </w:r>
      <w:proofErr w:type="spellEnd"/>
      <w:r w:rsidR="00EB5DAA" w:rsidRPr="0053474B">
        <w:t xml:space="preserve"> (100%), </w:t>
      </w:r>
      <w:proofErr w:type="spellStart"/>
      <w:r w:rsidR="00EB5DAA" w:rsidRPr="00B96938">
        <w:rPr>
          <w:i/>
          <w:iCs/>
        </w:rPr>
        <w:t>CsuC</w:t>
      </w:r>
      <w:proofErr w:type="spellEnd"/>
      <w:r w:rsidR="00EB5DAA" w:rsidRPr="0053474B">
        <w:t xml:space="preserve"> (100%), and </w:t>
      </w:r>
      <w:proofErr w:type="spellStart"/>
      <w:r w:rsidR="00EB5DAA" w:rsidRPr="00B96938">
        <w:rPr>
          <w:i/>
          <w:iCs/>
        </w:rPr>
        <w:t>CsuE</w:t>
      </w:r>
      <w:proofErr w:type="spellEnd"/>
      <w:r w:rsidR="00EB5DAA" w:rsidRPr="00B96938">
        <w:rPr>
          <w:i/>
          <w:iCs/>
        </w:rPr>
        <w:t xml:space="preserve"> (</w:t>
      </w:r>
      <w:r w:rsidR="00EB5DAA" w:rsidRPr="0053474B">
        <w:t xml:space="preserve">95%). </w:t>
      </w:r>
      <w:proofErr w:type="spellStart"/>
      <w:r w:rsidR="00EB5DAA" w:rsidRPr="0053474B">
        <w:t>qRT</w:t>
      </w:r>
      <w:proofErr w:type="spellEnd"/>
      <w:r w:rsidR="00EB5DAA" w:rsidRPr="0053474B">
        <w:t xml:space="preserve">-PCR analysis indicated that gene expression for </w:t>
      </w:r>
      <w:proofErr w:type="spellStart"/>
      <w:r w:rsidR="00EB5DAA" w:rsidRPr="0053474B">
        <w:rPr>
          <w:i/>
          <w:iCs/>
        </w:rPr>
        <w:t>OmpA</w:t>
      </w:r>
      <w:proofErr w:type="spellEnd"/>
      <w:r w:rsidR="00EB5DAA" w:rsidRPr="0053474B">
        <w:t xml:space="preserve"> remained stable and expression for </w:t>
      </w:r>
      <w:proofErr w:type="spellStart"/>
      <w:r w:rsidR="00EB5DAA" w:rsidRPr="0053474B">
        <w:rPr>
          <w:i/>
          <w:iCs/>
        </w:rPr>
        <w:t>CsuC</w:t>
      </w:r>
      <w:proofErr w:type="spellEnd"/>
      <w:r w:rsidR="00EB5DAA" w:rsidRPr="0053474B">
        <w:t xml:space="preserve"> and </w:t>
      </w:r>
      <w:proofErr w:type="spellStart"/>
      <w:r w:rsidR="00EB5DAA" w:rsidRPr="0053474B">
        <w:rPr>
          <w:i/>
          <w:iCs/>
        </w:rPr>
        <w:t>CsuE</w:t>
      </w:r>
      <w:proofErr w:type="spellEnd"/>
      <w:r w:rsidR="00EB5DAA" w:rsidRPr="0053474B">
        <w:t xml:space="preserve"> was variable and downregulated with the isolates. Collectively, these results confirm that </w:t>
      </w:r>
      <w:r w:rsidR="00EB5DAA" w:rsidRPr="00B96938">
        <w:rPr>
          <w:i/>
          <w:iCs/>
        </w:rPr>
        <w:t>A. baumannii</w:t>
      </w:r>
      <w:r w:rsidR="00EB5DAA" w:rsidRPr="0053474B">
        <w:t xml:space="preserve"> is equipped with a conserved genetic system for adhesion and that differential gene regulation is likely influenced by environmental conditions. The study demonstrates that </w:t>
      </w:r>
      <w:proofErr w:type="spellStart"/>
      <w:r w:rsidR="00EB5DAA" w:rsidRPr="0053474B">
        <w:t>qRT</w:t>
      </w:r>
      <w:proofErr w:type="spellEnd"/>
      <w:r w:rsidR="00EB5DAA" w:rsidRPr="0053474B">
        <w:t>-PCR is a sensitive molecular technique with the potential to assess virulence-associated genes and characterization of the adaptive mechanisms of this clinically relevant pathogen</w:t>
      </w:r>
      <w:r w:rsidR="00EB1611" w:rsidRPr="0053474B">
        <w:t>.</w:t>
      </w:r>
      <w:r w:rsidR="00AE6111" w:rsidRPr="0053474B">
        <w:t xml:space="preserve"> </w:t>
      </w:r>
    </w:p>
    <w:p w14:paraId="270CE254" w14:textId="5406D803" w:rsidR="00AE6111" w:rsidRPr="0053474B" w:rsidRDefault="00AE6111" w:rsidP="00AE1F23">
      <w:pPr>
        <w:pStyle w:val="Abstract"/>
      </w:pPr>
      <w:r w:rsidRPr="0053474B">
        <w:rPr>
          <w:b/>
          <w:bCs/>
        </w:rPr>
        <w:t xml:space="preserve">Keywords: </w:t>
      </w:r>
      <w:r w:rsidR="00AE1F23" w:rsidRPr="0053474B">
        <w:rPr>
          <w:i/>
          <w:iCs/>
        </w:rPr>
        <w:t>Acinetobacter baumannii</w:t>
      </w:r>
      <w:r w:rsidR="00AE1F23" w:rsidRPr="0053474B">
        <w:t xml:space="preserve">, Adhesion genes, </w:t>
      </w:r>
      <w:proofErr w:type="spellStart"/>
      <w:r w:rsidR="00AE1F23" w:rsidRPr="0053474B">
        <w:rPr>
          <w:i/>
          <w:iCs/>
        </w:rPr>
        <w:t>OmpA</w:t>
      </w:r>
      <w:proofErr w:type="spellEnd"/>
      <w:r w:rsidR="00AE1F23" w:rsidRPr="0053474B">
        <w:t xml:space="preserve">, </w:t>
      </w:r>
      <w:proofErr w:type="spellStart"/>
      <w:r w:rsidR="00AE1F23" w:rsidRPr="0053474B">
        <w:rPr>
          <w:i/>
          <w:iCs/>
        </w:rPr>
        <w:t>CsuC</w:t>
      </w:r>
      <w:proofErr w:type="spellEnd"/>
      <w:r w:rsidR="00AE1F23" w:rsidRPr="0053474B">
        <w:t xml:space="preserve">, </w:t>
      </w:r>
      <w:proofErr w:type="spellStart"/>
      <w:r w:rsidR="00AE1F23" w:rsidRPr="0053474B">
        <w:rPr>
          <w:i/>
          <w:iCs/>
        </w:rPr>
        <w:t>CsuE</w:t>
      </w:r>
      <w:proofErr w:type="spellEnd"/>
      <w:r w:rsidR="00AE1F23" w:rsidRPr="0053474B">
        <w:t xml:space="preserve">, </w:t>
      </w:r>
      <w:proofErr w:type="spellStart"/>
      <w:r w:rsidR="00AE1F23" w:rsidRPr="0053474B">
        <w:t>qRT</w:t>
      </w:r>
      <w:proofErr w:type="spellEnd"/>
      <w:r w:rsidR="00AE1F23" w:rsidRPr="0053474B">
        <w:t>-PCR, Gene expression</w:t>
      </w:r>
      <w:r w:rsidR="00AE1017" w:rsidRPr="0053474B">
        <w:t>.</w:t>
      </w:r>
    </w:p>
    <w:p w14:paraId="5240E3FB" w14:textId="452E1F5D" w:rsidR="003A287B" w:rsidRPr="0053474B" w:rsidRDefault="00AE6111" w:rsidP="00AE6111">
      <w:pPr>
        <w:pStyle w:val="Heading1"/>
        <w:rPr>
          <w:b w:val="0"/>
          <w:caps w:val="0"/>
          <w:sz w:val="20"/>
        </w:rPr>
      </w:pPr>
      <w:r w:rsidRPr="0053474B">
        <w:t>Introduction</w:t>
      </w:r>
    </w:p>
    <w:p w14:paraId="195FAF4C" w14:textId="7C1BF3B0" w:rsidR="00EB5DAA" w:rsidRPr="0053474B" w:rsidRDefault="00EB5DAA" w:rsidP="00EB5DAA">
      <w:pPr>
        <w:pStyle w:val="Paragraph"/>
      </w:pPr>
      <w:r w:rsidRPr="0053474B">
        <w:rPr>
          <w:i/>
          <w:iCs/>
        </w:rPr>
        <w:t>Acinetobacter baumannii</w:t>
      </w:r>
      <w:r w:rsidRPr="0053474B">
        <w:t xml:space="preserve"> has developed into one of the most formidable opportunistic pathogens in hospital settings worldwide [1, 2]. Once thought of as a non-pathogenic saprophytic organism, </w:t>
      </w:r>
      <w:r w:rsidRPr="0053474B">
        <w:rPr>
          <w:i/>
          <w:iCs/>
        </w:rPr>
        <w:t>A. baumannii</w:t>
      </w:r>
      <w:r w:rsidRPr="0053474B">
        <w:t xml:space="preserve"> has emerged as a significant cause of nosocomial infections, including ventilator-associated pneumonia, bloodstream infections, urinary tract infections, and wound and burn infections [3, 4]. In addition to the </w:t>
      </w:r>
      <w:r w:rsidR="00A52F9B" w:rsidRPr="0053474B">
        <w:t>organism’s</w:t>
      </w:r>
      <w:r w:rsidRPr="0053474B">
        <w:t xml:space="preserve"> ability to acquire and regulate antimicrobial resistance genes, its capacity for persistence on abiotic surfaces has contributed to the organism's triumph as a multidrug-resistant (MDR) pathogen [5, 6, 7]. </w:t>
      </w:r>
    </w:p>
    <w:p w14:paraId="2FCE656C" w14:textId="06D4C7FC" w:rsidR="00EB5DAA" w:rsidRPr="0053474B" w:rsidRDefault="00EB5DAA" w:rsidP="00EB5DAA">
      <w:pPr>
        <w:pStyle w:val="Paragraph"/>
      </w:pPr>
      <w:r w:rsidRPr="0053474B">
        <w:t xml:space="preserve">The mechanisms </w:t>
      </w:r>
      <w:r w:rsidRPr="0053474B">
        <w:rPr>
          <w:i/>
          <w:iCs/>
        </w:rPr>
        <w:t>A. baumannii</w:t>
      </w:r>
      <w:r w:rsidRPr="0053474B">
        <w:t xml:space="preserve"> employs to cause disease are associated with several virulence factors, and bacterial adhesion and biofilm formation are amongst the most important in the early steps of an infection [8, 9]. Adhesion allows bacterial cells to adhere firmly to host tissues or surfaces of medical devices, thereby increasing colonization in addition to allowing the bacteria to evade attack from the immune system and resistance to antimicrobial agents [10]. Adhesion is mostly mediated by outer membrane proteins, (for example, </w:t>
      </w:r>
      <w:proofErr w:type="spellStart"/>
      <w:r w:rsidRPr="0053474B">
        <w:rPr>
          <w:i/>
          <w:iCs/>
        </w:rPr>
        <w:t>OmpA</w:t>
      </w:r>
      <w:proofErr w:type="spellEnd"/>
      <w:r w:rsidRPr="0053474B">
        <w:t xml:space="preserve">) or chaperone-usher pili systems (for example, </w:t>
      </w:r>
      <w:proofErr w:type="spellStart"/>
      <w:r w:rsidRPr="0053474B">
        <w:rPr>
          <w:i/>
          <w:iCs/>
        </w:rPr>
        <w:t>CsuC</w:t>
      </w:r>
      <w:proofErr w:type="spellEnd"/>
      <w:r w:rsidRPr="0053474B">
        <w:t xml:space="preserve"> and </w:t>
      </w:r>
      <w:proofErr w:type="spellStart"/>
      <w:r w:rsidRPr="0053474B">
        <w:rPr>
          <w:i/>
          <w:iCs/>
        </w:rPr>
        <w:t>CsuE</w:t>
      </w:r>
      <w:proofErr w:type="spellEnd"/>
      <w:r w:rsidRPr="0053474B">
        <w:t>), which facilitate cell-surface interactions and biofilm formation [11].</w:t>
      </w:r>
    </w:p>
    <w:p w14:paraId="4D0CD864" w14:textId="77777777" w:rsidR="00C54488" w:rsidRPr="0053474B" w:rsidRDefault="00C54488" w:rsidP="00C54488">
      <w:pPr>
        <w:pStyle w:val="Paragraph"/>
      </w:pPr>
      <w:r w:rsidRPr="0053474B">
        <w:t xml:space="preserve">Molecular detection and quantification of adhesion-related genes have become valuable tools in understanding what underlies the virulence of </w:t>
      </w:r>
      <w:r w:rsidRPr="00B96938">
        <w:rPr>
          <w:i/>
          <w:iCs/>
        </w:rPr>
        <w:t>A. baumannii</w:t>
      </w:r>
      <w:r w:rsidRPr="0053474B">
        <w:t xml:space="preserve"> [12]. Real time quantitative reverse transcriptase PCR (</w:t>
      </w:r>
      <w:proofErr w:type="spellStart"/>
      <w:r w:rsidRPr="0053474B">
        <w:t>qRT</w:t>
      </w:r>
      <w:proofErr w:type="spellEnd"/>
      <w:r w:rsidRPr="0053474B">
        <w:t xml:space="preserve">-PCR) represents a sensitive and accurate method to assess the levels of gene expression, and hence to investigate the genetic regulation surrounding virulence determinants [13]. </w:t>
      </w:r>
    </w:p>
    <w:p w14:paraId="08F9D3AC" w14:textId="3BCCD6BD" w:rsidR="00B15F53" w:rsidRPr="0053474B" w:rsidRDefault="00C54488" w:rsidP="00C54488">
      <w:pPr>
        <w:pStyle w:val="Paragraph"/>
      </w:pPr>
      <w:r w:rsidRPr="0053474B">
        <w:t>In the current study, we will assess the expression of three adhesion genes (</w:t>
      </w:r>
      <w:proofErr w:type="spellStart"/>
      <w:r w:rsidRPr="0053474B">
        <w:rPr>
          <w:i/>
          <w:iCs/>
        </w:rPr>
        <w:t>OmpA</w:t>
      </w:r>
      <w:proofErr w:type="spellEnd"/>
      <w:r w:rsidRPr="0053474B">
        <w:rPr>
          <w:i/>
          <w:iCs/>
        </w:rPr>
        <w:t xml:space="preserve">, </w:t>
      </w:r>
      <w:proofErr w:type="spellStart"/>
      <w:r w:rsidRPr="0053474B">
        <w:rPr>
          <w:i/>
          <w:iCs/>
        </w:rPr>
        <w:t>CsuC</w:t>
      </w:r>
      <w:proofErr w:type="spellEnd"/>
      <w:r w:rsidRPr="0053474B">
        <w:rPr>
          <w:i/>
          <w:iCs/>
        </w:rPr>
        <w:t xml:space="preserve">, and </w:t>
      </w:r>
      <w:proofErr w:type="spellStart"/>
      <w:r w:rsidRPr="0053474B">
        <w:rPr>
          <w:i/>
          <w:iCs/>
        </w:rPr>
        <w:t>CsuE</w:t>
      </w:r>
      <w:proofErr w:type="spellEnd"/>
      <w:r w:rsidRPr="0053474B">
        <w:t xml:space="preserve">) using </w:t>
      </w:r>
      <w:proofErr w:type="spellStart"/>
      <w:r w:rsidRPr="0053474B">
        <w:t>qRT</w:t>
      </w:r>
      <w:proofErr w:type="spellEnd"/>
      <w:r w:rsidRPr="0053474B">
        <w:t xml:space="preserve">-PCR in clinical isolates of </w:t>
      </w:r>
      <w:r w:rsidRPr="0053474B">
        <w:rPr>
          <w:i/>
          <w:iCs/>
        </w:rPr>
        <w:t>A. baumannii</w:t>
      </w:r>
      <w:r w:rsidRPr="0053474B">
        <w:t>. This allows for a better understanding of the genetic expression of virulence-associated adhesion factors and leads to deeper understanding of the molecular basis for virulence and persistence in this important pathobiont</w:t>
      </w:r>
      <w:r w:rsidR="00B15F53" w:rsidRPr="0053474B">
        <w:t>.</w:t>
      </w:r>
    </w:p>
    <w:p w14:paraId="6208AC76" w14:textId="31B2D910" w:rsidR="001226B4" w:rsidRPr="0053474B" w:rsidRDefault="00B15F53" w:rsidP="003E6FF9">
      <w:pPr>
        <w:pStyle w:val="Heading1"/>
        <w:rPr>
          <w:b w:val="0"/>
          <w:caps w:val="0"/>
          <w:sz w:val="20"/>
        </w:rPr>
      </w:pPr>
      <w:r w:rsidRPr="0053474B">
        <w:lastRenderedPageBreak/>
        <w:t>Materials and mathods</w:t>
      </w:r>
    </w:p>
    <w:p w14:paraId="06D2C968" w14:textId="77777777" w:rsidR="00B15F53" w:rsidRPr="0053474B" w:rsidRDefault="00B15F53" w:rsidP="00AE1F23">
      <w:pPr>
        <w:pStyle w:val="Heading2"/>
        <w:rPr>
          <w:bCs/>
          <w:szCs w:val="24"/>
        </w:rPr>
      </w:pPr>
      <w:r w:rsidRPr="0053474B">
        <w:rPr>
          <w:bCs/>
          <w:szCs w:val="24"/>
        </w:rPr>
        <w:t>Bacterial Isolation and Identification</w:t>
      </w:r>
    </w:p>
    <w:p w14:paraId="5F854EDB" w14:textId="2E80A9DD" w:rsidR="00B15F53" w:rsidRPr="0053474B" w:rsidRDefault="00C54488" w:rsidP="00B96938">
      <w:pPr>
        <w:pStyle w:val="Paragraph"/>
      </w:pPr>
      <w:r w:rsidRPr="0053474B">
        <w:t xml:space="preserve">We obtained a total of 157 clinical samples from a variety of infection sources such as burns, wounds, urinary tract infections, and sputum from patients admitted to different hospitals located in Baghdad, Iraq. The samples were cultured onto blood agar and MacConkey agar plates and were incubated for 24 hours at 37 °C. The bacterial isolates that exhibited characteristic morphology and biochemistry typical of </w:t>
      </w:r>
      <w:r w:rsidRPr="00EC7C2F">
        <w:rPr>
          <w:i/>
          <w:iCs/>
        </w:rPr>
        <w:t>Acinetobacter</w:t>
      </w:r>
      <w:r w:rsidRPr="0053474B">
        <w:t xml:space="preserve"> species were subsequently identified as </w:t>
      </w:r>
      <w:r w:rsidRPr="0053474B">
        <w:rPr>
          <w:i/>
          <w:iCs/>
        </w:rPr>
        <w:t>A. baumannii</w:t>
      </w:r>
      <w:r w:rsidRPr="0053474B">
        <w:t xml:space="preserve"> using the VITEK2 Compact System (</w:t>
      </w:r>
      <w:r w:rsidR="00A52F9B" w:rsidRPr="0053474B">
        <w:t>biomatrix</w:t>
      </w:r>
      <w:r w:rsidRPr="0053474B">
        <w:t>, France)</w:t>
      </w:r>
      <w:r w:rsidR="00EC7C2F">
        <w:t xml:space="preserve"> and obtained 2</w:t>
      </w:r>
      <w:r w:rsidR="00B96938">
        <w:rPr>
          <w:rFonts w:hint="cs"/>
          <w:rtl/>
        </w:rPr>
        <w:t>0</w:t>
      </w:r>
      <w:r w:rsidR="00EC7C2F">
        <w:t xml:space="preserve"> isolates</w:t>
      </w:r>
      <w:r w:rsidR="00B15F53" w:rsidRPr="0053474B">
        <w:t>.</w:t>
      </w:r>
    </w:p>
    <w:p w14:paraId="182F0A9E" w14:textId="77777777" w:rsidR="00B15F53" w:rsidRPr="0053474B" w:rsidRDefault="00B15F53" w:rsidP="00AE1F23">
      <w:pPr>
        <w:pStyle w:val="Heading2"/>
        <w:rPr>
          <w:bCs/>
          <w:szCs w:val="24"/>
        </w:rPr>
      </w:pPr>
      <w:r w:rsidRPr="0053474B">
        <w:rPr>
          <w:bCs/>
          <w:szCs w:val="24"/>
        </w:rPr>
        <w:t xml:space="preserve">Molecular Confirmation of </w:t>
      </w:r>
      <w:r w:rsidRPr="0053474B">
        <w:rPr>
          <w:bCs/>
          <w:i/>
          <w:iCs/>
          <w:szCs w:val="24"/>
        </w:rPr>
        <w:t>A. baumannii</w:t>
      </w:r>
    </w:p>
    <w:p w14:paraId="5FB707D1" w14:textId="33AE3CD4" w:rsidR="00B15F53" w:rsidRPr="0053474B" w:rsidRDefault="00497631" w:rsidP="00B15F53">
      <w:pPr>
        <w:pStyle w:val="Paragraph"/>
      </w:pPr>
      <w:r w:rsidRPr="0053474B">
        <w:t xml:space="preserve">Genomic DNA was isolated from each isolate with a commercial kit for DNA extraction, following the commercial protocol. The purification and concentration of DNA were assessed through spectrophotometry at 260/280 nm. Molecular identification was carried out by conventional PCR targeting the </w:t>
      </w:r>
      <w:r w:rsidRPr="0053474B">
        <w:rPr>
          <w:i/>
          <w:iCs/>
        </w:rPr>
        <w:t>16S rRNA</w:t>
      </w:r>
      <w:r w:rsidRPr="0053474B">
        <w:t xml:space="preserve"> gene, using specific primers directed towards </w:t>
      </w:r>
      <w:r w:rsidRPr="0053474B">
        <w:rPr>
          <w:i/>
          <w:iCs/>
        </w:rPr>
        <w:t>A. baumannii</w:t>
      </w:r>
      <w:r w:rsidRPr="0053474B">
        <w:t>. PCR amplification was carried out in a thermal cycler using the following times and temperatures: before amplification there was an initial denaturation step of 95 °C for 5 min followed by 35 cycles of denaturation at 95 °C for 30 s, annealing at 55 °C for 30 s, and extension at 72 °C for 1 min with a final extension step of 72 °C for 7 min. The amplified products were evaluated by electrophoresis in 1.5% agarose gels stained with ethidium bromide and visualized under UV [14].</w:t>
      </w:r>
    </w:p>
    <w:p w14:paraId="0BB3D484" w14:textId="77777777" w:rsidR="00B15F53" w:rsidRPr="0053474B" w:rsidRDefault="00B15F53" w:rsidP="00AE1F23">
      <w:pPr>
        <w:pStyle w:val="Heading2"/>
        <w:rPr>
          <w:bCs/>
          <w:szCs w:val="24"/>
        </w:rPr>
      </w:pPr>
      <w:r w:rsidRPr="0053474B">
        <w:rPr>
          <w:bCs/>
          <w:szCs w:val="24"/>
        </w:rPr>
        <w:t>Detection of Adhesion-Related Genes</w:t>
      </w:r>
    </w:p>
    <w:p w14:paraId="0CEC7B89" w14:textId="10DF6142" w:rsidR="00B15F53" w:rsidRPr="0053474B" w:rsidRDefault="00497631" w:rsidP="00B15F53">
      <w:pPr>
        <w:pStyle w:val="Paragraph"/>
      </w:pPr>
      <w:r w:rsidRPr="0053474B">
        <w:t xml:space="preserve">To determine the presence of adhesion-related genes </w:t>
      </w:r>
      <w:proofErr w:type="spellStart"/>
      <w:r w:rsidRPr="0053474B">
        <w:rPr>
          <w:i/>
          <w:iCs/>
        </w:rPr>
        <w:t>OmpA</w:t>
      </w:r>
      <w:proofErr w:type="spellEnd"/>
      <w:r w:rsidRPr="0053474B">
        <w:rPr>
          <w:i/>
          <w:iCs/>
        </w:rPr>
        <w:t xml:space="preserve">, </w:t>
      </w:r>
      <w:proofErr w:type="spellStart"/>
      <w:r w:rsidRPr="0053474B">
        <w:rPr>
          <w:i/>
          <w:iCs/>
        </w:rPr>
        <w:t>CsuC</w:t>
      </w:r>
      <w:proofErr w:type="spellEnd"/>
      <w:r w:rsidRPr="0053474B">
        <w:t xml:space="preserve"> and </w:t>
      </w:r>
      <w:proofErr w:type="spellStart"/>
      <w:r w:rsidRPr="0053474B">
        <w:rPr>
          <w:i/>
          <w:iCs/>
        </w:rPr>
        <w:t>CsuE</w:t>
      </w:r>
      <w:proofErr w:type="spellEnd"/>
      <w:r w:rsidRPr="0053474B">
        <w:t xml:space="preserve">, twenty-five µL PCR reactions were performed using gene-specific primers. Each PCR reaction included 12.5 µL Master Mix, 1 µL of each primer (10 </w:t>
      </w:r>
      <w:proofErr w:type="spellStart"/>
      <w:r w:rsidRPr="0053474B">
        <w:t>pmol</w:t>
      </w:r>
      <w:proofErr w:type="spellEnd"/>
      <w:r w:rsidRPr="0053474B">
        <w:t>), 2 µL of DNA template and 8.5 µL of nuclease-free water. The thermal cycling conditions were optimized for every gene based on its specific annealing temperature prior to testing. PCR products were subjected to 1.5% agarose gel electrophoresis using 100 bp DNA ladder as a marker for molecular size [15].</w:t>
      </w:r>
    </w:p>
    <w:p w14:paraId="674BF75B" w14:textId="77777777" w:rsidR="00B15F53" w:rsidRPr="0053474B" w:rsidRDefault="00B15F53" w:rsidP="00AE1F23">
      <w:pPr>
        <w:pStyle w:val="Heading2"/>
        <w:rPr>
          <w:bCs/>
          <w:szCs w:val="24"/>
        </w:rPr>
      </w:pPr>
      <w:r w:rsidRPr="0053474B">
        <w:rPr>
          <w:bCs/>
          <w:szCs w:val="24"/>
        </w:rPr>
        <w:t>RNA Extraction and cDNA Synthesis</w:t>
      </w:r>
    </w:p>
    <w:p w14:paraId="685D4DED" w14:textId="4C0E4C08" w:rsidR="00B15F53" w:rsidRPr="0053474B" w:rsidRDefault="00497631" w:rsidP="00B15F53">
      <w:pPr>
        <w:pStyle w:val="Paragraph"/>
      </w:pPr>
      <w:r w:rsidRPr="0053474B">
        <w:t xml:space="preserve">To analyze gene </w:t>
      </w:r>
      <w:proofErr w:type="gramStart"/>
      <w:r w:rsidRPr="0053474B">
        <w:t>expression</w:t>
      </w:r>
      <w:proofErr w:type="gramEnd"/>
      <w:r w:rsidRPr="0053474B">
        <w:t xml:space="preserve">, total RNA was extracted from </w:t>
      </w:r>
      <w:r w:rsidRPr="0053474B">
        <w:rPr>
          <w:i/>
          <w:iCs/>
        </w:rPr>
        <w:t>A. baumannii</w:t>
      </w:r>
      <w:r w:rsidRPr="0053474B">
        <w:t xml:space="preserve"> isolates via an RNA purification kit according to the manufacturer's manual. The quality and concentration of RNA were assessed by determining the A260/A280 ratio. From 1 µg of total RNA, complementary DNA (cDNA) was made using a reverse transcriptase kit in a 20 µL reaction volume with the following thermal cycling profile: 42 °C for 30 min for reverse transcription and 85 °C for 5 min for enzyme inactivation [16]</w:t>
      </w:r>
      <w:r w:rsidR="00B15F53" w:rsidRPr="0053474B">
        <w:t>.</w:t>
      </w:r>
    </w:p>
    <w:p w14:paraId="5E835E34" w14:textId="77777777" w:rsidR="00B15F53" w:rsidRPr="0053474B" w:rsidRDefault="00B15F53" w:rsidP="00B15F53">
      <w:pPr>
        <w:pStyle w:val="Heading2"/>
        <w:rPr>
          <w:bCs/>
          <w:szCs w:val="24"/>
        </w:rPr>
      </w:pPr>
      <w:r w:rsidRPr="0053474B">
        <w:rPr>
          <w:bCs/>
          <w:szCs w:val="24"/>
        </w:rPr>
        <w:t>Quantitative Real-Time PCR (</w:t>
      </w:r>
      <w:proofErr w:type="spellStart"/>
      <w:r w:rsidRPr="0053474B">
        <w:rPr>
          <w:bCs/>
          <w:szCs w:val="24"/>
        </w:rPr>
        <w:t>qRT</w:t>
      </w:r>
      <w:proofErr w:type="spellEnd"/>
      <w:r w:rsidRPr="0053474B">
        <w:rPr>
          <w:bCs/>
          <w:szCs w:val="24"/>
        </w:rPr>
        <w:t>-PCR) Analysis</w:t>
      </w:r>
    </w:p>
    <w:p w14:paraId="70C1DA50" w14:textId="330E6F8C" w:rsidR="00B15F53" w:rsidRPr="0053474B" w:rsidRDefault="00497631" w:rsidP="00B15F53">
      <w:pPr>
        <w:pStyle w:val="Paragraph"/>
      </w:pPr>
      <w:r w:rsidRPr="0053474B">
        <w:t xml:space="preserve">Using a real-time PCR system (Applied Biosystems, USA), the expression levels of the </w:t>
      </w:r>
      <w:proofErr w:type="spellStart"/>
      <w:r w:rsidRPr="0053474B">
        <w:rPr>
          <w:i/>
          <w:iCs/>
        </w:rPr>
        <w:t>OmpA</w:t>
      </w:r>
      <w:proofErr w:type="spellEnd"/>
      <w:r w:rsidRPr="0053474B">
        <w:rPr>
          <w:i/>
          <w:iCs/>
        </w:rPr>
        <w:t xml:space="preserve">, </w:t>
      </w:r>
      <w:proofErr w:type="spellStart"/>
      <w:r w:rsidRPr="0053474B">
        <w:rPr>
          <w:i/>
          <w:iCs/>
        </w:rPr>
        <w:t>CsuC</w:t>
      </w:r>
      <w:proofErr w:type="spellEnd"/>
      <w:r w:rsidRPr="0053474B">
        <w:t xml:space="preserve">, and </w:t>
      </w:r>
      <w:proofErr w:type="spellStart"/>
      <w:r w:rsidRPr="0053474B">
        <w:rPr>
          <w:i/>
          <w:iCs/>
        </w:rPr>
        <w:t>CsuE</w:t>
      </w:r>
      <w:proofErr w:type="spellEnd"/>
      <w:r w:rsidRPr="0053474B">
        <w:t xml:space="preserve"> genes were quantified utilizing the SYBR Green </w:t>
      </w:r>
      <w:proofErr w:type="spellStart"/>
      <w:r w:rsidRPr="0053474B">
        <w:t>qRT</w:t>
      </w:r>
      <w:proofErr w:type="spellEnd"/>
      <w:r w:rsidRPr="0053474B">
        <w:t xml:space="preserve">-PCR method. For reference, the 16S rRNA gene, which is a housekeeping gene, was also quantified. The amplification reaction mix (20 µL) was made up of 10 µL of SYBR Green Master Mix, 1 µL of each primer (10 </w:t>
      </w:r>
      <w:proofErr w:type="spellStart"/>
      <w:r w:rsidRPr="0053474B">
        <w:t>pmol</w:t>
      </w:r>
      <w:proofErr w:type="spellEnd"/>
      <w:r w:rsidRPr="0053474B">
        <w:t>), 2 µL of cDNA template, and 6 µL of nuclease-free water, to make a total reaction volume of 20 µL. The thermal cycling conditions were as follows: an initial denaturation at 95 °C for 3 min, followed by 40 cycles of 95 °C for 15 s and 60 °C for 30 s. A melting curve analysis was acquired to validate the specificity of the amplification reactions [17].</w:t>
      </w:r>
    </w:p>
    <w:p w14:paraId="57E11EB4" w14:textId="77777777" w:rsidR="00B15F53" w:rsidRPr="0053474B" w:rsidRDefault="00B15F53" w:rsidP="00B15F53">
      <w:pPr>
        <w:pStyle w:val="Heading2"/>
        <w:rPr>
          <w:bCs/>
          <w:szCs w:val="24"/>
        </w:rPr>
      </w:pPr>
      <w:r w:rsidRPr="0053474B">
        <w:rPr>
          <w:bCs/>
          <w:szCs w:val="24"/>
        </w:rPr>
        <w:t>Data Analysis</w:t>
      </w:r>
    </w:p>
    <w:p w14:paraId="578753A5" w14:textId="182FE7D8" w:rsidR="00725861" w:rsidRPr="0053474B" w:rsidRDefault="00497631" w:rsidP="009B01F8">
      <w:pPr>
        <w:pStyle w:val="Paragraph"/>
      </w:pPr>
      <w:r w:rsidRPr="0053474B">
        <w:t>The quantitative expression levels of target genes were determined by the 2</w:t>
      </w:r>
      <w:r w:rsidRPr="0053474B">
        <w:rPr>
          <w:rFonts w:ascii="Cambria Math" w:hAnsi="Cambria Math" w:cs="Cambria Math"/>
        </w:rPr>
        <w:t>⁻</w:t>
      </w:r>
      <w:r w:rsidRPr="0053474B">
        <w:t>ΔΔCt method [18]. One-way ANOVA was utilized for statistical analysis, with differences considered significant when P ≤ 0.05</w:t>
      </w:r>
      <w:r w:rsidR="003E6FF9" w:rsidRPr="0053474B">
        <w:t>.</w:t>
      </w:r>
      <w:r w:rsidR="00725861" w:rsidRPr="0053474B">
        <w:t xml:space="preserve"> </w:t>
      </w:r>
    </w:p>
    <w:p w14:paraId="21C3B98D" w14:textId="56C02A4C" w:rsidR="005D35D6" w:rsidRPr="0053474B" w:rsidRDefault="00AE1F23" w:rsidP="00D43763">
      <w:pPr>
        <w:pStyle w:val="Heading1"/>
      </w:pPr>
      <w:r w:rsidRPr="0053474B">
        <w:lastRenderedPageBreak/>
        <w:t>Results and Discussion</w:t>
      </w:r>
    </w:p>
    <w:p w14:paraId="73707854" w14:textId="1B466648" w:rsidR="005D35D6" w:rsidRPr="0053474B" w:rsidRDefault="000C4962" w:rsidP="000C4962">
      <w:pPr>
        <w:pStyle w:val="Heading2"/>
      </w:pPr>
      <w:r w:rsidRPr="0053474B">
        <w:rPr>
          <w:bCs/>
        </w:rPr>
        <w:t xml:space="preserve">Molecular Identification of </w:t>
      </w:r>
      <w:r w:rsidRPr="0053474B">
        <w:rPr>
          <w:bCs/>
          <w:i/>
          <w:iCs/>
        </w:rPr>
        <w:t>A. baumannii</w:t>
      </w:r>
    </w:p>
    <w:p w14:paraId="2B333934" w14:textId="314F0ECA" w:rsidR="00951CDB" w:rsidRDefault="00402D53" w:rsidP="00951CDB">
      <w:pPr>
        <w:pStyle w:val="Paragraph"/>
        <w:rPr>
          <w:bCs/>
        </w:rPr>
      </w:pPr>
      <w:r w:rsidRPr="0053474B">
        <w:rPr>
          <w:bCs/>
        </w:rPr>
        <w:t xml:space="preserve">Twenty clinical isolates received confirmation as </w:t>
      </w:r>
      <w:r w:rsidRPr="00B96938">
        <w:rPr>
          <w:bCs/>
          <w:i/>
          <w:iCs/>
        </w:rPr>
        <w:t xml:space="preserve">Acinetobacter baumannii </w:t>
      </w:r>
      <w:r w:rsidRPr="0053474B">
        <w:rPr>
          <w:bCs/>
        </w:rPr>
        <w:t xml:space="preserve">by their morphological and biochemical characteristics, as well as by the VITEK2 system. The isolates were also verified by PCR amplification of the </w:t>
      </w:r>
      <w:r w:rsidRPr="00B96938">
        <w:rPr>
          <w:bCs/>
          <w:i/>
          <w:iCs/>
        </w:rPr>
        <w:t>16S rRNA</w:t>
      </w:r>
      <w:r w:rsidRPr="0053474B">
        <w:rPr>
          <w:bCs/>
        </w:rPr>
        <w:t xml:space="preserve"> gene, which resulted in one distinct band of 67 bp for all of isolation (Fig.1)</w:t>
      </w:r>
      <w:r w:rsidR="00951CDB" w:rsidRPr="0053474B">
        <w:rPr>
          <w:bCs/>
        </w:rPr>
        <w:t>.</w:t>
      </w:r>
    </w:p>
    <w:p w14:paraId="4C9DA43A" w14:textId="77777777" w:rsidR="000856E9" w:rsidRPr="0053474B" w:rsidRDefault="000856E9" w:rsidP="00951CDB">
      <w:pPr>
        <w:pStyle w:val="Paragraph"/>
        <w:rPr>
          <w:bCs/>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6"/>
      </w:tblGrid>
      <w:tr w:rsidR="00105F84" w:rsidRPr="0053474B" w14:paraId="0B58878D" w14:textId="77777777" w:rsidTr="007007DE">
        <w:trPr>
          <w:trHeight w:val="2485"/>
        </w:trPr>
        <w:tc>
          <w:tcPr>
            <w:tcW w:w="9576" w:type="dxa"/>
          </w:tcPr>
          <w:p w14:paraId="4054AC08" w14:textId="59FB1322" w:rsidR="00105F84" w:rsidRPr="0053474B" w:rsidRDefault="00101EE6" w:rsidP="00701DD6">
            <w:pPr>
              <w:pStyle w:val="Paragraph"/>
              <w:ind w:firstLine="0"/>
              <w:jc w:val="center"/>
            </w:pPr>
            <w:r w:rsidRPr="0053474B">
              <w:rPr>
                <w:rFonts w:eastAsia="Calibri" w:cs="Arial"/>
                <w:noProof/>
                <w:sz w:val="28"/>
                <w:szCs w:val="28"/>
              </w:rPr>
              <w:drawing>
                <wp:inline distT="0" distB="0" distL="0" distR="0" wp14:anchorId="1A3D478B" wp14:editId="38C3F4C9">
                  <wp:extent cx="2724150" cy="2533650"/>
                  <wp:effectExtent l="0" t="0" r="0"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2533650"/>
                          </a:xfrm>
                          <a:prstGeom prst="rect">
                            <a:avLst/>
                          </a:prstGeom>
                          <a:noFill/>
                          <a:ln>
                            <a:noFill/>
                          </a:ln>
                        </pic:spPr>
                      </pic:pic>
                    </a:graphicData>
                  </a:graphic>
                </wp:inline>
              </w:drawing>
            </w:r>
            <w:r w:rsidR="00701DD6" w:rsidRPr="0053474B">
              <w:rPr>
                <w:rFonts w:eastAsia="Calibri" w:cs="Arial"/>
                <w:noProof/>
                <w:sz w:val="28"/>
                <w:szCs w:val="28"/>
              </w:rPr>
              <w:drawing>
                <wp:inline distT="0" distB="0" distL="0" distR="0" wp14:anchorId="1019F07F" wp14:editId="11AE185A">
                  <wp:extent cx="2714625" cy="2533650"/>
                  <wp:effectExtent l="0" t="0" r="9525"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2533650"/>
                          </a:xfrm>
                          <a:prstGeom prst="rect">
                            <a:avLst/>
                          </a:prstGeom>
                          <a:noFill/>
                          <a:ln>
                            <a:noFill/>
                          </a:ln>
                        </pic:spPr>
                      </pic:pic>
                    </a:graphicData>
                  </a:graphic>
                </wp:inline>
              </w:drawing>
            </w:r>
            <w:r w:rsidRPr="0053474B">
              <w:t xml:space="preserve"> </w:t>
            </w:r>
          </w:p>
        </w:tc>
      </w:tr>
    </w:tbl>
    <w:p w14:paraId="61C0A46E" w14:textId="77777777" w:rsidR="00A52F9B" w:rsidRDefault="00A52F9B" w:rsidP="00105F84">
      <w:pPr>
        <w:pStyle w:val="Paragraph"/>
        <w:ind w:firstLine="0"/>
        <w:jc w:val="center"/>
        <w:rPr>
          <w:b/>
          <w:bCs/>
          <w:sz w:val="18"/>
          <w:szCs w:val="18"/>
        </w:rPr>
      </w:pPr>
    </w:p>
    <w:p w14:paraId="6964ACD1" w14:textId="19014BAB" w:rsidR="005D35D6" w:rsidRPr="0053474B" w:rsidRDefault="00951CDB" w:rsidP="00105F84">
      <w:pPr>
        <w:pStyle w:val="Paragraph"/>
        <w:ind w:firstLine="0"/>
        <w:jc w:val="center"/>
        <w:rPr>
          <w:bCs/>
          <w:sz w:val="18"/>
          <w:szCs w:val="18"/>
        </w:rPr>
      </w:pPr>
      <w:r w:rsidRPr="0053474B">
        <w:rPr>
          <w:b/>
          <w:bCs/>
          <w:sz w:val="18"/>
          <w:szCs w:val="18"/>
        </w:rPr>
        <w:t>FIGURE 1.</w:t>
      </w:r>
      <w:r w:rsidRPr="0053474B">
        <w:rPr>
          <w:bCs/>
          <w:sz w:val="18"/>
          <w:szCs w:val="18"/>
        </w:rPr>
        <w:t xml:space="preserve"> Agarose gel electrophoresis showing the </w:t>
      </w:r>
      <w:r w:rsidRPr="00B96938">
        <w:rPr>
          <w:bCs/>
          <w:i/>
          <w:iCs/>
          <w:sz w:val="18"/>
          <w:szCs w:val="18"/>
        </w:rPr>
        <w:t>16S rRNA</w:t>
      </w:r>
      <w:r w:rsidRPr="0053474B">
        <w:rPr>
          <w:bCs/>
          <w:sz w:val="18"/>
          <w:szCs w:val="18"/>
        </w:rPr>
        <w:t xml:space="preserve"> gene (67 bp) amplified from </w:t>
      </w:r>
      <w:r w:rsidRPr="0053474B">
        <w:rPr>
          <w:bCs/>
          <w:i/>
          <w:iCs/>
          <w:sz w:val="18"/>
          <w:szCs w:val="18"/>
        </w:rPr>
        <w:t>A. baumannii</w:t>
      </w:r>
      <w:r w:rsidRPr="0053474B">
        <w:rPr>
          <w:bCs/>
          <w:sz w:val="18"/>
          <w:szCs w:val="18"/>
        </w:rPr>
        <w:t xml:space="preserve"> isolates</w:t>
      </w:r>
      <w:r w:rsidR="00D43763" w:rsidRPr="0053474B">
        <w:rPr>
          <w:sz w:val="18"/>
          <w:szCs w:val="18"/>
        </w:rPr>
        <w:t>.</w:t>
      </w:r>
    </w:p>
    <w:p w14:paraId="1DCF7DF6" w14:textId="36EEFEBF" w:rsidR="005D35D6" w:rsidRPr="0053474B" w:rsidRDefault="00951CDB" w:rsidP="00951CDB">
      <w:pPr>
        <w:pStyle w:val="Heading2"/>
        <w:rPr>
          <w:bCs/>
        </w:rPr>
      </w:pPr>
      <w:r w:rsidRPr="0053474B">
        <w:rPr>
          <w:bCs/>
        </w:rPr>
        <w:t>Detection of Adhesion Genes (</w:t>
      </w:r>
      <w:proofErr w:type="spellStart"/>
      <w:r w:rsidRPr="0053474B">
        <w:rPr>
          <w:bCs/>
          <w:i/>
          <w:iCs/>
        </w:rPr>
        <w:t>OmpA</w:t>
      </w:r>
      <w:proofErr w:type="spellEnd"/>
      <w:r w:rsidRPr="0053474B">
        <w:rPr>
          <w:bCs/>
          <w:i/>
          <w:iCs/>
        </w:rPr>
        <w:t xml:space="preserve">, </w:t>
      </w:r>
      <w:proofErr w:type="spellStart"/>
      <w:r w:rsidRPr="0053474B">
        <w:rPr>
          <w:bCs/>
          <w:i/>
          <w:iCs/>
        </w:rPr>
        <w:t>CsuC</w:t>
      </w:r>
      <w:proofErr w:type="spellEnd"/>
      <w:r w:rsidRPr="0053474B">
        <w:rPr>
          <w:bCs/>
          <w:i/>
          <w:iCs/>
        </w:rPr>
        <w:t xml:space="preserve">, </w:t>
      </w:r>
      <w:proofErr w:type="spellStart"/>
      <w:r w:rsidRPr="0053474B">
        <w:rPr>
          <w:bCs/>
          <w:i/>
          <w:iCs/>
        </w:rPr>
        <w:t>CsuE</w:t>
      </w:r>
      <w:proofErr w:type="spellEnd"/>
      <w:r w:rsidRPr="0053474B">
        <w:rPr>
          <w:bCs/>
        </w:rPr>
        <w:t>)</w:t>
      </w:r>
    </w:p>
    <w:p w14:paraId="71146C44" w14:textId="77777777" w:rsidR="00402D53" w:rsidRPr="0053474B" w:rsidRDefault="00402D53" w:rsidP="00402D53">
      <w:pPr>
        <w:pStyle w:val="Paragraph"/>
      </w:pPr>
      <w:r w:rsidRPr="0053474B">
        <w:t xml:space="preserve">Using conventional PCR, all three adhesion-related genes were found in most isolates. </w:t>
      </w:r>
    </w:p>
    <w:p w14:paraId="378A6663" w14:textId="77777777" w:rsidR="00402D53" w:rsidRPr="0053474B" w:rsidRDefault="00402D53" w:rsidP="00402D53">
      <w:pPr>
        <w:pStyle w:val="Paragraph"/>
      </w:pPr>
      <w:r w:rsidRPr="0053474B">
        <w:t xml:space="preserve">• The </w:t>
      </w:r>
      <w:proofErr w:type="spellStart"/>
      <w:r w:rsidRPr="0005597B">
        <w:rPr>
          <w:i/>
          <w:iCs/>
        </w:rPr>
        <w:t>OmpA</w:t>
      </w:r>
      <w:proofErr w:type="spellEnd"/>
      <w:r w:rsidRPr="0053474B">
        <w:t xml:space="preserve"> gene (531 bp) was found in 100% of isolates. </w:t>
      </w:r>
    </w:p>
    <w:p w14:paraId="5386BD34" w14:textId="77777777" w:rsidR="00402D53" w:rsidRPr="0053474B" w:rsidRDefault="00402D53" w:rsidP="00402D53">
      <w:pPr>
        <w:pStyle w:val="Paragraph"/>
      </w:pPr>
      <w:r w:rsidRPr="0053474B">
        <w:t xml:space="preserve">• The </w:t>
      </w:r>
      <w:proofErr w:type="spellStart"/>
      <w:r w:rsidRPr="0005597B">
        <w:rPr>
          <w:i/>
          <w:iCs/>
        </w:rPr>
        <w:t>CsuC</w:t>
      </w:r>
      <w:proofErr w:type="spellEnd"/>
      <w:r w:rsidRPr="0053474B">
        <w:t xml:space="preserve"> gene (100 bp) was found in 100</w:t>
      </w:r>
      <w:proofErr w:type="gramStart"/>
      <w:r w:rsidRPr="0053474B">
        <w:t>% of</w:t>
      </w:r>
      <w:proofErr w:type="gramEnd"/>
      <w:r w:rsidRPr="0053474B">
        <w:t xml:space="preserve"> isolates. </w:t>
      </w:r>
    </w:p>
    <w:p w14:paraId="73155A8A" w14:textId="77777777" w:rsidR="00402D53" w:rsidRPr="0053474B" w:rsidRDefault="00402D53" w:rsidP="00402D53">
      <w:pPr>
        <w:pStyle w:val="Paragraph"/>
      </w:pPr>
      <w:r w:rsidRPr="0053474B">
        <w:t xml:space="preserve">• The </w:t>
      </w:r>
      <w:proofErr w:type="spellStart"/>
      <w:r w:rsidRPr="0005597B">
        <w:rPr>
          <w:i/>
          <w:iCs/>
        </w:rPr>
        <w:t>CsuE</w:t>
      </w:r>
      <w:proofErr w:type="spellEnd"/>
      <w:r w:rsidRPr="0053474B">
        <w:t xml:space="preserve"> gene (150 bp) was detected in 95% of isolates (19/20). </w:t>
      </w:r>
    </w:p>
    <w:p w14:paraId="4857A521" w14:textId="428530D9" w:rsidR="00D43763" w:rsidRDefault="00402D53" w:rsidP="00402D53">
      <w:pPr>
        <w:pStyle w:val="Paragraph"/>
      </w:pPr>
      <w:r w:rsidRPr="0053474B">
        <w:t>Representative images of gel electrophoresis are shown in Figs. 2-4.</w:t>
      </w:r>
    </w:p>
    <w:p w14:paraId="0AAFC66F" w14:textId="77777777" w:rsidR="00A52F9B" w:rsidRPr="0053474B" w:rsidRDefault="00A52F9B" w:rsidP="00402D53">
      <w:pPr>
        <w:pStyle w:val="Paragraph"/>
      </w:pPr>
    </w:p>
    <w:tbl>
      <w:tblPr>
        <w:tblStyle w:val="TableGrid"/>
        <w:tblW w:w="0" w:type="auto"/>
        <w:tblInd w:w="12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26"/>
      </w:tblGrid>
      <w:tr w:rsidR="00105F84" w:rsidRPr="0053474B" w14:paraId="0DD5BEE3" w14:textId="77777777" w:rsidTr="007007DE">
        <w:trPr>
          <w:trHeight w:val="2485"/>
        </w:trPr>
        <w:tc>
          <w:tcPr>
            <w:tcW w:w="7026" w:type="dxa"/>
          </w:tcPr>
          <w:p w14:paraId="54F31E14" w14:textId="0D3F4FE7" w:rsidR="00105F84" w:rsidRPr="0053474B" w:rsidRDefault="00701DD6" w:rsidP="00701DD6">
            <w:pPr>
              <w:pStyle w:val="Paragraph"/>
              <w:ind w:firstLine="0"/>
            </w:pPr>
            <w:r w:rsidRPr="0053474B">
              <w:rPr>
                <w:rFonts w:eastAsia="Calibri" w:cs="Arial"/>
                <w:noProof/>
                <w:sz w:val="28"/>
                <w:szCs w:val="28"/>
              </w:rPr>
              <w:drawing>
                <wp:inline distT="0" distB="0" distL="0" distR="0" wp14:anchorId="50E91840" wp14:editId="2BF3E58F">
                  <wp:extent cx="4152900" cy="2524125"/>
                  <wp:effectExtent l="0" t="0" r="0"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2524125"/>
                          </a:xfrm>
                          <a:prstGeom prst="rect">
                            <a:avLst/>
                          </a:prstGeom>
                          <a:noFill/>
                          <a:ln>
                            <a:noFill/>
                          </a:ln>
                        </pic:spPr>
                      </pic:pic>
                    </a:graphicData>
                  </a:graphic>
                </wp:inline>
              </w:drawing>
            </w:r>
          </w:p>
        </w:tc>
      </w:tr>
    </w:tbl>
    <w:p w14:paraId="24E00DFC" w14:textId="77777777" w:rsidR="00A52F9B" w:rsidRDefault="00A52F9B" w:rsidP="00951CDB">
      <w:pPr>
        <w:pStyle w:val="Paragraph"/>
        <w:ind w:firstLine="0"/>
        <w:rPr>
          <w:b/>
          <w:bCs/>
        </w:rPr>
      </w:pPr>
    </w:p>
    <w:p w14:paraId="5BBB0FC3" w14:textId="3670EA7A" w:rsidR="00951CDB" w:rsidRPr="002E3357" w:rsidRDefault="00951CDB" w:rsidP="00A52F9B">
      <w:pPr>
        <w:pStyle w:val="Paragraph"/>
        <w:ind w:firstLine="0"/>
        <w:jc w:val="center"/>
        <w:rPr>
          <w:sz w:val="18"/>
          <w:szCs w:val="18"/>
        </w:rPr>
      </w:pPr>
      <w:r w:rsidRPr="002E3357">
        <w:rPr>
          <w:b/>
          <w:bCs/>
          <w:sz w:val="18"/>
          <w:szCs w:val="18"/>
        </w:rPr>
        <w:t>FIGURE 2.</w:t>
      </w:r>
      <w:r w:rsidRPr="002E3357">
        <w:rPr>
          <w:sz w:val="18"/>
          <w:szCs w:val="18"/>
        </w:rPr>
        <w:t xml:space="preserve"> PCR amplification of </w:t>
      </w:r>
      <w:proofErr w:type="spellStart"/>
      <w:r w:rsidRPr="002E3357">
        <w:rPr>
          <w:i/>
          <w:iCs/>
          <w:sz w:val="18"/>
          <w:szCs w:val="18"/>
        </w:rPr>
        <w:t>OmpA</w:t>
      </w:r>
      <w:proofErr w:type="spellEnd"/>
      <w:r w:rsidRPr="002E3357">
        <w:rPr>
          <w:sz w:val="18"/>
          <w:szCs w:val="18"/>
        </w:rPr>
        <w:t xml:space="preserve"> gene (531 bp) in </w:t>
      </w:r>
      <w:r w:rsidRPr="002E3357">
        <w:rPr>
          <w:i/>
          <w:iCs/>
          <w:sz w:val="18"/>
          <w:szCs w:val="18"/>
        </w:rPr>
        <w:t>A. baumannii</w:t>
      </w:r>
      <w:r w:rsidRPr="002E3357">
        <w:rPr>
          <w:sz w:val="18"/>
          <w:szCs w:val="18"/>
        </w:rPr>
        <w:t xml:space="preserve"> isolates.</w:t>
      </w:r>
    </w:p>
    <w:p w14:paraId="453AD8E2" w14:textId="77777777" w:rsidR="00105F84" w:rsidRPr="0053474B" w:rsidRDefault="00105F84" w:rsidP="00951CDB">
      <w:pPr>
        <w:pStyle w:val="Paragraph"/>
        <w:ind w:firstLine="0"/>
        <w:rPr>
          <w:b/>
          <w:bCs/>
        </w:rPr>
      </w:pPr>
    </w:p>
    <w:tbl>
      <w:tblPr>
        <w:tblStyle w:val="TableGrid"/>
        <w:tblW w:w="0" w:type="auto"/>
        <w:tblInd w:w="13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996"/>
      </w:tblGrid>
      <w:tr w:rsidR="00105F84" w:rsidRPr="0053474B" w14:paraId="0BA59859" w14:textId="77777777" w:rsidTr="007007DE">
        <w:trPr>
          <w:trHeight w:val="2485"/>
        </w:trPr>
        <w:tc>
          <w:tcPr>
            <w:tcW w:w="6996" w:type="dxa"/>
          </w:tcPr>
          <w:p w14:paraId="5F639DB2" w14:textId="0893090A" w:rsidR="00105F84" w:rsidRPr="002E3357" w:rsidRDefault="00701DD6" w:rsidP="00701DD6">
            <w:pPr>
              <w:pStyle w:val="Paragraph"/>
              <w:ind w:firstLine="0"/>
              <w:rPr>
                <w:sz w:val="18"/>
                <w:szCs w:val="18"/>
              </w:rPr>
            </w:pPr>
            <w:r w:rsidRPr="002E3357">
              <w:rPr>
                <w:rFonts w:eastAsia="Calibri" w:cs="Arial"/>
                <w:noProof/>
                <w:sz w:val="18"/>
                <w:szCs w:val="18"/>
              </w:rPr>
              <w:drawing>
                <wp:inline distT="0" distB="0" distL="0" distR="0" wp14:anchorId="0BCE6FB8" wp14:editId="7706F99A">
                  <wp:extent cx="4133850" cy="253365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2533650"/>
                          </a:xfrm>
                          <a:prstGeom prst="rect">
                            <a:avLst/>
                          </a:prstGeom>
                          <a:noFill/>
                          <a:ln>
                            <a:noFill/>
                          </a:ln>
                        </pic:spPr>
                      </pic:pic>
                    </a:graphicData>
                  </a:graphic>
                </wp:inline>
              </w:drawing>
            </w:r>
          </w:p>
        </w:tc>
      </w:tr>
    </w:tbl>
    <w:p w14:paraId="2ECFFCBD" w14:textId="145C3C63" w:rsidR="00951CDB" w:rsidRPr="002E3357" w:rsidRDefault="00951CDB" w:rsidP="00A52F9B">
      <w:pPr>
        <w:pStyle w:val="Paragraph"/>
        <w:ind w:firstLine="0"/>
        <w:jc w:val="center"/>
        <w:rPr>
          <w:sz w:val="18"/>
          <w:szCs w:val="18"/>
        </w:rPr>
      </w:pPr>
      <w:r w:rsidRPr="002E3357">
        <w:rPr>
          <w:b/>
          <w:bCs/>
          <w:sz w:val="18"/>
          <w:szCs w:val="18"/>
        </w:rPr>
        <w:t>FIGURE 3.</w:t>
      </w:r>
      <w:r w:rsidRPr="002E3357">
        <w:rPr>
          <w:sz w:val="18"/>
          <w:szCs w:val="18"/>
        </w:rPr>
        <w:t xml:space="preserve"> PCR amplification of </w:t>
      </w:r>
      <w:proofErr w:type="spellStart"/>
      <w:r w:rsidRPr="002E3357">
        <w:rPr>
          <w:i/>
          <w:iCs/>
          <w:sz w:val="18"/>
          <w:szCs w:val="18"/>
        </w:rPr>
        <w:t>CsuC</w:t>
      </w:r>
      <w:proofErr w:type="spellEnd"/>
      <w:r w:rsidRPr="002E3357">
        <w:rPr>
          <w:sz w:val="18"/>
          <w:szCs w:val="18"/>
        </w:rPr>
        <w:t xml:space="preserve"> gene (100 bp) in </w:t>
      </w:r>
      <w:r w:rsidRPr="002E3357">
        <w:rPr>
          <w:i/>
          <w:iCs/>
          <w:sz w:val="18"/>
          <w:szCs w:val="18"/>
        </w:rPr>
        <w:t>A. baumannii</w:t>
      </w:r>
      <w:r w:rsidRPr="002E3357">
        <w:rPr>
          <w:sz w:val="18"/>
          <w:szCs w:val="18"/>
        </w:rPr>
        <w:t xml:space="preserve"> isolates.</w:t>
      </w:r>
    </w:p>
    <w:p w14:paraId="1601836E" w14:textId="77777777" w:rsidR="00105F84" w:rsidRPr="0053474B" w:rsidRDefault="00105F84" w:rsidP="00951CDB">
      <w:pPr>
        <w:pStyle w:val="Paragraph"/>
        <w:ind w:firstLine="0"/>
        <w:rPr>
          <w:b/>
          <w:bCs/>
        </w:rPr>
      </w:pPr>
    </w:p>
    <w:tbl>
      <w:tblPr>
        <w:tblStyle w:val="TableGrid"/>
        <w:tblW w:w="0" w:type="auto"/>
        <w:tblInd w:w="13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26"/>
      </w:tblGrid>
      <w:tr w:rsidR="00105F84" w:rsidRPr="002E3357" w14:paraId="6F284E48" w14:textId="77777777" w:rsidTr="007007DE">
        <w:trPr>
          <w:trHeight w:val="2485"/>
        </w:trPr>
        <w:tc>
          <w:tcPr>
            <w:tcW w:w="7026" w:type="dxa"/>
          </w:tcPr>
          <w:p w14:paraId="6C78BE45" w14:textId="524CE275" w:rsidR="00105F84" w:rsidRPr="002E3357" w:rsidRDefault="00701DD6" w:rsidP="00B63AD0">
            <w:pPr>
              <w:pStyle w:val="Paragraph"/>
              <w:ind w:firstLine="0"/>
              <w:rPr>
                <w:sz w:val="18"/>
                <w:szCs w:val="18"/>
              </w:rPr>
            </w:pPr>
            <w:r w:rsidRPr="002E3357">
              <w:rPr>
                <w:rFonts w:eastAsia="Calibri" w:cs="Arial"/>
                <w:b/>
                <w:bCs/>
                <w:noProof/>
                <w:sz w:val="18"/>
                <w:szCs w:val="18"/>
              </w:rPr>
              <w:drawing>
                <wp:inline distT="0" distB="0" distL="0" distR="0" wp14:anchorId="6A9878AB" wp14:editId="2F9A54D6">
                  <wp:extent cx="4143375" cy="2543175"/>
                  <wp:effectExtent l="0" t="0" r="9525"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375" cy="2543175"/>
                          </a:xfrm>
                          <a:prstGeom prst="rect">
                            <a:avLst/>
                          </a:prstGeom>
                          <a:noFill/>
                          <a:ln>
                            <a:noFill/>
                          </a:ln>
                        </pic:spPr>
                      </pic:pic>
                    </a:graphicData>
                  </a:graphic>
                </wp:inline>
              </w:drawing>
            </w:r>
          </w:p>
        </w:tc>
      </w:tr>
    </w:tbl>
    <w:p w14:paraId="1AF5EAAD" w14:textId="56ED35B8" w:rsidR="00951CDB" w:rsidRPr="002E3357" w:rsidRDefault="00951CDB" w:rsidP="00A52F9B">
      <w:pPr>
        <w:pStyle w:val="Paragraph"/>
        <w:ind w:firstLine="0"/>
        <w:jc w:val="center"/>
        <w:rPr>
          <w:sz w:val="18"/>
          <w:szCs w:val="18"/>
        </w:rPr>
      </w:pPr>
      <w:r w:rsidRPr="002E3357">
        <w:rPr>
          <w:b/>
          <w:bCs/>
          <w:sz w:val="18"/>
          <w:szCs w:val="18"/>
        </w:rPr>
        <w:t>FIGURE 4.</w:t>
      </w:r>
      <w:r w:rsidRPr="002E3357">
        <w:rPr>
          <w:sz w:val="18"/>
          <w:szCs w:val="18"/>
        </w:rPr>
        <w:t xml:space="preserve"> PCR amplification of </w:t>
      </w:r>
      <w:proofErr w:type="spellStart"/>
      <w:r w:rsidRPr="002E3357">
        <w:rPr>
          <w:i/>
          <w:iCs/>
          <w:sz w:val="18"/>
          <w:szCs w:val="18"/>
        </w:rPr>
        <w:t>CsuE</w:t>
      </w:r>
      <w:proofErr w:type="spellEnd"/>
      <w:r w:rsidRPr="002E3357">
        <w:rPr>
          <w:sz w:val="18"/>
          <w:szCs w:val="18"/>
        </w:rPr>
        <w:t xml:space="preserve"> gene (150 bp) in </w:t>
      </w:r>
      <w:r w:rsidRPr="002E3357">
        <w:rPr>
          <w:i/>
          <w:iCs/>
          <w:sz w:val="18"/>
          <w:szCs w:val="18"/>
        </w:rPr>
        <w:t>A. baumannii</w:t>
      </w:r>
      <w:r w:rsidRPr="002E3357">
        <w:rPr>
          <w:sz w:val="18"/>
          <w:szCs w:val="18"/>
        </w:rPr>
        <w:t xml:space="preserve"> isolates.</w:t>
      </w:r>
    </w:p>
    <w:p w14:paraId="09F0C088" w14:textId="0DB32568" w:rsidR="00951CDB" w:rsidRPr="0053474B" w:rsidRDefault="00951CDB" w:rsidP="00951CDB">
      <w:pPr>
        <w:pStyle w:val="Paragraph"/>
        <w:ind w:firstLine="0"/>
      </w:pPr>
    </w:p>
    <w:tbl>
      <w:tblPr>
        <w:tblStyle w:val="TableGrid"/>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56"/>
        <w:gridCol w:w="1752"/>
        <w:gridCol w:w="1674"/>
        <w:gridCol w:w="1874"/>
      </w:tblGrid>
      <w:tr w:rsidR="00105F84" w:rsidRPr="0053474B" w14:paraId="08C49A4F" w14:textId="77777777" w:rsidTr="00105F84">
        <w:trPr>
          <w:jc w:val="center"/>
        </w:trPr>
        <w:tc>
          <w:tcPr>
            <w:tcW w:w="0" w:type="auto"/>
            <w:gridSpan w:val="4"/>
            <w:tcBorders>
              <w:bottom w:val="single" w:sz="4" w:space="0" w:color="auto"/>
            </w:tcBorders>
            <w:vAlign w:val="center"/>
          </w:tcPr>
          <w:p w14:paraId="74A8BF6C" w14:textId="2CAEAD86" w:rsidR="00105F84" w:rsidRPr="0053474B" w:rsidRDefault="00105F84" w:rsidP="00951CDB">
            <w:pPr>
              <w:pStyle w:val="Paragraph"/>
              <w:ind w:firstLine="0"/>
              <w:jc w:val="center"/>
              <w:rPr>
                <w:b/>
                <w:bCs/>
                <w:sz w:val="18"/>
                <w:szCs w:val="18"/>
              </w:rPr>
            </w:pPr>
            <w:r w:rsidRPr="0053474B">
              <w:rPr>
                <w:b/>
                <w:bCs/>
                <w:sz w:val="18"/>
                <w:szCs w:val="18"/>
              </w:rPr>
              <w:t>TABLE 1.</w:t>
            </w:r>
            <w:r w:rsidRPr="0053474B">
              <w:rPr>
                <w:sz w:val="18"/>
                <w:szCs w:val="18"/>
              </w:rPr>
              <w:t xml:space="preserve"> Detection rate of adhesion genes among </w:t>
            </w:r>
            <w:r w:rsidRPr="0053474B">
              <w:rPr>
                <w:i/>
                <w:iCs/>
                <w:sz w:val="18"/>
                <w:szCs w:val="18"/>
              </w:rPr>
              <w:t>A. baumannii</w:t>
            </w:r>
            <w:r w:rsidRPr="0053474B">
              <w:rPr>
                <w:sz w:val="18"/>
                <w:szCs w:val="18"/>
              </w:rPr>
              <w:t xml:space="preserve"> clinical isolates.</w:t>
            </w:r>
          </w:p>
        </w:tc>
      </w:tr>
      <w:tr w:rsidR="00105F84" w:rsidRPr="0053474B" w14:paraId="2805293F" w14:textId="77777777" w:rsidTr="00105F84">
        <w:trPr>
          <w:jc w:val="center"/>
        </w:trPr>
        <w:tc>
          <w:tcPr>
            <w:tcW w:w="0" w:type="auto"/>
            <w:tcBorders>
              <w:top w:val="single" w:sz="4" w:space="0" w:color="auto"/>
              <w:bottom w:val="single" w:sz="4" w:space="0" w:color="auto"/>
              <w:right w:val="nil"/>
            </w:tcBorders>
            <w:vAlign w:val="center"/>
            <w:hideMark/>
          </w:tcPr>
          <w:p w14:paraId="43A0F33A" w14:textId="77777777" w:rsidR="00951CDB" w:rsidRPr="0053474B" w:rsidRDefault="00951CDB" w:rsidP="00951CDB">
            <w:pPr>
              <w:pStyle w:val="Paragraph"/>
              <w:ind w:firstLine="0"/>
              <w:jc w:val="center"/>
              <w:rPr>
                <w:sz w:val="18"/>
                <w:szCs w:val="18"/>
              </w:rPr>
            </w:pPr>
            <w:r w:rsidRPr="0053474B">
              <w:rPr>
                <w:sz w:val="18"/>
                <w:szCs w:val="18"/>
              </w:rPr>
              <w:t>Gene</w:t>
            </w:r>
          </w:p>
        </w:tc>
        <w:tc>
          <w:tcPr>
            <w:tcW w:w="0" w:type="auto"/>
            <w:tcBorders>
              <w:top w:val="single" w:sz="4" w:space="0" w:color="auto"/>
              <w:left w:val="nil"/>
              <w:bottom w:val="single" w:sz="4" w:space="0" w:color="auto"/>
              <w:right w:val="nil"/>
            </w:tcBorders>
            <w:vAlign w:val="center"/>
            <w:hideMark/>
          </w:tcPr>
          <w:p w14:paraId="109FBEBB" w14:textId="77777777" w:rsidR="00951CDB" w:rsidRPr="0053474B" w:rsidRDefault="00951CDB" w:rsidP="00951CDB">
            <w:pPr>
              <w:pStyle w:val="Paragraph"/>
              <w:ind w:firstLine="0"/>
              <w:jc w:val="center"/>
              <w:rPr>
                <w:sz w:val="18"/>
                <w:szCs w:val="18"/>
              </w:rPr>
            </w:pPr>
            <w:r w:rsidRPr="0053474B">
              <w:rPr>
                <w:sz w:val="18"/>
                <w:szCs w:val="18"/>
              </w:rPr>
              <w:t>Product size (bp)</w:t>
            </w:r>
          </w:p>
        </w:tc>
        <w:tc>
          <w:tcPr>
            <w:tcW w:w="0" w:type="auto"/>
            <w:tcBorders>
              <w:top w:val="single" w:sz="4" w:space="0" w:color="auto"/>
              <w:left w:val="nil"/>
              <w:bottom w:val="single" w:sz="4" w:space="0" w:color="auto"/>
              <w:right w:val="nil"/>
            </w:tcBorders>
            <w:vAlign w:val="center"/>
            <w:hideMark/>
          </w:tcPr>
          <w:p w14:paraId="5B64CA6C" w14:textId="77777777" w:rsidR="00951CDB" w:rsidRPr="0053474B" w:rsidRDefault="00951CDB" w:rsidP="00951CDB">
            <w:pPr>
              <w:pStyle w:val="Paragraph"/>
              <w:ind w:firstLine="0"/>
              <w:jc w:val="center"/>
              <w:rPr>
                <w:sz w:val="18"/>
                <w:szCs w:val="18"/>
              </w:rPr>
            </w:pPr>
            <w:r w:rsidRPr="0053474B">
              <w:rPr>
                <w:sz w:val="18"/>
                <w:szCs w:val="18"/>
              </w:rPr>
              <w:t>Positive isolates</w:t>
            </w:r>
          </w:p>
        </w:tc>
        <w:tc>
          <w:tcPr>
            <w:tcW w:w="0" w:type="auto"/>
            <w:tcBorders>
              <w:top w:val="single" w:sz="4" w:space="0" w:color="auto"/>
              <w:left w:val="nil"/>
              <w:bottom w:val="single" w:sz="4" w:space="0" w:color="auto"/>
            </w:tcBorders>
            <w:vAlign w:val="center"/>
            <w:hideMark/>
          </w:tcPr>
          <w:p w14:paraId="44B67DCE" w14:textId="77777777" w:rsidR="00951CDB" w:rsidRPr="0053474B" w:rsidRDefault="00951CDB" w:rsidP="00951CDB">
            <w:pPr>
              <w:pStyle w:val="Paragraph"/>
              <w:ind w:firstLine="0"/>
              <w:jc w:val="center"/>
              <w:rPr>
                <w:sz w:val="18"/>
                <w:szCs w:val="18"/>
              </w:rPr>
            </w:pPr>
            <w:r w:rsidRPr="0053474B">
              <w:rPr>
                <w:sz w:val="18"/>
                <w:szCs w:val="18"/>
              </w:rPr>
              <w:t>Detection rate (%)</w:t>
            </w:r>
          </w:p>
        </w:tc>
      </w:tr>
      <w:tr w:rsidR="00951CDB" w:rsidRPr="0053474B" w14:paraId="0FC593B8" w14:textId="77777777" w:rsidTr="00105F84">
        <w:trPr>
          <w:jc w:val="center"/>
        </w:trPr>
        <w:tc>
          <w:tcPr>
            <w:tcW w:w="0" w:type="auto"/>
            <w:tcBorders>
              <w:top w:val="single" w:sz="4" w:space="0" w:color="auto"/>
              <w:bottom w:val="nil"/>
              <w:right w:val="nil"/>
            </w:tcBorders>
            <w:vAlign w:val="center"/>
            <w:hideMark/>
          </w:tcPr>
          <w:p w14:paraId="690C0E75" w14:textId="77777777" w:rsidR="00951CDB" w:rsidRPr="0053474B" w:rsidRDefault="00951CDB" w:rsidP="00951CDB">
            <w:pPr>
              <w:pStyle w:val="Paragraph"/>
              <w:ind w:firstLine="0"/>
              <w:jc w:val="center"/>
              <w:rPr>
                <w:sz w:val="18"/>
                <w:szCs w:val="18"/>
              </w:rPr>
            </w:pPr>
            <w:proofErr w:type="spellStart"/>
            <w:r w:rsidRPr="0053474B">
              <w:rPr>
                <w:sz w:val="18"/>
                <w:szCs w:val="18"/>
              </w:rPr>
              <w:t>OmpA</w:t>
            </w:r>
            <w:proofErr w:type="spellEnd"/>
          </w:p>
        </w:tc>
        <w:tc>
          <w:tcPr>
            <w:tcW w:w="0" w:type="auto"/>
            <w:tcBorders>
              <w:top w:val="single" w:sz="4" w:space="0" w:color="auto"/>
              <w:left w:val="nil"/>
              <w:bottom w:val="nil"/>
              <w:right w:val="nil"/>
            </w:tcBorders>
            <w:vAlign w:val="center"/>
            <w:hideMark/>
          </w:tcPr>
          <w:p w14:paraId="0E937DAB" w14:textId="77777777" w:rsidR="00951CDB" w:rsidRPr="0053474B" w:rsidRDefault="00951CDB" w:rsidP="00951CDB">
            <w:pPr>
              <w:pStyle w:val="Paragraph"/>
              <w:ind w:firstLine="0"/>
              <w:jc w:val="center"/>
              <w:rPr>
                <w:sz w:val="18"/>
                <w:szCs w:val="18"/>
              </w:rPr>
            </w:pPr>
            <w:r w:rsidRPr="0053474B">
              <w:rPr>
                <w:sz w:val="18"/>
                <w:szCs w:val="18"/>
              </w:rPr>
              <w:t>531</w:t>
            </w:r>
          </w:p>
        </w:tc>
        <w:tc>
          <w:tcPr>
            <w:tcW w:w="0" w:type="auto"/>
            <w:tcBorders>
              <w:top w:val="single" w:sz="4" w:space="0" w:color="auto"/>
              <w:left w:val="nil"/>
              <w:bottom w:val="nil"/>
              <w:right w:val="nil"/>
            </w:tcBorders>
            <w:vAlign w:val="center"/>
            <w:hideMark/>
          </w:tcPr>
          <w:p w14:paraId="4B48B075" w14:textId="77777777" w:rsidR="00951CDB" w:rsidRPr="0053474B" w:rsidRDefault="00951CDB" w:rsidP="00951CDB">
            <w:pPr>
              <w:pStyle w:val="Paragraph"/>
              <w:ind w:firstLine="0"/>
              <w:jc w:val="center"/>
              <w:rPr>
                <w:sz w:val="18"/>
                <w:szCs w:val="18"/>
              </w:rPr>
            </w:pPr>
            <w:r w:rsidRPr="0053474B">
              <w:rPr>
                <w:sz w:val="18"/>
                <w:szCs w:val="18"/>
              </w:rPr>
              <w:t>20</w:t>
            </w:r>
          </w:p>
        </w:tc>
        <w:tc>
          <w:tcPr>
            <w:tcW w:w="0" w:type="auto"/>
            <w:tcBorders>
              <w:top w:val="single" w:sz="4" w:space="0" w:color="auto"/>
              <w:left w:val="nil"/>
              <w:bottom w:val="nil"/>
            </w:tcBorders>
            <w:vAlign w:val="center"/>
            <w:hideMark/>
          </w:tcPr>
          <w:p w14:paraId="3EA66034" w14:textId="77777777" w:rsidR="00951CDB" w:rsidRPr="0053474B" w:rsidRDefault="00951CDB" w:rsidP="00951CDB">
            <w:pPr>
              <w:pStyle w:val="Paragraph"/>
              <w:ind w:firstLine="0"/>
              <w:jc w:val="center"/>
              <w:rPr>
                <w:sz w:val="18"/>
                <w:szCs w:val="18"/>
              </w:rPr>
            </w:pPr>
            <w:r w:rsidRPr="0053474B">
              <w:rPr>
                <w:sz w:val="18"/>
                <w:szCs w:val="18"/>
              </w:rPr>
              <w:t>100</w:t>
            </w:r>
          </w:p>
        </w:tc>
      </w:tr>
      <w:tr w:rsidR="00951CDB" w:rsidRPr="0053474B" w14:paraId="46AF6F6A" w14:textId="77777777" w:rsidTr="00105F84">
        <w:trPr>
          <w:jc w:val="center"/>
        </w:trPr>
        <w:tc>
          <w:tcPr>
            <w:tcW w:w="0" w:type="auto"/>
            <w:tcBorders>
              <w:top w:val="nil"/>
              <w:bottom w:val="nil"/>
              <w:right w:val="nil"/>
            </w:tcBorders>
            <w:vAlign w:val="center"/>
            <w:hideMark/>
          </w:tcPr>
          <w:p w14:paraId="29C0B1BE" w14:textId="77777777" w:rsidR="00951CDB" w:rsidRPr="0053474B" w:rsidRDefault="00951CDB" w:rsidP="00951CDB">
            <w:pPr>
              <w:pStyle w:val="Paragraph"/>
              <w:ind w:firstLine="0"/>
              <w:jc w:val="center"/>
              <w:rPr>
                <w:sz w:val="18"/>
                <w:szCs w:val="18"/>
              </w:rPr>
            </w:pPr>
            <w:proofErr w:type="spellStart"/>
            <w:r w:rsidRPr="0053474B">
              <w:rPr>
                <w:sz w:val="18"/>
                <w:szCs w:val="18"/>
              </w:rPr>
              <w:t>CsuC</w:t>
            </w:r>
            <w:proofErr w:type="spellEnd"/>
          </w:p>
        </w:tc>
        <w:tc>
          <w:tcPr>
            <w:tcW w:w="0" w:type="auto"/>
            <w:tcBorders>
              <w:top w:val="nil"/>
              <w:left w:val="nil"/>
              <w:bottom w:val="nil"/>
              <w:right w:val="nil"/>
            </w:tcBorders>
            <w:vAlign w:val="center"/>
            <w:hideMark/>
          </w:tcPr>
          <w:p w14:paraId="606F8CD4" w14:textId="77777777" w:rsidR="00951CDB" w:rsidRPr="0053474B" w:rsidRDefault="00951CDB" w:rsidP="00951CDB">
            <w:pPr>
              <w:pStyle w:val="Paragraph"/>
              <w:ind w:firstLine="0"/>
              <w:jc w:val="center"/>
              <w:rPr>
                <w:sz w:val="18"/>
                <w:szCs w:val="18"/>
              </w:rPr>
            </w:pPr>
            <w:r w:rsidRPr="0053474B">
              <w:rPr>
                <w:sz w:val="18"/>
                <w:szCs w:val="18"/>
              </w:rPr>
              <w:t>100</w:t>
            </w:r>
          </w:p>
        </w:tc>
        <w:tc>
          <w:tcPr>
            <w:tcW w:w="0" w:type="auto"/>
            <w:tcBorders>
              <w:top w:val="nil"/>
              <w:left w:val="nil"/>
              <w:bottom w:val="nil"/>
              <w:right w:val="nil"/>
            </w:tcBorders>
            <w:vAlign w:val="center"/>
            <w:hideMark/>
          </w:tcPr>
          <w:p w14:paraId="327A93CF" w14:textId="77777777" w:rsidR="00951CDB" w:rsidRPr="0053474B" w:rsidRDefault="00951CDB" w:rsidP="00951CDB">
            <w:pPr>
              <w:pStyle w:val="Paragraph"/>
              <w:ind w:firstLine="0"/>
              <w:jc w:val="center"/>
              <w:rPr>
                <w:sz w:val="18"/>
                <w:szCs w:val="18"/>
              </w:rPr>
            </w:pPr>
            <w:r w:rsidRPr="0053474B">
              <w:rPr>
                <w:sz w:val="18"/>
                <w:szCs w:val="18"/>
              </w:rPr>
              <w:t>20</w:t>
            </w:r>
          </w:p>
        </w:tc>
        <w:tc>
          <w:tcPr>
            <w:tcW w:w="0" w:type="auto"/>
            <w:tcBorders>
              <w:top w:val="nil"/>
              <w:left w:val="nil"/>
              <w:bottom w:val="nil"/>
            </w:tcBorders>
            <w:vAlign w:val="center"/>
            <w:hideMark/>
          </w:tcPr>
          <w:p w14:paraId="23852A2B" w14:textId="77777777" w:rsidR="00951CDB" w:rsidRPr="0053474B" w:rsidRDefault="00951CDB" w:rsidP="00951CDB">
            <w:pPr>
              <w:pStyle w:val="Paragraph"/>
              <w:ind w:firstLine="0"/>
              <w:jc w:val="center"/>
              <w:rPr>
                <w:sz w:val="18"/>
                <w:szCs w:val="18"/>
              </w:rPr>
            </w:pPr>
            <w:r w:rsidRPr="0053474B">
              <w:rPr>
                <w:sz w:val="18"/>
                <w:szCs w:val="18"/>
              </w:rPr>
              <w:t>100</w:t>
            </w:r>
          </w:p>
        </w:tc>
      </w:tr>
      <w:tr w:rsidR="00951CDB" w:rsidRPr="0053474B" w14:paraId="6DC9C5C3" w14:textId="77777777" w:rsidTr="00105F84">
        <w:trPr>
          <w:jc w:val="center"/>
        </w:trPr>
        <w:tc>
          <w:tcPr>
            <w:tcW w:w="0" w:type="auto"/>
            <w:tcBorders>
              <w:top w:val="nil"/>
              <w:right w:val="nil"/>
            </w:tcBorders>
            <w:vAlign w:val="center"/>
            <w:hideMark/>
          </w:tcPr>
          <w:p w14:paraId="53520D66" w14:textId="77777777" w:rsidR="00951CDB" w:rsidRPr="0053474B" w:rsidRDefault="00951CDB" w:rsidP="00951CDB">
            <w:pPr>
              <w:pStyle w:val="Paragraph"/>
              <w:ind w:firstLine="0"/>
              <w:jc w:val="center"/>
              <w:rPr>
                <w:sz w:val="18"/>
                <w:szCs w:val="18"/>
              </w:rPr>
            </w:pPr>
            <w:proofErr w:type="spellStart"/>
            <w:r w:rsidRPr="0053474B">
              <w:rPr>
                <w:sz w:val="18"/>
                <w:szCs w:val="18"/>
              </w:rPr>
              <w:t>CsuE</w:t>
            </w:r>
            <w:proofErr w:type="spellEnd"/>
          </w:p>
        </w:tc>
        <w:tc>
          <w:tcPr>
            <w:tcW w:w="0" w:type="auto"/>
            <w:tcBorders>
              <w:top w:val="nil"/>
              <w:left w:val="nil"/>
              <w:right w:val="nil"/>
            </w:tcBorders>
            <w:vAlign w:val="center"/>
            <w:hideMark/>
          </w:tcPr>
          <w:p w14:paraId="0DD8DE5F" w14:textId="77777777" w:rsidR="00951CDB" w:rsidRPr="0053474B" w:rsidRDefault="00951CDB" w:rsidP="00951CDB">
            <w:pPr>
              <w:pStyle w:val="Paragraph"/>
              <w:ind w:firstLine="0"/>
              <w:jc w:val="center"/>
              <w:rPr>
                <w:sz w:val="18"/>
                <w:szCs w:val="18"/>
              </w:rPr>
            </w:pPr>
            <w:r w:rsidRPr="0053474B">
              <w:rPr>
                <w:sz w:val="18"/>
                <w:szCs w:val="18"/>
              </w:rPr>
              <w:t>150</w:t>
            </w:r>
          </w:p>
        </w:tc>
        <w:tc>
          <w:tcPr>
            <w:tcW w:w="0" w:type="auto"/>
            <w:tcBorders>
              <w:top w:val="nil"/>
              <w:left w:val="nil"/>
              <w:right w:val="nil"/>
            </w:tcBorders>
            <w:vAlign w:val="center"/>
            <w:hideMark/>
          </w:tcPr>
          <w:p w14:paraId="53D78D98" w14:textId="77777777" w:rsidR="00951CDB" w:rsidRPr="0053474B" w:rsidRDefault="00951CDB" w:rsidP="00951CDB">
            <w:pPr>
              <w:pStyle w:val="Paragraph"/>
              <w:ind w:firstLine="0"/>
              <w:jc w:val="center"/>
              <w:rPr>
                <w:sz w:val="18"/>
                <w:szCs w:val="18"/>
              </w:rPr>
            </w:pPr>
            <w:r w:rsidRPr="0053474B">
              <w:rPr>
                <w:sz w:val="18"/>
                <w:szCs w:val="18"/>
              </w:rPr>
              <w:t>19</w:t>
            </w:r>
          </w:p>
        </w:tc>
        <w:tc>
          <w:tcPr>
            <w:tcW w:w="0" w:type="auto"/>
            <w:tcBorders>
              <w:top w:val="nil"/>
              <w:left w:val="nil"/>
            </w:tcBorders>
            <w:vAlign w:val="center"/>
            <w:hideMark/>
          </w:tcPr>
          <w:p w14:paraId="0F5FEB12" w14:textId="77777777" w:rsidR="00951CDB" w:rsidRPr="0053474B" w:rsidRDefault="00951CDB" w:rsidP="00951CDB">
            <w:pPr>
              <w:pStyle w:val="Paragraph"/>
              <w:ind w:firstLine="0"/>
              <w:jc w:val="center"/>
              <w:rPr>
                <w:sz w:val="18"/>
                <w:szCs w:val="18"/>
              </w:rPr>
            </w:pPr>
            <w:r w:rsidRPr="0053474B">
              <w:rPr>
                <w:sz w:val="18"/>
                <w:szCs w:val="18"/>
              </w:rPr>
              <w:t>95</w:t>
            </w:r>
          </w:p>
        </w:tc>
      </w:tr>
    </w:tbl>
    <w:p w14:paraId="302D90C9" w14:textId="150956CA" w:rsidR="00D43763" w:rsidRPr="001746C5" w:rsidRDefault="00951CDB" w:rsidP="00951CDB">
      <w:pPr>
        <w:pStyle w:val="Heading2"/>
        <w:rPr>
          <w:lang w:val="fr-FR"/>
        </w:rPr>
      </w:pPr>
      <w:r w:rsidRPr="001746C5">
        <w:rPr>
          <w:bCs/>
          <w:lang w:val="fr-FR"/>
        </w:rPr>
        <w:t>Quantitative Gene Expression (</w:t>
      </w:r>
      <w:proofErr w:type="spellStart"/>
      <w:r w:rsidRPr="001746C5">
        <w:rPr>
          <w:bCs/>
          <w:lang w:val="fr-FR"/>
        </w:rPr>
        <w:t>qRT</w:t>
      </w:r>
      <w:proofErr w:type="spellEnd"/>
      <w:r w:rsidRPr="001746C5">
        <w:rPr>
          <w:bCs/>
          <w:lang w:val="fr-FR"/>
        </w:rPr>
        <w:t>-PCR)</w:t>
      </w:r>
    </w:p>
    <w:p w14:paraId="72BE22F5" w14:textId="261FD5B5" w:rsidR="001A62DA" w:rsidRPr="0053474B" w:rsidRDefault="00402D53" w:rsidP="00DB169A">
      <w:pPr>
        <w:pStyle w:val="Paragraph"/>
      </w:pPr>
      <w:r w:rsidRPr="0053474B">
        <w:t>The quantitative real-time PCR (</w:t>
      </w:r>
      <w:proofErr w:type="spellStart"/>
      <w:r w:rsidRPr="0053474B">
        <w:t>qRT</w:t>
      </w:r>
      <w:proofErr w:type="spellEnd"/>
      <w:r w:rsidRPr="0053474B">
        <w:t xml:space="preserve">-PCR) evaluations depicted a varying expression of the adhesion-related genes </w:t>
      </w:r>
      <w:proofErr w:type="spellStart"/>
      <w:r w:rsidRPr="0053474B">
        <w:rPr>
          <w:i/>
          <w:iCs/>
        </w:rPr>
        <w:t>OmpA</w:t>
      </w:r>
      <w:proofErr w:type="spellEnd"/>
      <w:r w:rsidRPr="0053474B">
        <w:t xml:space="preserve">, </w:t>
      </w:r>
      <w:proofErr w:type="spellStart"/>
      <w:r w:rsidRPr="0053474B">
        <w:rPr>
          <w:i/>
          <w:iCs/>
        </w:rPr>
        <w:t>CsuC</w:t>
      </w:r>
      <w:proofErr w:type="spellEnd"/>
      <w:r w:rsidRPr="0053474B">
        <w:t xml:space="preserve">, and </w:t>
      </w:r>
      <w:proofErr w:type="spellStart"/>
      <w:r w:rsidRPr="0053474B">
        <w:rPr>
          <w:i/>
          <w:iCs/>
        </w:rPr>
        <w:t>CsuE</w:t>
      </w:r>
      <w:proofErr w:type="spellEnd"/>
      <w:r w:rsidRPr="0053474B">
        <w:t xml:space="preserve"> after testing on </w:t>
      </w:r>
      <w:r w:rsidRPr="0053474B">
        <w:rPr>
          <w:i/>
          <w:iCs/>
        </w:rPr>
        <w:t>A. baumannii</w:t>
      </w:r>
      <w:r w:rsidRPr="0053474B">
        <w:t xml:space="preserve"> isolates (Table 2). As shown in Fig 5, regardless of initiation source, amplification of </w:t>
      </w:r>
      <w:proofErr w:type="spellStart"/>
      <w:r w:rsidRPr="0053474B">
        <w:rPr>
          <w:i/>
          <w:iCs/>
        </w:rPr>
        <w:t>OmpA</w:t>
      </w:r>
      <w:proofErr w:type="spellEnd"/>
      <w:r w:rsidRPr="0053474B">
        <w:t xml:space="preserve"> showed little deviation in threshold cycle (Ct) values compared to (</w:t>
      </w:r>
      <w:proofErr w:type="spellStart"/>
      <w:r w:rsidRPr="0053474B">
        <w:rPr>
          <w:i/>
          <w:iCs/>
        </w:rPr>
        <w:t>CsuC</w:t>
      </w:r>
      <w:proofErr w:type="spellEnd"/>
      <w:r w:rsidRPr="0053474B">
        <w:t xml:space="preserve"> and </w:t>
      </w:r>
      <w:proofErr w:type="spellStart"/>
      <w:r w:rsidRPr="0053474B">
        <w:rPr>
          <w:i/>
          <w:iCs/>
        </w:rPr>
        <w:t>CsuE</w:t>
      </w:r>
      <w:proofErr w:type="spellEnd"/>
      <w:r w:rsidRPr="0053474B">
        <w:t xml:space="preserve">) the other genes tested. </w:t>
      </w:r>
      <w:proofErr w:type="spellStart"/>
      <w:r w:rsidRPr="0053474B">
        <w:rPr>
          <w:i/>
          <w:iCs/>
        </w:rPr>
        <w:t>OmpA</w:t>
      </w:r>
      <w:proofErr w:type="spellEnd"/>
      <w:r w:rsidRPr="0053474B">
        <w:t xml:space="preserve"> showed relative stability in expression among all strains across conditions, with the average fold change being 1.06 ± 0.29. In contrast, </w:t>
      </w:r>
      <w:proofErr w:type="spellStart"/>
      <w:r w:rsidRPr="0053474B">
        <w:rPr>
          <w:i/>
          <w:iCs/>
        </w:rPr>
        <w:t>CsuC</w:t>
      </w:r>
      <w:proofErr w:type="spellEnd"/>
      <w:r w:rsidRPr="0053474B">
        <w:t xml:space="preserve"> and </w:t>
      </w:r>
      <w:proofErr w:type="spellStart"/>
      <w:r w:rsidRPr="0053474B">
        <w:rPr>
          <w:i/>
          <w:iCs/>
        </w:rPr>
        <w:t>CsuE</w:t>
      </w:r>
      <w:proofErr w:type="spellEnd"/>
      <w:r w:rsidRPr="0053474B">
        <w:t xml:space="preserve"> expression showed considerable deviation with average fold c</w:t>
      </w:r>
      <w:r w:rsidR="005B7308">
        <w:t>hange mean values being 2.97± 2.42 and 2.60±</w:t>
      </w:r>
      <w:r w:rsidRPr="0053474B">
        <w:t xml:space="preserve">3.03, respectively, suggesting heterogeneity in the expression of these </w:t>
      </w:r>
      <w:proofErr w:type="spellStart"/>
      <w:r w:rsidRPr="0053474B">
        <w:t>fimbrial</w:t>
      </w:r>
      <w:proofErr w:type="spellEnd"/>
      <w:r w:rsidRPr="0053474B">
        <w:t xml:space="preserve"> assembly genes. The analysis of comparative relative expression (Fig. 6) agrees, indicating that </w:t>
      </w:r>
      <w:proofErr w:type="spellStart"/>
      <w:r w:rsidRPr="0053474B">
        <w:rPr>
          <w:i/>
          <w:iCs/>
        </w:rPr>
        <w:t>OmpA</w:t>
      </w:r>
      <w:proofErr w:type="spellEnd"/>
      <w:r w:rsidRPr="0053474B">
        <w:t xml:space="preserve"> is the most stable expressed adhesion gene, while </w:t>
      </w:r>
      <w:proofErr w:type="spellStart"/>
      <w:r w:rsidRPr="0053474B">
        <w:rPr>
          <w:i/>
          <w:iCs/>
        </w:rPr>
        <w:t>CsuC</w:t>
      </w:r>
      <w:proofErr w:type="spellEnd"/>
      <w:r w:rsidRPr="0053474B">
        <w:t xml:space="preserve"> and </w:t>
      </w:r>
      <w:proofErr w:type="spellStart"/>
      <w:r w:rsidRPr="0053474B">
        <w:rPr>
          <w:i/>
          <w:iCs/>
        </w:rPr>
        <w:t>CsuE</w:t>
      </w:r>
      <w:proofErr w:type="spellEnd"/>
      <w:r w:rsidRPr="0053474B">
        <w:t xml:space="preserve"> showed </w:t>
      </w:r>
      <w:r w:rsidRPr="0053474B">
        <w:lastRenderedPageBreak/>
        <w:t>differentially high variance between isolates possibly due to gene expression regulation differences or adaptation of clinical strains to their environments.</w:t>
      </w:r>
    </w:p>
    <w:tbl>
      <w:tblPr>
        <w:tblStyle w:val="TableGrid"/>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1101"/>
        <w:gridCol w:w="3477"/>
        <w:gridCol w:w="2966"/>
      </w:tblGrid>
      <w:tr w:rsidR="00105F84" w:rsidRPr="0053474B" w14:paraId="541EFE0F" w14:textId="77777777" w:rsidTr="00E815B9">
        <w:trPr>
          <w:jc w:val="center"/>
        </w:trPr>
        <w:tc>
          <w:tcPr>
            <w:tcW w:w="0" w:type="auto"/>
            <w:gridSpan w:val="3"/>
            <w:tcBorders>
              <w:bottom w:val="single" w:sz="4" w:space="0" w:color="auto"/>
            </w:tcBorders>
            <w:vAlign w:val="center"/>
          </w:tcPr>
          <w:p w14:paraId="0866B289" w14:textId="77777777" w:rsidR="00A52F9B" w:rsidRDefault="00A52F9B" w:rsidP="00105F84">
            <w:pPr>
              <w:jc w:val="center"/>
              <w:rPr>
                <w:b/>
                <w:bCs/>
                <w:sz w:val="18"/>
                <w:szCs w:val="18"/>
                <w:lang w:bidi="ar-IQ"/>
              </w:rPr>
            </w:pPr>
          </w:p>
          <w:p w14:paraId="6EC9F092" w14:textId="56B21DB6" w:rsidR="00A52F9B" w:rsidRPr="000856E9" w:rsidRDefault="00105F84" w:rsidP="000856E9">
            <w:pPr>
              <w:jc w:val="center"/>
              <w:rPr>
                <w:sz w:val="18"/>
                <w:szCs w:val="18"/>
                <w:lang w:bidi="ar-IQ"/>
              </w:rPr>
            </w:pPr>
            <w:r w:rsidRPr="0053474B">
              <w:rPr>
                <w:b/>
                <w:bCs/>
                <w:sz w:val="18"/>
                <w:szCs w:val="18"/>
                <w:lang w:bidi="ar-IQ"/>
              </w:rPr>
              <w:t xml:space="preserve">TABLE 2. </w:t>
            </w:r>
            <w:r w:rsidR="00125687" w:rsidRPr="0053474B">
              <w:rPr>
                <w:sz w:val="18"/>
                <w:szCs w:val="18"/>
                <w:lang w:bidi="ar-IQ"/>
              </w:rPr>
              <w:t>Relative expression (</w:t>
            </w:r>
            <w:proofErr w:type="spellStart"/>
            <w:r w:rsidR="00125687" w:rsidRPr="0053474B">
              <w:rPr>
                <w:sz w:val="18"/>
                <w:szCs w:val="18"/>
                <w:lang w:bidi="ar-IQ"/>
              </w:rPr>
              <w:t>mean±</w:t>
            </w:r>
            <w:r w:rsidRPr="0053474B">
              <w:rPr>
                <w:sz w:val="18"/>
                <w:szCs w:val="18"/>
                <w:lang w:bidi="ar-IQ"/>
              </w:rPr>
              <w:t>SD</w:t>
            </w:r>
            <w:proofErr w:type="spellEnd"/>
            <w:r w:rsidRPr="0053474B">
              <w:rPr>
                <w:sz w:val="18"/>
                <w:szCs w:val="18"/>
                <w:lang w:bidi="ar-IQ"/>
              </w:rPr>
              <w:t xml:space="preserve">) of target adhesion genes in </w:t>
            </w:r>
            <w:r w:rsidRPr="0053474B">
              <w:rPr>
                <w:i/>
                <w:iCs/>
                <w:sz w:val="18"/>
                <w:szCs w:val="18"/>
                <w:lang w:bidi="ar-IQ"/>
              </w:rPr>
              <w:t>A. baumannii</w:t>
            </w:r>
            <w:r w:rsidRPr="0053474B">
              <w:rPr>
                <w:sz w:val="18"/>
                <w:szCs w:val="18"/>
                <w:lang w:bidi="ar-IQ"/>
              </w:rPr>
              <w:t xml:space="preserve"> clinical isolates.</w:t>
            </w:r>
          </w:p>
        </w:tc>
      </w:tr>
      <w:tr w:rsidR="00E815B9" w:rsidRPr="0053474B" w14:paraId="564CA04C" w14:textId="77777777" w:rsidTr="00E815B9">
        <w:trPr>
          <w:jc w:val="center"/>
        </w:trPr>
        <w:tc>
          <w:tcPr>
            <w:tcW w:w="0" w:type="auto"/>
            <w:tcBorders>
              <w:top w:val="single" w:sz="4" w:space="0" w:color="auto"/>
              <w:bottom w:val="single" w:sz="4" w:space="0" w:color="auto"/>
              <w:right w:val="nil"/>
            </w:tcBorders>
            <w:vAlign w:val="center"/>
            <w:hideMark/>
          </w:tcPr>
          <w:p w14:paraId="0E8D5F07" w14:textId="77777777" w:rsidR="00105F84" w:rsidRPr="0053474B" w:rsidRDefault="00105F84" w:rsidP="00105F84">
            <w:pPr>
              <w:jc w:val="center"/>
              <w:rPr>
                <w:sz w:val="18"/>
                <w:szCs w:val="18"/>
                <w:lang w:bidi="ar-IQ"/>
              </w:rPr>
            </w:pPr>
            <w:r w:rsidRPr="0053474B">
              <w:rPr>
                <w:sz w:val="18"/>
                <w:szCs w:val="18"/>
                <w:lang w:bidi="ar-IQ"/>
              </w:rPr>
              <w:t>Gene</w:t>
            </w:r>
          </w:p>
        </w:tc>
        <w:tc>
          <w:tcPr>
            <w:tcW w:w="0" w:type="auto"/>
            <w:tcBorders>
              <w:top w:val="single" w:sz="4" w:space="0" w:color="auto"/>
              <w:left w:val="nil"/>
              <w:bottom w:val="single" w:sz="4" w:space="0" w:color="auto"/>
              <w:right w:val="nil"/>
            </w:tcBorders>
            <w:vAlign w:val="center"/>
            <w:hideMark/>
          </w:tcPr>
          <w:p w14:paraId="6083409F" w14:textId="77777777" w:rsidR="00105F84" w:rsidRPr="0053474B" w:rsidRDefault="00105F84" w:rsidP="00105F84">
            <w:pPr>
              <w:jc w:val="center"/>
              <w:rPr>
                <w:sz w:val="18"/>
                <w:szCs w:val="18"/>
                <w:lang w:bidi="ar-IQ"/>
              </w:rPr>
            </w:pPr>
            <w:r w:rsidRPr="0053474B">
              <w:rPr>
                <w:sz w:val="18"/>
                <w:szCs w:val="18"/>
                <w:lang w:bidi="ar-IQ"/>
              </w:rPr>
              <w:t>Mean ± SD (Fold Change)</w:t>
            </w:r>
          </w:p>
        </w:tc>
        <w:tc>
          <w:tcPr>
            <w:tcW w:w="0" w:type="auto"/>
            <w:tcBorders>
              <w:top w:val="single" w:sz="4" w:space="0" w:color="auto"/>
              <w:left w:val="nil"/>
              <w:bottom w:val="single" w:sz="4" w:space="0" w:color="auto"/>
            </w:tcBorders>
            <w:vAlign w:val="center"/>
            <w:hideMark/>
          </w:tcPr>
          <w:p w14:paraId="2652ECA1" w14:textId="77777777" w:rsidR="00105F84" w:rsidRPr="0053474B" w:rsidRDefault="00105F84" w:rsidP="00105F84">
            <w:pPr>
              <w:jc w:val="center"/>
              <w:rPr>
                <w:sz w:val="18"/>
                <w:szCs w:val="18"/>
                <w:lang w:bidi="ar-IQ"/>
              </w:rPr>
            </w:pPr>
            <w:r w:rsidRPr="0053474B">
              <w:rPr>
                <w:sz w:val="18"/>
                <w:szCs w:val="18"/>
                <w:lang w:bidi="ar-IQ"/>
              </w:rPr>
              <w:t>Significance (p-value)</w:t>
            </w:r>
          </w:p>
        </w:tc>
      </w:tr>
      <w:tr w:rsidR="00E815B9" w:rsidRPr="0053474B" w14:paraId="2A199ECB" w14:textId="77777777" w:rsidTr="00E815B9">
        <w:trPr>
          <w:jc w:val="center"/>
        </w:trPr>
        <w:tc>
          <w:tcPr>
            <w:tcW w:w="0" w:type="auto"/>
            <w:tcBorders>
              <w:top w:val="single" w:sz="4" w:space="0" w:color="auto"/>
              <w:bottom w:val="nil"/>
              <w:right w:val="nil"/>
            </w:tcBorders>
            <w:vAlign w:val="center"/>
            <w:hideMark/>
          </w:tcPr>
          <w:p w14:paraId="54AE6C35" w14:textId="77777777" w:rsidR="00105F84" w:rsidRPr="0053474B" w:rsidRDefault="00105F84" w:rsidP="00105F84">
            <w:pPr>
              <w:jc w:val="center"/>
              <w:rPr>
                <w:i/>
                <w:iCs/>
                <w:sz w:val="18"/>
                <w:szCs w:val="18"/>
                <w:lang w:bidi="ar-IQ"/>
              </w:rPr>
            </w:pPr>
            <w:proofErr w:type="spellStart"/>
            <w:r w:rsidRPr="0053474B">
              <w:rPr>
                <w:i/>
                <w:iCs/>
                <w:sz w:val="18"/>
                <w:szCs w:val="18"/>
                <w:lang w:bidi="ar-IQ"/>
              </w:rPr>
              <w:t>OmpA</w:t>
            </w:r>
            <w:proofErr w:type="spellEnd"/>
          </w:p>
        </w:tc>
        <w:tc>
          <w:tcPr>
            <w:tcW w:w="0" w:type="auto"/>
            <w:tcBorders>
              <w:top w:val="single" w:sz="4" w:space="0" w:color="auto"/>
              <w:left w:val="nil"/>
              <w:bottom w:val="nil"/>
              <w:right w:val="nil"/>
            </w:tcBorders>
            <w:vAlign w:val="center"/>
            <w:hideMark/>
          </w:tcPr>
          <w:p w14:paraId="427A1CF9" w14:textId="77777777" w:rsidR="00105F84" w:rsidRPr="0053474B" w:rsidRDefault="00105F84" w:rsidP="00105F84">
            <w:pPr>
              <w:jc w:val="center"/>
              <w:rPr>
                <w:sz w:val="18"/>
                <w:szCs w:val="18"/>
                <w:lang w:bidi="ar-IQ"/>
              </w:rPr>
            </w:pPr>
            <w:r w:rsidRPr="0053474B">
              <w:rPr>
                <w:sz w:val="18"/>
                <w:szCs w:val="18"/>
                <w:lang w:bidi="ar-IQ"/>
              </w:rPr>
              <w:t>0.97 ± 0.08</w:t>
            </w:r>
          </w:p>
        </w:tc>
        <w:tc>
          <w:tcPr>
            <w:tcW w:w="0" w:type="auto"/>
            <w:tcBorders>
              <w:top w:val="single" w:sz="4" w:space="0" w:color="auto"/>
              <w:left w:val="nil"/>
              <w:bottom w:val="nil"/>
            </w:tcBorders>
            <w:vAlign w:val="center"/>
            <w:hideMark/>
          </w:tcPr>
          <w:p w14:paraId="61B64FA0" w14:textId="77777777" w:rsidR="00105F84" w:rsidRPr="0053474B" w:rsidRDefault="00105F84" w:rsidP="00105F84">
            <w:pPr>
              <w:jc w:val="center"/>
              <w:rPr>
                <w:sz w:val="18"/>
                <w:szCs w:val="18"/>
                <w:lang w:bidi="ar-IQ"/>
              </w:rPr>
            </w:pPr>
            <w:r w:rsidRPr="0053474B">
              <w:rPr>
                <w:sz w:val="18"/>
                <w:szCs w:val="18"/>
                <w:lang w:bidi="ar-IQ"/>
              </w:rPr>
              <w:t>ns (p &gt; 0.05)</w:t>
            </w:r>
          </w:p>
        </w:tc>
      </w:tr>
      <w:tr w:rsidR="00E815B9" w:rsidRPr="0053474B" w14:paraId="02A466B2" w14:textId="77777777" w:rsidTr="00E815B9">
        <w:trPr>
          <w:trHeight w:val="80"/>
          <w:jc w:val="center"/>
        </w:trPr>
        <w:tc>
          <w:tcPr>
            <w:tcW w:w="0" w:type="auto"/>
            <w:tcBorders>
              <w:top w:val="nil"/>
              <w:bottom w:val="nil"/>
              <w:right w:val="nil"/>
            </w:tcBorders>
            <w:vAlign w:val="center"/>
            <w:hideMark/>
          </w:tcPr>
          <w:p w14:paraId="33ED9A47" w14:textId="77777777" w:rsidR="00105F84" w:rsidRPr="0053474B" w:rsidRDefault="00105F84" w:rsidP="00105F84">
            <w:pPr>
              <w:jc w:val="center"/>
              <w:rPr>
                <w:i/>
                <w:iCs/>
                <w:sz w:val="18"/>
                <w:szCs w:val="18"/>
                <w:lang w:bidi="ar-IQ"/>
              </w:rPr>
            </w:pPr>
            <w:proofErr w:type="spellStart"/>
            <w:r w:rsidRPr="0053474B">
              <w:rPr>
                <w:i/>
                <w:iCs/>
                <w:sz w:val="18"/>
                <w:szCs w:val="18"/>
                <w:lang w:bidi="ar-IQ"/>
              </w:rPr>
              <w:t>CsuC</w:t>
            </w:r>
            <w:proofErr w:type="spellEnd"/>
          </w:p>
        </w:tc>
        <w:tc>
          <w:tcPr>
            <w:tcW w:w="0" w:type="auto"/>
            <w:tcBorders>
              <w:top w:val="nil"/>
              <w:left w:val="nil"/>
              <w:bottom w:val="nil"/>
              <w:right w:val="nil"/>
            </w:tcBorders>
            <w:vAlign w:val="center"/>
            <w:hideMark/>
          </w:tcPr>
          <w:p w14:paraId="3D44690A" w14:textId="77777777" w:rsidR="00105F84" w:rsidRPr="0053474B" w:rsidRDefault="00105F84" w:rsidP="00105F84">
            <w:pPr>
              <w:jc w:val="center"/>
              <w:rPr>
                <w:sz w:val="18"/>
                <w:szCs w:val="18"/>
                <w:lang w:bidi="ar-IQ"/>
              </w:rPr>
            </w:pPr>
            <w:r w:rsidRPr="0053474B">
              <w:rPr>
                <w:sz w:val="18"/>
                <w:szCs w:val="18"/>
                <w:lang w:bidi="ar-IQ"/>
              </w:rPr>
              <w:t>0.03 ± 0.01</w:t>
            </w:r>
          </w:p>
        </w:tc>
        <w:tc>
          <w:tcPr>
            <w:tcW w:w="0" w:type="auto"/>
            <w:tcBorders>
              <w:top w:val="nil"/>
              <w:left w:val="nil"/>
              <w:bottom w:val="nil"/>
            </w:tcBorders>
            <w:vAlign w:val="center"/>
            <w:hideMark/>
          </w:tcPr>
          <w:p w14:paraId="047E76E8" w14:textId="77777777" w:rsidR="00105F84" w:rsidRPr="0053474B" w:rsidRDefault="00105F84" w:rsidP="00105F84">
            <w:pPr>
              <w:jc w:val="center"/>
              <w:rPr>
                <w:sz w:val="18"/>
                <w:szCs w:val="18"/>
                <w:lang w:bidi="ar-IQ"/>
              </w:rPr>
            </w:pPr>
            <w:r w:rsidRPr="0053474B">
              <w:rPr>
                <w:sz w:val="18"/>
                <w:szCs w:val="18"/>
                <w:lang w:bidi="ar-IQ"/>
              </w:rPr>
              <w:t>p ≤ 0.01</w:t>
            </w:r>
          </w:p>
        </w:tc>
      </w:tr>
      <w:tr w:rsidR="00E815B9" w:rsidRPr="0053474B" w14:paraId="0DAFF9C6" w14:textId="77777777" w:rsidTr="00E815B9">
        <w:trPr>
          <w:jc w:val="center"/>
        </w:trPr>
        <w:tc>
          <w:tcPr>
            <w:tcW w:w="0" w:type="auto"/>
            <w:tcBorders>
              <w:top w:val="nil"/>
              <w:right w:val="nil"/>
            </w:tcBorders>
            <w:vAlign w:val="center"/>
            <w:hideMark/>
          </w:tcPr>
          <w:p w14:paraId="780467EB" w14:textId="77777777" w:rsidR="00105F84" w:rsidRPr="0053474B" w:rsidRDefault="00105F84" w:rsidP="00105F84">
            <w:pPr>
              <w:jc w:val="center"/>
              <w:rPr>
                <w:i/>
                <w:iCs/>
                <w:sz w:val="18"/>
                <w:szCs w:val="18"/>
                <w:lang w:bidi="ar-IQ"/>
              </w:rPr>
            </w:pPr>
            <w:proofErr w:type="spellStart"/>
            <w:r w:rsidRPr="0053474B">
              <w:rPr>
                <w:i/>
                <w:iCs/>
                <w:sz w:val="18"/>
                <w:szCs w:val="18"/>
                <w:lang w:bidi="ar-IQ"/>
              </w:rPr>
              <w:t>CsuE</w:t>
            </w:r>
            <w:proofErr w:type="spellEnd"/>
          </w:p>
        </w:tc>
        <w:tc>
          <w:tcPr>
            <w:tcW w:w="0" w:type="auto"/>
            <w:tcBorders>
              <w:top w:val="nil"/>
              <w:left w:val="nil"/>
              <w:right w:val="nil"/>
            </w:tcBorders>
            <w:vAlign w:val="center"/>
            <w:hideMark/>
          </w:tcPr>
          <w:p w14:paraId="5C13977C" w14:textId="77777777" w:rsidR="00105F84" w:rsidRPr="0053474B" w:rsidRDefault="00105F84" w:rsidP="00105F84">
            <w:pPr>
              <w:jc w:val="center"/>
              <w:rPr>
                <w:sz w:val="18"/>
                <w:szCs w:val="18"/>
                <w:lang w:bidi="ar-IQ"/>
              </w:rPr>
            </w:pPr>
            <w:r w:rsidRPr="0053474B">
              <w:rPr>
                <w:sz w:val="18"/>
                <w:szCs w:val="18"/>
                <w:lang w:bidi="ar-IQ"/>
              </w:rPr>
              <w:t>0.05 ± 0.01</w:t>
            </w:r>
          </w:p>
        </w:tc>
        <w:tc>
          <w:tcPr>
            <w:tcW w:w="0" w:type="auto"/>
            <w:tcBorders>
              <w:top w:val="nil"/>
              <w:left w:val="nil"/>
            </w:tcBorders>
            <w:vAlign w:val="center"/>
            <w:hideMark/>
          </w:tcPr>
          <w:p w14:paraId="76A75D37" w14:textId="77777777" w:rsidR="00105F84" w:rsidRPr="0053474B" w:rsidRDefault="00105F84" w:rsidP="00105F84">
            <w:pPr>
              <w:jc w:val="center"/>
              <w:rPr>
                <w:sz w:val="18"/>
                <w:szCs w:val="18"/>
                <w:lang w:bidi="ar-IQ"/>
              </w:rPr>
            </w:pPr>
            <w:r w:rsidRPr="0053474B">
              <w:rPr>
                <w:sz w:val="18"/>
                <w:szCs w:val="18"/>
                <w:lang w:bidi="ar-IQ"/>
              </w:rPr>
              <w:t>p ≤ 0.01</w:t>
            </w:r>
          </w:p>
        </w:tc>
      </w:tr>
    </w:tbl>
    <w:p w14:paraId="5BE580DC" w14:textId="77777777" w:rsidR="00105F84" w:rsidRPr="0053474B" w:rsidRDefault="00105F84" w:rsidP="00105F84">
      <w:pPr>
        <w:pStyle w:val="Paragraph"/>
        <w:ind w:firstLine="0"/>
      </w:pPr>
    </w:p>
    <w:tbl>
      <w:tblPr>
        <w:tblStyle w:val="TableGrid"/>
        <w:tblW w:w="0" w:type="auto"/>
        <w:tblInd w:w="13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04"/>
      </w:tblGrid>
      <w:tr w:rsidR="00DB169A" w:rsidRPr="0053474B" w14:paraId="0282571F" w14:textId="77777777" w:rsidTr="007007DE">
        <w:trPr>
          <w:trHeight w:val="2485"/>
        </w:trPr>
        <w:tc>
          <w:tcPr>
            <w:tcW w:w="6804" w:type="dxa"/>
          </w:tcPr>
          <w:p w14:paraId="32B5C639" w14:textId="07404575" w:rsidR="00DB169A" w:rsidRPr="002E3357" w:rsidRDefault="00DB169A" w:rsidP="00DB169A">
            <w:pPr>
              <w:pStyle w:val="Paragraph"/>
              <w:ind w:firstLine="0"/>
              <w:jc w:val="center"/>
              <w:rPr>
                <w:sz w:val="18"/>
                <w:szCs w:val="18"/>
              </w:rPr>
            </w:pPr>
            <w:r w:rsidRPr="002E3357">
              <w:rPr>
                <w:noProof/>
                <w:sz w:val="18"/>
                <w:szCs w:val="18"/>
              </w:rPr>
              <w:drawing>
                <wp:inline distT="0" distB="0" distL="0" distR="0" wp14:anchorId="4DB8A17B" wp14:editId="4D2A2213">
                  <wp:extent cx="4133850" cy="2266950"/>
                  <wp:effectExtent l="19050" t="19050" r="19050" b="19050"/>
                  <wp:docPr id="3" name="صورة 3" descr="C:\Users\saqr\Downloads\Figure5_qPCR_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qr\Downloads\Figure5_qPCR_curves.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92"/>
                          <a:stretch/>
                        </pic:blipFill>
                        <pic:spPr bwMode="auto">
                          <a:xfrm>
                            <a:off x="0" y="0"/>
                            <a:ext cx="4133850" cy="22669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bl>
    <w:p w14:paraId="5D54EEA4" w14:textId="5B283068" w:rsidR="00DB169A" w:rsidRPr="002E3357" w:rsidRDefault="00DB169A" w:rsidP="00DB169A">
      <w:pPr>
        <w:pStyle w:val="Paragraph"/>
        <w:ind w:firstLine="0"/>
        <w:jc w:val="center"/>
        <w:rPr>
          <w:sz w:val="18"/>
          <w:szCs w:val="18"/>
        </w:rPr>
      </w:pPr>
      <w:r w:rsidRPr="002E3357">
        <w:rPr>
          <w:b/>
          <w:bCs/>
          <w:sz w:val="18"/>
          <w:szCs w:val="18"/>
        </w:rPr>
        <w:t>FIGURE 5.</w:t>
      </w:r>
      <w:r w:rsidRPr="002E3357">
        <w:rPr>
          <w:sz w:val="18"/>
          <w:szCs w:val="18"/>
        </w:rPr>
        <w:t xml:space="preserve"> </w:t>
      </w:r>
      <w:proofErr w:type="spellStart"/>
      <w:r w:rsidRPr="002E3357">
        <w:rPr>
          <w:sz w:val="18"/>
          <w:szCs w:val="18"/>
        </w:rPr>
        <w:t>qRT</w:t>
      </w:r>
      <w:proofErr w:type="spellEnd"/>
      <w:r w:rsidRPr="002E3357">
        <w:rPr>
          <w:sz w:val="18"/>
          <w:szCs w:val="18"/>
        </w:rPr>
        <w:t xml:space="preserve">-PCR amplification curves for </w:t>
      </w:r>
      <w:proofErr w:type="spellStart"/>
      <w:r w:rsidRPr="002E3357">
        <w:rPr>
          <w:i/>
          <w:iCs/>
          <w:sz w:val="18"/>
          <w:szCs w:val="18"/>
        </w:rPr>
        <w:t>OmpA</w:t>
      </w:r>
      <w:proofErr w:type="spellEnd"/>
      <w:r w:rsidRPr="002E3357">
        <w:rPr>
          <w:i/>
          <w:iCs/>
          <w:sz w:val="18"/>
          <w:szCs w:val="18"/>
        </w:rPr>
        <w:t xml:space="preserve">, </w:t>
      </w:r>
      <w:proofErr w:type="spellStart"/>
      <w:r w:rsidRPr="002E3357">
        <w:rPr>
          <w:i/>
          <w:iCs/>
          <w:sz w:val="18"/>
          <w:szCs w:val="18"/>
        </w:rPr>
        <w:t>CsuC</w:t>
      </w:r>
      <w:proofErr w:type="spellEnd"/>
      <w:r w:rsidRPr="002E3357">
        <w:rPr>
          <w:sz w:val="18"/>
          <w:szCs w:val="18"/>
        </w:rPr>
        <w:t xml:space="preserve">, and </w:t>
      </w:r>
      <w:proofErr w:type="spellStart"/>
      <w:r w:rsidRPr="002E3357">
        <w:rPr>
          <w:i/>
          <w:iCs/>
          <w:sz w:val="18"/>
          <w:szCs w:val="18"/>
        </w:rPr>
        <w:t>CsuE</w:t>
      </w:r>
      <w:proofErr w:type="spellEnd"/>
      <w:r w:rsidRPr="002E3357">
        <w:rPr>
          <w:sz w:val="18"/>
          <w:szCs w:val="18"/>
        </w:rPr>
        <w:t xml:space="preserve"> genes in </w:t>
      </w:r>
      <w:r w:rsidRPr="002E3357">
        <w:rPr>
          <w:i/>
          <w:iCs/>
          <w:sz w:val="18"/>
          <w:szCs w:val="18"/>
        </w:rPr>
        <w:t>A. baumannii</w:t>
      </w:r>
      <w:r w:rsidRPr="002E3357">
        <w:rPr>
          <w:sz w:val="18"/>
          <w:szCs w:val="18"/>
        </w:rPr>
        <w:t>.</w:t>
      </w:r>
    </w:p>
    <w:p w14:paraId="07BF4C62" w14:textId="5F66E3FE" w:rsidR="00435F7A" w:rsidRPr="0053474B" w:rsidRDefault="00435F7A" w:rsidP="002E3357">
      <w:pPr>
        <w:pStyle w:val="Paragraph"/>
        <w:ind w:firstLine="0"/>
      </w:pPr>
    </w:p>
    <w:tbl>
      <w:tblPr>
        <w:tblStyle w:val="TableGrid"/>
        <w:tblW w:w="0" w:type="auto"/>
        <w:tblInd w:w="13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04"/>
      </w:tblGrid>
      <w:tr w:rsidR="00DB169A" w:rsidRPr="002E3357" w14:paraId="2E9A23C3" w14:textId="77777777" w:rsidTr="007007DE">
        <w:trPr>
          <w:trHeight w:val="2485"/>
        </w:trPr>
        <w:tc>
          <w:tcPr>
            <w:tcW w:w="6804" w:type="dxa"/>
          </w:tcPr>
          <w:p w14:paraId="120D9858" w14:textId="2D3E0F70" w:rsidR="00DB169A" w:rsidRPr="002E3357" w:rsidRDefault="00DB169A" w:rsidP="002B1C2B">
            <w:pPr>
              <w:pStyle w:val="Paragraph"/>
              <w:ind w:firstLine="0"/>
              <w:jc w:val="center"/>
              <w:rPr>
                <w:sz w:val="18"/>
                <w:szCs w:val="18"/>
              </w:rPr>
            </w:pPr>
            <w:r w:rsidRPr="002E3357">
              <w:rPr>
                <w:noProof/>
                <w:sz w:val="18"/>
                <w:szCs w:val="18"/>
              </w:rPr>
              <w:drawing>
                <wp:inline distT="0" distB="0" distL="0" distR="0" wp14:anchorId="41D89639" wp14:editId="4F2F8160">
                  <wp:extent cx="3940625" cy="2667000"/>
                  <wp:effectExtent l="19050" t="19050" r="22225" b="19050"/>
                  <wp:docPr id="5" name="صورة 5" descr="C:\Users\saqr\Downloads\Figure6_RelativeExpr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qr\Downloads\Figure6_RelativeExpress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546"/>
                          <a:stretch/>
                        </pic:blipFill>
                        <pic:spPr bwMode="auto">
                          <a:xfrm>
                            <a:off x="0" y="0"/>
                            <a:ext cx="3964592" cy="268322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r>
    </w:tbl>
    <w:p w14:paraId="2EB5DDE0" w14:textId="453E0106" w:rsidR="00DB169A" w:rsidRPr="002E3357" w:rsidRDefault="00DB169A" w:rsidP="002E3357">
      <w:pPr>
        <w:pStyle w:val="Paragraph"/>
        <w:ind w:firstLine="0"/>
        <w:jc w:val="center"/>
        <w:rPr>
          <w:sz w:val="18"/>
          <w:szCs w:val="18"/>
          <w:rtl/>
          <w:lang w:bidi="ar-IQ"/>
        </w:rPr>
      </w:pPr>
      <w:r w:rsidRPr="002E3357">
        <w:rPr>
          <w:b/>
          <w:bCs/>
          <w:sz w:val="18"/>
          <w:szCs w:val="18"/>
        </w:rPr>
        <w:t>FIGURE 6.</w:t>
      </w:r>
      <w:r w:rsidRPr="002E3357">
        <w:rPr>
          <w:sz w:val="18"/>
          <w:szCs w:val="18"/>
        </w:rPr>
        <w:t xml:space="preserve"> Comparative relative expression (fold change) of adhesion genes normalized to </w:t>
      </w:r>
      <w:r w:rsidRPr="002E3357">
        <w:rPr>
          <w:i/>
          <w:iCs/>
          <w:sz w:val="18"/>
          <w:szCs w:val="18"/>
        </w:rPr>
        <w:t>16S rRNA</w:t>
      </w:r>
      <w:r w:rsidRPr="002E3357">
        <w:rPr>
          <w:sz w:val="18"/>
          <w:szCs w:val="18"/>
        </w:rPr>
        <w:t>.</w:t>
      </w:r>
    </w:p>
    <w:p w14:paraId="7B01763D" w14:textId="197C60B7" w:rsidR="00BA3B3D" w:rsidRPr="0053474B" w:rsidRDefault="00E815B9" w:rsidP="00E815B9">
      <w:pPr>
        <w:pStyle w:val="Heading1"/>
      </w:pPr>
      <w:r w:rsidRPr="0053474B">
        <w:rPr>
          <w:bCs/>
        </w:rPr>
        <w:t>Discussion</w:t>
      </w:r>
    </w:p>
    <w:p w14:paraId="2B23E66C" w14:textId="1358C238" w:rsidR="00402D53" w:rsidRPr="0053474B" w:rsidRDefault="00402D53" w:rsidP="00402D53">
      <w:pPr>
        <w:pStyle w:val="Paragraph"/>
      </w:pPr>
      <w:r w:rsidRPr="0053474B">
        <w:t xml:space="preserve">Molecular screening revealed the ubiquity of the adhesion-related genes </w:t>
      </w:r>
      <w:proofErr w:type="spellStart"/>
      <w:r w:rsidRPr="0053474B">
        <w:rPr>
          <w:i/>
          <w:iCs/>
        </w:rPr>
        <w:t>OmpA</w:t>
      </w:r>
      <w:proofErr w:type="spellEnd"/>
      <w:r w:rsidRPr="0053474B">
        <w:t xml:space="preserve">, </w:t>
      </w:r>
      <w:proofErr w:type="spellStart"/>
      <w:r w:rsidRPr="0053474B">
        <w:rPr>
          <w:i/>
          <w:iCs/>
        </w:rPr>
        <w:t>CsuC</w:t>
      </w:r>
      <w:proofErr w:type="spellEnd"/>
      <w:r w:rsidRPr="0053474B">
        <w:t xml:space="preserve">, and </w:t>
      </w:r>
      <w:proofErr w:type="spellStart"/>
      <w:r w:rsidR="007F0F54" w:rsidRPr="0053474B">
        <w:rPr>
          <w:i/>
          <w:iCs/>
        </w:rPr>
        <w:t>CsuE</w:t>
      </w:r>
      <w:proofErr w:type="spellEnd"/>
      <w:r w:rsidR="007F0F54" w:rsidRPr="0053474B">
        <w:t xml:space="preserve"> </w:t>
      </w:r>
      <w:r w:rsidR="007F0F54">
        <w:rPr>
          <w:rFonts w:hint="cs"/>
        </w:rPr>
        <w:t>in</w:t>
      </w:r>
      <w:r w:rsidRPr="0053474B">
        <w:t xml:space="preserve"> </w:t>
      </w:r>
      <w:r w:rsidRPr="0053474B">
        <w:rPr>
          <w:i/>
          <w:iCs/>
        </w:rPr>
        <w:t xml:space="preserve">A. baumannii </w:t>
      </w:r>
      <w:r w:rsidRPr="0053474B">
        <w:t xml:space="preserve">clinical isolates, indicating a conserved role for bacterial adherence and virulence. Both </w:t>
      </w:r>
      <w:proofErr w:type="spellStart"/>
      <w:r w:rsidRPr="0053474B">
        <w:t>OmpA</w:t>
      </w:r>
      <w:proofErr w:type="spellEnd"/>
      <w:r w:rsidRPr="0053474B">
        <w:t xml:space="preserve"> and </w:t>
      </w:r>
      <w:proofErr w:type="spellStart"/>
      <w:r w:rsidRPr="0053474B">
        <w:t>CsuC</w:t>
      </w:r>
      <w:proofErr w:type="spellEnd"/>
      <w:r w:rsidRPr="0053474B">
        <w:t xml:space="preserve"> were detected in all isolates as expected based on previous reports [19, 20], which showed that these genes have essential roles in the overall structure of the outer membrane and the lounge of the chaperone-usher pilus system, respectively.</w:t>
      </w:r>
    </w:p>
    <w:p w14:paraId="74F576E9" w14:textId="4AAEB429" w:rsidR="00E815B9" w:rsidRPr="0053474B" w:rsidRDefault="00402D53" w:rsidP="00402D53">
      <w:pPr>
        <w:pStyle w:val="Paragraph"/>
      </w:pPr>
      <w:proofErr w:type="spellStart"/>
      <w:r w:rsidRPr="0053474B">
        <w:rPr>
          <w:i/>
          <w:iCs/>
        </w:rPr>
        <w:t>CsuE</w:t>
      </w:r>
      <w:proofErr w:type="spellEnd"/>
      <w:r w:rsidRPr="0053474B">
        <w:t xml:space="preserve"> was also detected in </w:t>
      </w:r>
      <w:proofErr w:type="gramStart"/>
      <w:r w:rsidRPr="0053474B">
        <w:t>the majority of</w:t>
      </w:r>
      <w:proofErr w:type="gramEnd"/>
      <w:r w:rsidRPr="0053474B">
        <w:t xml:space="preserve"> isolates (95%) which indicates this gene has an important role in bacterial attachment to biotic and abiotic surfaces. </w:t>
      </w:r>
      <w:proofErr w:type="spellStart"/>
      <w:r w:rsidRPr="0053474B">
        <w:rPr>
          <w:i/>
          <w:iCs/>
        </w:rPr>
        <w:t>CsuE</w:t>
      </w:r>
      <w:proofErr w:type="spellEnd"/>
      <w:r w:rsidRPr="0053474B">
        <w:t xml:space="preserve"> encodes the tip adhesion protein, which is responsible for </w:t>
      </w:r>
      <w:r w:rsidRPr="0053474B">
        <w:lastRenderedPageBreak/>
        <w:t>the initial contact between the bacterium and the surface, whether biotic or abiotic, which leads to biofilm formation [21]</w:t>
      </w:r>
      <w:r w:rsidR="00E815B9" w:rsidRPr="0053474B">
        <w:t>.</w:t>
      </w:r>
    </w:p>
    <w:p w14:paraId="03E1A07A" w14:textId="2B23FC32" w:rsidR="004A170C" w:rsidRPr="0053474B" w:rsidRDefault="004A170C" w:rsidP="004A170C">
      <w:pPr>
        <w:pStyle w:val="Paragraph"/>
      </w:pPr>
      <w:r w:rsidRPr="0053474B">
        <w:t xml:space="preserve">The observations of differential </w:t>
      </w:r>
      <w:proofErr w:type="gramStart"/>
      <w:r w:rsidRPr="0053474B">
        <w:t>expression</w:t>
      </w:r>
      <w:proofErr w:type="gramEnd"/>
      <w:r w:rsidRPr="0053474B">
        <w:t xml:space="preserve"> in the adherence-associated genes </w:t>
      </w:r>
      <w:proofErr w:type="spellStart"/>
      <w:r w:rsidRPr="0053474B">
        <w:rPr>
          <w:i/>
          <w:iCs/>
        </w:rPr>
        <w:t>OmpA</w:t>
      </w:r>
      <w:proofErr w:type="spellEnd"/>
      <w:r w:rsidRPr="0053474B">
        <w:rPr>
          <w:i/>
          <w:iCs/>
        </w:rPr>
        <w:t xml:space="preserve">, </w:t>
      </w:r>
      <w:proofErr w:type="spellStart"/>
      <w:r w:rsidRPr="0053474B">
        <w:rPr>
          <w:i/>
          <w:iCs/>
        </w:rPr>
        <w:t>CsuC</w:t>
      </w:r>
      <w:proofErr w:type="spellEnd"/>
      <w:r w:rsidRPr="0053474B">
        <w:t xml:space="preserve">, and </w:t>
      </w:r>
      <w:proofErr w:type="spellStart"/>
      <w:r w:rsidRPr="0053474B">
        <w:rPr>
          <w:i/>
          <w:iCs/>
        </w:rPr>
        <w:t>CsuE</w:t>
      </w:r>
      <w:proofErr w:type="spellEnd"/>
      <w:r w:rsidRPr="0053474B">
        <w:t xml:space="preserve"> among isolates of </w:t>
      </w:r>
      <w:r w:rsidRPr="0053474B">
        <w:rPr>
          <w:i/>
          <w:iCs/>
        </w:rPr>
        <w:t>A. baumannii</w:t>
      </w:r>
      <w:r w:rsidRPr="0053474B">
        <w:t xml:space="preserve"> suggest the action of different regulatory pathways that control bacterial adherence and biofilm formation. The relatively stable expression of </w:t>
      </w:r>
      <w:proofErr w:type="spellStart"/>
      <w:r w:rsidRPr="0053474B">
        <w:rPr>
          <w:i/>
          <w:iCs/>
        </w:rPr>
        <w:t>OmpA</w:t>
      </w:r>
      <w:proofErr w:type="spellEnd"/>
      <w:r w:rsidRPr="0053474B">
        <w:t xml:space="preserve"> across isolates is consistent with a key role for </w:t>
      </w:r>
      <w:proofErr w:type="spellStart"/>
      <w:r w:rsidRPr="0053474B">
        <w:rPr>
          <w:i/>
          <w:iCs/>
        </w:rPr>
        <w:t>OmpA</w:t>
      </w:r>
      <w:proofErr w:type="spellEnd"/>
      <w:r w:rsidRPr="0053474B">
        <w:t xml:space="preserve"> as a constitutively expressed structural and functional component of the outer membrane that is essential for cell integrity and provides a mechanism for adhesion to epithelial surfaces. Alternatively, the variable, or lowered expression of the genes of the </w:t>
      </w:r>
      <w:proofErr w:type="spellStart"/>
      <w:r w:rsidRPr="0053474B">
        <w:rPr>
          <w:i/>
          <w:iCs/>
        </w:rPr>
        <w:t>Csu</w:t>
      </w:r>
      <w:proofErr w:type="spellEnd"/>
      <w:r w:rsidRPr="0053474B">
        <w:t xml:space="preserve"> operon (</w:t>
      </w:r>
      <w:proofErr w:type="spellStart"/>
      <w:r w:rsidRPr="0053474B">
        <w:rPr>
          <w:i/>
          <w:iCs/>
        </w:rPr>
        <w:t>CsuC</w:t>
      </w:r>
      <w:proofErr w:type="spellEnd"/>
      <w:r w:rsidRPr="0053474B">
        <w:t xml:space="preserve"> and </w:t>
      </w:r>
      <w:proofErr w:type="spellStart"/>
      <w:r w:rsidRPr="0053474B">
        <w:rPr>
          <w:i/>
          <w:iCs/>
        </w:rPr>
        <w:t>CsuE</w:t>
      </w:r>
      <w:proofErr w:type="spellEnd"/>
      <w:r w:rsidRPr="0053474B">
        <w:t xml:space="preserve">), may be suggestive of adaptive regulation in </w:t>
      </w:r>
      <w:proofErr w:type="gramStart"/>
      <w:r w:rsidRPr="0053474B">
        <w:t>several of the</w:t>
      </w:r>
      <w:proofErr w:type="gramEnd"/>
      <w:r w:rsidRPr="0053474B">
        <w:t xml:space="preserve"> isolates, and may involve regulatory circuits linked to environmental conditions, or to different growth phases. Such down-regulation may be indicative of differential gene regulation including phase variation mechanisms that can influence pilus expression in response to external stimuli [22].</w:t>
      </w:r>
    </w:p>
    <w:p w14:paraId="07DFB9DD" w14:textId="63A55F20" w:rsidR="00E815B9" w:rsidRPr="0053474B" w:rsidRDefault="004A170C" w:rsidP="004A170C">
      <w:pPr>
        <w:pStyle w:val="Paragraph"/>
      </w:pPr>
      <w:r w:rsidRPr="0053474B">
        <w:t xml:space="preserve">The reduced expression of </w:t>
      </w:r>
      <w:proofErr w:type="spellStart"/>
      <w:r w:rsidRPr="0053474B">
        <w:rPr>
          <w:i/>
          <w:iCs/>
        </w:rPr>
        <w:t>Csu</w:t>
      </w:r>
      <w:proofErr w:type="spellEnd"/>
      <w:r w:rsidRPr="0053474B">
        <w:t xml:space="preserve"> genes in laboratory culture conditions is likely an adaptive mechanism of </w:t>
      </w:r>
      <w:r w:rsidRPr="0053474B">
        <w:rPr>
          <w:i/>
          <w:iCs/>
        </w:rPr>
        <w:t>A. baumannii</w:t>
      </w:r>
      <w:r w:rsidRPr="0053474B">
        <w:t xml:space="preserve"> to limit unnecessary energy expenditure when adhesin structures are not needed; this is consistent with previous reports that associated </w:t>
      </w:r>
      <w:proofErr w:type="spellStart"/>
      <w:r w:rsidRPr="0053474B">
        <w:t>Csu</w:t>
      </w:r>
      <w:proofErr w:type="spellEnd"/>
      <w:r w:rsidRPr="0053474B">
        <w:t xml:space="preserve"> expression with surface availability and environmental factors [23]. </w:t>
      </w:r>
      <w:proofErr w:type="gramStart"/>
      <w:r w:rsidRPr="0053474B">
        <w:t>As a whole, the</w:t>
      </w:r>
      <w:proofErr w:type="gramEnd"/>
      <w:r w:rsidRPr="0053474B">
        <w:t xml:space="preserve"> finding of plasticity in </w:t>
      </w:r>
      <w:proofErr w:type="spellStart"/>
      <w:r w:rsidRPr="0053474B">
        <w:rPr>
          <w:i/>
          <w:iCs/>
        </w:rPr>
        <w:t>Csu</w:t>
      </w:r>
      <w:proofErr w:type="spellEnd"/>
      <w:r w:rsidRPr="0053474B">
        <w:t xml:space="preserve"> gene regulation highlights the impressive potential for this bacterium to adapt and adjust its tissue adhesion and colonization capacity, enabling </w:t>
      </w:r>
      <w:r w:rsidRPr="0053474B">
        <w:rPr>
          <w:i/>
          <w:iCs/>
        </w:rPr>
        <w:t>A. baumannii</w:t>
      </w:r>
      <w:r w:rsidRPr="0053474B">
        <w:t xml:space="preserve"> persistence in clinical practices, as well as lurking in an opportunistic pathogen. Taken together, these results support that </w:t>
      </w:r>
      <w:proofErr w:type="spellStart"/>
      <w:r w:rsidRPr="0053474B">
        <w:rPr>
          <w:i/>
          <w:iCs/>
        </w:rPr>
        <w:t>OmpA</w:t>
      </w:r>
      <w:proofErr w:type="spellEnd"/>
      <w:r w:rsidRPr="0053474B">
        <w:t xml:space="preserve"> is a base adhesion determinant while </w:t>
      </w:r>
      <w:proofErr w:type="spellStart"/>
      <w:r w:rsidRPr="0053474B">
        <w:rPr>
          <w:i/>
          <w:iCs/>
        </w:rPr>
        <w:t>Csu</w:t>
      </w:r>
      <w:proofErr w:type="spellEnd"/>
      <w:r w:rsidRPr="0053474B">
        <w:t xml:space="preserve">-encoded pili are conditionally expressed virulence factors allowing </w:t>
      </w:r>
      <w:r w:rsidRPr="0053474B">
        <w:rPr>
          <w:i/>
          <w:iCs/>
        </w:rPr>
        <w:t>A. baumannii</w:t>
      </w:r>
      <w:r w:rsidRPr="0053474B">
        <w:t xml:space="preserve"> to appropriately modify its attachment and biofilm development according to environmental and host-associated signals</w:t>
      </w:r>
      <w:r w:rsidR="00E815B9" w:rsidRPr="0053474B">
        <w:t>.</w:t>
      </w:r>
    </w:p>
    <w:p w14:paraId="7098DA0A" w14:textId="220BEB7D" w:rsidR="000B1B74" w:rsidRPr="0053474B" w:rsidRDefault="00F835B0" w:rsidP="00E815B9">
      <w:pPr>
        <w:pStyle w:val="Paragraph"/>
      </w:pPr>
      <w:r w:rsidRPr="0053474B">
        <w:t xml:space="preserve">In summary, genetic profiling suggests that </w:t>
      </w:r>
      <w:r w:rsidRPr="0053474B">
        <w:rPr>
          <w:i/>
          <w:iCs/>
        </w:rPr>
        <w:t>A. baumannii</w:t>
      </w:r>
      <w:r w:rsidRPr="0053474B">
        <w:t xml:space="preserve"> has a strong underlying molecular architecture for adhesion and persistence that enables it to colonize clinical environments and cause acute infections [24]. Monitoring these genes via </w:t>
      </w:r>
      <w:proofErr w:type="spellStart"/>
      <w:r w:rsidRPr="0053474B">
        <w:t>qRT</w:t>
      </w:r>
      <w:proofErr w:type="spellEnd"/>
      <w:r w:rsidRPr="0053474B">
        <w:t>-PCR serves as a dependable molecular marker system for evaluating virulence potential and understanding the pathogen's adaptive strategies in clinical contexts [25]</w:t>
      </w:r>
      <w:r w:rsidR="005F4F0C" w:rsidRPr="0053474B">
        <w:t>.</w:t>
      </w:r>
    </w:p>
    <w:p w14:paraId="238F91B4" w14:textId="3FC2347C" w:rsidR="00D87E2A" w:rsidRPr="0053474B" w:rsidRDefault="00037740" w:rsidP="00037740">
      <w:pPr>
        <w:pStyle w:val="Heading1"/>
        <w:rPr>
          <w:b w:val="0"/>
          <w:caps w:val="0"/>
          <w:sz w:val="20"/>
        </w:rPr>
      </w:pPr>
      <w:r w:rsidRPr="0053474B">
        <w:rPr>
          <w:rFonts w:asciiTheme="majorBidi" w:hAnsiTheme="majorBidi" w:cstheme="majorBidi"/>
        </w:rPr>
        <w:t>Conclusion</w:t>
      </w:r>
    </w:p>
    <w:p w14:paraId="55D56508" w14:textId="3D3A0D69" w:rsidR="00D87E2A" w:rsidRPr="0053474B" w:rsidRDefault="00E815B9" w:rsidP="00E815B9">
      <w:pPr>
        <w:pStyle w:val="Paragraph"/>
      </w:pPr>
      <w:r w:rsidRPr="0053474B">
        <w:rPr>
          <w:rFonts w:asciiTheme="majorBidi" w:hAnsiTheme="majorBidi" w:cstheme="majorBidi"/>
          <w:lang w:val="en-GB"/>
        </w:rPr>
        <w:t xml:space="preserve">The study confirmed that </w:t>
      </w:r>
      <w:r w:rsidRPr="0053474B">
        <w:rPr>
          <w:rFonts w:asciiTheme="majorBidi" w:hAnsiTheme="majorBidi" w:cstheme="majorBidi"/>
          <w:i/>
          <w:iCs/>
          <w:lang w:val="en-GB"/>
        </w:rPr>
        <w:t>Acinetobacter baumannii</w:t>
      </w:r>
      <w:r w:rsidRPr="0053474B">
        <w:rPr>
          <w:rFonts w:asciiTheme="majorBidi" w:hAnsiTheme="majorBidi" w:cstheme="majorBidi"/>
          <w:lang w:val="en-GB"/>
        </w:rPr>
        <w:t xml:space="preserve"> carries key adhesion genes (</w:t>
      </w:r>
      <w:proofErr w:type="spellStart"/>
      <w:r w:rsidRPr="0053474B">
        <w:rPr>
          <w:rFonts w:asciiTheme="majorBidi" w:hAnsiTheme="majorBidi" w:cstheme="majorBidi"/>
          <w:i/>
          <w:iCs/>
          <w:lang w:val="en-GB"/>
        </w:rPr>
        <w:t>OmpA</w:t>
      </w:r>
      <w:proofErr w:type="spellEnd"/>
      <w:r w:rsidRPr="0053474B">
        <w:rPr>
          <w:rFonts w:asciiTheme="majorBidi" w:hAnsiTheme="majorBidi" w:cstheme="majorBidi"/>
          <w:i/>
          <w:iCs/>
          <w:lang w:val="en-GB"/>
        </w:rPr>
        <w:t xml:space="preserve">, </w:t>
      </w:r>
      <w:proofErr w:type="spellStart"/>
      <w:r w:rsidRPr="0053474B">
        <w:rPr>
          <w:rFonts w:asciiTheme="majorBidi" w:hAnsiTheme="majorBidi" w:cstheme="majorBidi"/>
          <w:i/>
          <w:iCs/>
          <w:lang w:val="en-GB"/>
        </w:rPr>
        <w:t>CsuC</w:t>
      </w:r>
      <w:proofErr w:type="spellEnd"/>
      <w:r w:rsidRPr="0053474B">
        <w:rPr>
          <w:rFonts w:asciiTheme="majorBidi" w:hAnsiTheme="majorBidi" w:cstheme="majorBidi"/>
          <w:i/>
          <w:iCs/>
          <w:lang w:val="en-GB"/>
        </w:rPr>
        <w:t xml:space="preserve">, </w:t>
      </w:r>
      <w:proofErr w:type="spellStart"/>
      <w:r w:rsidRPr="0053474B">
        <w:rPr>
          <w:rFonts w:asciiTheme="majorBidi" w:hAnsiTheme="majorBidi" w:cstheme="majorBidi"/>
          <w:i/>
          <w:iCs/>
          <w:lang w:val="en-GB"/>
        </w:rPr>
        <w:t>CsuE</w:t>
      </w:r>
      <w:proofErr w:type="spellEnd"/>
      <w:r w:rsidRPr="0053474B">
        <w:rPr>
          <w:rFonts w:asciiTheme="majorBidi" w:hAnsiTheme="majorBidi" w:cstheme="majorBidi"/>
          <w:lang w:val="en-GB"/>
        </w:rPr>
        <w:t xml:space="preserve">) essential for attachment and persistence. </w:t>
      </w:r>
      <w:proofErr w:type="spellStart"/>
      <w:r w:rsidRPr="0053474B">
        <w:rPr>
          <w:rFonts w:asciiTheme="majorBidi" w:hAnsiTheme="majorBidi" w:cstheme="majorBidi"/>
          <w:lang w:val="en-GB"/>
        </w:rPr>
        <w:t>qRT</w:t>
      </w:r>
      <w:proofErr w:type="spellEnd"/>
      <w:r w:rsidRPr="0053474B">
        <w:rPr>
          <w:rFonts w:asciiTheme="majorBidi" w:hAnsiTheme="majorBidi" w:cstheme="majorBidi"/>
          <w:lang w:val="en-GB"/>
        </w:rPr>
        <w:t xml:space="preserve">-PCR analysis showed stable expression of </w:t>
      </w:r>
      <w:proofErr w:type="spellStart"/>
      <w:r w:rsidRPr="0053474B">
        <w:rPr>
          <w:rFonts w:asciiTheme="majorBidi" w:hAnsiTheme="majorBidi" w:cstheme="majorBidi"/>
          <w:i/>
          <w:iCs/>
          <w:lang w:val="en-GB"/>
        </w:rPr>
        <w:t>OmpA</w:t>
      </w:r>
      <w:proofErr w:type="spellEnd"/>
      <w:r w:rsidRPr="0053474B">
        <w:rPr>
          <w:rFonts w:asciiTheme="majorBidi" w:hAnsiTheme="majorBidi" w:cstheme="majorBidi"/>
          <w:lang w:val="en-GB"/>
        </w:rPr>
        <w:t xml:space="preserve"> and variable levels of </w:t>
      </w:r>
      <w:proofErr w:type="spellStart"/>
      <w:r w:rsidRPr="0053474B">
        <w:rPr>
          <w:rFonts w:asciiTheme="majorBidi" w:hAnsiTheme="majorBidi" w:cstheme="majorBidi"/>
          <w:i/>
          <w:iCs/>
          <w:lang w:val="en-GB"/>
        </w:rPr>
        <w:t>CsuC</w:t>
      </w:r>
      <w:proofErr w:type="spellEnd"/>
      <w:r w:rsidRPr="0053474B">
        <w:rPr>
          <w:rFonts w:asciiTheme="majorBidi" w:hAnsiTheme="majorBidi" w:cstheme="majorBidi"/>
          <w:lang w:val="en-GB"/>
        </w:rPr>
        <w:t xml:space="preserve"> and </w:t>
      </w:r>
      <w:proofErr w:type="spellStart"/>
      <w:r w:rsidRPr="0053474B">
        <w:rPr>
          <w:rFonts w:asciiTheme="majorBidi" w:hAnsiTheme="majorBidi" w:cstheme="majorBidi"/>
          <w:i/>
          <w:iCs/>
          <w:lang w:val="en-GB"/>
        </w:rPr>
        <w:t>CsuE</w:t>
      </w:r>
      <w:proofErr w:type="spellEnd"/>
      <w:r w:rsidRPr="0053474B">
        <w:rPr>
          <w:rFonts w:asciiTheme="majorBidi" w:hAnsiTheme="majorBidi" w:cstheme="majorBidi"/>
          <w:lang w:val="en-GB"/>
        </w:rPr>
        <w:t xml:space="preserve">, indicating differential gene regulation. These results suggest that </w:t>
      </w:r>
      <w:r w:rsidRPr="0053474B">
        <w:rPr>
          <w:rFonts w:asciiTheme="majorBidi" w:hAnsiTheme="majorBidi" w:cstheme="majorBidi"/>
          <w:i/>
          <w:iCs/>
          <w:lang w:val="en-GB"/>
        </w:rPr>
        <w:t>A. baumannii</w:t>
      </w:r>
      <w:r w:rsidRPr="0053474B">
        <w:rPr>
          <w:rFonts w:asciiTheme="majorBidi" w:hAnsiTheme="majorBidi" w:cstheme="majorBidi"/>
          <w:lang w:val="en-GB"/>
        </w:rPr>
        <w:t xml:space="preserve"> adapts its adhesion mechanisms to environmental conditions, supporting its survival and virulence in clinical settings</w:t>
      </w:r>
      <w:r w:rsidR="00D87E2A" w:rsidRPr="0053474B">
        <w:rPr>
          <w:rFonts w:asciiTheme="majorBidi" w:hAnsiTheme="majorBidi" w:cstheme="majorBidi"/>
        </w:rPr>
        <w:t>.</w:t>
      </w:r>
    </w:p>
    <w:p w14:paraId="7691B80C" w14:textId="72B9686E" w:rsidR="00613B4D" w:rsidRPr="0053474B" w:rsidRDefault="0016385D" w:rsidP="002A19C8">
      <w:pPr>
        <w:pStyle w:val="Heading1"/>
      </w:pPr>
      <w:r w:rsidRPr="0053474B">
        <w:rPr>
          <w:rFonts w:asciiTheme="majorBidi" w:hAnsiTheme="majorBidi" w:cstheme="majorBidi"/>
        </w:rPr>
        <w:t>Acknowledgments</w:t>
      </w:r>
    </w:p>
    <w:p w14:paraId="4F4EA3E3" w14:textId="5DC12BF4" w:rsidR="000B3A2D" w:rsidRPr="0053474B" w:rsidRDefault="002A19C8" w:rsidP="008F6BB7">
      <w:pPr>
        <w:pStyle w:val="Paragraph"/>
        <w:rPr>
          <w:rFonts w:asciiTheme="majorBidi" w:hAnsiTheme="majorBidi" w:cstheme="majorBidi"/>
        </w:rPr>
      </w:pPr>
      <w:r w:rsidRPr="0053474B">
        <w:rPr>
          <w:rFonts w:asciiTheme="majorBidi" w:hAnsiTheme="majorBidi" w:cstheme="majorBidi"/>
          <w:rtl/>
        </w:rPr>
        <w:t xml:space="preserve">   </w:t>
      </w:r>
      <w:r w:rsidR="005A7E7B" w:rsidRPr="0053474B">
        <w:rPr>
          <w:rFonts w:asciiTheme="majorBidi" w:hAnsiTheme="majorBidi" w:cstheme="majorBidi"/>
        </w:rPr>
        <w:t xml:space="preserve">We would like to express </w:t>
      </w:r>
      <w:r w:rsidR="0054048B" w:rsidRPr="0053474B">
        <w:rPr>
          <w:rFonts w:asciiTheme="majorBidi" w:hAnsiTheme="majorBidi" w:cstheme="majorBidi"/>
        </w:rPr>
        <w:t>our</w:t>
      </w:r>
      <w:r w:rsidR="005A7E7B" w:rsidRPr="0053474B">
        <w:rPr>
          <w:rFonts w:asciiTheme="majorBidi" w:hAnsiTheme="majorBidi" w:cstheme="majorBidi"/>
        </w:rPr>
        <w:t xml:space="preserve"> sincere gratitude to the College of Education for Pure Science – Ibn Al-Haitham, University of Baghdad, for their valuable support and for providing the opportunity to accomplish this </w:t>
      </w:r>
      <w:r w:rsidR="008F6BB7" w:rsidRPr="0053474B">
        <w:rPr>
          <w:rFonts w:asciiTheme="majorBidi" w:hAnsiTheme="majorBidi" w:cstheme="majorBidi"/>
        </w:rPr>
        <w:t>article</w:t>
      </w:r>
      <w:r w:rsidR="005E71ED" w:rsidRPr="0053474B">
        <w:rPr>
          <w:rFonts w:asciiTheme="majorBidi" w:hAnsiTheme="majorBidi" w:cstheme="majorBidi"/>
        </w:rPr>
        <w:t>.</w:t>
      </w:r>
    </w:p>
    <w:p w14:paraId="7D026FC8" w14:textId="53063ADF" w:rsidR="006E44DE" w:rsidRPr="0053474B" w:rsidRDefault="0016385D" w:rsidP="006A4577">
      <w:pPr>
        <w:pStyle w:val="Heading1"/>
      </w:pPr>
      <w:r w:rsidRPr="0053474B">
        <w:rPr>
          <w:rFonts w:asciiTheme="majorBidi" w:hAnsiTheme="majorBidi" w:cstheme="majorBidi"/>
        </w:rPr>
        <w:t>References</w:t>
      </w:r>
    </w:p>
    <w:p w14:paraId="2DCED27B" w14:textId="3F88606F" w:rsidR="005B7308" w:rsidRPr="00D05E2D" w:rsidRDefault="008E4070" w:rsidP="001746C5">
      <w:pPr>
        <w:pStyle w:val="Reference"/>
        <w:numPr>
          <w:ilvl w:val="0"/>
          <w:numId w:val="4"/>
        </w:numPr>
        <w:tabs>
          <w:tab w:val="clear" w:pos="720"/>
        </w:tabs>
        <w:ind w:left="426" w:hanging="426"/>
        <w:jc w:val="left"/>
      </w:pPr>
      <w:r w:rsidRPr="00D05E2D">
        <w:t xml:space="preserve">R. M. Abdullah and R. T. A. Ahmed and S. N. A. Al-Azzawi, Indian J. Forensic Med. </w:t>
      </w:r>
      <w:proofErr w:type="spellStart"/>
      <w:r w:rsidRPr="00D05E2D">
        <w:t>Toxicol</w:t>
      </w:r>
      <w:proofErr w:type="spellEnd"/>
      <w:r w:rsidRPr="00D05E2D">
        <w:t xml:space="preserve">. </w:t>
      </w:r>
      <w:r w:rsidRPr="004F660C">
        <w:rPr>
          <w:b/>
          <w:bCs/>
        </w:rPr>
        <w:t>13</w:t>
      </w:r>
      <w:r w:rsidRPr="00D05E2D">
        <w:t xml:space="preserve">, 934–938 (2019). </w:t>
      </w:r>
      <w:r w:rsidRPr="00F15391">
        <w:t>https://doi.org/10.5958/0973-9130.2019.00418.3</w:t>
      </w:r>
      <w:r w:rsidR="005B7308" w:rsidRPr="00D05E2D">
        <w:t>.</w:t>
      </w:r>
    </w:p>
    <w:p w14:paraId="7C85CCB8" w14:textId="0677E52F" w:rsidR="008E4070" w:rsidRPr="00D05E2D" w:rsidRDefault="008E4070" w:rsidP="001746C5">
      <w:pPr>
        <w:pStyle w:val="Reference"/>
        <w:numPr>
          <w:ilvl w:val="0"/>
          <w:numId w:val="4"/>
        </w:numPr>
        <w:tabs>
          <w:tab w:val="clear" w:pos="720"/>
        </w:tabs>
        <w:ind w:left="426" w:hanging="426"/>
        <w:jc w:val="left"/>
      </w:pPr>
      <w:r w:rsidRPr="00D05E2D">
        <w:t>W. A. Obaid, Iraqi J. Sci. 2756–2775</w:t>
      </w:r>
      <w:r w:rsidR="00D05E2D" w:rsidRPr="00D05E2D">
        <w:t xml:space="preserve"> (2025)</w:t>
      </w:r>
      <w:r w:rsidRPr="00D05E2D">
        <w:t>.</w:t>
      </w:r>
      <w:r w:rsidR="005B7308" w:rsidRPr="00D05E2D">
        <w:t xml:space="preserve"> </w:t>
      </w:r>
      <w:r w:rsidR="00D05E2D" w:rsidRPr="00F15391">
        <w:t>https://doi.org/10.24996/ijs.2025.66.7.9</w:t>
      </w:r>
      <w:r w:rsidR="005B7308" w:rsidRPr="00D05E2D">
        <w:t>.</w:t>
      </w:r>
      <w:r w:rsidR="00D05E2D" w:rsidRPr="00D05E2D">
        <w:t xml:space="preserve"> </w:t>
      </w:r>
    </w:p>
    <w:p w14:paraId="3AB22141" w14:textId="51FDCE2C" w:rsidR="008E4070" w:rsidRPr="00D05E2D" w:rsidRDefault="008E4070" w:rsidP="001746C5">
      <w:pPr>
        <w:pStyle w:val="Reference"/>
        <w:numPr>
          <w:ilvl w:val="0"/>
          <w:numId w:val="4"/>
        </w:numPr>
        <w:tabs>
          <w:tab w:val="clear" w:pos="720"/>
        </w:tabs>
        <w:ind w:left="426" w:hanging="426"/>
        <w:jc w:val="left"/>
      </w:pPr>
      <w:r w:rsidRPr="00D05E2D">
        <w:t>I. H. Al-</w:t>
      </w:r>
      <w:proofErr w:type="spellStart"/>
      <w:r w:rsidRPr="00D05E2D">
        <w:t>Abdeli</w:t>
      </w:r>
      <w:proofErr w:type="spellEnd"/>
      <w:r w:rsidRPr="00D05E2D">
        <w:t xml:space="preserve"> and E. I. </w:t>
      </w:r>
      <w:proofErr w:type="spellStart"/>
      <w:r w:rsidRPr="00D05E2D">
        <w:t>Alkhalifawi</w:t>
      </w:r>
      <w:proofErr w:type="spellEnd"/>
      <w:r w:rsidRPr="00D05E2D">
        <w:t xml:space="preserve">, Egypt. J. Hosp. Med. </w:t>
      </w:r>
      <w:r w:rsidRPr="004F660C">
        <w:rPr>
          <w:b/>
          <w:bCs/>
        </w:rPr>
        <w:t>90</w:t>
      </w:r>
      <w:r w:rsidRPr="00D05E2D">
        <w:t xml:space="preserve">, 1274–1283 (2023). </w:t>
      </w:r>
      <w:r w:rsidRPr="00F15391">
        <w:t>https://doi.org/10.21608/ejhm.2023.282021</w:t>
      </w:r>
    </w:p>
    <w:p w14:paraId="12ABDC4C" w14:textId="2596CE8C" w:rsidR="008E4070" w:rsidRPr="00D05E2D" w:rsidRDefault="008E4070" w:rsidP="001746C5">
      <w:pPr>
        <w:pStyle w:val="Reference"/>
        <w:numPr>
          <w:ilvl w:val="0"/>
          <w:numId w:val="4"/>
        </w:numPr>
        <w:tabs>
          <w:tab w:val="clear" w:pos="720"/>
        </w:tabs>
        <w:ind w:left="426" w:hanging="426"/>
        <w:jc w:val="left"/>
      </w:pPr>
      <w:r w:rsidRPr="00D05E2D">
        <w:t xml:space="preserve">M. H. Al-Azzawi and E. J. A. </w:t>
      </w:r>
      <w:proofErr w:type="spellStart"/>
      <w:r w:rsidRPr="00D05E2D">
        <w:t>Alkalifawi</w:t>
      </w:r>
      <w:proofErr w:type="spellEnd"/>
      <w:r w:rsidRPr="00D05E2D">
        <w:t xml:space="preserve">, Ibn Al-Haitham J. Pure Appl. Sci. </w:t>
      </w:r>
      <w:r w:rsidRPr="004F660C">
        <w:rPr>
          <w:b/>
          <w:bCs/>
        </w:rPr>
        <w:t>36</w:t>
      </w:r>
      <w:r w:rsidRPr="00D05E2D">
        <w:t>(3), 1–8 (2023).</w:t>
      </w:r>
      <w:r w:rsidR="005B7308" w:rsidRPr="00D05E2D">
        <w:t xml:space="preserve"> </w:t>
      </w:r>
      <w:r w:rsidR="005B7308" w:rsidRPr="00F15391">
        <w:t>https://doi.org/10.30526/36.3.3090</w:t>
      </w:r>
      <w:r w:rsidR="005B7308" w:rsidRPr="00D05E2D">
        <w:t xml:space="preserve">. </w:t>
      </w:r>
    </w:p>
    <w:p w14:paraId="4E8DC973" w14:textId="24FEF49C" w:rsidR="008E4070" w:rsidRPr="00D05E2D" w:rsidRDefault="008E4070" w:rsidP="001746C5">
      <w:pPr>
        <w:pStyle w:val="Reference"/>
        <w:numPr>
          <w:ilvl w:val="0"/>
          <w:numId w:val="4"/>
        </w:numPr>
        <w:tabs>
          <w:tab w:val="clear" w:pos="720"/>
        </w:tabs>
        <w:ind w:left="426" w:hanging="426"/>
        <w:jc w:val="left"/>
      </w:pPr>
      <w:r w:rsidRPr="00D05E2D">
        <w:t xml:space="preserve">A. A. Mahdi and R. M. Abdullah, </w:t>
      </w:r>
      <w:proofErr w:type="spellStart"/>
      <w:r w:rsidRPr="00D05E2D">
        <w:t>Biochem</w:t>
      </w:r>
      <w:proofErr w:type="spellEnd"/>
      <w:r w:rsidRPr="00D05E2D">
        <w:t xml:space="preserve">. Cell Arch. </w:t>
      </w:r>
      <w:r w:rsidRPr="004F660C">
        <w:rPr>
          <w:b/>
          <w:bCs/>
        </w:rPr>
        <w:t>20</w:t>
      </w:r>
      <w:r w:rsidRPr="00D05E2D">
        <w:t>(1), 1605–1610 (2020).</w:t>
      </w:r>
      <w:r w:rsidR="005B7308" w:rsidRPr="00D05E2D">
        <w:t xml:space="preserve"> </w:t>
      </w:r>
      <w:r w:rsidR="005B7308" w:rsidRPr="00F15391">
        <w:t>https://doi.org/10.35124/bca.2020.20.1.1605</w:t>
      </w:r>
      <w:r w:rsidR="005B7308" w:rsidRPr="00D05E2D">
        <w:t xml:space="preserve">. </w:t>
      </w:r>
    </w:p>
    <w:p w14:paraId="3076179F" w14:textId="33D35429" w:rsidR="008E4070" w:rsidRPr="00D05E2D" w:rsidRDefault="008E4070" w:rsidP="001746C5">
      <w:pPr>
        <w:pStyle w:val="Reference"/>
        <w:numPr>
          <w:ilvl w:val="0"/>
          <w:numId w:val="4"/>
        </w:numPr>
        <w:tabs>
          <w:tab w:val="clear" w:pos="720"/>
        </w:tabs>
        <w:ind w:left="426" w:hanging="426"/>
        <w:jc w:val="left"/>
      </w:pPr>
      <w:r w:rsidRPr="00D05E2D">
        <w:t xml:space="preserve">H. D. Salem and W. A. Al-Draghi, Egypt. J. Med. </w:t>
      </w:r>
      <w:proofErr w:type="spellStart"/>
      <w:r w:rsidRPr="00D05E2D">
        <w:t>Microbiol</w:t>
      </w:r>
      <w:proofErr w:type="spellEnd"/>
      <w:r w:rsidRPr="00D05E2D">
        <w:t xml:space="preserve">. </w:t>
      </w:r>
      <w:r w:rsidRPr="004F660C">
        <w:rPr>
          <w:b/>
          <w:bCs/>
        </w:rPr>
        <w:t>34</w:t>
      </w:r>
      <w:r w:rsidRPr="00D05E2D">
        <w:t xml:space="preserve">(4), 379–387 (2025). </w:t>
      </w:r>
      <w:r w:rsidRPr="00F15391">
        <w:t>https://doi.org/10.21608/ejmm.2025.379342.1594</w:t>
      </w:r>
    </w:p>
    <w:p w14:paraId="3D74F63E" w14:textId="07F0821B" w:rsidR="008E4070" w:rsidRPr="00D05E2D" w:rsidRDefault="008E4070" w:rsidP="001746C5">
      <w:pPr>
        <w:pStyle w:val="Reference"/>
        <w:numPr>
          <w:ilvl w:val="0"/>
          <w:numId w:val="4"/>
        </w:numPr>
        <w:tabs>
          <w:tab w:val="clear" w:pos="720"/>
        </w:tabs>
        <w:ind w:left="426" w:hanging="426"/>
        <w:jc w:val="left"/>
      </w:pPr>
      <w:r w:rsidRPr="00D05E2D">
        <w:t xml:space="preserve">A. A. Al-Jumaili and K. K. Ahmed, East. </w:t>
      </w:r>
      <w:proofErr w:type="spellStart"/>
      <w:r w:rsidRPr="00D05E2D">
        <w:t>Mediterr</w:t>
      </w:r>
      <w:proofErr w:type="spellEnd"/>
      <w:r w:rsidRPr="00D05E2D">
        <w:t xml:space="preserve">. Health J. </w:t>
      </w:r>
      <w:r w:rsidRPr="004F660C">
        <w:rPr>
          <w:b/>
          <w:bCs/>
        </w:rPr>
        <w:t>30</w:t>
      </w:r>
      <w:r w:rsidRPr="00D05E2D">
        <w:t xml:space="preserve">(10), 663–670 (2024). </w:t>
      </w:r>
      <w:r w:rsidRPr="00F15391">
        <w:t>https://doi.org/10.26719/2024.30.10.663</w:t>
      </w:r>
    </w:p>
    <w:p w14:paraId="4B178D4D" w14:textId="60573F8B" w:rsidR="008E4070" w:rsidRPr="00D05E2D" w:rsidRDefault="008E4070" w:rsidP="001746C5">
      <w:pPr>
        <w:pStyle w:val="Reference"/>
        <w:numPr>
          <w:ilvl w:val="0"/>
          <w:numId w:val="4"/>
        </w:numPr>
        <w:tabs>
          <w:tab w:val="clear" w:pos="720"/>
        </w:tabs>
        <w:ind w:left="426" w:hanging="426"/>
        <w:jc w:val="left"/>
      </w:pPr>
      <w:r w:rsidRPr="00D05E2D">
        <w:t>I. H. Al-</w:t>
      </w:r>
      <w:proofErr w:type="spellStart"/>
      <w:r w:rsidRPr="00D05E2D">
        <w:t>Abdeli</w:t>
      </w:r>
      <w:proofErr w:type="spellEnd"/>
      <w:r w:rsidRPr="00D05E2D">
        <w:t xml:space="preserve"> and E. J. Al-</w:t>
      </w:r>
      <w:proofErr w:type="spellStart"/>
      <w:r w:rsidRPr="00D05E2D">
        <w:t>kalifawi</w:t>
      </w:r>
      <w:proofErr w:type="spellEnd"/>
      <w:r w:rsidRPr="00D05E2D">
        <w:t xml:space="preserve">, Ibn Al-Haitham J. Pure Appl. Sci. </w:t>
      </w:r>
      <w:r w:rsidRPr="004F660C">
        <w:rPr>
          <w:b/>
          <w:bCs/>
        </w:rPr>
        <w:t>36</w:t>
      </w:r>
      <w:r w:rsidRPr="00D05E2D">
        <w:t>(4), 110–126 (2023).</w:t>
      </w:r>
      <w:r w:rsidR="00C43182" w:rsidRPr="00D05E2D">
        <w:t xml:space="preserve"> </w:t>
      </w:r>
      <w:r w:rsidR="00C43182" w:rsidRPr="00F15391">
        <w:t>https://doi.org/10.30526/36.4.3141</w:t>
      </w:r>
      <w:r w:rsidR="00C43182" w:rsidRPr="00D05E2D">
        <w:t xml:space="preserve">. </w:t>
      </w:r>
    </w:p>
    <w:p w14:paraId="6194A893" w14:textId="3ACAAD08" w:rsidR="008E4070" w:rsidRPr="001746C5" w:rsidRDefault="008E4070" w:rsidP="001746C5">
      <w:pPr>
        <w:pStyle w:val="Reference"/>
        <w:numPr>
          <w:ilvl w:val="0"/>
          <w:numId w:val="4"/>
        </w:numPr>
        <w:tabs>
          <w:tab w:val="clear" w:pos="720"/>
        </w:tabs>
        <w:ind w:left="426" w:hanging="426"/>
        <w:jc w:val="left"/>
        <w:rPr>
          <w:lang w:val="fr-FR"/>
        </w:rPr>
      </w:pPr>
      <w:r w:rsidRPr="00D05E2D">
        <w:lastRenderedPageBreak/>
        <w:t>O. K. Al-</w:t>
      </w:r>
      <w:proofErr w:type="spellStart"/>
      <w:r w:rsidRPr="00D05E2D">
        <w:t>Juboori</w:t>
      </w:r>
      <w:proofErr w:type="spellEnd"/>
      <w:r w:rsidRPr="00D05E2D">
        <w:t xml:space="preserve"> and S. J. Muhammad, Iraqi J. </w:t>
      </w:r>
      <w:proofErr w:type="spellStart"/>
      <w:r w:rsidRPr="00D05E2D">
        <w:t>Biotechnol</w:t>
      </w:r>
      <w:proofErr w:type="spellEnd"/>
      <w:r w:rsidRPr="00D05E2D">
        <w:t xml:space="preserve">. </w:t>
      </w:r>
      <w:r w:rsidRPr="001746C5">
        <w:rPr>
          <w:b/>
          <w:bCs/>
          <w:lang w:val="fr-FR"/>
        </w:rPr>
        <w:t>24</w:t>
      </w:r>
      <w:r w:rsidRPr="001746C5">
        <w:rPr>
          <w:lang w:val="fr-FR"/>
        </w:rPr>
        <w:t>(SI) (2025).</w:t>
      </w:r>
      <w:r w:rsidR="00C43182" w:rsidRPr="001746C5">
        <w:rPr>
          <w:lang w:val="fr-FR"/>
        </w:rPr>
        <w:t xml:space="preserve"> https://jige.uobaghdad.edu.iq/index.php/IJB/article/view/786. </w:t>
      </w:r>
    </w:p>
    <w:p w14:paraId="092014B0" w14:textId="05A6BC32" w:rsidR="00A72F4F" w:rsidRPr="00D05E2D" w:rsidRDefault="00A72F4F" w:rsidP="001746C5">
      <w:pPr>
        <w:pStyle w:val="Reference"/>
        <w:numPr>
          <w:ilvl w:val="0"/>
          <w:numId w:val="4"/>
        </w:numPr>
        <w:tabs>
          <w:tab w:val="clear" w:pos="720"/>
        </w:tabs>
        <w:ind w:left="426" w:hanging="426"/>
        <w:jc w:val="left"/>
      </w:pPr>
      <w:r w:rsidRPr="00D05E2D">
        <w:t xml:space="preserve">Ali, Z. K., &amp; </w:t>
      </w:r>
      <w:proofErr w:type="spellStart"/>
      <w:r w:rsidRPr="00D05E2D">
        <w:t>Kathier</w:t>
      </w:r>
      <w:proofErr w:type="spellEnd"/>
      <w:r w:rsidRPr="00D05E2D">
        <w:t xml:space="preserve">, S. A. (2025), Journal of Physics: Conference Series, </w:t>
      </w:r>
      <w:r w:rsidRPr="004F660C">
        <w:rPr>
          <w:b/>
          <w:bCs/>
        </w:rPr>
        <w:t>3028</w:t>
      </w:r>
      <w:r w:rsidRPr="00D05E2D">
        <w:t xml:space="preserve">(1), 012061. </w:t>
      </w:r>
      <w:r w:rsidRPr="00F15391">
        <w:t>https://doi.org/10.1088/1742-6596/3028/1/012061</w:t>
      </w:r>
      <w:r w:rsidR="00C43182" w:rsidRPr="00D05E2D">
        <w:t>.</w:t>
      </w:r>
    </w:p>
    <w:p w14:paraId="6B5DE193" w14:textId="3AEA2BF3" w:rsidR="00A72F4F" w:rsidRPr="00D05E2D" w:rsidRDefault="00A72F4F" w:rsidP="001746C5">
      <w:pPr>
        <w:pStyle w:val="Reference"/>
        <w:numPr>
          <w:ilvl w:val="0"/>
          <w:numId w:val="4"/>
        </w:numPr>
        <w:tabs>
          <w:tab w:val="clear" w:pos="720"/>
        </w:tabs>
        <w:ind w:left="426" w:hanging="426"/>
        <w:jc w:val="left"/>
      </w:pPr>
      <w:r w:rsidRPr="00D05E2D">
        <w:t xml:space="preserve">I. Ahmad, A. Nadeem, F. Mushtaq, N. Zlatkov, M. Shahzad, A. V. </w:t>
      </w:r>
      <w:proofErr w:type="spellStart"/>
      <w:r w:rsidRPr="00D05E2D">
        <w:t>Zavialov</w:t>
      </w:r>
      <w:proofErr w:type="spellEnd"/>
      <w:r w:rsidRPr="00D05E2D">
        <w:t xml:space="preserve"> and B. E. </w:t>
      </w:r>
      <w:proofErr w:type="spellStart"/>
      <w:r w:rsidRPr="00D05E2D">
        <w:t>Uhlin</w:t>
      </w:r>
      <w:proofErr w:type="spellEnd"/>
      <w:r w:rsidRPr="00D05E2D">
        <w:t xml:space="preserve">, NPJ Biofilms Microbiomes </w:t>
      </w:r>
      <w:r w:rsidRPr="004F660C">
        <w:rPr>
          <w:b/>
          <w:bCs/>
        </w:rPr>
        <w:t>9</w:t>
      </w:r>
      <w:r w:rsidRPr="00D05E2D">
        <w:t xml:space="preserve">(1), 101 (2023). </w:t>
      </w:r>
      <w:r w:rsidRPr="00F15391">
        <w:t>https://doi.org/10.1038/s41522-023-00465-6</w:t>
      </w:r>
      <w:r w:rsidRPr="00D05E2D">
        <w:t>.</w:t>
      </w:r>
    </w:p>
    <w:p w14:paraId="192D0D07" w14:textId="494AFB36" w:rsidR="002F1FFB" w:rsidRPr="00D05E2D" w:rsidRDefault="008E4070" w:rsidP="001746C5">
      <w:pPr>
        <w:pStyle w:val="Reference"/>
        <w:numPr>
          <w:ilvl w:val="0"/>
          <w:numId w:val="4"/>
        </w:numPr>
        <w:tabs>
          <w:tab w:val="clear" w:pos="720"/>
        </w:tabs>
        <w:ind w:left="426" w:hanging="426"/>
        <w:jc w:val="left"/>
      </w:pPr>
      <w:r w:rsidRPr="00D05E2D">
        <w:t xml:space="preserve">V. Bhandari, U. Brahma, A. Suresh, A. Kamila, U. S., A. K. S. V. and P. Sharma, </w:t>
      </w:r>
      <w:proofErr w:type="spellStart"/>
      <w:r w:rsidRPr="00D05E2D">
        <w:t>bioRxiv</w:t>
      </w:r>
      <w:proofErr w:type="spellEnd"/>
      <w:r w:rsidRPr="00D05E2D">
        <w:t xml:space="preserve"> (2025).</w:t>
      </w:r>
      <w:r w:rsidR="00C43182" w:rsidRPr="00D05E2D">
        <w:t xml:space="preserve"> </w:t>
      </w:r>
      <w:r w:rsidR="00C43182" w:rsidRPr="00F15391">
        <w:t>https://doi.org/10.1101/2025.10.02.680171</w:t>
      </w:r>
      <w:r w:rsidR="00C43182" w:rsidRPr="00D05E2D">
        <w:t xml:space="preserve">. </w:t>
      </w:r>
    </w:p>
    <w:p w14:paraId="199CDABD" w14:textId="0E7ADE0B" w:rsidR="002F1FFB" w:rsidRPr="00D05E2D" w:rsidRDefault="002F1FFB" w:rsidP="001746C5">
      <w:pPr>
        <w:pStyle w:val="Reference"/>
        <w:numPr>
          <w:ilvl w:val="0"/>
          <w:numId w:val="4"/>
        </w:numPr>
        <w:tabs>
          <w:tab w:val="clear" w:pos="720"/>
        </w:tabs>
        <w:ind w:left="426" w:hanging="426"/>
        <w:jc w:val="left"/>
      </w:pPr>
      <w:r w:rsidRPr="00D05E2D">
        <w:t xml:space="preserve">F. Zhao, N. A. Maren, P. Z. </w:t>
      </w:r>
      <w:proofErr w:type="spellStart"/>
      <w:r w:rsidRPr="00D05E2D">
        <w:t>Kosentka</w:t>
      </w:r>
      <w:proofErr w:type="spellEnd"/>
      <w:r w:rsidRPr="00D05E2D">
        <w:t xml:space="preserve">, Y. Y. Liao, H. Lu, J. R. </w:t>
      </w:r>
      <w:proofErr w:type="spellStart"/>
      <w:r w:rsidRPr="00D05E2D">
        <w:t>Duduit</w:t>
      </w:r>
      <w:proofErr w:type="spellEnd"/>
      <w:r w:rsidRPr="00D05E2D">
        <w:t xml:space="preserve"> and W. Liu, </w:t>
      </w:r>
      <w:proofErr w:type="spellStart"/>
      <w:r w:rsidRPr="00D05E2D">
        <w:t>Hortic</w:t>
      </w:r>
      <w:proofErr w:type="spellEnd"/>
      <w:r w:rsidRPr="00D05E2D">
        <w:t xml:space="preserve">. Res. </w:t>
      </w:r>
      <w:r w:rsidRPr="004F660C">
        <w:rPr>
          <w:b/>
          <w:bCs/>
        </w:rPr>
        <w:t>8</w:t>
      </w:r>
      <w:r w:rsidRPr="00D05E2D">
        <w:t>, 179 (2021).</w:t>
      </w:r>
      <w:r w:rsidR="007D4E5C" w:rsidRPr="00D05E2D">
        <w:t xml:space="preserve"> </w:t>
      </w:r>
      <w:r w:rsidR="007D4E5C" w:rsidRPr="00F15391">
        <w:t>https://doi.org/10.1038/s41438-021-00616-w</w:t>
      </w:r>
      <w:r w:rsidR="007D4E5C" w:rsidRPr="00D05E2D">
        <w:t xml:space="preserve">. </w:t>
      </w:r>
    </w:p>
    <w:p w14:paraId="33C5940E" w14:textId="43A3C66E" w:rsidR="002F1FFB" w:rsidRPr="00D05E2D" w:rsidRDefault="008E4070" w:rsidP="001746C5">
      <w:pPr>
        <w:pStyle w:val="Reference"/>
        <w:numPr>
          <w:ilvl w:val="0"/>
          <w:numId w:val="4"/>
        </w:numPr>
        <w:tabs>
          <w:tab w:val="clear" w:pos="720"/>
        </w:tabs>
        <w:ind w:left="426" w:hanging="426"/>
        <w:jc w:val="left"/>
      </w:pPr>
      <w:r w:rsidRPr="00D05E2D">
        <w:t xml:space="preserve">A. </w:t>
      </w:r>
      <w:proofErr w:type="spellStart"/>
      <w:r w:rsidRPr="00D05E2D">
        <w:t>Bogožalec</w:t>
      </w:r>
      <w:proofErr w:type="spellEnd"/>
      <w:r w:rsidRPr="00D05E2D">
        <w:t xml:space="preserve"> Košir, D. Lužnik, V. </w:t>
      </w:r>
      <w:proofErr w:type="spellStart"/>
      <w:r w:rsidRPr="00D05E2D">
        <w:t>Tomič</w:t>
      </w:r>
      <w:proofErr w:type="spellEnd"/>
      <w:r w:rsidRPr="00D05E2D">
        <w:t xml:space="preserve"> and M. Milavec, Biosensors </w:t>
      </w:r>
      <w:r w:rsidRPr="004F660C">
        <w:rPr>
          <w:b/>
          <w:bCs/>
        </w:rPr>
        <w:t>13</w:t>
      </w:r>
      <w:r w:rsidRPr="00D05E2D">
        <w:t>(4), 463 (2023).</w:t>
      </w:r>
      <w:r w:rsidR="007D4E5C" w:rsidRPr="00D05E2D">
        <w:t xml:space="preserve"> </w:t>
      </w:r>
      <w:r w:rsidR="007D4E5C" w:rsidRPr="00F15391">
        <w:t>https://doi.org/10.3390/bios13040463</w:t>
      </w:r>
      <w:r w:rsidR="007D4E5C" w:rsidRPr="00D05E2D">
        <w:t xml:space="preserve">. </w:t>
      </w:r>
    </w:p>
    <w:p w14:paraId="24C12023" w14:textId="380905CA" w:rsidR="008E4070" w:rsidRPr="00D05E2D" w:rsidRDefault="008E4070" w:rsidP="001746C5">
      <w:pPr>
        <w:pStyle w:val="Reference"/>
        <w:numPr>
          <w:ilvl w:val="0"/>
          <w:numId w:val="4"/>
        </w:numPr>
        <w:tabs>
          <w:tab w:val="clear" w:pos="720"/>
        </w:tabs>
        <w:ind w:left="426" w:hanging="426"/>
        <w:jc w:val="left"/>
      </w:pPr>
      <w:r w:rsidRPr="00D05E2D">
        <w:t xml:space="preserve">S. L. </w:t>
      </w:r>
      <w:proofErr w:type="spellStart"/>
      <w:r w:rsidRPr="00D05E2D">
        <w:t>Rajangam</w:t>
      </w:r>
      <w:proofErr w:type="spellEnd"/>
      <w:r w:rsidRPr="00D05E2D">
        <w:t xml:space="preserve"> and M. K. Narasimhan, Future </w:t>
      </w:r>
      <w:proofErr w:type="spellStart"/>
      <w:r w:rsidRPr="00D05E2D">
        <w:t>Microbiol</w:t>
      </w:r>
      <w:proofErr w:type="spellEnd"/>
      <w:r w:rsidRPr="00D05E2D">
        <w:t xml:space="preserve">. </w:t>
      </w:r>
      <w:r w:rsidRPr="009E5183">
        <w:rPr>
          <w:b/>
          <w:bCs/>
        </w:rPr>
        <w:t>19</w:t>
      </w:r>
      <w:r w:rsidRPr="00D05E2D">
        <w:t>(10), 941–961 (2024).</w:t>
      </w:r>
      <w:r w:rsidR="007D4E5C" w:rsidRPr="00D05E2D">
        <w:t xml:space="preserve"> </w:t>
      </w:r>
      <w:r w:rsidR="007D4E5C" w:rsidRPr="00F15391">
        <w:t>https://doi.org/10.2217/fmb-2023-0263</w:t>
      </w:r>
      <w:r w:rsidR="007D4E5C" w:rsidRPr="00D05E2D">
        <w:t xml:space="preserve">. </w:t>
      </w:r>
    </w:p>
    <w:p w14:paraId="1FFAAB98" w14:textId="1E32F070" w:rsidR="008E4070" w:rsidRPr="00D05E2D" w:rsidRDefault="008E4070" w:rsidP="001746C5">
      <w:pPr>
        <w:pStyle w:val="Reference"/>
        <w:numPr>
          <w:ilvl w:val="0"/>
          <w:numId w:val="4"/>
        </w:numPr>
        <w:tabs>
          <w:tab w:val="clear" w:pos="720"/>
        </w:tabs>
        <w:ind w:left="426" w:hanging="426"/>
        <w:jc w:val="left"/>
      </w:pPr>
      <w:r w:rsidRPr="00D05E2D">
        <w:t xml:space="preserve">P. A. A. de Oliveira, J. Baboghlian, C. O. A. Ramos, A. S. F. </w:t>
      </w:r>
      <w:proofErr w:type="spellStart"/>
      <w:r w:rsidRPr="00D05E2D">
        <w:t>Mançano</w:t>
      </w:r>
      <w:proofErr w:type="spellEnd"/>
      <w:r w:rsidRPr="00D05E2D">
        <w:t xml:space="preserve">, A. D. M. Porcari, R. </w:t>
      </w:r>
      <w:proofErr w:type="spellStart"/>
      <w:r w:rsidRPr="00D05E2D">
        <w:t>Girardello</w:t>
      </w:r>
      <w:proofErr w:type="spellEnd"/>
      <w:r w:rsidRPr="00D05E2D">
        <w:t xml:space="preserve"> and L. F. C. Ferraz, Sci. Rep. </w:t>
      </w:r>
      <w:r w:rsidRPr="004F660C">
        <w:rPr>
          <w:b/>
          <w:bCs/>
        </w:rPr>
        <w:t>14</w:t>
      </w:r>
      <w:r w:rsidRPr="00D05E2D">
        <w:t>(1), 3830 (2024).</w:t>
      </w:r>
      <w:r w:rsidR="00D01A7D" w:rsidRPr="00D05E2D">
        <w:t xml:space="preserve"> </w:t>
      </w:r>
      <w:r w:rsidR="00D01A7D" w:rsidRPr="00F15391">
        <w:t>https://doi.org/10.1038/s41598-024-51499-5</w:t>
      </w:r>
      <w:r w:rsidR="00D01A7D" w:rsidRPr="00D05E2D">
        <w:t xml:space="preserve">. </w:t>
      </w:r>
    </w:p>
    <w:p w14:paraId="6E95A7A1" w14:textId="5BBF5188" w:rsidR="008E4070" w:rsidRPr="00D05E2D" w:rsidRDefault="008E4070" w:rsidP="001746C5">
      <w:pPr>
        <w:pStyle w:val="Reference"/>
        <w:numPr>
          <w:ilvl w:val="0"/>
          <w:numId w:val="4"/>
        </w:numPr>
        <w:tabs>
          <w:tab w:val="clear" w:pos="720"/>
        </w:tabs>
        <w:ind w:left="426" w:hanging="426"/>
        <w:jc w:val="left"/>
      </w:pPr>
      <w:r w:rsidRPr="00D05E2D">
        <w:t xml:space="preserve">K. Kim, M. Islam, H. W. Jung, D. Lim, K. Kim, S. G. Lee and M. Shin, Virulence </w:t>
      </w:r>
      <w:r w:rsidRPr="004F660C">
        <w:rPr>
          <w:b/>
          <w:bCs/>
        </w:rPr>
        <w:t>12</w:t>
      </w:r>
      <w:r w:rsidRPr="00D05E2D">
        <w:t>(1), 2122–2132 (2021).</w:t>
      </w:r>
      <w:r w:rsidR="00D26631" w:rsidRPr="00D05E2D">
        <w:t xml:space="preserve"> </w:t>
      </w:r>
      <w:r w:rsidR="00D26631" w:rsidRPr="00F15391">
        <w:t>https://doi.org/10.1080/21505594.2021.1961660</w:t>
      </w:r>
      <w:r w:rsidR="00D26631" w:rsidRPr="00D05E2D">
        <w:t xml:space="preserve">. </w:t>
      </w:r>
    </w:p>
    <w:p w14:paraId="7E4CBB47" w14:textId="4D26194A" w:rsidR="008E4070" w:rsidRPr="00D05E2D" w:rsidRDefault="008E4070" w:rsidP="001746C5">
      <w:pPr>
        <w:pStyle w:val="Reference"/>
        <w:numPr>
          <w:ilvl w:val="0"/>
          <w:numId w:val="4"/>
        </w:numPr>
        <w:tabs>
          <w:tab w:val="clear" w:pos="720"/>
        </w:tabs>
        <w:ind w:left="426" w:hanging="426"/>
        <w:jc w:val="left"/>
      </w:pPr>
      <w:r w:rsidRPr="00D05E2D">
        <w:t xml:space="preserve">K. J. Livak and T. D. </w:t>
      </w:r>
      <w:proofErr w:type="spellStart"/>
      <w:r w:rsidRPr="00D05E2D">
        <w:t>Schmittgen</w:t>
      </w:r>
      <w:proofErr w:type="spellEnd"/>
      <w:r w:rsidRPr="00D05E2D">
        <w:t>, Methods</w:t>
      </w:r>
      <w:r w:rsidR="004F660C">
        <w:t>.</w:t>
      </w:r>
      <w:r w:rsidRPr="00D05E2D">
        <w:t xml:space="preserve"> </w:t>
      </w:r>
      <w:r w:rsidRPr="004F660C">
        <w:rPr>
          <w:b/>
          <w:bCs/>
        </w:rPr>
        <w:t>25</w:t>
      </w:r>
      <w:r w:rsidRPr="00D05E2D">
        <w:t>(4), 402–408 (2001).</w:t>
      </w:r>
      <w:r w:rsidR="00D26631" w:rsidRPr="00D05E2D">
        <w:t xml:space="preserve"> </w:t>
      </w:r>
      <w:r w:rsidR="00D26631" w:rsidRPr="00F15391">
        <w:t>https://doi.org/10.1006/meth.2001.1262</w:t>
      </w:r>
      <w:r w:rsidR="00D26631" w:rsidRPr="00D05E2D">
        <w:t xml:space="preserve">. </w:t>
      </w:r>
    </w:p>
    <w:p w14:paraId="60B9934B" w14:textId="77777777" w:rsidR="008E4070" w:rsidRPr="00D05E2D" w:rsidRDefault="008E4070" w:rsidP="001746C5">
      <w:pPr>
        <w:pStyle w:val="Reference"/>
        <w:numPr>
          <w:ilvl w:val="0"/>
          <w:numId w:val="4"/>
        </w:numPr>
        <w:tabs>
          <w:tab w:val="clear" w:pos="720"/>
        </w:tabs>
        <w:ind w:left="426" w:hanging="426"/>
        <w:jc w:val="left"/>
      </w:pPr>
      <w:r w:rsidRPr="00D05E2D">
        <w:t xml:space="preserve">A. Van Belkum, H. Sori and J. Hays, </w:t>
      </w:r>
      <w:proofErr w:type="spellStart"/>
      <w:r w:rsidRPr="00D05E2D">
        <w:t>Pathog</w:t>
      </w:r>
      <w:proofErr w:type="spellEnd"/>
      <w:r w:rsidRPr="00D05E2D">
        <w:t xml:space="preserve">. Dis. </w:t>
      </w:r>
      <w:r w:rsidRPr="004F660C">
        <w:rPr>
          <w:b/>
          <w:bCs/>
        </w:rPr>
        <w:t>79</w:t>
      </w:r>
      <w:r w:rsidRPr="00D05E2D">
        <w:t>(2), ftab008 (2021).</w:t>
      </w:r>
    </w:p>
    <w:p w14:paraId="4A5491DE" w14:textId="1F23F1A4" w:rsidR="008E4070" w:rsidRPr="00D05E2D" w:rsidRDefault="008E4070" w:rsidP="001746C5">
      <w:pPr>
        <w:pStyle w:val="Reference"/>
        <w:numPr>
          <w:ilvl w:val="0"/>
          <w:numId w:val="4"/>
        </w:numPr>
        <w:tabs>
          <w:tab w:val="clear" w:pos="720"/>
        </w:tabs>
        <w:ind w:left="426" w:hanging="426"/>
        <w:jc w:val="left"/>
      </w:pPr>
      <w:r w:rsidRPr="00D05E2D">
        <w:t xml:space="preserve">S. Ahmad, A. Alghamdi and M. Khan, </w:t>
      </w:r>
      <w:proofErr w:type="spellStart"/>
      <w:r w:rsidRPr="00D05E2D">
        <w:t>Microb</w:t>
      </w:r>
      <w:proofErr w:type="spellEnd"/>
      <w:r w:rsidRPr="00D05E2D">
        <w:t xml:space="preserve">. </w:t>
      </w:r>
      <w:proofErr w:type="spellStart"/>
      <w:r w:rsidRPr="00D05E2D">
        <w:t>Pathog</w:t>
      </w:r>
      <w:proofErr w:type="spellEnd"/>
      <w:r w:rsidRPr="00D05E2D">
        <w:t xml:space="preserve">. </w:t>
      </w:r>
      <w:r w:rsidRPr="004F660C">
        <w:rPr>
          <w:b/>
          <w:bCs/>
        </w:rPr>
        <w:t>174</w:t>
      </w:r>
      <w:r w:rsidRPr="00D05E2D">
        <w:t>, 106–146 (2023).</w:t>
      </w:r>
      <w:r w:rsidR="002F1FFB" w:rsidRPr="00D05E2D">
        <w:t xml:space="preserve"> </w:t>
      </w:r>
      <w:r w:rsidR="002F1FFB" w:rsidRPr="00F15391">
        <w:t>https://doi.org/10.1016/j.micpath.2023.106146</w:t>
      </w:r>
    </w:p>
    <w:p w14:paraId="296CC186" w14:textId="3D0CC56D" w:rsidR="008E4070" w:rsidRPr="00D05E2D" w:rsidRDefault="008E4070" w:rsidP="001746C5">
      <w:pPr>
        <w:pStyle w:val="Reference"/>
        <w:numPr>
          <w:ilvl w:val="0"/>
          <w:numId w:val="4"/>
        </w:numPr>
        <w:tabs>
          <w:tab w:val="clear" w:pos="720"/>
        </w:tabs>
        <w:ind w:left="426" w:hanging="426"/>
        <w:jc w:val="left"/>
      </w:pPr>
      <w:r w:rsidRPr="00D05E2D">
        <w:t xml:space="preserve">V. </w:t>
      </w:r>
      <w:proofErr w:type="spellStart"/>
      <w:r w:rsidRPr="00D05E2D">
        <w:t>Ageorges</w:t>
      </w:r>
      <w:proofErr w:type="spellEnd"/>
      <w:r w:rsidRPr="00D05E2D">
        <w:t xml:space="preserve">, R. Monteiro, S. Leroy, C. M. Burgess, M. Pizza, F. </w:t>
      </w:r>
      <w:proofErr w:type="spellStart"/>
      <w:r w:rsidRPr="00D05E2D">
        <w:t>Chaucheyras</w:t>
      </w:r>
      <w:proofErr w:type="spellEnd"/>
      <w:r w:rsidRPr="00D05E2D">
        <w:t xml:space="preserve">-Durand and M. Desvaux, FEMS </w:t>
      </w:r>
      <w:proofErr w:type="spellStart"/>
      <w:r w:rsidRPr="00D05E2D">
        <w:t>Microbiol</w:t>
      </w:r>
      <w:proofErr w:type="spellEnd"/>
      <w:r w:rsidRPr="00D05E2D">
        <w:t xml:space="preserve">. Rev. </w:t>
      </w:r>
      <w:r w:rsidRPr="004F660C">
        <w:rPr>
          <w:b/>
          <w:bCs/>
        </w:rPr>
        <w:t>44</w:t>
      </w:r>
      <w:r w:rsidRPr="00D05E2D">
        <w:t>(3), 314–350 (2020).</w:t>
      </w:r>
      <w:r w:rsidR="00B064F6" w:rsidRPr="00D05E2D">
        <w:t xml:space="preserve"> </w:t>
      </w:r>
      <w:r w:rsidR="00B064F6" w:rsidRPr="00F15391">
        <w:t>https://doi.org/10.1093/femsre/fuaa008</w:t>
      </w:r>
      <w:r w:rsidR="00B064F6" w:rsidRPr="00D05E2D">
        <w:t xml:space="preserve">. </w:t>
      </w:r>
    </w:p>
    <w:p w14:paraId="4C48FD48" w14:textId="154DE61A" w:rsidR="008E4070" w:rsidRPr="00D05E2D" w:rsidRDefault="008E4070" w:rsidP="001746C5">
      <w:pPr>
        <w:pStyle w:val="Reference"/>
        <w:numPr>
          <w:ilvl w:val="0"/>
          <w:numId w:val="4"/>
        </w:numPr>
        <w:tabs>
          <w:tab w:val="clear" w:pos="720"/>
        </w:tabs>
        <w:ind w:left="426" w:hanging="426"/>
        <w:jc w:val="left"/>
      </w:pPr>
      <w:r w:rsidRPr="00D05E2D">
        <w:t xml:space="preserve">Y. I. </w:t>
      </w:r>
      <w:proofErr w:type="spellStart"/>
      <w:r w:rsidRPr="00D05E2D">
        <w:t>Mamoori</w:t>
      </w:r>
      <w:proofErr w:type="spellEnd"/>
      <w:r w:rsidRPr="00D05E2D">
        <w:t xml:space="preserve">, I. A. Ahmed, M. R. Jaafer, A. M. Ali and S. A. Hadi, Baghdad Sci. J. </w:t>
      </w:r>
      <w:r w:rsidRPr="004F660C">
        <w:rPr>
          <w:b/>
          <w:bCs/>
        </w:rPr>
        <w:t>22</w:t>
      </w:r>
      <w:r w:rsidRPr="00D05E2D">
        <w:t>(8), 2619–2628 (2025).</w:t>
      </w:r>
      <w:r w:rsidR="00B064F6" w:rsidRPr="00D05E2D">
        <w:t xml:space="preserve"> </w:t>
      </w:r>
      <w:r w:rsidR="00B064F6" w:rsidRPr="00F15391">
        <w:t>https://doi.org/10.21123/2411-7986.5025</w:t>
      </w:r>
      <w:r w:rsidR="00B064F6" w:rsidRPr="00D05E2D">
        <w:t xml:space="preserve">. </w:t>
      </w:r>
    </w:p>
    <w:p w14:paraId="27299790" w14:textId="19901BE5" w:rsidR="008E4070" w:rsidRPr="00D05E2D" w:rsidRDefault="008E4070" w:rsidP="001746C5">
      <w:pPr>
        <w:pStyle w:val="Reference"/>
        <w:numPr>
          <w:ilvl w:val="0"/>
          <w:numId w:val="4"/>
        </w:numPr>
        <w:tabs>
          <w:tab w:val="clear" w:pos="720"/>
        </w:tabs>
        <w:ind w:left="426" w:hanging="426"/>
        <w:jc w:val="left"/>
      </w:pPr>
      <w:r w:rsidRPr="00D05E2D">
        <w:t xml:space="preserve">R. </w:t>
      </w:r>
      <w:proofErr w:type="spellStart"/>
      <w:r w:rsidRPr="00D05E2D">
        <w:t>Dehbanipour</w:t>
      </w:r>
      <w:proofErr w:type="spellEnd"/>
      <w:r w:rsidRPr="00D05E2D">
        <w:t xml:space="preserve"> and Z. </w:t>
      </w:r>
      <w:proofErr w:type="spellStart"/>
      <w:r w:rsidRPr="00D05E2D">
        <w:t>Ghalavand</w:t>
      </w:r>
      <w:proofErr w:type="spellEnd"/>
      <w:r w:rsidRPr="00D05E2D">
        <w:t xml:space="preserve">, Infect. Genet. Evol. </w:t>
      </w:r>
      <w:r w:rsidRPr="004F660C">
        <w:rPr>
          <w:b/>
          <w:bCs/>
        </w:rPr>
        <w:t>104</w:t>
      </w:r>
      <w:r w:rsidRPr="00D05E2D">
        <w:t>, 105386 (2022).</w:t>
      </w:r>
      <w:r w:rsidR="002F1FFB" w:rsidRPr="00D05E2D">
        <w:rPr>
          <w:sz w:val="24"/>
          <w:highlight w:val="yellow"/>
        </w:rPr>
        <w:t xml:space="preserve"> </w:t>
      </w:r>
      <w:r w:rsidR="002F1FFB" w:rsidRPr="00F15391">
        <w:t>https://doi.org/10.1016/j.meegid.2022.105386</w:t>
      </w:r>
      <w:r w:rsidR="002F1FFB" w:rsidRPr="00D05E2D">
        <w:t>.</w:t>
      </w:r>
    </w:p>
    <w:p w14:paraId="01A83214" w14:textId="2A9D8C87" w:rsidR="008E4070" w:rsidRPr="00D05E2D" w:rsidRDefault="008E4070" w:rsidP="001746C5">
      <w:pPr>
        <w:pStyle w:val="Reference"/>
        <w:numPr>
          <w:ilvl w:val="0"/>
          <w:numId w:val="4"/>
        </w:numPr>
        <w:tabs>
          <w:tab w:val="clear" w:pos="720"/>
        </w:tabs>
        <w:ind w:left="426" w:hanging="426"/>
        <w:jc w:val="left"/>
      </w:pPr>
      <w:r w:rsidRPr="00D05E2D">
        <w:t xml:space="preserve">M. Sholeh, F. </w:t>
      </w:r>
      <w:proofErr w:type="spellStart"/>
      <w:r w:rsidRPr="00D05E2D">
        <w:t>Hamidieh</w:t>
      </w:r>
      <w:proofErr w:type="spellEnd"/>
      <w:r w:rsidRPr="00D05E2D">
        <w:t xml:space="preserve">, M. Beig and F. </w:t>
      </w:r>
      <w:proofErr w:type="spellStart"/>
      <w:r w:rsidRPr="00D05E2D">
        <w:t>Badmasti</w:t>
      </w:r>
      <w:proofErr w:type="spellEnd"/>
      <w:r w:rsidRPr="00D05E2D">
        <w:t xml:space="preserve">, Mol. Genet. Genomics </w:t>
      </w:r>
      <w:r w:rsidRPr="004F660C">
        <w:rPr>
          <w:b/>
          <w:bCs/>
        </w:rPr>
        <w:t>300</w:t>
      </w:r>
      <w:r w:rsidRPr="00D05E2D">
        <w:t>(1), 1–17 (2025).</w:t>
      </w:r>
      <w:r w:rsidR="00B064F6" w:rsidRPr="00D05E2D">
        <w:t xml:space="preserve"> </w:t>
      </w:r>
      <w:r w:rsidR="00B064F6" w:rsidRPr="00F15391">
        <w:t>https://doi.org/10.1007/s00438-025-02265-3</w:t>
      </w:r>
      <w:r w:rsidR="00B064F6" w:rsidRPr="00D05E2D">
        <w:t xml:space="preserve">. </w:t>
      </w:r>
    </w:p>
    <w:p w14:paraId="79660C80" w14:textId="46960460" w:rsidR="00B064F6" w:rsidRPr="00D05E2D" w:rsidRDefault="008E4070" w:rsidP="001746C5">
      <w:pPr>
        <w:pStyle w:val="Reference"/>
        <w:numPr>
          <w:ilvl w:val="0"/>
          <w:numId w:val="4"/>
        </w:numPr>
        <w:tabs>
          <w:tab w:val="clear" w:pos="720"/>
        </w:tabs>
        <w:ind w:left="426" w:hanging="426"/>
        <w:jc w:val="left"/>
      </w:pPr>
      <w:r w:rsidRPr="00D05E2D">
        <w:t xml:space="preserve">V. Vashisht, A. Vashisht, A. K. Mondal, J. </w:t>
      </w:r>
      <w:proofErr w:type="spellStart"/>
      <w:r w:rsidRPr="00D05E2D">
        <w:t>Farmaha</w:t>
      </w:r>
      <w:proofErr w:type="spellEnd"/>
      <w:r w:rsidRPr="00D05E2D">
        <w:t xml:space="preserve">, A. Alptekin, H. Singh and R. Kolhe, </w:t>
      </w:r>
      <w:proofErr w:type="spellStart"/>
      <w:r w:rsidRPr="00D05E2D">
        <w:t>BioMedInformatics</w:t>
      </w:r>
      <w:proofErr w:type="spellEnd"/>
      <w:r w:rsidRPr="00D05E2D">
        <w:t xml:space="preserve"> </w:t>
      </w:r>
      <w:r w:rsidRPr="004F660C">
        <w:rPr>
          <w:b/>
          <w:bCs/>
        </w:rPr>
        <w:t>3</w:t>
      </w:r>
      <w:r w:rsidRPr="00D05E2D">
        <w:t>(4), 1145–1177 (2023).</w:t>
      </w:r>
      <w:r w:rsidR="00B064F6" w:rsidRPr="00D05E2D">
        <w:t xml:space="preserve"> </w:t>
      </w:r>
      <w:r w:rsidR="00B064F6" w:rsidRPr="00F15391">
        <w:t>https://doi.org/10.3390/biomedinformatics3040069</w:t>
      </w:r>
      <w:r w:rsidR="00B064F6" w:rsidRPr="00D05E2D">
        <w:t xml:space="preserve">. </w:t>
      </w:r>
    </w:p>
    <w:p w14:paraId="45E4BD81" w14:textId="77777777" w:rsidR="008E4070" w:rsidRPr="00D05E2D" w:rsidRDefault="008E4070" w:rsidP="008E4070">
      <w:pPr>
        <w:pStyle w:val="Reference"/>
        <w:numPr>
          <w:ilvl w:val="0"/>
          <w:numId w:val="0"/>
        </w:numPr>
      </w:pPr>
    </w:p>
    <w:p w14:paraId="1316F3B8" w14:textId="77777777" w:rsidR="0053474B" w:rsidRDefault="0053474B" w:rsidP="008E4070">
      <w:pPr>
        <w:pStyle w:val="Reference"/>
        <w:numPr>
          <w:ilvl w:val="0"/>
          <w:numId w:val="0"/>
        </w:numPr>
        <w:rPr>
          <w:highlight w:val="yellow"/>
        </w:rPr>
      </w:pPr>
    </w:p>
    <w:p w14:paraId="5A4AE3A5" w14:textId="77777777" w:rsidR="008E4070" w:rsidRDefault="008E4070" w:rsidP="008E4070">
      <w:pPr>
        <w:pStyle w:val="Reference"/>
        <w:numPr>
          <w:ilvl w:val="0"/>
          <w:numId w:val="0"/>
        </w:numPr>
        <w:rPr>
          <w:highlight w:val="yellow"/>
        </w:rPr>
      </w:pPr>
    </w:p>
    <w:p w14:paraId="3B157256" w14:textId="77777777" w:rsidR="00251284" w:rsidRPr="0053474B" w:rsidRDefault="00251284" w:rsidP="003F3124">
      <w:pPr>
        <w:pStyle w:val="Reference"/>
        <w:numPr>
          <w:ilvl w:val="0"/>
          <w:numId w:val="0"/>
        </w:numPr>
      </w:pPr>
    </w:p>
    <w:sectPr w:rsidR="00251284" w:rsidRPr="0053474B"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4"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5" w15:restartNumberingAfterBreak="0">
    <w:nsid w:val="7D1E4491"/>
    <w:multiLevelType w:val="multilevel"/>
    <w:tmpl w:val="51B2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1288293">
    <w:abstractNumId w:val="2"/>
  </w:num>
  <w:num w:numId="2" w16cid:durableId="423767115">
    <w:abstractNumId w:val="1"/>
  </w:num>
  <w:num w:numId="3" w16cid:durableId="1764573516">
    <w:abstractNumId w:val="3"/>
  </w:num>
  <w:num w:numId="4" w16cid:durableId="85696752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B14"/>
    <w:rsid w:val="00003D7C"/>
    <w:rsid w:val="00006F4C"/>
    <w:rsid w:val="00014140"/>
    <w:rsid w:val="00027428"/>
    <w:rsid w:val="00031EC9"/>
    <w:rsid w:val="00037740"/>
    <w:rsid w:val="0005597B"/>
    <w:rsid w:val="00066FED"/>
    <w:rsid w:val="00073829"/>
    <w:rsid w:val="00075EA6"/>
    <w:rsid w:val="0007709F"/>
    <w:rsid w:val="000856E9"/>
    <w:rsid w:val="00086F62"/>
    <w:rsid w:val="00090674"/>
    <w:rsid w:val="0009320B"/>
    <w:rsid w:val="00096AE0"/>
    <w:rsid w:val="000B1B74"/>
    <w:rsid w:val="000B3A2D"/>
    <w:rsid w:val="000B49C0"/>
    <w:rsid w:val="000C0009"/>
    <w:rsid w:val="000C4962"/>
    <w:rsid w:val="000C6173"/>
    <w:rsid w:val="000D7883"/>
    <w:rsid w:val="000E382F"/>
    <w:rsid w:val="000E75CD"/>
    <w:rsid w:val="000E7ECA"/>
    <w:rsid w:val="00101EE6"/>
    <w:rsid w:val="001036BA"/>
    <w:rsid w:val="00105F84"/>
    <w:rsid w:val="001146DC"/>
    <w:rsid w:val="00114AB1"/>
    <w:rsid w:val="001226B4"/>
    <w:rsid w:val="001230FF"/>
    <w:rsid w:val="00125687"/>
    <w:rsid w:val="00125A65"/>
    <w:rsid w:val="00130BD7"/>
    <w:rsid w:val="001373D9"/>
    <w:rsid w:val="0014004D"/>
    <w:rsid w:val="001427FE"/>
    <w:rsid w:val="00150BAE"/>
    <w:rsid w:val="00155B67"/>
    <w:rsid w:val="001562AF"/>
    <w:rsid w:val="00161A5B"/>
    <w:rsid w:val="0016385D"/>
    <w:rsid w:val="00166531"/>
    <w:rsid w:val="0016782F"/>
    <w:rsid w:val="001746C5"/>
    <w:rsid w:val="00186105"/>
    <w:rsid w:val="001936FD"/>
    <w:rsid w:val="001937E9"/>
    <w:rsid w:val="001964E5"/>
    <w:rsid w:val="001A0910"/>
    <w:rsid w:val="001A6117"/>
    <w:rsid w:val="001A6294"/>
    <w:rsid w:val="001A62DA"/>
    <w:rsid w:val="001B263B"/>
    <w:rsid w:val="001B2FCB"/>
    <w:rsid w:val="001B476A"/>
    <w:rsid w:val="001C450B"/>
    <w:rsid w:val="001C764F"/>
    <w:rsid w:val="001C7BB3"/>
    <w:rsid w:val="001D469C"/>
    <w:rsid w:val="001E1DCD"/>
    <w:rsid w:val="0021619E"/>
    <w:rsid w:val="00223616"/>
    <w:rsid w:val="00225D8E"/>
    <w:rsid w:val="0023171B"/>
    <w:rsid w:val="00236BFC"/>
    <w:rsid w:val="00237437"/>
    <w:rsid w:val="002436E9"/>
    <w:rsid w:val="002502FD"/>
    <w:rsid w:val="00251284"/>
    <w:rsid w:val="002619F6"/>
    <w:rsid w:val="00265CAF"/>
    <w:rsid w:val="00274622"/>
    <w:rsid w:val="00285D24"/>
    <w:rsid w:val="00290390"/>
    <w:rsid w:val="002915D3"/>
    <w:rsid w:val="002924DB"/>
    <w:rsid w:val="002941DA"/>
    <w:rsid w:val="002A0A33"/>
    <w:rsid w:val="002A19C8"/>
    <w:rsid w:val="002A746A"/>
    <w:rsid w:val="002B3B3A"/>
    <w:rsid w:val="002B5648"/>
    <w:rsid w:val="002B797C"/>
    <w:rsid w:val="002C0099"/>
    <w:rsid w:val="002E3357"/>
    <w:rsid w:val="002E3C35"/>
    <w:rsid w:val="002F1FFB"/>
    <w:rsid w:val="002F5298"/>
    <w:rsid w:val="00302449"/>
    <w:rsid w:val="00302B89"/>
    <w:rsid w:val="00305603"/>
    <w:rsid w:val="0031565B"/>
    <w:rsid w:val="00326AE0"/>
    <w:rsid w:val="003317B8"/>
    <w:rsid w:val="00331C14"/>
    <w:rsid w:val="00337E4F"/>
    <w:rsid w:val="00340C36"/>
    <w:rsid w:val="00346A9D"/>
    <w:rsid w:val="00366618"/>
    <w:rsid w:val="0039376F"/>
    <w:rsid w:val="00395B92"/>
    <w:rsid w:val="003A287B"/>
    <w:rsid w:val="003A5C85"/>
    <w:rsid w:val="003A61B1"/>
    <w:rsid w:val="003B0050"/>
    <w:rsid w:val="003D6312"/>
    <w:rsid w:val="003E6FF9"/>
    <w:rsid w:val="003E7C74"/>
    <w:rsid w:val="003F0657"/>
    <w:rsid w:val="003F3124"/>
    <w:rsid w:val="003F31C6"/>
    <w:rsid w:val="0040225B"/>
    <w:rsid w:val="00402D53"/>
    <w:rsid w:val="00402DA2"/>
    <w:rsid w:val="00425AC2"/>
    <w:rsid w:val="00435F7A"/>
    <w:rsid w:val="00435FB5"/>
    <w:rsid w:val="004429DC"/>
    <w:rsid w:val="0044771F"/>
    <w:rsid w:val="00461A39"/>
    <w:rsid w:val="00471F7F"/>
    <w:rsid w:val="0049360E"/>
    <w:rsid w:val="00497631"/>
    <w:rsid w:val="00497AA9"/>
    <w:rsid w:val="004A170C"/>
    <w:rsid w:val="004A49C0"/>
    <w:rsid w:val="004B151D"/>
    <w:rsid w:val="004B1651"/>
    <w:rsid w:val="004C0176"/>
    <w:rsid w:val="004C5E65"/>
    <w:rsid w:val="004C7243"/>
    <w:rsid w:val="004D27FB"/>
    <w:rsid w:val="004D541A"/>
    <w:rsid w:val="004E21DE"/>
    <w:rsid w:val="004E3C57"/>
    <w:rsid w:val="004E3CB2"/>
    <w:rsid w:val="004F660C"/>
    <w:rsid w:val="00502C4B"/>
    <w:rsid w:val="00514ABA"/>
    <w:rsid w:val="00525813"/>
    <w:rsid w:val="00530A3E"/>
    <w:rsid w:val="0053474B"/>
    <w:rsid w:val="0053513F"/>
    <w:rsid w:val="0054048B"/>
    <w:rsid w:val="005546B5"/>
    <w:rsid w:val="00574405"/>
    <w:rsid w:val="005745A1"/>
    <w:rsid w:val="00576429"/>
    <w:rsid w:val="00584B48"/>
    <w:rsid w:val="005854B0"/>
    <w:rsid w:val="005A0E21"/>
    <w:rsid w:val="005A7E7B"/>
    <w:rsid w:val="005B2AA1"/>
    <w:rsid w:val="005B3A34"/>
    <w:rsid w:val="005B6262"/>
    <w:rsid w:val="005B67E0"/>
    <w:rsid w:val="005B7308"/>
    <w:rsid w:val="005D35D6"/>
    <w:rsid w:val="005D49AF"/>
    <w:rsid w:val="005E2143"/>
    <w:rsid w:val="005E35CE"/>
    <w:rsid w:val="005E415C"/>
    <w:rsid w:val="005E5168"/>
    <w:rsid w:val="005E71ED"/>
    <w:rsid w:val="005E7946"/>
    <w:rsid w:val="005F2269"/>
    <w:rsid w:val="005F39F6"/>
    <w:rsid w:val="005F4F0C"/>
    <w:rsid w:val="005F7475"/>
    <w:rsid w:val="00611299"/>
    <w:rsid w:val="00613B4D"/>
    <w:rsid w:val="00616365"/>
    <w:rsid w:val="00616F3B"/>
    <w:rsid w:val="006249A7"/>
    <w:rsid w:val="00631E0B"/>
    <w:rsid w:val="0064225B"/>
    <w:rsid w:val="0064255F"/>
    <w:rsid w:val="00651A6C"/>
    <w:rsid w:val="00654EAB"/>
    <w:rsid w:val="00664827"/>
    <w:rsid w:val="006763F9"/>
    <w:rsid w:val="006929A7"/>
    <w:rsid w:val="006938A3"/>
    <w:rsid w:val="006949BC"/>
    <w:rsid w:val="006A4577"/>
    <w:rsid w:val="006D1229"/>
    <w:rsid w:val="006D372F"/>
    <w:rsid w:val="006D47BC"/>
    <w:rsid w:val="006D7A18"/>
    <w:rsid w:val="006E4474"/>
    <w:rsid w:val="006E44C0"/>
    <w:rsid w:val="006E44DE"/>
    <w:rsid w:val="006F620C"/>
    <w:rsid w:val="006F7EBB"/>
    <w:rsid w:val="007007DE"/>
    <w:rsid w:val="00701388"/>
    <w:rsid w:val="007016AA"/>
    <w:rsid w:val="00701DD6"/>
    <w:rsid w:val="0070240D"/>
    <w:rsid w:val="00705940"/>
    <w:rsid w:val="00712A25"/>
    <w:rsid w:val="00723B7F"/>
    <w:rsid w:val="00725861"/>
    <w:rsid w:val="007258E0"/>
    <w:rsid w:val="00725B34"/>
    <w:rsid w:val="0073393A"/>
    <w:rsid w:val="0073539D"/>
    <w:rsid w:val="00742836"/>
    <w:rsid w:val="00767B8A"/>
    <w:rsid w:val="00775481"/>
    <w:rsid w:val="007819D5"/>
    <w:rsid w:val="00783FF6"/>
    <w:rsid w:val="00784F1A"/>
    <w:rsid w:val="00795B4C"/>
    <w:rsid w:val="007A233B"/>
    <w:rsid w:val="007B4863"/>
    <w:rsid w:val="007B6FD3"/>
    <w:rsid w:val="007C65E6"/>
    <w:rsid w:val="007D1E89"/>
    <w:rsid w:val="007D406B"/>
    <w:rsid w:val="007D4407"/>
    <w:rsid w:val="007D4E5C"/>
    <w:rsid w:val="007E1CA3"/>
    <w:rsid w:val="007F0F54"/>
    <w:rsid w:val="008055B9"/>
    <w:rsid w:val="00806DE3"/>
    <w:rsid w:val="00812D62"/>
    <w:rsid w:val="00812F29"/>
    <w:rsid w:val="00820405"/>
    <w:rsid w:val="00821713"/>
    <w:rsid w:val="00822AA6"/>
    <w:rsid w:val="00827050"/>
    <w:rsid w:val="0083278B"/>
    <w:rsid w:val="00834538"/>
    <w:rsid w:val="00845C64"/>
    <w:rsid w:val="00850E89"/>
    <w:rsid w:val="00856B5B"/>
    <w:rsid w:val="00872409"/>
    <w:rsid w:val="008840B3"/>
    <w:rsid w:val="00884DE6"/>
    <w:rsid w:val="008930E4"/>
    <w:rsid w:val="00893821"/>
    <w:rsid w:val="008A146A"/>
    <w:rsid w:val="008A7B9C"/>
    <w:rsid w:val="008B2DB2"/>
    <w:rsid w:val="008B39FA"/>
    <w:rsid w:val="008B4754"/>
    <w:rsid w:val="008B5467"/>
    <w:rsid w:val="008B6D61"/>
    <w:rsid w:val="008D2201"/>
    <w:rsid w:val="008E4070"/>
    <w:rsid w:val="008E6A7A"/>
    <w:rsid w:val="008F1038"/>
    <w:rsid w:val="008F6BB7"/>
    <w:rsid w:val="008F7046"/>
    <w:rsid w:val="009005FC"/>
    <w:rsid w:val="009038D5"/>
    <w:rsid w:val="00913AF4"/>
    <w:rsid w:val="00922DF3"/>
    <w:rsid w:val="00922E5A"/>
    <w:rsid w:val="0092530C"/>
    <w:rsid w:val="00937EA0"/>
    <w:rsid w:val="00943315"/>
    <w:rsid w:val="00946C27"/>
    <w:rsid w:val="00950769"/>
    <w:rsid w:val="00951CDB"/>
    <w:rsid w:val="0099393C"/>
    <w:rsid w:val="009A4F3D"/>
    <w:rsid w:val="009B01F8"/>
    <w:rsid w:val="009B696B"/>
    <w:rsid w:val="009B7671"/>
    <w:rsid w:val="009E455C"/>
    <w:rsid w:val="009E5183"/>
    <w:rsid w:val="009E5BA1"/>
    <w:rsid w:val="009F056E"/>
    <w:rsid w:val="009F0815"/>
    <w:rsid w:val="00A24F3D"/>
    <w:rsid w:val="00A26DCD"/>
    <w:rsid w:val="00A314BB"/>
    <w:rsid w:val="00A32B7D"/>
    <w:rsid w:val="00A478D3"/>
    <w:rsid w:val="00A52F9B"/>
    <w:rsid w:val="00A5596B"/>
    <w:rsid w:val="00A646B3"/>
    <w:rsid w:val="00A6739B"/>
    <w:rsid w:val="00A70814"/>
    <w:rsid w:val="00A70DE1"/>
    <w:rsid w:val="00A72F4F"/>
    <w:rsid w:val="00A80FC6"/>
    <w:rsid w:val="00A90413"/>
    <w:rsid w:val="00A97286"/>
    <w:rsid w:val="00AA728C"/>
    <w:rsid w:val="00AA7C44"/>
    <w:rsid w:val="00AA7F2C"/>
    <w:rsid w:val="00AB0A9C"/>
    <w:rsid w:val="00AB5BC8"/>
    <w:rsid w:val="00AB7119"/>
    <w:rsid w:val="00AC08AF"/>
    <w:rsid w:val="00AD37D3"/>
    <w:rsid w:val="00AD5855"/>
    <w:rsid w:val="00AE1017"/>
    <w:rsid w:val="00AE1F23"/>
    <w:rsid w:val="00AE2EA6"/>
    <w:rsid w:val="00AE6111"/>
    <w:rsid w:val="00AE7500"/>
    <w:rsid w:val="00AE7F87"/>
    <w:rsid w:val="00AF3542"/>
    <w:rsid w:val="00AF5ABE"/>
    <w:rsid w:val="00B00415"/>
    <w:rsid w:val="00B03C2A"/>
    <w:rsid w:val="00B064F6"/>
    <w:rsid w:val="00B1000D"/>
    <w:rsid w:val="00B10134"/>
    <w:rsid w:val="00B12B5F"/>
    <w:rsid w:val="00B15B90"/>
    <w:rsid w:val="00B15F53"/>
    <w:rsid w:val="00B16BFE"/>
    <w:rsid w:val="00B500E5"/>
    <w:rsid w:val="00B57FDC"/>
    <w:rsid w:val="00B63AD0"/>
    <w:rsid w:val="00B96938"/>
    <w:rsid w:val="00BA39BB"/>
    <w:rsid w:val="00BA3B3D"/>
    <w:rsid w:val="00BA769D"/>
    <w:rsid w:val="00BB7EEA"/>
    <w:rsid w:val="00BD1909"/>
    <w:rsid w:val="00BD6AB6"/>
    <w:rsid w:val="00BE5E16"/>
    <w:rsid w:val="00BE5FD1"/>
    <w:rsid w:val="00C06E05"/>
    <w:rsid w:val="00C14B14"/>
    <w:rsid w:val="00C17370"/>
    <w:rsid w:val="00C2054D"/>
    <w:rsid w:val="00C252EB"/>
    <w:rsid w:val="00C26EC0"/>
    <w:rsid w:val="00C34CE8"/>
    <w:rsid w:val="00C3771E"/>
    <w:rsid w:val="00C41C80"/>
    <w:rsid w:val="00C43182"/>
    <w:rsid w:val="00C4619D"/>
    <w:rsid w:val="00C54488"/>
    <w:rsid w:val="00C56C77"/>
    <w:rsid w:val="00C7237F"/>
    <w:rsid w:val="00C7239F"/>
    <w:rsid w:val="00C77A78"/>
    <w:rsid w:val="00C800BD"/>
    <w:rsid w:val="00C84923"/>
    <w:rsid w:val="00CA68FF"/>
    <w:rsid w:val="00CB7B3E"/>
    <w:rsid w:val="00CC739D"/>
    <w:rsid w:val="00CD14C8"/>
    <w:rsid w:val="00CF7CE5"/>
    <w:rsid w:val="00D01A7D"/>
    <w:rsid w:val="00D04468"/>
    <w:rsid w:val="00D05E2D"/>
    <w:rsid w:val="00D100AF"/>
    <w:rsid w:val="00D2080C"/>
    <w:rsid w:val="00D26631"/>
    <w:rsid w:val="00D30640"/>
    <w:rsid w:val="00D36257"/>
    <w:rsid w:val="00D36BEA"/>
    <w:rsid w:val="00D43763"/>
    <w:rsid w:val="00D4517C"/>
    <w:rsid w:val="00D4687E"/>
    <w:rsid w:val="00D53A12"/>
    <w:rsid w:val="00D57B32"/>
    <w:rsid w:val="00D774C8"/>
    <w:rsid w:val="00D87E2A"/>
    <w:rsid w:val="00D91353"/>
    <w:rsid w:val="00DA3783"/>
    <w:rsid w:val="00DB0C43"/>
    <w:rsid w:val="00DB169A"/>
    <w:rsid w:val="00DB23B5"/>
    <w:rsid w:val="00DC48A1"/>
    <w:rsid w:val="00DE2E16"/>
    <w:rsid w:val="00DE3354"/>
    <w:rsid w:val="00DF08BE"/>
    <w:rsid w:val="00DF2717"/>
    <w:rsid w:val="00DF7DCD"/>
    <w:rsid w:val="00E075AC"/>
    <w:rsid w:val="00E40E68"/>
    <w:rsid w:val="00E50B7D"/>
    <w:rsid w:val="00E57834"/>
    <w:rsid w:val="00E652B2"/>
    <w:rsid w:val="00E815B9"/>
    <w:rsid w:val="00E84AF8"/>
    <w:rsid w:val="00E85DB7"/>
    <w:rsid w:val="00E904A1"/>
    <w:rsid w:val="00E91EB6"/>
    <w:rsid w:val="00E958D8"/>
    <w:rsid w:val="00EA0027"/>
    <w:rsid w:val="00EA0678"/>
    <w:rsid w:val="00EA4D2F"/>
    <w:rsid w:val="00EB1611"/>
    <w:rsid w:val="00EB2BCA"/>
    <w:rsid w:val="00EB5DAA"/>
    <w:rsid w:val="00EB7D28"/>
    <w:rsid w:val="00EC0D0C"/>
    <w:rsid w:val="00EC7C2F"/>
    <w:rsid w:val="00ED0933"/>
    <w:rsid w:val="00ED4A2C"/>
    <w:rsid w:val="00EE506D"/>
    <w:rsid w:val="00EF6940"/>
    <w:rsid w:val="00F06193"/>
    <w:rsid w:val="00F103A2"/>
    <w:rsid w:val="00F15391"/>
    <w:rsid w:val="00F1753C"/>
    <w:rsid w:val="00F2044A"/>
    <w:rsid w:val="00F20BFC"/>
    <w:rsid w:val="00F24D5F"/>
    <w:rsid w:val="00F26055"/>
    <w:rsid w:val="00F31EC9"/>
    <w:rsid w:val="00F325E2"/>
    <w:rsid w:val="00F43DA9"/>
    <w:rsid w:val="00F700FC"/>
    <w:rsid w:val="00F70160"/>
    <w:rsid w:val="00F726C3"/>
    <w:rsid w:val="00F820CA"/>
    <w:rsid w:val="00F835B0"/>
    <w:rsid w:val="00F8554C"/>
    <w:rsid w:val="00F95F82"/>
    <w:rsid w:val="00F97A90"/>
    <w:rsid w:val="00FB2759"/>
    <w:rsid w:val="00FC2F35"/>
    <w:rsid w:val="00FC3FD7"/>
    <w:rsid w:val="00FC4D2B"/>
    <w:rsid w:val="00FC69EC"/>
    <w:rsid w:val="00FD00B3"/>
    <w:rsid w:val="00FD1579"/>
    <w:rsid w:val="00FD1FC6"/>
    <w:rsid w:val="00FE5869"/>
    <w:rsid w:val="00FE5C64"/>
    <w:rsid w:val="00FE6D7A"/>
    <w:rsid w:val="00FF3010"/>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8C9652F6-8B55-461D-9DDF-D0D107EC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paragraph" w:styleId="Heading4">
    <w:name w:val="heading 4"/>
    <w:basedOn w:val="Normal"/>
    <w:next w:val="Normal"/>
    <w:link w:val="Heading4Char"/>
    <w:semiHidden/>
    <w:unhideWhenUsed/>
    <w:qFormat/>
    <w:rsid w:val="00B15F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1">
    <w:name w:val="إشارة لم يتم حلها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5D35D6"/>
    <w:rPr>
      <w:color w:val="808080"/>
    </w:rPr>
  </w:style>
  <w:style w:type="paragraph" w:customStyle="1" w:styleId="Default">
    <w:name w:val="Default"/>
    <w:qFormat/>
    <w:rsid w:val="005745A1"/>
    <w:pPr>
      <w:autoSpaceDE w:val="0"/>
      <w:autoSpaceDN w:val="0"/>
      <w:adjustRightInd w:val="0"/>
    </w:pPr>
    <w:rPr>
      <w:rFonts w:eastAsiaTheme="minorHAnsi"/>
      <w:color w:val="000000"/>
      <w:sz w:val="24"/>
      <w:szCs w:val="24"/>
      <w:lang w:val="en-US" w:eastAsia="en-US"/>
    </w:rPr>
  </w:style>
  <w:style w:type="table" w:styleId="LightShading-Accent3">
    <w:name w:val="Light Shading Accent 3"/>
    <w:basedOn w:val="TableNormal"/>
    <w:uiPriority w:val="60"/>
    <w:rsid w:val="005745A1"/>
    <w:rPr>
      <w:rFonts w:asciiTheme="minorHAnsi" w:eastAsiaTheme="minorHAnsi"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2">
    <w:name w:val="إشارة لم يتم حلها2"/>
    <w:basedOn w:val="DefaultParagraphFont"/>
    <w:uiPriority w:val="99"/>
    <w:semiHidden/>
    <w:unhideWhenUsed/>
    <w:rsid w:val="00F31EC9"/>
    <w:rPr>
      <w:color w:val="605E5C"/>
      <w:shd w:val="clear" w:color="auto" w:fill="E1DFDD"/>
    </w:rPr>
  </w:style>
  <w:style w:type="character" w:customStyle="1" w:styleId="Heading4Char">
    <w:name w:val="Heading 4 Char"/>
    <w:basedOn w:val="DefaultParagraphFont"/>
    <w:link w:val="Heading4"/>
    <w:semiHidden/>
    <w:rsid w:val="00B15F53"/>
    <w:rPr>
      <w:rFonts w:asciiTheme="majorHAnsi" w:eastAsiaTheme="majorEastAsia" w:hAnsiTheme="majorHAnsi" w:cstheme="majorBidi"/>
      <w:b/>
      <w:bCs/>
      <w:i/>
      <w:iCs/>
      <w:color w:val="4F81BD" w:themeColor="accent1"/>
      <w:sz w:val="24"/>
      <w:lang w:val="en-US" w:eastAsia="en-US"/>
    </w:rPr>
  </w:style>
  <w:style w:type="character" w:customStyle="1" w:styleId="UnresolvedMention1">
    <w:name w:val="Unresolved Mention1"/>
    <w:basedOn w:val="DefaultParagraphFont"/>
    <w:uiPriority w:val="99"/>
    <w:semiHidden/>
    <w:unhideWhenUsed/>
    <w:rsid w:val="00A72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61">
      <w:bodyDiv w:val="1"/>
      <w:marLeft w:val="0"/>
      <w:marRight w:val="0"/>
      <w:marTop w:val="0"/>
      <w:marBottom w:val="0"/>
      <w:divBdr>
        <w:top w:val="none" w:sz="0" w:space="0" w:color="auto"/>
        <w:left w:val="none" w:sz="0" w:space="0" w:color="auto"/>
        <w:bottom w:val="none" w:sz="0" w:space="0" w:color="auto"/>
        <w:right w:val="none" w:sz="0" w:space="0" w:color="auto"/>
      </w:divBdr>
    </w:div>
    <w:div w:id="68157709">
      <w:bodyDiv w:val="1"/>
      <w:marLeft w:val="0"/>
      <w:marRight w:val="0"/>
      <w:marTop w:val="0"/>
      <w:marBottom w:val="0"/>
      <w:divBdr>
        <w:top w:val="none" w:sz="0" w:space="0" w:color="auto"/>
        <w:left w:val="none" w:sz="0" w:space="0" w:color="auto"/>
        <w:bottom w:val="none" w:sz="0" w:space="0" w:color="auto"/>
        <w:right w:val="none" w:sz="0" w:space="0" w:color="auto"/>
      </w:divBdr>
    </w:div>
    <w:div w:id="181165366">
      <w:bodyDiv w:val="1"/>
      <w:marLeft w:val="0"/>
      <w:marRight w:val="0"/>
      <w:marTop w:val="0"/>
      <w:marBottom w:val="0"/>
      <w:divBdr>
        <w:top w:val="none" w:sz="0" w:space="0" w:color="auto"/>
        <w:left w:val="none" w:sz="0" w:space="0" w:color="auto"/>
        <w:bottom w:val="none" w:sz="0" w:space="0" w:color="auto"/>
        <w:right w:val="none" w:sz="0" w:space="0" w:color="auto"/>
      </w:divBdr>
    </w:div>
    <w:div w:id="212818189">
      <w:bodyDiv w:val="1"/>
      <w:marLeft w:val="0"/>
      <w:marRight w:val="0"/>
      <w:marTop w:val="0"/>
      <w:marBottom w:val="0"/>
      <w:divBdr>
        <w:top w:val="none" w:sz="0" w:space="0" w:color="auto"/>
        <w:left w:val="none" w:sz="0" w:space="0" w:color="auto"/>
        <w:bottom w:val="none" w:sz="0" w:space="0" w:color="auto"/>
        <w:right w:val="none" w:sz="0" w:space="0" w:color="auto"/>
      </w:divBdr>
    </w:div>
    <w:div w:id="274168643">
      <w:bodyDiv w:val="1"/>
      <w:marLeft w:val="0"/>
      <w:marRight w:val="0"/>
      <w:marTop w:val="0"/>
      <w:marBottom w:val="0"/>
      <w:divBdr>
        <w:top w:val="none" w:sz="0" w:space="0" w:color="auto"/>
        <w:left w:val="none" w:sz="0" w:space="0" w:color="auto"/>
        <w:bottom w:val="none" w:sz="0" w:space="0" w:color="auto"/>
        <w:right w:val="none" w:sz="0" w:space="0" w:color="auto"/>
      </w:divBdr>
    </w:div>
    <w:div w:id="558326321">
      <w:bodyDiv w:val="1"/>
      <w:marLeft w:val="0"/>
      <w:marRight w:val="0"/>
      <w:marTop w:val="0"/>
      <w:marBottom w:val="0"/>
      <w:divBdr>
        <w:top w:val="none" w:sz="0" w:space="0" w:color="auto"/>
        <w:left w:val="none" w:sz="0" w:space="0" w:color="auto"/>
        <w:bottom w:val="none" w:sz="0" w:space="0" w:color="auto"/>
        <w:right w:val="none" w:sz="0" w:space="0" w:color="auto"/>
      </w:divBdr>
    </w:div>
    <w:div w:id="664555579">
      <w:bodyDiv w:val="1"/>
      <w:marLeft w:val="0"/>
      <w:marRight w:val="0"/>
      <w:marTop w:val="0"/>
      <w:marBottom w:val="0"/>
      <w:divBdr>
        <w:top w:val="none" w:sz="0" w:space="0" w:color="auto"/>
        <w:left w:val="none" w:sz="0" w:space="0" w:color="auto"/>
        <w:bottom w:val="none" w:sz="0" w:space="0" w:color="auto"/>
        <w:right w:val="none" w:sz="0" w:space="0" w:color="auto"/>
      </w:divBdr>
    </w:div>
    <w:div w:id="753206568">
      <w:bodyDiv w:val="1"/>
      <w:marLeft w:val="0"/>
      <w:marRight w:val="0"/>
      <w:marTop w:val="0"/>
      <w:marBottom w:val="0"/>
      <w:divBdr>
        <w:top w:val="none" w:sz="0" w:space="0" w:color="auto"/>
        <w:left w:val="none" w:sz="0" w:space="0" w:color="auto"/>
        <w:bottom w:val="none" w:sz="0" w:space="0" w:color="auto"/>
        <w:right w:val="none" w:sz="0" w:space="0" w:color="auto"/>
      </w:divBdr>
    </w:div>
    <w:div w:id="754934293">
      <w:bodyDiv w:val="1"/>
      <w:marLeft w:val="0"/>
      <w:marRight w:val="0"/>
      <w:marTop w:val="0"/>
      <w:marBottom w:val="0"/>
      <w:divBdr>
        <w:top w:val="none" w:sz="0" w:space="0" w:color="auto"/>
        <w:left w:val="none" w:sz="0" w:space="0" w:color="auto"/>
        <w:bottom w:val="none" w:sz="0" w:space="0" w:color="auto"/>
        <w:right w:val="none" w:sz="0" w:space="0" w:color="auto"/>
      </w:divBdr>
    </w:div>
    <w:div w:id="801852996">
      <w:bodyDiv w:val="1"/>
      <w:marLeft w:val="0"/>
      <w:marRight w:val="0"/>
      <w:marTop w:val="0"/>
      <w:marBottom w:val="0"/>
      <w:divBdr>
        <w:top w:val="none" w:sz="0" w:space="0" w:color="auto"/>
        <w:left w:val="none" w:sz="0" w:space="0" w:color="auto"/>
        <w:bottom w:val="none" w:sz="0" w:space="0" w:color="auto"/>
        <w:right w:val="none" w:sz="0" w:space="0" w:color="auto"/>
      </w:divBdr>
    </w:div>
    <w:div w:id="851652587">
      <w:bodyDiv w:val="1"/>
      <w:marLeft w:val="0"/>
      <w:marRight w:val="0"/>
      <w:marTop w:val="0"/>
      <w:marBottom w:val="0"/>
      <w:divBdr>
        <w:top w:val="none" w:sz="0" w:space="0" w:color="auto"/>
        <w:left w:val="none" w:sz="0" w:space="0" w:color="auto"/>
        <w:bottom w:val="none" w:sz="0" w:space="0" w:color="auto"/>
        <w:right w:val="none" w:sz="0" w:space="0" w:color="auto"/>
      </w:divBdr>
    </w:div>
    <w:div w:id="872570479">
      <w:bodyDiv w:val="1"/>
      <w:marLeft w:val="0"/>
      <w:marRight w:val="0"/>
      <w:marTop w:val="0"/>
      <w:marBottom w:val="0"/>
      <w:divBdr>
        <w:top w:val="none" w:sz="0" w:space="0" w:color="auto"/>
        <w:left w:val="none" w:sz="0" w:space="0" w:color="auto"/>
        <w:bottom w:val="none" w:sz="0" w:space="0" w:color="auto"/>
        <w:right w:val="none" w:sz="0" w:space="0" w:color="auto"/>
      </w:divBdr>
    </w:div>
    <w:div w:id="925916860">
      <w:bodyDiv w:val="1"/>
      <w:marLeft w:val="0"/>
      <w:marRight w:val="0"/>
      <w:marTop w:val="0"/>
      <w:marBottom w:val="0"/>
      <w:divBdr>
        <w:top w:val="none" w:sz="0" w:space="0" w:color="auto"/>
        <w:left w:val="none" w:sz="0" w:space="0" w:color="auto"/>
        <w:bottom w:val="none" w:sz="0" w:space="0" w:color="auto"/>
        <w:right w:val="none" w:sz="0" w:space="0" w:color="auto"/>
      </w:divBdr>
    </w:div>
    <w:div w:id="927273273">
      <w:bodyDiv w:val="1"/>
      <w:marLeft w:val="0"/>
      <w:marRight w:val="0"/>
      <w:marTop w:val="0"/>
      <w:marBottom w:val="0"/>
      <w:divBdr>
        <w:top w:val="none" w:sz="0" w:space="0" w:color="auto"/>
        <w:left w:val="none" w:sz="0" w:space="0" w:color="auto"/>
        <w:bottom w:val="none" w:sz="0" w:space="0" w:color="auto"/>
        <w:right w:val="none" w:sz="0" w:space="0" w:color="auto"/>
      </w:divBdr>
    </w:div>
    <w:div w:id="929848136">
      <w:bodyDiv w:val="1"/>
      <w:marLeft w:val="0"/>
      <w:marRight w:val="0"/>
      <w:marTop w:val="0"/>
      <w:marBottom w:val="0"/>
      <w:divBdr>
        <w:top w:val="none" w:sz="0" w:space="0" w:color="auto"/>
        <w:left w:val="none" w:sz="0" w:space="0" w:color="auto"/>
        <w:bottom w:val="none" w:sz="0" w:space="0" w:color="auto"/>
        <w:right w:val="none" w:sz="0" w:space="0" w:color="auto"/>
      </w:divBdr>
    </w:div>
    <w:div w:id="1027605022">
      <w:bodyDiv w:val="1"/>
      <w:marLeft w:val="0"/>
      <w:marRight w:val="0"/>
      <w:marTop w:val="0"/>
      <w:marBottom w:val="0"/>
      <w:divBdr>
        <w:top w:val="none" w:sz="0" w:space="0" w:color="auto"/>
        <w:left w:val="none" w:sz="0" w:space="0" w:color="auto"/>
        <w:bottom w:val="none" w:sz="0" w:space="0" w:color="auto"/>
        <w:right w:val="none" w:sz="0" w:space="0" w:color="auto"/>
      </w:divBdr>
    </w:div>
    <w:div w:id="1033773179">
      <w:bodyDiv w:val="1"/>
      <w:marLeft w:val="0"/>
      <w:marRight w:val="0"/>
      <w:marTop w:val="0"/>
      <w:marBottom w:val="0"/>
      <w:divBdr>
        <w:top w:val="none" w:sz="0" w:space="0" w:color="auto"/>
        <w:left w:val="none" w:sz="0" w:space="0" w:color="auto"/>
        <w:bottom w:val="none" w:sz="0" w:space="0" w:color="auto"/>
        <w:right w:val="none" w:sz="0" w:space="0" w:color="auto"/>
      </w:divBdr>
    </w:div>
    <w:div w:id="1104688638">
      <w:bodyDiv w:val="1"/>
      <w:marLeft w:val="0"/>
      <w:marRight w:val="0"/>
      <w:marTop w:val="0"/>
      <w:marBottom w:val="0"/>
      <w:divBdr>
        <w:top w:val="none" w:sz="0" w:space="0" w:color="auto"/>
        <w:left w:val="none" w:sz="0" w:space="0" w:color="auto"/>
        <w:bottom w:val="none" w:sz="0" w:space="0" w:color="auto"/>
        <w:right w:val="none" w:sz="0" w:space="0" w:color="auto"/>
      </w:divBdr>
    </w:div>
    <w:div w:id="1215046348">
      <w:bodyDiv w:val="1"/>
      <w:marLeft w:val="0"/>
      <w:marRight w:val="0"/>
      <w:marTop w:val="0"/>
      <w:marBottom w:val="0"/>
      <w:divBdr>
        <w:top w:val="none" w:sz="0" w:space="0" w:color="auto"/>
        <w:left w:val="none" w:sz="0" w:space="0" w:color="auto"/>
        <w:bottom w:val="none" w:sz="0" w:space="0" w:color="auto"/>
        <w:right w:val="none" w:sz="0" w:space="0" w:color="auto"/>
      </w:divBdr>
    </w:div>
    <w:div w:id="1239288215">
      <w:bodyDiv w:val="1"/>
      <w:marLeft w:val="0"/>
      <w:marRight w:val="0"/>
      <w:marTop w:val="0"/>
      <w:marBottom w:val="0"/>
      <w:divBdr>
        <w:top w:val="none" w:sz="0" w:space="0" w:color="auto"/>
        <w:left w:val="none" w:sz="0" w:space="0" w:color="auto"/>
        <w:bottom w:val="none" w:sz="0" w:space="0" w:color="auto"/>
        <w:right w:val="none" w:sz="0" w:space="0" w:color="auto"/>
      </w:divBdr>
    </w:div>
    <w:div w:id="1250768157">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01155066">
      <w:bodyDiv w:val="1"/>
      <w:marLeft w:val="0"/>
      <w:marRight w:val="0"/>
      <w:marTop w:val="0"/>
      <w:marBottom w:val="0"/>
      <w:divBdr>
        <w:top w:val="none" w:sz="0" w:space="0" w:color="auto"/>
        <w:left w:val="none" w:sz="0" w:space="0" w:color="auto"/>
        <w:bottom w:val="none" w:sz="0" w:space="0" w:color="auto"/>
        <w:right w:val="none" w:sz="0" w:space="0" w:color="auto"/>
      </w:divBdr>
    </w:div>
    <w:div w:id="1318416329">
      <w:bodyDiv w:val="1"/>
      <w:marLeft w:val="0"/>
      <w:marRight w:val="0"/>
      <w:marTop w:val="0"/>
      <w:marBottom w:val="0"/>
      <w:divBdr>
        <w:top w:val="none" w:sz="0" w:space="0" w:color="auto"/>
        <w:left w:val="none" w:sz="0" w:space="0" w:color="auto"/>
        <w:bottom w:val="none" w:sz="0" w:space="0" w:color="auto"/>
        <w:right w:val="none" w:sz="0" w:space="0" w:color="auto"/>
      </w:divBdr>
    </w:div>
    <w:div w:id="1320033479">
      <w:bodyDiv w:val="1"/>
      <w:marLeft w:val="0"/>
      <w:marRight w:val="0"/>
      <w:marTop w:val="0"/>
      <w:marBottom w:val="0"/>
      <w:divBdr>
        <w:top w:val="none" w:sz="0" w:space="0" w:color="auto"/>
        <w:left w:val="none" w:sz="0" w:space="0" w:color="auto"/>
        <w:bottom w:val="none" w:sz="0" w:space="0" w:color="auto"/>
        <w:right w:val="none" w:sz="0" w:space="0" w:color="auto"/>
      </w:divBdr>
    </w:div>
    <w:div w:id="1343319533">
      <w:bodyDiv w:val="1"/>
      <w:marLeft w:val="0"/>
      <w:marRight w:val="0"/>
      <w:marTop w:val="0"/>
      <w:marBottom w:val="0"/>
      <w:divBdr>
        <w:top w:val="none" w:sz="0" w:space="0" w:color="auto"/>
        <w:left w:val="none" w:sz="0" w:space="0" w:color="auto"/>
        <w:bottom w:val="none" w:sz="0" w:space="0" w:color="auto"/>
        <w:right w:val="none" w:sz="0" w:space="0" w:color="auto"/>
      </w:divBdr>
    </w:div>
    <w:div w:id="1347712239">
      <w:bodyDiv w:val="1"/>
      <w:marLeft w:val="0"/>
      <w:marRight w:val="0"/>
      <w:marTop w:val="0"/>
      <w:marBottom w:val="0"/>
      <w:divBdr>
        <w:top w:val="none" w:sz="0" w:space="0" w:color="auto"/>
        <w:left w:val="none" w:sz="0" w:space="0" w:color="auto"/>
        <w:bottom w:val="none" w:sz="0" w:space="0" w:color="auto"/>
        <w:right w:val="none" w:sz="0" w:space="0" w:color="auto"/>
      </w:divBdr>
    </w:div>
    <w:div w:id="1476290600">
      <w:bodyDiv w:val="1"/>
      <w:marLeft w:val="0"/>
      <w:marRight w:val="0"/>
      <w:marTop w:val="0"/>
      <w:marBottom w:val="0"/>
      <w:divBdr>
        <w:top w:val="none" w:sz="0" w:space="0" w:color="auto"/>
        <w:left w:val="none" w:sz="0" w:space="0" w:color="auto"/>
        <w:bottom w:val="none" w:sz="0" w:space="0" w:color="auto"/>
        <w:right w:val="none" w:sz="0" w:space="0" w:color="auto"/>
      </w:divBdr>
    </w:div>
    <w:div w:id="1513958261">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35856704">
      <w:bodyDiv w:val="1"/>
      <w:marLeft w:val="0"/>
      <w:marRight w:val="0"/>
      <w:marTop w:val="0"/>
      <w:marBottom w:val="0"/>
      <w:divBdr>
        <w:top w:val="none" w:sz="0" w:space="0" w:color="auto"/>
        <w:left w:val="none" w:sz="0" w:space="0" w:color="auto"/>
        <w:bottom w:val="none" w:sz="0" w:space="0" w:color="auto"/>
        <w:right w:val="none" w:sz="0" w:space="0" w:color="auto"/>
      </w:divBdr>
    </w:div>
    <w:div w:id="1746874262">
      <w:bodyDiv w:val="1"/>
      <w:marLeft w:val="0"/>
      <w:marRight w:val="0"/>
      <w:marTop w:val="0"/>
      <w:marBottom w:val="0"/>
      <w:divBdr>
        <w:top w:val="none" w:sz="0" w:space="0" w:color="auto"/>
        <w:left w:val="none" w:sz="0" w:space="0" w:color="auto"/>
        <w:bottom w:val="none" w:sz="0" w:space="0" w:color="auto"/>
        <w:right w:val="none" w:sz="0" w:space="0" w:color="auto"/>
      </w:divBdr>
    </w:div>
    <w:div w:id="1819616280">
      <w:bodyDiv w:val="1"/>
      <w:marLeft w:val="0"/>
      <w:marRight w:val="0"/>
      <w:marTop w:val="0"/>
      <w:marBottom w:val="0"/>
      <w:divBdr>
        <w:top w:val="none" w:sz="0" w:space="0" w:color="auto"/>
        <w:left w:val="none" w:sz="0" w:space="0" w:color="auto"/>
        <w:bottom w:val="none" w:sz="0" w:space="0" w:color="auto"/>
        <w:right w:val="none" w:sz="0" w:space="0" w:color="auto"/>
      </w:divBdr>
    </w:div>
    <w:div w:id="1931161991">
      <w:bodyDiv w:val="1"/>
      <w:marLeft w:val="0"/>
      <w:marRight w:val="0"/>
      <w:marTop w:val="0"/>
      <w:marBottom w:val="0"/>
      <w:divBdr>
        <w:top w:val="none" w:sz="0" w:space="0" w:color="auto"/>
        <w:left w:val="none" w:sz="0" w:space="0" w:color="auto"/>
        <w:bottom w:val="none" w:sz="0" w:space="0" w:color="auto"/>
        <w:right w:val="none" w:sz="0" w:space="0" w:color="auto"/>
      </w:divBdr>
    </w:div>
    <w:div w:id="1952584562">
      <w:bodyDiv w:val="1"/>
      <w:marLeft w:val="0"/>
      <w:marRight w:val="0"/>
      <w:marTop w:val="0"/>
      <w:marBottom w:val="0"/>
      <w:divBdr>
        <w:top w:val="none" w:sz="0" w:space="0" w:color="auto"/>
        <w:left w:val="none" w:sz="0" w:space="0" w:color="auto"/>
        <w:bottom w:val="none" w:sz="0" w:space="0" w:color="auto"/>
        <w:right w:val="none" w:sz="0" w:space="0" w:color="auto"/>
      </w:divBdr>
    </w:div>
    <w:div w:id="200685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hyperlink" Target="mailto:wrdta3965@gmail.com"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Omar.Alwan2202m@ihcoedu.uobaghdad.edu.iq"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FA0B6D85-428C-44E9-9142-65DBFAE52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12</TotalTime>
  <Pages>1</Pages>
  <Words>2618</Words>
  <Characters>14926</Characters>
  <Application>Microsoft Office Word</Application>
  <DocSecurity>0</DocSecurity>
  <Lines>124</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17509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15</cp:revision>
  <cp:lastPrinted>2011-03-03T08:29:00Z</cp:lastPrinted>
  <dcterms:created xsi:type="dcterms:W3CDTF">2025-11-15T11:35:00Z</dcterms:created>
  <dcterms:modified xsi:type="dcterms:W3CDTF">2025-12-06T20:21:00Z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fd1939cc-df31-46b2-9342-113104bfc8b9</vt:lpwstr>
  </property>
</Properties>
</file>