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5335F" w14:textId="01FF739E" w:rsidR="00F16D6C" w:rsidRPr="00B70C50" w:rsidRDefault="00B70C50" w:rsidP="00B70C50">
      <w:pPr>
        <w:spacing w:before="1200" w:after="0"/>
        <w:jc w:val="center"/>
        <w:rPr>
          <w:rFonts w:cs="Times New Roman"/>
          <w:b/>
          <w:sz w:val="36"/>
          <w:szCs w:val="36"/>
          <w:lang w:val="az-Latn-AZ"/>
        </w:rPr>
      </w:pPr>
      <w:r w:rsidRPr="00B70C50">
        <w:rPr>
          <w:rFonts w:cs="Times New Roman"/>
          <w:b/>
          <w:sz w:val="36"/>
          <w:szCs w:val="36"/>
          <w:lang w:val="az-Latn-AZ"/>
        </w:rPr>
        <w:t xml:space="preserve">Electrıcal Strength </w:t>
      </w:r>
      <w:r>
        <w:rPr>
          <w:rFonts w:cs="Times New Roman"/>
          <w:b/>
          <w:sz w:val="36"/>
          <w:szCs w:val="36"/>
          <w:lang w:val="en-US"/>
        </w:rPr>
        <w:t>a</w:t>
      </w:r>
      <w:r w:rsidRPr="00B70C50">
        <w:rPr>
          <w:rFonts w:cs="Times New Roman"/>
          <w:b/>
          <w:sz w:val="36"/>
          <w:szCs w:val="36"/>
          <w:lang w:val="az-Latn-AZ"/>
        </w:rPr>
        <w:t xml:space="preserve">nd Electrıcal Conductıvıty </w:t>
      </w:r>
      <w:r>
        <w:rPr>
          <w:rFonts w:cs="Times New Roman"/>
          <w:b/>
          <w:sz w:val="36"/>
          <w:szCs w:val="36"/>
          <w:lang w:val="az-Latn-AZ"/>
        </w:rPr>
        <w:t>o</w:t>
      </w:r>
      <w:r w:rsidRPr="00B70C50">
        <w:rPr>
          <w:rFonts w:cs="Times New Roman"/>
          <w:b/>
          <w:sz w:val="36"/>
          <w:szCs w:val="36"/>
          <w:lang w:val="az-Latn-AZ"/>
        </w:rPr>
        <w:t>f Polymer Composıtes</w:t>
      </w:r>
    </w:p>
    <w:p w14:paraId="752D59DB" w14:textId="386117F6" w:rsidR="00B70C50" w:rsidRPr="00B70C50" w:rsidRDefault="00B70C50" w:rsidP="00B70C50">
      <w:pPr>
        <w:spacing w:before="360" w:after="360"/>
        <w:jc w:val="center"/>
        <w:rPr>
          <w:rFonts w:cs="Times New Roman"/>
          <w:bCs/>
          <w:szCs w:val="28"/>
          <w:lang w:val="en-US"/>
        </w:rPr>
      </w:pPr>
      <w:r w:rsidRPr="00B70C50">
        <w:rPr>
          <w:rFonts w:cs="Times New Roman"/>
          <w:bCs/>
          <w:szCs w:val="28"/>
          <w:lang w:val="az-Latn-AZ"/>
        </w:rPr>
        <w:t xml:space="preserve">Hikmet </w:t>
      </w:r>
      <w:r w:rsidR="00533BAC" w:rsidRPr="00B70C50">
        <w:rPr>
          <w:rFonts w:cs="Times New Roman"/>
          <w:bCs/>
          <w:szCs w:val="28"/>
          <w:lang w:val="az-Latn-AZ"/>
        </w:rPr>
        <w:t>Aliyev</w:t>
      </w:r>
      <w:r w:rsidR="00533BAC" w:rsidRPr="00B70C50">
        <w:rPr>
          <w:rFonts w:cs="Times New Roman"/>
          <w:bCs/>
          <w:szCs w:val="28"/>
          <w:vertAlign w:val="superscript"/>
          <w:lang w:val="az-Latn-AZ"/>
        </w:rPr>
        <w:t>1</w:t>
      </w:r>
      <w:r w:rsidRPr="00B70C50">
        <w:rPr>
          <w:rFonts w:cs="Times New Roman"/>
          <w:bCs/>
          <w:szCs w:val="28"/>
          <w:vertAlign w:val="superscript"/>
          <w:lang w:val="az-Latn-AZ"/>
        </w:rPr>
        <w:t>, a)</w:t>
      </w:r>
      <w:r w:rsidRPr="00B70C50">
        <w:rPr>
          <w:rFonts w:cs="Times New Roman"/>
          <w:bCs/>
          <w:szCs w:val="28"/>
          <w:lang w:val="az-Latn-AZ"/>
        </w:rPr>
        <w:t>, Subhan Namazov</w:t>
      </w:r>
      <w:r w:rsidRPr="00B70C50">
        <w:rPr>
          <w:rFonts w:cs="Times New Roman"/>
          <w:bCs/>
          <w:szCs w:val="28"/>
          <w:vertAlign w:val="superscript"/>
          <w:lang w:val="az-Latn-AZ"/>
        </w:rPr>
        <w:t>1, b)</w:t>
      </w:r>
      <w:r w:rsidRPr="00B70C50">
        <w:rPr>
          <w:rFonts w:cs="Times New Roman"/>
          <w:bCs/>
          <w:szCs w:val="28"/>
          <w:lang w:val="az-Latn-AZ"/>
        </w:rPr>
        <w:t>, Zulkhumor Yavkacheva</w:t>
      </w:r>
      <w:r w:rsidRPr="00B70C50">
        <w:rPr>
          <w:rFonts w:cs="Times New Roman"/>
          <w:bCs/>
          <w:szCs w:val="28"/>
          <w:vertAlign w:val="superscript"/>
          <w:lang w:val="az-Latn-AZ"/>
        </w:rPr>
        <w:t>2, c)</w:t>
      </w:r>
      <w:r w:rsidRPr="00B70C50">
        <w:rPr>
          <w:rFonts w:cs="Times New Roman"/>
          <w:bCs/>
          <w:szCs w:val="28"/>
          <w:lang w:val="az-Latn-AZ"/>
        </w:rPr>
        <w:t xml:space="preserve"> and </w:t>
      </w:r>
      <w:r>
        <w:rPr>
          <w:rFonts w:cs="Times New Roman"/>
          <w:bCs/>
          <w:szCs w:val="28"/>
          <w:lang w:val="az-Latn-AZ"/>
        </w:rPr>
        <w:br/>
      </w:r>
      <w:r w:rsidR="001C5EDD" w:rsidRPr="00B70C50">
        <w:rPr>
          <w:rFonts w:cs="Times New Roman"/>
          <w:bCs/>
          <w:szCs w:val="28"/>
          <w:lang w:val="az-Latn-AZ"/>
        </w:rPr>
        <w:t xml:space="preserve">Mohd </w:t>
      </w:r>
      <w:r w:rsidRPr="00B70C50">
        <w:rPr>
          <w:rFonts w:cs="Times New Roman"/>
          <w:bCs/>
          <w:szCs w:val="28"/>
          <w:lang w:val="az-Latn-AZ"/>
        </w:rPr>
        <w:t>Fauzi Zanil</w:t>
      </w:r>
      <w:r w:rsidRPr="00B70C50">
        <w:rPr>
          <w:rFonts w:cs="Times New Roman"/>
          <w:bCs/>
          <w:szCs w:val="28"/>
          <w:vertAlign w:val="superscript"/>
          <w:lang w:val="en-US"/>
        </w:rPr>
        <w:t>3</w:t>
      </w:r>
      <w:r>
        <w:rPr>
          <w:rFonts w:cs="Times New Roman"/>
          <w:bCs/>
          <w:szCs w:val="28"/>
          <w:vertAlign w:val="superscript"/>
          <w:lang w:val="en-US"/>
        </w:rPr>
        <w:t>, d)</w:t>
      </w:r>
    </w:p>
    <w:p w14:paraId="1F0F8E76" w14:textId="3C595CE8" w:rsidR="00B70C50" w:rsidRPr="00B15E2D" w:rsidRDefault="00B15E2D" w:rsidP="00B15E2D">
      <w:pPr>
        <w:spacing w:before="360" w:after="360"/>
        <w:jc w:val="center"/>
        <w:rPr>
          <w:rFonts w:eastAsia="Times New Roman" w:cs="Times New Roman"/>
          <w:i/>
          <w:iCs/>
          <w:sz w:val="20"/>
          <w:szCs w:val="20"/>
          <w:lang w:val="en-US" w:eastAsia="ru-RU"/>
        </w:rPr>
      </w:pPr>
      <w:r w:rsidRPr="00B15E2D">
        <w:rPr>
          <w:sz w:val="20"/>
          <w:szCs w:val="20"/>
          <w:vertAlign w:val="superscript"/>
          <w:lang w:val="uz-Cyrl-UZ"/>
        </w:rPr>
        <w:t>1</w:t>
      </w:r>
      <w:r w:rsidR="00B70C50" w:rsidRPr="00B15E2D">
        <w:rPr>
          <w:i/>
          <w:iCs/>
          <w:sz w:val="20"/>
          <w:szCs w:val="20"/>
          <w:lang w:val="en-US"/>
        </w:rPr>
        <w:t>Azerbaijan Technical University, 25 Huseyn Javid Ave., Baku AZ1073, Azerbaijan</w:t>
      </w:r>
      <w:r w:rsidR="00B70C50" w:rsidRPr="00B15E2D">
        <w:rPr>
          <w:rFonts w:eastAsia="Times New Roman" w:cs="Times New Roman"/>
          <w:i/>
          <w:iCs/>
          <w:sz w:val="20"/>
          <w:szCs w:val="20"/>
          <w:lang w:val="en-US" w:eastAsia="ru-RU"/>
        </w:rPr>
        <w:t xml:space="preserve"> </w:t>
      </w:r>
      <w:r w:rsidR="00B70C50" w:rsidRPr="00B15E2D">
        <w:rPr>
          <w:rFonts w:eastAsia="Times New Roman" w:cs="Times New Roman"/>
          <w:i/>
          <w:iCs/>
          <w:sz w:val="20"/>
          <w:szCs w:val="20"/>
          <w:lang w:val="en-US" w:eastAsia="ru-RU"/>
        </w:rPr>
        <w:br/>
      </w:r>
      <w:bookmarkStart w:id="0" w:name="_Hlk207025474"/>
      <w:bookmarkStart w:id="1" w:name="_Hlk207101151"/>
      <w:r w:rsidRPr="00B15E2D">
        <w:rPr>
          <w:sz w:val="20"/>
          <w:szCs w:val="20"/>
          <w:vertAlign w:val="superscript"/>
          <w:lang w:val="uz-Cyrl-UZ"/>
        </w:rPr>
        <w:t>2</w:t>
      </w:r>
      <w:r w:rsidRPr="00B15E2D">
        <w:rPr>
          <w:i/>
          <w:iCs/>
          <w:sz w:val="20"/>
          <w:szCs w:val="20"/>
          <w:lang w:val="en-US"/>
        </w:rPr>
        <w:t xml:space="preserve">Tashkent State Transport University, 1 </w:t>
      </w:r>
      <w:proofErr w:type="spellStart"/>
      <w:r w:rsidRPr="00B15E2D">
        <w:rPr>
          <w:i/>
          <w:iCs/>
          <w:sz w:val="20"/>
          <w:szCs w:val="20"/>
          <w:lang w:val="en-US"/>
        </w:rPr>
        <w:t>Temiryulchilar</w:t>
      </w:r>
      <w:proofErr w:type="spellEnd"/>
      <w:r w:rsidRPr="00B15E2D">
        <w:rPr>
          <w:i/>
          <w:iCs/>
          <w:sz w:val="20"/>
          <w:szCs w:val="20"/>
          <w:lang w:val="en-US"/>
        </w:rPr>
        <w:t xml:space="preserve"> St., Tashkent 100167, Uzbekistan</w:t>
      </w:r>
      <w:bookmarkEnd w:id="0"/>
      <w:bookmarkEnd w:id="1"/>
      <w:r w:rsidR="00B70C50" w:rsidRPr="00B15E2D">
        <w:rPr>
          <w:rFonts w:eastAsia="Times New Roman" w:cs="Times New Roman"/>
          <w:i/>
          <w:iCs/>
          <w:sz w:val="20"/>
          <w:szCs w:val="20"/>
          <w:lang w:val="en-US" w:eastAsia="ru-RU"/>
        </w:rPr>
        <w:br/>
      </w:r>
      <w:r w:rsidRPr="00B15E2D">
        <w:rPr>
          <w:sz w:val="20"/>
          <w:szCs w:val="20"/>
          <w:vertAlign w:val="superscript"/>
          <w:lang w:val="uz-Cyrl-UZ"/>
        </w:rPr>
        <w:t>3</w:t>
      </w:r>
      <w:r w:rsidRPr="00B15E2D">
        <w:rPr>
          <w:i/>
          <w:iCs/>
          <w:sz w:val="20"/>
          <w:szCs w:val="20"/>
          <w:lang w:val="en-US"/>
        </w:rPr>
        <w:t>Asia Pacific University of Technology and Innovation (APU), Technology Park Malaysia, Bukit Jalil, Kuala Lumpur 57000, Malaysia</w:t>
      </w:r>
    </w:p>
    <w:p w14:paraId="7E411269" w14:textId="5BB34318" w:rsidR="009478B4" w:rsidRPr="00B15E2D" w:rsidRDefault="00B15E2D" w:rsidP="00B15E2D">
      <w:pPr>
        <w:spacing w:after="0"/>
        <w:jc w:val="center"/>
        <w:rPr>
          <w:rStyle w:val="a3"/>
          <w:rFonts w:eastAsia="Times New Roman" w:cs="Times New Roman"/>
          <w:i/>
          <w:iCs/>
          <w:color w:val="000000" w:themeColor="text1"/>
          <w:sz w:val="20"/>
          <w:szCs w:val="20"/>
          <w:u w:val="none"/>
          <w:lang w:val="az-Latn-AZ" w:eastAsia="ru-RU"/>
        </w:rPr>
      </w:pPr>
      <w:r w:rsidRPr="00B15E2D">
        <w:rPr>
          <w:i/>
          <w:iCs/>
          <w:color w:val="000000" w:themeColor="text1"/>
          <w:sz w:val="20"/>
          <w:szCs w:val="20"/>
          <w:vertAlign w:val="superscript"/>
          <w:lang w:val="en-US"/>
        </w:rPr>
        <w:t>a)</w:t>
      </w:r>
      <w:r w:rsidRPr="00B15E2D">
        <w:rPr>
          <w:i/>
          <w:iCs/>
          <w:color w:val="000000" w:themeColor="text1"/>
          <w:sz w:val="20"/>
          <w:szCs w:val="20"/>
          <w:lang w:val="en-US"/>
        </w:rPr>
        <w:t xml:space="preserve"> Corresponding author: </w:t>
      </w:r>
      <w:hyperlink r:id="rId6" w:history="1">
        <w:r w:rsidR="00533BAC" w:rsidRPr="00B15E2D">
          <w:rPr>
            <w:rStyle w:val="a3"/>
            <w:rFonts w:cs="Times New Roman"/>
            <w:i/>
            <w:iCs/>
            <w:color w:val="000000" w:themeColor="text1"/>
            <w:sz w:val="20"/>
            <w:szCs w:val="20"/>
            <w:u w:val="none"/>
            <w:lang w:val="en-US"/>
          </w:rPr>
          <w:t>hikmetaliyev@aztu.edu.az</w:t>
        </w:r>
      </w:hyperlink>
      <w:r w:rsidRPr="00B15E2D">
        <w:rPr>
          <w:rStyle w:val="a3"/>
          <w:rFonts w:eastAsia="Times New Roman" w:cs="Times New Roman"/>
          <w:i/>
          <w:iCs/>
          <w:color w:val="000000" w:themeColor="text1"/>
          <w:sz w:val="20"/>
          <w:szCs w:val="20"/>
          <w:u w:val="none"/>
          <w:lang w:val="en-US" w:eastAsia="ru-RU"/>
        </w:rPr>
        <w:br/>
      </w:r>
      <w:r w:rsidRPr="00B15E2D">
        <w:rPr>
          <w:rStyle w:val="a3"/>
          <w:rFonts w:cs="Times New Roman"/>
          <w:i/>
          <w:iCs/>
          <w:color w:val="000000" w:themeColor="text1"/>
          <w:sz w:val="20"/>
          <w:szCs w:val="20"/>
          <w:u w:val="none"/>
          <w:vertAlign w:val="superscript"/>
          <w:lang w:val="en-US"/>
        </w:rPr>
        <w:t xml:space="preserve">b) </w:t>
      </w:r>
      <w:r w:rsidR="009478B4" w:rsidRPr="00B15E2D">
        <w:rPr>
          <w:rStyle w:val="a3"/>
          <w:rFonts w:cs="Times New Roman"/>
          <w:i/>
          <w:iCs/>
          <w:color w:val="000000" w:themeColor="text1"/>
          <w:sz w:val="20"/>
          <w:szCs w:val="20"/>
          <w:u w:val="none"/>
          <w:lang w:val="en-US"/>
        </w:rPr>
        <w:t>Subhan.namazov@aztu.edu.az</w:t>
      </w:r>
      <w:r w:rsidRPr="00B15E2D">
        <w:rPr>
          <w:rStyle w:val="a3"/>
          <w:rFonts w:cs="Times New Roman"/>
          <w:i/>
          <w:iCs/>
          <w:color w:val="000000" w:themeColor="text1"/>
          <w:sz w:val="20"/>
          <w:szCs w:val="20"/>
          <w:u w:val="none"/>
          <w:lang w:val="en-US"/>
        </w:rPr>
        <w:br/>
      </w:r>
      <w:r w:rsidRPr="00B15E2D">
        <w:rPr>
          <w:i/>
          <w:iCs/>
          <w:color w:val="000000" w:themeColor="text1"/>
          <w:sz w:val="20"/>
          <w:szCs w:val="20"/>
          <w:vertAlign w:val="superscript"/>
          <w:lang w:val="en-US"/>
        </w:rPr>
        <w:t xml:space="preserve">c) </w:t>
      </w:r>
      <w:hyperlink r:id="rId7" w:history="1">
        <w:r w:rsidRPr="00B15E2D">
          <w:rPr>
            <w:rStyle w:val="a3"/>
            <w:rFonts w:cs="Times New Roman"/>
            <w:i/>
            <w:iCs/>
            <w:color w:val="000000" w:themeColor="text1"/>
            <w:sz w:val="20"/>
            <w:szCs w:val="20"/>
            <w:u w:val="none"/>
            <w:lang w:val="az-Latn-AZ"/>
          </w:rPr>
          <w:t>yavkacheva_z@tstu.uz</w:t>
        </w:r>
      </w:hyperlink>
      <w:r w:rsidRPr="00B15E2D">
        <w:rPr>
          <w:rStyle w:val="a3"/>
          <w:rFonts w:eastAsia="Times New Roman" w:cs="Times New Roman"/>
          <w:i/>
          <w:iCs/>
          <w:color w:val="000000" w:themeColor="text1"/>
          <w:sz w:val="20"/>
          <w:szCs w:val="20"/>
          <w:u w:val="none"/>
          <w:lang w:val="az-Latn-AZ" w:eastAsia="ru-RU"/>
        </w:rPr>
        <w:br/>
      </w:r>
      <w:r w:rsidRPr="00B15E2D">
        <w:rPr>
          <w:rStyle w:val="a3"/>
          <w:rFonts w:cs="Times New Roman"/>
          <w:i/>
          <w:iCs/>
          <w:color w:val="000000" w:themeColor="text1"/>
          <w:sz w:val="20"/>
          <w:szCs w:val="20"/>
          <w:u w:val="none"/>
          <w:vertAlign w:val="superscript"/>
          <w:lang w:val="az-Latn-AZ"/>
        </w:rPr>
        <w:t xml:space="preserve">d) </w:t>
      </w:r>
      <w:r w:rsidR="009478B4" w:rsidRPr="00B15E2D">
        <w:rPr>
          <w:rStyle w:val="a3"/>
          <w:rFonts w:cs="Times New Roman"/>
          <w:i/>
          <w:iCs/>
          <w:color w:val="000000" w:themeColor="text1"/>
          <w:sz w:val="20"/>
          <w:szCs w:val="20"/>
          <w:u w:val="none"/>
          <w:lang w:val="az-Latn-AZ"/>
        </w:rPr>
        <w:t>fauzi.zanil@apu.edu.my</w:t>
      </w:r>
    </w:p>
    <w:p w14:paraId="01F33433" w14:textId="343E31B6" w:rsidR="00F16D6C" w:rsidRPr="00B15E2D" w:rsidRDefault="00F16D6C" w:rsidP="00B15E2D">
      <w:pPr>
        <w:spacing w:before="360" w:after="360"/>
        <w:ind w:left="289" w:right="289"/>
        <w:jc w:val="both"/>
        <w:rPr>
          <w:rFonts w:eastAsia="Times New Roman" w:cs="Times New Roman"/>
          <w:kern w:val="0"/>
          <w:sz w:val="18"/>
          <w:szCs w:val="18"/>
          <w:lang w:val="az-Latn-AZ" w:eastAsia="ru-RU"/>
        </w:rPr>
      </w:pPr>
      <w:r w:rsidRPr="00B15E2D">
        <w:rPr>
          <w:rFonts w:cs="Times New Roman"/>
          <w:b/>
          <w:sz w:val="18"/>
          <w:szCs w:val="18"/>
          <w:lang w:val="az-Latn-AZ"/>
        </w:rPr>
        <w:t>Abstract</w:t>
      </w:r>
      <w:r w:rsidR="00533BAC" w:rsidRPr="00B15E2D">
        <w:rPr>
          <w:rFonts w:cs="Times New Roman"/>
          <w:b/>
          <w:sz w:val="18"/>
          <w:szCs w:val="18"/>
          <w:lang w:val="az-Latn-AZ"/>
        </w:rPr>
        <w:t xml:space="preserve">. </w:t>
      </w:r>
      <w:r w:rsidR="00AB529F" w:rsidRPr="00B15E2D">
        <w:rPr>
          <w:sz w:val="18"/>
          <w:szCs w:val="18"/>
          <w:lang w:val="en-US"/>
        </w:rPr>
        <w:t>This research investigates the electrical strength and specific volume resistivity of flame-retardant polymer composites (NFPC-30 and NFPC-10) under various temperatures using AC voltage and thermally stimulated depolarization current (TSDC) methods. Results indicate that NFPC-30 films demonstrate higher electrical breakdown strength in transformer oil than in air due to improved field homogeneity. The introduction of flame-retardant additives decreases the electrical strength but ensures compliance with standards for self-extinguishing polyethylene composites. Temperature-dependent measurements reveal that resistivity values decrease with increasing temperature, exhibiting a complex non-linear relationship due to enhanced macromolecular mobility at elevated temperatures. TSDC analysis enabled precise evaluation of resistivity at high temperatures, confirming the influence of additive concentration on dielectric behavior. Additionally, dielectric permittivity and loss tangent were measured, showing acceptable stability across tested frequencies and temperatures. Overall, the developed flame-retardant polymer composites demonstrate suitable electrical and dielectric properties for potential application in high-voltage insulation and electronic industries.</w:t>
      </w:r>
    </w:p>
    <w:p w14:paraId="6A2637BB" w14:textId="571F0C48" w:rsidR="00F16D6C" w:rsidRPr="00B15E2D" w:rsidRDefault="00533BAC" w:rsidP="00B15E2D">
      <w:pPr>
        <w:spacing w:after="0"/>
        <w:ind w:left="289" w:right="289"/>
        <w:jc w:val="both"/>
        <w:rPr>
          <w:rFonts w:eastAsia="Times New Roman" w:cs="Times New Roman"/>
          <w:kern w:val="0"/>
          <w:sz w:val="18"/>
          <w:szCs w:val="18"/>
          <w:lang w:val="en-US" w:eastAsia="ru-RU"/>
        </w:rPr>
      </w:pPr>
      <w:r w:rsidRPr="00B15E2D">
        <w:rPr>
          <w:rFonts w:eastAsia="Times New Roman" w:cs="Times New Roman"/>
          <w:b/>
          <w:bCs/>
          <w:sz w:val="18"/>
          <w:szCs w:val="18"/>
          <w:lang w:val="en-US" w:eastAsia="ru-RU"/>
        </w:rPr>
        <w:t xml:space="preserve">Keywords: </w:t>
      </w:r>
      <w:r w:rsidR="00042978" w:rsidRPr="00B15E2D">
        <w:rPr>
          <w:rFonts w:eastAsia="Times New Roman" w:cs="Times New Roman"/>
          <w:kern w:val="0"/>
          <w:sz w:val="18"/>
          <w:szCs w:val="18"/>
          <w:lang w:val="en-US" w:eastAsia="ru-RU"/>
        </w:rPr>
        <w:t>polymer dielectrics, electrical breakdown strength, flame-retardant composites, temperature-dependent electrical properties, thermally stimulated depolarization current (</w:t>
      </w:r>
      <w:proofErr w:type="spellStart"/>
      <w:r w:rsidR="00042978" w:rsidRPr="00B15E2D">
        <w:rPr>
          <w:rFonts w:eastAsia="Times New Roman" w:cs="Times New Roman"/>
          <w:kern w:val="0"/>
          <w:sz w:val="18"/>
          <w:szCs w:val="18"/>
          <w:lang w:val="en-US" w:eastAsia="ru-RU"/>
        </w:rPr>
        <w:t>tsdc</w:t>
      </w:r>
      <w:proofErr w:type="spellEnd"/>
      <w:r w:rsidR="00042978" w:rsidRPr="00B15E2D">
        <w:rPr>
          <w:rFonts w:eastAsia="Times New Roman" w:cs="Times New Roman"/>
          <w:kern w:val="0"/>
          <w:sz w:val="18"/>
          <w:szCs w:val="18"/>
          <w:lang w:val="en-US" w:eastAsia="ru-RU"/>
        </w:rPr>
        <w:t>)</w:t>
      </w:r>
    </w:p>
    <w:p w14:paraId="7E4CF35F" w14:textId="1B18FD7C" w:rsidR="00B15E2D" w:rsidRPr="00042978" w:rsidRDefault="00042978" w:rsidP="00042978">
      <w:pPr>
        <w:pStyle w:val="1"/>
        <w:spacing w:after="240"/>
        <w:jc w:val="center"/>
        <w:rPr>
          <w:rFonts w:ascii="Times New Roman" w:hAnsi="Times New Roman" w:cs="Times New Roman"/>
          <w:sz w:val="24"/>
          <w:szCs w:val="24"/>
          <w:lang w:val="en-US"/>
        </w:rPr>
      </w:pPr>
      <w:r w:rsidRPr="00C05F1E">
        <w:rPr>
          <w:rFonts w:ascii="Times New Roman" w:hAnsi="Times New Roman" w:cs="Times New Roman"/>
          <w:sz w:val="24"/>
          <w:szCs w:val="24"/>
          <w:lang w:val="en-US"/>
        </w:rPr>
        <w:t>INTRODUCTION</w:t>
      </w:r>
    </w:p>
    <w:p w14:paraId="134D7EAA" w14:textId="1BFC5D8D" w:rsidR="00AB529F" w:rsidRPr="00AB529F" w:rsidRDefault="00AB529F" w:rsidP="00B15E2D">
      <w:pPr>
        <w:spacing w:after="0"/>
        <w:ind w:firstLine="284"/>
        <w:jc w:val="both"/>
        <w:rPr>
          <w:sz w:val="20"/>
          <w:szCs w:val="20"/>
          <w:lang w:val="en-US"/>
        </w:rPr>
      </w:pPr>
      <w:r w:rsidRPr="00AB529F">
        <w:rPr>
          <w:rFonts w:eastAsia="Times New Roman" w:cs="Times New Roman"/>
          <w:kern w:val="0"/>
          <w:sz w:val="20"/>
          <w:szCs w:val="20"/>
          <w:lang w:val="en-US" w:eastAsia="ru-RU"/>
        </w:rPr>
        <w:t xml:space="preserve">Determination of electrical strength of polymer composites was carried out according to standards 6433.3-84 between flat </w:t>
      </w:r>
      <w:r w:rsidR="00AA14C1" w:rsidRPr="00AB529F">
        <w:rPr>
          <w:rFonts w:eastAsia="Times New Roman" w:cs="Times New Roman"/>
          <w:kern w:val="0"/>
          <w:sz w:val="20"/>
          <w:szCs w:val="20"/>
          <w:lang w:val="en-US" w:eastAsia="ru-RU"/>
        </w:rPr>
        <w:t>stainless-steel</w:t>
      </w:r>
      <w:r w:rsidRPr="00AB529F">
        <w:rPr>
          <w:rFonts w:eastAsia="Times New Roman" w:cs="Times New Roman"/>
          <w:kern w:val="0"/>
          <w:sz w:val="20"/>
          <w:szCs w:val="20"/>
          <w:lang w:val="en-US" w:eastAsia="ru-RU"/>
        </w:rPr>
        <w:t xml:space="preserve"> electrodes. The diameter of the lower ground electrode was 50 mm, the upper electrode 10 mm. The test specimens were in the form of a disc with a diameter of 100 mm and a film thickness of 80-90 </w:t>
      </w:r>
      <w:proofErr w:type="spellStart"/>
      <w:r w:rsidRPr="00AB529F">
        <w:rPr>
          <w:rFonts w:eastAsia="Times New Roman" w:cs="Times New Roman"/>
          <w:kern w:val="0"/>
          <w:sz w:val="20"/>
          <w:szCs w:val="20"/>
          <w:lang w:val="en-US" w:eastAsia="ru-RU"/>
        </w:rPr>
        <w:t>μm</w:t>
      </w:r>
      <w:proofErr w:type="spellEnd"/>
      <w:r w:rsidRPr="00AB529F">
        <w:rPr>
          <w:rFonts w:eastAsia="Times New Roman" w:cs="Times New Roman"/>
          <w:kern w:val="0"/>
          <w:sz w:val="20"/>
          <w:szCs w:val="20"/>
          <w:lang w:val="en-US" w:eastAsia="ru-RU"/>
        </w:rPr>
        <w:t>, the plates were 1 mm. The source of high voltage with a frequency of 50 Hz was a 2200x30000 V high-voltage transformer with a capacity of 2 kVA. The voltage on the sample was raised automatically at a rate of about 2 kV/s and was measured at the moment of breakdown using a C-96 kilovolt meter.</w:t>
      </w:r>
    </w:p>
    <w:p w14:paraId="5734EB68" w14:textId="679B4D78" w:rsidR="00F16D6C" w:rsidRDefault="00F16D6C" w:rsidP="00B15E2D">
      <w:pPr>
        <w:spacing w:after="0"/>
        <w:ind w:firstLine="284"/>
        <w:jc w:val="both"/>
        <w:rPr>
          <w:sz w:val="20"/>
          <w:szCs w:val="20"/>
          <w:lang w:val="en-US"/>
        </w:rPr>
      </w:pPr>
      <w:r w:rsidRPr="00533BAC">
        <w:rPr>
          <w:sz w:val="20"/>
          <w:szCs w:val="20"/>
          <w:lang w:val="en-US"/>
        </w:rPr>
        <w:t xml:space="preserve">The wide application of plastics and synthetic resins in various industries has shown that along with their unique properties, they have a number of disadvantages. One of the most serious disadvantages inherent in such multi-tonnage polymers as polyolefin’s is their flammability. Therefore, the growth of production and consumption of many polymeric materials in various branches of technology, especially in the electrical and radio electronic industry, in construction, is somewhat restrained. Thus, the widespread use of polymeric materials has given rise to the acute problem of reducing their flammability. Reduction of flammability of polymeric materials is achieved mainly by their modification or introduction of combustion retardants - flame retardants </w:t>
      </w:r>
      <w:r w:rsidRPr="00533BAC">
        <w:rPr>
          <w:sz w:val="20"/>
          <w:szCs w:val="20"/>
        </w:rPr>
        <w:sym w:font="Symbol" w:char="F05B"/>
      </w:r>
      <w:r w:rsidRPr="00533BAC">
        <w:rPr>
          <w:sz w:val="20"/>
          <w:szCs w:val="20"/>
          <w:lang w:val="en-US"/>
        </w:rPr>
        <w:t>1</w:t>
      </w:r>
      <w:r w:rsidR="006D7851">
        <w:rPr>
          <w:sz w:val="20"/>
          <w:szCs w:val="20"/>
          <w:lang w:val="en-US"/>
        </w:rPr>
        <w:t xml:space="preserve">, 2, </w:t>
      </w:r>
      <w:r w:rsidRPr="00533BAC">
        <w:rPr>
          <w:sz w:val="20"/>
          <w:szCs w:val="20"/>
          <w:lang w:val="en-US"/>
        </w:rPr>
        <w:t>3</w:t>
      </w:r>
      <w:r w:rsidRPr="00533BAC">
        <w:rPr>
          <w:sz w:val="20"/>
          <w:szCs w:val="20"/>
        </w:rPr>
        <w:sym w:font="Symbol" w:char="F05D"/>
      </w:r>
      <w:r w:rsidRPr="00533BAC">
        <w:rPr>
          <w:sz w:val="20"/>
          <w:szCs w:val="20"/>
          <w:lang w:val="en-US"/>
        </w:rPr>
        <w:t xml:space="preserve">. </w:t>
      </w:r>
    </w:p>
    <w:p w14:paraId="7E7A95B0" w14:textId="0D066889" w:rsidR="001F3A0F" w:rsidRPr="005B0458" w:rsidRDefault="005B0458" w:rsidP="005B0458">
      <w:pPr>
        <w:pStyle w:val="1"/>
        <w:spacing w:after="240"/>
        <w:jc w:val="center"/>
        <w:rPr>
          <w:rFonts w:ascii="Times New Roman" w:hAnsi="Times New Roman" w:cs="Times New Roman"/>
          <w:sz w:val="24"/>
          <w:szCs w:val="24"/>
          <w:lang w:val="en-US"/>
        </w:rPr>
      </w:pPr>
      <w:r w:rsidRPr="005B0458">
        <w:rPr>
          <w:rFonts w:ascii="Times New Roman" w:hAnsi="Times New Roman" w:cs="Times New Roman"/>
          <w:sz w:val="24"/>
          <w:szCs w:val="24"/>
          <w:lang w:val="en-US"/>
        </w:rPr>
        <w:t>METHODS</w:t>
      </w:r>
    </w:p>
    <w:p w14:paraId="2437E9E5" w14:textId="77777777" w:rsidR="00F16D6C" w:rsidRPr="00533BAC" w:rsidRDefault="00F16D6C" w:rsidP="00B15E2D">
      <w:pPr>
        <w:spacing w:after="0"/>
        <w:ind w:firstLine="284"/>
        <w:jc w:val="both"/>
        <w:rPr>
          <w:sz w:val="20"/>
          <w:szCs w:val="20"/>
          <w:lang w:val="en-US"/>
        </w:rPr>
      </w:pPr>
      <w:r w:rsidRPr="00533BAC">
        <w:rPr>
          <w:sz w:val="20"/>
          <w:szCs w:val="20"/>
          <w:lang w:val="en-US"/>
        </w:rPr>
        <w:t xml:space="preserve">The results of tests of polymer composites in the form of films and plates showed that the electrical strength of </w:t>
      </w:r>
      <w:r w:rsidR="00C71BC5" w:rsidRPr="00533BAC">
        <w:rPr>
          <w:sz w:val="20"/>
          <w:szCs w:val="20"/>
          <w:lang w:val="en-US"/>
        </w:rPr>
        <w:t>NFPC</w:t>
      </w:r>
      <w:r w:rsidRPr="00533BAC">
        <w:rPr>
          <w:sz w:val="20"/>
          <w:szCs w:val="20"/>
          <w:lang w:val="en-US"/>
        </w:rPr>
        <w:t xml:space="preserve">-30 </w:t>
      </w:r>
      <w:r w:rsidR="00C71BC5" w:rsidRPr="00533BAC">
        <w:rPr>
          <w:sz w:val="20"/>
          <w:szCs w:val="20"/>
          <w:lang w:val="en-US"/>
        </w:rPr>
        <w:t xml:space="preserve">(non-flammable polymer composite) </w:t>
      </w:r>
      <w:r w:rsidRPr="00533BAC">
        <w:rPr>
          <w:sz w:val="20"/>
          <w:szCs w:val="20"/>
          <w:lang w:val="en-US"/>
        </w:rPr>
        <w:t>film at room temperature in oil (105</w:t>
      </w:r>
      <w:r w:rsidR="0020534E" w:rsidRPr="00533BAC">
        <w:rPr>
          <w:sz w:val="20"/>
          <w:szCs w:val="20"/>
        </w:rPr>
        <w:sym w:font="Symbol" w:char="F0B1"/>
      </w:r>
      <w:r w:rsidRPr="00533BAC">
        <w:rPr>
          <w:sz w:val="20"/>
          <w:szCs w:val="20"/>
          <w:lang w:val="en-US"/>
        </w:rPr>
        <w:t>4</w:t>
      </w:r>
      <w:r w:rsidRPr="00533BAC">
        <w:rPr>
          <w:sz w:val="20"/>
          <w:szCs w:val="20"/>
        </w:rPr>
        <w:t>к</w:t>
      </w:r>
      <w:r w:rsidR="0020534E" w:rsidRPr="00533BAC">
        <w:rPr>
          <w:sz w:val="20"/>
          <w:szCs w:val="20"/>
          <w:lang w:val="az-Latn-AZ"/>
        </w:rPr>
        <w:t>V</w:t>
      </w:r>
      <w:r w:rsidRPr="00533BAC">
        <w:rPr>
          <w:sz w:val="20"/>
          <w:szCs w:val="20"/>
          <w:lang w:val="en-US"/>
        </w:rPr>
        <w:t>/mm) is almost 50% higher than in air (73</w:t>
      </w:r>
      <w:r w:rsidR="0020534E" w:rsidRPr="00533BAC">
        <w:rPr>
          <w:sz w:val="20"/>
          <w:szCs w:val="20"/>
        </w:rPr>
        <w:sym w:font="Symbol" w:char="F0B1"/>
      </w:r>
      <w:r w:rsidRPr="00533BAC">
        <w:rPr>
          <w:sz w:val="20"/>
          <w:szCs w:val="20"/>
          <w:lang w:val="en-US"/>
        </w:rPr>
        <w:t>8</w:t>
      </w:r>
      <w:r w:rsidRPr="00533BAC">
        <w:rPr>
          <w:sz w:val="20"/>
          <w:szCs w:val="20"/>
        </w:rPr>
        <w:t>к</w:t>
      </w:r>
      <w:r w:rsidR="0020534E" w:rsidRPr="00533BAC">
        <w:rPr>
          <w:sz w:val="20"/>
          <w:szCs w:val="20"/>
          <w:lang w:val="az-Latn-AZ"/>
        </w:rPr>
        <w:t>V</w:t>
      </w:r>
      <w:r w:rsidRPr="00533BAC">
        <w:rPr>
          <w:sz w:val="20"/>
          <w:szCs w:val="20"/>
          <w:lang w:val="en-US"/>
        </w:rPr>
        <w:t xml:space="preserve">/mm). This is due to the fact that the use of transformer oil increases the homogeneity of the electric field between the electrodes and reduces the possibility of partial discharges at the edge of the electrode. Tests of 1 mm thick plates at </w:t>
      </w:r>
      <w:r w:rsidRPr="00533BAC">
        <w:rPr>
          <w:sz w:val="20"/>
          <w:szCs w:val="20"/>
          <w:lang w:val="en-US"/>
        </w:rPr>
        <w:lastRenderedPageBreak/>
        <w:t>room temperature in oil showed that the introduction of additives in the polymer that reduce the flammability of polyethylene leads to a decrease in the electrical strength from 47 to 38 kV/mm.</w:t>
      </w:r>
    </w:p>
    <w:p w14:paraId="1014CC5D" w14:textId="77777777" w:rsidR="00F16D6C" w:rsidRPr="00533BAC" w:rsidRDefault="0020534E" w:rsidP="00B15E2D">
      <w:pPr>
        <w:spacing w:after="0"/>
        <w:ind w:firstLine="284"/>
        <w:jc w:val="both"/>
        <w:rPr>
          <w:sz w:val="20"/>
          <w:szCs w:val="20"/>
          <w:lang w:val="en-US"/>
        </w:rPr>
      </w:pPr>
      <w:r w:rsidRPr="00533BAC">
        <w:rPr>
          <w:sz w:val="20"/>
          <w:szCs w:val="20"/>
          <w:lang w:val="en-US"/>
        </w:rPr>
        <w:t xml:space="preserve">According to the standard 16336-87 the electrical strength of PE composites for cable industry should be not less than 40 kV/mm at testing of samples with thickness of 1 mm, alternating voltage with frequency of 50 Hz in oil and 35 kV/mm - for self-extinguishing PE composites with thermal </w:t>
      </w:r>
      <w:proofErr w:type="spellStart"/>
      <w:r w:rsidRPr="00533BAC">
        <w:rPr>
          <w:sz w:val="20"/>
          <w:szCs w:val="20"/>
          <w:lang w:val="en-US"/>
        </w:rPr>
        <w:t>stabilisers</w:t>
      </w:r>
      <w:proofErr w:type="spellEnd"/>
      <w:r w:rsidRPr="00533BAC">
        <w:rPr>
          <w:sz w:val="20"/>
          <w:szCs w:val="20"/>
          <w:lang w:val="en-US"/>
        </w:rPr>
        <w:t xml:space="preserve"> and flame retardants (formulation additives 61K, 62K and 63K). Thus, it is established that the electrical strength of </w:t>
      </w:r>
      <w:r w:rsidR="00C71BC5" w:rsidRPr="00533BAC">
        <w:rPr>
          <w:sz w:val="20"/>
          <w:szCs w:val="20"/>
          <w:lang w:val="en-US"/>
        </w:rPr>
        <w:t>NFPC</w:t>
      </w:r>
      <w:r w:rsidRPr="00533BAC">
        <w:rPr>
          <w:sz w:val="20"/>
          <w:szCs w:val="20"/>
          <w:lang w:val="en-US"/>
        </w:rPr>
        <w:t xml:space="preserve">-30 composites, equal to 38 kV/mm, meet the requirements of standard 16336-87 for self-extinguishing PE composites resistant to thermo-oxidative ageing. In order to determine the possibility of development of reinforced film and sheet structural dielectrics using </w:t>
      </w:r>
      <w:r w:rsidR="00C71BC5" w:rsidRPr="00533BAC">
        <w:rPr>
          <w:sz w:val="20"/>
          <w:szCs w:val="20"/>
          <w:lang w:val="en-US"/>
        </w:rPr>
        <w:t>NFPC</w:t>
      </w:r>
      <w:r w:rsidRPr="00533BAC">
        <w:rPr>
          <w:sz w:val="20"/>
          <w:szCs w:val="20"/>
          <w:lang w:val="en-US"/>
        </w:rPr>
        <w:t xml:space="preserve">-30 as a binder </w:t>
      </w:r>
      <w:r w:rsidRPr="00533BAC">
        <w:rPr>
          <w:sz w:val="20"/>
          <w:szCs w:val="20"/>
          <w:lang w:val="az-Latn-AZ"/>
        </w:rPr>
        <w:t>DF</w:t>
      </w:r>
      <w:r w:rsidRPr="00533BAC">
        <w:rPr>
          <w:sz w:val="20"/>
          <w:szCs w:val="20"/>
          <w:lang w:val="en-US"/>
        </w:rPr>
        <w:t xml:space="preserve">PC (difficult flammable polyethylene composite), experimental work was carried out to investigate the compatibility of this composite with glass </w:t>
      </w:r>
      <w:proofErr w:type="spellStart"/>
      <w:r w:rsidRPr="00533BAC">
        <w:rPr>
          <w:sz w:val="20"/>
          <w:szCs w:val="20"/>
          <w:lang w:val="en-US"/>
        </w:rPr>
        <w:t>fibre</w:t>
      </w:r>
      <w:proofErr w:type="spellEnd"/>
      <w:r w:rsidRPr="00533BAC">
        <w:rPr>
          <w:sz w:val="20"/>
          <w:szCs w:val="20"/>
          <w:lang w:val="en-US"/>
        </w:rPr>
        <w:t xml:space="preserve"> fabric C-1189. It was established by the tests that the electrical strength of glass fabric C-1189 in air, as well as for </w:t>
      </w:r>
      <w:r w:rsidR="00C71BC5" w:rsidRPr="00533BAC">
        <w:rPr>
          <w:sz w:val="20"/>
          <w:szCs w:val="20"/>
          <w:lang w:val="en-US"/>
        </w:rPr>
        <w:t>NFPC</w:t>
      </w:r>
      <w:r w:rsidRPr="00533BAC">
        <w:rPr>
          <w:sz w:val="20"/>
          <w:szCs w:val="20"/>
          <w:lang w:val="en-US"/>
        </w:rPr>
        <w:t xml:space="preserve">-30 films, is significantly lower than in oil. The values of electrical strength of films consisting of </w:t>
      </w:r>
      <w:r w:rsidR="00C71BC5" w:rsidRPr="00533BAC">
        <w:rPr>
          <w:sz w:val="20"/>
          <w:szCs w:val="20"/>
          <w:lang w:val="en-US"/>
        </w:rPr>
        <w:t>NFPC</w:t>
      </w:r>
      <w:r w:rsidRPr="00533BAC">
        <w:rPr>
          <w:sz w:val="20"/>
          <w:szCs w:val="20"/>
          <w:lang w:val="en-US"/>
        </w:rPr>
        <w:t xml:space="preserve">-30 composite and one layer of glass fabric were lower than for </w:t>
      </w:r>
      <w:r w:rsidR="00C71BC5" w:rsidRPr="00533BAC">
        <w:rPr>
          <w:sz w:val="20"/>
          <w:szCs w:val="20"/>
          <w:lang w:val="en-US"/>
        </w:rPr>
        <w:t>NFPC</w:t>
      </w:r>
      <w:r w:rsidRPr="00533BAC">
        <w:rPr>
          <w:sz w:val="20"/>
          <w:szCs w:val="20"/>
          <w:lang w:val="en-US"/>
        </w:rPr>
        <w:t xml:space="preserve">-30 film. The breakdown of the glass fabric always occurred in the cell between the glass </w:t>
      </w:r>
      <w:proofErr w:type="spellStart"/>
      <w:r w:rsidRPr="00533BAC">
        <w:rPr>
          <w:sz w:val="20"/>
          <w:szCs w:val="20"/>
          <w:lang w:val="en-US"/>
        </w:rPr>
        <w:t>fibres</w:t>
      </w:r>
      <w:proofErr w:type="spellEnd"/>
      <w:r w:rsidRPr="00533BAC">
        <w:rPr>
          <w:sz w:val="20"/>
          <w:szCs w:val="20"/>
          <w:lang w:val="en-US"/>
        </w:rPr>
        <w:t xml:space="preserve">. Therefore, it is possible to increase the electrical strength of the glass fabric by increasing the number of alternating layers of polymer-glass </w:t>
      </w:r>
      <w:proofErr w:type="spellStart"/>
      <w:r w:rsidRPr="00533BAC">
        <w:rPr>
          <w:sz w:val="20"/>
          <w:szCs w:val="20"/>
          <w:lang w:val="en-US"/>
        </w:rPr>
        <w:t>fibre</w:t>
      </w:r>
      <w:proofErr w:type="spellEnd"/>
      <w:r w:rsidRPr="00533BAC">
        <w:rPr>
          <w:sz w:val="20"/>
          <w:szCs w:val="20"/>
          <w:lang w:val="en-US"/>
        </w:rPr>
        <w:t xml:space="preserve"> so that the electrically weak places do not coincide.</w:t>
      </w:r>
    </w:p>
    <w:p w14:paraId="08F0BAEB" w14:textId="77777777" w:rsidR="0020534E" w:rsidRPr="00533BAC" w:rsidRDefault="0020534E" w:rsidP="00B15E2D">
      <w:pPr>
        <w:spacing w:after="0"/>
        <w:ind w:firstLine="284"/>
        <w:jc w:val="both"/>
        <w:rPr>
          <w:sz w:val="20"/>
          <w:szCs w:val="20"/>
          <w:lang w:val="en-US"/>
        </w:rPr>
      </w:pPr>
      <w:r w:rsidRPr="00533BAC">
        <w:rPr>
          <w:sz w:val="20"/>
          <w:szCs w:val="20"/>
          <w:lang w:val="en-US"/>
        </w:rPr>
        <w:t>In addition to the electrical strength, the character of change in the specific electrical resistance (</w:t>
      </w:r>
      <w:proofErr w:type="spellStart"/>
      <w:r w:rsidRPr="00533BAC">
        <w:rPr>
          <w:sz w:val="20"/>
          <w:szCs w:val="20"/>
          <w:lang w:val="en-US"/>
        </w:rPr>
        <w:t>ρ</w:t>
      </w:r>
      <w:r w:rsidRPr="00533BAC">
        <w:rPr>
          <w:sz w:val="20"/>
          <w:szCs w:val="20"/>
          <w:vertAlign w:val="subscript"/>
          <w:lang w:val="en-US"/>
        </w:rPr>
        <w:t>V</w:t>
      </w:r>
      <w:proofErr w:type="spellEnd"/>
      <w:r w:rsidRPr="00533BAC">
        <w:rPr>
          <w:sz w:val="20"/>
          <w:szCs w:val="20"/>
          <w:lang w:val="en-US"/>
        </w:rPr>
        <w:t xml:space="preserve">) of DFPC was also investigated. The typical time dependence of the charging current for the </w:t>
      </w:r>
      <w:r w:rsidR="00C71BC5" w:rsidRPr="00533BAC">
        <w:rPr>
          <w:sz w:val="20"/>
          <w:szCs w:val="20"/>
          <w:lang w:val="en-US"/>
        </w:rPr>
        <w:t>NFPC</w:t>
      </w:r>
      <w:r w:rsidRPr="00533BAC">
        <w:rPr>
          <w:sz w:val="20"/>
          <w:szCs w:val="20"/>
          <w:lang w:val="en-US"/>
        </w:rPr>
        <w:t xml:space="preserve">-30 film is presented in Figure 1. Based on the results of measurements performed on 4 samples, the values of </w:t>
      </w:r>
      <w:proofErr w:type="spellStart"/>
      <w:r w:rsidRPr="00533BAC">
        <w:rPr>
          <w:sz w:val="20"/>
          <w:szCs w:val="20"/>
          <w:lang w:val="en-US"/>
        </w:rPr>
        <w:t>ρ</w:t>
      </w:r>
      <w:r w:rsidRPr="00533BAC">
        <w:rPr>
          <w:sz w:val="20"/>
          <w:szCs w:val="20"/>
          <w:vertAlign w:val="subscript"/>
          <w:lang w:val="en-US"/>
        </w:rPr>
        <w:t>V</w:t>
      </w:r>
      <w:proofErr w:type="spellEnd"/>
      <w:r w:rsidRPr="00533BAC">
        <w:rPr>
          <w:sz w:val="20"/>
          <w:szCs w:val="20"/>
          <w:lang w:val="en-US"/>
        </w:rPr>
        <w:t xml:space="preserve"> for </w:t>
      </w:r>
      <w:r w:rsidR="00C71BC5" w:rsidRPr="00533BAC">
        <w:rPr>
          <w:sz w:val="20"/>
          <w:szCs w:val="20"/>
          <w:lang w:val="en-US"/>
        </w:rPr>
        <w:t>NFPC</w:t>
      </w:r>
      <w:r w:rsidRPr="00533BAC">
        <w:rPr>
          <w:sz w:val="20"/>
          <w:szCs w:val="20"/>
          <w:lang w:val="en-US"/>
        </w:rPr>
        <w:t>-30 at the indicated temperatures were calculated.</w:t>
      </w:r>
    </w:p>
    <w:p w14:paraId="1E1831D3" w14:textId="77777777" w:rsidR="00077FA5" w:rsidRDefault="005968C2" w:rsidP="00C85953">
      <w:pPr>
        <w:spacing w:after="0"/>
        <w:jc w:val="center"/>
        <w:rPr>
          <w:sz w:val="24"/>
          <w:szCs w:val="24"/>
        </w:rPr>
      </w:pPr>
      <w:r>
        <w:rPr>
          <w:noProof/>
          <w:sz w:val="24"/>
          <w:szCs w:val="24"/>
          <w:lang w:val="en-US"/>
        </w:rPr>
        <w:drawing>
          <wp:inline distT="0" distB="0" distL="0" distR="0" wp14:anchorId="1DBEBB70" wp14:editId="0836773B">
            <wp:extent cx="3191982" cy="256511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198859" cy="2570640"/>
                    </a:xfrm>
                    <a:prstGeom prst="rect">
                      <a:avLst/>
                    </a:prstGeom>
                    <a:noFill/>
                    <a:ln w="9525">
                      <a:noFill/>
                      <a:miter lim="800000"/>
                      <a:headEnd/>
                      <a:tailEnd/>
                    </a:ln>
                  </pic:spPr>
                </pic:pic>
              </a:graphicData>
            </a:graphic>
          </wp:inline>
        </w:drawing>
      </w:r>
    </w:p>
    <w:p w14:paraId="0C111176" w14:textId="72767174" w:rsidR="0020534E" w:rsidRPr="00042978" w:rsidRDefault="00042978" w:rsidP="006D7851">
      <w:pPr>
        <w:spacing w:after="120"/>
        <w:jc w:val="center"/>
        <w:rPr>
          <w:rFonts w:eastAsiaTheme="minorEastAsia" w:cs="Times New Roman"/>
          <w:bCs/>
          <w:noProof/>
          <w:kern w:val="0"/>
          <w:sz w:val="18"/>
          <w:szCs w:val="18"/>
          <w:lang w:val="uz-Cyrl-UZ"/>
        </w:rPr>
      </w:pPr>
      <w:r w:rsidRPr="007C4907">
        <w:rPr>
          <w:rFonts w:eastAsiaTheme="minorEastAsia"/>
          <w:b/>
          <w:sz w:val="18"/>
          <w:szCs w:val="18"/>
          <w:lang w:val="uz-Cyrl-UZ"/>
        </w:rPr>
        <w:t>FIGURE</w:t>
      </w:r>
      <w:r w:rsidR="0020534E" w:rsidRPr="00533BAC">
        <w:rPr>
          <w:b/>
          <w:bCs/>
          <w:sz w:val="24"/>
          <w:szCs w:val="24"/>
          <w:lang w:val="az-Latn-AZ"/>
        </w:rPr>
        <w:t xml:space="preserve"> </w:t>
      </w:r>
      <w:r w:rsidR="0020534E" w:rsidRPr="00042978">
        <w:rPr>
          <w:b/>
          <w:bCs/>
          <w:sz w:val="18"/>
          <w:szCs w:val="18"/>
          <w:lang w:val="az-Latn-AZ"/>
        </w:rPr>
        <w:t xml:space="preserve">1. </w:t>
      </w:r>
      <w:r w:rsidR="0020534E" w:rsidRPr="00042978">
        <w:rPr>
          <w:rFonts w:eastAsiaTheme="minorEastAsia" w:cs="Times New Roman"/>
          <w:bCs/>
          <w:noProof/>
          <w:kern w:val="0"/>
          <w:sz w:val="18"/>
          <w:szCs w:val="18"/>
          <w:lang w:val="uz-Cyrl-UZ"/>
        </w:rPr>
        <w:t>Dependence of charging current on time for a 90 µm thick</w:t>
      </w:r>
      <w:r>
        <w:rPr>
          <w:rFonts w:eastAsiaTheme="minorEastAsia" w:cs="Times New Roman"/>
          <w:bCs/>
          <w:noProof/>
          <w:kern w:val="0"/>
          <w:sz w:val="18"/>
          <w:szCs w:val="18"/>
          <w:lang w:val="az-Latn-AZ"/>
        </w:rPr>
        <w:t xml:space="preserve"> </w:t>
      </w:r>
      <w:r w:rsidR="00C71BC5" w:rsidRPr="00042978">
        <w:rPr>
          <w:rFonts w:eastAsiaTheme="minorEastAsia" w:cs="Times New Roman"/>
          <w:bCs/>
          <w:noProof/>
          <w:kern w:val="0"/>
          <w:sz w:val="18"/>
          <w:szCs w:val="18"/>
          <w:lang w:val="uz-Cyrl-UZ"/>
        </w:rPr>
        <w:t>NFPC</w:t>
      </w:r>
      <w:r w:rsidR="0020534E" w:rsidRPr="00042978">
        <w:rPr>
          <w:rFonts w:eastAsiaTheme="minorEastAsia" w:cs="Times New Roman"/>
          <w:bCs/>
          <w:noProof/>
          <w:kern w:val="0"/>
          <w:sz w:val="18"/>
          <w:szCs w:val="18"/>
          <w:lang w:val="uz-Cyrl-UZ"/>
        </w:rPr>
        <w:t>-30 sample (T = 700 C)</w:t>
      </w:r>
    </w:p>
    <w:p w14:paraId="3BA85D5D" w14:textId="5E97811E" w:rsidR="0020534E" w:rsidRPr="00533BAC" w:rsidRDefault="0020534E" w:rsidP="00042978">
      <w:pPr>
        <w:spacing w:after="0"/>
        <w:ind w:firstLine="284"/>
        <w:jc w:val="both"/>
        <w:rPr>
          <w:sz w:val="20"/>
          <w:szCs w:val="20"/>
          <w:lang w:val="az-Latn-AZ"/>
        </w:rPr>
      </w:pPr>
      <w:r w:rsidRPr="00533BAC">
        <w:rPr>
          <w:sz w:val="20"/>
          <w:szCs w:val="20"/>
          <w:lang w:val="az-Latn-AZ"/>
        </w:rPr>
        <w:t>It is known that polymer cooling leads to an increase in electrical strength, but in the temperature range below -250</w:t>
      </w:r>
      <w:r w:rsidRPr="00533BAC">
        <w:rPr>
          <w:sz w:val="20"/>
          <w:szCs w:val="20"/>
          <w:vertAlign w:val="superscript"/>
          <w:lang w:val="az-Latn-AZ"/>
        </w:rPr>
        <w:t>0</w:t>
      </w:r>
      <w:r w:rsidRPr="00533BAC">
        <w:rPr>
          <w:sz w:val="20"/>
          <w:szCs w:val="20"/>
          <w:lang w:val="az-Latn-AZ"/>
        </w:rPr>
        <w:t xml:space="preserve"> C the electrical strength of polyethylene does not change much </w:t>
      </w:r>
      <w:r w:rsidR="00B96A35" w:rsidRPr="00533BAC">
        <w:rPr>
          <w:sz w:val="20"/>
          <w:szCs w:val="20"/>
        </w:rPr>
        <w:sym w:font="Symbol" w:char="F05B"/>
      </w:r>
      <w:r w:rsidR="00B96A35" w:rsidRPr="00533BAC">
        <w:rPr>
          <w:sz w:val="20"/>
          <w:szCs w:val="20"/>
          <w:lang w:val="en-US"/>
        </w:rPr>
        <w:t>4</w:t>
      </w:r>
      <w:r w:rsidR="00AA14C1">
        <w:rPr>
          <w:sz w:val="20"/>
          <w:szCs w:val="20"/>
          <w:lang w:val="en-US"/>
        </w:rPr>
        <w:t xml:space="preserve">, 5, </w:t>
      </w:r>
      <w:r w:rsidR="00B96A35" w:rsidRPr="00533BAC">
        <w:rPr>
          <w:sz w:val="20"/>
          <w:szCs w:val="20"/>
          <w:lang w:val="en-US"/>
        </w:rPr>
        <w:t>6</w:t>
      </w:r>
      <w:r w:rsidR="00B96A35" w:rsidRPr="00533BAC">
        <w:rPr>
          <w:sz w:val="20"/>
          <w:szCs w:val="20"/>
        </w:rPr>
        <w:sym w:font="Symbol" w:char="F05D"/>
      </w:r>
      <w:r w:rsidRPr="00533BAC">
        <w:rPr>
          <w:sz w:val="20"/>
          <w:szCs w:val="20"/>
          <w:lang w:val="az-Latn-AZ"/>
        </w:rPr>
        <w:t xml:space="preserve">. Determinations of the value of electrical strength of 100 µm thick </w:t>
      </w:r>
      <w:r w:rsidR="00C71BC5" w:rsidRPr="00533BAC">
        <w:rPr>
          <w:sz w:val="20"/>
          <w:szCs w:val="20"/>
          <w:lang w:val="az-Latn-AZ"/>
        </w:rPr>
        <w:t>NFPC</w:t>
      </w:r>
      <w:r w:rsidRPr="00533BAC">
        <w:rPr>
          <w:sz w:val="20"/>
          <w:szCs w:val="20"/>
          <w:lang w:val="az-Latn-AZ"/>
        </w:rPr>
        <w:t>-30 film and 200 µm thick glass fabric C-1189 in liquid nitrogen environment at -196</w:t>
      </w:r>
      <w:r w:rsidRPr="00533BAC">
        <w:rPr>
          <w:sz w:val="20"/>
          <w:szCs w:val="20"/>
          <w:vertAlign w:val="superscript"/>
          <w:lang w:val="az-Latn-AZ"/>
        </w:rPr>
        <w:t>0</w:t>
      </w:r>
      <w:r w:rsidRPr="00533BAC">
        <w:rPr>
          <w:sz w:val="20"/>
          <w:szCs w:val="20"/>
          <w:lang w:val="az-Latn-AZ"/>
        </w:rPr>
        <w:t xml:space="preserve"> C showed that E</w:t>
      </w:r>
      <w:r w:rsidRPr="00533BAC">
        <w:rPr>
          <w:sz w:val="20"/>
          <w:szCs w:val="20"/>
          <w:vertAlign w:val="subscript"/>
          <w:lang w:val="az-Latn-AZ"/>
        </w:rPr>
        <w:t>pr</w:t>
      </w:r>
      <w:r w:rsidRPr="00533BAC">
        <w:rPr>
          <w:sz w:val="20"/>
          <w:szCs w:val="20"/>
          <w:lang w:val="az-Latn-AZ"/>
        </w:rPr>
        <w:t xml:space="preserve"> of </w:t>
      </w:r>
      <w:r w:rsidR="00C71BC5" w:rsidRPr="00533BAC">
        <w:rPr>
          <w:sz w:val="20"/>
          <w:szCs w:val="20"/>
          <w:lang w:val="az-Latn-AZ"/>
        </w:rPr>
        <w:t>NFPC</w:t>
      </w:r>
      <w:r w:rsidRPr="00533BAC">
        <w:rPr>
          <w:sz w:val="20"/>
          <w:szCs w:val="20"/>
          <w:lang w:val="az-Latn-AZ"/>
        </w:rPr>
        <w:t>-30 is equal to 105</w:t>
      </w:r>
      <w:r w:rsidR="00B96A35" w:rsidRPr="00533BAC">
        <w:rPr>
          <w:sz w:val="20"/>
          <w:szCs w:val="20"/>
        </w:rPr>
        <w:sym w:font="Symbol" w:char="F0B1"/>
      </w:r>
      <w:r w:rsidRPr="00533BAC">
        <w:rPr>
          <w:sz w:val="20"/>
          <w:szCs w:val="20"/>
          <w:lang w:val="az-Latn-AZ"/>
        </w:rPr>
        <w:t>6 kV/mm, and of glass fabric -40</w:t>
      </w:r>
      <w:r w:rsidR="00B96A35" w:rsidRPr="00533BAC">
        <w:rPr>
          <w:sz w:val="20"/>
          <w:szCs w:val="20"/>
        </w:rPr>
        <w:sym w:font="Symbol" w:char="F0B1"/>
      </w:r>
      <w:r w:rsidRPr="00533BAC">
        <w:rPr>
          <w:sz w:val="20"/>
          <w:szCs w:val="20"/>
          <w:lang w:val="az-Latn-AZ"/>
        </w:rPr>
        <w:t>2 kV/mm. In the process of research it was found out that carrying out measurements in accordance with GOST (i.e. in 1 min. after voltage application to the sample) it is possible to calculate values of ρ</w:t>
      </w:r>
      <w:r w:rsidRPr="00533BAC">
        <w:rPr>
          <w:sz w:val="20"/>
          <w:szCs w:val="20"/>
          <w:vertAlign w:val="subscript"/>
          <w:lang w:val="az-Latn-AZ"/>
        </w:rPr>
        <w:t>eff</w:t>
      </w:r>
      <w:r w:rsidRPr="00533BAC">
        <w:rPr>
          <w:sz w:val="20"/>
          <w:szCs w:val="20"/>
          <w:lang w:val="az-Latn-AZ"/>
        </w:rPr>
        <w:t>, because by this moment the stationary state is not reached yet.</w:t>
      </w:r>
    </w:p>
    <w:p w14:paraId="72902CD0" w14:textId="440BE6A6" w:rsidR="00943D85" w:rsidRPr="004506D7" w:rsidRDefault="00B96A35" w:rsidP="005B0458">
      <w:pPr>
        <w:spacing w:after="120"/>
        <w:ind w:firstLine="284"/>
        <w:jc w:val="both"/>
        <w:rPr>
          <w:sz w:val="20"/>
          <w:szCs w:val="20"/>
          <w:lang w:val="az-Latn-AZ"/>
        </w:rPr>
      </w:pPr>
      <w:r w:rsidRPr="00533BAC">
        <w:rPr>
          <w:sz w:val="20"/>
          <w:szCs w:val="20"/>
          <w:lang w:val="az-Latn-AZ"/>
        </w:rPr>
        <w:t>It was found that in this series of experiments at any temperature, the steady state is reached 10 min after applying the voltage, which made it possible to determine the values of ρ</w:t>
      </w:r>
      <w:r w:rsidRPr="00533BAC">
        <w:rPr>
          <w:sz w:val="20"/>
          <w:szCs w:val="20"/>
          <w:vertAlign w:val="subscript"/>
          <w:lang w:val="az-Latn-AZ"/>
        </w:rPr>
        <w:t>res</w:t>
      </w:r>
      <w:r w:rsidRPr="00533BAC">
        <w:rPr>
          <w:sz w:val="20"/>
          <w:szCs w:val="20"/>
          <w:lang w:val="az-Latn-AZ"/>
        </w:rPr>
        <w:t>. The results of the calculation are presented in Table 1.</w:t>
      </w:r>
      <w:r w:rsidR="004506D7">
        <w:rPr>
          <w:sz w:val="20"/>
          <w:szCs w:val="20"/>
          <w:lang w:val="az-Latn-AZ"/>
        </w:rPr>
        <w:t xml:space="preserve"> </w:t>
      </w:r>
    </w:p>
    <w:p w14:paraId="40E754B5" w14:textId="0CF7AF5E" w:rsidR="00B96A35" w:rsidRPr="00533BAC" w:rsidRDefault="00042978" w:rsidP="006D7851">
      <w:pPr>
        <w:spacing w:after="0"/>
        <w:jc w:val="center"/>
        <w:rPr>
          <w:b/>
          <w:bCs/>
          <w:sz w:val="24"/>
          <w:szCs w:val="24"/>
          <w:lang w:val="az-Latn-AZ"/>
        </w:rPr>
      </w:pPr>
      <w:r w:rsidRPr="00042978">
        <w:rPr>
          <w:rFonts w:eastAsiaTheme="minorEastAsia"/>
          <w:b/>
          <w:sz w:val="18"/>
          <w:szCs w:val="18"/>
          <w:lang w:val="uz-Cyrl-UZ"/>
        </w:rPr>
        <w:t>TABLE 1.</w:t>
      </w:r>
      <w:r w:rsidRPr="00533BAC">
        <w:rPr>
          <w:b/>
          <w:bCs/>
          <w:sz w:val="24"/>
          <w:szCs w:val="24"/>
          <w:lang w:val="az-Latn-AZ"/>
        </w:rPr>
        <w:t xml:space="preserve"> </w:t>
      </w:r>
      <w:r w:rsidR="00B96A35" w:rsidRPr="00042978">
        <w:rPr>
          <w:rFonts w:eastAsiaTheme="minorEastAsia" w:cs="Times New Roman"/>
          <w:bCs/>
          <w:noProof/>
          <w:kern w:val="0"/>
          <w:sz w:val="18"/>
          <w:szCs w:val="18"/>
          <w:lang w:val="uz-Cyrl-UZ"/>
        </w:rPr>
        <w:t xml:space="preserve">Values of ρres and ρeff for 90 µm thick </w:t>
      </w:r>
      <w:r w:rsidR="00C71BC5" w:rsidRPr="00042978">
        <w:rPr>
          <w:rFonts w:eastAsiaTheme="minorEastAsia" w:cs="Times New Roman"/>
          <w:bCs/>
          <w:noProof/>
          <w:kern w:val="0"/>
          <w:sz w:val="18"/>
          <w:szCs w:val="18"/>
          <w:lang w:val="uz-Cyrl-UZ"/>
        </w:rPr>
        <w:t>NFPC</w:t>
      </w:r>
      <w:r w:rsidR="00B96A35" w:rsidRPr="00042978">
        <w:rPr>
          <w:rFonts w:eastAsiaTheme="minorEastAsia" w:cs="Times New Roman"/>
          <w:bCs/>
          <w:noProof/>
          <w:kern w:val="0"/>
          <w:sz w:val="18"/>
          <w:szCs w:val="18"/>
          <w:lang w:val="uz-Cyrl-UZ"/>
        </w:rPr>
        <w:t>-30 film</w:t>
      </w:r>
    </w:p>
    <w:tbl>
      <w:tblPr>
        <w:tblStyle w:val="a6"/>
        <w:tblW w:w="0" w:type="auto"/>
        <w:tblLook w:val="04A0" w:firstRow="1" w:lastRow="0" w:firstColumn="1" w:lastColumn="0" w:noHBand="0" w:noVBand="1"/>
      </w:tblPr>
      <w:tblGrid>
        <w:gridCol w:w="3190"/>
        <w:gridCol w:w="3190"/>
        <w:gridCol w:w="3190"/>
      </w:tblGrid>
      <w:tr w:rsidR="00F87882" w:rsidRPr="00AA05D4" w14:paraId="3BDE75F1" w14:textId="77777777" w:rsidTr="00F87882">
        <w:tc>
          <w:tcPr>
            <w:tcW w:w="3190" w:type="dxa"/>
          </w:tcPr>
          <w:p w14:paraId="532717AC" w14:textId="77777777" w:rsidR="00F87882" w:rsidRPr="00AA05D4" w:rsidRDefault="00F87882" w:rsidP="00F87882">
            <w:pPr>
              <w:jc w:val="center"/>
              <w:rPr>
                <w:sz w:val="18"/>
                <w:szCs w:val="18"/>
              </w:rPr>
            </w:pPr>
            <w:r w:rsidRPr="00AA05D4">
              <w:rPr>
                <w:sz w:val="18"/>
                <w:szCs w:val="18"/>
                <w:lang w:val="az-Latn-AZ"/>
              </w:rPr>
              <w:t>T</w:t>
            </w:r>
            <w:r w:rsidRPr="00AA05D4">
              <w:rPr>
                <w:sz w:val="18"/>
                <w:szCs w:val="18"/>
              </w:rPr>
              <w:t xml:space="preserve">, </w:t>
            </w:r>
            <w:r w:rsidRPr="00AA05D4">
              <w:rPr>
                <w:sz w:val="18"/>
                <w:szCs w:val="18"/>
                <w:vertAlign w:val="superscript"/>
              </w:rPr>
              <w:t>0</w:t>
            </w:r>
            <w:r w:rsidRPr="00AA05D4">
              <w:rPr>
                <w:sz w:val="18"/>
                <w:szCs w:val="18"/>
              </w:rPr>
              <w:t>С</w:t>
            </w:r>
          </w:p>
        </w:tc>
        <w:tc>
          <w:tcPr>
            <w:tcW w:w="3190" w:type="dxa"/>
          </w:tcPr>
          <w:p w14:paraId="1DC40E95" w14:textId="77777777" w:rsidR="00F87882" w:rsidRPr="00AA05D4" w:rsidRDefault="00B96A35" w:rsidP="00B96A35">
            <w:pPr>
              <w:jc w:val="center"/>
              <w:rPr>
                <w:sz w:val="18"/>
                <w:szCs w:val="18"/>
                <w:lang w:val="az-Latn-AZ"/>
              </w:rPr>
            </w:pPr>
            <w:r w:rsidRPr="00AA05D4">
              <w:rPr>
                <w:sz w:val="18"/>
                <w:szCs w:val="18"/>
                <w:lang w:val="az-Latn-AZ"/>
              </w:rPr>
              <w:t>ρ</w:t>
            </w:r>
            <w:r w:rsidRPr="00AA05D4">
              <w:rPr>
                <w:sz w:val="18"/>
                <w:szCs w:val="18"/>
                <w:vertAlign w:val="subscript"/>
                <w:lang w:val="az-Latn-AZ"/>
              </w:rPr>
              <w:t>eff</w:t>
            </w:r>
            <w:r w:rsidR="00F87882" w:rsidRPr="00AA05D4">
              <w:rPr>
                <w:sz w:val="18"/>
                <w:szCs w:val="18"/>
              </w:rPr>
              <w:t xml:space="preserve">, </w:t>
            </w:r>
            <w:r w:rsidRPr="00AA05D4">
              <w:rPr>
                <w:sz w:val="18"/>
                <w:szCs w:val="18"/>
                <w:lang w:val="az-Latn-AZ"/>
              </w:rPr>
              <w:t>Ohm</w:t>
            </w:r>
            <w:r w:rsidR="00F87882" w:rsidRPr="00AA05D4">
              <w:rPr>
                <w:sz w:val="18"/>
                <w:szCs w:val="18"/>
              </w:rPr>
              <w:sym w:font="Symbol" w:char="F0D7"/>
            </w:r>
            <w:r w:rsidRPr="00AA05D4">
              <w:rPr>
                <w:sz w:val="18"/>
                <w:szCs w:val="18"/>
                <w:lang w:val="az-Latn-AZ"/>
              </w:rPr>
              <w:t>m</w:t>
            </w:r>
          </w:p>
        </w:tc>
        <w:tc>
          <w:tcPr>
            <w:tcW w:w="3190" w:type="dxa"/>
          </w:tcPr>
          <w:p w14:paraId="05702F97" w14:textId="77777777" w:rsidR="00F87882" w:rsidRPr="00AA05D4" w:rsidRDefault="00B96A35" w:rsidP="00F87882">
            <w:pPr>
              <w:jc w:val="center"/>
              <w:rPr>
                <w:sz w:val="18"/>
                <w:szCs w:val="18"/>
              </w:rPr>
            </w:pPr>
            <w:r w:rsidRPr="00AA05D4">
              <w:rPr>
                <w:sz w:val="18"/>
                <w:szCs w:val="18"/>
                <w:lang w:val="az-Latn-AZ"/>
              </w:rPr>
              <w:t>ρ</w:t>
            </w:r>
            <w:r w:rsidRPr="00AA05D4">
              <w:rPr>
                <w:sz w:val="18"/>
                <w:szCs w:val="18"/>
                <w:vertAlign w:val="subscript"/>
                <w:lang w:val="az-Latn-AZ"/>
              </w:rPr>
              <w:t>res</w:t>
            </w:r>
            <w:r w:rsidR="00F87882" w:rsidRPr="00AA05D4">
              <w:rPr>
                <w:sz w:val="18"/>
                <w:szCs w:val="18"/>
              </w:rPr>
              <w:t xml:space="preserve">, </w:t>
            </w:r>
            <w:r w:rsidRPr="00AA05D4">
              <w:rPr>
                <w:sz w:val="18"/>
                <w:szCs w:val="18"/>
                <w:lang w:val="az-Latn-AZ"/>
              </w:rPr>
              <w:t>Ohm</w:t>
            </w:r>
            <w:r w:rsidRPr="00AA05D4">
              <w:rPr>
                <w:sz w:val="18"/>
                <w:szCs w:val="18"/>
              </w:rPr>
              <w:sym w:font="Symbol" w:char="F0D7"/>
            </w:r>
            <w:r w:rsidRPr="00AA05D4">
              <w:rPr>
                <w:sz w:val="18"/>
                <w:szCs w:val="18"/>
                <w:lang w:val="az-Latn-AZ"/>
              </w:rPr>
              <w:t>m</w:t>
            </w:r>
          </w:p>
        </w:tc>
      </w:tr>
      <w:tr w:rsidR="00F87882" w:rsidRPr="00AA05D4" w14:paraId="1AEFFB35" w14:textId="77777777" w:rsidTr="00F87882">
        <w:tc>
          <w:tcPr>
            <w:tcW w:w="3190" w:type="dxa"/>
          </w:tcPr>
          <w:p w14:paraId="605F8055" w14:textId="77777777" w:rsidR="00F87882" w:rsidRPr="00AA05D4" w:rsidRDefault="00F87882" w:rsidP="00F87882">
            <w:pPr>
              <w:jc w:val="center"/>
              <w:rPr>
                <w:sz w:val="18"/>
                <w:szCs w:val="18"/>
              </w:rPr>
            </w:pPr>
            <w:r w:rsidRPr="00AA05D4">
              <w:rPr>
                <w:sz w:val="18"/>
                <w:szCs w:val="18"/>
              </w:rPr>
              <w:t>23</w:t>
            </w:r>
          </w:p>
          <w:p w14:paraId="4ACB184B" w14:textId="77777777" w:rsidR="00F87882" w:rsidRPr="00AA05D4" w:rsidRDefault="00F87882" w:rsidP="00F87882">
            <w:pPr>
              <w:jc w:val="center"/>
              <w:rPr>
                <w:sz w:val="18"/>
                <w:szCs w:val="18"/>
              </w:rPr>
            </w:pPr>
            <w:r w:rsidRPr="00AA05D4">
              <w:rPr>
                <w:sz w:val="18"/>
                <w:szCs w:val="18"/>
              </w:rPr>
              <w:t>50</w:t>
            </w:r>
          </w:p>
          <w:p w14:paraId="6C6FBFCC" w14:textId="77777777" w:rsidR="00F87882" w:rsidRPr="00AA05D4" w:rsidRDefault="00F87882" w:rsidP="00F87882">
            <w:pPr>
              <w:jc w:val="center"/>
              <w:rPr>
                <w:sz w:val="18"/>
                <w:szCs w:val="18"/>
              </w:rPr>
            </w:pPr>
            <w:r w:rsidRPr="00AA05D4">
              <w:rPr>
                <w:sz w:val="18"/>
                <w:szCs w:val="18"/>
              </w:rPr>
              <w:t>70</w:t>
            </w:r>
          </w:p>
          <w:p w14:paraId="161DEB0D" w14:textId="77777777" w:rsidR="00F87882" w:rsidRPr="00AA05D4" w:rsidRDefault="00F87882" w:rsidP="00F87882">
            <w:pPr>
              <w:jc w:val="center"/>
              <w:rPr>
                <w:sz w:val="18"/>
                <w:szCs w:val="18"/>
              </w:rPr>
            </w:pPr>
            <w:r w:rsidRPr="00AA05D4">
              <w:rPr>
                <w:sz w:val="18"/>
                <w:szCs w:val="18"/>
              </w:rPr>
              <w:t>90</w:t>
            </w:r>
          </w:p>
        </w:tc>
        <w:tc>
          <w:tcPr>
            <w:tcW w:w="3190" w:type="dxa"/>
          </w:tcPr>
          <w:p w14:paraId="14CF019B" w14:textId="77777777" w:rsidR="00F87882" w:rsidRPr="00AA05D4" w:rsidRDefault="00F87882" w:rsidP="00F87882">
            <w:pPr>
              <w:jc w:val="center"/>
              <w:rPr>
                <w:sz w:val="18"/>
                <w:szCs w:val="18"/>
                <w:vertAlign w:val="superscript"/>
              </w:rPr>
            </w:pPr>
            <w:r w:rsidRPr="00AA05D4">
              <w:rPr>
                <w:sz w:val="18"/>
                <w:szCs w:val="18"/>
              </w:rPr>
              <w:t>9,17</w:t>
            </w:r>
            <w:r w:rsidRPr="00AA05D4">
              <w:rPr>
                <w:sz w:val="18"/>
                <w:szCs w:val="18"/>
              </w:rPr>
              <w:sym w:font="Symbol" w:char="F0D7"/>
            </w:r>
            <w:r w:rsidRPr="00AA05D4">
              <w:rPr>
                <w:sz w:val="18"/>
                <w:szCs w:val="18"/>
              </w:rPr>
              <w:t>10</w:t>
            </w:r>
            <w:r w:rsidRPr="00AA05D4">
              <w:rPr>
                <w:sz w:val="18"/>
                <w:szCs w:val="18"/>
                <w:vertAlign w:val="superscript"/>
              </w:rPr>
              <w:t>14</w:t>
            </w:r>
          </w:p>
          <w:p w14:paraId="647D4D68" w14:textId="77777777" w:rsidR="00F87882" w:rsidRPr="00AA05D4" w:rsidRDefault="00F87882" w:rsidP="00F87882">
            <w:pPr>
              <w:jc w:val="center"/>
              <w:rPr>
                <w:sz w:val="18"/>
                <w:szCs w:val="18"/>
                <w:vertAlign w:val="superscript"/>
              </w:rPr>
            </w:pPr>
            <w:r w:rsidRPr="00AA05D4">
              <w:rPr>
                <w:sz w:val="18"/>
                <w:szCs w:val="18"/>
              </w:rPr>
              <w:t>3,41</w:t>
            </w:r>
            <w:r w:rsidRPr="00AA05D4">
              <w:rPr>
                <w:sz w:val="18"/>
                <w:szCs w:val="18"/>
              </w:rPr>
              <w:sym w:font="Symbol" w:char="F0D7"/>
            </w:r>
            <w:r w:rsidRPr="00AA05D4">
              <w:rPr>
                <w:sz w:val="18"/>
                <w:szCs w:val="18"/>
              </w:rPr>
              <w:t>10</w:t>
            </w:r>
            <w:r w:rsidRPr="00AA05D4">
              <w:rPr>
                <w:sz w:val="18"/>
                <w:szCs w:val="18"/>
                <w:vertAlign w:val="superscript"/>
              </w:rPr>
              <w:t>14</w:t>
            </w:r>
          </w:p>
          <w:p w14:paraId="360F6E2A" w14:textId="77777777" w:rsidR="00F87882" w:rsidRPr="00AA05D4" w:rsidRDefault="00F87882" w:rsidP="00F87882">
            <w:pPr>
              <w:jc w:val="center"/>
              <w:rPr>
                <w:sz w:val="18"/>
                <w:szCs w:val="18"/>
                <w:vertAlign w:val="superscript"/>
              </w:rPr>
            </w:pPr>
            <w:r w:rsidRPr="00AA05D4">
              <w:rPr>
                <w:sz w:val="18"/>
                <w:szCs w:val="18"/>
              </w:rPr>
              <w:t>1,83</w:t>
            </w:r>
            <w:r w:rsidRPr="00AA05D4">
              <w:rPr>
                <w:sz w:val="18"/>
                <w:szCs w:val="18"/>
              </w:rPr>
              <w:sym w:font="Symbol" w:char="F0D7"/>
            </w:r>
            <w:r w:rsidRPr="00AA05D4">
              <w:rPr>
                <w:sz w:val="18"/>
                <w:szCs w:val="18"/>
              </w:rPr>
              <w:t>10</w:t>
            </w:r>
            <w:r w:rsidRPr="00AA05D4">
              <w:rPr>
                <w:sz w:val="18"/>
                <w:szCs w:val="18"/>
                <w:vertAlign w:val="superscript"/>
              </w:rPr>
              <w:t>14</w:t>
            </w:r>
          </w:p>
          <w:p w14:paraId="090223DE" w14:textId="77777777" w:rsidR="00F87882" w:rsidRPr="00AA05D4" w:rsidRDefault="00F87882" w:rsidP="00F87882">
            <w:pPr>
              <w:jc w:val="center"/>
              <w:rPr>
                <w:sz w:val="18"/>
                <w:szCs w:val="18"/>
                <w:vertAlign w:val="superscript"/>
              </w:rPr>
            </w:pPr>
            <w:r w:rsidRPr="00AA05D4">
              <w:rPr>
                <w:sz w:val="18"/>
                <w:szCs w:val="18"/>
              </w:rPr>
              <w:t>4,55</w:t>
            </w:r>
            <w:r w:rsidRPr="00AA05D4">
              <w:rPr>
                <w:sz w:val="18"/>
                <w:szCs w:val="18"/>
              </w:rPr>
              <w:sym w:font="Symbol" w:char="F0D7"/>
            </w:r>
            <w:r w:rsidRPr="00AA05D4">
              <w:rPr>
                <w:sz w:val="18"/>
                <w:szCs w:val="18"/>
              </w:rPr>
              <w:t>10</w:t>
            </w:r>
            <w:r w:rsidRPr="00AA05D4">
              <w:rPr>
                <w:sz w:val="18"/>
                <w:szCs w:val="18"/>
                <w:vertAlign w:val="superscript"/>
              </w:rPr>
              <w:t>14</w:t>
            </w:r>
          </w:p>
        </w:tc>
        <w:tc>
          <w:tcPr>
            <w:tcW w:w="3190" w:type="dxa"/>
          </w:tcPr>
          <w:p w14:paraId="3226B0A0" w14:textId="77777777" w:rsidR="00F87882" w:rsidRPr="00AA05D4" w:rsidRDefault="00F87882" w:rsidP="00F87882">
            <w:pPr>
              <w:jc w:val="center"/>
              <w:rPr>
                <w:sz w:val="18"/>
                <w:szCs w:val="18"/>
                <w:vertAlign w:val="superscript"/>
              </w:rPr>
            </w:pPr>
            <w:r w:rsidRPr="00AA05D4">
              <w:rPr>
                <w:sz w:val="18"/>
                <w:szCs w:val="18"/>
              </w:rPr>
              <w:t>7,57</w:t>
            </w:r>
            <w:r w:rsidRPr="00AA05D4">
              <w:rPr>
                <w:sz w:val="18"/>
                <w:szCs w:val="18"/>
              </w:rPr>
              <w:sym w:font="Symbol" w:char="F0D7"/>
            </w:r>
            <w:r w:rsidRPr="00AA05D4">
              <w:rPr>
                <w:sz w:val="18"/>
                <w:szCs w:val="18"/>
              </w:rPr>
              <w:t>10</w:t>
            </w:r>
            <w:r w:rsidRPr="00AA05D4">
              <w:rPr>
                <w:sz w:val="18"/>
                <w:szCs w:val="18"/>
                <w:vertAlign w:val="superscript"/>
              </w:rPr>
              <w:t>15</w:t>
            </w:r>
          </w:p>
          <w:p w14:paraId="1152ADB7" w14:textId="77777777" w:rsidR="00F87882" w:rsidRPr="00AA05D4" w:rsidRDefault="00F87882" w:rsidP="00F87882">
            <w:pPr>
              <w:jc w:val="center"/>
              <w:rPr>
                <w:sz w:val="18"/>
                <w:szCs w:val="18"/>
                <w:vertAlign w:val="superscript"/>
              </w:rPr>
            </w:pPr>
            <w:r w:rsidRPr="00AA05D4">
              <w:rPr>
                <w:sz w:val="18"/>
                <w:szCs w:val="18"/>
              </w:rPr>
              <w:t>1,41</w:t>
            </w:r>
            <w:r w:rsidRPr="00AA05D4">
              <w:rPr>
                <w:sz w:val="18"/>
                <w:szCs w:val="18"/>
              </w:rPr>
              <w:sym w:font="Symbol" w:char="F0D7"/>
            </w:r>
            <w:r w:rsidRPr="00AA05D4">
              <w:rPr>
                <w:sz w:val="18"/>
                <w:szCs w:val="18"/>
              </w:rPr>
              <w:t>10</w:t>
            </w:r>
            <w:r w:rsidRPr="00AA05D4">
              <w:rPr>
                <w:sz w:val="18"/>
                <w:szCs w:val="18"/>
                <w:vertAlign w:val="superscript"/>
              </w:rPr>
              <w:t>15</w:t>
            </w:r>
          </w:p>
          <w:p w14:paraId="2BDEF2D0" w14:textId="77777777" w:rsidR="00F87882" w:rsidRPr="00AA05D4" w:rsidRDefault="00F87882" w:rsidP="00F87882">
            <w:pPr>
              <w:jc w:val="center"/>
              <w:rPr>
                <w:sz w:val="18"/>
                <w:szCs w:val="18"/>
                <w:vertAlign w:val="superscript"/>
              </w:rPr>
            </w:pPr>
            <w:r w:rsidRPr="00AA05D4">
              <w:rPr>
                <w:sz w:val="18"/>
                <w:szCs w:val="18"/>
              </w:rPr>
              <w:t>4,83</w:t>
            </w:r>
            <w:r w:rsidRPr="00AA05D4">
              <w:rPr>
                <w:sz w:val="18"/>
                <w:szCs w:val="18"/>
              </w:rPr>
              <w:sym w:font="Symbol" w:char="F0D7"/>
            </w:r>
            <w:r w:rsidRPr="00AA05D4">
              <w:rPr>
                <w:sz w:val="18"/>
                <w:szCs w:val="18"/>
              </w:rPr>
              <w:t>10</w:t>
            </w:r>
            <w:r w:rsidRPr="00AA05D4">
              <w:rPr>
                <w:sz w:val="18"/>
                <w:szCs w:val="18"/>
                <w:vertAlign w:val="superscript"/>
              </w:rPr>
              <w:t>14</w:t>
            </w:r>
          </w:p>
          <w:p w14:paraId="2315EB48" w14:textId="77777777" w:rsidR="00F87882" w:rsidRPr="00AA05D4" w:rsidRDefault="00F87882" w:rsidP="00F87882">
            <w:pPr>
              <w:jc w:val="center"/>
              <w:rPr>
                <w:sz w:val="18"/>
                <w:szCs w:val="18"/>
              </w:rPr>
            </w:pPr>
            <w:r w:rsidRPr="00AA05D4">
              <w:rPr>
                <w:sz w:val="18"/>
                <w:szCs w:val="18"/>
              </w:rPr>
              <w:t>5,94</w:t>
            </w:r>
            <w:r w:rsidRPr="00AA05D4">
              <w:rPr>
                <w:sz w:val="18"/>
                <w:szCs w:val="18"/>
              </w:rPr>
              <w:sym w:font="Symbol" w:char="F0D7"/>
            </w:r>
            <w:r w:rsidRPr="00AA05D4">
              <w:rPr>
                <w:sz w:val="18"/>
                <w:szCs w:val="18"/>
              </w:rPr>
              <w:t>10</w:t>
            </w:r>
            <w:r w:rsidRPr="00AA05D4">
              <w:rPr>
                <w:sz w:val="18"/>
                <w:szCs w:val="18"/>
                <w:vertAlign w:val="superscript"/>
              </w:rPr>
              <w:t>13</w:t>
            </w:r>
          </w:p>
        </w:tc>
      </w:tr>
    </w:tbl>
    <w:p w14:paraId="7460ED7D" w14:textId="5EDA46B5" w:rsidR="00615879" w:rsidRDefault="003A6763" w:rsidP="005B0458">
      <w:pPr>
        <w:spacing w:before="120" w:after="0"/>
        <w:ind w:firstLine="284"/>
        <w:jc w:val="both"/>
        <w:rPr>
          <w:sz w:val="20"/>
          <w:szCs w:val="20"/>
          <w:lang w:val="az-Latn-AZ"/>
        </w:rPr>
      </w:pPr>
      <w:r w:rsidRPr="00533BAC">
        <w:rPr>
          <w:sz w:val="20"/>
          <w:szCs w:val="20"/>
          <w:lang w:val="az-Latn-AZ"/>
        </w:rPr>
        <w:t>The obtained temperature dependences are presented in Figure 2 in the coordinate system lgρ = f(1/T) (curves 1 and 2).</w:t>
      </w:r>
    </w:p>
    <w:p w14:paraId="4583DB81" w14:textId="77777777" w:rsidR="00615879" w:rsidRDefault="005968C2" w:rsidP="00615879">
      <w:pPr>
        <w:spacing w:after="0"/>
        <w:jc w:val="center"/>
        <w:rPr>
          <w:rFonts w:cs="Times New Roman"/>
          <w:sz w:val="24"/>
          <w:szCs w:val="24"/>
        </w:rPr>
      </w:pPr>
      <w:r>
        <w:rPr>
          <w:rFonts w:cs="Times New Roman"/>
          <w:noProof/>
          <w:sz w:val="24"/>
          <w:szCs w:val="24"/>
          <w:lang w:val="en-US"/>
        </w:rPr>
        <w:lastRenderedPageBreak/>
        <w:drawing>
          <wp:inline distT="0" distB="0" distL="0" distR="0" wp14:anchorId="074E416C" wp14:editId="1FFE7864">
            <wp:extent cx="3191525" cy="254315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196099" cy="2546804"/>
                    </a:xfrm>
                    <a:prstGeom prst="rect">
                      <a:avLst/>
                    </a:prstGeom>
                    <a:noFill/>
                    <a:ln w="9525">
                      <a:noFill/>
                      <a:miter lim="800000"/>
                      <a:headEnd/>
                      <a:tailEnd/>
                    </a:ln>
                  </pic:spPr>
                </pic:pic>
              </a:graphicData>
            </a:graphic>
          </wp:inline>
        </w:drawing>
      </w:r>
    </w:p>
    <w:p w14:paraId="502ECCE5" w14:textId="262A7BF4" w:rsidR="00F4302D" w:rsidRPr="00042978" w:rsidRDefault="00042978" w:rsidP="006D7851">
      <w:pPr>
        <w:spacing w:after="120"/>
        <w:jc w:val="center"/>
        <w:rPr>
          <w:rFonts w:eastAsiaTheme="minorEastAsia" w:cs="Times New Roman"/>
          <w:bCs/>
          <w:noProof/>
          <w:kern w:val="0"/>
          <w:sz w:val="18"/>
          <w:szCs w:val="18"/>
          <w:lang w:val="uz-Cyrl-UZ"/>
        </w:rPr>
      </w:pPr>
      <w:r w:rsidRPr="002807D4">
        <w:rPr>
          <w:rFonts w:eastAsiaTheme="minorEastAsia"/>
          <w:b/>
          <w:sz w:val="18"/>
          <w:szCs w:val="18"/>
          <w:lang w:val="uz-Cyrl-UZ"/>
        </w:rPr>
        <w:t xml:space="preserve">FIGURE 2. </w:t>
      </w:r>
      <w:r w:rsidR="00F4302D" w:rsidRPr="00042978">
        <w:rPr>
          <w:rFonts w:eastAsiaTheme="minorEastAsia" w:cs="Times New Roman"/>
          <w:bCs/>
          <w:noProof/>
          <w:kern w:val="0"/>
          <w:sz w:val="18"/>
          <w:szCs w:val="18"/>
          <w:lang w:val="uz-Cyrl-UZ"/>
        </w:rPr>
        <w:t xml:space="preserve">Temperature dependences of ρeff (1,3,4) and ρres (2) of polyethylene composites </w:t>
      </w:r>
      <w:r w:rsidR="00C71BC5" w:rsidRPr="00042978">
        <w:rPr>
          <w:rFonts w:eastAsiaTheme="minorEastAsia" w:cs="Times New Roman"/>
          <w:bCs/>
          <w:noProof/>
          <w:kern w:val="0"/>
          <w:sz w:val="18"/>
          <w:szCs w:val="18"/>
          <w:lang w:val="uz-Cyrl-UZ"/>
        </w:rPr>
        <w:t>NFPC</w:t>
      </w:r>
      <w:r w:rsidR="00F4302D" w:rsidRPr="00042978">
        <w:rPr>
          <w:rFonts w:eastAsiaTheme="minorEastAsia" w:cs="Times New Roman"/>
          <w:bCs/>
          <w:noProof/>
          <w:kern w:val="0"/>
          <w:sz w:val="18"/>
          <w:szCs w:val="18"/>
          <w:lang w:val="uz-Cyrl-UZ"/>
        </w:rPr>
        <w:t xml:space="preserve">-30 (1-3) and </w:t>
      </w:r>
      <w:r w:rsidR="00C71BC5" w:rsidRPr="00042978">
        <w:rPr>
          <w:rFonts w:eastAsiaTheme="minorEastAsia" w:cs="Times New Roman"/>
          <w:bCs/>
          <w:noProof/>
          <w:kern w:val="0"/>
          <w:sz w:val="18"/>
          <w:szCs w:val="18"/>
          <w:lang w:val="uz-Cyrl-UZ"/>
        </w:rPr>
        <w:t>NFPC</w:t>
      </w:r>
      <w:r w:rsidR="00F4302D" w:rsidRPr="00042978">
        <w:rPr>
          <w:rFonts w:eastAsiaTheme="minorEastAsia" w:cs="Times New Roman"/>
          <w:bCs/>
          <w:noProof/>
          <w:kern w:val="0"/>
          <w:sz w:val="18"/>
          <w:szCs w:val="18"/>
          <w:lang w:val="uz-Cyrl-UZ"/>
        </w:rPr>
        <w:t>-10 (4), obtained by measuring</w:t>
      </w:r>
      <w:r w:rsidR="00533BAC" w:rsidRPr="00042978">
        <w:rPr>
          <w:rFonts w:eastAsiaTheme="minorEastAsia" w:cs="Times New Roman"/>
          <w:bCs/>
          <w:noProof/>
          <w:kern w:val="0"/>
          <w:sz w:val="18"/>
          <w:szCs w:val="18"/>
          <w:lang w:val="uz-Cyrl-UZ"/>
        </w:rPr>
        <w:t xml:space="preserve"> </w:t>
      </w:r>
      <w:r w:rsidR="00F4302D" w:rsidRPr="00042978">
        <w:rPr>
          <w:rFonts w:eastAsiaTheme="minorEastAsia" w:cs="Times New Roman"/>
          <w:bCs/>
          <w:noProof/>
          <w:kern w:val="0"/>
          <w:sz w:val="18"/>
          <w:szCs w:val="18"/>
          <w:lang w:val="uz-Cyrl-UZ"/>
        </w:rPr>
        <w:t>the charging currents of 90 µm (1,2) and 1 mm (3,4) thick samples</w:t>
      </w:r>
      <w:r w:rsidR="00533BAC" w:rsidRPr="00042978">
        <w:rPr>
          <w:rFonts w:eastAsiaTheme="minorEastAsia" w:cs="Times New Roman"/>
          <w:bCs/>
          <w:noProof/>
          <w:kern w:val="0"/>
          <w:sz w:val="18"/>
          <w:szCs w:val="18"/>
          <w:lang w:val="uz-Cyrl-UZ"/>
        </w:rPr>
        <w:t xml:space="preserve"> </w:t>
      </w:r>
      <w:r w:rsidR="00F4302D" w:rsidRPr="00042978">
        <w:rPr>
          <w:rFonts w:eastAsiaTheme="minorEastAsia" w:cs="Times New Roman"/>
          <w:bCs/>
          <w:noProof/>
          <w:kern w:val="0"/>
          <w:sz w:val="18"/>
          <w:szCs w:val="18"/>
          <w:lang w:val="uz-Cyrl-UZ"/>
        </w:rPr>
        <w:t>at constant temperature</w:t>
      </w:r>
    </w:p>
    <w:p w14:paraId="45AAEFD3" w14:textId="1905DBFB" w:rsidR="001F3A0F" w:rsidRPr="005B0458" w:rsidRDefault="005B0458" w:rsidP="005B0458">
      <w:pPr>
        <w:pStyle w:val="1"/>
        <w:spacing w:after="240"/>
        <w:jc w:val="center"/>
        <w:rPr>
          <w:rFonts w:ascii="Times New Roman" w:hAnsi="Times New Roman" w:cs="Times New Roman"/>
          <w:sz w:val="24"/>
          <w:szCs w:val="24"/>
          <w:lang w:val="en-US"/>
        </w:rPr>
      </w:pPr>
      <w:r w:rsidRPr="005B0458">
        <w:rPr>
          <w:rFonts w:ascii="Times New Roman" w:hAnsi="Times New Roman" w:cs="Times New Roman"/>
          <w:sz w:val="24"/>
          <w:szCs w:val="24"/>
          <w:lang w:val="en-US"/>
        </w:rPr>
        <w:t>RESULTS</w:t>
      </w:r>
    </w:p>
    <w:p w14:paraId="31D5A51B" w14:textId="2257192E" w:rsidR="00F4302D" w:rsidRPr="00533BAC" w:rsidRDefault="00F4302D" w:rsidP="005B0458">
      <w:pPr>
        <w:spacing w:after="0"/>
        <w:ind w:firstLine="284"/>
        <w:jc w:val="both"/>
        <w:rPr>
          <w:rFonts w:cs="Times New Roman"/>
          <w:sz w:val="20"/>
          <w:szCs w:val="20"/>
          <w:lang w:val="en-US"/>
        </w:rPr>
      </w:pPr>
      <w:r w:rsidRPr="00533BAC">
        <w:rPr>
          <w:rFonts w:cs="Times New Roman"/>
          <w:sz w:val="20"/>
          <w:szCs w:val="20"/>
          <w:lang w:val="en-US"/>
        </w:rPr>
        <w:t xml:space="preserve">From the presented results it is clear that measurements on the declining part of the dependence </w:t>
      </w:r>
      <w:proofErr w:type="spellStart"/>
      <w:r w:rsidRPr="00533BAC">
        <w:rPr>
          <w:rFonts w:cs="Times New Roman"/>
          <w:sz w:val="20"/>
          <w:szCs w:val="20"/>
        </w:rPr>
        <w:t>і</w:t>
      </w:r>
      <w:r w:rsidRPr="00533BAC">
        <w:rPr>
          <w:rFonts w:cs="Times New Roman"/>
          <w:sz w:val="20"/>
          <w:szCs w:val="20"/>
          <w:vertAlign w:val="subscript"/>
        </w:rPr>
        <w:t>с</w:t>
      </w:r>
      <w:proofErr w:type="spellEnd"/>
      <w:r w:rsidRPr="00533BAC">
        <w:rPr>
          <w:rFonts w:cs="Times New Roman"/>
          <w:sz w:val="20"/>
          <w:szCs w:val="20"/>
          <w:vertAlign w:val="subscript"/>
          <w:lang w:val="az-Latn-AZ"/>
        </w:rPr>
        <w:t>h</w:t>
      </w:r>
      <w:r w:rsidRPr="00533BAC">
        <w:rPr>
          <w:rFonts w:cs="Times New Roman"/>
          <w:sz w:val="20"/>
          <w:szCs w:val="20"/>
          <w:lang w:val="en-US"/>
        </w:rPr>
        <w:t xml:space="preserve"> = f(t) give underestimated values of </w:t>
      </w:r>
      <w:r w:rsidRPr="00533BAC">
        <w:rPr>
          <w:rFonts w:cs="Times New Roman"/>
          <w:sz w:val="20"/>
          <w:szCs w:val="20"/>
        </w:rPr>
        <w:t>ρ</w:t>
      </w:r>
      <w:r w:rsidRPr="00533BAC">
        <w:rPr>
          <w:rFonts w:cs="Times New Roman"/>
          <w:sz w:val="20"/>
          <w:szCs w:val="20"/>
          <w:lang w:val="en-US"/>
        </w:rPr>
        <w:t xml:space="preserve"> in comparison with the true values obtained on the stationary part. </w:t>
      </w:r>
    </w:p>
    <w:p w14:paraId="6C2BBB4C" w14:textId="3B38CE5A" w:rsidR="00F4302D" w:rsidRPr="00533BAC" w:rsidRDefault="00F4302D" w:rsidP="005B0458">
      <w:pPr>
        <w:spacing w:after="0"/>
        <w:ind w:firstLine="284"/>
        <w:jc w:val="both"/>
        <w:rPr>
          <w:rFonts w:cs="Times New Roman"/>
          <w:sz w:val="20"/>
          <w:szCs w:val="20"/>
          <w:lang w:val="en-US"/>
        </w:rPr>
      </w:pPr>
      <w:r w:rsidRPr="00533BAC">
        <w:rPr>
          <w:rFonts w:cs="Times New Roman"/>
          <w:sz w:val="20"/>
          <w:szCs w:val="20"/>
          <w:lang w:val="en-US"/>
        </w:rPr>
        <w:t xml:space="preserve">In order to find out the possibility of carrying out similar measurements on samples of other materials in the form of thicker plates, measurements of charging currents for </w:t>
      </w:r>
      <w:r w:rsidR="00C71BC5" w:rsidRPr="00533BAC">
        <w:rPr>
          <w:rFonts w:cs="Times New Roman"/>
          <w:sz w:val="20"/>
          <w:szCs w:val="20"/>
          <w:lang w:val="en-US"/>
        </w:rPr>
        <w:t>NFPC</w:t>
      </w:r>
      <w:r w:rsidRPr="00533BAC">
        <w:rPr>
          <w:rFonts w:cs="Times New Roman"/>
          <w:sz w:val="20"/>
          <w:szCs w:val="20"/>
          <w:lang w:val="en-US"/>
        </w:rPr>
        <w:t xml:space="preserve">-30 and </w:t>
      </w:r>
      <w:r w:rsidR="00C71BC5" w:rsidRPr="00533BAC">
        <w:rPr>
          <w:rFonts w:cs="Times New Roman"/>
          <w:sz w:val="20"/>
          <w:szCs w:val="20"/>
          <w:lang w:val="en-US"/>
        </w:rPr>
        <w:t>NFPC</w:t>
      </w:r>
      <w:r w:rsidRPr="00533BAC">
        <w:rPr>
          <w:rFonts w:cs="Times New Roman"/>
          <w:sz w:val="20"/>
          <w:szCs w:val="20"/>
          <w:lang w:val="en-US"/>
        </w:rPr>
        <w:t xml:space="preserve">-10 were carried out. The latter experiments differed from the previous ones only in the thickness of the samples, which was equal to 1 mm. </w:t>
      </w:r>
    </w:p>
    <w:p w14:paraId="64BD3F2E" w14:textId="7F17CA93" w:rsidR="00F4302D" w:rsidRPr="00533BAC" w:rsidRDefault="00F4302D" w:rsidP="005B0458">
      <w:pPr>
        <w:spacing w:after="0"/>
        <w:ind w:firstLine="284"/>
        <w:jc w:val="both"/>
        <w:rPr>
          <w:rFonts w:cs="Times New Roman"/>
          <w:sz w:val="20"/>
          <w:szCs w:val="20"/>
          <w:lang w:val="en-US"/>
        </w:rPr>
      </w:pPr>
      <w:r w:rsidRPr="00533BAC">
        <w:rPr>
          <w:rFonts w:cs="Times New Roman"/>
          <w:sz w:val="20"/>
          <w:szCs w:val="20"/>
          <w:lang w:val="en-US"/>
        </w:rPr>
        <w:t>It was found that the values of i</w:t>
      </w:r>
      <w:r w:rsidRPr="00533BAC">
        <w:rPr>
          <w:rFonts w:cs="Times New Roman"/>
          <w:sz w:val="20"/>
          <w:szCs w:val="20"/>
          <w:vertAlign w:val="subscript"/>
          <w:lang w:val="en-US"/>
        </w:rPr>
        <w:t>ch</w:t>
      </w:r>
      <w:r w:rsidRPr="00533BAC">
        <w:rPr>
          <w:rFonts w:cs="Times New Roman"/>
          <w:sz w:val="20"/>
          <w:szCs w:val="20"/>
          <w:lang w:val="en-US"/>
        </w:rPr>
        <w:t xml:space="preserve"> are much smaller than for the samples with thickness h = 90 µm, so practically at the limit of sensitivity of the measuring equipment it was possible to measure only decreasing parts of the dependence i</w:t>
      </w:r>
      <w:r w:rsidRPr="00533BAC">
        <w:rPr>
          <w:rFonts w:cs="Times New Roman"/>
          <w:sz w:val="20"/>
          <w:szCs w:val="20"/>
          <w:vertAlign w:val="subscript"/>
          <w:lang w:val="en-US"/>
        </w:rPr>
        <w:t>ch</w:t>
      </w:r>
      <w:r w:rsidRPr="00533BAC">
        <w:rPr>
          <w:rFonts w:cs="Times New Roman"/>
          <w:sz w:val="20"/>
          <w:szCs w:val="20"/>
          <w:lang w:val="en-US"/>
        </w:rPr>
        <w:t xml:space="preserve"> = f(t). </w:t>
      </w:r>
    </w:p>
    <w:p w14:paraId="4B2DA931" w14:textId="4EC36841" w:rsidR="00F4302D" w:rsidRPr="00533BAC" w:rsidRDefault="00F4302D" w:rsidP="005B0458">
      <w:pPr>
        <w:spacing w:after="0"/>
        <w:ind w:firstLine="284"/>
        <w:jc w:val="both"/>
        <w:rPr>
          <w:rFonts w:cs="Times New Roman"/>
          <w:sz w:val="20"/>
          <w:szCs w:val="20"/>
          <w:lang w:val="en-US"/>
        </w:rPr>
      </w:pPr>
      <w:r w:rsidRPr="00533BAC">
        <w:rPr>
          <w:rFonts w:cs="Times New Roman"/>
          <w:sz w:val="20"/>
          <w:szCs w:val="20"/>
          <w:lang w:val="en-US"/>
        </w:rPr>
        <w:t xml:space="preserve">The use of samples with thickness h = 1 mm makes it possible to determine only the values of </w:t>
      </w:r>
      <w:r w:rsidRPr="00533BAC">
        <w:rPr>
          <w:rFonts w:cs="Times New Roman"/>
          <w:sz w:val="20"/>
          <w:szCs w:val="20"/>
        </w:rPr>
        <w:t>ρ</w:t>
      </w:r>
      <w:r w:rsidRPr="00533BAC">
        <w:rPr>
          <w:rFonts w:cs="Times New Roman"/>
          <w:sz w:val="20"/>
          <w:szCs w:val="20"/>
          <w:vertAlign w:val="subscript"/>
          <w:lang w:val="en-US"/>
        </w:rPr>
        <w:t>eff</w:t>
      </w:r>
      <w:r w:rsidRPr="00533BAC">
        <w:rPr>
          <w:rFonts w:cs="Times New Roman"/>
          <w:sz w:val="20"/>
          <w:szCs w:val="20"/>
          <w:lang w:val="en-US"/>
        </w:rPr>
        <w:t xml:space="preserve"> in 1 min after applying a voltage to the sample. </w:t>
      </w:r>
    </w:p>
    <w:p w14:paraId="31C0A2B4" w14:textId="7DABCB06" w:rsidR="00F4302D" w:rsidRPr="00533BAC" w:rsidRDefault="00F4302D" w:rsidP="005B0458">
      <w:pPr>
        <w:spacing w:after="120"/>
        <w:ind w:firstLine="284"/>
        <w:jc w:val="both"/>
        <w:rPr>
          <w:rFonts w:cs="Times New Roman"/>
          <w:sz w:val="20"/>
          <w:szCs w:val="20"/>
          <w:lang w:val="en-US"/>
        </w:rPr>
      </w:pPr>
      <w:r w:rsidRPr="00533BAC">
        <w:rPr>
          <w:rFonts w:cs="Times New Roman"/>
          <w:sz w:val="20"/>
          <w:szCs w:val="20"/>
          <w:lang w:val="en-US"/>
        </w:rPr>
        <w:t>The obtained data are presented in Table 2 and Figure 2 (curves 3 and 4).</w:t>
      </w:r>
    </w:p>
    <w:p w14:paraId="6CD2B8FF" w14:textId="27694258" w:rsidR="00F4302D" w:rsidRPr="00AA05D4" w:rsidRDefault="00AA05D4" w:rsidP="006D7851">
      <w:pPr>
        <w:spacing w:after="0"/>
        <w:jc w:val="center"/>
        <w:rPr>
          <w:rFonts w:cs="Times New Roman"/>
          <w:b/>
          <w:bCs/>
          <w:sz w:val="18"/>
          <w:szCs w:val="18"/>
          <w:lang w:val="en-US"/>
        </w:rPr>
      </w:pPr>
      <w:r w:rsidRPr="00AA05D4">
        <w:rPr>
          <w:rFonts w:cs="Times New Roman"/>
          <w:b/>
          <w:bCs/>
          <w:sz w:val="18"/>
          <w:szCs w:val="18"/>
          <w:lang w:val="en-US"/>
        </w:rPr>
        <w:t xml:space="preserve">TABLE 2. </w:t>
      </w:r>
      <w:r w:rsidR="00F4302D" w:rsidRPr="00AA05D4">
        <w:rPr>
          <w:rFonts w:cs="Times New Roman"/>
          <w:sz w:val="18"/>
          <w:szCs w:val="18"/>
          <w:lang w:val="en-US"/>
        </w:rPr>
        <w:t xml:space="preserve">Values of </w:t>
      </w:r>
      <w:r w:rsidR="00F4302D" w:rsidRPr="00AA05D4">
        <w:rPr>
          <w:rFonts w:cs="Times New Roman"/>
          <w:sz w:val="18"/>
          <w:szCs w:val="18"/>
        </w:rPr>
        <w:t>ρ</w:t>
      </w:r>
      <w:r w:rsidR="00F4302D" w:rsidRPr="00AA05D4">
        <w:rPr>
          <w:rFonts w:cs="Times New Roman"/>
          <w:sz w:val="18"/>
          <w:szCs w:val="18"/>
          <w:vertAlign w:val="subscript"/>
          <w:lang w:val="en-US"/>
        </w:rPr>
        <w:t>eff</w:t>
      </w:r>
      <w:r w:rsidR="00F4302D" w:rsidRPr="00AA05D4">
        <w:rPr>
          <w:rFonts w:cs="Times New Roman"/>
          <w:sz w:val="18"/>
          <w:szCs w:val="18"/>
          <w:lang w:val="en-US"/>
        </w:rPr>
        <w:t xml:space="preserve"> for 1 mm thick </w:t>
      </w:r>
      <w:r w:rsidR="00C71BC5" w:rsidRPr="00AA05D4">
        <w:rPr>
          <w:rFonts w:cs="Times New Roman"/>
          <w:sz w:val="18"/>
          <w:szCs w:val="18"/>
          <w:lang w:val="en-US"/>
        </w:rPr>
        <w:t>NFPC</w:t>
      </w:r>
      <w:r w:rsidR="00F4302D" w:rsidRPr="00AA05D4">
        <w:rPr>
          <w:rFonts w:cs="Times New Roman"/>
          <w:sz w:val="18"/>
          <w:szCs w:val="18"/>
          <w:lang w:val="en-US"/>
        </w:rPr>
        <w:t xml:space="preserve">-10 and </w:t>
      </w:r>
      <w:r w:rsidR="00C71BC5" w:rsidRPr="00AA05D4">
        <w:rPr>
          <w:rFonts w:cs="Times New Roman"/>
          <w:sz w:val="18"/>
          <w:szCs w:val="18"/>
          <w:lang w:val="en-US"/>
        </w:rPr>
        <w:t>NFPC</w:t>
      </w:r>
      <w:r w:rsidR="00F4302D" w:rsidRPr="00AA05D4">
        <w:rPr>
          <w:rFonts w:cs="Times New Roman"/>
          <w:sz w:val="18"/>
          <w:szCs w:val="18"/>
          <w:lang w:val="en-US"/>
        </w:rPr>
        <w:t>-30 specimens</w:t>
      </w:r>
    </w:p>
    <w:tbl>
      <w:tblPr>
        <w:tblStyle w:val="a6"/>
        <w:tblW w:w="0" w:type="auto"/>
        <w:tblLook w:val="04A0" w:firstRow="1" w:lastRow="0" w:firstColumn="1" w:lastColumn="0" w:noHBand="0" w:noVBand="1"/>
      </w:tblPr>
      <w:tblGrid>
        <w:gridCol w:w="3190"/>
        <w:gridCol w:w="3190"/>
        <w:gridCol w:w="3190"/>
      </w:tblGrid>
      <w:tr w:rsidR="00C837BA" w:rsidRPr="00AA05D4" w14:paraId="49739563" w14:textId="77777777" w:rsidTr="00E9159A">
        <w:tc>
          <w:tcPr>
            <w:tcW w:w="3190" w:type="dxa"/>
          </w:tcPr>
          <w:p w14:paraId="5D47D734" w14:textId="77777777" w:rsidR="00C837BA" w:rsidRPr="00AA05D4" w:rsidRDefault="00C837BA" w:rsidP="00E9159A">
            <w:pPr>
              <w:jc w:val="center"/>
              <w:rPr>
                <w:sz w:val="18"/>
                <w:szCs w:val="18"/>
              </w:rPr>
            </w:pPr>
            <w:r w:rsidRPr="00AA05D4">
              <w:rPr>
                <w:sz w:val="18"/>
                <w:szCs w:val="18"/>
                <w:lang w:val="az-Latn-AZ"/>
              </w:rPr>
              <w:t>T</w:t>
            </w:r>
            <w:r w:rsidRPr="00AA05D4">
              <w:rPr>
                <w:sz w:val="18"/>
                <w:szCs w:val="18"/>
              </w:rPr>
              <w:t xml:space="preserve">, </w:t>
            </w:r>
            <w:r w:rsidRPr="00AA05D4">
              <w:rPr>
                <w:sz w:val="18"/>
                <w:szCs w:val="18"/>
                <w:vertAlign w:val="superscript"/>
              </w:rPr>
              <w:t>0</w:t>
            </w:r>
            <w:r w:rsidRPr="00AA05D4">
              <w:rPr>
                <w:sz w:val="18"/>
                <w:szCs w:val="18"/>
              </w:rPr>
              <w:t>С</w:t>
            </w:r>
          </w:p>
        </w:tc>
        <w:tc>
          <w:tcPr>
            <w:tcW w:w="3190" w:type="dxa"/>
          </w:tcPr>
          <w:p w14:paraId="2817C56D" w14:textId="77777777" w:rsidR="00C837BA" w:rsidRPr="00AA05D4" w:rsidRDefault="00F4302D" w:rsidP="00F4302D">
            <w:pPr>
              <w:jc w:val="center"/>
              <w:rPr>
                <w:sz w:val="18"/>
                <w:szCs w:val="18"/>
                <w:lang w:val="az-Latn-AZ"/>
              </w:rPr>
            </w:pPr>
            <w:r w:rsidRPr="00AA05D4">
              <w:rPr>
                <w:rFonts w:cs="Times New Roman"/>
                <w:sz w:val="18"/>
                <w:szCs w:val="18"/>
              </w:rPr>
              <w:t>ρ</w:t>
            </w:r>
            <w:r w:rsidRPr="00AA05D4">
              <w:rPr>
                <w:rFonts w:cs="Times New Roman"/>
                <w:sz w:val="18"/>
                <w:szCs w:val="18"/>
                <w:vertAlign w:val="subscript"/>
                <w:lang w:val="en-US"/>
              </w:rPr>
              <w:t>eff</w:t>
            </w:r>
            <w:r w:rsidR="00C837BA" w:rsidRPr="00AA05D4">
              <w:rPr>
                <w:sz w:val="18"/>
                <w:szCs w:val="18"/>
              </w:rPr>
              <w:t xml:space="preserve">, </w:t>
            </w:r>
            <w:r w:rsidRPr="00AA05D4">
              <w:rPr>
                <w:sz w:val="18"/>
                <w:szCs w:val="18"/>
                <w:lang w:val="az-Latn-AZ"/>
              </w:rPr>
              <w:t>Ohm</w:t>
            </w:r>
            <w:r w:rsidR="00C837BA" w:rsidRPr="00AA05D4">
              <w:rPr>
                <w:sz w:val="18"/>
                <w:szCs w:val="18"/>
              </w:rPr>
              <w:sym w:font="Symbol" w:char="F0D7"/>
            </w:r>
            <w:r w:rsidRPr="00AA05D4">
              <w:rPr>
                <w:sz w:val="18"/>
                <w:szCs w:val="18"/>
                <w:lang w:val="az-Latn-AZ"/>
              </w:rPr>
              <w:t>m</w:t>
            </w:r>
          </w:p>
        </w:tc>
        <w:tc>
          <w:tcPr>
            <w:tcW w:w="3190" w:type="dxa"/>
          </w:tcPr>
          <w:p w14:paraId="32FDB0C7" w14:textId="77777777" w:rsidR="00C837BA" w:rsidRPr="00AA05D4" w:rsidRDefault="00C837BA" w:rsidP="00F4302D">
            <w:pPr>
              <w:jc w:val="center"/>
              <w:rPr>
                <w:sz w:val="18"/>
                <w:szCs w:val="18"/>
              </w:rPr>
            </w:pPr>
            <w:r w:rsidRPr="00AA05D4">
              <w:rPr>
                <w:rFonts w:cs="Times New Roman"/>
                <w:sz w:val="18"/>
                <w:szCs w:val="18"/>
              </w:rPr>
              <w:t>ρ</w:t>
            </w:r>
            <w:r w:rsidR="00F4302D" w:rsidRPr="00AA05D4">
              <w:rPr>
                <w:sz w:val="18"/>
                <w:szCs w:val="18"/>
                <w:vertAlign w:val="subscript"/>
                <w:lang w:val="az-Latn-AZ"/>
              </w:rPr>
              <w:t>res</w:t>
            </w:r>
            <w:r w:rsidRPr="00AA05D4">
              <w:rPr>
                <w:sz w:val="18"/>
                <w:szCs w:val="18"/>
              </w:rPr>
              <w:t xml:space="preserve">, </w:t>
            </w:r>
            <w:r w:rsidR="00F4302D" w:rsidRPr="00AA05D4">
              <w:rPr>
                <w:sz w:val="18"/>
                <w:szCs w:val="18"/>
                <w:lang w:val="az-Latn-AZ"/>
              </w:rPr>
              <w:t>Ohm</w:t>
            </w:r>
            <w:r w:rsidR="00F4302D" w:rsidRPr="00AA05D4">
              <w:rPr>
                <w:sz w:val="18"/>
                <w:szCs w:val="18"/>
              </w:rPr>
              <w:sym w:font="Symbol" w:char="F0D7"/>
            </w:r>
            <w:r w:rsidR="00F4302D" w:rsidRPr="00AA05D4">
              <w:rPr>
                <w:sz w:val="18"/>
                <w:szCs w:val="18"/>
                <w:lang w:val="az-Latn-AZ"/>
              </w:rPr>
              <w:t>m</w:t>
            </w:r>
          </w:p>
        </w:tc>
      </w:tr>
      <w:tr w:rsidR="00C837BA" w:rsidRPr="00AA05D4" w14:paraId="4ADC75A1" w14:textId="77777777" w:rsidTr="00E9159A">
        <w:tc>
          <w:tcPr>
            <w:tcW w:w="3190" w:type="dxa"/>
          </w:tcPr>
          <w:p w14:paraId="7236E1A9" w14:textId="77777777" w:rsidR="00C837BA" w:rsidRPr="00AA05D4" w:rsidRDefault="00C837BA" w:rsidP="00E9159A">
            <w:pPr>
              <w:jc w:val="center"/>
              <w:rPr>
                <w:sz w:val="18"/>
                <w:szCs w:val="18"/>
              </w:rPr>
            </w:pPr>
            <w:r w:rsidRPr="00AA05D4">
              <w:rPr>
                <w:sz w:val="18"/>
                <w:szCs w:val="18"/>
              </w:rPr>
              <w:t>25</w:t>
            </w:r>
          </w:p>
          <w:p w14:paraId="3E7C0369" w14:textId="77777777" w:rsidR="00C837BA" w:rsidRPr="00AA05D4" w:rsidRDefault="00C837BA" w:rsidP="00E9159A">
            <w:pPr>
              <w:jc w:val="center"/>
              <w:rPr>
                <w:sz w:val="18"/>
                <w:szCs w:val="18"/>
              </w:rPr>
            </w:pPr>
            <w:r w:rsidRPr="00AA05D4">
              <w:rPr>
                <w:sz w:val="18"/>
                <w:szCs w:val="18"/>
              </w:rPr>
              <w:t>40</w:t>
            </w:r>
          </w:p>
          <w:p w14:paraId="369BA617" w14:textId="77777777" w:rsidR="00C837BA" w:rsidRPr="00AA05D4" w:rsidRDefault="00C837BA" w:rsidP="00E9159A">
            <w:pPr>
              <w:jc w:val="center"/>
              <w:rPr>
                <w:sz w:val="18"/>
                <w:szCs w:val="18"/>
              </w:rPr>
            </w:pPr>
            <w:r w:rsidRPr="00AA05D4">
              <w:rPr>
                <w:sz w:val="18"/>
                <w:szCs w:val="18"/>
              </w:rPr>
              <w:t>60</w:t>
            </w:r>
          </w:p>
          <w:p w14:paraId="0C3F9D1F" w14:textId="77777777" w:rsidR="00C837BA" w:rsidRPr="00AA05D4" w:rsidRDefault="00C837BA" w:rsidP="00E9159A">
            <w:pPr>
              <w:jc w:val="center"/>
              <w:rPr>
                <w:sz w:val="18"/>
                <w:szCs w:val="18"/>
              </w:rPr>
            </w:pPr>
            <w:r w:rsidRPr="00AA05D4">
              <w:rPr>
                <w:sz w:val="18"/>
                <w:szCs w:val="18"/>
              </w:rPr>
              <w:t>80</w:t>
            </w:r>
          </w:p>
        </w:tc>
        <w:tc>
          <w:tcPr>
            <w:tcW w:w="3190" w:type="dxa"/>
          </w:tcPr>
          <w:p w14:paraId="7F7B5CCA" w14:textId="77777777" w:rsidR="00C837BA" w:rsidRPr="00AA05D4" w:rsidRDefault="00C837BA" w:rsidP="00E9159A">
            <w:pPr>
              <w:jc w:val="center"/>
              <w:rPr>
                <w:sz w:val="18"/>
                <w:szCs w:val="18"/>
                <w:vertAlign w:val="superscript"/>
              </w:rPr>
            </w:pPr>
            <w:r w:rsidRPr="00AA05D4">
              <w:rPr>
                <w:sz w:val="18"/>
                <w:szCs w:val="18"/>
              </w:rPr>
              <w:t>1,0</w:t>
            </w:r>
            <w:r w:rsidRPr="00AA05D4">
              <w:rPr>
                <w:sz w:val="18"/>
                <w:szCs w:val="18"/>
              </w:rPr>
              <w:sym w:font="Symbol" w:char="F0D7"/>
            </w:r>
            <w:r w:rsidRPr="00AA05D4">
              <w:rPr>
                <w:sz w:val="18"/>
                <w:szCs w:val="18"/>
              </w:rPr>
              <w:t>10</w:t>
            </w:r>
            <w:r w:rsidRPr="00AA05D4">
              <w:rPr>
                <w:sz w:val="18"/>
                <w:szCs w:val="18"/>
                <w:vertAlign w:val="superscript"/>
              </w:rPr>
              <w:t>15</w:t>
            </w:r>
          </w:p>
          <w:p w14:paraId="3AA3A9DE" w14:textId="77777777" w:rsidR="00C837BA" w:rsidRPr="00AA05D4" w:rsidRDefault="00C837BA" w:rsidP="00E9159A">
            <w:pPr>
              <w:jc w:val="center"/>
              <w:rPr>
                <w:sz w:val="18"/>
                <w:szCs w:val="18"/>
                <w:vertAlign w:val="superscript"/>
              </w:rPr>
            </w:pPr>
            <w:r w:rsidRPr="00AA05D4">
              <w:rPr>
                <w:sz w:val="18"/>
                <w:szCs w:val="18"/>
              </w:rPr>
              <w:t>7,5</w:t>
            </w:r>
            <w:r w:rsidRPr="00AA05D4">
              <w:rPr>
                <w:sz w:val="18"/>
                <w:szCs w:val="18"/>
              </w:rPr>
              <w:sym w:font="Symbol" w:char="F0D7"/>
            </w:r>
            <w:r w:rsidRPr="00AA05D4">
              <w:rPr>
                <w:sz w:val="18"/>
                <w:szCs w:val="18"/>
              </w:rPr>
              <w:t>10</w:t>
            </w:r>
            <w:r w:rsidRPr="00AA05D4">
              <w:rPr>
                <w:sz w:val="18"/>
                <w:szCs w:val="18"/>
                <w:vertAlign w:val="superscript"/>
              </w:rPr>
              <w:t>14</w:t>
            </w:r>
          </w:p>
          <w:p w14:paraId="33B8867C" w14:textId="77777777" w:rsidR="00C837BA" w:rsidRPr="00AA05D4" w:rsidRDefault="00C837BA" w:rsidP="00E9159A">
            <w:pPr>
              <w:jc w:val="center"/>
              <w:rPr>
                <w:sz w:val="18"/>
                <w:szCs w:val="18"/>
                <w:vertAlign w:val="superscript"/>
              </w:rPr>
            </w:pPr>
            <w:r w:rsidRPr="00AA05D4">
              <w:rPr>
                <w:sz w:val="18"/>
                <w:szCs w:val="18"/>
              </w:rPr>
              <w:t>5,0</w:t>
            </w:r>
            <w:r w:rsidRPr="00AA05D4">
              <w:rPr>
                <w:sz w:val="18"/>
                <w:szCs w:val="18"/>
              </w:rPr>
              <w:sym w:font="Symbol" w:char="F0D7"/>
            </w:r>
            <w:r w:rsidRPr="00AA05D4">
              <w:rPr>
                <w:sz w:val="18"/>
                <w:szCs w:val="18"/>
              </w:rPr>
              <w:t>10</w:t>
            </w:r>
            <w:r w:rsidRPr="00AA05D4">
              <w:rPr>
                <w:sz w:val="18"/>
                <w:szCs w:val="18"/>
                <w:vertAlign w:val="superscript"/>
              </w:rPr>
              <w:t>14</w:t>
            </w:r>
          </w:p>
          <w:p w14:paraId="490C1EE9" w14:textId="77777777" w:rsidR="00C837BA" w:rsidRPr="00AA05D4" w:rsidRDefault="00C837BA" w:rsidP="00E9159A">
            <w:pPr>
              <w:jc w:val="center"/>
              <w:rPr>
                <w:sz w:val="18"/>
                <w:szCs w:val="18"/>
                <w:vertAlign w:val="superscript"/>
              </w:rPr>
            </w:pPr>
            <w:r w:rsidRPr="00AA05D4">
              <w:rPr>
                <w:sz w:val="18"/>
                <w:szCs w:val="18"/>
              </w:rPr>
              <w:t>3,5</w:t>
            </w:r>
            <w:r w:rsidRPr="00AA05D4">
              <w:rPr>
                <w:sz w:val="18"/>
                <w:szCs w:val="18"/>
              </w:rPr>
              <w:sym w:font="Symbol" w:char="F0D7"/>
            </w:r>
            <w:r w:rsidRPr="00AA05D4">
              <w:rPr>
                <w:sz w:val="18"/>
                <w:szCs w:val="18"/>
              </w:rPr>
              <w:t>10</w:t>
            </w:r>
            <w:r w:rsidRPr="00AA05D4">
              <w:rPr>
                <w:sz w:val="18"/>
                <w:szCs w:val="18"/>
                <w:vertAlign w:val="superscript"/>
              </w:rPr>
              <w:t>14</w:t>
            </w:r>
          </w:p>
        </w:tc>
        <w:tc>
          <w:tcPr>
            <w:tcW w:w="3190" w:type="dxa"/>
          </w:tcPr>
          <w:p w14:paraId="710A9EA4" w14:textId="77777777" w:rsidR="00C837BA" w:rsidRPr="00AA05D4" w:rsidRDefault="00C837BA" w:rsidP="00E9159A">
            <w:pPr>
              <w:jc w:val="center"/>
              <w:rPr>
                <w:sz w:val="18"/>
                <w:szCs w:val="18"/>
                <w:vertAlign w:val="superscript"/>
              </w:rPr>
            </w:pPr>
            <w:r w:rsidRPr="00AA05D4">
              <w:rPr>
                <w:sz w:val="18"/>
                <w:szCs w:val="18"/>
              </w:rPr>
              <w:t>1,5</w:t>
            </w:r>
            <w:r w:rsidRPr="00AA05D4">
              <w:rPr>
                <w:sz w:val="18"/>
                <w:szCs w:val="18"/>
              </w:rPr>
              <w:sym w:font="Symbol" w:char="F0D7"/>
            </w:r>
            <w:r w:rsidRPr="00AA05D4">
              <w:rPr>
                <w:sz w:val="18"/>
                <w:szCs w:val="18"/>
              </w:rPr>
              <w:t>10</w:t>
            </w:r>
            <w:r w:rsidRPr="00AA05D4">
              <w:rPr>
                <w:sz w:val="18"/>
                <w:szCs w:val="18"/>
                <w:vertAlign w:val="superscript"/>
              </w:rPr>
              <w:t>14</w:t>
            </w:r>
          </w:p>
          <w:p w14:paraId="3F74FD27" w14:textId="77777777" w:rsidR="00C837BA" w:rsidRPr="00AA05D4" w:rsidRDefault="00C837BA" w:rsidP="00E9159A">
            <w:pPr>
              <w:jc w:val="center"/>
              <w:rPr>
                <w:sz w:val="18"/>
                <w:szCs w:val="18"/>
                <w:vertAlign w:val="superscript"/>
              </w:rPr>
            </w:pPr>
            <w:r w:rsidRPr="00AA05D4">
              <w:rPr>
                <w:sz w:val="18"/>
                <w:szCs w:val="18"/>
              </w:rPr>
              <w:t>1,0</w:t>
            </w:r>
            <w:r w:rsidRPr="00AA05D4">
              <w:rPr>
                <w:sz w:val="18"/>
                <w:szCs w:val="18"/>
              </w:rPr>
              <w:sym w:font="Symbol" w:char="F0D7"/>
            </w:r>
            <w:r w:rsidRPr="00AA05D4">
              <w:rPr>
                <w:sz w:val="18"/>
                <w:szCs w:val="18"/>
              </w:rPr>
              <w:t>10</w:t>
            </w:r>
            <w:r w:rsidRPr="00AA05D4">
              <w:rPr>
                <w:sz w:val="18"/>
                <w:szCs w:val="18"/>
                <w:vertAlign w:val="superscript"/>
              </w:rPr>
              <w:t>14</w:t>
            </w:r>
          </w:p>
          <w:p w14:paraId="06209983" w14:textId="77777777" w:rsidR="00C837BA" w:rsidRPr="00AA05D4" w:rsidRDefault="00C837BA" w:rsidP="00E9159A">
            <w:pPr>
              <w:jc w:val="center"/>
              <w:rPr>
                <w:sz w:val="18"/>
                <w:szCs w:val="18"/>
                <w:vertAlign w:val="superscript"/>
              </w:rPr>
            </w:pPr>
            <w:r w:rsidRPr="00AA05D4">
              <w:rPr>
                <w:sz w:val="18"/>
                <w:szCs w:val="18"/>
              </w:rPr>
              <w:t>7,0</w:t>
            </w:r>
            <w:r w:rsidRPr="00AA05D4">
              <w:rPr>
                <w:sz w:val="18"/>
                <w:szCs w:val="18"/>
              </w:rPr>
              <w:sym w:font="Symbol" w:char="F0D7"/>
            </w:r>
            <w:r w:rsidRPr="00AA05D4">
              <w:rPr>
                <w:sz w:val="18"/>
                <w:szCs w:val="18"/>
              </w:rPr>
              <w:t>10</w:t>
            </w:r>
            <w:r w:rsidRPr="00AA05D4">
              <w:rPr>
                <w:sz w:val="18"/>
                <w:szCs w:val="18"/>
                <w:vertAlign w:val="superscript"/>
              </w:rPr>
              <w:t>13</w:t>
            </w:r>
          </w:p>
          <w:p w14:paraId="2BADEFFD" w14:textId="77777777" w:rsidR="00C837BA" w:rsidRPr="00AA05D4" w:rsidRDefault="00C837BA" w:rsidP="00C837BA">
            <w:pPr>
              <w:jc w:val="center"/>
              <w:rPr>
                <w:sz w:val="18"/>
                <w:szCs w:val="18"/>
              </w:rPr>
            </w:pPr>
            <w:r w:rsidRPr="00AA05D4">
              <w:rPr>
                <w:sz w:val="18"/>
                <w:szCs w:val="18"/>
              </w:rPr>
              <w:t>6,0</w:t>
            </w:r>
            <w:r w:rsidRPr="00AA05D4">
              <w:rPr>
                <w:sz w:val="18"/>
                <w:szCs w:val="18"/>
              </w:rPr>
              <w:sym w:font="Symbol" w:char="F0D7"/>
            </w:r>
            <w:r w:rsidRPr="00AA05D4">
              <w:rPr>
                <w:sz w:val="18"/>
                <w:szCs w:val="18"/>
              </w:rPr>
              <w:t>10</w:t>
            </w:r>
            <w:r w:rsidRPr="00AA05D4">
              <w:rPr>
                <w:sz w:val="18"/>
                <w:szCs w:val="18"/>
                <w:vertAlign w:val="superscript"/>
              </w:rPr>
              <w:t>13</w:t>
            </w:r>
          </w:p>
        </w:tc>
      </w:tr>
    </w:tbl>
    <w:p w14:paraId="4BFFD5F3" w14:textId="2BB9610A" w:rsidR="002E7ED9" w:rsidRPr="00533BAC" w:rsidRDefault="002E7ED9" w:rsidP="006D7851">
      <w:pPr>
        <w:spacing w:before="120" w:after="0"/>
        <w:ind w:firstLine="284"/>
        <w:jc w:val="both"/>
        <w:rPr>
          <w:rFonts w:cs="Times New Roman"/>
          <w:sz w:val="20"/>
          <w:szCs w:val="20"/>
          <w:lang w:val="en-US"/>
        </w:rPr>
      </w:pPr>
      <w:r w:rsidRPr="00533BAC">
        <w:rPr>
          <w:rFonts w:cs="Times New Roman"/>
          <w:sz w:val="20"/>
          <w:szCs w:val="20"/>
          <w:lang w:val="az-Latn-AZ"/>
        </w:rPr>
        <w:t>It is clear from the data obtained that the measurements performed on thicker samples give underestimated values of ρeff compared to the 90 µm thick samples (Fig. 2, curves 1 and 3). Thus, the values of ρost obtained on 90 μm thick film samples should be considered as the true value of ρ (Tab. 1). The dependence ρ</w:t>
      </w:r>
      <w:r w:rsidRPr="00533BAC">
        <w:rPr>
          <w:rFonts w:cs="Times New Roman"/>
          <w:sz w:val="20"/>
          <w:szCs w:val="20"/>
          <w:vertAlign w:val="subscript"/>
          <w:lang w:val="az-Latn-AZ"/>
        </w:rPr>
        <w:t>eff</w:t>
      </w:r>
      <w:r w:rsidRPr="00533BAC">
        <w:rPr>
          <w:rFonts w:cs="Times New Roman"/>
          <w:sz w:val="20"/>
          <w:szCs w:val="20"/>
          <w:lang w:val="az-Latn-AZ"/>
        </w:rPr>
        <w:t xml:space="preserve"> = f(t) for </w:t>
      </w:r>
      <w:r w:rsidR="00C71BC5" w:rsidRPr="00533BAC">
        <w:rPr>
          <w:rFonts w:cs="Times New Roman"/>
          <w:sz w:val="20"/>
          <w:szCs w:val="20"/>
          <w:lang w:val="az-Latn-AZ"/>
        </w:rPr>
        <w:t>NFPC</w:t>
      </w:r>
      <w:r w:rsidRPr="00533BAC">
        <w:rPr>
          <w:rFonts w:cs="Times New Roman"/>
          <w:sz w:val="20"/>
          <w:szCs w:val="20"/>
          <w:lang w:val="az-Latn-AZ"/>
        </w:rPr>
        <w:t>-10 material (curve 4) shown in Fig. 2 allows us to conclude that an increase in the concentration of additives in the initial material leads to a decrease in the specific volume resistivity ρ. When studying the temperature dependence of ρ of polymer dielectrics, the method of thermostimulated depolarisation currents (TDC) is often used. The essence of the method is as follows: the sample is precharged and placed in a measuring cell, and between the sample and the electrodes insulating pads with ρ</w:t>
      </w:r>
      <w:r w:rsidRPr="00533BAC">
        <w:rPr>
          <w:rFonts w:cs="Times New Roman"/>
          <w:sz w:val="20"/>
          <w:szCs w:val="20"/>
          <w:vertAlign w:val="subscript"/>
          <w:lang w:val="az-Latn-AZ"/>
        </w:rPr>
        <w:t>gas.</w:t>
      </w:r>
      <w:r w:rsidRPr="00533BAC">
        <w:rPr>
          <w:rFonts w:cs="Times New Roman"/>
          <w:sz w:val="20"/>
          <w:szCs w:val="20"/>
          <w:lang w:val="az-Latn-AZ"/>
        </w:rPr>
        <w:t xml:space="preserve"> &gt;&gt; ρ</w:t>
      </w:r>
      <w:r w:rsidRPr="00533BAC">
        <w:rPr>
          <w:rFonts w:cs="Times New Roman"/>
          <w:sz w:val="20"/>
          <w:szCs w:val="20"/>
          <w:vertAlign w:val="subscript"/>
          <w:lang w:val="az-Latn-AZ"/>
        </w:rPr>
        <w:t>sam.</w:t>
      </w:r>
      <w:r w:rsidRPr="00533BAC">
        <w:rPr>
          <w:rFonts w:cs="Times New Roman"/>
          <w:sz w:val="20"/>
          <w:szCs w:val="20"/>
          <w:lang w:val="az-Latn-AZ"/>
        </w:rPr>
        <w:t xml:space="preserve"> The sample is heated at a constant rate and the current flowing in the external circuit is measured.</w:t>
      </w:r>
    </w:p>
    <w:p w14:paraId="455EC85A" w14:textId="383B5DEB" w:rsidR="003B2EA0" w:rsidRDefault="002E7ED9" w:rsidP="00042978">
      <w:pPr>
        <w:spacing w:after="0"/>
        <w:ind w:firstLine="284"/>
        <w:jc w:val="both"/>
        <w:rPr>
          <w:rFonts w:cs="Times New Roman"/>
          <w:sz w:val="20"/>
          <w:szCs w:val="20"/>
          <w:lang w:val="az-Latn-AZ"/>
        </w:rPr>
      </w:pPr>
      <w:r w:rsidRPr="00533BAC">
        <w:rPr>
          <w:rFonts w:cs="Times New Roman"/>
          <w:sz w:val="20"/>
          <w:szCs w:val="20"/>
          <w:lang w:val="az-Latn-AZ"/>
        </w:rPr>
        <w:t xml:space="preserve">In the conducted studies, the samples of materials with thickness h = 1 mm were charged in corona discharge, and negative voltage was applied to the high-voltage electrode (needle). A 10 µm thick PTFE (polytetrafluoroethylene) film was used as insulating pads. Figure 3 shows one of the typical TDC curves obtained for the </w:t>
      </w:r>
      <w:r w:rsidR="00C71BC5" w:rsidRPr="00533BAC">
        <w:rPr>
          <w:rFonts w:cs="Times New Roman"/>
          <w:sz w:val="20"/>
          <w:szCs w:val="20"/>
          <w:lang w:val="az-Latn-AZ"/>
        </w:rPr>
        <w:t>NFPC</w:t>
      </w:r>
      <w:r w:rsidRPr="00533BAC">
        <w:rPr>
          <w:rFonts w:cs="Times New Roman"/>
          <w:sz w:val="20"/>
          <w:szCs w:val="20"/>
          <w:lang w:val="az-Latn-AZ"/>
        </w:rPr>
        <w:t>-30 composite.</w:t>
      </w:r>
    </w:p>
    <w:p w14:paraId="6039001B" w14:textId="77777777" w:rsidR="003B2EA0" w:rsidRDefault="005972BB" w:rsidP="00A42FE7">
      <w:pPr>
        <w:tabs>
          <w:tab w:val="center" w:pos="5031"/>
          <w:tab w:val="left" w:pos="6668"/>
        </w:tabs>
        <w:spacing w:after="0"/>
        <w:jc w:val="center"/>
        <w:rPr>
          <w:rFonts w:cs="Times New Roman"/>
          <w:sz w:val="24"/>
          <w:szCs w:val="24"/>
          <w:vertAlign w:val="superscript"/>
          <w:lang w:val="en-US"/>
        </w:rPr>
      </w:pPr>
      <w:r>
        <w:rPr>
          <w:noProof/>
          <w:sz w:val="24"/>
          <w:szCs w:val="24"/>
          <w:lang w:val="en-US"/>
        </w:rPr>
        <w:lastRenderedPageBreak/>
        <w:drawing>
          <wp:inline distT="0" distB="0" distL="0" distR="0" wp14:anchorId="3F6F5CFD" wp14:editId="775B7EAE">
            <wp:extent cx="2415578" cy="1996440"/>
            <wp:effectExtent l="0" t="0" r="3810" b="3810"/>
            <wp:docPr id="7" name="Рисунок 3" descr="C:\Users\user\AppData\Local\Temp\Rar$DIa4808.7625.rartemp\q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Temp\Rar$DIa4808.7625.rartemp\qr-7.jpg"/>
                    <pic:cNvPicPr>
                      <a:picLocks noChangeAspect="1" noChangeArrowheads="1"/>
                    </pic:cNvPicPr>
                  </pic:nvPicPr>
                  <pic:blipFill>
                    <a:blip r:embed="rId10" cstate="print"/>
                    <a:srcRect/>
                    <a:stretch>
                      <a:fillRect/>
                    </a:stretch>
                  </pic:blipFill>
                  <pic:spPr bwMode="auto">
                    <a:xfrm>
                      <a:off x="0" y="0"/>
                      <a:ext cx="2431778" cy="2009829"/>
                    </a:xfrm>
                    <a:prstGeom prst="rect">
                      <a:avLst/>
                    </a:prstGeom>
                    <a:noFill/>
                    <a:ln w="9525">
                      <a:noFill/>
                      <a:miter lim="800000"/>
                      <a:headEnd/>
                      <a:tailEnd/>
                    </a:ln>
                  </pic:spPr>
                </pic:pic>
              </a:graphicData>
            </a:graphic>
          </wp:inline>
        </w:drawing>
      </w:r>
    </w:p>
    <w:p w14:paraId="1616E64C" w14:textId="203DE288" w:rsidR="002E7ED9" w:rsidRPr="00042978" w:rsidRDefault="00042978" w:rsidP="00533BAC">
      <w:pPr>
        <w:spacing w:after="0"/>
        <w:jc w:val="center"/>
        <w:rPr>
          <w:rFonts w:eastAsiaTheme="minorEastAsia" w:cs="Times New Roman"/>
          <w:bCs/>
          <w:noProof/>
          <w:kern w:val="0"/>
          <w:sz w:val="18"/>
          <w:szCs w:val="18"/>
          <w:lang w:val="uz-Cyrl-UZ"/>
        </w:rPr>
      </w:pPr>
      <w:r w:rsidRPr="00842C14">
        <w:rPr>
          <w:rFonts w:eastAsiaTheme="minorEastAsia"/>
          <w:b/>
          <w:sz w:val="18"/>
          <w:szCs w:val="18"/>
          <w:lang w:val="uz-Cyrl-UZ"/>
        </w:rPr>
        <w:t>FIGURE 3</w:t>
      </w:r>
      <w:r w:rsidR="002E7ED9" w:rsidRPr="00042978">
        <w:rPr>
          <w:rFonts w:cs="Times New Roman"/>
          <w:b/>
          <w:bCs/>
          <w:sz w:val="18"/>
          <w:szCs w:val="18"/>
          <w:lang w:val="az-Latn-AZ"/>
        </w:rPr>
        <w:t>.</w:t>
      </w:r>
      <w:r w:rsidR="002E7ED9" w:rsidRPr="00533BAC">
        <w:rPr>
          <w:rFonts w:cs="Times New Roman"/>
          <w:b/>
          <w:bCs/>
          <w:sz w:val="24"/>
          <w:szCs w:val="24"/>
          <w:lang w:val="az-Latn-AZ"/>
        </w:rPr>
        <w:t xml:space="preserve"> </w:t>
      </w:r>
      <w:r w:rsidR="002E7ED9" w:rsidRPr="00042978">
        <w:rPr>
          <w:rFonts w:eastAsiaTheme="minorEastAsia" w:cs="Times New Roman"/>
          <w:bCs/>
          <w:noProof/>
          <w:kern w:val="0"/>
          <w:sz w:val="18"/>
          <w:szCs w:val="18"/>
          <w:lang w:val="uz-Cyrl-UZ"/>
        </w:rPr>
        <w:t xml:space="preserve">Thermally stimulated depolarization (TDC) current curve for </w:t>
      </w:r>
      <w:r w:rsidR="00C71BC5" w:rsidRPr="00042978">
        <w:rPr>
          <w:rFonts w:eastAsiaTheme="minorEastAsia" w:cs="Times New Roman"/>
          <w:bCs/>
          <w:noProof/>
          <w:kern w:val="0"/>
          <w:sz w:val="18"/>
          <w:szCs w:val="18"/>
          <w:lang w:val="uz-Cyrl-UZ"/>
        </w:rPr>
        <w:t>NFPC</w:t>
      </w:r>
      <w:r w:rsidR="002E7ED9" w:rsidRPr="00042978">
        <w:rPr>
          <w:rFonts w:eastAsiaTheme="minorEastAsia" w:cs="Times New Roman"/>
          <w:bCs/>
          <w:noProof/>
          <w:kern w:val="0"/>
          <w:sz w:val="18"/>
          <w:szCs w:val="18"/>
          <w:lang w:val="uz-Cyrl-UZ"/>
        </w:rPr>
        <w:t>-30 sample with thickness h = 1 mm</w:t>
      </w:r>
    </w:p>
    <w:p w14:paraId="6A03B5C5" w14:textId="3ADC7AEE" w:rsidR="001F3A0F" w:rsidRPr="005B0458" w:rsidRDefault="005B0458" w:rsidP="005B0458">
      <w:pPr>
        <w:pStyle w:val="1"/>
        <w:spacing w:after="240"/>
        <w:jc w:val="center"/>
        <w:rPr>
          <w:rFonts w:ascii="Times New Roman" w:hAnsi="Times New Roman" w:cs="Times New Roman"/>
          <w:sz w:val="24"/>
          <w:szCs w:val="24"/>
          <w:lang w:val="en-US"/>
        </w:rPr>
      </w:pPr>
      <w:r w:rsidRPr="005B0458">
        <w:rPr>
          <w:rFonts w:ascii="Times New Roman" w:hAnsi="Times New Roman" w:cs="Times New Roman"/>
          <w:sz w:val="24"/>
          <w:szCs w:val="24"/>
          <w:lang w:val="en-US"/>
        </w:rPr>
        <w:t>DISCUSSION</w:t>
      </w:r>
    </w:p>
    <w:p w14:paraId="6213F6DE" w14:textId="7B14A451" w:rsidR="002E7ED9" w:rsidRPr="00533BAC" w:rsidRDefault="002E7ED9" w:rsidP="00042978">
      <w:pPr>
        <w:spacing w:after="0"/>
        <w:ind w:firstLine="284"/>
        <w:jc w:val="both"/>
        <w:rPr>
          <w:rFonts w:cs="Times New Roman"/>
          <w:sz w:val="20"/>
          <w:szCs w:val="20"/>
          <w:lang w:val="az-Latn-AZ"/>
        </w:rPr>
      </w:pPr>
      <w:r w:rsidRPr="00533BAC">
        <w:rPr>
          <w:rFonts w:cs="Times New Roman"/>
          <w:sz w:val="20"/>
          <w:szCs w:val="20"/>
          <w:lang w:val="az-Latn-AZ"/>
        </w:rPr>
        <w:t xml:space="preserve">The methods of processing current curves depend on the assumptions about the mechanism of charge relaxation </w:t>
      </w:r>
      <w:r w:rsidRPr="00533BAC">
        <w:rPr>
          <w:rFonts w:cs="Times New Roman"/>
          <w:sz w:val="20"/>
          <w:szCs w:val="20"/>
        </w:rPr>
        <w:sym w:font="Symbol" w:char="F05B"/>
      </w:r>
      <w:r w:rsidRPr="00533BAC">
        <w:rPr>
          <w:rFonts w:cs="Times New Roman"/>
          <w:sz w:val="20"/>
          <w:szCs w:val="20"/>
          <w:lang w:val="en-US"/>
        </w:rPr>
        <w:t>7</w:t>
      </w:r>
      <w:r w:rsidR="006D7851">
        <w:rPr>
          <w:rFonts w:cs="Times New Roman"/>
          <w:sz w:val="20"/>
          <w:szCs w:val="20"/>
          <w:lang w:val="en-US"/>
        </w:rPr>
        <w:t xml:space="preserve">, 8, </w:t>
      </w:r>
      <w:r w:rsidRPr="00533BAC">
        <w:rPr>
          <w:rFonts w:cs="Times New Roman"/>
          <w:sz w:val="20"/>
          <w:szCs w:val="20"/>
          <w:lang w:val="en-US"/>
        </w:rPr>
        <w:t>9</w:t>
      </w:r>
      <w:r w:rsidRPr="00533BAC">
        <w:rPr>
          <w:rFonts w:cs="Times New Roman"/>
          <w:sz w:val="20"/>
          <w:szCs w:val="20"/>
        </w:rPr>
        <w:sym w:font="Symbol" w:char="F05D"/>
      </w:r>
      <w:r w:rsidRPr="00533BAC">
        <w:rPr>
          <w:rFonts w:cs="Times New Roman"/>
          <w:sz w:val="20"/>
          <w:szCs w:val="20"/>
          <w:lang w:val="az-Latn-AZ"/>
        </w:rPr>
        <w:t>. A formal analysis of TDC maxima can be carried out taking into account a number of assumptions:</w:t>
      </w:r>
    </w:p>
    <w:p w14:paraId="32F28508" w14:textId="77777777" w:rsidR="002E7ED9" w:rsidRPr="00533BAC" w:rsidRDefault="002E7ED9" w:rsidP="006D7851">
      <w:pPr>
        <w:tabs>
          <w:tab w:val="left" w:pos="567"/>
        </w:tabs>
        <w:spacing w:after="0"/>
        <w:ind w:firstLine="284"/>
        <w:jc w:val="both"/>
        <w:rPr>
          <w:rFonts w:cs="Times New Roman"/>
          <w:sz w:val="20"/>
          <w:szCs w:val="20"/>
          <w:lang w:val="az-Latn-AZ"/>
        </w:rPr>
      </w:pPr>
      <w:r w:rsidRPr="00533BAC">
        <w:rPr>
          <w:rFonts w:cs="Times New Roman"/>
          <w:sz w:val="20"/>
          <w:szCs w:val="20"/>
          <w:lang w:val="az-Latn-AZ"/>
        </w:rPr>
        <w:tab/>
        <w:t>- the electret potential difference decreases with time according to the law v</w:t>
      </w:r>
      <w:r w:rsidRPr="00533BAC">
        <w:rPr>
          <w:rFonts w:cs="Times New Roman"/>
          <w:sz w:val="20"/>
          <w:szCs w:val="20"/>
          <w:vertAlign w:val="subscript"/>
          <w:lang w:val="az-Latn-AZ"/>
        </w:rPr>
        <w:t>e</w:t>
      </w:r>
      <w:r w:rsidRPr="00533BAC">
        <w:rPr>
          <w:rFonts w:cs="Times New Roman"/>
          <w:sz w:val="20"/>
          <w:szCs w:val="20"/>
          <w:lang w:val="az-Latn-AZ"/>
        </w:rPr>
        <w:t xml:space="preserve"> = v</w:t>
      </w:r>
      <w:r w:rsidRPr="00533BAC">
        <w:rPr>
          <w:rFonts w:cs="Times New Roman"/>
          <w:sz w:val="20"/>
          <w:szCs w:val="20"/>
          <w:vertAlign w:val="subscript"/>
          <w:lang w:val="az-Latn-AZ"/>
        </w:rPr>
        <w:t>e0</w:t>
      </w:r>
      <w:r w:rsidRPr="00533BAC">
        <w:rPr>
          <w:rFonts w:cs="Times New Roman"/>
          <w:sz w:val="20"/>
          <w:szCs w:val="20"/>
          <w:lang w:val="az-Latn-AZ"/>
        </w:rPr>
        <w:t>exp</w:t>
      </w:r>
      <w:r w:rsidRPr="00533BAC">
        <w:rPr>
          <w:sz w:val="20"/>
          <w:szCs w:val="20"/>
          <w:lang w:val="az-Latn-AZ"/>
        </w:rPr>
        <w:t xml:space="preserve"> (-t/</w:t>
      </w:r>
      <w:r w:rsidRPr="00533BAC">
        <w:rPr>
          <w:sz w:val="20"/>
          <w:szCs w:val="20"/>
          <w:lang w:val="az-Latn-AZ"/>
        </w:rPr>
        <w:sym w:font="Symbol" w:char="F074"/>
      </w:r>
      <w:r w:rsidRPr="00533BAC">
        <w:rPr>
          <w:sz w:val="20"/>
          <w:szCs w:val="20"/>
          <w:lang w:val="az-Latn-AZ"/>
        </w:rPr>
        <w:t>)</w:t>
      </w:r>
      <w:r w:rsidRPr="00533BAC">
        <w:rPr>
          <w:rFonts w:cs="Times New Roman"/>
          <w:sz w:val="20"/>
          <w:szCs w:val="20"/>
          <w:lang w:val="az-Latn-AZ"/>
        </w:rPr>
        <w:t>;</w:t>
      </w:r>
    </w:p>
    <w:p w14:paraId="1CE64A57" w14:textId="77777777" w:rsidR="00D47036" w:rsidRPr="00533BAC" w:rsidRDefault="002E7ED9" w:rsidP="006D7851">
      <w:pPr>
        <w:tabs>
          <w:tab w:val="left" w:pos="567"/>
        </w:tabs>
        <w:spacing w:after="0"/>
        <w:ind w:firstLine="284"/>
        <w:jc w:val="both"/>
        <w:rPr>
          <w:sz w:val="20"/>
          <w:szCs w:val="20"/>
          <w:lang w:val="az-Latn-AZ"/>
        </w:rPr>
      </w:pPr>
      <w:r w:rsidRPr="00533BAC">
        <w:rPr>
          <w:rFonts w:cs="Times New Roman"/>
          <w:sz w:val="20"/>
          <w:szCs w:val="20"/>
          <w:lang w:val="az-Latn-AZ"/>
        </w:rPr>
        <w:tab/>
        <w:t xml:space="preserve">- the relaxation time </w:t>
      </w:r>
      <w:r w:rsidR="00D47036" w:rsidRPr="00533BAC">
        <w:rPr>
          <w:sz w:val="20"/>
          <w:szCs w:val="20"/>
          <w:lang w:val="az-Latn-AZ"/>
        </w:rPr>
        <w:sym w:font="Symbol" w:char="F074"/>
      </w:r>
      <w:r w:rsidRPr="00533BAC">
        <w:rPr>
          <w:rFonts w:cs="Times New Roman"/>
          <w:sz w:val="20"/>
          <w:szCs w:val="20"/>
          <w:lang w:val="az-Latn-AZ"/>
        </w:rPr>
        <w:t xml:space="preserve"> depends on the temperature </w:t>
      </w:r>
      <w:r w:rsidR="00D47036" w:rsidRPr="00533BAC">
        <w:rPr>
          <w:sz w:val="20"/>
          <w:szCs w:val="20"/>
          <w:lang w:val="az-Latn-AZ"/>
        </w:rPr>
        <w:sym w:font="Symbol" w:char="F074"/>
      </w:r>
      <w:r w:rsidR="00D47036" w:rsidRPr="00533BAC">
        <w:rPr>
          <w:sz w:val="20"/>
          <w:szCs w:val="20"/>
          <w:lang w:val="en-US"/>
        </w:rPr>
        <w:t xml:space="preserve"> = </w:t>
      </w:r>
      <w:r w:rsidR="00D47036" w:rsidRPr="00533BAC">
        <w:rPr>
          <w:sz w:val="20"/>
          <w:szCs w:val="20"/>
          <w:lang w:val="az-Latn-AZ"/>
        </w:rPr>
        <w:sym w:font="Symbol" w:char="F074"/>
      </w:r>
      <w:r w:rsidR="00D47036" w:rsidRPr="00533BAC">
        <w:rPr>
          <w:sz w:val="20"/>
          <w:szCs w:val="20"/>
          <w:vertAlign w:val="subscript"/>
          <w:lang w:val="en-US"/>
        </w:rPr>
        <w:t>0</w:t>
      </w:r>
      <w:r w:rsidR="00D47036" w:rsidRPr="00533BAC">
        <w:rPr>
          <w:sz w:val="20"/>
          <w:szCs w:val="20"/>
          <w:lang w:val="az-Latn-AZ"/>
        </w:rPr>
        <w:t>exp(W/kT);</w:t>
      </w:r>
    </w:p>
    <w:p w14:paraId="49BEBB8E" w14:textId="77777777" w:rsidR="002E7ED9" w:rsidRPr="00533BAC" w:rsidRDefault="002E7ED9" w:rsidP="006D7851">
      <w:pPr>
        <w:tabs>
          <w:tab w:val="left" w:pos="567"/>
        </w:tabs>
        <w:spacing w:after="0"/>
        <w:ind w:firstLine="284"/>
        <w:jc w:val="both"/>
        <w:rPr>
          <w:rFonts w:cs="Times New Roman"/>
          <w:sz w:val="20"/>
          <w:szCs w:val="20"/>
          <w:lang w:val="az-Latn-AZ"/>
        </w:rPr>
      </w:pPr>
      <w:r w:rsidRPr="00533BAC">
        <w:rPr>
          <w:rFonts w:cs="Times New Roman"/>
          <w:sz w:val="20"/>
          <w:szCs w:val="20"/>
          <w:lang w:val="az-Latn-AZ"/>
        </w:rPr>
        <w:tab/>
        <w:t>- charge carriers do not pass to the electrode.</w:t>
      </w:r>
    </w:p>
    <w:p w14:paraId="352E0928" w14:textId="64700B5A" w:rsidR="002E7ED9" w:rsidRPr="00533BAC" w:rsidRDefault="002E7ED9" w:rsidP="00042978">
      <w:pPr>
        <w:spacing w:after="0"/>
        <w:ind w:firstLine="284"/>
        <w:jc w:val="both"/>
        <w:rPr>
          <w:rFonts w:cs="Times New Roman"/>
          <w:sz w:val="20"/>
          <w:szCs w:val="20"/>
          <w:lang w:val="az-Latn-AZ"/>
        </w:rPr>
      </w:pPr>
      <w:r w:rsidRPr="00533BAC">
        <w:rPr>
          <w:rFonts w:cs="Times New Roman"/>
          <w:sz w:val="20"/>
          <w:szCs w:val="20"/>
          <w:lang w:val="az-Latn-AZ"/>
        </w:rPr>
        <w:t xml:space="preserve">The positive maximum on the </w:t>
      </w:r>
      <w:r w:rsidR="00D47036" w:rsidRPr="00533BAC">
        <w:rPr>
          <w:rFonts w:cs="Times New Roman"/>
          <w:sz w:val="20"/>
          <w:szCs w:val="20"/>
          <w:lang w:val="az-Latn-AZ"/>
        </w:rPr>
        <w:t>TDC</w:t>
      </w:r>
      <w:r w:rsidRPr="00533BAC">
        <w:rPr>
          <w:rFonts w:cs="Times New Roman"/>
          <w:sz w:val="20"/>
          <w:szCs w:val="20"/>
          <w:lang w:val="az-Latn-AZ"/>
        </w:rPr>
        <w:t xml:space="preserve"> curve (Fig. 3) is determined by conduction processes, therefore, it was necessary to study this maximum. For this purpose, the entire temperature range of this maximum was divided into equal intervals ΔT = T</w:t>
      </w:r>
      <w:r w:rsidRPr="00533BAC">
        <w:rPr>
          <w:rFonts w:cs="Times New Roman"/>
          <w:sz w:val="20"/>
          <w:szCs w:val="20"/>
          <w:vertAlign w:val="subscript"/>
          <w:lang w:val="az-Latn-AZ"/>
        </w:rPr>
        <w:t>i</w:t>
      </w:r>
      <w:r w:rsidRPr="00533BAC">
        <w:rPr>
          <w:rFonts w:cs="Times New Roman"/>
          <w:sz w:val="20"/>
          <w:szCs w:val="20"/>
          <w:lang w:val="az-Latn-AZ"/>
        </w:rPr>
        <w:t xml:space="preserve"> – T</w:t>
      </w:r>
      <w:r w:rsidRPr="00533BAC">
        <w:rPr>
          <w:rFonts w:cs="Times New Roman"/>
          <w:sz w:val="20"/>
          <w:szCs w:val="20"/>
          <w:vertAlign w:val="subscript"/>
          <w:lang w:val="az-Latn-AZ"/>
        </w:rPr>
        <w:t>i-1</w:t>
      </w:r>
      <w:r w:rsidR="00D47036" w:rsidRPr="00533BAC">
        <w:rPr>
          <w:rFonts w:cs="Times New Roman"/>
          <w:sz w:val="20"/>
          <w:szCs w:val="20"/>
          <w:lang w:val="az-Latn-AZ"/>
        </w:rPr>
        <w:t xml:space="preserve"> = 10</w:t>
      </w:r>
      <w:r w:rsidRPr="00533BAC">
        <w:rPr>
          <w:rFonts w:cs="Times New Roman"/>
          <w:sz w:val="20"/>
          <w:szCs w:val="20"/>
          <w:vertAlign w:val="superscript"/>
          <w:lang w:val="az-Latn-AZ"/>
        </w:rPr>
        <w:t>0</w:t>
      </w:r>
      <w:r w:rsidR="00D47036" w:rsidRPr="00533BAC">
        <w:rPr>
          <w:rFonts w:cs="Times New Roman"/>
          <w:sz w:val="20"/>
          <w:szCs w:val="20"/>
          <w:lang w:val="az-Latn-AZ"/>
        </w:rPr>
        <w:t xml:space="preserve"> </w:t>
      </w:r>
      <w:r w:rsidRPr="00533BAC">
        <w:rPr>
          <w:rFonts w:cs="Times New Roman"/>
          <w:sz w:val="20"/>
          <w:szCs w:val="20"/>
          <w:lang w:val="az-Latn-AZ"/>
        </w:rPr>
        <w:t xml:space="preserve">C. In this case, the charge was calculated numerically by integrating the </w:t>
      </w:r>
      <w:r w:rsidR="00D47036" w:rsidRPr="00533BAC">
        <w:rPr>
          <w:rFonts w:cs="Times New Roman"/>
          <w:sz w:val="20"/>
          <w:szCs w:val="20"/>
          <w:lang w:val="az-Latn-AZ"/>
        </w:rPr>
        <w:t>TDC</w:t>
      </w:r>
      <w:r w:rsidRPr="00533BAC">
        <w:rPr>
          <w:rFonts w:cs="Times New Roman"/>
          <w:sz w:val="20"/>
          <w:szCs w:val="20"/>
          <w:lang w:val="az-Latn-AZ"/>
        </w:rPr>
        <w:t xml:space="preserve"> current curve.</w:t>
      </w:r>
    </w:p>
    <w:p w14:paraId="32C4CC10" w14:textId="46214EED" w:rsidR="005968C2" w:rsidRDefault="005968C2" w:rsidP="00042978">
      <w:pPr>
        <w:spacing w:after="0"/>
        <w:ind w:firstLine="284"/>
        <w:jc w:val="both"/>
        <w:rPr>
          <w:sz w:val="20"/>
          <w:szCs w:val="20"/>
          <w:lang w:val="az-Latn-AZ"/>
        </w:rPr>
      </w:pPr>
      <w:r w:rsidRPr="00533BAC">
        <w:rPr>
          <w:sz w:val="20"/>
          <w:szCs w:val="20"/>
          <w:lang w:val="az-Latn-AZ"/>
        </w:rPr>
        <w:t xml:space="preserve">Since the relaxation of the main charge due to conduction takes place at high temperatures (the maximum is in the range 150-160 </w:t>
      </w:r>
      <w:r w:rsidRPr="00533BAC">
        <w:rPr>
          <w:sz w:val="20"/>
          <w:szCs w:val="20"/>
          <w:vertAlign w:val="superscript"/>
          <w:lang w:val="az-Latn-AZ"/>
        </w:rPr>
        <w:t>0</w:t>
      </w:r>
      <w:r w:rsidRPr="00533BAC">
        <w:rPr>
          <w:sz w:val="20"/>
          <w:szCs w:val="20"/>
          <w:lang w:val="az-Latn-AZ"/>
        </w:rPr>
        <w:t>C), using the TDC method, we obtained the values of ρ at elevated temperatures. The data are presented in Table 3, from which it can be seen that at high temperatures the values of specific volume resistivity ρv for the investigated materials are close.</w:t>
      </w:r>
    </w:p>
    <w:p w14:paraId="0CB9F7E6" w14:textId="1BB8A48A" w:rsidR="002E7ED9" w:rsidRPr="00042978" w:rsidRDefault="00042978" w:rsidP="006D7851">
      <w:pPr>
        <w:tabs>
          <w:tab w:val="left" w:pos="709"/>
          <w:tab w:val="center" w:pos="5031"/>
          <w:tab w:val="left" w:pos="6668"/>
        </w:tabs>
        <w:spacing w:after="0"/>
        <w:jc w:val="center"/>
        <w:rPr>
          <w:rFonts w:cs="Times New Roman"/>
          <w:b/>
          <w:bCs/>
          <w:sz w:val="18"/>
          <w:szCs w:val="18"/>
          <w:lang w:val="az-Latn-AZ"/>
        </w:rPr>
      </w:pPr>
      <w:r w:rsidRPr="00042978">
        <w:rPr>
          <w:rFonts w:cs="Times New Roman"/>
          <w:b/>
          <w:bCs/>
          <w:sz w:val="18"/>
          <w:szCs w:val="18"/>
          <w:lang w:val="az-Latn-AZ"/>
        </w:rPr>
        <w:t xml:space="preserve">TABLE 3. </w:t>
      </w:r>
      <w:r w:rsidR="002E7ED9" w:rsidRPr="00042978">
        <w:rPr>
          <w:rFonts w:cs="Times New Roman"/>
          <w:sz w:val="18"/>
          <w:szCs w:val="18"/>
          <w:lang w:val="az-Latn-AZ"/>
        </w:rPr>
        <w:t>Values of ρ</w:t>
      </w:r>
      <w:r w:rsidR="002E7ED9" w:rsidRPr="00042978">
        <w:rPr>
          <w:rFonts w:cs="Times New Roman"/>
          <w:sz w:val="18"/>
          <w:szCs w:val="18"/>
          <w:vertAlign w:val="subscript"/>
          <w:lang w:val="az-Latn-AZ"/>
        </w:rPr>
        <w:t>v</w:t>
      </w:r>
      <w:r w:rsidR="002E7ED9" w:rsidRPr="00042978">
        <w:rPr>
          <w:rFonts w:cs="Times New Roman"/>
          <w:sz w:val="18"/>
          <w:szCs w:val="18"/>
          <w:lang w:val="az-Latn-AZ"/>
        </w:rPr>
        <w:t xml:space="preserve"> calculated from </w:t>
      </w:r>
      <w:r w:rsidR="00D47036" w:rsidRPr="00042978">
        <w:rPr>
          <w:rFonts w:cs="Times New Roman"/>
          <w:sz w:val="18"/>
          <w:szCs w:val="18"/>
          <w:lang w:val="az-Latn-AZ"/>
        </w:rPr>
        <w:t>TDC</w:t>
      </w:r>
      <w:r w:rsidR="002E7ED9" w:rsidRPr="00042978">
        <w:rPr>
          <w:rFonts w:cs="Times New Roman"/>
          <w:sz w:val="18"/>
          <w:szCs w:val="18"/>
          <w:lang w:val="az-Latn-AZ"/>
        </w:rPr>
        <w:t xml:space="preserve"> currents</w:t>
      </w:r>
    </w:p>
    <w:tbl>
      <w:tblPr>
        <w:tblStyle w:val="a6"/>
        <w:tblW w:w="0" w:type="auto"/>
        <w:tblLook w:val="04A0" w:firstRow="1" w:lastRow="0" w:firstColumn="1" w:lastColumn="0" w:noHBand="0" w:noVBand="1"/>
      </w:tblPr>
      <w:tblGrid>
        <w:gridCol w:w="3189"/>
        <w:gridCol w:w="1590"/>
        <w:gridCol w:w="1599"/>
        <w:gridCol w:w="1617"/>
        <w:gridCol w:w="1575"/>
      </w:tblGrid>
      <w:tr w:rsidR="00AA040E" w:rsidRPr="00AA05D4" w14:paraId="348397C9" w14:textId="77777777" w:rsidTr="00AA040E">
        <w:trPr>
          <w:trHeight w:val="287"/>
        </w:trPr>
        <w:tc>
          <w:tcPr>
            <w:tcW w:w="3189" w:type="dxa"/>
            <w:vMerge w:val="restart"/>
          </w:tcPr>
          <w:p w14:paraId="0C6F63E9" w14:textId="77777777" w:rsidR="00D47036" w:rsidRPr="00AA05D4" w:rsidRDefault="00D47036" w:rsidP="00E9159A">
            <w:pPr>
              <w:jc w:val="center"/>
              <w:rPr>
                <w:sz w:val="18"/>
                <w:szCs w:val="18"/>
                <w:lang w:val="en-US"/>
              </w:rPr>
            </w:pPr>
            <w:r w:rsidRPr="00AA05D4">
              <w:rPr>
                <w:sz w:val="18"/>
                <w:szCs w:val="18"/>
                <w:lang w:val="en-US"/>
              </w:rPr>
              <w:t>Material</w:t>
            </w:r>
          </w:p>
          <w:p w14:paraId="2858A3CF" w14:textId="77777777" w:rsidR="00AA040E" w:rsidRPr="00AA05D4" w:rsidRDefault="00AA040E" w:rsidP="00E9159A">
            <w:pPr>
              <w:jc w:val="center"/>
              <w:rPr>
                <w:sz w:val="18"/>
                <w:szCs w:val="18"/>
              </w:rPr>
            </w:pPr>
            <w:r w:rsidRPr="00AA05D4">
              <w:rPr>
                <w:sz w:val="18"/>
                <w:szCs w:val="18"/>
                <w:lang w:val="az-Latn-AZ"/>
              </w:rPr>
              <w:t>T</w:t>
            </w:r>
            <w:r w:rsidRPr="00AA05D4">
              <w:rPr>
                <w:sz w:val="18"/>
                <w:szCs w:val="18"/>
              </w:rPr>
              <w:t xml:space="preserve">, </w:t>
            </w:r>
            <w:r w:rsidRPr="00AA05D4">
              <w:rPr>
                <w:sz w:val="18"/>
                <w:szCs w:val="18"/>
                <w:vertAlign w:val="superscript"/>
              </w:rPr>
              <w:t>0</w:t>
            </w:r>
            <w:r w:rsidRPr="00AA05D4">
              <w:rPr>
                <w:sz w:val="18"/>
                <w:szCs w:val="18"/>
              </w:rPr>
              <w:t>С</w:t>
            </w:r>
          </w:p>
        </w:tc>
        <w:tc>
          <w:tcPr>
            <w:tcW w:w="6381" w:type="dxa"/>
            <w:gridSpan w:val="4"/>
            <w:tcBorders>
              <w:bottom w:val="single" w:sz="4" w:space="0" w:color="auto"/>
              <w:right w:val="single" w:sz="4" w:space="0" w:color="auto"/>
            </w:tcBorders>
          </w:tcPr>
          <w:p w14:paraId="6B90FE95" w14:textId="77777777" w:rsidR="00AA040E" w:rsidRPr="00AA05D4" w:rsidRDefault="00AA040E" w:rsidP="00D47036">
            <w:pPr>
              <w:jc w:val="center"/>
              <w:rPr>
                <w:sz w:val="18"/>
                <w:szCs w:val="18"/>
                <w:lang w:val="az-Latn-AZ"/>
              </w:rPr>
            </w:pPr>
            <w:r w:rsidRPr="00AA05D4">
              <w:rPr>
                <w:rFonts w:cs="Times New Roman"/>
                <w:sz w:val="18"/>
                <w:szCs w:val="18"/>
              </w:rPr>
              <w:t>ρ</w:t>
            </w:r>
            <w:r w:rsidRPr="00AA05D4">
              <w:rPr>
                <w:rFonts w:cs="Times New Roman"/>
                <w:sz w:val="18"/>
                <w:szCs w:val="18"/>
                <w:vertAlign w:val="subscript"/>
                <w:lang w:val="az-Latn-AZ"/>
              </w:rPr>
              <w:t>v</w:t>
            </w:r>
            <w:r w:rsidRPr="00AA05D4">
              <w:rPr>
                <w:sz w:val="18"/>
                <w:szCs w:val="18"/>
              </w:rPr>
              <w:t>, О</w:t>
            </w:r>
            <w:r w:rsidR="00D47036" w:rsidRPr="00AA05D4">
              <w:rPr>
                <w:sz w:val="18"/>
                <w:szCs w:val="18"/>
                <w:lang w:val="az-Latn-AZ"/>
              </w:rPr>
              <w:t>hm</w:t>
            </w:r>
            <w:r w:rsidRPr="00AA05D4">
              <w:rPr>
                <w:sz w:val="18"/>
                <w:szCs w:val="18"/>
              </w:rPr>
              <w:sym w:font="Symbol" w:char="F0D7"/>
            </w:r>
            <w:r w:rsidR="00D47036" w:rsidRPr="00AA05D4">
              <w:rPr>
                <w:sz w:val="18"/>
                <w:szCs w:val="18"/>
                <w:lang w:val="az-Latn-AZ"/>
              </w:rPr>
              <w:t>m</w:t>
            </w:r>
          </w:p>
        </w:tc>
      </w:tr>
      <w:tr w:rsidR="00AA040E" w:rsidRPr="00AA05D4" w14:paraId="13DFE835" w14:textId="77777777" w:rsidTr="00AA040E">
        <w:trPr>
          <w:trHeight w:val="266"/>
        </w:trPr>
        <w:tc>
          <w:tcPr>
            <w:tcW w:w="3189" w:type="dxa"/>
            <w:vMerge/>
          </w:tcPr>
          <w:p w14:paraId="3762C506" w14:textId="77777777" w:rsidR="00AA040E" w:rsidRPr="00AA05D4" w:rsidRDefault="00AA040E" w:rsidP="00E9159A">
            <w:pPr>
              <w:jc w:val="center"/>
              <w:rPr>
                <w:sz w:val="18"/>
                <w:szCs w:val="18"/>
              </w:rPr>
            </w:pPr>
          </w:p>
        </w:tc>
        <w:tc>
          <w:tcPr>
            <w:tcW w:w="1590" w:type="dxa"/>
            <w:tcBorders>
              <w:top w:val="single" w:sz="4" w:space="0" w:color="auto"/>
              <w:right w:val="single" w:sz="4" w:space="0" w:color="auto"/>
            </w:tcBorders>
          </w:tcPr>
          <w:p w14:paraId="632D4A33" w14:textId="77777777" w:rsidR="00AA040E" w:rsidRPr="00AA05D4" w:rsidRDefault="00D47036" w:rsidP="00E9159A">
            <w:pPr>
              <w:jc w:val="center"/>
              <w:rPr>
                <w:rFonts w:cs="Times New Roman"/>
                <w:sz w:val="18"/>
                <w:szCs w:val="18"/>
                <w:lang w:val="az-Latn-AZ"/>
              </w:rPr>
            </w:pPr>
            <w:r w:rsidRPr="00AA05D4">
              <w:rPr>
                <w:rFonts w:cs="Times New Roman"/>
                <w:sz w:val="18"/>
                <w:szCs w:val="18"/>
                <w:lang w:val="az-Latn-AZ"/>
              </w:rPr>
              <w:t>HPPE</w:t>
            </w:r>
          </w:p>
        </w:tc>
        <w:tc>
          <w:tcPr>
            <w:tcW w:w="1599" w:type="dxa"/>
            <w:tcBorders>
              <w:top w:val="single" w:sz="4" w:space="0" w:color="auto"/>
              <w:right w:val="single" w:sz="4" w:space="0" w:color="auto"/>
            </w:tcBorders>
          </w:tcPr>
          <w:p w14:paraId="5B846A41" w14:textId="77777777" w:rsidR="00AA040E" w:rsidRPr="00AA05D4" w:rsidRDefault="00D47036" w:rsidP="00E9159A">
            <w:pPr>
              <w:jc w:val="center"/>
              <w:rPr>
                <w:rFonts w:cs="Times New Roman"/>
                <w:sz w:val="18"/>
                <w:szCs w:val="18"/>
                <w:lang w:val="az-Latn-AZ"/>
              </w:rPr>
            </w:pPr>
            <w:r w:rsidRPr="00AA05D4">
              <w:rPr>
                <w:rFonts w:cs="Times New Roman"/>
                <w:sz w:val="18"/>
                <w:szCs w:val="18"/>
                <w:lang w:val="az-Latn-AZ"/>
              </w:rPr>
              <w:t>LPPE</w:t>
            </w:r>
          </w:p>
        </w:tc>
        <w:tc>
          <w:tcPr>
            <w:tcW w:w="1617" w:type="dxa"/>
            <w:tcBorders>
              <w:top w:val="single" w:sz="4" w:space="0" w:color="auto"/>
              <w:right w:val="single" w:sz="4" w:space="0" w:color="auto"/>
            </w:tcBorders>
          </w:tcPr>
          <w:p w14:paraId="01ED36C1" w14:textId="77777777" w:rsidR="00AA040E" w:rsidRPr="00AA05D4" w:rsidRDefault="00C71BC5" w:rsidP="00E9159A">
            <w:pPr>
              <w:jc w:val="center"/>
              <w:rPr>
                <w:rFonts w:cs="Times New Roman"/>
                <w:sz w:val="18"/>
                <w:szCs w:val="18"/>
              </w:rPr>
            </w:pPr>
            <w:r w:rsidRPr="00AA05D4">
              <w:rPr>
                <w:rFonts w:cs="Times New Roman"/>
                <w:sz w:val="18"/>
                <w:szCs w:val="18"/>
                <w:lang w:val="az-Latn-AZ"/>
              </w:rPr>
              <w:t>NFPC</w:t>
            </w:r>
            <w:r w:rsidR="00AA040E" w:rsidRPr="00AA05D4">
              <w:rPr>
                <w:rFonts w:cs="Times New Roman"/>
                <w:sz w:val="18"/>
                <w:szCs w:val="18"/>
              </w:rPr>
              <w:t>-10</w:t>
            </w:r>
          </w:p>
        </w:tc>
        <w:tc>
          <w:tcPr>
            <w:tcW w:w="1575" w:type="dxa"/>
            <w:tcBorders>
              <w:top w:val="single" w:sz="4" w:space="0" w:color="auto"/>
              <w:right w:val="single" w:sz="4" w:space="0" w:color="auto"/>
            </w:tcBorders>
          </w:tcPr>
          <w:p w14:paraId="045A3640" w14:textId="77777777" w:rsidR="00AA040E" w:rsidRPr="00AA05D4" w:rsidRDefault="00C71BC5" w:rsidP="00E9159A">
            <w:pPr>
              <w:jc w:val="center"/>
              <w:rPr>
                <w:rFonts w:cs="Times New Roman"/>
                <w:sz w:val="18"/>
                <w:szCs w:val="18"/>
              </w:rPr>
            </w:pPr>
            <w:r w:rsidRPr="00AA05D4">
              <w:rPr>
                <w:rFonts w:cs="Times New Roman"/>
                <w:sz w:val="18"/>
                <w:szCs w:val="18"/>
                <w:lang w:val="az-Latn-AZ"/>
              </w:rPr>
              <w:t>NFPC</w:t>
            </w:r>
            <w:r w:rsidR="00AA040E" w:rsidRPr="00AA05D4">
              <w:rPr>
                <w:rFonts w:cs="Times New Roman"/>
                <w:sz w:val="18"/>
                <w:szCs w:val="18"/>
              </w:rPr>
              <w:t>-30</w:t>
            </w:r>
          </w:p>
        </w:tc>
      </w:tr>
      <w:tr w:rsidR="00AA040E" w:rsidRPr="00AA05D4" w14:paraId="3CF8D85B" w14:textId="77777777" w:rsidTr="00AA05D4">
        <w:trPr>
          <w:trHeight w:val="727"/>
        </w:trPr>
        <w:tc>
          <w:tcPr>
            <w:tcW w:w="3189" w:type="dxa"/>
          </w:tcPr>
          <w:p w14:paraId="0FDBF125" w14:textId="77777777" w:rsidR="00AA040E" w:rsidRPr="00AA05D4" w:rsidRDefault="00AA040E" w:rsidP="00E9159A">
            <w:pPr>
              <w:jc w:val="center"/>
              <w:rPr>
                <w:sz w:val="18"/>
                <w:szCs w:val="18"/>
              </w:rPr>
            </w:pPr>
            <w:r w:rsidRPr="00AA05D4">
              <w:rPr>
                <w:sz w:val="18"/>
                <w:szCs w:val="18"/>
              </w:rPr>
              <w:t>150</w:t>
            </w:r>
          </w:p>
          <w:p w14:paraId="03BED001" w14:textId="77777777" w:rsidR="00AA040E" w:rsidRPr="00AA05D4" w:rsidRDefault="00AA040E" w:rsidP="00E9159A">
            <w:pPr>
              <w:jc w:val="center"/>
              <w:rPr>
                <w:sz w:val="18"/>
                <w:szCs w:val="18"/>
              </w:rPr>
            </w:pPr>
            <w:r w:rsidRPr="00AA05D4">
              <w:rPr>
                <w:sz w:val="18"/>
                <w:szCs w:val="18"/>
              </w:rPr>
              <w:t>140</w:t>
            </w:r>
          </w:p>
          <w:p w14:paraId="4A3E70FF" w14:textId="77777777" w:rsidR="00AA040E" w:rsidRPr="00AA05D4" w:rsidRDefault="00AA040E" w:rsidP="00AA040E">
            <w:pPr>
              <w:jc w:val="center"/>
              <w:rPr>
                <w:sz w:val="18"/>
                <w:szCs w:val="18"/>
              </w:rPr>
            </w:pPr>
            <w:r w:rsidRPr="00AA05D4">
              <w:rPr>
                <w:sz w:val="18"/>
                <w:szCs w:val="18"/>
              </w:rPr>
              <w:t>120</w:t>
            </w:r>
          </w:p>
        </w:tc>
        <w:tc>
          <w:tcPr>
            <w:tcW w:w="1590" w:type="dxa"/>
            <w:tcBorders>
              <w:right w:val="single" w:sz="4" w:space="0" w:color="auto"/>
            </w:tcBorders>
          </w:tcPr>
          <w:p w14:paraId="5881B26D" w14:textId="77777777" w:rsidR="00AA040E" w:rsidRPr="00AA05D4" w:rsidRDefault="00AA040E" w:rsidP="00AA040E">
            <w:pPr>
              <w:jc w:val="center"/>
              <w:rPr>
                <w:sz w:val="18"/>
                <w:szCs w:val="18"/>
                <w:vertAlign w:val="superscript"/>
              </w:rPr>
            </w:pPr>
            <w:r w:rsidRPr="00AA05D4">
              <w:rPr>
                <w:sz w:val="18"/>
                <w:szCs w:val="18"/>
              </w:rPr>
              <w:t>9,0</w:t>
            </w:r>
            <w:r w:rsidRPr="00AA05D4">
              <w:rPr>
                <w:sz w:val="18"/>
                <w:szCs w:val="18"/>
              </w:rPr>
              <w:sym w:font="Symbol" w:char="F0D7"/>
            </w:r>
            <w:r w:rsidRPr="00AA05D4">
              <w:rPr>
                <w:sz w:val="18"/>
                <w:szCs w:val="18"/>
              </w:rPr>
              <w:t>10</w:t>
            </w:r>
            <w:r w:rsidRPr="00AA05D4">
              <w:rPr>
                <w:sz w:val="18"/>
                <w:szCs w:val="18"/>
                <w:vertAlign w:val="superscript"/>
              </w:rPr>
              <w:t>10</w:t>
            </w:r>
          </w:p>
          <w:p w14:paraId="02A6E235" w14:textId="77777777" w:rsidR="00AA040E" w:rsidRPr="00AA05D4" w:rsidRDefault="00AA040E" w:rsidP="00AA040E">
            <w:pPr>
              <w:jc w:val="center"/>
              <w:rPr>
                <w:sz w:val="18"/>
                <w:szCs w:val="18"/>
                <w:vertAlign w:val="superscript"/>
              </w:rPr>
            </w:pPr>
            <w:r w:rsidRPr="00AA05D4">
              <w:rPr>
                <w:sz w:val="18"/>
                <w:szCs w:val="18"/>
              </w:rPr>
              <w:t>1,0</w:t>
            </w:r>
            <w:r w:rsidRPr="00AA05D4">
              <w:rPr>
                <w:sz w:val="18"/>
                <w:szCs w:val="18"/>
              </w:rPr>
              <w:sym w:font="Symbol" w:char="F0D7"/>
            </w:r>
            <w:r w:rsidRPr="00AA05D4">
              <w:rPr>
                <w:sz w:val="18"/>
                <w:szCs w:val="18"/>
              </w:rPr>
              <w:t>10</w:t>
            </w:r>
            <w:r w:rsidRPr="00AA05D4">
              <w:rPr>
                <w:sz w:val="18"/>
                <w:szCs w:val="18"/>
                <w:vertAlign w:val="superscript"/>
              </w:rPr>
              <w:t>11</w:t>
            </w:r>
          </w:p>
          <w:p w14:paraId="5740C03A" w14:textId="77777777" w:rsidR="00AA040E" w:rsidRPr="00AA05D4" w:rsidRDefault="00AA040E" w:rsidP="00AA040E">
            <w:pPr>
              <w:jc w:val="center"/>
              <w:rPr>
                <w:sz w:val="18"/>
                <w:szCs w:val="18"/>
                <w:vertAlign w:val="superscript"/>
              </w:rPr>
            </w:pPr>
            <w:r w:rsidRPr="00AA05D4">
              <w:rPr>
                <w:sz w:val="18"/>
                <w:szCs w:val="18"/>
              </w:rPr>
              <w:t>5,8</w:t>
            </w:r>
            <w:r w:rsidRPr="00AA05D4">
              <w:rPr>
                <w:sz w:val="18"/>
                <w:szCs w:val="18"/>
              </w:rPr>
              <w:sym w:font="Symbol" w:char="F0D7"/>
            </w:r>
            <w:r w:rsidRPr="00AA05D4">
              <w:rPr>
                <w:sz w:val="18"/>
                <w:szCs w:val="18"/>
              </w:rPr>
              <w:t>10</w:t>
            </w:r>
            <w:r w:rsidRPr="00AA05D4">
              <w:rPr>
                <w:sz w:val="18"/>
                <w:szCs w:val="18"/>
                <w:vertAlign w:val="superscript"/>
              </w:rPr>
              <w:t>11</w:t>
            </w:r>
          </w:p>
        </w:tc>
        <w:tc>
          <w:tcPr>
            <w:tcW w:w="1599" w:type="dxa"/>
            <w:tcBorders>
              <w:left w:val="single" w:sz="4" w:space="0" w:color="auto"/>
            </w:tcBorders>
          </w:tcPr>
          <w:p w14:paraId="6A1B5B05" w14:textId="77777777" w:rsidR="00AA040E" w:rsidRPr="00AA05D4" w:rsidRDefault="00AA040E" w:rsidP="00AA040E">
            <w:pPr>
              <w:jc w:val="center"/>
              <w:rPr>
                <w:sz w:val="18"/>
                <w:szCs w:val="18"/>
                <w:vertAlign w:val="superscript"/>
              </w:rPr>
            </w:pPr>
            <w:r w:rsidRPr="00AA05D4">
              <w:rPr>
                <w:sz w:val="18"/>
                <w:szCs w:val="18"/>
              </w:rPr>
              <w:t>8,3</w:t>
            </w:r>
            <w:r w:rsidRPr="00AA05D4">
              <w:rPr>
                <w:sz w:val="18"/>
                <w:szCs w:val="18"/>
              </w:rPr>
              <w:sym w:font="Symbol" w:char="F0D7"/>
            </w:r>
            <w:r w:rsidRPr="00AA05D4">
              <w:rPr>
                <w:sz w:val="18"/>
                <w:szCs w:val="18"/>
              </w:rPr>
              <w:t>10</w:t>
            </w:r>
            <w:r w:rsidRPr="00AA05D4">
              <w:rPr>
                <w:sz w:val="18"/>
                <w:szCs w:val="18"/>
                <w:vertAlign w:val="superscript"/>
              </w:rPr>
              <w:t>10</w:t>
            </w:r>
          </w:p>
          <w:p w14:paraId="367FB984" w14:textId="77777777" w:rsidR="00AA040E" w:rsidRPr="00AA05D4" w:rsidRDefault="00AA040E" w:rsidP="00AA040E">
            <w:pPr>
              <w:jc w:val="center"/>
              <w:rPr>
                <w:sz w:val="18"/>
                <w:szCs w:val="18"/>
                <w:vertAlign w:val="superscript"/>
              </w:rPr>
            </w:pPr>
            <w:r w:rsidRPr="00AA05D4">
              <w:rPr>
                <w:sz w:val="18"/>
                <w:szCs w:val="18"/>
              </w:rPr>
              <w:t>1,4</w:t>
            </w:r>
            <w:r w:rsidRPr="00AA05D4">
              <w:rPr>
                <w:sz w:val="18"/>
                <w:szCs w:val="18"/>
              </w:rPr>
              <w:sym w:font="Symbol" w:char="F0D7"/>
            </w:r>
            <w:r w:rsidRPr="00AA05D4">
              <w:rPr>
                <w:sz w:val="18"/>
                <w:szCs w:val="18"/>
              </w:rPr>
              <w:t>10</w:t>
            </w:r>
            <w:r w:rsidRPr="00AA05D4">
              <w:rPr>
                <w:sz w:val="18"/>
                <w:szCs w:val="18"/>
                <w:vertAlign w:val="superscript"/>
              </w:rPr>
              <w:t>11</w:t>
            </w:r>
          </w:p>
          <w:p w14:paraId="5CFCC99A" w14:textId="77777777" w:rsidR="00AA040E" w:rsidRPr="00AA05D4" w:rsidRDefault="00AA040E" w:rsidP="00AA040E">
            <w:pPr>
              <w:spacing w:line="259" w:lineRule="auto"/>
              <w:jc w:val="center"/>
              <w:rPr>
                <w:sz w:val="18"/>
                <w:szCs w:val="18"/>
                <w:vertAlign w:val="superscript"/>
              </w:rPr>
            </w:pPr>
            <w:r w:rsidRPr="00AA05D4">
              <w:rPr>
                <w:sz w:val="18"/>
                <w:szCs w:val="18"/>
              </w:rPr>
              <w:t>4,0</w:t>
            </w:r>
            <w:r w:rsidRPr="00AA05D4">
              <w:rPr>
                <w:sz w:val="18"/>
                <w:szCs w:val="18"/>
              </w:rPr>
              <w:sym w:font="Symbol" w:char="F0D7"/>
            </w:r>
            <w:r w:rsidRPr="00AA05D4">
              <w:rPr>
                <w:sz w:val="18"/>
                <w:szCs w:val="18"/>
              </w:rPr>
              <w:t>10</w:t>
            </w:r>
            <w:r w:rsidRPr="00AA05D4">
              <w:rPr>
                <w:sz w:val="18"/>
                <w:szCs w:val="18"/>
                <w:vertAlign w:val="superscript"/>
              </w:rPr>
              <w:t>11</w:t>
            </w:r>
          </w:p>
        </w:tc>
        <w:tc>
          <w:tcPr>
            <w:tcW w:w="1617" w:type="dxa"/>
            <w:tcBorders>
              <w:right w:val="single" w:sz="4" w:space="0" w:color="auto"/>
            </w:tcBorders>
          </w:tcPr>
          <w:p w14:paraId="68CF122D" w14:textId="77777777" w:rsidR="00AA040E" w:rsidRPr="00AA05D4" w:rsidRDefault="00AA040E" w:rsidP="00AA040E">
            <w:pPr>
              <w:jc w:val="center"/>
              <w:rPr>
                <w:sz w:val="18"/>
                <w:szCs w:val="18"/>
                <w:vertAlign w:val="superscript"/>
              </w:rPr>
            </w:pPr>
            <w:r w:rsidRPr="00AA05D4">
              <w:rPr>
                <w:sz w:val="18"/>
                <w:szCs w:val="18"/>
              </w:rPr>
              <w:t>1,2</w:t>
            </w:r>
            <w:r w:rsidRPr="00AA05D4">
              <w:rPr>
                <w:sz w:val="18"/>
                <w:szCs w:val="18"/>
              </w:rPr>
              <w:sym w:font="Symbol" w:char="F0D7"/>
            </w:r>
            <w:r w:rsidRPr="00AA05D4">
              <w:rPr>
                <w:sz w:val="18"/>
                <w:szCs w:val="18"/>
              </w:rPr>
              <w:t>10</w:t>
            </w:r>
            <w:r w:rsidRPr="00AA05D4">
              <w:rPr>
                <w:sz w:val="18"/>
                <w:szCs w:val="18"/>
                <w:vertAlign w:val="superscript"/>
              </w:rPr>
              <w:t>11</w:t>
            </w:r>
          </w:p>
          <w:p w14:paraId="6AF94480" w14:textId="77777777" w:rsidR="00AA040E" w:rsidRPr="00AA05D4" w:rsidRDefault="00AA040E" w:rsidP="00AA040E">
            <w:pPr>
              <w:jc w:val="center"/>
              <w:rPr>
                <w:sz w:val="18"/>
                <w:szCs w:val="18"/>
                <w:vertAlign w:val="superscript"/>
              </w:rPr>
            </w:pPr>
            <w:r w:rsidRPr="00AA05D4">
              <w:rPr>
                <w:sz w:val="18"/>
                <w:szCs w:val="18"/>
              </w:rPr>
              <w:t>2,0</w:t>
            </w:r>
            <w:r w:rsidRPr="00AA05D4">
              <w:rPr>
                <w:sz w:val="18"/>
                <w:szCs w:val="18"/>
              </w:rPr>
              <w:sym w:font="Symbol" w:char="F0D7"/>
            </w:r>
            <w:r w:rsidRPr="00AA05D4">
              <w:rPr>
                <w:sz w:val="18"/>
                <w:szCs w:val="18"/>
              </w:rPr>
              <w:t>10</w:t>
            </w:r>
            <w:r w:rsidRPr="00AA05D4">
              <w:rPr>
                <w:sz w:val="18"/>
                <w:szCs w:val="18"/>
                <w:vertAlign w:val="superscript"/>
              </w:rPr>
              <w:t>11</w:t>
            </w:r>
          </w:p>
          <w:p w14:paraId="77C5E1E0" w14:textId="77777777" w:rsidR="00AA040E" w:rsidRPr="00AA05D4" w:rsidRDefault="00AA040E" w:rsidP="00AA040E">
            <w:pPr>
              <w:jc w:val="center"/>
              <w:rPr>
                <w:sz w:val="18"/>
                <w:szCs w:val="18"/>
                <w:vertAlign w:val="superscript"/>
              </w:rPr>
            </w:pPr>
            <w:r w:rsidRPr="00AA05D4">
              <w:rPr>
                <w:sz w:val="18"/>
                <w:szCs w:val="18"/>
              </w:rPr>
              <w:t>5,4</w:t>
            </w:r>
            <w:r w:rsidRPr="00AA05D4">
              <w:rPr>
                <w:sz w:val="18"/>
                <w:szCs w:val="18"/>
              </w:rPr>
              <w:sym w:font="Symbol" w:char="F0D7"/>
            </w:r>
            <w:r w:rsidRPr="00AA05D4">
              <w:rPr>
                <w:sz w:val="18"/>
                <w:szCs w:val="18"/>
              </w:rPr>
              <w:t>10</w:t>
            </w:r>
            <w:r w:rsidRPr="00AA05D4">
              <w:rPr>
                <w:sz w:val="18"/>
                <w:szCs w:val="18"/>
                <w:vertAlign w:val="superscript"/>
              </w:rPr>
              <w:t>11</w:t>
            </w:r>
          </w:p>
        </w:tc>
        <w:tc>
          <w:tcPr>
            <w:tcW w:w="1575" w:type="dxa"/>
            <w:tcBorders>
              <w:left w:val="single" w:sz="4" w:space="0" w:color="auto"/>
            </w:tcBorders>
          </w:tcPr>
          <w:p w14:paraId="7D77467B" w14:textId="77777777" w:rsidR="00AA040E" w:rsidRPr="00AA05D4" w:rsidRDefault="00AA040E" w:rsidP="00AA040E">
            <w:pPr>
              <w:jc w:val="center"/>
              <w:rPr>
                <w:sz w:val="18"/>
                <w:szCs w:val="18"/>
                <w:vertAlign w:val="superscript"/>
              </w:rPr>
            </w:pPr>
            <w:r w:rsidRPr="00AA05D4">
              <w:rPr>
                <w:sz w:val="18"/>
                <w:szCs w:val="18"/>
              </w:rPr>
              <w:t>9,6</w:t>
            </w:r>
            <w:r w:rsidRPr="00AA05D4">
              <w:rPr>
                <w:sz w:val="18"/>
                <w:szCs w:val="18"/>
              </w:rPr>
              <w:sym w:font="Symbol" w:char="F0D7"/>
            </w:r>
            <w:r w:rsidRPr="00AA05D4">
              <w:rPr>
                <w:sz w:val="18"/>
                <w:szCs w:val="18"/>
              </w:rPr>
              <w:t>10</w:t>
            </w:r>
            <w:r w:rsidRPr="00AA05D4">
              <w:rPr>
                <w:sz w:val="18"/>
                <w:szCs w:val="18"/>
                <w:vertAlign w:val="superscript"/>
              </w:rPr>
              <w:t>10</w:t>
            </w:r>
          </w:p>
          <w:p w14:paraId="63D7E37A" w14:textId="77777777" w:rsidR="00AA040E" w:rsidRPr="00AA05D4" w:rsidRDefault="00AA040E" w:rsidP="00AA040E">
            <w:pPr>
              <w:jc w:val="center"/>
              <w:rPr>
                <w:sz w:val="18"/>
                <w:szCs w:val="18"/>
                <w:vertAlign w:val="superscript"/>
              </w:rPr>
            </w:pPr>
            <w:r w:rsidRPr="00AA05D4">
              <w:rPr>
                <w:sz w:val="18"/>
                <w:szCs w:val="18"/>
              </w:rPr>
              <w:t>1,2</w:t>
            </w:r>
            <w:r w:rsidRPr="00AA05D4">
              <w:rPr>
                <w:sz w:val="18"/>
                <w:szCs w:val="18"/>
              </w:rPr>
              <w:sym w:font="Symbol" w:char="F0D7"/>
            </w:r>
            <w:r w:rsidRPr="00AA05D4">
              <w:rPr>
                <w:sz w:val="18"/>
                <w:szCs w:val="18"/>
              </w:rPr>
              <w:t>10</w:t>
            </w:r>
            <w:r w:rsidRPr="00AA05D4">
              <w:rPr>
                <w:sz w:val="18"/>
                <w:szCs w:val="18"/>
                <w:vertAlign w:val="superscript"/>
              </w:rPr>
              <w:t>11</w:t>
            </w:r>
          </w:p>
          <w:p w14:paraId="6C3EB6D4" w14:textId="77777777" w:rsidR="00AA040E" w:rsidRPr="00AA05D4" w:rsidRDefault="00AA040E" w:rsidP="00AA040E">
            <w:pPr>
              <w:spacing w:line="259" w:lineRule="auto"/>
              <w:jc w:val="center"/>
              <w:rPr>
                <w:sz w:val="18"/>
                <w:szCs w:val="18"/>
              </w:rPr>
            </w:pPr>
            <w:r w:rsidRPr="00AA05D4">
              <w:rPr>
                <w:sz w:val="18"/>
                <w:szCs w:val="18"/>
              </w:rPr>
              <w:t>6,2</w:t>
            </w:r>
            <w:r w:rsidRPr="00AA05D4">
              <w:rPr>
                <w:sz w:val="18"/>
                <w:szCs w:val="18"/>
              </w:rPr>
              <w:sym w:font="Symbol" w:char="F0D7"/>
            </w:r>
            <w:r w:rsidRPr="00AA05D4">
              <w:rPr>
                <w:sz w:val="18"/>
                <w:szCs w:val="18"/>
              </w:rPr>
              <w:t>10</w:t>
            </w:r>
            <w:r w:rsidRPr="00AA05D4">
              <w:rPr>
                <w:sz w:val="18"/>
                <w:szCs w:val="18"/>
                <w:vertAlign w:val="superscript"/>
              </w:rPr>
              <w:t>11</w:t>
            </w:r>
          </w:p>
        </w:tc>
      </w:tr>
    </w:tbl>
    <w:p w14:paraId="5E08D213" w14:textId="01559AFC" w:rsidR="00AA180E" w:rsidRPr="004506D7" w:rsidRDefault="00AA180E" w:rsidP="005B0458">
      <w:pPr>
        <w:spacing w:before="120" w:after="0"/>
        <w:ind w:firstLine="284"/>
        <w:jc w:val="both"/>
        <w:rPr>
          <w:sz w:val="20"/>
          <w:szCs w:val="20"/>
          <w:lang w:val="az-Latn-AZ"/>
        </w:rPr>
      </w:pPr>
      <w:r w:rsidRPr="004506D7">
        <w:rPr>
          <w:sz w:val="20"/>
          <w:szCs w:val="20"/>
          <w:lang w:val="az-Latn-AZ"/>
        </w:rPr>
        <w:t>Thus, as a result of research it is established that the influence of additive concentration on the value of ρ</w:t>
      </w:r>
      <w:r w:rsidRPr="004506D7">
        <w:rPr>
          <w:sz w:val="20"/>
          <w:szCs w:val="20"/>
          <w:vertAlign w:val="subscript"/>
          <w:lang w:val="az-Latn-AZ"/>
        </w:rPr>
        <w:t>v</w:t>
      </w:r>
      <w:r w:rsidRPr="004506D7">
        <w:rPr>
          <w:sz w:val="20"/>
          <w:szCs w:val="20"/>
          <w:lang w:val="az-Latn-AZ"/>
        </w:rPr>
        <w:t xml:space="preserve"> at temperatures lower than 100</w:t>
      </w:r>
      <w:r w:rsidRPr="004506D7">
        <w:rPr>
          <w:sz w:val="20"/>
          <w:szCs w:val="20"/>
          <w:vertAlign w:val="superscript"/>
          <w:lang w:val="az-Latn-AZ"/>
        </w:rPr>
        <w:t>0</w:t>
      </w:r>
      <w:r w:rsidRPr="004506D7">
        <w:rPr>
          <w:sz w:val="20"/>
          <w:szCs w:val="20"/>
          <w:lang w:val="az-Latn-AZ"/>
        </w:rPr>
        <w:t xml:space="preserve"> C, the method of TDC does not allow to calculate the values of ρ.</w:t>
      </w:r>
    </w:p>
    <w:p w14:paraId="5EE26821" w14:textId="75414C4A" w:rsidR="005972BB" w:rsidRDefault="00AA180E" w:rsidP="00042978">
      <w:pPr>
        <w:spacing w:after="0"/>
        <w:ind w:firstLine="284"/>
        <w:jc w:val="both"/>
        <w:rPr>
          <w:sz w:val="20"/>
          <w:szCs w:val="20"/>
          <w:lang w:val="az-Latn-AZ"/>
        </w:rPr>
      </w:pPr>
      <w:r w:rsidRPr="004506D7">
        <w:rPr>
          <w:sz w:val="20"/>
          <w:szCs w:val="20"/>
          <w:lang w:val="az-Latn-AZ"/>
        </w:rPr>
        <w:t xml:space="preserve">Figure 4 shows the dependence lgρ = f(1/T) for the </w:t>
      </w:r>
      <w:r w:rsidR="00C71BC5" w:rsidRPr="004506D7">
        <w:rPr>
          <w:sz w:val="20"/>
          <w:szCs w:val="20"/>
          <w:lang w:val="az-Latn-AZ"/>
        </w:rPr>
        <w:t>NFPC</w:t>
      </w:r>
      <w:r w:rsidRPr="004506D7">
        <w:rPr>
          <w:sz w:val="20"/>
          <w:szCs w:val="20"/>
          <w:lang w:val="az-Latn-AZ"/>
        </w:rPr>
        <w:t xml:space="preserve">-30 composite obtained in the temperature range from 23 to 170 </w:t>
      </w:r>
      <w:r w:rsidRPr="004506D7">
        <w:rPr>
          <w:sz w:val="20"/>
          <w:szCs w:val="20"/>
          <w:vertAlign w:val="superscript"/>
          <w:lang w:val="az-Latn-AZ"/>
        </w:rPr>
        <w:t>0</w:t>
      </w:r>
      <w:r w:rsidRPr="004506D7">
        <w:rPr>
          <w:sz w:val="20"/>
          <w:szCs w:val="20"/>
          <w:lang w:val="az-Latn-AZ"/>
        </w:rPr>
        <w:t>C. This dependence has a complex curvilinear character, which is consistent with theoretical ideas that at T &gt; T</w:t>
      </w:r>
      <w:r w:rsidRPr="004506D7">
        <w:rPr>
          <w:sz w:val="20"/>
          <w:szCs w:val="20"/>
          <w:vertAlign w:val="subscript"/>
          <w:lang w:val="az-Latn-AZ"/>
        </w:rPr>
        <w:t>c</w:t>
      </w:r>
      <w:r w:rsidRPr="004506D7">
        <w:rPr>
          <w:sz w:val="20"/>
          <w:szCs w:val="20"/>
          <w:lang w:val="az-Latn-AZ"/>
        </w:rPr>
        <w:t xml:space="preserve"> (i.e., the highly elastic state of the material), the activation energy decreases with heating, and, therefore, the dependence </w:t>
      </w:r>
      <w:r w:rsidR="00AA14C1">
        <w:rPr>
          <w:sz w:val="20"/>
          <w:szCs w:val="20"/>
          <w:lang w:val="az-Latn-AZ"/>
        </w:rPr>
        <w:br/>
      </w:r>
      <w:r w:rsidRPr="004506D7">
        <w:rPr>
          <w:sz w:val="20"/>
          <w:szCs w:val="20"/>
          <w:lang w:val="az-Latn-AZ"/>
        </w:rPr>
        <w:t>ρ = f(T) cannot be described by the simple relation ρ = ρ0</w:t>
      </w:r>
      <w:r w:rsidR="00AA14C1">
        <w:rPr>
          <w:sz w:val="20"/>
          <w:szCs w:val="20"/>
          <w:lang w:val="az-Latn-AZ"/>
        </w:rPr>
        <w:t xml:space="preserve"> </w:t>
      </w:r>
      <w:r w:rsidRPr="004506D7">
        <w:rPr>
          <w:sz w:val="20"/>
          <w:szCs w:val="20"/>
          <w:lang w:val="az-Latn-AZ"/>
        </w:rPr>
        <w:t xml:space="preserve">ЕW/kT with a single activation energy W. This may be due to the increasing mobility of macromolecules and the emergence of a group mechanism of ion motion </w:t>
      </w:r>
      <w:r w:rsidRPr="004506D7">
        <w:rPr>
          <w:rFonts w:cs="Times New Roman"/>
          <w:sz w:val="20"/>
          <w:szCs w:val="20"/>
        </w:rPr>
        <w:sym w:font="Symbol" w:char="F05B"/>
      </w:r>
      <w:r w:rsidRPr="004506D7">
        <w:rPr>
          <w:rFonts w:cs="Times New Roman"/>
          <w:sz w:val="20"/>
          <w:szCs w:val="20"/>
          <w:lang w:val="en-US"/>
        </w:rPr>
        <w:t>10,</w:t>
      </w:r>
      <w:r w:rsidR="005B0458">
        <w:rPr>
          <w:rFonts w:cs="Times New Roman"/>
          <w:sz w:val="20"/>
          <w:szCs w:val="20"/>
          <w:lang w:val="en-US"/>
        </w:rPr>
        <w:t xml:space="preserve"> </w:t>
      </w:r>
      <w:r w:rsidRPr="004506D7">
        <w:rPr>
          <w:rFonts w:cs="Times New Roman"/>
          <w:sz w:val="20"/>
          <w:szCs w:val="20"/>
          <w:lang w:val="en-US"/>
        </w:rPr>
        <w:t>11</w:t>
      </w:r>
      <w:r w:rsidRPr="004506D7">
        <w:rPr>
          <w:rFonts w:cs="Times New Roman"/>
          <w:sz w:val="20"/>
          <w:szCs w:val="20"/>
        </w:rPr>
        <w:sym w:font="Symbol" w:char="F05D"/>
      </w:r>
      <w:r w:rsidRPr="004506D7">
        <w:rPr>
          <w:sz w:val="20"/>
          <w:szCs w:val="20"/>
          <w:lang w:val="az-Latn-AZ"/>
        </w:rPr>
        <w:t>.</w:t>
      </w:r>
    </w:p>
    <w:p w14:paraId="2EC1A776" w14:textId="77777777" w:rsidR="007071C2" w:rsidRDefault="0035097C" w:rsidP="007071C2">
      <w:pPr>
        <w:tabs>
          <w:tab w:val="left" w:pos="709"/>
          <w:tab w:val="center" w:pos="5031"/>
          <w:tab w:val="left" w:pos="6668"/>
        </w:tabs>
        <w:spacing w:after="0"/>
        <w:jc w:val="center"/>
        <w:rPr>
          <w:rFonts w:cs="Times New Roman"/>
          <w:sz w:val="24"/>
          <w:szCs w:val="24"/>
          <w:vertAlign w:val="superscript"/>
        </w:rPr>
      </w:pPr>
      <w:r>
        <w:rPr>
          <w:rFonts w:cs="Times New Roman"/>
          <w:noProof/>
          <w:sz w:val="24"/>
          <w:szCs w:val="24"/>
          <w:vertAlign w:val="superscript"/>
          <w:lang w:val="en-US"/>
        </w:rPr>
        <w:drawing>
          <wp:inline distT="0" distB="0" distL="0" distR="0" wp14:anchorId="2DD696B6" wp14:editId="736324C9">
            <wp:extent cx="2700020" cy="239550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704024" cy="2399059"/>
                    </a:xfrm>
                    <a:prstGeom prst="rect">
                      <a:avLst/>
                    </a:prstGeom>
                    <a:noFill/>
                    <a:ln w="9525">
                      <a:noFill/>
                      <a:miter lim="800000"/>
                      <a:headEnd/>
                      <a:tailEnd/>
                    </a:ln>
                  </pic:spPr>
                </pic:pic>
              </a:graphicData>
            </a:graphic>
          </wp:inline>
        </w:drawing>
      </w:r>
    </w:p>
    <w:p w14:paraId="2348D3DE" w14:textId="34A6F335" w:rsidR="00AA180E" w:rsidRPr="00042978" w:rsidRDefault="00042978" w:rsidP="00AA05D4">
      <w:pPr>
        <w:tabs>
          <w:tab w:val="left" w:pos="709"/>
          <w:tab w:val="center" w:pos="5031"/>
          <w:tab w:val="left" w:pos="6668"/>
        </w:tabs>
        <w:spacing w:after="0"/>
        <w:jc w:val="center"/>
        <w:rPr>
          <w:rFonts w:eastAsiaTheme="minorEastAsia" w:cs="Times New Roman"/>
          <w:bCs/>
          <w:noProof/>
          <w:kern w:val="0"/>
          <w:sz w:val="18"/>
          <w:szCs w:val="18"/>
          <w:lang w:val="uz-Cyrl-UZ"/>
        </w:rPr>
      </w:pPr>
      <w:r w:rsidRPr="00842C14">
        <w:rPr>
          <w:rFonts w:eastAsiaTheme="minorEastAsia"/>
          <w:b/>
          <w:sz w:val="18"/>
          <w:szCs w:val="18"/>
          <w:lang w:val="uz-Cyrl-UZ"/>
        </w:rPr>
        <w:t>FIGURE</w:t>
      </w:r>
      <w:r w:rsidR="00AA180E" w:rsidRPr="004506D7">
        <w:rPr>
          <w:rFonts w:cs="Times New Roman"/>
          <w:b/>
          <w:bCs/>
          <w:sz w:val="24"/>
          <w:szCs w:val="24"/>
          <w:lang w:val="en-US"/>
        </w:rPr>
        <w:t xml:space="preserve"> </w:t>
      </w:r>
      <w:r w:rsidR="00AA180E" w:rsidRPr="00042978">
        <w:rPr>
          <w:rFonts w:eastAsiaTheme="minorEastAsia"/>
          <w:b/>
          <w:sz w:val="18"/>
          <w:szCs w:val="18"/>
          <w:lang w:val="uz-Cyrl-UZ"/>
        </w:rPr>
        <w:t>4.</w:t>
      </w:r>
      <w:r w:rsidR="00AA180E" w:rsidRPr="004506D7">
        <w:rPr>
          <w:rFonts w:cs="Times New Roman"/>
          <w:b/>
          <w:bCs/>
          <w:sz w:val="24"/>
          <w:szCs w:val="24"/>
          <w:lang w:val="en-US"/>
        </w:rPr>
        <w:t xml:space="preserve"> </w:t>
      </w:r>
      <w:r w:rsidR="00AA180E" w:rsidRPr="00042978">
        <w:rPr>
          <w:rFonts w:eastAsiaTheme="minorEastAsia" w:cs="Times New Roman"/>
          <w:bCs/>
          <w:noProof/>
          <w:kern w:val="0"/>
          <w:sz w:val="18"/>
          <w:szCs w:val="18"/>
          <w:lang w:val="uz-Cyrl-UZ"/>
        </w:rPr>
        <w:t>Total dependence of specific electrical resistance on temperature</w:t>
      </w:r>
      <w:r w:rsidR="004506D7" w:rsidRPr="00042978">
        <w:rPr>
          <w:rFonts w:eastAsiaTheme="minorEastAsia" w:cs="Times New Roman"/>
          <w:bCs/>
          <w:noProof/>
          <w:kern w:val="0"/>
          <w:sz w:val="18"/>
          <w:szCs w:val="18"/>
          <w:lang w:val="uz-Cyrl-UZ"/>
        </w:rPr>
        <w:t xml:space="preserve"> </w:t>
      </w:r>
      <w:r w:rsidR="00AA180E" w:rsidRPr="00042978">
        <w:rPr>
          <w:rFonts w:eastAsiaTheme="minorEastAsia" w:cs="Times New Roman"/>
          <w:bCs/>
          <w:noProof/>
          <w:kern w:val="0"/>
          <w:sz w:val="18"/>
          <w:szCs w:val="18"/>
          <w:lang w:val="uz-Cyrl-UZ"/>
        </w:rPr>
        <w:t xml:space="preserve">for </w:t>
      </w:r>
      <w:r w:rsidR="00C71BC5" w:rsidRPr="00042978">
        <w:rPr>
          <w:rFonts w:eastAsiaTheme="minorEastAsia" w:cs="Times New Roman"/>
          <w:bCs/>
          <w:noProof/>
          <w:kern w:val="0"/>
          <w:sz w:val="18"/>
          <w:szCs w:val="18"/>
          <w:lang w:val="uz-Cyrl-UZ"/>
        </w:rPr>
        <w:t>NFPC</w:t>
      </w:r>
      <w:r w:rsidR="00AA180E" w:rsidRPr="00042978">
        <w:rPr>
          <w:rFonts w:eastAsiaTheme="minorEastAsia" w:cs="Times New Roman"/>
          <w:bCs/>
          <w:noProof/>
          <w:kern w:val="0"/>
          <w:sz w:val="18"/>
          <w:szCs w:val="18"/>
          <w:lang w:val="uz-Cyrl-UZ"/>
        </w:rPr>
        <w:t>-30 composite</w:t>
      </w:r>
    </w:p>
    <w:p w14:paraId="35E1F9C2" w14:textId="1298476C" w:rsidR="00AA180E" w:rsidRPr="004506D7" w:rsidRDefault="00AA180E" w:rsidP="00042978">
      <w:pPr>
        <w:tabs>
          <w:tab w:val="left" w:pos="709"/>
          <w:tab w:val="center" w:pos="5031"/>
          <w:tab w:val="left" w:pos="6668"/>
        </w:tabs>
        <w:spacing w:after="0"/>
        <w:ind w:firstLine="284"/>
        <w:jc w:val="both"/>
        <w:rPr>
          <w:rFonts w:cs="Times New Roman"/>
          <w:sz w:val="20"/>
          <w:szCs w:val="20"/>
          <w:lang w:val="en-US"/>
        </w:rPr>
      </w:pPr>
      <w:r w:rsidRPr="004506D7">
        <w:rPr>
          <w:rFonts w:cs="Times New Roman"/>
          <w:sz w:val="20"/>
          <w:szCs w:val="20"/>
          <w:lang w:val="en-US"/>
        </w:rPr>
        <w:lastRenderedPageBreak/>
        <w:t xml:space="preserve">Probably, this explains the decrease in the influence of impurities and their concentrations in the investigated materials with increasing temperature. The main results of the study of difficult-to-combust dielectrics at microwave after irradiation of 5 samples for each material are presented in Tables 4-6. In calculating </w:t>
      </w:r>
      <w:r w:rsidRPr="004506D7">
        <w:rPr>
          <w:rFonts w:cs="Times New Roman"/>
          <w:sz w:val="20"/>
          <w:szCs w:val="20"/>
        </w:rPr>
        <w:t>ε</w:t>
      </w:r>
      <w:r w:rsidRPr="004506D7">
        <w:rPr>
          <w:rFonts w:cs="Times New Roman"/>
          <w:sz w:val="20"/>
          <w:szCs w:val="20"/>
          <w:vertAlign w:val="superscript"/>
          <w:lang w:val="en-US"/>
        </w:rPr>
        <w:t>/</w:t>
      </w:r>
      <w:r w:rsidRPr="004506D7">
        <w:rPr>
          <w:rFonts w:cs="Times New Roman"/>
          <w:sz w:val="20"/>
          <w:szCs w:val="20"/>
          <w:lang w:val="en-US"/>
        </w:rPr>
        <w:t xml:space="preserve"> and </w:t>
      </w:r>
      <w:proofErr w:type="spellStart"/>
      <w:r w:rsidRPr="004506D7">
        <w:rPr>
          <w:rFonts w:cs="Times New Roman"/>
          <w:sz w:val="20"/>
          <w:szCs w:val="20"/>
          <w:lang w:val="en-US"/>
        </w:rPr>
        <w:t>tg</w:t>
      </w:r>
      <w:proofErr w:type="spellEnd"/>
      <w:r w:rsidR="00257689" w:rsidRPr="004506D7">
        <w:rPr>
          <w:rFonts w:cs="Times New Roman"/>
          <w:sz w:val="20"/>
          <w:szCs w:val="20"/>
          <w:lang w:val="az-Latn-AZ"/>
        </w:rPr>
        <w:sym w:font="Symbol" w:char="F064"/>
      </w:r>
      <w:r w:rsidRPr="004506D7">
        <w:rPr>
          <w:rFonts w:cs="Times New Roman"/>
          <w:sz w:val="20"/>
          <w:szCs w:val="20"/>
          <w:lang w:val="en-US"/>
        </w:rPr>
        <w:t xml:space="preserve">, the mean value of the parameters, standard deviations and </w:t>
      </w:r>
      <w:r w:rsidRPr="004506D7">
        <w:rPr>
          <w:rFonts w:cs="Times New Roman"/>
          <w:sz w:val="20"/>
          <w:szCs w:val="20"/>
        </w:rPr>
        <w:t>σ</w:t>
      </w:r>
      <w:r w:rsidRPr="004506D7">
        <w:rPr>
          <w:rFonts w:cs="Times New Roman"/>
          <w:sz w:val="20"/>
          <w:szCs w:val="20"/>
          <w:lang w:val="en-US"/>
        </w:rPr>
        <w:t xml:space="preserve"> confidence intervals </w:t>
      </w:r>
      <w:r w:rsidRPr="004506D7">
        <w:rPr>
          <w:rFonts w:cs="Times New Roman"/>
          <w:sz w:val="20"/>
          <w:szCs w:val="20"/>
        </w:rPr>
        <w:t>Δ</w:t>
      </w:r>
      <w:r w:rsidRPr="004506D7">
        <w:rPr>
          <w:rFonts w:cs="Times New Roman"/>
          <w:sz w:val="20"/>
          <w:szCs w:val="20"/>
          <w:lang w:val="en-US"/>
        </w:rPr>
        <w:t xml:space="preserve"> at the confidence level F = 95% were determined. The measurement error determined by the passport data of the plant is 20% when measuring </w:t>
      </w:r>
      <w:proofErr w:type="spellStart"/>
      <w:r w:rsidRPr="004506D7">
        <w:rPr>
          <w:rFonts w:cs="Times New Roman"/>
          <w:sz w:val="20"/>
          <w:szCs w:val="20"/>
          <w:lang w:val="en-US"/>
        </w:rPr>
        <w:t>tg</w:t>
      </w:r>
      <w:proofErr w:type="spellEnd"/>
      <w:r w:rsidR="00257689" w:rsidRPr="004506D7">
        <w:rPr>
          <w:rFonts w:cs="Times New Roman"/>
          <w:sz w:val="20"/>
          <w:szCs w:val="20"/>
          <w:lang w:val="az-Latn-AZ"/>
        </w:rPr>
        <w:sym w:font="Symbol" w:char="F064"/>
      </w:r>
      <w:r w:rsidRPr="004506D7">
        <w:rPr>
          <w:rFonts w:cs="Times New Roman"/>
          <w:sz w:val="20"/>
          <w:szCs w:val="20"/>
          <w:lang w:val="en-US"/>
        </w:rPr>
        <w:t xml:space="preserve"> and 1.5% when measuring </w:t>
      </w:r>
      <w:r w:rsidRPr="004506D7">
        <w:rPr>
          <w:rFonts w:cs="Times New Roman"/>
          <w:sz w:val="20"/>
          <w:szCs w:val="20"/>
        </w:rPr>
        <w:t>ε</w:t>
      </w:r>
      <w:r w:rsidRPr="004506D7">
        <w:rPr>
          <w:rFonts w:cs="Times New Roman"/>
          <w:sz w:val="20"/>
          <w:szCs w:val="20"/>
          <w:vertAlign w:val="superscript"/>
          <w:lang w:val="en-US"/>
        </w:rPr>
        <w:t>/</w:t>
      </w:r>
      <w:r w:rsidRPr="004506D7">
        <w:rPr>
          <w:rFonts w:cs="Times New Roman"/>
          <w:sz w:val="20"/>
          <w:szCs w:val="20"/>
          <w:lang w:val="en-US"/>
        </w:rPr>
        <w:t xml:space="preserve">. </w:t>
      </w:r>
    </w:p>
    <w:p w14:paraId="1C7AB3A7" w14:textId="71B60C6F" w:rsidR="00AA55FF" w:rsidRDefault="00AA180E" w:rsidP="00042978">
      <w:pPr>
        <w:tabs>
          <w:tab w:val="left" w:pos="709"/>
          <w:tab w:val="center" w:pos="5031"/>
          <w:tab w:val="left" w:pos="6668"/>
        </w:tabs>
        <w:spacing w:after="0"/>
        <w:ind w:firstLine="284"/>
        <w:jc w:val="both"/>
        <w:rPr>
          <w:rFonts w:cs="Times New Roman"/>
          <w:sz w:val="20"/>
          <w:szCs w:val="20"/>
          <w:lang w:val="en-US"/>
        </w:rPr>
      </w:pPr>
      <w:r w:rsidRPr="004506D7">
        <w:rPr>
          <w:rFonts w:cs="Times New Roman"/>
          <w:sz w:val="20"/>
          <w:szCs w:val="20"/>
          <w:lang w:val="en-US"/>
        </w:rPr>
        <w:t xml:space="preserve">As a result of the conducted </w:t>
      </w:r>
      <w:r w:rsidR="00AA14C1" w:rsidRPr="004506D7">
        <w:rPr>
          <w:rFonts w:cs="Times New Roman"/>
          <w:sz w:val="20"/>
          <w:szCs w:val="20"/>
          <w:lang w:val="en-US"/>
        </w:rPr>
        <w:t>research,</w:t>
      </w:r>
      <w:r w:rsidR="00E8228D">
        <w:rPr>
          <w:rFonts w:cs="Times New Roman"/>
          <w:sz w:val="20"/>
          <w:szCs w:val="20"/>
          <w:lang w:val="en-US"/>
        </w:rPr>
        <w:t xml:space="preserve"> </w:t>
      </w:r>
      <w:r w:rsidRPr="004506D7">
        <w:rPr>
          <w:rFonts w:cs="Times New Roman"/>
          <w:sz w:val="20"/>
          <w:szCs w:val="20"/>
          <w:lang w:val="en-US"/>
        </w:rPr>
        <w:t>it was found that the introduction of additives providing fire resistance of polyethylene composite leads to an increase in dielectric permittivity and an increase in the dissipation angle tangent of dielectric losses compared to the initial PE. However, in the investigated area of temperatures and frequencies of the electric field, the electrical characteristics of the material remain high enough.</w:t>
      </w:r>
    </w:p>
    <w:p w14:paraId="1278A7C1" w14:textId="585C2079" w:rsidR="00257689" w:rsidRPr="004506D7" w:rsidRDefault="00AA05D4" w:rsidP="005B0458">
      <w:pPr>
        <w:spacing w:before="120" w:after="0"/>
        <w:jc w:val="center"/>
        <w:rPr>
          <w:b/>
          <w:bCs/>
          <w:sz w:val="24"/>
          <w:szCs w:val="24"/>
          <w:lang w:val="en-US"/>
        </w:rPr>
      </w:pPr>
      <w:r w:rsidRPr="00AA05D4">
        <w:rPr>
          <w:b/>
          <w:bCs/>
          <w:sz w:val="18"/>
          <w:szCs w:val="18"/>
          <w:lang w:val="en-US"/>
        </w:rPr>
        <w:t>TABLE 4.</w:t>
      </w:r>
      <w:r w:rsidR="004506D7" w:rsidRPr="004506D7">
        <w:rPr>
          <w:b/>
          <w:bCs/>
          <w:sz w:val="24"/>
          <w:szCs w:val="24"/>
          <w:lang w:val="en-US"/>
        </w:rPr>
        <w:t xml:space="preserve"> </w:t>
      </w:r>
      <w:r w:rsidR="00257689" w:rsidRPr="00AA05D4">
        <w:rPr>
          <w:sz w:val="18"/>
          <w:szCs w:val="18"/>
          <w:lang w:val="en-US"/>
        </w:rPr>
        <w:t xml:space="preserve">Values </w:t>
      </w:r>
      <w:proofErr w:type="spellStart"/>
      <w:r w:rsidR="00257689" w:rsidRPr="00AA05D4">
        <w:rPr>
          <w:sz w:val="18"/>
          <w:szCs w:val="18"/>
          <w:lang w:val="en-US"/>
        </w:rPr>
        <w:t>tg</w:t>
      </w:r>
      <w:proofErr w:type="spellEnd"/>
      <w:r w:rsidR="00257689" w:rsidRPr="00AA05D4">
        <w:rPr>
          <w:rFonts w:cs="Times New Roman"/>
          <w:sz w:val="18"/>
          <w:szCs w:val="18"/>
          <w:lang w:val="az-Latn-AZ"/>
        </w:rPr>
        <w:sym w:font="Symbol" w:char="F064"/>
      </w:r>
      <w:r w:rsidR="00257689" w:rsidRPr="00AA05D4">
        <w:rPr>
          <w:sz w:val="18"/>
          <w:szCs w:val="18"/>
          <w:lang w:val="en-US"/>
        </w:rPr>
        <w:t xml:space="preserve"> measured at 3.1 GHz</w:t>
      </w:r>
    </w:p>
    <w:tbl>
      <w:tblPr>
        <w:tblStyle w:val="a6"/>
        <w:tblW w:w="0" w:type="auto"/>
        <w:tblLook w:val="04A0" w:firstRow="1" w:lastRow="0" w:firstColumn="1" w:lastColumn="0" w:noHBand="0" w:noVBand="1"/>
      </w:tblPr>
      <w:tblGrid>
        <w:gridCol w:w="3187"/>
        <w:gridCol w:w="1590"/>
        <w:gridCol w:w="1599"/>
        <w:gridCol w:w="1617"/>
        <w:gridCol w:w="1577"/>
      </w:tblGrid>
      <w:tr w:rsidR="00E9159A" w:rsidRPr="00AA05D4" w14:paraId="0A1600E3" w14:textId="77777777" w:rsidTr="00AA09CB">
        <w:trPr>
          <w:trHeight w:val="377"/>
        </w:trPr>
        <w:tc>
          <w:tcPr>
            <w:tcW w:w="3187" w:type="dxa"/>
          </w:tcPr>
          <w:p w14:paraId="3F470CF9" w14:textId="39F26279" w:rsidR="00E9159A" w:rsidRPr="00AA05D4" w:rsidRDefault="00257689" w:rsidP="00AA09CB">
            <w:pPr>
              <w:ind w:firstLine="709"/>
              <w:rPr>
                <w:sz w:val="18"/>
                <w:szCs w:val="18"/>
                <w:lang w:val="en-US"/>
              </w:rPr>
            </w:pPr>
            <w:r w:rsidRPr="00AA05D4">
              <w:rPr>
                <w:sz w:val="18"/>
                <w:szCs w:val="18"/>
                <w:lang w:val="en-US"/>
              </w:rPr>
              <w:t>Parameter</w:t>
            </w:r>
            <w:r w:rsidR="00AA09CB" w:rsidRPr="00AA05D4">
              <w:rPr>
                <w:sz w:val="18"/>
                <w:szCs w:val="18"/>
                <w:lang w:val="en-US"/>
              </w:rPr>
              <w:t xml:space="preserve"> </w:t>
            </w:r>
            <w:r w:rsidRPr="00AA05D4">
              <w:rPr>
                <w:sz w:val="18"/>
                <w:szCs w:val="18"/>
                <w:lang w:val="en-US"/>
              </w:rPr>
              <w:t>Material</w:t>
            </w:r>
          </w:p>
        </w:tc>
        <w:tc>
          <w:tcPr>
            <w:tcW w:w="1590" w:type="dxa"/>
            <w:tcBorders>
              <w:right w:val="single" w:sz="4" w:space="0" w:color="auto"/>
            </w:tcBorders>
          </w:tcPr>
          <w:p w14:paraId="23C98ACB" w14:textId="77777777" w:rsidR="00E9159A" w:rsidRPr="00AA05D4" w:rsidRDefault="00E9159A" w:rsidP="00E9159A">
            <w:pPr>
              <w:jc w:val="center"/>
              <w:rPr>
                <w:sz w:val="18"/>
                <w:szCs w:val="18"/>
              </w:rPr>
            </w:pPr>
            <w:r w:rsidRPr="00AA05D4">
              <w:rPr>
                <w:rFonts w:cs="Times New Roman"/>
                <w:sz w:val="18"/>
                <w:szCs w:val="18"/>
                <w:lang w:val="az-Latn-AZ"/>
              </w:rPr>
              <w:t>tg</w:t>
            </w:r>
            <w:r w:rsidRPr="00AA05D4">
              <w:rPr>
                <w:rFonts w:cs="Times New Roman"/>
                <w:sz w:val="18"/>
                <w:szCs w:val="18"/>
                <w:lang w:val="az-Latn-AZ"/>
              </w:rPr>
              <w:sym w:font="Symbol" w:char="F064"/>
            </w:r>
          </w:p>
        </w:tc>
        <w:tc>
          <w:tcPr>
            <w:tcW w:w="1599" w:type="dxa"/>
            <w:tcBorders>
              <w:right w:val="single" w:sz="4" w:space="0" w:color="auto"/>
            </w:tcBorders>
          </w:tcPr>
          <w:p w14:paraId="05DE5B87" w14:textId="77777777" w:rsidR="00E9159A" w:rsidRPr="00AA05D4" w:rsidRDefault="00E9159A" w:rsidP="00E9159A">
            <w:pPr>
              <w:jc w:val="center"/>
              <w:rPr>
                <w:sz w:val="18"/>
                <w:szCs w:val="18"/>
                <w:vertAlign w:val="subscript"/>
              </w:rPr>
            </w:pPr>
            <w:r w:rsidRPr="00AA05D4">
              <w:rPr>
                <w:rFonts w:cs="Times New Roman"/>
                <w:sz w:val="18"/>
                <w:szCs w:val="18"/>
              </w:rPr>
              <w:t>σ</w:t>
            </w:r>
            <w:r w:rsidRPr="00AA05D4">
              <w:rPr>
                <w:rFonts w:cs="Times New Roman"/>
                <w:sz w:val="18"/>
                <w:szCs w:val="18"/>
                <w:vertAlign w:val="subscript"/>
                <w:lang w:val="az-Latn-AZ"/>
              </w:rPr>
              <w:t>tg</w:t>
            </w:r>
            <w:r w:rsidRPr="00AA05D4">
              <w:rPr>
                <w:rFonts w:cs="Times New Roman"/>
                <w:sz w:val="18"/>
                <w:szCs w:val="18"/>
                <w:vertAlign w:val="subscript"/>
                <w:lang w:val="az-Latn-AZ"/>
              </w:rPr>
              <w:sym w:font="Symbol" w:char="F064"/>
            </w:r>
          </w:p>
        </w:tc>
        <w:tc>
          <w:tcPr>
            <w:tcW w:w="1617" w:type="dxa"/>
            <w:tcBorders>
              <w:right w:val="single" w:sz="4" w:space="0" w:color="auto"/>
            </w:tcBorders>
          </w:tcPr>
          <w:p w14:paraId="3E69EBFC" w14:textId="77777777" w:rsidR="00E9159A" w:rsidRPr="00AA05D4" w:rsidRDefault="00E9159A" w:rsidP="00E9159A">
            <w:pPr>
              <w:jc w:val="center"/>
              <w:rPr>
                <w:sz w:val="18"/>
                <w:szCs w:val="18"/>
              </w:rPr>
            </w:pPr>
            <w:r w:rsidRPr="00AA05D4">
              <w:rPr>
                <w:rFonts w:cs="Times New Roman"/>
                <w:sz w:val="18"/>
                <w:szCs w:val="18"/>
              </w:rPr>
              <w:t>Δ</w:t>
            </w:r>
            <w:r w:rsidRPr="00AA05D4">
              <w:rPr>
                <w:rFonts w:cs="Times New Roman"/>
                <w:sz w:val="18"/>
                <w:szCs w:val="18"/>
                <w:lang w:val="az-Latn-AZ"/>
              </w:rPr>
              <w:t>tg</w:t>
            </w:r>
            <w:r w:rsidRPr="00AA05D4">
              <w:rPr>
                <w:rFonts w:cs="Times New Roman"/>
                <w:sz w:val="18"/>
                <w:szCs w:val="18"/>
                <w:lang w:val="az-Latn-AZ"/>
              </w:rPr>
              <w:sym w:font="Symbol" w:char="F064"/>
            </w:r>
          </w:p>
        </w:tc>
        <w:tc>
          <w:tcPr>
            <w:tcW w:w="1577" w:type="dxa"/>
            <w:tcBorders>
              <w:right w:val="single" w:sz="4" w:space="0" w:color="auto"/>
            </w:tcBorders>
          </w:tcPr>
          <w:p w14:paraId="008F0741" w14:textId="77777777" w:rsidR="00E9159A" w:rsidRPr="00AA05D4" w:rsidRDefault="00E9159A" w:rsidP="00E9159A">
            <w:pPr>
              <w:jc w:val="center"/>
              <w:rPr>
                <w:sz w:val="18"/>
                <w:szCs w:val="18"/>
              </w:rPr>
            </w:pPr>
            <w:r w:rsidRPr="00AA05D4">
              <w:rPr>
                <w:rFonts w:cs="Times New Roman"/>
                <w:sz w:val="18"/>
                <w:szCs w:val="18"/>
              </w:rPr>
              <w:t>σ</w:t>
            </w:r>
            <w:r w:rsidRPr="00AA05D4">
              <w:rPr>
                <w:rFonts w:cs="Times New Roman"/>
                <w:sz w:val="18"/>
                <w:szCs w:val="18"/>
                <w:lang w:val="az-Latn-AZ"/>
              </w:rPr>
              <w:t>tg</w:t>
            </w:r>
            <w:r w:rsidRPr="00AA05D4">
              <w:rPr>
                <w:rFonts w:cs="Times New Roman"/>
                <w:sz w:val="18"/>
                <w:szCs w:val="18"/>
                <w:lang w:val="az-Latn-AZ"/>
              </w:rPr>
              <w:sym w:font="Symbol" w:char="F064"/>
            </w:r>
          </w:p>
        </w:tc>
      </w:tr>
      <w:tr w:rsidR="00E9159A" w:rsidRPr="00AA05D4" w14:paraId="2871FFB7" w14:textId="77777777" w:rsidTr="00E9159A">
        <w:trPr>
          <w:trHeight w:val="914"/>
        </w:trPr>
        <w:tc>
          <w:tcPr>
            <w:tcW w:w="3187" w:type="dxa"/>
          </w:tcPr>
          <w:p w14:paraId="092CC7C1" w14:textId="77777777" w:rsidR="00E9159A" w:rsidRPr="00AA05D4" w:rsidRDefault="007C2585" w:rsidP="00E9159A">
            <w:pPr>
              <w:jc w:val="center"/>
              <w:rPr>
                <w:sz w:val="18"/>
                <w:szCs w:val="18"/>
                <w:lang w:val="en-US"/>
              </w:rPr>
            </w:pPr>
            <w:r w:rsidRPr="00AA05D4">
              <w:rPr>
                <w:sz w:val="18"/>
                <w:szCs w:val="18"/>
                <w:lang w:val="az-Latn-AZ"/>
              </w:rPr>
              <w:t xml:space="preserve">        </w:t>
            </w:r>
            <w:r w:rsidR="00257689" w:rsidRPr="00AA05D4">
              <w:rPr>
                <w:sz w:val="18"/>
                <w:szCs w:val="18"/>
                <w:lang w:val="az-Latn-AZ"/>
              </w:rPr>
              <w:t>HPPE</w:t>
            </w:r>
            <w:r w:rsidR="00E9159A" w:rsidRPr="00AA05D4">
              <w:rPr>
                <w:sz w:val="18"/>
                <w:szCs w:val="18"/>
                <w:lang w:val="en-US"/>
              </w:rPr>
              <w:t xml:space="preserve"> (</w:t>
            </w:r>
            <w:r w:rsidR="00257689" w:rsidRPr="00AA05D4">
              <w:rPr>
                <w:sz w:val="18"/>
                <w:szCs w:val="18"/>
                <w:lang w:val="en-US"/>
              </w:rPr>
              <w:t>source</w:t>
            </w:r>
            <w:r w:rsidR="00E9159A" w:rsidRPr="00AA05D4">
              <w:rPr>
                <w:sz w:val="18"/>
                <w:szCs w:val="18"/>
                <w:lang w:val="en-US"/>
              </w:rPr>
              <w:t>)</w:t>
            </w:r>
          </w:p>
          <w:p w14:paraId="15F7FA70" w14:textId="77777777" w:rsidR="00E9159A" w:rsidRPr="00AA05D4" w:rsidRDefault="007C2585" w:rsidP="00E9159A">
            <w:pPr>
              <w:jc w:val="center"/>
              <w:rPr>
                <w:sz w:val="18"/>
                <w:szCs w:val="18"/>
                <w:lang w:val="en-US"/>
              </w:rPr>
            </w:pPr>
            <w:r w:rsidRPr="00AA05D4">
              <w:rPr>
                <w:sz w:val="18"/>
                <w:szCs w:val="18"/>
                <w:lang w:val="en-US"/>
              </w:rPr>
              <w:t xml:space="preserve">        </w:t>
            </w:r>
            <w:r w:rsidR="00257689" w:rsidRPr="00AA05D4">
              <w:rPr>
                <w:sz w:val="18"/>
                <w:szCs w:val="18"/>
                <w:lang w:val="en-US"/>
              </w:rPr>
              <w:t>LPPE</w:t>
            </w:r>
            <w:r w:rsidR="00E9159A" w:rsidRPr="00AA05D4">
              <w:rPr>
                <w:sz w:val="18"/>
                <w:szCs w:val="18"/>
                <w:lang w:val="en-US"/>
              </w:rPr>
              <w:t xml:space="preserve"> (</w:t>
            </w:r>
            <w:r w:rsidR="00257689" w:rsidRPr="00AA05D4">
              <w:rPr>
                <w:sz w:val="18"/>
                <w:szCs w:val="18"/>
                <w:lang w:val="en-US"/>
              </w:rPr>
              <w:t>source</w:t>
            </w:r>
            <w:r w:rsidR="00E9159A" w:rsidRPr="00AA05D4">
              <w:rPr>
                <w:sz w:val="18"/>
                <w:szCs w:val="18"/>
                <w:lang w:val="en-US"/>
              </w:rPr>
              <w:t>)</w:t>
            </w:r>
          </w:p>
          <w:p w14:paraId="654F692C" w14:textId="77777777" w:rsidR="00E9159A" w:rsidRPr="00AA05D4" w:rsidRDefault="00C71BC5" w:rsidP="00E9159A">
            <w:pPr>
              <w:jc w:val="center"/>
              <w:rPr>
                <w:rFonts w:cs="Times New Roman"/>
                <w:sz w:val="18"/>
                <w:szCs w:val="18"/>
                <w:lang w:val="en-US"/>
              </w:rPr>
            </w:pPr>
            <w:r w:rsidRPr="00AA05D4">
              <w:rPr>
                <w:rFonts w:cs="Times New Roman"/>
                <w:sz w:val="18"/>
                <w:szCs w:val="18"/>
                <w:lang w:val="en-US"/>
              </w:rPr>
              <w:t>NFPC</w:t>
            </w:r>
            <w:r w:rsidR="00E9159A" w:rsidRPr="00AA05D4">
              <w:rPr>
                <w:rFonts w:cs="Times New Roman"/>
                <w:sz w:val="18"/>
                <w:szCs w:val="18"/>
                <w:lang w:val="en-US"/>
              </w:rPr>
              <w:t>-10</w:t>
            </w:r>
          </w:p>
          <w:p w14:paraId="3282B44F" w14:textId="77777777" w:rsidR="00E9159A" w:rsidRPr="00AA05D4" w:rsidRDefault="00C71BC5" w:rsidP="00E9159A">
            <w:pPr>
              <w:jc w:val="center"/>
              <w:rPr>
                <w:rFonts w:cs="Times New Roman"/>
                <w:sz w:val="18"/>
                <w:szCs w:val="18"/>
                <w:lang w:val="en-US"/>
              </w:rPr>
            </w:pPr>
            <w:r w:rsidRPr="00AA05D4">
              <w:rPr>
                <w:rFonts w:cs="Times New Roman"/>
                <w:sz w:val="18"/>
                <w:szCs w:val="18"/>
                <w:lang w:val="en-US"/>
              </w:rPr>
              <w:t>NFPC</w:t>
            </w:r>
            <w:r w:rsidR="00257689" w:rsidRPr="00AA05D4">
              <w:rPr>
                <w:rFonts w:cs="Times New Roman"/>
                <w:sz w:val="18"/>
                <w:szCs w:val="18"/>
                <w:lang w:val="en-US"/>
              </w:rPr>
              <w:t xml:space="preserve"> </w:t>
            </w:r>
            <w:r w:rsidR="00E9159A" w:rsidRPr="00AA05D4">
              <w:rPr>
                <w:rFonts w:cs="Times New Roman"/>
                <w:sz w:val="18"/>
                <w:szCs w:val="18"/>
                <w:lang w:val="en-US"/>
              </w:rPr>
              <w:t>-20</w:t>
            </w:r>
          </w:p>
          <w:p w14:paraId="5B4C0B78" w14:textId="77777777" w:rsidR="00E9159A" w:rsidRPr="00AA05D4" w:rsidRDefault="00C71BC5" w:rsidP="00E9159A">
            <w:pPr>
              <w:jc w:val="center"/>
              <w:rPr>
                <w:sz w:val="18"/>
                <w:szCs w:val="18"/>
                <w:lang w:val="en-US"/>
              </w:rPr>
            </w:pPr>
            <w:r w:rsidRPr="00AA05D4">
              <w:rPr>
                <w:rFonts w:cs="Times New Roman"/>
                <w:sz w:val="18"/>
                <w:szCs w:val="18"/>
                <w:lang w:val="en-US"/>
              </w:rPr>
              <w:t>NFPC</w:t>
            </w:r>
            <w:r w:rsidR="00257689" w:rsidRPr="00AA05D4">
              <w:rPr>
                <w:rFonts w:cs="Times New Roman"/>
                <w:sz w:val="18"/>
                <w:szCs w:val="18"/>
                <w:lang w:val="en-US"/>
              </w:rPr>
              <w:t xml:space="preserve"> </w:t>
            </w:r>
            <w:r w:rsidR="00E9159A" w:rsidRPr="00AA05D4">
              <w:rPr>
                <w:rFonts w:cs="Times New Roman"/>
                <w:sz w:val="18"/>
                <w:szCs w:val="18"/>
                <w:lang w:val="en-US"/>
              </w:rPr>
              <w:t>-30</w:t>
            </w:r>
          </w:p>
        </w:tc>
        <w:tc>
          <w:tcPr>
            <w:tcW w:w="1590" w:type="dxa"/>
            <w:tcBorders>
              <w:right w:val="single" w:sz="4" w:space="0" w:color="auto"/>
            </w:tcBorders>
          </w:tcPr>
          <w:p w14:paraId="0F60F375" w14:textId="77777777" w:rsidR="00E9159A" w:rsidRPr="00AA05D4" w:rsidRDefault="00E9159A" w:rsidP="00E9159A">
            <w:pPr>
              <w:jc w:val="center"/>
              <w:rPr>
                <w:sz w:val="18"/>
                <w:szCs w:val="18"/>
                <w:vertAlign w:val="superscript"/>
              </w:rPr>
            </w:pPr>
            <w:r w:rsidRPr="00AA05D4">
              <w:rPr>
                <w:sz w:val="18"/>
                <w:szCs w:val="18"/>
              </w:rPr>
              <w:t>6,0</w:t>
            </w:r>
            <w:r w:rsidRPr="00AA05D4">
              <w:rPr>
                <w:sz w:val="18"/>
                <w:szCs w:val="18"/>
              </w:rPr>
              <w:sym w:font="Symbol" w:char="F0D7"/>
            </w:r>
            <w:r w:rsidRPr="00AA05D4">
              <w:rPr>
                <w:sz w:val="18"/>
                <w:szCs w:val="18"/>
              </w:rPr>
              <w:t>10</w:t>
            </w:r>
            <w:r w:rsidRPr="00AA05D4">
              <w:rPr>
                <w:sz w:val="18"/>
                <w:szCs w:val="18"/>
                <w:vertAlign w:val="superscript"/>
              </w:rPr>
              <w:t>-4</w:t>
            </w:r>
          </w:p>
          <w:p w14:paraId="15688275" w14:textId="77777777" w:rsidR="00E9159A" w:rsidRPr="00AA05D4" w:rsidRDefault="00E9159A" w:rsidP="00E9159A">
            <w:pPr>
              <w:jc w:val="center"/>
              <w:rPr>
                <w:sz w:val="18"/>
                <w:szCs w:val="18"/>
                <w:vertAlign w:val="superscript"/>
              </w:rPr>
            </w:pPr>
            <w:r w:rsidRPr="00AA05D4">
              <w:rPr>
                <w:sz w:val="18"/>
                <w:szCs w:val="18"/>
              </w:rPr>
              <w:t>2,3</w:t>
            </w:r>
            <w:r w:rsidRPr="00AA05D4">
              <w:rPr>
                <w:sz w:val="18"/>
                <w:szCs w:val="18"/>
              </w:rPr>
              <w:sym w:font="Symbol" w:char="F0D7"/>
            </w:r>
            <w:r w:rsidRPr="00AA05D4">
              <w:rPr>
                <w:sz w:val="18"/>
                <w:szCs w:val="18"/>
              </w:rPr>
              <w:t>10</w:t>
            </w:r>
            <w:r w:rsidRPr="00AA05D4">
              <w:rPr>
                <w:sz w:val="18"/>
                <w:szCs w:val="18"/>
                <w:vertAlign w:val="superscript"/>
              </w:rPr>
              <w:t>-4</w:t>
            </w:r>
          </w:p>
          <w:p w14:paraId="656189C2" w14:textId="77777777" w:rsidR="00E9159A" w:rsidRPr="00AA05D4" w:rsidRDefault="00E9159A" w:rsidP="00E9159A">
            <w:pPr>
              <w:jc w:val="center"/>
              <w:rPr>
                <w:sz w:val="18"/>
                <w:szCs w:val="18"/>
                <w:vertAlign w:val="superscript"/>
              </w:rPr>
            </w:pPr>
            <w:r w:rsidRPr="00AA05D4">
              <w:rPr>
                <w:sz w:val="18"/>
                <w:szCs w:val="18"/>
              </w:rPr>
              <w:t>1,2</w:t>
            </w:r>
            <w:r w:rsidRPr="00AA05D4">
              <w:rPr>
                <w:sz w:val="18"/>
                <w:szCs w:val="18"/>
              </w:rPr>
              <w:sym w:font="Symbol" w:char="F0D7"/>
            </w:r>
            <w:r w:rsidRPr="00AA05D4">
              <w:rPr>
                <w:sz w:val="18"/>
                <w:szCs w:val="18"/>
              </w:rPr>
              <w:t>10</w:t>
            </w:r>
            <w:r w:rsidRPr="00AA05D4">
              <w:rPr>
                <w:sz w:val="18"/>
                <w:szCs w:val="18"/>
                <w:vertAlign w:val="superscript"/>
              </w:rPr>
              <w:t>-3</w:t>
            </w:r>
          </w:p>
          <w:p w14:paraId="69EECDB6" w14:textId="77777777" w:rsidR="00E9159A" w:rsidRPr="00AA05D4" w:rsidRDefault="00E9159A" w:rsidP="00E9159A">
            <w:pPr>
              <w:jc w:val="center"/>
              <w:rPr>
                <w:sz w:val="18"/>
                <w:szCs w:val="18"/>
                <w:vertAlign w:val="superscript"/>
              </w:rPr>
            </w:pPr>
            <w:r w:rsidRPr="00AA05D4">
              <w:rPr>
                <w:sz w:val="18"/>
                <w:szCs w:val="18"/>
              </w:rPr>
              <w:t>7,6</w:t>
            </w:r>
            <w:r w:rsidRPr="00AA05D4">
              <w:rPr>
                <w:sz w:val="18"/>
                <w:szCs w:val="18"/>
              </w:rPr>
              <w:sym w:font="Symbol" w:char="F0D7"/>
            </w:r>
            <w:r w:rsidRPr="00AA05D4">
              <w:rPr>
                <w:sz w:val="18"/>
                <w:szCs w:val="18"/>
              </w:rPr>
              <w:t>10</w:t>
            </w:r>
            <w:r w:rsidRPr="00AA05D4">
              <w:rPr>
                <w:sz w:val="18"/>
                <w:szCs w:val="18"/>
                <w:vertAlign w:val="superscript"/>
              </w:rPr>
              <w:t>-4</w:t>
            </w:r>
          </w:p>
          <w:p w14:paraId="0956B116" w14:textId="77777777" w:rsidR="00E9159A" w:rsidRPr="00AA05D4" w:rsidRDefault="00E9159A" w:rsidP="00E9159A">
            <w:pPr>
              <w:jc w:val="center"/>
              <w:rPr>
                <w:sz w:val="18"/>
                <w:szCs w:val="18"/>
                <w:vertAlign w:val="superscript"/>
              </w:rPr>
            </w:pPr>
            <w:r w:rsidRPr="00AA05D4">
              <w:rPr>
                <w:sz w:val="18"/>
                <w:szCs w:val="18"/>
              </w:rPr>
              <w:t>8,5</w:t>
            </w:r>
            <w:r w:rsidRPr="00AA05D4">
              <w:rPr>
                <w:sz w:val="18"/>
                <w:szCs w:val="18"/>
              </w:rPr>
              <w:sym w:font="Symbol" w:char="F0D7"/>
            </w:r>
            <w:r w:rsidRPr="00AA05D4">
              <w:rPr>
                <w:sz w:val="18"/>
                <w:szCs w:val="18"/>
              </w:rPr>
              <w:t>10</w:t>
            </w:r>
            <w:r w:rsidRPr="00AA05D4">
              <w:rPr>
                <w:sz w:val="18"/>
                <w:szCs w:val="18"/>
                <w:vertAlign w:val="superscript"/>
              </w:rPr>
              <w:t>-4</w:t>
            </w:r>
          </w:p>
        </w:tc>
        <w:tc>
          <w:tcPr>
            <w:tcW w:w="1599" w:type="dxa"/>
            <w:tcBorders>
              <w:left w:val="single" w:sz="4" w:space="0" w:color="auto"/>
            </w:tcBorders>
          </w:tcPr>
          <w:p w14:paraId="5DD45708" w14:textId="77777777" w:rsidR="00E9159A" w:rsidRPr="00AA05D4" w:rsidRDefault="00E9159A" w:rsidP="00E9159A">
            <w:pPr>
              <w:jc w:val="center"/>
              <w:rPr>
                <w:sz w:val="18"/>
                <w:szCs w:val="18"/>
                <w:vertAlign w:val="superscript"/>
              </w:rPr>
            </w:pPr>
            <w:r w:rsidRPr="00AA05D4">
              <w:rPr>
                <w:sz w:val="18"/>
                <w:szCs w:val="18"/>
              </w:rPr>
              <w:t>2,7</w:t>
            </w:r>
            <w:r w:rsidRPr="00AA05D4">
              <w:rPr>
                <w:sz w:val="18"/>
                <w:szCs w:val="18"/>
              </w:rPr>
              <w:sym w:font="Symbol" w:char="F0D7"/>
            </w:r>
            <w:r w:rsidRPr="00AA05D4">
              <w:rPr>
                <w:sz w:val="18"/>
                <w:szCs w:val="18"/>
              </w:rPr>
              <w:t>10</w:t>
            </w:r>
            <w:r w:rsidRPr="00AA05D4">
              <w:rPr>
                <w:sz w:val="18"/>
                <w:szCs w:val="18"/>
                <w:vertAlign w:val="superscript"/>
              </w:rPr>
              <w:t>-5</w:t>
            </w:r>
          </w:p>
          <w:p w14:paraId="361BB708" w14:textId="77777777" w:rsidR="00E9159A" w:rsidRPr="00AA05D4" w:rsidRDefault="00E9159A" w:rsidP="00E9159A">
            <w:pPr>
              <w:jc w:val="center"/>
              <w:rPr>
                <w:sz w:val="18"/>
                <w:szCs w:val="18"/>
                <w:vertAlign w:val="superscript"/>
              </w:rPr>
            </w:pPr>
            <w:r w:rsidRPr="00AA05D4">
              <w:rPr>
                <w:sz w:val="18"/>
                <w:szCs w:val="18"/>
              </w:rPr>
              <w:t>1,7</w:t>
            </w:r>
            <w:r w:rsidRPr="00AA05D4">
              <w:rPr>
                <w:sz w:val="18"/>
                <w:szCs w:val="18"/>
              </w:rPr>
              <w:sym w:font="Symbol" w:char="F0D7"/>
            </w:r>
            <w:r w:rsidRPr="00AA05D4">
              <w:rPr>
                <w:sz w:val="18"/>
                <w:szCs w:val="18"/>
              </w:rPr>
              <w:t>10</w:t>
            </w:r>
            <w:r w:rsidRPr="00AA05D4">
              <w:rPr>
                <w:sz w:val="18"/>
                <w:szCs w:val="18"/>
                <w:vertAlign w:val="superscript"/>
              </w:rPr>
              <w:t>-6</w:t>
            </w:r>
          </w:p>
          <w:p w14:paraId="604981AD" w14:textId="77777777" w:rsidR="00E9159A" w:rsidRPr="00AA05D4" w:rsidRDefault="00E9159A" w:rsidP="00E9159A">
            <w:pPr>
              <w:jc w:val="center"/>
              <w:rPr>
                <w:sz w:val="18"/>
                <w:szCs w:val="18"/>
                <w:vertAlign w:val="superscript"/>
              </w:rPr>
            </w:pPr>
            <w:r w:rsidRPr="00AA05D4">
              <w:rPr>
                <w:sz w:val="18"/>
                <w:szCs w:val="18"/>
              </w:rPr>
              <w:t>9,5</w:t>
            </w:r>
            <w:r w:rsidRPr="00AA05D4">
              <w:rPr>
                <w:sz w:val="18"/>
                <w:szCs w:val="18"/>
              </w:rPr>
              <w:sym w:font="Symbol" w:char="F0D7"/>
            </w:r>
            <w:r w:rsidRPr="00AA05D4">
              <w:rPr>
                <w:sz w:val="18"/>
                <w:szCs w:val="18"/>
              </w:rPr>
              <w:t>10</w:t>
            </w:r>
            <w:r w:rsidRPr="00AA05D4">
              <w:rPr>
                <w:sz w:val="18"/>
                <w:szCs w:val="18"/>
                <w:vertAlign w:val="superscript"/>
              </w:rPr>
              <w:t>-5</w:t>
            </w:r>
          </w:p>
          <w:p w14:paraId="7F00A688" w14:textId="77777777" w:rsidR="00E9159A" w:rsidRPr="00AA05D4" w:rsidRDefault="00E9159A" w:rsidP="00E9159A">
            <w:pPr>
              <w:jc w:val="center"/>
              <w:rPr>
                <w:sz w:val="18"/>
                <w:szCs w:val="18"/>
                <w:vertAlign w:val="superscript"/>
              </w:rPr>
            </w:pPr>
            <w:r w:rsidRPr="00AA05D4">
              <w:rPr>
                <w:sz w:val="18"/>
                <w:szCs w:val="18"/>
              </w:rPr>
              <w:t>1,1</w:t>
            </w:r>
            <w:r w:rsidRPr="00AA05D4">
              <w:rPr>
                <w:sz w:val="18"/>
                <w:szCs w:val="18"/>
              </w:rPr>
              <w:sym w:font="Symbol" w:char="F0D7"/>
            </w:r>
            <w:r w:rsidRPr="00AA05D4">
              <w:rPr>
                <w:sz w:val="18"/>
                <w:szCs w:val="18"/>
              </w:rPr>
              <w:t>10</w:t>
            </w:r>
            <w:r w:rsidRPr="00AA05D4">
              <w:rPr>
                <w:sz w:val="18"/>
                <w:szCs w:val="18"/>
                <w:vertAlign w:val="superscript"/>
              </w:rPr>
              <w:t>-4</w:t>
            </w:r>
          </w:p>
          <w:p w14:paraId="5701A3B2" w14:textId="77777777" w:rsidR="00E9159A" w:rsidRPr="00AA05D4" w:rsidRDefault="00E9159A" w:rsidP="00E9159A">
            <w:pPr>
              <w:spacing w:line="259" w:lineRule="auto"/>
              <w:jc w:val="center"/>
              <w:rPr>
                <w:sz w:val="18"/>
                <w:szCs w:val="18"/>
                <w:vertAlign w:val="superscript"/>
              </w:rPr>
            </w:pPr>
            <w:r w:rsidRPr="00AA05D4">
              <w:rPr>
                <w:sz w:val="18"/>
                <w:szCs w:val="18"/>
              </w:rPr>
              <w:t>7,4</w:t>
            </w:r>
            <w:r w:rsidRPr="00AA05D4">
              <w:rPr>
                <w:sz w:val="18"/>
                <w:szCs w:val="18"/>
              </w:rPr>
              <w:sym w:font="Symbol" w:char="F0D7"/>
            </w:r>
            <w:r w:rsidRPr="00AA05D4">
              <w:rPr>
                <w:sz w:val="18"/>
                <w:szCs w:val="18"/>
              </w:rPr>
              <w:t>10</w:t>
            </w:r>
            <w:r w:rsidRPr="00AA05D4">
              <w:rPr>
                <w:sz w:val="18"/>
                <w:szCs w:val="18"/>
                <w:vertAlign w:val="superscript"/>
              </w:rPr>
              <w:t>-5</w:t>
            </w:r>
          </w:p>
        </w:tc>
        <w:tc>
          <w:tcPr>
            <w:tcW w:w="1617" w:type="dxa"/>
            <w:tcBorders>
              <w:right w:val="single" w:sz="4" w:space="0" w:color="auto"/>
            </w:tcBorders>
          </w:tcPr>
          <w:p w14:paraId="74F1B9E7" w14:textId="77777777" w:rsidR="00E9159A" w:rsidRPr="00AA05D4" w:rsidRDefault="00E9159A" w:rsidP="00E9159A">
            <w:pPr>
              <w:jc w:val="center"/>
              <w:rPr>
                <w:sz w:val="18"/>
                <w:szCs w:val="18"/>
                <w:vertAlign w:val="superscript"/>
              </w:rPr>
            </w:pPr>
            <w:r w:rsidRPr="00AA05D4">
              <w:rPr>
                <w:sz w:val="18"/>
                <w:szCs w:val="18"/>
              </w:rPr>
              <w:t>3,3</w:t>
            </w:r>
            <w:r w:rsidRPr="00AA05D4">
              <w:rPr>
                <w:sz w:val="18"/>
                <w:szCs w:val="18"/>
              </w:rPr>
              <w:sym w:font="Symbol" w:char="F0D7"/>
            </w:r>
            <w:r w:rsidRPr="00AA05D4">
              <w:rPr>
                <w:sz w:val="18"/>
                <w:szCs w:val="18"/>
              </w:rPr>
              <w:t>10</w:t>
            </w:r>
            <w:r w:rsidRPr="00AA05D4">
              <w:rPr>
                <w:sz w:val="18"/>
                <w:szCs w:val="18"/>
                <w:vertAlign w:val="superscript"/>
              </w:rPr>
              <w:t>-5</w:t>
            </w:r>
          </w:p>
          <w:p w14:paraId="7875D5BD" w14:textId="77777777" w:rsidR="00E9159A" w:rsidRPr="00AA05D4" w:rsidRDefault="00E9159A" w:rsidP="00E9159A">
            <w:pPr>
              <w:jc w:val="center"/>
              <w:rPr>
                <w:sz w:val="18"/>
                <w:szCs w:val="18"/>
                <w:vertAlign w:val="superscript"/>
              </w:rPr>
            </w:pPr>
            <w:r w:rsidRPr="00AA05D4">
              <w:rPr>
                <w:sz w:val="18"/>
                <w:szCs w:val="18"/>
              </w:rPr>
              <w:t>2,1</w:t>
            </w:r>
            <w:r w:rsidRPr="00AA05D4">
              <w:rPr>
                <w:sz w:val="18"/>
                <w:szCs w:val="18"/>
              </w:rPr>
              <w:sym w:font="Symbol" w:char="F0D7"/>
            </w:r>
            <w:r w:rsidRPr="00AA05D4">
              <w:rPr>
                <w:sz w:val="18"/>
                <w:szCs w:val="18"/>
              </w:rPr>
              <w:t>10</w:t>
            </w:r>
            <w:r w:rsidRPr="00AA05D4">
              <w:rPr>
                <w:sz w:val="18"/>
                <w:szCs w:val="18"/>
                <w:vertAlign w:val="superscript"/>
              </w:rPr>
              <w:t>-6</w:t>
            </w:r>
          </w:p>
          <w:p w14:paraId="5B95B98E" w14:textId="77777777" w:rsidR="00E9159A" w:rsidRPr="00AA05D4" w:rsidRDefault="00E9159A" w:rsidP="00E9159A">
            <w:pPr>
              <w:jc w:val="center"/>
              <w:rPr>
                <w:sz w:val="18"/>
                <w:szCs w:val="18"/>
                <w:vertAlign w:val="superscript"/>
              </w:rPr>
            </w:pPr>
            <w:r w:rsidRPr="00AA05D4">
              <w:rPr>
                <w:sz w:val="18"/>
                <w:szCs w:val="18"/>
              </w:rPr>
              <w:t>1,2</w:t>
            </w:r>
            <w:r w:rsidRPr="00AA05D4">
              <w:rPr>
                <w:sz w:val="18"/>
                <w:szCs w:val="18"/>
              </w:rPr>
              <w:sym w:font="Symbol" w:char="F0D7"/>
            </w:r>
            <w:r w:rsidRPr="00AA05D4">
              <w:rPr>
                <w:sz w:val="18"/>
                <w:szCs w:val="18"/>
              </w:rPr>
              <w:t>10</w:t>
            </w:r>
            <w:r w:rsidRPr="00AA05D4">
              <w:rPr>
                <w:sz w:val="18"/>
                <w:szCs w:val="18"/>
                <w:vertAlign w:val="superscript"/>
              </w:rPr>
              <w:t>-4</w:t>
            </w:r>
          </w:p>
          <w:p w14:paraId="19FC6D35" w14:textId="77777777" w:rsidR="00E9159A" w:rsidRPr="00AA05D4" w:rsidRDefault="00E9159A" w:rsidP="00E9159A">
            <w:pPr>
              <w:jc w:val="center"/>
              <w:rPr>
                <w:sz w:val="18"/>
                <w:szCs w:val="18"/>
                <w:vertAlign w:val="superscript"/>
              </w:rPr>
            </w:pPr>
            <w:r w:rsidRPr="00AA05D4">
              <w:rPr>
                <w:sz w:val="18"/>
                <w:szCs w:val="18"/>
              </w:rPr>
              <w:t>1,4</w:t>
            </w:r>
            <w:r w:rsidRPr="00AA05D4">
              <w:rPr>
                <w:sz w:val="18"/>
                <w:szCs w:val="18"/>
              </w:rPr>
              <w:sym w:font="Symbol" w:char="F0D7"/>
            </w:r>
            <w:r w:rsidRPr="00AA05D4">
              <w:rPr>
                <w:sz w:val="18"/>
                <w:szCs w:val="18"/>
              </w:rPr>
              <w:t>10</w:t>
            </w:r>
            <w:r w:rsidRPr="00AA05D4">
              <w:rPr>
                <w:sz w:val="18"/>
                <w:szCs w:val="18"/>
                <w:vertAlign w:val="superscript"/>
              </w:rPr>
              <w:t>-4</w:t>
            </w:r>
          </w:p>
          <w:p w14:paraId="03F63DF5" w14:textId="77777777" w:rsidR="00E9159A" w:rsidRPr="00AA05D4" w:rsidRDefault="00E9159A" w:rsidP="00E9159A">
            <w:pPr>
              <w:jc w:val="center"/>
              <w:rPr>
                <w:sz w:val="18"/>
                <w:szCs w:val="18"/>
                <w:vertAlign w:val="superscript"/>
              </w:rPr>
            </w:pPr>
            <w:r w:rsidRPr="00AA05D4">
              <w:rPr>
                <w:sz w:val="18"/>
                <w:szCs w:val="18"/>
              </w:rPr>
              <w:t>9,2</w:t>
            </w:r>
            <w:r w:rsidRPr="00AA05D4">
              <w:rPr>
                <w:sz w:val="18"/>
                <w:szCs w:val="18"/>
              </w:rPr>
              <w:sym w:font="Symbol" w:char="F0D7"/>
            </w:r>
            <w:r w:rsidRPr="00AA05D4">
              <w:rPr>
                <w:sz w:val="18"/>
                <w:szCs w:val="18"/>
              </w:rPr>
              <w:t>10</w:t>
            </w:r>
            <w:r w:rsidRPr="00AA05D4">
              <w:rPr>
                <w:sz w:val="18"/>
                <w:szCs w:val="18"/>
                <w:vertAlign w:val="superscript"/>
              </w:rPr>
              <w:t>-5</w:t>
            </w:r>
          </w:p>
        </w:tc>
        <w:tc>
          <w:tcPr>
            <w:tcW w:w="1577" w:type="dxa"/>
            <w:tcBorders>
              <w:left w:val="single" w:sz="4" w:space="0" w:color="auto"/>
            </w:tcBorders>
          </w:tcPr>
          <w:p w14:paraId="18B3A038" w14:textId="77777777" w:rsidR="00E9159A" w:rsidRPr="00AA05D4" w:rsidRDefault="00E9159A" w:rsidP="00E9159A">
            <w:pPr>
              <w:jc w:val="center"/>
              <w:rPr>
                <w:sz w:val="18"/>
                <w:szCs w:val="18"/>
                <w:vertAlign w:val="superscript"/>
              </w:rPr>
            </w:pPr>
            <w:r w:rsidRPr="00AA05D4">
              <w:rPr>
                <w:sz w:val="18"/>
                <w:szCs w:val="18"/>
              </w:rPr>
              <w:t>1,2</w:t>
            </w:r>
            <w:r w:rsidRPr="00AA05D4">
              <w:rPr>
                <w:sz w:val="18"/>
                <w:szCs w:val="18"/>
              </w:rPr>
              <w:sym w:font="Symbol" w:char="F0D7"/>
            </w:r>
            <w:r w:rsidRPr="00AA05D4">
              <w:rPr>
                <w:sz w:val="18"/>
                <w:szCs w:val="18"/>
              </w:rPr>
              <w:t>10</w:t>
            </w:r>
            <w:r w:rsidRPr="00AA05D4">
              <w:rPr>
                <w:sz w:val="18"/>
                <w:szCs w:val="18"/>
                <w:vertAlign w:val="superscript"/>
              </w:rPr>
              <w:t>-4</w:t>
            </w:r>
          </w:p>
          <w:p w14:paraId="3E16515F" w14:textId="77777777" w:rsidR="00E9159A" w:rsidRPr="00AA05D4" w:rsidRDefault="00E9159A" w:rsidP="00E9159A">
            <w:pPr>
              <w:jc w:val="center"/>
              <w:rPr>
                <w:sz w:val="18"/>
                <w:szCs w:val="18"/>
                <w:vertAlign w:val="superscript"/>
              </w:rPr>
            </w:pPr>
            <w:r w:rsidRPr="00AA05D4">
              <w:rPr>
                <w:sz w:val="18"/>
                <w:szCs w:val="18"/>
              </w:rPr>
              <w:t>4,6</w:t>
            </w:r>
            <w:r w:rsidRPr="00AA05D4">
              <w:rPr>
                <w:sz w:val="18"/>
                <w:szCs w:val="18"/>
              </w:rPr>
              <w:sym w:font="Symbol" w:char="F0D7"/>
            </w:r>
            <w:r w:rsidRPr="00AA05D4">
              <w:rPr>
                <w:sz w:val="18"/>
                <w:szCs w:val="18"/>
              </w:rPr>
              <w:t>10</w:t>
            </w:r>
            <w:r w:rsidRPr="00AA05D4">
              <w:rPr>
                <w:sz w:val="18"/>
                <w:szCs w:val="18"/>
                <w:vertAlign w:val="superscript"/>
              </w:rPr>
              <w:t>-5</w:t>
            </w:r>
          </w:p>
          <w:p w14:paraId="793C78DC" w14:textId="77777777" w:rsidR="00E9159A" w:rsidRPr="00AA05D4" w:rsidRDefault="00E9159A" w:rsidP="00E9159A">
            <w:pPr>
              <w:jc w:val="center"/>
              <w:rPr>
                <w:sz w:val="18"/>
                <w:szCs w:val="18"/>
                <w:vertAlign w:val="superscript"/>
              </w:rPr>
            </w:pPr>
            <w:r w:rsidRPr="00AA05D4">
              <w:rPr>
                <w:sz w:val="18"/>
                <w:szCs w:val="18"/>
              </w:rPr>
              <w:t>2,4</w:t>
            </w:r>
            <w:r w:rsidRPr="00AA05D4">
              <w:rPr>
                <w:sz w:val="18"/>
                <w:szCs w:val="18"/>
              </w:rPr>
              <w:sym w:font="Symbol" w:char="F0D7"/>
            </w:r>
            <w:r w:rsidRPr="00AA05D4">
              <w:rPr>
                <w:sz w:val="18"/>
                <w:szCs w:val="18"/>
              </w:rPr>
              <w:t>10</w:t>
            </w:r>
            <w:r w:rsidRPr="00AA05D4">
              <w:rPr>
                <w:sz w:val="18"/>
                <w:szCs w:val="18"/>
                <w:vertAlign w:val="superscript"/>
              </w:rPr>
              <w:t>-4</w:t>
            </w:r>
          </w:p>
          <w:p w14:paraId="1FF5777A" w14:textId="77777777" w:rsidR="00E9159A" w:rsidRPr="00AA05D4" w:rsidRDefault="00E9159A" w:rsidP="00E9159A">
            <w:pPr>
              <w:jc w:val="center"/>
              <w:rPr>
                <w:sz w:val="18"/>
                <w:szCs w:val="18"/>
                <w:vertAlign w:val="superscript"/>
              </w:rPr>
            </w:pPr>
            <w:r w:rsidRPr="00AA05D4">
              <w:rPr>
                <w:sz w:val="18"/>
                <w:szCs w:val="18"/>
              </w:rPr>
              <w:t>1,5</w:t>
            </w:r>
            <w:r w:rsidRPr="00AA05D4">
              <w:rPr>
                <w:sz w:val="18"/>
                <w:szCs w:val="18"/>
              </w:rPr>
              <w:sym w:font="Symbol" w:char="F0D7"/>
            </w:r>
            <w:r w:rsidRPr="00AA05D4">
              <w:rPr>
                <w:sz w:val="18"/>
                <w:szCs w:val="18"/>
              </w:rPr>
              <w:t>10</w:t>
            </w:r>
            <w:r w:rsidRPr="00AA05D4">
              <w:rPr>
                <w:sz w:val="18"/>
                <w:szCs w:val="18"/>
                <w:vertAlign w:val="superscript"/>
              </w:rPr>
              <w:t>-4</w:t>
            </w:r>
          </w:p>
          <w:p w14:paraId="26F537FF" w14:textId="77777777" w:rsidR="00E9159A" w:rsidRPr="00AA05D4" w:rsidRDefault="00E9159A" w:rsidP="00E9159A">
            <w:pPr>
              <w:spacing w:line="259" w:lineRule="auto"/>
              <w:jc w:val="center"/>
              <w:rPr>
                <w:sz w:val="18"/>
                <w:szCs w:val="18"/>
              </w:rPr>
            </w:pPr>
            <w:r w:rsidRPr="00AA05D4">
              <w:rPr>
                <w:sz w:val="18"/>
                <w:szCs w:val="18"/>
              </w:rPr>
              <w:t>1,7</w:t>
            </w:r>
            <w:r w:rsidRPr="00AA05D4">
              <w:rPr>
                <w:sz w:val="18"/>
                <w:szCs w:val="18"/>
              </w:rPr>
              <w:sym w:font="Symbol" w:char="F0D7"/>
            </w:r>
            <w:r w:rsidRPr="00AA05D4">
              <w:rPr>
                <w:sz w:val="18"/>
                <w:szCs w:val="18"/>
              </w:rPr>
              <w:t>10</w:t>
            </w:r>
            <w:r w:rsidRPr="00AA05D4">
              <w:rPr>
                <w:sz w:val="18"/>
                <w:szCs w:val="18"/>
                <w:vertAlign w:val="superscript"/>
              </w:rPr>
              <w:t>-4</w:t>
            </w:r>
          </w:p>
        </w:tc>
      </w:tr>
    </w:tbl>
    <w:p w14:paraId="611F9526" w14:textId="1768D2AD" w:rsidR="00E9159A" w:rsidRPr="00AA05D4" w:rsidRDefault="00AA05D4" w:rsidP="005B0458">
      <w:pPr>
        <w:spacing w:before="120" w:after="0"/>
        <w:jc w:val="center"/>
        <w:rPr>
          <w:b/>
          <w:bCs/>
          <w:sz w:val="18"/>
          <w:szCs w:val="18"/>
          <w:lang w:val="az-Latn-AZ"/>
        </w:rPr>
      </w:pPr>
      <w:r w:rsidRPr="00AA05D4">
        <w:rPr>
          <w:b/>
          <w:bCs/>
          <w:sz w:val="18"/>
          <w:szCs w:val="18"/>
          <w:lang w:val="en-US"/>
        </w:rPr>
        <w:t xml:space="preserve">TABLE </w:t>
      </w:r>
      <w:r w:rsidRPr="00AA05D4">
        <w:rPr>
          <w:b/>
          <w:bCs/>
          <w:sz w:val="18"/>
          <w:szCs w:val="18"/>
          <w:lang w:val="az-Latn-AZ"/>
        </w:rPr>
        <w:t xml:space="preserve">5. </w:t>
      </w:r>
      <w:r w:rsidR="00257689" w:rsidRPr="00AA05D4">
        <w:rPr>
          <w:sz w:val="18"/>
          <w:szCs w:val="18"/>
          <w:lang w:val="en-US"/>
        </w:rPr>
        <w:t>ε</w:t>
      </w:r>
      <w:r w:rsidR="00257689" w:rsidRPr="00AA05D4">
        <w:rPr>
          <w:sz w:val="18"/>
          <w:szCs w:val="18"/>
          <w:vertAlign w:val="superscript"/>
          <w:lang w:val="en-US"/>
        </w:rPr>
        <w:t>/</w:t>
      </w:r>
      <w:r w:rsidR="00257689" w:rsidRPr="00AA05D4">
        <w:rPr>
          <w:sz w:val="18"/>
          <w:szCs w:val="18"/>
          <w:lang w:val="en-US"/>
        </w:rPr>
        <w:t xml:space="preserve"> values measured at 3.1 GHz</w:t>
      </w:r>
    </w:p>
    <w:tbl>
      <w:tblPr>
        <w:tblStyle w:val="a6"/>
        <w:tblW w:w="0" w:type="auto"/>
        <w:tblLook w:val="04A0" w:firstRow="1" w:lastRow="0" w:firstColumn="1" w:lastColumn="0" w:noHBand="0" w:noVBand="1"/>
      </w:tblPr>
      <w:tblGrid>
        <w:gridCol w:w="3187"/>
        <w:gridCol w:w="1590"/>
        <w:gridCol w:w="1599"/>
        <w:gridCol w:w="1617"/>
        <w:gridCol w:w="1577"/>
      </w:tblGrid>
      <w:tr w:rsidR="00E9159A" w:rsidRPr="00AA05D4" w14:paraId="2CC20CEA" w14:textId="77777777" w:rsidTr="00AA09CB">
        <w:trPr>
          <w:trHeight w:val="360"/>
        </w:trPr>
        <w:tc>
          <w:tcPr>
            <w:tcW w:w="3187" w:type="dxa"/>
          </w:tcPr>
          <w:p w14:paraId="1B38B77D" w14:textId="194D57A3" w:rsidR="00E9159A" w:rsidRPr="00AA05D4" w:rsidRDefault="00257689" w:rsidP="00AA09CB">
            <w:pPr>
              <w:jc w:val="center"/>
              <w:rPr>
                <w:sz w:val="18"/>
                <w:szCs w:val="18"/>
                <w:lang w:val="en-US"/>
              </w:rPr>
            </w:pPr>
            <w:r w:rsidRPr="00AA05D4">
              <w:rPr>
                <w:sz w:val="18"/>
                <w:szCs w:val="18"/>
                <w:lang w:val="en-US"/>
              </w:rPr>
              <w:t>Parameter</w:t>
            </w:r>
            <w:r w:rsidR="00AA09CB" w:rsidRPr="00AA05D4">
              <w:rPr>
                <w:sz w:val="18"/>
                <w:szCs w:val="18"/>
                <w:lang w:val="en-US"/>
              </w:rPr>
              <w:t xml:space="preserve"> </w:t>
            </w:r>
            <w:r w:rsidRPr="00AA05D4">
              <w:rPr>
                <w:sz w:val="18"/>
                <w:szCs w:val="18"/>
                <w:lang w:val="en-US"/>
              </w:rPr>
              <w:t>Material</w:t>
            </w:r>
          </w:p>
        </w:tc>
        <w:tc>
          <w:tcPr>
            <w:tcW w:w="1590" w:type="dxa"/>
            <w:tcBorders>
              <w:right w:val="single" w:sz="4" w:space="0" w:color="auto"/>
            </w:tcBorders>
          </w:tcPr>
          <w:p w14:paraId="69E3FDF7" w14:textId="77777777" w:rsidR="00E9159A" w:rsidRPr="00AA05D4" w:rsidRDefault="00E9159A" w:rsidP="00E9159A">
            <w:pPr>
              <w:jc w:val="center"/>
              <w:rPr>
                <w:sz w:val="18"/>
                <w:szCs w:val="18"/>
              </w:rPr>
            </w:pPr>
            <w:r w:rsidRPr="00AA05D4">
              <w:rPr>
                <w:rFonts w:cs="Times New Roman"/>
                <w:sz w:val="18"/>
                <w:szCs w:val="18"/>
              </w:rPr>
              <w:t>ε</w:t>
            </w:r>
            <w:r w:rsidRPr="00AA05D4">
              <w:rPr>
                <w:rFonts w:cs="Times New Roman"/>
                <w:sz w:val="18"/>
                <w:szCs w:val="18"/>
                <w:vertAlign w:val="superscript"/>
              </w:rPr>
              <w:t>/</w:t>
            </w:r>
          </w:p>
        </w:tc>
        <w:tc>
          <w:tcPr>
            <w:tcW w:w="1599" w:type="dxa"/>
            <w:tcBorders>
              <w:right w:val="single" w:sz="4" w:space="0" w:color="auto"/>
            </w:tcBorders>
          </w:tcPr>
          <w:p w14:paraId="6A92D87A" w14:textId="77777777" w:rsidR="00E9159A" w:rsidRPr="00AA05D4" w:rsidRDefault="00E9159A" w:rsidP="00E9159A">
            <w:pPr>
              <w:jc w:val="center"/>
              <w:rPr>
                <w:sz w:val="18"/>
                <w:szCs w:val="18"/>
                <w:vertAlign w:val="subscript"/>
              </w:rPr>
            </w:pPr>
            <w:proofErr w:type="spellStart"/>
            <w:r w:rsidRPr="00AA05D4">
              <w:rPr>
                <w:rFonts w:cs="Times New Roman"/>
                <w:sz w:val="18"/>
                <w:szCs w:val="18"/>
              </w:rPr>
              <w:t>σ</w:t>
            </w:r>
            <w:r w:rsidRPr="00AA05D4">
              <w:rPr>
                <w:rFonts w:cs="Times New Roman"/>
                <w:sz w:val="18"/>
                <w:szCs w:val="18"/>
                <w:vertAlign w:val="subscript"/>
              </w:rPr>
              <w:t>ε</w:t>
            </w:r>
            <w:proofErr w:type="spellEnd"/>
            <w:r w:rsidRPr="00AA05D4">
              <w:rPr>
                <w:rFonts w:cs="Times New Roman"/>
                <w:sz w:val="18"/>
                <w:szCs w:val="18"/>
                <w:vertAlign w:val="subscript"/>
              </w:rPr>
              <w:t>/</w:t>
            </w:r>
          </w:p>
        </w:tc>
        <w:tc>
          <w:tcPr>
            <w:tcW w:w="1617" w:type="dxa"/>
            <w:tcBorders>
              <w:right w:val="single" w:sz="4" w:space="0" w:color="auto"/>
            </w:tcBorders>
          </w:tcPr>
          <w:p w14:paraId="1E87A1CE" w14:textId="77777777" w:rsidR="00E9159A" w:rsidRPr="00AA05D4" w:rsidRDefault="00E9159A" w:rsidP="00E9159A">
            <w:pPr>
              <w:jc w:val="center"/>
              <w:rPr>
                <w:sz w:val="18"/>
                <w:szCs w:val="18"/>
              </w:rPr>
            </w:pPr>
            <w:proofErr w:type="spellStart"/>
            <w:r w:rsidRPr="00AA05D4">
              <w:rPr>
                <w:rFonts w:cs="Times New Roman"/>
                <w:sz w:val="18"/>
                <w:szCs w:val="18"/>
              </w:rPr>
              <w:t>Δ</w:t>
            </w:r>
            <w:r w:rsidR="00BF6035" w:rsidRPr="00AA05D4">
              <w:rPr>
                <w:rFonts w:cs="Times New Roman"/>
                <w:sz w:val="18"/>
                <w:szCs w:val="18"/>
              </w:rPr>
              <w:t>ε</w:t>
            </w:r>
            <w:proofErr w:type="spellEnd"/>
            <w:r w:rsidR="00BF6035" w:rsidRPr="00AA05D4">
              <w:rPr>
                <w:rFonts w:cs="Times New Roman"/>
                <w:sz w:val="18"/>
                <w:szCs w:val="18"/>
                <w:vertAlign w:val="superscript"/>
              </w:rPr>
              <w:t>/</w:t>
            </w:r>
          </w:p>
        </w:tc>
        <w:tc>
          <w:tcPr>
            <w:tcW w:w="1577" w:type="dxa"/>
            <w:tcBorders>
              <w:right w:val="single" w:sz="4" w:space="0" w:color="auto"/>
            </w:tcBorders>
          </w:tcPr>
          <w:p w14:paraId="54571B60" w14:textId="77777777" w:rsidR="00E9159A" w:rsidRPr="00AA05D4" w:rsidRDefault="00E9159A" w:rsidP="00E9159A">
            <w:pPr>
              <w:jc w:val="center"/>
              <w:rPr>
                <w:sz w:val="18"/>
                <w:szCs w:val="18"/>
              </w:rPr>
            </w:pPr>
            <w:proofErr w:type="spellStart"/>
            <w:r w:rsidRPr="00AA05D4">
              <w:rPr>
                <w:rFonts w:cs="Times New Roman"/>
                <w:sz w:val="18"/>
                <w:szCs w:val="18"/>
              </w:rPr>
              <w:t>σ</w:t>
            </w:r>
            <w:r w:rsidR="00BF6035" w:rsidRPr="00AA05D4">
              <w:rPr>
                <w:rFonts w:cs="Times New Roman"/>
                <w:sz w:val="18"/>
                <w:szCs w:val="18"/>
              </w:rPr>
              <w:t>ε</w:t>
            </w:r>
            <w:proofErr w:type="spellEnd"/>
            <w:r w:rsidR="00BF6035" w:rsidRPr="00AA05D4">
              <w:rPr>
                <w:rFonts w:cs="Times New Roman"/>
                <w:sz w:val="18"/>
                <w:szCs w:val="18"/>
                <w:vertAlign w:val="superscript"/>
              </w:rPr>
              <w:t>/</w:t>
            </w:r>
          </w:p>
        </w:tc>
      </w:tr>
      <w:tr w:rsidR="00E9159A" w:rsidRPr="00AA05D4" w14:paraId="0E322BB3" w14:textId="77777777" w:rsidTr="00AA05D4">
        <w:trPr>
          <w:trHeight w:val="1113"/>
        </w:trPr>
        <w:tc>
          <w:tcPr>
            <w:tcW w:w="3187" w:type="dxa"/>
          </w:tcPr>
          <w:p w14:paraId="2B763B16" w14:textId="77777777" w:rsidR="00257689" w:rsidRPr="00AA05D4" w:rsidRDefault="007C2585" w:rsidP="00257689">
            <w:pPr>
              <w:jc w:val="center"/>
              <w:rPr>
                <w:sz w:val="18"/>
                <w:szCs w:val="18"/>
                <w:lang w:val="en-US"/>
              </w:rPr>
            </w:pPr>
            <w:r w:rsidRPr="00AA05D4">
              <w:rPr>
                <w:sz w:val="18"/>
                <w:szCs w:val="18"/>
                <w:lang w:val="az-Latn-AZ"/>
              </w:rPr>
              <w:t xml:space="preserve">      </w:t>
            </w:r>
            <w:r w:rsidR="00257689" w:rsidRPr="00AA05D4">
              <w:rPr>
                <w:sz w:val="18"/>
                <w:szCs w:val="18"/>
                <w:lang w:val="az-Latn-AZ"/>
              </w:rPr>
              <w:t>HPPE</w:t>
            </w:r>
            <w:r w:rsidR="00257689" w:rsidRPr="00AA05D4">
              <w:rPr>
                <w:sz w:val="18"/>
                <w:szCs w:val="18"/>
                <w:lang w:val="en-US"/>
              </w:rPr>
              <w:t xml:space="preserve"> (source)</w:t>
            </w:r>
          </w:p>
          <w:p w14:paraId="71C578CE" w14:textId="77777777" w:rsidR="00257689" w:rsidRPr="00AA05D4" w:rsidRDefault="007C2585" w:rsidP="00257689">
            <w:pPr>
              <w:jc w:val="center"/>
              <w:rPr>
                <w:sz w:val="18"/>
                <w:szCs w:val="18"/>
                <w:lang w:val="en-US"/>
              </w:rPr>
            </w:pPr>
            <w:r w:rsidRPr="00AA05D4">
              <w:rPr>
                <w:sz w:val="18"/>
                <w:szCs w:val="18"/>
                <w:lang w:val="en-US"/>
              </w:rPr>
              <w:t xml:space="preserve">       </w:t>
            </w:r>
            <w:r w:rsidR="00257689" w:rsidRPr="00AA05D4">
              <w:rPr>
                <w:sz w:val="18"/>
                <w:szCs w:val="18"/>
                <w:lang w:val="en-US"/>
              </w:rPr>
              <w:t>LPPE (source)</w:t>
            </w:r>
          </w:p>
          <w:p w14:paraId="3FB8716B" w14:textId="77777777" w:rsidR="00257689" w:rsidRPr="00AA05D4" w:rsidRDefault="00C71BC5" w:rsidP="00257689">
            <w:pPr>
              <w:jc w:val="center"/>
              <w:rPr>
                <w:rFonts w:cs="Times New Roman"/>
                <w:sz w:val="18"/>
                <w:szCs w:val="18"/>
                <w:lang w:val="en-US"/>
              </w:rPr>
            </w:pPr>
            <w:r w:rsidRPr="00AA05D4">
              <w:rPr>
                <w:rFonts w:cs="Times New Roman"/>
                <w:sz w:val="18"/>
                <w:szCs w:val="18"/>
                <w:lang w:val="en-US"/>
              </w:rPr>
              <w:t>NFPC</w:t>
            </w:r>
            <w:r w:rsidR="00257689" w:rsidRPr="00AA05D4">
              <w:rPr>
                <w:rFonts w:cs="Times New Roman"/>
                <w:sz w:val="18"/>
                <w:szCs w:val="18"/>
                <w:lang w:val="en-US"/>
              </w:rPr>
              <w:t>-10</w:t>
            </w:r>
          </w:p>
          <w:p w14:paraId="21E3F602" w14:textId="77777777" w:rsidR="00257689" w:rsidRPr="00AA05D4" w:rsidRDefault="00C71BC5" w:rsidP="00257689">
            <w:pPr>
              <w:jc w:val="center"/>
              <w:rPr>
                <w:rFonts w:cs="Times New Roman"/>
                <w:sz w:val="18"/>
                <w:szCs w:val="18"/>
                <w:lang w:val="en-US"/>
              </w:rPr>
            </w:pPr>
            <w:r w:rsidRPr="00AA05D4">
              <w:rPr>
                <w:rFonts w:cs="Times New Roman"/>
                <w:sz w:val="18"/>
                <w:szCs w:val="18"/>
                <w:lang w:val="en-US"/>
              </w:rPr>
              <w:t>NFPC</w:t>
            </w:r>
            <w:r w:rsidR="00257689" w:rsidRPr="00AA05D4">
              <w:rPr>
                <w:rFonts w:cs="Times New Roman"/>
                <w:sz w:val="18"/>
                <w:szCs w:val="18"/>
                <w:lang w:val="en-US"/>
              </w:rPr>
              <w:t xml:space="preserve"> -20</w:t>
            </w:r>
          </w:p>
          <w:p w14:paraId="41615FED" w14:textId="77777777" w:rsidR="00E9159A" w:rsidRPr="00AA05D4" w:rsidRDefault="00C71BC5" w:rsidP="00257689">
            <w:pPr>
              <w:jc w:val="center"/>
              <w:rPr>
                <w:sz w:val="18"/>
                <w:szCs w:val="18"/>
                <w:lang w:val="en-US"/>
              </w:rPr>
            </w:pPr>
            <w:r w:rsidRPr="00AA05D4">
              <w:rPr>
                <w:rFonts w:cs="Times New Roman"/>
                <w:sz w:val="18"/>
                <w:szCs w:val="18"/>
                <w:lang w:val="en-US"/>
              </w:rPr>
              <w:t>NFPC</w:t>
            </w:r>
            <w:r w:rsidR="00257689" w:rsidRPr="00AA05D4">
              <w:rPr>
                <w:rFonts w:cs="Times New Roman"/>
                <w:sz w:val="18"/>
                <w:szCs w:val="18"/>
                <w:lang w:val="en-US"/>
              </w:rPr>
              <w:t xml:space="preserve"> -30</w:t>
            </w:r>
          </w:p>
        </w:tc>
        <w:tc>
          <w:tcPr>
            <w:tcW w:w="1590" w:type="dxa"/>
            <w:tcBorders>
              <w:right w:val="single" w:sz="4" w:space="0" w:color="auto"/>
            </w:tcBorders>
          </w:tcPr>
          <w:p w14:paraId="4FA9DF96" w14:textId="77777777" w:rsidR="00E9159A" w:rsidRPr="00AA05D4" w:rsidRDefault="00BF6035" w:rsidP="00E9159A">
            <w:pPr>
              <w:jc w:val="center"/>
              <w:rPr>
                <w:sz w:val="18"/>
                <w:szCs w:val="18"/>
                <w:vertAlign w:val="superscript"/>
              </w:rPr>
            </w:pPr>
            <w:r w:rsidRPr="00AA05D4">
              <w:rPr>
                <w:sz w:val="18"/>
                <w:szCs w:val="18"/>
              </w:rPr>
              <w:t>2</w:t>
            </w:r>
            <w:r w:rsidR="00E9159A" w:rsidRPr="00AA05D4">
              <w:rPr>
                <w:sz w:val="18"/>
                <w:szCs w:val="18"/>
              </w:rPr>
              <w:t>,</w:t>
            </w:r>
            <w:r w:rsidRPr="00AA05D4">
              <w:rPr>
                <w:sz w:val="18"/>
                <w:szCs w:val="18"/>
              </w:rPr>
              <w:t>23</w:t>
            </w:r>
          </w:p>
          <w:p w14:paraId="42F36B30" w14:textId="77777777" w:rsidR="00E9159A" w:rsidRPr="00AA05D4" w:rsidRDefault="00E9159A" w:rsidP="00E9159A">
            <w:pPr>
              <w:jc w:val="center"/>
              <w:rPr>
                <w:sz w:val="18"/>
                <w:szCs w:val="18"/>
                <w:vertAlign w:val="superscript"/>
              </w:rPr>
            </w:pPr>
            <w:r w:rsidRPr="00AA05D4">
              <w:rPr>
                <w:sz w:val="18"/>
                <w:szCs w:val="18"/>
              </w:rPr>
              <w:t>2,</w:t>
            </w:r>
            <w:r w:rsidR="00BF6035" w:rsidRPr="00AA05D4">
              <w:rPr>
                <w:sz w:val="18"/>
                <w:szCs w:val="18"/>
              </w:rPr>
              <w:t>25</w:t>
            </w:r>
          </w:p>
          <w:p w14:paraId="0F63E748" w14:textId="77777777" w:rsidR="00E9159A" w:rsidRPr="00AA05D4" w:rsidRDefault="00BF6035" w:rsidP="00E9159A">
            <w:pPr>
              <w:jc w:val="center"/>
              <w:rPr>
                <w:sz w:val="18"/>
                <w:szCs w:val="18"/>
                <w:vertAlign w:val="superscript"/>
              </w:rPr>
            </w:pPr>
            <w:r w:rsidRPr="00AA05D4">
              <w:rPr>
                <w:sz w:val="18"/>
                <w:szCs w:val="18"/>
              </w:rPr>
              <w:t>2</w:t>
            </w:r>
            <w:r w:rsidR="00E9159A" w:rsidRPr="00AA05D4">
              <w:rPr>
                <w:sz w:val="18"/>
                <w:szCs w:val="18"/>
              </w:rPr>
              <w:t>,</w:t>
            </w:r>
            <w:r w:rsidRPr="00AA05D4">
              <w:rPr>
                <w:sz w:val="18"/>
                <w:szCs w:val="18"/>
              </w:rPr>
              <w:t>35</w:t>
            </w:r>
          </w:p>
          <w:p w14:paraId="06AC7CA4" w14:textId="77777777" w:rsidR="00BF6035" w:rsidRPr="00AA05D4" w:rsidRDefault="00BF6035" w:rsidP="00BF6035">
            <w:pPr>
              <w:jc w:val="center"/>
              <w:rPr>
                <w:sz w:val="18"/>
                <w:szCs w:val="18"/>
              </w:rPr>
            </w:pPr>
            <w:r w:rsidRPr="00AA05D4">
              <w:rPr>
                <w:sz w:val="18"/>
                <w:szCs w:val="18"/>
              </w:rPr>
              <w:t>2</w:t>
            </w:r>
            <w:r w:rsidR="00E9159A" w:rsidRPr="00AA05D4">
              <w:rPr>
                <w:sz w:val="18"/>
                <w:szCs w:val="18"/>
              </w:rPr>
              <w:t>,</w:t>
            </w:r>
            <w:r w:rsidRPr="00AA05D4">
              <w:rPr>
                <w:sz w:val="18"/>
                <w:szCs w:val="18"/>
              </w:rPr>
              <w:t>38</w:t>
            </w:r>
          </w:p>
          <w:p w14:paraId="22365DFF" w14:textId="77777777" w:rsidR="00E9159A" w:rsidRPr="00AA05D4" w:rsidRDefault="00BF6035" w:rsidP="00BF6035">
            <w:pPr>
              <w:jc w:val="center"/>
              <w:rPr>
                <w:sz w:val="18"/>
                <w:szCs w:val="18"/>
                <w:vertAlign w:val="superscript"/>
              </w:rPr>
            </w:pPr>
            <w:r w:rsidRPr="00AA05D4">
              <w:rPr>
                <w:sz w:val="18"/>
                <w:szCs w:val="18"/>
              </w:rPr>
              <w:t>2</w:t>
            </w:r>
            <w:r w:rsidR="00E9159A" w:rsidRPr="00AA05D4">
              <w:rPr>
                <w:sz w:val="18"/>
                <w:szCs w:val="18"/>
              </w:rPr>
              <w:t>,</w:t>
            </w:r>
            <w:r w:rsidRPr="00AA05D4">
              <w:rPr>
                <w:sz w:val="18"/>
                <w:szCs w:val="18"/>
              </w:rPr>
              <w:t>4</w:t>
            </w:r>
            <w:r w:rsidR="00E9159A" w:rsidRPr="00AA05D4">
              <w:rPr>
                <w:sz w:val="18"/>
                <w:szCs w:val="18"/>
              </w:rPr>
              <w:t>5</w:t>
            </w:r>
          </w:p>
        </w:tc>
        <w:tc>
          <w:tcPr>
            <w:tcW w:w="1599" w:type="dxa"/>
            <w:tcBorders>
              <w:left w:val="single" w:sz="4" w:space="0" w:color="auto"/>
            </w:tcBorders>
          </w:tcPr>
          <w:p w14:paraId="1AC0BEE1" w14:textId="77777777" w:rsidR="00E9159A" w:rsidRPr="00AA05D4" w:rsidRDefault="00BF6035" w:rsidP="00E9159A">
            <w:pPr>
              <w:jc w:val="center"/>
              <w:rPr>
                <w:sz w:val="18"/>
                <w:szCs w:val="18"/>
                <w:vertAlign w:val="superscript"/>
              </w:rPr>
            </w:pPr>
            <w:r w:rsidRPr="00AA05D4">
              <w:rPr>
                <w:sz w:val="18"/>
                <w:szCs w:val="18"/>
              </w:rPr>
              <w:t>9</w:t>
            </w:r>
            <w:r w:rsidR="00E9159A" w:rsidRPr="00AA05D4">
              <w:rPr>
                <w:sz w:val="18"/>
                <w:szCs w:val="18"/>
              </w:rPr>
              <w:sym w:font="Symbol" w:char="F0D7"/>
            </w:r>
            <w:r w:rsidR="00E9159A" w:rsidRPr="00AA05D4">
              <w:rPr>
                <w:sz w:val="18"/>
                <w:szCs w:val="18"/>
              </w:rPr>
              <w:t>10</w:t>
            </w:r>
            <w:r w:rsidR="00E9159A" w:rsidRPr="00AA05D4">
              <w:rPr>
                <w:sz w:val="18"/>
                <w:szCs w:val="18"/>
                <w:vertAlign w:val="superscript"/>
              </w:rPr>
              <w:t>-5</w:t>
            </w:r>
          </w:p>
          <w:p w14:paraId="6F677CE6" w14:textId="77777777" w:rsidR="00E9159A" w:rsidRPr="00AA05D4" w:rsidRDefault="00E9159A" w:rsidP="00E9159A">
            <w:pPr>
              <w:jc w:val="center"/>
              <w:rPr>
                <w:sz w:val="18"/>
                <w:szCs w:val="18"/>
                <w:vertAlign w:val="superscript"/>
              </w:rPr>
            </w:pPr>
            <w:r w:rsidRPr="00AA05D4">
              <w:rPr>
                <w:sz w:val="18"/>
                <w:szCs w:val="18"/>
              </w:rPr>
              <w:t>1,</w:t>
            </w:r>
            <w:r w:rsidR="00BF6035" w:rsidRPr="00AA05D4">
              <w:rPr>
                <w:sz w:val="18"/>
                <w:szCs w:val="18"/>
              </w:rPr>
              <w:t>6</w:t>
            </w:r>
            <w:r w:rsidRPr="00AA05D4">
              <w:rPr>
                <w:sz w:val="18"/>
                <w:szCs w:val="18"/>
              </w:rPr>
              <w:sym w:font="Symbol" w:char="F0D7"/>
            </w:r>
            <w:r w:rsidRPr="00AA05D4">
              <w:rPr>
                <w:sz w:val="18"/>
                <w:szCs w:val="18"/>
              </w:rPr>
              <w:t>10</w:t>
            </w:r>
            <w:r w:rsidRPr="00AA05D4">
              <w:rPr>
                <w:sz w:val="18"/>
                <w:szCs w:val="18"/>
                <w:vertAlign w:val="superscript"/>
              </w:rPr>
              <w:t>-</w:t>
            </w:r>
            <w:r w:rsidR="00BF6035" w:rsidRPr="00AA05D4">
              <w:rPr>
                <w:sz w:val="18"/>
                <w:szCs w:val="18"/>
                <w:vertAlign w:val="superscript"/>
              </w:rPr>
              <w:t>2</w:t>
            </w:r>
          </w:p>
          <w:p w14:paraId="702F887A" w14:textId="77777777" w:rsidR="00E9159A" w:rsidRPr="00AA05D4" w:rsidRDefault="00BF6035" w:rsidP="00E9159A">
            <w:pPr>
              <w:jc w:val="center"/>
              <w:rPr>
                <w:sz w:val="18"/>
                <w:szCs w:val="18"/>
                <w:vertAlign w:val="superscript"/>
              </w:rPr>
            </w:pPr>
            <w:r w:rsidRPr="00AA05D4">
              <w:rPr>
                <w:sz w:val="18"/>
                <w:szCs w:val="18"/>
              </w:rPr>
              <w:t>6</w:t>
            </w:r>
            <w:r w:rsidR="00E9159A" w:rsidRPr="00AA05D4">
              <w:rPr>
                <w:sz w:val="18"/>
                <w:szCs w:val="18"/>
              </w:rPr>
              <w:t>,5</w:t>
            </w:r>
            <w:r w:rsidR="00E9159A" w:rsidRPr="00AA05D4">
              <w:rPr>
                <w:sz w:val="18"/>
                <w:szCs w:val="18"/>
              </w:rPr>
              <w:sym w:font="Symbol" w:char="F0D7"/>
            </w:r>
            <w:r w:rsidR="00E9159A" w:rsidRPr="00AA05D4">
              <w:rPr>
                <w:sz w:val="18"/>
                <w:szCs w:val="18"/>
              </w:rPr>
              <w:t>10</w:t>
            </w:r>
            <w:r w:rsidR="00E9159A" w:rsidRPr="00AA05D4">
              <w:rPr>
                <w:sz w:val="18"/>
                <w:szCs w:val="18"/>
                <w:vertAlign w:val="superscript"/>
              </w:rPr>
              <w:t>-</w:t>
            </w:r>
            <w:r w:rsidRPr="00AA05D4">
              <w:rPr>
                <w:sz w:val="18"/>
                <w:szCs w:val="18"/>
                <w:vertAlign w:val="superscript"/>
              </w:rPr>
              <w:t>3</w:t>
            </w:r>
          </w:p>
          <w:p w14:paraId="6A939326" w14:textId="77777777" w:rsidR="00E9159A" w:rsidRPr="00AA05D4" w:rsidRDefault="00E9159A" w:rsidP="00E9159A">
            <w:pPr>
              <w:jc w:val="center"/>
              <w:rPr>
                <w:sz w:val="18"/>
                <w:szCs w:val="18"/>
                <w:vertAlign w:val="superscript"/>
              </w:rPr>
            </w:pPr>
            <w:r w:rsidRPr="00AA05D4">
              <w:rPr>
                <w:sz w:val="18"/>
                <w:szCs w:val="18"/>
              </w:rPr>
              <w:t>1,</w:t>
            </w:r>
            <w:r w:rsidR="00BF6035" w:rsidRPr="00AA05D4">
              <w:rPr>
                <w:sz w:val="18"/>
                <w:szCs w:val="18"/>
              </w:rPr>
              <w:t>8</w:t>
            </w:r>
            <w:r w:rsidRPr="00AA05D4">
              <w:rPr>
                <w:sz w:val="18"/>
                <w:szCs w:val="18"/>
              </w:rPr>
              <w:sym w:font="Symbol" w:char="F0D7"/>
            </w:r>
            <w:r w:rsidRPr="00AA05D4">
              <w:rPr>
                <w:sz w:val="18"/>
                <w:szCs w:val="18"/>
              </w:rPr>
              <w:t>10</w:t>
            </w:r>
            <w:r w:rsidRPr="00AA05D4">
              <w:rPr>
                <w:sz w:val="18"/>
                <w:szCs w:val="18"/>
                <w:vertAlign w:val="superscript"/>
              </w:rPr>
              <w:t>-</w:t>
            </w:r>
            <w:r w:rsidR="00BF6035" w:rsidRPr="00AA05D4">
              <w:rPr>
                <w:sz w:val="18"/>
                <w:szCs w:val="18"/>
                <w:vertAlign w:val="superscript"/>
              </w:rPr>
              <w:t>2</w:t>
            </w:r>
          </w:p>
          <w:p w14:paraId="3A81091F" w14:textId="77777777" w:rsidR="00E9159A" w:rsidRPr="00AA05D4" w:rsidRDefault="00BF6035" w:rsidP="00BF6035">
            <w:pPr>
              <w:spacing w:line="259" w:lineRule="auto"/>
              <w:jc w:val="center"/>
              <w:rPr>
                <w:sz w:val="18"/>
                <w:szCs w:val="18"/>
                <w:vertAlign w:val="superscript"/>
              </w:rPr>
            </w:pPr>
            <w:r w:rsidRPr="00AA05D4">
              <w:rPr>
                <w:sz w:val="18"/>
                <w:szCs w:val="18"/>
              </w:rPr>
              <w:t>4</w:t>
            </w:r>
            <w:r w:rsidR="00E9159A" w:rsidRPr="00AA05D4">
              <w:rPr>
                <w:sz w:val="18"/>
                <w:szCs w:val="18"/>
              </w:rPr>
              <w:t>,</w:t>
            </w:r>
            <w:r w:rsidRPr="00AA05D4">
              <w:rPr>
                <w:sz w:val="18"/>
                <w:szCs w:val="18"/>
              </w:rPr>
              <w:t>5</w:t>
            </w:r>
            <w:r w:rsidR="00E9159A" w:rsidRPr="00AA05D4">
              <w:rPr>
                <w:sz w:val="18"/>
                <w:szCs w:val="18"/>
              </w:rPr>
              <w:sym w:font="Symbol" w:char="F0D7"/>
            </w:r>
            <w:r w:rsidR="00E9159A" w:rsidRPr="00AA05D4">
              <w:rPr>
                <w:sz w:val="18"/>
                <w:szCs w:val="18"/>
              </w:rPr>
              <w:t>10</w:t>
            </w:r>
            <w:r w:rsidR="00E9159A" w:rsidRPr="00AA05D4">
              <w:rPr>
                <w:sz w:val="18"/>
                <w:szCs w:val="18"/>
                <w:vertAlign w:val="superscript"/>
              </w:rPr>
              <w:t>-</w:t>
            </w:r>
            <w:r w:rsidRPr="00AA05D4">
              <w:rPr>
                <w:sz w:val="18"/>
                <w:szCs w:val="18"/>
                <w:vertAlign w:val="superscript"/>
              </w:rPr>
              <w:t>3</w:t>
            </w:r>
          </w:p>
        </w:tc>
        <w:tc>
          <w:tcPr>
            <w:tcW w:w="1617" w:type="dxa"/>
            <w:tcBorders>
              <w:right w:val="single" w:sz="4" w:space="0" w:color="auto"/>
            </w:tcBorders>
          </w:tcPr>
          <w:p w14:paraId="0347CED2" w14:textId="77777777" w:rsidR="00E9159A" w:rsidRPr="00AA05D4" w:rsidRDefault="00BF6035" w:rsidP="00E9159A">
            <w:pPr>
              <w:jc w:val="center"/>
              <w:rPr>
                <w:sz w:val="18"/>
                <w:szCs w:val="18"/>
                <w:vertAlign w:val="superscript"/>
              </w:rPr>
            </w:pPr>
            <w:r w:rsidRPr="00AA05D4">
              <w:rPr>
                <w:sz w:val="18"/>
                <w:szCs w:val="18"/>
              </w:rPr>
              <w:t>0</w:t>
            </w:r>
            <w:r w:rsidR="00E9159A" w:rsidRPr="00AA05D4">
              <w:rPr>
                <w:sz w:val="18"/>
                <w:szCs w:val="18"/>
              </w:rPr>
              <w:t>,</w:t>
            </w:r>
            <w:r w:rsidRPr="00AA05D4">
              <w:rPr>
                <w:sz w:val="18"/>
                <w:szCs w:val="18"/>
              </w:rPr>
              <w:t>01</w:t>
            </w:r>
          </w:p>
          <w:p w14:paraId="74D5F89F" w14:textId="77777777" w:rsidR="00E9159A" w:rsidRPr="00AA05D4" w:rsidRDefault="00BF6035" w:rsidP="00E9159A">
            <w:pPr>
              <w:jc w:val="center"/>
              <w:rPr>
                <w:sz w:val="18"/>
                <w:szCs w:val="18"/>
                <w:vertAlign w:val="superscript"/>
              </w:rPr>
            </w:pPr>
            <w:r w:rsidRPr="00AA05D4">
              <w:rPr>
                <w:sz w:val="18"/>
                <w:szCs w:val="18"/>
              </w:rPr>
              <w:t>0</w:t>
            </w:r>
            <w:r w:rsidR="00E9159A" w:rsidRPr="00AA05D4">
              <w:rPr>
                <w:sz w:val="18"/>
                <w:szCs w:val="18"/>
              </w:rPr>
              <w:t>,</w:t>
            </w:r>
            <w:r w:rsidRPr="00AA05D4">
              <w:rPr>
                <w:sz w:val="18"/>
                <w:szCs w:val="18"/>
              </w:rPr>
              <w:t>02</w:t>
            </w:r>
          </w:p>
          <w:p w14:paraId="4FAFDDA8" w14:textId="77777777" w:rsidR="00E9159A" w:rsidRPr="00AA05D4" w:rsidRDefault="00BF6035" w:rsidP="00E9159A">
            <w:pPr>
              <w:jc w:val="center"/>
              <w:rPr>
                <w:sz w:val="18"/>
                <w:szCs w:val="18"/>
                <w:vertAlign w:val="superscript"/>
              </w:rPr>
            </w:pPr>
            <w:r w:rsidRPr="00AA05D4">
              <w:rPr>
                <w:sz w:val="18"/>
                <w:szCs w:val="18"/>
              </w:rPr>
              <w:t>0</w:t>
            </w:r>
            <w:r w:rsidR="00E9159A" w:rsidRPr="00AA05D4">
              <w:rPr>
                <w:sz w:val="18"/>
                <w:szCs w:val="18"/>
              </w:rPr>
              <w:t>,</w:t>
            </w:r>
            <w:r w:rsidRPr="00AA05D4">
              <w:rPr>
                <w:sz w:val="18"/>
                <w:szCs w:val="18"/>
              </w:rPr>
              <w:t>008</w:t>
            </w:r>
          </w:p>
          <w:p w14:paraId="28D7442F" w14:textId="77777777" w:rsidR="00E9159A" w:rsidRPr="00AA05D4" w:rsidRDefault="00BF6035" w:rsidP="00E9159A">
            <w:pPr>
              <w:jc w:val="center"/>
              <w:rPr>
                <w:sz w:val="18"/>
                <w:szCs w:val="18"/>
                <w:vertAlign w:val="superscript"/>
              </w:rPr>
            </w:pPr>
            <w:r w:rsidRPr="00AA05D4">
              <w:rPr>
                <w:sz w:val="18"/>
                <w:szCs w:val="18"/>
              </w:rPr>
              <w:t>0</w:t>
            </w:r>
            <w:r w:rsidR="00E9159A" w:rsidRPr="00AA05D4">
              <w:rPr>
                <w:sz w:val="18"/>
                <w:szCs w:val="18"/>
              </w:rPr>
              <w:t>,</w:t>
            </w:r>
            <w:r w:rsidRPr="00AA05D4">
              <w:rPr>
                <w:sz w:val="18"/>
                <w:szCs w:val="18"/>
              </w:rPr>
              <w:t>02</w:t>
            </w:r>
          </w:p>
          <w:p w14:paraId="655F83DB" w14:textId="77777777" w:rsidR="00E9159A" w:rsidRPr="00AA05D4" w:rsidRDefault="00BF6035" w:rsidP="00BF6035">
            <w:pPr>
              <w:jc w:val="center"/>
              <w:rPr>
                <w:sz w:val="18"/>
                <w:szCs w:val="18"/>
                <w:vertAlign w:val="superscript"/>
              </w:rPr>
            </w:pPr>
            <w:r w:rsidRPr="00AA05D4">
              <w:rPr>
                <w:sz w:val="18"/>
                <w:szCs w:val="18"/>
              </w:rPr>
              <w:t>0,006</w:t>
            </w:r>
          </w:p>
        </w:tc>
        <w:tc>
          <w:tcPr>
            <w:tcW w:w="1577" w:type="dxa"/>
            <w:tcBorders>
              <w:left w:val="single" w:sz="4" w:space="0" w:color="auto"/>
            </w:tcBorders>
          </w:tcPr>
          <w:p w14:paraId="1C525F06" w14:textId="77777777" w:rsidR="00BF6035" w:rsidRPr="00AA05D4" w:rsidRDefault="00BF6035" w:rsidP="00BF6035">
            <w:pPr>
              <w:jc w:val="center"/>
              <w:rPr>
                <w:sz w:val="18"/>
                <w:szCs w:val="18"/>
                <w:vertAlign w:val="superscript"/>
              </w:rPr>
            </w:pPr>
            <w:r w:rsidRPr="00AA05D4">
              <w:rPr>
                <w:sz w:val="18"/>
                <w:szCs w:val="18"/>
              </w:rPr>
              <w:t>0,03</w:t>
            </w:r>
          </w:p>
          <w:p w14:paraId="1F142354" w14:textId="77777777" w:rsidR="00BF6035" w:rsidRPr="00AA05D4" w:rsidRDefault="00BF6035" w:rsidP="00BF6035">
            <w:pPr>
              <w:jc w:val="center"/>
              <w:rPr>
                <w:sz w:val="18"/>
                <w:szCs w:val="18"/>
                <w:vertAlign w:val="superscript"/>
              </w:rPr>
            </w:pPr>
            <w:r w:rsidRPr="00AA05D4">
              <w:rPr>
                <w:sz w:val="18"/>
                <w:szCs w:val="18"/>
              </w:rPr>
              <w:t>0,034</w:t>
            </w:r>
          </w:p>
          <w:p w14:paraId="629BFF31" w14:textId="77777777" w:rsidR="00BF6035" w:rsidRPr="00AA05D4" w:rsidRDefault="00BF6035" w:rsidP="00BF6035">
            <w:pPr>
              <w:jc w:val="center"/>
              <w:rPr>
                <w:sz w:val="18"/>
                <w:szCs w:val="18"/>
                <w:vertAlign w:val="superscript"/>
              </w:rPr>
            </w:pPr>
            <w:r w:rsidRPr="00AA05D4">
              <w:rPr>
                <w:sz w:val="18"/>
                <w:szCs w:val="18"/>
              </w:rPr>
              <w:t>0,035</w:t>
            </w:r>
          </w:p>
          <w:p w14:paraId="1599E50D" w14:textId="77777777" w:rsidR="00BF6035" w:rsidRPr="00AA05D4" w:rsidRDefault="00BF6035" w:rsidP="00BF6035">
            <w:pPr>
              <w:jc w:val="center"/>
              <w:rPr>
                <w:sz w:val="18"/>
                <w:szCs w:val="18"/>
                <w:vertAlign w:val="superscript"/>
              </w:rPr>
            </w:pPr>
            <w:r w:rsidRPr="00AA05D4">
              <w:rPr>
                <w:sz w:val="18"/>
                <w:szCs w:val="18"/>
              </w:rPr>
              <w:t>0,036</w:t>
            </w:r>
          </w:p>
          <w:p w14:paraId="4BF4ECED" w14:textId="77777777" w:rsidR="00E9159A" w:rsidRPr="00AA05D4" w:rsidRDefault="00BF6035" w:rsidP="00BF6035">
            <w:pPr>
              <w:spacing w:line="259" w:lineRule="auto"/>
              <w:jc w:val="center"/>
              <w:rPr>
                <w:sz w:val="18"/>
                <w:szCs w:val="18"/>
              </w:rPr>
            </w:pPr>
            <w:r w:rsidRPr="00AA05D4">
              <w:rPr>
                <w:sz w:val="18"/>
                <w:szCs w:val="18"/>
              </w:rPr>
              <w:t>0,036</w:t>
            </w:r>
          </w:p>
        </w:tc>
      </w:tr>
    </w:tbl>
    <w:p w14:paraId="38926E17" w14:textId="0196541A" w:rsidR="00625206" w:rsidRPr="005B0458" w:rsidRDefault="00AA05D4" w:rsidP="005B0458">
      <w:pPr>
        <w:spacing w:before="120" w:after="0"/>
        <w:jc w:val="center"/>
        <w:rPr>
          <w:b/>
          <w:bCs/>
          <w:sz w:val="18"/>
          <w:szCs w:val="18"/>
          <w:lang w:val="en-US"/>
        </w:rPr>
      </w:pPr>
      <w:r w:rsidRPr="005B0458">
        <w:rPr>
          <w:b/>
          <w:bCs/>
          <w:sz w:val="18"/>
          <w:szCs w:val="18"/>
          <w:lang w:val="en-US"/>
        </w:rPr>
        <w:t>TABLE 6</w:t>
      </w:r>
      <w:r w:rsidR="004506D7" w:rsidRPr="005B0458">
        <w:rPr>
          <w:b/>
          <w:bCs/>
          <w:sz w:val="18"/>
          <w:szCs w:val="18"/>
          <w:lang w:val="az-Latn-AZ"/>
        </w:rPr>
        <w:t xml:space="preserve">. </w:t>
      </w:r>
      <w:r w:rsidR="005936A6" w:rsidRPr="005B0458">
        <w:rPr>
          <w:sz w:val="18"/>
          <w:szCs w:val="18"/>
          <w:lang w:val="en-US"/>
        </w:rPr>
        <w:t>Measurement results of ε</w:t>
      </w:r>
      <w:r w:rsidR="005936A6" w:rsidRPr="005B0458">
        <w:rPr>
          <w:sz w:val="18"/>
          <w:szCs w:val="18"/>
          <w:vertAlign w:val="superscript"/>
          <w:lang w:val="en-US"/>
        </w:rPr>
        <w:t>/</w:t>
      </w:r>
      <w:r w:rsidR="005936A6" w:rsidRPr="005B0458">
        <w:rPr>
          <w:sz w:val="18"/>
          <w:szCs w:val="18"/>
          <w:lang w:val="en-US"/>
        </w:rPr>
        <w:t xml:space="preserve"> and </w:t>
      </w:r>
      <w:proofErr w:type="spellStart"/>
      <w:r w:rsidR="005936A6" w:rsidRPr="005B0458">
        <w:rPr>
          <w:sz w:val="18"/>
          <w:szCs w:val="18"/>
          <w:lang w:val="en-US"/>
        </w:rPr>
        <w:t>tg</w:t>
      </w:r>
      <w:proofErr w:type="spellEnd"/>
      <w:r w:rsidR="005936A6" w:rsidRPr="005B0458">
        <w:rPr>
          <w:rFonts w:cs="Times New Roman"/>
          <w:sz w:val="18"/>
          <w:szCs w:val="18"/>
          <w:lang w:val="en-US"/>
        </w:rPr>
        <w:sym w:font="Symbol" w:char="F064"/>
      </w:r>
      <w:r w:rsidR="005936A6" w:rsidRPr="005B0458">
        <w:rPr>
          <w:sz w:val="18"/>
          <w:szCs w:val="18"/>
          <w:lang w:val="en-US"/>
        </w:rPr>
        <w:t xml:space="preserve"> at 10 GHz</w:t>
      </w:r>
    </w:p>
    <w:tbl>
      <w:tblPr>
        <w:tblStyle w:val="a6"/>
        <w:tblW w:w="0" w:type="auto"/>
        <w:tblLook w:val="04A0" w:firstRow="1" w:lastRow="0" w:firstColumn="1" w:lastColumn="0" w:noHBand="0" w:noVBand="1"/>
      </w:tblPr>
      <w:tblGrid>
        <w:gridCol w:w="1595"/>
        <w:gridCol w:w="1595"/>
        <w:gridCol w:w="1595"/>
        <w:gridCol w:w="1595"/>
        <w:gridCol w:w="1595"/>
        <w:gridCol w:w="1595"/>
      </w:tblGrid>
      <w:tr w:rsidR="00625206" w:rsidRPr="00AA05D4" w14:paraId="15BEEADE" w14:textId="77777777" w:rsidTr="00625206">
        <w:tc>
          <w:tcPr>
            <w:tcW w:w="1595" w:type="dxa"/>
          </w:tcPr>
          <w:p w14:paraId="6FB07549" w14:textId="77777777" w:rsidR="00625206" w:rsidRPr="00AA05D4" w:rsidRDefault="00625206" w:rsidP="00625206">
            <w:pPr>
              <w:tabs>
                <w:tab w:val="left" w:pos="709"/>
                <w:tab w:val="center" w:pos="5031"/>
                <w:tab w:val="left" w:pos="6668"/>
              </w:tabs>
              <w:jc w:val="center"/>
              <w:rPr>
                <w:rFonts w:cs="Times New Roman"/>
                <w:sz w:val="18"/>
                <w:szCs w:val="18"/>
                <w:vertAlign w:val="subscript"/>
              </w:rPr>
            </w:pPr>
            <w:r w:rsidRPr="00AA05D4">
              <w:rPr>
                <w:rFonts w:cs="Times New Roman"/>
                <w:sz w:val="18"/>
                <w:szCs w:val="18"/>
                <w:lang w:val="az-Latn-AZ"/>
              </w:rPr>
              <w:t>N</w:t>
            </w:r>
            <w:r w:rsidRPr="00AA05D4">
              <w:rPr>
                <w:rFonts w:cs="Times New Roman"/>
                <w:sz w:val="18"/>
                <w:szCs w:val="18"/>
                <w:vertAlign w:val="subscript"/>
              </w:rPr>
              <w:t>обр.</w:t>
            </w:r>
          </w:p>
        </w:tc>
        <w:tc>
          <w:tcPr>
            <w:tcW w:w="1595" w:type="dxa"/>
          </w:tcPr>
          <w:p w14:paraId="5F9074DE" w14:textId="77777777" w:rsidR="00625206" w:rsidRPr="00AA05D4" w:rsidRDefault="00625206" w:rsidP="005936A6">
            <w:pPr>
              <w:tabs>
                <w:tab w:val="left" w:pos="709"/>
                <w:tab w:val="center" w:pos="5031"/>
                <w:tab w:val="left" w:pos="6668"/>
              </w:tabs>
              <w:jc w:val="center"/>
              <w:rPr>
                <w:rFonts w:cs="Times New Roman"/>
                <w:sz w:val="18"/>
                <w:szCs w:val="18"/>
                <w:lang w:val="az-Latn-AZ"/>
              </w:rPr>
            </w:pPr>
            <w:r w:rsidRPr="00AA05D4">
              <w:rPr>
                <w:rFonts w:cs="Times New Roman"/>
                <w:sz w:val="18"/>
                <w:szCs w:val="18"/>
                <w:lang w:val="az-Latn-AZ"/>
              </w:rPr>
              <w:t>f</w:t>
            </w:r>
            <w:r w:rsidRPr="00AA05D4">
              <w:rPr>
                <w:rFonts w:cs="Times New Roman"/>
                <w:sz w:val="18"/>
                <w:szCs w:val="18"/>
                <w:vertAlign w:val="subscript"/>
                <w:lang w:val="az-Latn-AZ"/>
              </w:rPr>
              <w:t>0</w:t>
            </w:r>
            <w:r w:rsidRPr="00AA05D4">
              <w:rPr>
                <w:rFonts w:cs="Times New Roman"/>
                <w:sz w:val="18"/>
                <w:szCs w:val="18"/>
                <w:lang w:val="az-Latn-AZ"/>
              </w:rPr>
              <w:t xml:space="preserve">, </w:t>
            </w:r>
            <w:r w:rsidRPr="00AA05D4">
              <w:rPr>
                <w:rFonts w:cs="Times New Roman"/>
                <w:sz w:val="18"/>
                <w:szCs w:val="18"/>
              </w:rPr>
              <w:t>М</w:t>
            </w:r>
            <w:r w:rsidR="005936A6" w:rsidRPr="00AA05D4">
              <w:rPr>
                <w:rFonts w:cs="Times New Roman"/>
                <w:sz w:val="18"/>
                <w:szCs w:val="18"/>
                <w:lang w:val="az-Latn-AZ"/>
              </w:rPr>
              <w:t>Hz</w:t>
            </w:r>
          </w:p>
        </w:tc>
        <w:tc>
          <w:tcPr>
            <w:tcW w:w="1595" w:type="dxa"/>
          </w:tcPr>
          <w:p w14:paraId="43E05286" w14:textId="77777777" w:rsidR="00625206" w:rsidRPr="00AA05D4" w:rsidRDefault="00625206" w:rsidP="005936A6">
            <w:pPr>
              <w:tabs>
                <w:tab w:val="left" w:pos="709"/>
                <w:tab w:val="center" w:pos="5031"/>
                <w:tab w:val="left" w:pos="6668"/>
              </w:tabs>
              <w:jc w:val="center"/>
              <w:rPr>
                <w:rFonts w:cs="Times New Roman"/>
                <w:sz w:val="18"/>
                <w:szCs w:val="18"/>
                <w:lang w:val="az-Latn-AZ"/>
              </w:rPr>
            </w:pPr>
            <w:r w:rsidRPr="00AA05D4">
              <w:rPr>
                <w:rFonts w:cs="Times New Roman"/>
                <w:sz w:val="18"/>
                <w:szCs w:val="18"/>
              </w:rPr>
              <w:t>Δ</w:t>
            </w:r>
            <w:r w:rsidRPr="00AA05D4">
              <w:rPr>
                <w:rFonts w:cs="Times New Roman"/>
                <w:sz w:val="18"/>
                <w:szCs w:val="18"/>
                <w:lang w:val="az-Latn-AZ"/>
              </w:rPr>
              <w:t xml:space="preserve">f, </w:t>
            </w:r>
            <w:r w:rsidR="005936A6" w:rsidRPr="00AA05D4">
              <w:rPr>
                <w:rFonts w:cs="Times New Roman"/>
                <w:sz w:val="18"/>
                <w:szCs w:val="18"/>
                <w:lang w:val="az-Latn-AZ"/>
              </w:rPr>
              <w:t>MHz</w:t>
            </w:r>
          </w:p>
        </w:tc>
        <w:tc>
          <w:tcPr>
            <w:tcW w:w="1595" w:type="dxa"/>
          </w:tcPr>
          <w:p w14:paraId="0FCAAB69" w14:textId="77777777" w:rsidR="00625206" w:rsidRPr="00AA05D4" w:rsidRDefault="00625206" w:rsidP="00625206">
            <w:pPr>
              <w:tabs>
                <w:tab w:val="left" w:pos="709"/>
                <w:tab w:val="center" w:pos="5031"/>
                <w:tab w:val="left" w:pos="6668"/>
              </w:tabs>
              <w:jc w:val="center"/>
              <w:rPr>
                <w:rFonts w:cs="Times New Roman"/>
                <w:sz w:val="18"/>
                <w:szCs w:val="18"/>
                <w:vertAlign w:val="superscript"/>
                <w:lang w:val="az-Latn-AZ"/>
              </w:rPr>
            </w:pPr>
            <w:r w:rsidRPr="00AA05D4">
              <w:rPr>
                <w:rFonts w:cs="Times New Roman"/>
                <w:sz w:val="18"/>
                <w:szCs w:val="18"/>
                <w:lang w:val="az-Latn-AZ"/>
              </w:rPr>
              <w:t>(1/Q)</w:t>
            </w:r>
            <w:r w:rsidRPr="00AA05D4">
              <w:rPr>
                <w:rFonts w:cs="Times New Roman"/>
                <w:sz w:val="18"/>
                <w:szCs w:val="18"/>
                <w:lang w:val="az-Latn-AZ"/>
              </w:rPr>
              <w:sym w:font="Symbol" w:char="F0D7"/>
            </w:r>
            <w:r w:rsidRPr="00AA05D4">
              <w:rPr>
                <w:rFonts w:cs="Times New Roman"/>
                <w:sz w:val="18"/>
                <w:szCs w:val="18"/>
                <w:lang w:val="az-Latn-AZ"/>
              </w:rPr>
              <w:t>10</w:t>
            </w:r>
            <w:r w:rsidRPr="00AA05D4">
              <w:rPr>
                <w:rFonts w:cs="Times New Roman"/>
                <w:sz w:val="18"/>
                <w:szCs w:val="18"/>
                <w:vertAlign w:val="superscript"/>
                <w:lang w:val="az-Latn-AZ"/>
              </w:rPr>
              <w:t>3</w:t>
            </w:r>
          </w:p>
        </w:tc>
        <w:tc>
          <w:tcPr>
            <w:tcW w:w="1595" w:type="dxa"/>
          </w:tcPr>
          <w:p w14:paraId="6D1E8E9E"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ε</w:t>
            </w:r>
            <w:r w:rsidRPr="00AA05D4">
              <w:rPr>
                <w:rFonts w:cs="Times New Roman"/>
                <w:sz w:val="18"/>
                <w:szCs w:val="18"/>
                <w:vertAlign w:val="superscript"/>
              </w:rPr>
              <w:t>/</w:t>
            </w:r>
          </w:p>
        </w:tc>
        <w:tc>
          <w:tcPr>
            <w:tcW w:w="1595" w:type="dxa"/>
          </w:tcPr>
          <w:p w14:paraId="48523B6F" w14:textId="77777777" w:rsidR="00625206" w:rsidRPr="00AA05D4" w:rsidRDefault="00625206" w:rsidP="00625206">
            <w:pPr>
              <w:tabs>
                <w:tab w:val="left" w:pos="709"/>
                <w:tab w:val="center" w:pos="5031"/>
                <w:tab w:val="left" w:pos="6668"/>
              </w:tabs>
              <w:jc w:val="center"/>
              <w:rPr>
                <w:rFonts w:cs="Times New Roman"/>
                <w:sz w:val="18"/>
                <w:szCs w:val="18"/>
                <w:vertAlign w:val="superscript"/>
              </w:rPr>
            </w:pPr>
            <w:r w:rsidRPr="00AA05D4">
              <w:rPr>
                <w:rFonts w:cs="Times New Roman"/>
                <w:sz w:val="18"/>
                <w:szCs w:val="18"/>
                <w:lang w:val="az-Latn-AZ"/>
              </w:rPr>
              <w:t>tg</w:t>
            </w:r>
            <w:r w:rsidRPr="00AA05D4">
              <w:rPr>
                <w:rFonts w:cs="Times New Roman"/>
                <w:sz w:val="18"/>
                <w:szCs w:val="18"/>
                <w:lang w:val="az-Latn-AZ"/>
              </w:rPr>
              <w:sym w:font="Symbol" w:char="F064"/>
            </w:r>
            <w:r w:rsidRPr="00AA05D4">
              <w:rPr>
                <w:rFonts w:cs="Times New Roman"/>
                <w:sz w:val="18"/>
                <w:szCs w:val="18"/>
                <w:lang w:val="az-Latn-AZ"/>
              </w:rPr>
              <w:sym w:font="Symbol" w:char="F0D7"/>
            </w:r>
            <w:r w:rsidRPr="00AA05D4">
              <w:rPr>
                <w:rFonts w:cs="Times New Roman"/>
                <w:sz w:val="18"/>
                <w:szCs w:val="18"/>
                <w:lang w:val="az-Latn-AZ"/>
              </w:rPr>
              <w:t>10</w:t>
            </w:r>
            <w:r w:rsidRPr="00AA05D4">
              <w:rPr>
                <w:rFonts w:cs="Times New Roman"/>
                <w:sz w:val="18"/>
                <w:szCs w:val="18"/>
                <w:vertAlign w:val="superscript"/>
                <w:lang w:val="az-Latn-AZ"/>
              </w:rPr>
              <w:t>4</w:t>
            </w:r>
          </w:p>
        </w:tc>
      </w:tr>
      <w:tr w:rsidR="00625206" w:rsidRPr="00AA05D4" w14:paraId="69958B49" w14:textId="77777777" w:rsidTr="00453685">
        <w:tc>
          <w:tcPr>
            <w:tcW w:w="9570" w:type="dxa"/>
            <w:gridSpan w:val="6"/>
          </w:tcPr>
          <w:p w14:paraId="5844FC72" w14:textId="77777777" w:rsidR="00625206" w:rsidRPr="00AA05D4" w:rsidRDefault="005936A6" w:rsidP="005936A6">
            <w:pPr>
              <w:jc w:val="center"/>
              <w:rPr>
                <w:sz w:val="18"/>
                <w:szCs w:val="18"/>
                <w:lang w:val="en-US"/>
              </w:rPr>
            </w:pPr>
            <w:r w:rsidRPr="00AA05D4">
              <w:rPr>
                <w:sz w:val="18"/>
                <w:szCs w:val="18"/>
                <w:lang w:val="en-US"/>
              </w:rPr>
              <w:t>LPPE (source)</w:t>
            </w:r>
          </w:p>
        </w:tc>
      </w:tr>
      <w:tr w:rsidR="00625206" w:rsidRPr="00AA05D4" w14:paraId="2E76B527" w14:textId="77777777" w:rsidTr="00625206">
        <w:tc>
          <w:tcPr>
            <w:tcW w:w="1595" w:type="dxa"/>
          </w:tcPr>
          <w:p w14:paraId="290D629C"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1</w:t>
            </w:r>
          </w:p>
          <w:p w14:paraId="018CD484"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2</w:t>
            </w:r>
          </w:p>
        </w:tc>
        <w:tc>
          <w:tcPr>
            <w:tcW w:w="1595" w:type="dxa"/>
          </w:tcPr>
          <w:p w14:paraId="12C17744"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10240,01</w:t>
            </w:r>
          </w:p>
          <w:p w14:paraId="23091EBC"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10249,40</w:t>
            </w:r>
          </w:p>
        </w:tc>
        <w:tc>
          <w:tcPr>
            <w:tcW w:w="1595" w:type="dxa"/>
          </w:tcPr>
          <w:p w14:paraId="2FECC5A9"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1,44</w:t>
            </w:r>
          </w:p>
          <w:p w14:paraId="2967BECC"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1,50</w:t>
            </w:r>
          </w:p>
        </w:tc>
        <w:tc>
          <w:tcPr>
            <w:tcW w:w="1595" w:type="dxa"/>
          </w:tcPr>
          <w:p w14:paraId="0C0F6481"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1,4</w:t>
            </w:r>
            <w:r w:rsidR="00F1455C" w:rsidRPr="00AA05D4">
              <w:rPr>
                <w:rFonts w:cs="Times New Roman"/>
                <w:sz w:val="18"/>
                <w:szCs w:val="18"/>
              </w:rPr>
              <w:t>0</w:t>
            </w:r>
          </w:p>
          <w:p w14:paraId="458F502A" w14:textId="77777777" w:rsidR="00625206" w:rsidRPr="00AA05D4" w:rsidRDefault="00625206" w:rsidP="00F1455C">
            <w:pPr>
              <w:tabs>
                <w:tab w:val="left" w:pos="709"/>
                <w:tab w:val="center" w:pos="5031"/>
                <w:tab w:val="left" w:pos="6668"/>
              </w:tabs>
              <w:jc w:val="center"/>
              <w:rPr>
                <w:rFonts w:cs="Times New Roman"/>
                <w:sz w:val="18"/>
                <w:szCs w:val="18"/>
              </w:rPr>
            </w:pPr>
            <w:r w:rsidRPr="00AA05D4">
              <w:rPr>
                <w:rFonts w:cs="Times New Roman"/>
                <w:sz w:val="18"/>
                <w:szCs w:val="18"/>
              </w:rPr>
              <w:t>1,</w:t>
            </w:r>
            <w:r w:rsidR="00F1455C" w:rsidRPr="00AA05D4">
              <w:rPr>
                <w:rFonts w:cs="Times New Roman"/>
                <w:sz w:val="18"/>
                <w:szCs w:val="18"/>
              </w:rPr>
              <w:t>46</w:t>
            </w:r>
          </w:p>
        </w:tc>
        <w:tc>
          <w:tcPr>
            <w:tcW w:w="1595" w:type="dxa"/>
          </w:tcPr>
          <w:p w14:paraId="26032C4B" w14:textId="77777777" w:rsidR="00625206" w:rsidRPr="00AA05D4" w:rsidRDefault="00F1455C" w:rsidP="00625206">
            <w:pPr>
              <w:tabs>
                <w:tab w:val="left" w:pos="709"/>
                <w:tab w:val="center" w:pos="5031"/>
                <w:tab w:val="left" w:pos="6668"/>
              </w:tabs>
              <w:jc w:val="center"/>
              <w:rPr>
                <w:rFonts w:cs="Times New Roman"/>
                <w:sz w:val="18"/>
                <w:szCs w:val="18"/>
              </w:rPr>
            </w:pPr>
            <w:r w:rsidRPr="00AA05D4">
              <w:rPr>
                <w:rFonts w:cs="Times New Roman"/>
                <w:sz w:val="18"/>
                <w:szCs w:val="18"/>
              </w:rPr>
              <w:t>2</w:t>
            </w:r>
            <w:r w:rsidR="00625206" w:rsidRPr="00AA05D4">
              <w:rPr>
                <w:rFonts w:cs="Times New Roman"/>
                <w:sz w:val="18"/>
                <w:szCs w:val="18"/>
              </w:rPr>
              <w:t>,</w:t>
            </w:r>
            <w:r w:rsidRPr="00AA05D4">
              <w:rPr>
                <w:rFonts w:cs="Times New Roman"/>
                <w:sz w:val="18"/>
                <w:szCs w:val="18"/>
              </w:rPr>
              <w:t>05</w:t>
            </w:r>
          </w:p>
          <w:p w14:paraId="62C710E9" w14:textId="77777777" w:rsidR="00625206"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2</w:t>
            </w:r>
            <w:r w:rsidR="00625206" w:rsidRPr="00AA05D4">
              <w:rPr>
                <w:rFonts w:cs="Times New Roman"/>
                <w:sz w:val="18"/>
                <w:szCs w:val="18"/>
              </w:rPr>
              <w:t>,</w:t>
            </w:r>
            <w:r w:rsidRPr="00AA05D4">
              <w:rPr>
                <w:rFonts w:cs="Times New Roman"/>
                <w:sz w:val="18"/>
                <w:szCs w:val="18"/>
              </w:rPr>
              <w:t>01</w:t>
            </w:r>
          </w:p>
        </w:tc>
        <w:tc>
          <w:tcPr>
            <w:tcW w:w="1595" w:type="dxa"/>
          </w:tcPr>
          <w:p w14:paraId="09E0A86B" w14:textId="77777777" w:rsidR="00625206" w:rsidRPr="00AA05D4" w:rsidRDefault="00625206" w:rsidP="00625206">
            <w:pPr>
              <w:tabs>
                <w:tab w:val="left" w:pos="709"/>
                <w:tab w:val="center" w:pos="5031"/>
                <w:tab w:val="left" w:pos="6668"/>
              </w:tabs>
              <w:jc w:val="center"/>
              <w:rPr>
                <w:rFonts w:cs="Times New Roman"/>
                <w:sz w:val="18"/>
                <w:szCs w:val="18"/>
              </w:rPr>
            </w:pPr>
            <w:r w:rsidRPr="00AA05D4">
              <w:rPr>
                <w:rFonts w:cs="Times New Roman"/>
                <w:sz w:val="18"/>
                <w:szCs w:val="18"/>
              </w:rPr>
              <w:t>1,</w:t>
            </w:r>
            <w:r w:rsidR="00F1455C" w:rsidRPr="00AA05D4">
              <w:rPr>
                <w:rFonts w:cs="Times New Roman"/>
                <w:sz w:val="18"/>
                <w:szCs w:val="18"/>
              </w:rPr>
              <w:t>75</w:t>
            </w:r>
          </w:p>
          <w:p w14:paraId="0AA9C852" w14:textId="77777777" w:rsidR="00625206"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3</w:t>
            </w:r>
            <w:r w:rsidR="00625206" w:rsidRPr="00AA05D4">
              <w:rPr>
                <w:rFonts w:cs="Times New Roman"/>
                <w:sz w:val="18"/>
                <w:szCs w:val="18"/>
              </w:rPr>
              <w:t>,</w:t>
            </w:r>
            <w:r w:rsidRPr="00AA05D4">
              <w:rPr>
                <w:rFonts w:cs="Times New Roman"/>
                <w:sz w:val="18"/>
                <w:szCs w:val="18"/>
              </w:rPr>
              <w:t>63</w:t>
            </w:r>
          </w:p>
        </w:tc>
      </w:tr>
      <w:tr w:rsidR="00F1455C" w:rsidRPr="00AA05D4" w14:paraId="5D0B3415" w14:textId="77777777" w:rsidTr="00F0138F">
        <w:tc>
          <w:tcPr>
            <w:tcW w:w="9570" w:type="dxa"/>
            <w:gridSpan w:val="6"/>
          </w:tcPr>
          <w:p w14:paraId="1B1057F6" w14:textId="77777777" w:rsidR="00F1455C" w:rsidRPr="00AA05D4" w:rsidRDefault="005936A6" w:rsidP="005936A6">
            <w:pPr>
              <w:jc w:val="center"/>
              <w:rPr>
                <w:sz w:val="18"/>
                <w:szCs w:val="18"/>
                <w:lang w:val="en-US"/>
              </w:rPr>
            </w:pPr>
            <w:r w:rsidRPr="00AA05D4">
              <w:rPr>
                <w:sz w:val="18"/>
                <w:szCs w:val="18"/>
                <w:lang w:val="az-Latn-AZ"/>
              </w:rPr>
              <w:t>HPPE</w:t>
            </w:r>
            <w:r w:rsidRPr="00AA05D4">
              <w:rPr>
                <w:sz w:val="18"/>
                <w:szCs w:val="18"/>
                <w:lang w:val="en-US"/>
              </w:rPr>
              <w:t xml:space="preserve"> (source)</w:t>
            </w:r>
          </w:p>
        </w:tc>
      </w:tr>
      <w:tr w:rsidR="00F1455C" w:rsidRPr="00AA05D4" w14:paraId="39B75C26" w14:textId="77777777" w:rsidTr="00625206">
        <w:tc>
          <w:tcPr>
            <w:tcW w:w="1595" w:type="dxa"/>
          </w:tcPr>
          <w:p w14:paraId="11DA00EB" w14:textId="77777777" w:rsidR="00F1455C"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1</w:t>
            </w:r>
          </w:p>
        </w:tc>
        <w:tc>
          <w:tcPr>
            <w:tcW w:w="1595" w:type="dxa"/>
          </w:tcPr>
          <w:p w14:paraId="7361F170" w14:textId="77777777" w:rsidR="00F1455C"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9712,01</w:t>
            </w:r>
          </w:p>
        </w:tc>
        <w:tc>
          <w:tcPr>
            <w:tcW w:w="1595" w:type="dxa"/>
          </w:tcPr>
          <w:p w14:paraId="0F784D20" w14:textId="77777777" w:rsidR="00F1455C"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12,50</w:t>
            </w:r>
          </w:p>
        </w:tc>
        <w:tc>
          <w:tcPr>
            <w:tcW w:w="1595" w:type="dxa"/>
          </w:tcPr>
          <w:p w14:paraId="15338CC9" w14:textId="77777777" w:rsidR="00F1455C"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1,90</w:t>
            </w:r>
          </w:p>
        </w:tc>
        <w:tc>
          <w:tcPr>
            <w:tcW w:w="1595" w:type="dxa"/>
          </w:tcPr>
          <w:p w14:paraId="75ACAB6C" w14:textId="77777777" w:rsidR="00F1455C"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2,13</w:t>
            </w:r>
          </w:p>
        </w:tc>
        <w:tc>
          <w:tcPr>
            <w:tcW w:w="1595" w:type="dxa"/>
          </w:tcPr>
          <w:p w14:paraId="7C39351C" w14:textId="77777777" w:rsidR="00F1455C" w:rsidRPr="00AA05D4" w:rsidRDefault="00F1455C" w:rsidP="00F1455C">
            <w:pPr>
              <w:tabs>
                <w:tab w:val="left" w:pos="709"/>
                <w:tab w:val="center" w:pos="5031"/>
                <w:tab w:val="left" w:pos="6668"/>
              </w:tabs>
              <w:jc w:val="center"/>
              <w:rPr>
                <w:rFonts w:cs="Times New Roman"/>
                <w:sz w:val="18"/>
                <w:szCs w:val="18"/>
              </w:rPr>
            </w:pPr>
            <w:r w:rsidRPr="00AA05D4">
              <w:rPr>
                <w:rFonts w:cs="Times New Roman"/>
                <w:sz w:val="18"/>
                <w:szCs w:val="18"/>
              </w:rPr>
              <w:t>2,26</w:t>
            </w:r>
          </w:p>
        </w:tc>
      </w:tr>
      <w:tr w:rsidR="00F1455C" w:rsidRPr="00AA05D4" w14:paraId="026AA905" w14:textId="77777777" w:rsidTr="00346816">
        <w:tc>
          <w:tcPr>
            <w:tcW w:w="9570" w:type="dxa"/>
            <w:gridSpan w:val="6"/>
          </w:tcPr>
          <w:p w14:paraId="4A56E3B6" w14:textId="77777777" w:rsidR="00F1455C" w:rsidRPr="00AA05D4" w:rsidRDefault="00C71BC5" w:rsidP="00F1455C">
            <w:pPr>
              <w:jc w:val="center"/>
              <w:rPr>
                <w:rFonts w:cs="Times New Roman"/>
                <w:sz w:val="18"/>
                <w:szCs w:val="18"/>
              </w:rPr>
            </w:pPr>
            <w:r w:rsidRPr="00AA05D4">
              <w:rPr>
                <w:rFonts w:cs="Times New Roman"/>
                <w:sz w:val="18"/>
                <w:szCs w:val="18"/>
                <w:lang w:val="en-US"/>
              </w:rPr>
              <w:t>NFPC</w:t>
            </w:r>
            <w:r w:rsidR="005936A6" w:rsidRPr="00AA05D4">
              <w:rPr>
                <w:rFonts w:cs="Times New Roman"/>
                <w:sz w:val="18"/>
                <w:szCs w:val="18"/>
              </w:rPr>
              <w:t xml:space="preserve"> </w:t>
            </w:r>
            <w:r w:rsidR="00F1455C" w:rsidRPr="00AA05D4">
              <w:rPr>
                <w:rFonts w:cs="Times New Roman"/>
                <w:sz w:val="18"/>
                <w:szCs w:val="18"/>
              </w:rPr>
              <w:t>-10</w:t>
            </w:r>
          </w:p>
        </w:tc>
      </w:tr>
      <w:tr w:rsidR="00F1455C" w:rsidRPr="00AA05D4" w14:paraId="5EB7D8DF" w14:textId="77777777" w:rsidTr="00625206">
        <w:tc>
          <w:tcPr>
            <w:tcW w:w="1595" w:type="dxa"/>
          </w:tcPr>
          <w:p w14:paraId="50E2C782" w14:textId="77777777" w:rsidR="00F1455C" w:rsidRPr="00AA05D4" w:rsidRDefault="00F1455C" w:rsidP="00625206">
            <w:pPr>
              <w:tabs>
                <w:tab w:val="left" w:pos="709"/>
                <w:tab w:val="center" w:pos="5031"/>
                <w:tab w:val="left" w:pos="6668"/>
              </w:tabs>
              <w:jc w:val="center"/>
              <w:rPr>
                <w:rFonts w:cs="Times New Roman"/>
                <w:sz w:val="18"/>
                <w:szCs w:val="18"/>
              </w:rPr>
            </w:pPr>
            <w:r w:rsidRPr="00AA05D4">
              <w:rPr>
                <w:rFonts w:cs="Times New Roman"/>
                <w:sz w:val="18"/>
                <w:szCs w:val="18"/>
              </w:rPr>
              <w:t>1</w:t>
            </w:r>
          </w:p>
          <w:p w14:paraId="270CA3E4" w14:textId="77777777" w:rsidR="00F1455C" w:rsidRPr="00AA05D4" w:rsidRDefault="00F1455C" w:rsidP="00625206">
            <w:pPr>
              <w:tabs>
                <w:tab w:val="left" w:pos="709"/>
                <w:tab w:val="center" w:pos="5031"/>
                <w:tab w:val="left" w:pos="6668"/>
              </w:tabs>
              <w:jc w:val="center"/>
              <w:rPr>
                <w:rFonts w:cs="Times New Roman"/>
                <w:sz w:val="18"/>
                <w:szCs w:val="18"/>
              </w:rPr>
            </w:pPr>
            <w:r w:rsidRPr="00AA05D4">
              <w:rPr>
                <w:rFonts w:cs="Times New Roman"/>
                <w:sz w:val="18"/>
                <w:szCs w:val="18"/>
              </w:rPr>
              <w:t>2</w:t>
            </w:r>
          </w:p>
        </w:tc>
        <w:tc>
          <w:tcPr>
            <w:tcW w:w="1595" w:type="dxa"/>
          </w:tcPr>
          <w:p w14:paraId="2AF82E42" w14:textId="77777777" w:rsidR="00F1455C" w:rsidRPr="00AA05D4" w:rsidRDefault="00F1455C" w:rsidP="007F1912">
            <w:pPr>
              <w:tabs>
                <w:tab w:val="left" w:pos="709"/>
                <w:tab w:val="center" w:pos="5031"/>
                <w:tab w:val="left" w:pos="6668"/>
              </w:tabs>
              <w:jc w:val="center"/>
              <w:rPr>
                <w:rFonts w:cs="Times New Roman"/>
                <w:sz w:val="18"/>
                <w:szCs w:val="18"/>
              </w:rPr>
            </w:pPr>
            <w:r w:rsidRPr="00AA05D4">
              <w:rPr>
                <w:rFonts w:cs="Times New Roman"/>
                <w:sz w:val="18"/>
                <w:szCs w:val="18"/>
              </w:rPr>
              <w:t>10</w:t>
            </w:r>
            <w:r w:rsidR="000E4E52" w:rsidRPr="00AA05D4">
              <w:rPr>
                <w:rFonts w:cs="Times New Roman"/>
                <w:sz w:val="18"/>
                <w:szCs w:val="18"/>
              </w:rPr>
              <w:t>192</w:t>
            </w:r>
            <w:r w:rsidRPr="00AA05D4">
              <w:rPr>
                <w:rFonts w:cs="Times New Roman"/>
                <w:sz w:val="18"/>
                <w:szCs w:val="18"/>
              </w:rPr>
              <w:t>,</w:t>
            </w:r>
            <w:r w:rsidR="000E4E52" w:rsidRPr="00AA05D4">
              <w:rPr>
                <w:rFonts w:cs="Times New Roman"/>
                <w:sz w:val="18"/>
                <w:szCs w:val="18"/>
              </w:rPr>
              <w:t>93</w:t>
            </w:r>
          </w:p>
          <w:p w14:paraId="0E1357F2" w14:textId="77777777" w:rsidR="00F1455C" w:rsidRPr="00AA05D4" w:rsidRDefault="00F1455C" w:rsidP="000E4E52">
            <w:pPr>
              <w:tabs>
                <w:tab w:val="left" w:pos="709"/>
                <w:tab w:val="center" w:pos="5031"/>
                <w:tab w:val="left" w:pos="6668"/>
              </w:tabs>
              <w:jc w:val="center"/>
              <w:rPr>
                <w:rFonts w:cs="Times New Roman"/>
                <w:sz w:val="18"/>
                <w:szCs w:val="18"/>
              </w:rPr>
            </w:pPr>
            <w:r w:rsidRPr="00AA05D4">
              <w:rPr>
                <w:rFonts w:cs="Times New Roman"/>
                <w:sz w:val="18"/>
                <w:szCs w:val="18"/>
              </w:rPr>
              <w:t>10</w:t>
            </w:r>
            <w:r w:rsidR="000E4E52" w:rsidRPr="00AA05D4">
              <w:rPr>
                <w:rFonts w:cs="Times New Roman"/>
                <w:sz w:val="18"/>
                <w:szCs w:val="18"/>
              </w:rPr>
              <w:t>192</w:t>
            </w:r>
            <w:r w:rsidRPr="00AA05D4">
              <w:rPr>
                <w:rFonts w:cs="Times New Roman"/>
                <w:sz w:val="18"/>
                <w:szCs w:val="18"/>
              </w:rPr>
              <w:t>,</w:t>
            </w:r>
            <w:r w:rsidR="000E4E52" w:rsidRPr="00AA05D4">
              <w:rPr>
                <w:rFonts w:cs="Times New Roman"/>
                <w:sz w:val="18"/>
                <w:szCs w:val="18"/>
              </w:rPr>
              <w:t>59</w:t>
            </w:r>
          </w:p>
        </w:tc>
        <w:tc>
          <w:tcPr>
            <w:tcW w:w="1595" w:type="dxa"/>
          </w:tcPr>
          <w:p w14:paraId="17219AB6" w14:textId="77777777" w:rsidR="00F1455C"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2</w:t>
            </w:r>
            <w:r w:rsidR="00F1455C" w:rsidRPr="00AA05D4">
              <w:rPr>
                <w:rFonts w:cs="Times New Roman"/>
                <w:sz w:val="18"/>
                <w:szCs w:val="18"/>
              </w:rPr>
              <w:t>,</w:t>
            </w:r>
            <w:r w:rsidRPr="00AA05D4">
              <w:rPr>
                <w:rFonts w:cs="Times New Roman"/>
                <w:sz w:val="18"/>
                <w:szCs w:val="18"/>
              </w:rPr>
              <w:t>82</w:t>
            </w:r>
          </w:p>
          <w:p w14:paraId="7F38E9A4" w14:textId="77777777" w:rsidR="00F1455C" w:rsidRPr="00AA05D4" w:rsidRDefault="000E4E52" w:rsidP="000E4E52">
            <w:pPr>
              <w:tabs>
                <w:tab w:val="left" w:pos="709"/>
                <w:tab w:val="center" w:pos="5031"/>
                <w:tab w:val="left" w:pos="6668"/>
              </w:tabs>
              <w:jc w:val="center"/>
              <w:rPr>
                <w:rFonts w:cs="Times New Roman"/>
                <w:sz w:val="18"/>
                <w:szCs w:val="18"/>
              </w:rPr>
            </w:pPr>
            <w:r w:rsidRPr="00AA05D4">
              <w:rPr>
                <w:rFonts w:cs="Times New Roman"/>
                <w:sz w:val="18"/>
                <w:szCs w:val="18"/>
              </w:rPr>
              <w:t>2</w:t>
            </w:r>
            <w:r w:rsidR="00F1455C" w:rsidRPr="00AA05D4">
              <w:rPr>
                <w:rFonts w:cs="Times New Roman"/>
                <w:sz w:val="18"/>
                <w:szCs w:val="18"/>
              </w:rPr>
              <w:t>,</w:t>
            </w:r>
            <w:r w:rsidRPr="00AA05D4">
              <w:rPr>
                <w:rFonts w:cs="Times New Roman"/>
                <w:sz w:val="18"/>
                <w:szCs w:val="18"/>
              </w:rPr>
              <w:t>79</w:t>
            </w:r>
          </w:p>
        </w:tc>
        <w:tc>
          <w:tcPr>
            <w:tcW w:w="1595" w:type="dxa"/>
          </w:tcPr>
          <w:p w14:paraId="45683B41" w14:textId="77777777" w:rsidR="00F1455C"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2</w:t>
            </w:r>
            <w:r w:rsidR="00F1455C" w:rsidRPr="00AA05D4">
              <w:rPr>
                <w:rFonts w:cs="Times New Roman"/>
                <w:sz w:val="18"/>
                <w:szCs w:val="18"/>
              </w:rPr>
              <w:t>,</w:t>
            </w:r>
            <w:r w:rsidRPr="00AA05D4">
              <w:rPr>
                <w:rFonts w:cs="Times New Roman"/>
                <w:sz w:val="18"/>
                <w:szCs w:val="18"/>
              </w:rPr>
              <w:t>77</w:t>
            </w:r>
          </w:p>
          <w:p w14:paraId="4AB5FE0F" w14:textId="77777777" w:rsidR="00F1455C" w:rsidRPr="00AA05D4" w:rsidRDefault="000E4E52" w:rsidP="000E4E52">
            <w:pPr>
              <w:tabs>
                <w:tab w:val="left" w:pos="709"/>
                <w:tab w:val="center" w:pos="5031"/>
                <w:tab w:val="left" w:pos="6668"/>
              </w:tabs>
              <w:jc w:val="center"/>
              <w:rPr>
                <w:rFonts w:cs="Times New Roman"/>
                <w:sz w:val="18"/>
                <w:szCs w:val="18"/>
              </w:rPr>
            </w:pPr>
            <w:r w:rsidRPr="00AA05D4">
              <w:rPr>
                <w:rFonts w:cs="Times New Roman"/>
                <w:sz w:val="18"/>
                <w:szCs w:val="18"/>
              </w:rPr>
              <w:t>2</w:t>
            </w:r>
            <w:r w:rsidR="00F1455C" w:rsidRPr="00AA05D4">
              <w:rPr>
                <w:rFonts w:cs="Times New Roman"/>
                <w:sz w:val="18"/>
                <w:szCs w:val="18"/>
              </w:rPr>
              <w:t>,</w:t>
            </w:r>
            <w:r w:rsidRPr="00AA05D4">
              <w:rPr>
                <w:rFonts w:cs="Times New Roman"/>
                <w:sz w:val="18"/>
                <w:szCs w:val="18"/>
              </w:rPr>
              <w:t>74</w:t>
            </w:r>
          </w:p>
        </w:tc>
        <w:tc>
          <w:tcPr>
            <w:tcW w:w="1595" w:type="dxa"/>
          </w:tcPr>
          <w:p w14:paraId="42E0704C" w14:textId="77777777" w:rsidR="00F1455C" w:rsidRPr="00AA05D4" w:rsidRDefault="00F1455C" w:rsidP="007F1912">
            <w:pPr>
              <w:tabs>
                <w:tab w:val="left" w:pos="709"/>
                <w:tab w:val="center" w:pos="5031"/>
                <w:tab w:val="left" w:pos="6668"/>
              </w:tabs>
              <w:jc w:val="center"/>
              <w:rPr>
                <w:rFonts w:cs="Times New Roman"/>
                <w:sz w:val="18"/>
                <w:szCs w:val="18"/>
              </w:rPr>
            </w:pPr>
            <w:r w:rsidRPr="00AA05D4">
              <w:rPr>
                <w:rFonts w:cs="Times New Roman"/>
                <w:sz w:val="18"/>
                <w:szCs w:val="18"/>
              </w:rPr>
              <w:t>2,</w:t>
            </w:r>
            <w:r w:rsidR="000E4E52" w:rsidRPr="00AA05D4">
              <w:rPr>
                <w:rFonts w:cs="Times New Roman"/>
                <w:sz w:val="18"/>
                <w:szCs w:val="18"/>
              </w:rPr>
              <w:t>21</w:t>
            </w:r>
          </w:p>
          <w:p w14:paraId="3740EE33" w14:textId="77777777" w:rsidR="00F1455C" w:rsidRPr="00AA05D4" w:rsidRDefault="00F1455C" w:rsidP="000E4E52">
            <w:pPr>
              <w:tabs>
                <w:tab w:val="left" w:pos="709"/>
                <w:tab w:val="center" w:pos="5031"/>
                <w:tab w:val="left" w:pos="6668"/>
              </w:tabs>
              <w:jc w:val="center"/>
              <w:rPr>
                <w:rFonts w:cs="Times New Roman"/>
                <w:sz w:val="18"/>
                <w:szCs w:val="18"/>
              </w:rPr>
            </w:pPr>
            <w:r w:rsidRPr="00AA05D4">
              <w:rPr>
                <w:rFonts w:cs="Times New Roman"/>
                <w:sz w:val="18"/>
                <w:szCs w:val="18"/>
              </w:rPr>
              <w:t>2,</w:t>
            </w:r>
            <w:r w:rsidR="000E4E52" w:rsidRPr="00AA05D4">
              <w:rPr>
                <w:rFonts w:cs="Times New Roman"/>
                <w:sz w:val="18"/>
                <w:szCs w:val="18"/>
              </w:rPr>
              <w:t>20</w:t>
            </w:r>
          </w:p>
        </w:tc>
        <w:tc>
          <w:tcPr>
            <w:tcW w:w="1595" w:type="dxa"/>
          </w:tcPr>
          <w:p w14:paraId="50FEE528" w14:textId="77777777" w:rsidR="00F1455C" w:rsidRPr="00AA05D4" w:rsidRDefault="00F1455C" w:rsidP="007F1912">
            <w:pPr>
              <w:tabs>
                <w:tab w:val="left" w:pos="709"/>
                <w:tab w:val="center" w:pos="5031"/>
                <w:tab w:val="left" w:pos="6668"/>
              </w:tabs>
              <w:jc w:val="center"/>
              <w:rPr>
                <w:rFonts w:cs="Times New Roman"/>
                <w:sz w:val="18"/>
                <w:szCs w:val="18"/>
              </w:rPr>
            </w:pPr>
            <w:r w:rsidRPr="00AA05D4">
              <w:rPr>
                <w:rFonts w:cs="Times New Roman"/>
                <w:sz w:val="18"/>
                <w:szCs w:val="18"/>
              </w:rPr>
              <w:t>1,</w:t>
            </w:r>
            <w:r w:rsidR="000E4E52" w:rsidRPr="00AA05D4">
              <w:rPr>
                <w:rFonts w:cs="Times New Roman"/>
                <w:sz w:val="18"/>
                <w:szCs w:val="18"/>
              </w:rPr>
              <w:t>46</w:t>
            </w:r>
          </w:p>
          <w:p w14:paraId="5DAA0612" w14:textId="77777777" w:rsidR="00F1455C" w:rsidRPr="00AA05D4" w:rsidRDefault="000E4E52" w:rsidP="000E4E52">
            <w:pPr>
              <w:tabs>
                <w:tab w:val="left" w:pos="709"/>
                <w:tab w:val="center" w:pos="5031"/>
                <w:tab w:val="left" w:pos="6668"/>
              </w:tabs>
              <w:jc w:val="center"/>
              <w:rPr>
                <w:rFonts w:cs="Times New Roman"/>
                <w:sz w:val="18"/>
                <w:szCs w:val="18"/>
              </w:rPr>
            </w:pPr>
            <w:r w:rsidRPr="00AA05D4">
              <w:rPr>
                <w:rFonts w:cs="Times New Roman"/>
                <w:sz w:val="18"/>
                <w:szCs w:val="18"/>
              </w:rPr>
              <w:t>1</w:t>
            </w:r>
            <w:r w:rsidR="00F1455C" w:rsidRPr="00AA05D4">
              <w:rPr>
                <w:rFonts w:cs="Times New Roman"/>
                <w:sz w:val="18"/>
                <w:szCs w:val="18"/>
              </w:rPr>
              <w:t>,</w:t>
            </w:r>
            <w:r w:rsidRPr="00AA05D4">
              <w:rPr>
                <w:rFonts w:cs="Times New Roman"/>
                <w:sz w:val="18"/>
                <w:szCs w:val="18"/>
              </w:rPr>
              <w:t>4</w:t>
            </w:r>
            <w:r w:rsidR="00F1455C" w:rsidRPr="00AA05D4">
              <w:rPr>
                <w:rFonts w:cs="Times New Roman"/>
                <w:sz w:val="18"/>
                <w:szCs w:val="18"/>
              </w:rPr>
              <w:t>3</w:t>
            </w:r>
          </w:p>
        </w:tc>
      </w:tr>
      <w:tr w:rsidR="000E4E52" w:rsidRPr="00AA05D4" w14:paraId="1E00D989" w14:textId="77777777" w:rsidTr="00520029">
        <w:tc>
          <w:tcPr>
            <w:tcW w:w="9570" w:type="dxa"/>
            <w:gridSpan w:val="6"/>
          </w:tcPr>
          <w:p w14:paraId="4E07D846" w14:textId="77777777" w:rsidR="000E4E52" w:rsidRPr="00AA05D4" w:rsidRDefault="00C71BC5" w:rsidP="000E4E52">
            <w:pPr>
              <w:jc w:val="center"/>
              <w:rPr>
                <w:rFonts w:cs="Times New Roman"/>
                <w:sz w:val="18"/>
                <w:szCs w:val="18"/>
              </w:rPr>
            </w:pPr>
            <w:r w:rsidRPr="00AA05D4">
              <w:rPr>
                <w:rFonts w:cs="Times New Roman"/>
                <w:sz w:val="18"/>
                <w:szCs w:val="18"/>
                <w:lang w:val="en-US"/>
              </w:rPr>
              <w:t>NFPC</w:t>
            </w:r>
            <w:r w:rsidR="005936A6" w:rsidRPr="00AA05D4">
              <w:rPr>
                <w:rFonts w:cs="Times New Roman"/>
                <w:sz w:val="18"/>
                <w:szCs w:val="18"/>
              </w:rPr>
              <w:t xml:space="preserve"> </w:t>
            </w:r>
            <w:r w:rsidR="000E4E52" w:rsidRPr="00AA05D4">
              <w:rPr>
                <w:rFonts w:cs="Times New Roman"/>
                <w:sz w:val="18"/>
                <w:szCs w:val="18"/>
              </w:rPr>
              <w:t>-20</w:t>
            </w:r>
          </w:p>
        </w:tc>
      </w:tr>
      <w:tr w:rsidR="000E4E52" w:rsidRPr="00AA05D4" w14:paraId="1D1A14C8" w14:textId="77777777" w:rsidTr="00625206">
        <w:tc>
          <w:tcPr>
            <w:tcW w:w="1595" w:type="dxa"/>
          </w:tcPr>
          <w:p w14:paraId="21A62A06" w14:textId="77777777" w:rsidR="000E4E52"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1</w:t>
            </w:r>
          </w:p>
          <w:p w14:paraId="7EA6E611" w14:textId="77777777" w:rsidR="000E4E52"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2</w:t>
            </w:r>
          </w:p>
        </w:tc>
        <w:tc>
          <w:tcPr>
            <w:tcW w:w="1595" w:type="dxa"/>
          </w:tcPr>
          <w:p w14:paraId="63D51BBA" w14:textId="77777777" w:rsidR="000E4E52"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10</w:t>
            </w:r>
            <w:r w:rsidR="00955548" w:rsidRPr="00AA05D4">
              <w:rPr>
                <w:rFonts w:cs="Times New Roman"/>
                <w:sz w:val="18"/>
                <w:szCs w:val="18"/>
              </w:rPr>
              <w:t>227</w:t>
            </w:r>
            <w:r w:rsidRPr="00AA05D4">
              <w:rPr>
                <w:rFonts w:cs="Times New Roman"/>
                <w:sz w:val="18"/>
                <w:szCs w:val="18"/>
              </w:rPr>
              <w:t>,</w:t>
            </w:r>
            <w:r w:rsidR="00955548" w:rsidRPr="00AA05D4">
              <w:rPr>
                <w:rFonts w:cs="Times New Roman"/>
                <w:sz w:val="18"/>
                <w:szCs w:val="18"/>
              </w:rPr>
              <w:t>30</w:t>
            </w:r>
          </w:p>
          <w:p w14:paraId="01958AA9" w14:textId="77777777" w:rsidR="000E4E52" w:rsidRPr="00AA05D4" w:rsidRDefault="000E4E52" w:rsidP="00955548">
            <w:pPr>
              <w:tabs>
                <w:tab w:val="left" w:pos="709"/>
                <w:tab w:val="center" w:pos="5031"/>
                <w:tab w:val="left" w:pos="6668"/>
              </w:tabs>
              <w:jc w:val="center"/>
              <w:rPr>
                <w:rFonts w:cs="Times New Roman"/>
                <w:sz w:val="18"/>
                <w:szCs w:val="18"/>
              </w:rPr>
            </w:pPr>
            <w:r w:rsidRPr="00AA05D4">
              <w:rPr>
                <w:rFonts w:cs="Times New Roman"/>
                <w:sz w:val="18"/>
                <w:szCs w:val="18"/>
              </w:rPr>
              <w:t>10</w:t>
            </w:r>
            <w:r w:rsidR="00955548" w:rsidRPr="00AA05D4">
              <w:rPr>
                <w:rFonts w:cs="Times New Roman"/>
                <w:sz w:val="18"/>
                <w:szCs w:val="18"/>
              </w:rPr>
              <w:t>222</w:t>
            </w:r>
            <w:r w:rsidRPr="00AA05D4">
              <w:rPr>
                <w:rFonts w:cs="Times New Roman"/>
                <w:sz w:val="18"/>
                <w:szCs w:val="18"/>
              </w:rPr>
              <w:t>,</w:t>
            </w:r>
            <w:r w:rsidR="00955548" w:rsidRPr="00AA05D4">
              <w:rPr>
                <w:rFonts w:cs="Times New Roman"/>
                <w:sz w:val="18"/>
                <w:szCs w:val="18"/>
              </w:rPr>
              <w:t>87</w:t>
            </w:r>
          </w:p>
        </w:tc>
        <w:tc>
          <w:tcPr>
            <w:tcW w:w="1595" w:type="dxa"/>
          </w:tcPr>
          <w:p w14:paraId="60F531EF" w14:textId="77777777" w:rsidR="000E4E52"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2,</w:t>
            </w:r>
            <w:r w:rsidR="00955548" w:rsidRPr="00AA05D4">
              <w:rPr>
                <w:rFonts w:cs="Times New Roman"/>
                <w:sz w:val="18"/>
                <w:szCs w:val="18"/>
              </w:rPr>
              <w:t>30</w:t>
            </w:r>
          </w:p>
          <w:p w14:paraId="39899509" w14:textId="77777777" w:rsidR="000E4E52" w:rsidRPr="00AA05D4" w:rsidRDefault="000E4E52" w:rsidP="00955548">
            <w:pPr>
              <w:tabs>
                <w:tab w:val="left" w:pos="709"/>
                <w:tab w:val="center" w:pos="5031"/>
                <w:tab w:val="left" w:pos="6668"/>
              </w:tabs>
              <w:jc w:val="center"/>
              <w:rPr>
                <w:rFonts w:cs="Times New Roman"/>
                <w:sz w:val="18"/>
                <w:szCs w:val="18"/>
              </w:rPr>
            </w:pPr>
            <w:r w:rsidRPr="00AA05D4">
              <w:rPr>
                <w:rFonts w:cs="Times New Roman"/>
                <w:sz w:val="18"/>
                <w:szCs w:val="18"/>
              </w:rPr>
              <w:t>2,</w:t>
            </w:r>
            <w:r w:rsidR="00955548" w:rsidRPr="00AA05D4">
              <w:rPr>
                <w:rFonts w:cs="Times New Roman"/>
                <w:sz w:val="18"/>
                <w:szCs w:val="18"/>
              </w:rPr>
              <w:t>31</w:t>
            </w:r>
          </w:p>
        </w:tc>
        <w:tc>
          <w:tcPr>
            <w:tcW w:w="1595" w:type="dxa"/>
          </w:tcPr>
          <w:p w14:paraId="6E275F32" w14:textId="77777777" w:rsidR="000E4E52"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2,</w:t>
            </w:r>
            <w:r w:rsidR="00955548" w:rsidRPr="00AA05D4">
              <w:rPr>
                <w:rFonts w:cs="Times New Roman"/>
                <w:sz w:val="18"/>
                <w:szCs w:val="18"/>
              </w:rPr>
              <w:t>25</w:t>
            </w:r>
          </w:p>
          <w:p w14:paraId="777BF4B3" w14:textId="77777777" w:rsidR="000E4E52" w:rsidRPr="00AA05D4" w:rsidRDefault="000E4E52" w:rsidP="00955548">
            <w:pPr>
              <w:tabs>
                <w:tab w:val="left" w:pos="709"/>
                <w:tab w:val="center" w:pos="5031"/>
                <w:tab w:val="left" w:pos="6668"/>
              </w:tabs>
              <w:jc w:val="center"/>
              <w:rPr>
                <w:rFonts w:cs="Times New Roman"/>
                <w:sz w:val="18"/>
                <w:szCs w:val="18"/>
              </w:rPr>
            </w:pPr>
            <w:r w:rsidRPr="00AA05D4">
              <w:rPr>
                <w:rFonts w:cs="Times New Roman"/>
                <w:sz w:val="18"/>
                <w:szCs w:val="18"/>
              </w:rPr>
              <w:t>2,</w:t>
            </w:r>
            <w:r w:rsidR="00955548" w:rsidRPr="00AA05D4">
              <w:rPr>
                <w:rFonts w:cs="Times New Roman"/>
                <w:sz w:val="18"/>
                <w:szCs w:val="18"/>
              </w:rPr>
              <w:t>26</w:t>
            </w:r>
          </w:p>
        </w:tc>
        <w:tc>
          <w:tcPr>
            <w:tcW w:w="1595" w:type="dxa"/>
          </w:tcPr>
          <w:p w14:paraId="69677AD3" w14:textId="77777777" w:rsidR="000E4E52"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2,2</w:t>
            </w:r>
            <w:r w:rsidR="00955548" w:rsidRPr="00AA05D4">
              <w:rPr>
                <w:rFonts w:cs="Times New Roman"/>
                <w:sz w:val="18"/>
                <w:szCs w:val="18"/>
              </w:rPr>
              <w:t>8</w:t>
            </w:r>
          </w:p>
          <w:p w14:paraId="41DFDDF9" w14:textId="77777777" w:rsidR="000E4E52" w:rsidRPr="00AA05D4" w:rsidRDefault="000E4E52" w:rsidP="00955548">
            <w:pPr>
              <w:tabs>
                <w:tab w:val="left" w:pos="709"/>
                <w:tab w:val="center" w:pos="5031"/>
                <w:tab w:val="left" w:pos="6668"/>
              </w:tabs>
              <w:jc w:val="center"/>
              <w:rPr>
                <w:rFonts w:cs="Times New Roman"/>
                <w:sz w:val="18"/>
                <w:szCs w:val="18"/>
              </w:rPr>
            </w:pPr>
            <w:r w:rsidRPr="00AA05D4">
              <w:rPr>
                <w:rFonts w:cs="Times New Roman"/>
                <w:sz w:val="18"/>
                <w:szCs w:val="18"/>
              </w:rPr>
              <w:t>2,2</w:t>
            </w:r>
            <w:r w:rsidR="00955548" w:rsidRPr="00AA05D4">
              <w:rPr>
                <w:rFonts w:cs="Times New Roman"/>
                <w:sz w:val="18"/>
                <w:szCs w:val="18"/>
              </w:rPr>
              <w:t>5</w:t>
            </w:r>
          </w:p>
        </w:tc>
        <w:tc>
          <w:tcPr>
            <w:tcW w:w="1595" w:type="dxa"/>
          </w:tcPr>
          <w:p w14:paraId="445373D2" w14:textId="77777777" w:rsidR="000E4E52" w:rsidRPr="00AA05D4" w:rsidRDefault="000E4E52" w:rsidP="007F1912">
            <w:pPr>
              <w:tabs>
                <w:tab w:val="left" w:pos="709"/>
                <w:tab w:val="center" w:pos="5031"/>
                <w:tab w:val="left" w:pos="6668"/>
              </w:tabs>
              <w:jc w:val="center"/>
              <w:rPr>
                <w:rFonts w:cs="Times New Roman"/>
                <w:sz w:val="18"/>
                <w:szCs w:val="18"/>
              </w:rPr>
            </w:pPr>
            <w:r w:rsidRPr="00AA05D4">
              <w:rPr>
                <w:rFonts w:cs="Times New Roman"/>
                <w:sz w:val="18"/>
                <w:szCs w:val="18"/>
              </w:rPr>
              <w:t>1,</w:t>
            </w:r>
            <w:r w:rsidR="00955548" w:rsidRPr="00AA05D4">
              <w:rPr>
                <w:rFonts w:cs="Times New Roman"/>
                <w:sz w:val="18"/>
                <w:szCs w:val="18"/>
              </w:rPr>
              <w:t>20</w:t>
            </w:r>
          </w:p>
          <w:p w14:paraId="508F1B60" w14:textId="77777777" w:rsidR="000E4E52" w:rsidRPr="00AA05D4" w:rsidRDefault="000E4E52" w:rsidP="00955548">
            <w:pPr>
              <w:tabs>
                <w:tab w:val="left" w:pos="709"/>
                <w:tab w:val="center" w:pos="5031"/>
                <w:tab w:val="left" w:pos="6668"/>
              </w:tabs>
              <w:jc w:val="center"/>
              <w:rPr>
                <w:rFonts w:cs="Times New Roman"/>
                <w:sz w:val="18"/>
                <w:szCs w:val="18"/>
              </w:rPr>
            </w:pPr>
            <w:r w:rsidRPr="00AA05D4">
              <w:rPr>
                <w:rFonts w:cs="Times New Roman"/>
                <w:sz w:val="18"/>
                <w:szCs w:val="18"/>
              </w:rPr>
              <w:t>1,</w:t>
            </w:r>
            <w:r w:rsidR="00955548" w:rsidRPr="00AA05D4">
              <w:rPr>
                <w:rFonts w:cs="Times New Roman"/>
                <w:sz w:val="18"/>
                <w:szCs w:val="18"/>
              </w:rPr>
              <w:t>18</w:t>
            </w:r>
          </w:p>
        </w:tc>
      </w:tr>
      <w:tr w:rsidR="00955548" w:rsidRPr="00AA05D4" w14:paraId="59BEE754" w14:textId="77777777" w:rsidTr="006B02C2">
        <w:tc>
          <w:tcPr>
            <w:tcW w:w="9570" w:type="dxa"/>
            <w:gridSpan w:val="6"/>
          </w:tcPr>
          <w:p w14:paraId="0C9C0D82" w14:textId="77777777" w:rsidR="00955548" w:rsidRPr="00AA05D4" w:rsidRDefault="005936A6" w:rsidP="007F1912">
            <w:pPr>
              <w:tabs>
                <w:tab w:val="left" w:pos="709"/>
                <w:tab w:val="center" w:pos="5031"/>
                <w:tab w:val="left" w:pos="6668"/>
              </w:tabs>
              <w:jc w:val="center"/>
              <w:rPr>
                <w:rFonts w:cs="Times New Roman"/>
                <w:sz w:val="18"/>
                <w:szCs w:val="18"/>
              </w:rPr>
            </w:pPr>
            <w:r w:rsidRPr="00AA05D4">
              <w:rPr>
                <w:rFonts w:cs="Times New Roman"/>
                <w:sz w:val="18"/>
                <w:szCs w:val="18"/>
                <w:lang w:val="en-US"/>
              </w:rPr>
              <w:t>Glass cloth</w:t>
            </w:r>
            <w:r w:rsidR="00955548" w:rsidRPr="00AA05D4">
              <w:rPr>
                <w:rFonts w:cs="Times New Roman"/>
                <w:sz w:val="18"/>
                <w:szCs w:val="18"/>
              </w:rPr>
              <w:t xml:space="preserve"> С-1189</w:t>
            </w:r>
          </w:p>
        </w:tc>
      </w:tr>
      <w:tr w:rsidR="00955548" w:rsidRPr="00AA05D4" w14:paraId="78AF63D8" w14:textId="77777777" w:rsidTr="00625206">
        <w:tc>
          <w:tcPr>
            <w:tcW w:w="1595" w:type="dxa"/>
          </w:tcPr>
          <w:p w14:paraId="0BBD56B6"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1</w:t>
            </w:r>
          </w:p>
          <w:p w14:paraId="79B44BBF"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2</w:t>
            </w:r>
          </w:p>
          <w:p w14:paraId="14CAD11B"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3</w:t>
            </w:r>
          </w:p>
        </w:tc>
        <w:tc>
          <w:tcPr>
            <w:tcW w:w="1595" w:type="dxa"/>
          </w:tcPr>
          <w:p w14:paraId="43C4AFE2"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10353,12</w:t>
            </w:r>
          </w:p>
          <w:p w14:paraId="6B9C37FB"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10371,76</w:t>
            </w:r>
          </w:p>
          <w:p w14:paraId="631C91F1"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10,365,66</w:t>
            </w:r>
          </w:p>
        </w:tc>
        <w:tc>
          <w:tcPr>
            <w:tcW w:w="1595" w:type="dxa"/>
          </w:tcPr>
          <w:p w14:paraId="5A17AAD5"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2,18</w:t>
            </w:r>
          </w:p>
          <w:p w14:paraId="590196E0"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2,52</w:t>
            </w:r>
          </w:p>
          <w:p w14:paraId="2D0605FD"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2,84</w:t>
            </w:r>
          </w:p>
        </w:tc>
        <w:tc>
          <w:tcPr>
            <w:tcW w:w="1595" w:type="dxa"/>
          </w:tcPr>
          <w:p w14:paraId="5B2082FD"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2,71</w:t>
            </w:r>
          </w:p>
          <w:p w14:paraId="094E1A13"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2,43</w:t>
            </w:r>
          </w:p>
          <w:p w14:paraId="144B0F8A"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2,74</w:t>
            </w:r>
          </w:p>
        </w:tc>
        <w:tc>
          <w:tcPr>
            <w:tcW w:w="1595" w:type="dxa"/>
          </w:tcPr>
          <w:p w14:paraId="1E9FE34C"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3,27</w:t>
            </w:r>
          </w:p>
          <w:p w14:paraId="76DF9CFE"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3,21</w:t>
            </w:r>
          </w:p>
          <w:p w14:paraId="7B96B9ED"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3,23</w:t>
            </w:r>
          </w:p>
        </w:tc>
        <w:tc>
          <w:tcPr>
            <w:tcW w:w="1595" w:type="dxa"/>
          </w:tcPr>
          <w:p w14:paraId="6067AA76" w14:textId="77777777" w:rsidR="00955548" w:rsidRPr="00AA05D4" w:rsidRDefault="00955548" w:rsidP="007F1912">
            <w:pPr>
              <w:tabs>
                <w:tab w:val="left" w:pos="709"/>
                <w:tab w:val="center" w:pos="5031"/>
                <w:tab w:val="left" w:pos="6668"/>
              </w:tabs>
              <w:jc w:val="center"/>
              <w:rPr>
                <w:rFonts w:cs="Times New Roman"/>
                <w:sz w:val="18"/>
                <w:szCs w:val="18"/>
              </w:rPr>
            </w:pPr>
            <w:r w:rsidRPr="00AA05D4">
              <w:rPr>
                <w:rFonts w:cs="Times New Roman"/>
                <w:sz w:val="18"/>
                <w:szCs w:val="18"/>
              </w:rPr>
              <w:t>40,3</w:t>
            </w:r>
          </w:p>
          <w:p w14:paraId="04036A54"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37,90</w:t>
            </w:r>
          </w:p>
          <w:p w14:paraId="1212DCDA" w14:textId="77777777" w:rsidR="00955548" w:rsidRPr="00AA05D4" w:rsidRDefault="00955548" w:rsidP="00955548">
            <w:pPr>
              <w:tabs>
                <w:tab w:val="left" w:pos="709"/>
                <w:tab w:val="center" w:pos="5031"/>
                <w:tab w:val="left" w:pos="6668"/>
              </w:tabs>
              <w:jc w:val="center"/>
              <w:rPr>
                <w:rFonts w:cs="Times New Roman"/>
                <w:sz w:val="18"/>
                <w:szCs w:val="18"/>
              </w:rPr>
            </w:pPr>
            <w:r w:rsidRPr="00AA05D4">
              <w:rPr>
                <w:rFonts w:cs="Times New Roman"/>
                <w:sz w:val="18"/>
                <w:szCs w:val="18"/>
              </w:rPr>
              <w:t>46,20</w:t>
            </w:r>
          </w:p>
        </w:tc>
      </w:tr>
    </w:tbl>
    <w:p w14:paraId="13E314E9" w14:textId="2D977C21" w:rsidR="005968C2" w:rsidRDefault="005968C2" w:rsidP="005B0458">
      <w:pPr>
        <w:spacing w:before="120" w:after="0"/>
        <w:ind w:firstLine="284"/>
        <w:jc w:val="both"/>
        <w:rPr>
          <w:rFonts w:cs="Times New Roman"/>
          <w:sz w:val="20"/>
          <w:szCs w:val="20"/>
          <w:lang w:val="en-US"/>
        </w:rPr>
      </w:pPr>
      <w:r w:rsidRPr="004506D7">
        <w:rPr>
          <w:rFonts w:cs="Times New Roman"/>
          <w:sz w:val="20"/>
          <w:szCs w:val="20"/>
          <w:lang w:val="en-US"/>
        </w:rPr>
        <w:t>The value of dielectric losses at a frequency of 1 MHz, according to the standard 16336-87, for fire-resistant composites should not be higher than 3</w:t>
      </w:r>
      <w:r w:rsidRPr="004506D7">
        <w:rPr>
          <w:rFonts w:cs="Times New Roman"/>
          <w:sz w:val="20"/>
          <w:szCs w:val="20"/>
        </w:rPr>
        <w:sym w:font="Symbol" w:char="F0D7"/>
      </w:r>
      <w:r w:rsidRPr="004506D7">
        <w:rPr>
          <w:rFonts w:cs="Times New Roman"/>
          <w:sz w:val="20"/>
          <w:szCs w:val="20"/>
          <w:lang w:val="en-US"/>
        </w:rPr>
        <w:t>10</w:t>
      </w:r>
      <w:r w:rsidRPr="004506D7">
        <w:rPr>
          <w:rFonts w:cs="Times New Roman"/>
          <w:sz w:val="20"/>
          <w:szCs w:val="20"/>
          <w:vertAlign w:val="superscript"/>
          <w:lang w:val="en-US"/>
        </w:rPr>
        <w:t>-3</w:t>
      </w:r>
      <w:r w:rsidRPr="004506D7">
        <w:rPr>
          <w:rFonts w:cs="Times New Roman"/>
          <w:sz w:val="20"/>
          <w:szCs w:val="20"/>
          <w:lang w:val="en-US"/>
        </w:rPr>
        <w:t xml:space="preserve">. This value </w:t>
      </w:r>
      <w:proofErr w:type="spellStart"/>
      <w:r w:rsidRPr="004506D7">
        <w:rPr>
          <w:rFonts w:cs="Times New Roman"/>
          <w:sz w:val="20"/>
          <w:szCs w:val="20"/>
          <w:lang w:val="en-US"/>
        </w:rPr>
        <w:t>tg</w:t>
      </w:r>
      <w:proofErr w:type="spellEnd"/>
      <w:r w:rsidRPr="004506D7">
        <w:rPr>
          <w:rFonts w:cs="Times New Roman"/>
          <w:sz w:val="20"/>
          <w:szCs w:val="20"/>
          <w:lang w:val="az-Latn-AZ"/>
        </w:rPr>
        <w:sym w:font="Symbol" w:char="F064"/>
      </w:r>
      <w:r w:rsidRPr="004506D7">
        <w:rPr>
          <w:rFonts w:cs="Times New Roman"/>
          <w:sz w:val="20"/>
          <w:szCs w:val="20"/>
          <w:lang w:val="en-US"/>
        </w:rPr>
        <w:t xml:space="preserve"> is much higher than the maximum value of </w:t>
      </w:r>
      <w:proofErr w:type="spellStart"/>
      <w:r w:rsidRPr="004506D7">
        <w:rPr>
          <w:rFonts w:cs="Times New Roman"/>
          <w:sz w:val="20"/>
          <w:szCs w:val="20"/>
          <w:lang w:val="en-US"/>
        </w:rPr>
        <w:t>tg</w:t>
      </w:r>
      <w:proofErr w:type="spellEnd"/>
      <w:r w:rsidRPr="004506D7">
        <w:rPr>
          <w:rFonts w:cs="Times New Roman"/>
          <w:sz w:val="20"/>
          <w:szCs w:val="20"/>
          <w:lang w:val="az-Latn-AZ"/>
        </w:rPr>
        <w:sym w:font="Symbol" w:char="F064"/>
      </w:r>
      <w:r w:rsidRPr="004506D7">
        <w:rPr>
          <w:rFonts w:cs="Times New Roman"/>
          <w:sz w:val="20"/>
          <w:szCs w:val="20"/>
          <w:lang w:val="en-US"/>
        </w:rPr>
        <w:t xml:space="preserve"> value, equal to 7</w:t>
      </w:r>
      <w:r w:rsidRPr="004506D7">
        <w:rPr>
          <w:rFonts w:cs="Times New Roman"/>
          <w:sz w:val="20"/>
          <w:szCs w:val="20"/>
        </w:rPr>
        <w:sym w:font="Symbol" w:char="F0D7"/>
      </w:r>
      <w:r w:rsidRPr="004506D7">
        <w:rPr>
          <w:rFonts w:cs="Times New Roman"/>
          <w:sz w:val="20"/>
          <w:szCs w:val="20"/>
          <w:lang w:val="en-US"/>
        </w:rPr>
        <w:t>10</w:t>
      </w:r>
      <w:r w:rsidRPr="004506D7">
        <w:rPr>
          <w:rFonts w:cs="Times New Roman"/>
          <w:sz w:val="20"/>
          <w:szCs w:val="20"/>
          <w:vertAlign w:val="superscript"/>
          <w:lang w:val="en-US"/>
        </w:rPr>
        <w:t>-4</w:t>
      </w:r>
      <w:r w:rsidRPr="004506D7">
        <w:rPr>
          <w:rFonts w:cs="Times New Roman"/>
          <w:sz w:val="20"/>
          <w:szCs w:val="20"/>
          <w:lang w:val="en-US"/>
        </w:rPr>
        <w:t xml:space="preserve">, obtained for </w:t>
      </w:r>
      <w:r w:rsidR="00C71BC5" w:rsidRPr="004506D7">
        <w:rPr>
          <w:rFonts w:cs="Times New Roman"/>
          <w:sz w:val="20"/>
          <w:szCs w:val="20"/>
          <w:lang w:val="en-US"/>
        </w:rPr>
        <w:t>NFPC</w:t>
      </w:r>
      <w:r w:rsidRPr="004506D7">
        <w:rPr>
          <w:rFonts w:cs="Times New Roman"/>
          <w:sz w:val="20"/>
          <w:szCs w:val="20"/>
          <w:lang w:val="en-US"/>
        </w:rPr>
        <w:t xml:space="preserve">-30 composites in the temperature range from -150 to 80 </w:t>
      </w:r>
      <w:r w:rsidRPr="004506D7">
        <w:rPr>
          <w:rFonts w:cs="Times New Roman"/>
          <w:sz w:val="20"/>
          <w:szCs w:val="20"/>
          <w:vertAlign w:val="superscript"/>
          <w:lang w:val="en-US"/>
        </w:rPr>
        <w:t>0</w:t>
      </w:r>
      <w:r w:rsidRPr="004506D7">
        <w:rPr>
          <w:rFonts w:cs="Times New Roman"/>
          <w:sz w:val="20"/>
          <w:szCs w:val="20"/>
          <w:lang w:val="en-US"/>
        </w:rPr>
        <w:t xml:space="preserve">C. </w:t>
      </w:r>
    </w:p>
    <w:p w14:paraId="2781D728" w14:textId="3B27D2DA" w:rsidR="00AA05D4" w:rsidRPr="004506D7" w:rsidRDefault="00AA05D4" w:rsidP="00AA05D4">
      <w:pPr>
        <w:spacing w:before="240" w:after="240"/>
        <w:jc w:val="center"/>
        <w:rPr>
          <w:rFonts w:cs="Times New Roman"/>
          <w:sz w:val="20"/>
          <w:szCs w:val="20"/>
          <w:lang w:val="en-US"/>
        </w:rPr>
      </w:pPr>
      <w:r w:rsidRPr="006E0CD0">
        <w:rPr>
          <w:rFonts w:eastAsiaTheme="minorEastAsia"/>
          <w:b/>
          <w:sz w:val="24"/>
          <w:szCs w:val="24"/>
          <w:lang w:val="uz-Cyrl-UZ"/>
        </w:rPr>
        <w:t>CONCLUSION</w:t>
      </w:r>
    </w:p>
    <w:p w14:paraId="565CB4DC" w14:textId="3CE42DE5" w:rsidR="005936A6" w:rsidRDefault="005936A6" w:rsidP="005B0458">
      <w:pPr>
        <w:spacing w:after="0"/>
        <w:ind w:firstLine="284"/>
        <w:jc w:val="both"/>
        <w:rPr>
          <w:rFonts w:cs="Times New Roman"/>
          <w:sz w:val="20"/>
          <w:szCs w:val="20"/>
          <w:lang w:val="az-Latn-AZ"/>
        </w:rPr>
      </w:pPr>
      <w:r w:rsidRPr="004506D7">
        <w:rPr>
          <w:rFonts w:cs="Times New Roman"/>
          <w:sz w:val="20"/>
          <w:szCs w:val="20"/>
          <w:lang w:val="az-Latn-AZ"/>
        </w:rPr>
        <w:t>It can be seen from the presented data that the scatter of the obtained experimental data (Δtg</w:t>
      </w:r>
      <w:r w:rsidRPr="004506D7">
        <w:rPr>
          <w:rFonts w:cs="Times New Roman"/>
          <w:sz w:val="20"/>
          <w:szCs w:val="20"/>
          <w:lang w:val="az-Latn-AZ"/>
        </w:rPr>
        <w:sym w:font="Symbol" w:char="F064"/>
      </w:r>
      <w:r w:rsidRPr="004506D7">
        <w:rPr>
          <w:rFonts w:cs="Times New Roman"/>
          <w:sz w:val="20"/>
          <w:szCs w:val="20"/>
          <w:lang w:val="az-Latn-AZ"/>
        </w:rPr>
        <w:t xml:space="preserve"> and Δε</w:t>
      </w:r>
      <w:r w:rsidRPr="004506D7">
        <w:rPr>
          <w:rFonts w:cs="Times New Roman"/>
          <w:sz w:val="20"/>
          <w:szCs w:val="20"/>
          <w:vertAlign w:val="superscript"/>
          <w:lang w:val="az-Latn-AZ"/>
        </w:rPr>
        <w:t>/</w:t>
      </w:r>
      <w:r w:rsidRPr="004506D7">
        <w:rPr>
          <w:rFonts w:cs="Times New Roman"/>
          <w:sz w:val="20"/>
          <w:szCs w:val="20"/>
          <w:lang w:val="az-Latn-AZ"/>
        </w:rPr>
        <w:t>) is within the measurement error (</w:t>
      </w:r>
      <w:r w:rsidRPr="004506D7">
        <w:rPr>
          <w:rFonts w:cs="Times New Roman"/>
          <w:sz w:val="20"/>
          <w:szCs w:val="20"/>
          <w:lang w:val="az-Latn-AZ"/>
        </w:rPr>
        <w:sym w:font="Symbol" w:char="F064"/>
      </w:r>
      <w:r w:rsidRPr="004506D7">
        <w:rPr>
          <w:rFonts w:cs="Times New Roman"/>
          <w:sz w:val="20"/>
          <w:szCs w:val="20"/>
          <w:lang w:val="az-Latn-AZ"/>
        </w:rPr>
        <w:t>tg</w:t>
      </w:r>
      <w:r w:rsidRPr="004506D7">
        <w:rPr>
          <w:rFonts w:cs="Times New Roman"/>
          <w:sz w:val="20"/>
          <w:szCs w:val="20"/>
          <w:lang w:val="az-Latn-AZ"/>
        </w:rPr>
        <w:sym w:font="Symbol" w:char="F064"/>
      </w:r>
      <w:r w:rsidRPr="004506D7">
        <w:rPr>
          <w:rFonts w:cs="Times New Roman"/>
          <w:sz w:val="20"/>
          <w:szCs w:val="20"/>
          <w:lang w:val="en-US"/>
        </w:rPr>
        <w:t xml:space="preserve"> </w:t>
      </w:r>
      <w:r w:rsidRPr="004506D7">
        <w:rPr>
          <w:rFonts w:cs="Times New Roman"/>
          <w:sz w:val="20"/>
          <w:szCs w:val="20"/>
          <w:lang w:val="az-Latn-AZ"/>
        </w:rPr>
        <w:t xml:space="preserve">and </w:t>
      </w:r>
      <w:r w:rsidRPr="004506D7">
        <w:rPr>
          <w:rFonts w:cs="Times New Roman"/>
          <w:sz w:val="20"/>
          <w:szCs w:val="20"/>
          <w:lang w:val="az-Latn-AZ"/>
        </w:rPr>
        <w:sym w:font="Symbol" w:char="F064"/>
      </w:r>
      <w:r w:rsidRPr="004506D7">
        <w:rPr>
          <w:rFonts w:cs="Times New Roman"/>
          <w:sz w:val="20"/>
          <w:szCs w:val="20"/>
          <w:lang w:val="az-Latn-AZ"/>
        </w:rPr>
        <w:t>ε</w:t>
      </w:r>
      <w:r w:rsidRPr="004506D7">
        <w:rPr>
          <w:rFonts w:cs="Times New Roman"/>
          <w:sz w:val="20"/>
          <w:szCs w:val="20"/>
          <w:vertAlign w:val="superscript"/>
          <w:lang w:val="az-Latn-AZ"/>
        </w:rPr>
        <w:t>/</w:t>
      </w:r>
      <w:r w:rsidRPr="004506D7">
        <w:rPr>
          <w:rFonts w:cs="Times New Roman"/>
          <w:sz w:val="20"/>
          <w:szCs w:val="20"/>
          <w:lang w:val="az-Latn-AZ"/>
        </w:rPr>
        <w:t>). The measurement results indicate that at 3.1 GHz LPPE (</w:t>
      </w:r>
      <w:r w:rsidRPr="004506D7">
        <w:rPr>
          <w:sz w:val="20"/>
          <w:szCs w:val="20"/>
          <w:lang w:val="en-US"/>
        </w:rPr>
        <w:t>source</w:t>
      </w:r>
      <w:r w:rsidRPr="004506D7">
        <w:rPr>
          <w:rFonts w:cs="Times New Roman"/>
          <w:sz w:val="20"/>
          <w:szCs w:val="20"/>
          <w:lang w:val="az-Latn-AZ"/>
        </w:rPr>
        <w:t>) has lower losses compared to HPPE (</w:t>
      </w:r>
      <w:r w:rsidRPr="004506D7">
        <w:rPr>
          <w:sz w:val="20"/>
          <w:szCs w:val="20"/>
          <w:lang w:val="en-US"/>
        </w:rPr>
        <w:t>source</w:t>
      </w:r>
      <w:r w:rsidRPr="004506D7">
        <w:rPr>
          <w:rFonts w:cs="Times New Roman"/>
          <w:sz w:val="20"/>
          <w:szCs w:val="20"/>
          <w:lang w:val="az-Latn-AZ"/>
        </w:rPr>
        <w:t>), and the values of ε/ for these materials are almost the same. The addition of filler to LPPE leads to an increase in both measured parameters (tg</w:t>
      </w:r>
      <w:r w:rsidRPr="004506D7">
        <w:rPr>
          <w:rFonts w:cs="Times New Roman"/>
          <w:sz w:val="20"/>
          <w:szCs w:val="20"/>
          <w:lang w:val="az-Latn-AZ"/>
        </w:rPr>
        <w:sym w:font="Symbol" w:char="F064"/>
      </w:r>
      <w:r w:rsidRPr="004506D7">
        <w:rPr>
          <w:rFonts w:cs="Times New Roman"/>
          <w:sz w:val="20"/>
          <w:szCs w:val="20"/>
          <w:lang w:val="az-Latn-AZ"/>
        </w:rPr>
        <w:t xml:space="preserve"> and ε</w:t>
      </w:r>
      <w:r w:rsidRPr="004506D7">
        <w:rPr>
          <w:rFonts w:cs="Times New Roman"/>
          <w:sz w:val="20"/>
          <w:szCs w:val="20"/>
          <w:vertAlign w:val="superscript"/>
          <w:lang w:val="az-Latn-AZ"/>
        </w:rPr>
        <w:t>/</w:t>
      </w:r>
      <w:r w:rsidRPr="004506D7">
        <w:rPr>
          <w:rFonts w:cs="Times New Roman"/>
          <w:sz w:val="20"/>
          <w:szCs w:val="20"/>
          <w:lang w:val="az-Latn-AZ"/>
        </w:rPr>
        <w:t>).</w:t>
      </w:r>
    </w:p>
    <w:p w14:paraId="7BF32CAE" w14:textId="7C2EA1BC" w:rsidR="004506D7" w:rsidRPr="00AA05D4" w:rsidRDefault="00AA05D4" w:rsidP="00AA05D4">
      <w:pPr>
        <w:spacing w:before="240" w:after="240"/>
        <w:jc w:val="center"/>
        <w:rPr>
          <w:rFonts w:eastAsiaTheme="minorEastAsia"/>
          <w:b/>
          <w:sz w:val="24"/>
          <w:szCs w:val="24"/>
          <w:lang w:val="en-US"/>
        </w:rPr>
      </w:pPr>
      <w:r w:rsidRPr="00FC534C">
        <w:rPr>
          <w:rFonts w:eastAsiaTheme="minorEastAsia"/>
          <w:b/>
          <w:sz w:val="24"/>
          <w:szCs w:val="24"/>
          <w:lang w:val="uz-Cyrl-UZ"/>
        </w:rPr>
        <w:t>REFERENCES</w:t>
      </w:r>
    </w:p>
    <w:p w14:paraId="46957D7B" w14:textId="2C63B4A9"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T. Abraham and C. McMahan, “Thermoplastic Elastomers: Fundamentals and Applications,” in </w:t>
      </w:r>
      <w:r w:rsidRPr="005B0458">
        <w:rPr>
          <w:rStyle w:val="af"/>
          <w:sz w:val="20"/>
          <w:szCs w:val="20"/>
          <w:lang w:val="en-US"/>
        </w:rPr>
        <w:t>Rubber Compounding Chemistry and Applications</w:t>
      </w:r>
      <w:r w:rsidRPr="005B0458">
        <w:rPr>
          <w:sz w:val="20"/>
          <w:szCs w:val="20"/>
          <w:lang w:val="en-US"/>
        </w:rPr>
        <w:t>, edited by B. Rodgers (Marcel Dekker, New York–Basel, 2004), pp. 170–246.</w:t>
      </w:r>
    </w:p>
    <w:p w14:paraId="6FFBBDF5" w14:textId="2B688A04"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N. Aljammal, C. Jabbour, Z. Lu, S. Chaemchuen, T. Juzsakova, and F. Verpoort, “Flexibility in metal–organic frameworks: A basic understanding,” Catalysts </w:t>
      </w:r>
      <w:r w:rsidRPr="005B0458">
        <w:rPr>
          <w:rStyle w:val="af0"/>
          <w:sz w:val="20"/>
          <w:szCs w:val="20"/>
          <w:lang w:val="en-US"/>
        </w:rPr>
        <w:t>9</w:t>
      </w:r>
      <w:r w:rsidRPr="005B0458">
        <w:rPr>
          <w:sz w:val="20"/>
          <w:szCs w:val="20"/>
          <w:lang w:val="en-US"/>
        </w:rPr>
        <w:t>(6), 1–31 (2019).</w:t>
      </w:r>
    </w:p>
    <w:p w14:paraId="27B35DE3" w14:textId="64837406"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lastRenderedPageBreak/>
        <w:t xml:space="preserve">H. S. Aliyev, S. N. Namazov, M. M. Guliyev, and R. S. Ismayilova, “Properties of polyvinyl-chloride, graphite composites for high-voltage application,” in </w:t>
      </w:r>
      <w:r w:rsidRPr="005B0458">
        <w:rPr>
          <w:rStyle w:val="af"/>
          <w:sz w:val="20"/>
          <w:szCs w:val="20"/>
          <w:lang w:val="en-US"/>
        </w:rPr>
        <w:t>Proc. 2017 IEEE 58th Int. Sci. Conf. on Power and Electrical Engineering of Riga Technical Univ.</w:t>
      </w:r>
      <w:r w:rsidRPr="005B0458">
        <w:rPr>
          <w:sz w:val="20"/>
          <w:szCs w:val="20"/>
          <w:lang w:val="en-US"/>
        </w:rPr>
        <w:t xml:space="preserve"> (IEEE, Riga, 2017).</w:t>
      </w:r>
    </w:p>
    <w:p w14:paraId="272586F0" w14:textId="2206E957"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M. Tanoglu, S. Robert, D. Heider, S. H. McKnight, V. Brachos, and J. W. Gillespie Jr., “Effects of thermoplastic preforming binder on the properties of S2-glass fabric reinforced epoxy composites,” Int. J. Adhes. Adhes. </w:t>
      </w:r>
      <w:r w:rsidRPr="005B0458">
        <w:rPr>
          <w:rStyle w:val="af0"/>
          <w:sz w:val="20"/>
          <w:szCs w:val="20"/>
          <w:lang w:val="en-US"/>
        </w:rPr>
        <w:t>21</w:t>
      </w:r>
      <w:r w:rsidRPr="005B0458">
        <w:rPr>
          <w:sz w:val="20"/>
          <w:szCs w:val="20"/>
          <w:lang w:val="en-US"/>
        </w:rPr>
        <w:t>, 187–195 (2001).</w:t>
      </w:r>
    </w:p>
    <w:p w14:paraId="65B664E0" w14:textId="7E327C4D"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L. Nicolais and A. Borzacchiello (eds.), S. M. Lee (founding ed.), </w:t>
      </w:r>
      <w:r w:rsidRPr="005B0458">
        <w:rPr>
          <w:rStyle w:val="af"/>
          <w:sz w:val="20"/>
          <w:szCs w:val="20"/>
          <w:lang w:val="en-US"/>
        </w:rPr>
        <w:t>Wiley Encyclopedia of Composites</w:t>
      </w:r>
      <w:r w:rsidRPr="005B0458">
        <w:rPr>
          <w:sz w:val="20"/>
          <w:szCs w:val="20"/>
          <w:lang w:val="en-US"/>
        </w:rPr>
        <w:t>, 5 Vol. Set, 2nd ed. (John Wiley &amp; Sons, Hoboken, 2012).</w:t>
      </w:r>
    </w:p>
    <w:p w14:paraId="2148CE5A" w14:textId="71D7A409"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J. Summerscales and T. J. Searle, “Low pressure (vacuum infusion) techniques for moulding large composite structures,” Proc. Inst. Mech. Eng., Part L: J. Mater. Des. Appl. </w:t>
      </w:r>
      <w:r w:rsidRPr="005B0458">
        <w:rPr>
          <w:rStyle w:val="af0"/>
          <w:sz w:val="20"/>
          <w:szCs w:val="20"/>
          <w:lang w:val="en-US"/>
        </w:rPr>
        <w:t>219L</w:t>
      </w:r>
      <w:r w:rsidRPr="005B0458">
        <w:rPr>
          <w:sz w:val="20"/>
          <w:szCs w:val="20"/>
          <w:lang w:val="en-US"/>
        </w:rPr>
        <w:t>(1), 45–58 (2005).</w:t>
      </w:r>
    </w:p>
    <w:p w14:paraId="01211888" w14:textId="78BCD617"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S. Schmidt, T. Mahrholz, A. Kuhn, and P. Wierach, “Powder binders used for the manufacturing of wind turbine rotor blades. Part 1. Characterization of resin–binder interaction and preform properties,” Polym. Compos. </w:t>
      </w:r>
      <w:r w:rsidRPr="005B0458">
        <w:rPr>
          <w:rStyle w:val="af0"/>
          <w:sz w:val="20"/>
          <w:szCs w:val="20"/>
          <w:lang w:val="en-US"/>
        </w:rPr>
        <w:t>39</w:t>
      </w:r>
      <w:r w:rsidRPr="005B0458">
        <w:rPr>
          <w:sz w:val="20"/>
          <w:szCs w:val="20"/>
          <w:lang w:val="en-US"/>
        </w:rPr>
        <w:t>(3), 708–717 (2016).</w:t>
      </w:r>
    </w:p>
    <w:p w14:paraId="6DB6D7F8" w14:textId="7F6E350D"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Kh. S. Aliev and M. M. Quliyev, “Electric conductivity and dielectric dispersion of polyvinylchloride–graphite composites,” Surf. Eng. Appl. Electrochem. </w:t>
      </w:r>
      <w:r w:rsidRPr="005B0458">
        <w:rPr>
          <w:rStyle w:val="af0"/>
          <w:sz w:val="20"/>
          <w:szCs w:val="20"/>
          <w:lang w:val="en-US"/>
        </w:rPr>
        <w:t>54</w:t>
      </w:r>
      <w:r w:rsidRPr="005B0458">
        <w:rPr>
          <w:sz w:val="20"/>
          <w:szCs w:val="20"/>
          <w:lang w:val="en-US"/>
        </w:rPr>
        <w:t>(2), 117–124 (2018).</w:t>
      </w:r>
    </w:p>
    <w:p w14:paraId="1A8838A3" w14:textId="41F627F0"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H. S. Aliyev, “Some features of interphase phenomena in heat-conducting composite materials used in microelectronics,” Int. J. Innov. Res. Electron. Commun. (IJIREC) </w:t>
      </w:r>
      <w:r w:rsidRPr="005B0458">
        <w:rPr>
          <w:rStyle w:val="af0"/>
          <w:sz w:val="20"/>
          <w:szCs w:val="20"/>
          <w:lang w:val="en-US"/>
        </w:rPr>
        <w:t>7</w:t>
      </w:r>
      <w:r w:rsidRPr="005B0458">
        <w:rPr>
          <w:sz w:val="20"/>
          <w:szCs w:val="20"/>
          <w:lang w:val="en-US"/>
        </w:rPr>
        <w:t>(3), 1–5 (2020).</w:t>
      </w:r>
    </w:p>
    <w:p w14:paraId="76F187AC" w14:textId="1B66F18A"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H. S. Aliyev and H. V. Fattayev, “Impedance spectroscopy of polymer–ceramic composites,” </w:t>
      </w:r>
      <w:r w:rsidRPr="005B0458">
        <w:rPr>
          <w:rStyle w:val="af"/>
          <w:sz w:val="20"/>
          <w:szCs w:val="20"/>
          <w:lang w:val="en-US"/>
        </w:rPr>
        <w:t>SOCAR Proc.</w:t>
      </w:r>
      <w:r w:rsidRPr="005B0458">
        <w:rPr>
          <w:sz w:val="20"/>
          <w:szCs w:val="20"/>
          <w:lang w:val="en-US"/>
        </w:rPr>
        <w:t xml:space="preserve"> Spec. Iss. </w:t>
      </w:r>
      <w:r w:rsidRPr="005B0458">
        <w:rPr>
          <w:rStyle w:val="af0"/>
          <w:sz w:val="20"/>
          <w:szCs w:val="20"/>
          <w:lang w:val="en-US"/>
        </w:rPr>
        <w:t>1</w:t>
      </w:r>
      <w:r w:rsidRPr="005B0458">
        <w:rPr>
          <w:sz w:val="20"/>
          <w:szCs w:val="20"/>
          <w:lang w:val="en-US"/>
        </w:rPr>
        <w:t>, 10–18 (2022).</w:t>
      </w:r>
    </w:p>
    <w:p w14:paraId="2AEED61C" w14:textId="574CFC52" w:rsidR="005B0458" w:rsidRPr="005B0458" w:rsidRDefault="005B0458" w:rsidP="005B0458">
      <w:pPr>
        <w:pStyle w:val="ae"/>
        <w:numPr>
          <w:ilvl w:val="0"/>
          <w:numId w:val="3"/>
        </w:numPr>
        <w:spacing w:before="0" w:beforeAutospacing="0" w:after="0" w:afterAutospacing="0"/>
        <w:ind w:left="425" w:hanging="425"/>
        <w:jc w:val="both"/>
        <w:rPr>
          <w:sz w:val="20"/>
          <w:szCs w:val="20"/>
          <w:lang w:val="en-US"/>
        </w:rPr>
      </w:pPr>
      <w:r w:rsidRPr="005B0458">
        <w:rPr>
          <w:sz w:val="20"/>
          <w:szCs w:val="20"/>
          <w:lang w:val="en-US"/>
        </w:rPr>
        <w:t xml:space="preserve">H. S. Aliyev, S. N. Namazov, M. M. Guliyev, and R. S. Ismayilova, “Thermally conducting composites for power electronics,” in </w:t>
      </w:r>
      <w:r w:rsidRPr="005B0458">
        <w:rPr>
          <w:rStyle w:val="af"/>
          <w:sz w:val="20"/>
          <w:szCs w:val="20"/>
          <w:lang w:val="en-US"/>
        </w:rPr>
        <w:t>Proc. IEEE 60th Int. Sci. Conf. on Power and Electrical Engineering of Riga Technical Univ. (RTUCON)</w:t>
      </w:r>
      <w:r w:rsidRPr="005B0458">
        <w:rPr>
          <w:sz w:val="20"/>
          <w:szCs w:val="20"/>
          <w:lang w:val="en-US"/>
        </w:rPr>
        <w:t xml:space="preserve"> (IEEE, Riga, 2019), available at </w:t>
      </w:r>
      <w:hyperlink r:id="rId12" w:tgtFrame="_new" w:history="1">
        <w:r w:rsidRPr="005B0458">
          <w:rPr>
            <w:rStyle w:val="a3"/>
            <w:sz w:val="20"/>
            <w:szCs w:val="20"/>
            <w:lang w:val="en-US"/>
          </w:rPr>
          <w:t>https://www.researchgate.net/scientific-contributions/HS-Aliyev-2135786561</w:t>
        </w:r>
      </w:hyperlink>
      <w:r w:rsidRPr="005B0458">
        <w:rPr>
          <w:sz w:val="20"/>
          <w:szCs w:val="20"/>
          <w:lang w:val="en-US"/>
        </w:rPr>
        <w:t>.</w:t>
      </w:r>
    </w:p>
    <w:sectPr w:rsidR="005B0458" w:rsidRPr="005B0458" w:rsidSect="00042978">
      <w:pgSz w:w="11906" w:h="16838" w:code="9"/>
      <w:pgMar w:top="1134" w:right="566"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616C"/>
    <w:multiLevelType w:val="hybridMultilevel"/>
    <w:tmpl w:val="B19AE658"/>
    <w:lvl w:ilvl="0" w:tplc="D3227EE6">
      <w:numFmt w:val="bullet"/>
      <w:lvlText w:val=""/>
      <w:lvlJc w:val="left"/>
      <w:pPr>
        <w:ind w:left="750" w:hanging="39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F1839"/>
    <w:multiLevelType w:val="hybridMultilevel"/>
    <w:tmpl w:val="F94A3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704E4A"/>
    <w:multiLevelType w:val="hybridMultilevel"/>
    <w:tmpl w:val="012083F0"/>
    <w:lvl w:ilvl="0" w:tplc="31F27F0A">
      <w:start w:val="1"/>
      <w:numFmt w:val="decimal"/>
      <w:lvlText w:val="%1."/>
      <w:lvlJc w:val="left"/>
      <w:pPr>
        <w:ind w:left="360" w:hanging="360"/>
      </w:pPr>
      <w:rPr>
        <w:rFonts w:hint="default"/>
        <w:b w:val="0"/>
        <w:i w:val="0"/>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5E8116E"/>
    <w:multiLevelType w:val="hybridMultilevel"/>
    <w:tmpl w:val="82AC7A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90"/>
    <w:rsid w:val="00042978"/>
    <w:rsid w:val="0004525D"/>
    <w:rsid w:val="00077FA5"/>
    <w:rsid w:val="000E2829"/>
    <w:rsid w:val="000E4E52"/>
    <w:rsid w:val="000F112D"/>
    <w:rsid w:val="00113CFD"/>
    <w:rsid w:val="001964AA"/>
    <w:rsid w:val="001A285D"/>
    <w:rsid w:val="001B1864"/>
    <w:rsid w:val="001C5EDD"/>
    <w:rsid w:val="001D18A5"/>
    <w:rsid w:val="001D2FDA"/>
    <w:rsid w:val="001F3A0F"/>
    <w:rsid w:val="0020534E"/>
    <w:rsid w:val="00226FCC"/>
    <w:rsid w:val="00231081"/>
    <w:rsid w:val="00257689"/>
    <w:rsid w:val="00264F64"/>
    <w:rsid w:val="00266F29"/>
    <w:rsid w:val="002B6BDA"/>
    <w:rsid w:val="002E7ED9"/>
    <w:rsid w:val="002F5D90"/>
    <w:rsid w:val="0035097C"/>
    <w:rsid w:val="003563FB"/>
    <w:rsid w:val="00375268"/>
    <w:rsid w:val="003A6763"/>
    <w:rsid w:val="003A690B"/>
    <w:rsid w:val="003B068D"/>
    <w:rsid w:val="003B2A5E"/>
    <w:rsid w:val="003B2EA0"/>
    <w:rsid w:val="003C3593"/>
    <w:rsid w:val="0042220D"/>
    <w:rsid w:val="004506D7"/>
    <w:rsid w:val="0048400C"/>
    <w:rsid w:val="0049584C"/>
    <w:rsid w:val="00505479"/>
    <w:rsid w:val="00533BAC"/>
    <w:rsid w:val="00535865"/>
    <w:rsid w:val="00576DDE"/>
    <w:rsid w:val="005936A6"/>
    <w:rsid w:val="005968C2"/>
    <w:rsid w:val="005972BB"/>
    <w:rsid w:val="005B0458"/>
    <w:rsid w:val="005C451B"/>
    <w:rsid w:val="005D7C3B"/>
    <w:rsid w:val="00614E69"/>
    <w:rsid w:val="00615879"/>
    <w:rsid w:val="00625206"/>
    <w:rsid w:val="0068360D"/>
    <w:rsid w:val="00695A36"/>
    <w:rsid w:val="006C0B77"/>
    <w:rsid w:val="006C6337"/>
    <w:rsid w:val="006D7851"/>
    <w:rsid w:val="007071C2"/>
    <w:rsid w:val="0071131D"/>
    <w:rsid w:val="00721622"/>
    <w:rsid w:val="00734548"/>
    <w:rsid w:val="0079389A"/>
    <w:rsid w:val="00795F63"/>
    <w:rsid w:val="007A7E91"/>
    <w:rsid w:val="007C2585"/>
    <w:rsid w:val="00804711"/>
    <w:rsid w:val="008242FF"/>
    <w:rsid w:val="00826535"/>
    <w:rsid w:val="0083072B"/>
    <w:rsid w:val="008439E6"/>
    <w:rsid w:val="00862EF8"/>
    <w:rsid w:val="00870751"/>
    <w:rsid w:val="008A29A3"/>
    <w:rsid w:val="008B4EEF"/>
    <w:rsid w:val="008E209A"/>
    <w:rsid w:val="00922C48"/>
    <w:rsid w:val="00934EE9"/>
    <w:rsid w:val="00943D85"/>
    <w:rsid w:val="009478B4"/>
    <w:rsid w:val="00955548"/>
    <w:rsid w:val="009574E1"/>
    <w:rsid w:val="00962A6F"/>
    <w:rsid w:val="0098788E"/>
    <w:rsid w:val="009F6C44"/>
    <w:rsid w:val="00A01352"/>
    <w:rsid w:val="00A42FE7"/>
    <w:rsid w:val="00A4404C"/>
    <w:rsid w:val="00A533AF"/>
    <w:rsid w:val="00AA040E"/>
    <w:rsid w:val="00AA05D4"/>
    <w:rsid w:val="00AA09CB"/>
    <w:rsid w:val="00AA14C1"/>
    <w:rsid w:val="00AA180E"/>
    <w:rsid w:val="00AA22A8"/>
    <w:rsid w:val="00AA55FF"/>
    <w:rsid w:val="00AB25E6"/>
    <w:rsid w:val="00AB529F"/>
    <w:rsid w:val="00B03148"/>
    <w:rsid w:val="00B15E2D"/>
    <w:rsid w:val="00B326E6"/>
    <w:rsid w:val="00B36A9A"/>
    <w:rsid w:val="00B42BEC"/>
    <w:rsid w:val="00B52C3F"/>
    <w:rsid w:val="00B70C50"/>
    <w:rsid w:val="00B915B7"/>
    <w:rsid w:val="00B96A35"/>
    <w:rsid w:val="00BD6478"/>
    <w:rsid w:val="00BF6035"/>
    <w:rsid w:val="00C46571"/>
    <w:rsid w:val="00C71BC5"/>
    <w:rsid w:val="00C837BA"/>
    <w:rsid w:val="00C85953"/>
    <w:rsid w:val="00CA41F0"/>
    <w:rsid w:val="00CB0EBE"/>
    <w:rsid w:val="00CE49F7"/>
    <w:rsid w:val="00CF07CE"/>
    <w:rsid w:val="00D47036"/>
    <w:rsid w:val="00D97408"/>
    <w:rsid w:val="00DA4A73"/>
    <w:rsid w:val="00E22AF5"/>
    <w:rsid w:val="00E374F3"/>
    <w:rsid w:val="00E7537B"/>
    <w:rsid w:val="00E8228D"/>
    <w:rsid w:val="00E9159A"/>
    <w:rsid w:val="00EA59DF"/>
    <w:rsid w:val="00ED0320"/>
    <w:rsid w:val="00EE4070"/>
    <w:rsid w:val="00F05C64"/>
    <w:rsid w:val="00F12C76"/>
    <w:rsid w:val="00F1455C"/>
    <w:rsid w:val="00F158BB"/>
    <w:rsid w:val="00F16D6C"/>
    <w:rsid w:val="00F4302D"/>
    <w:rsid w:val="00F50DAA"/>
    <w:rsid w:val="00F613EC"/>
    <w:rsid w:val="00F8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9E65"/>
  <w15:docId w15:val="{449548D0-4374-4C40-9E95-B46BE4FA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5D90"/>
    <w:pPr>
      <w:spacing w:line="240" w:lineRule="auto"/>
    </w:pPr>
    <w:rPr>
      <w:rFonts w:ascii="Times New Roman" w:hAnsi="Times New Roman"/>
      <w:sz w:val="28"/>
    </w:rPr>
  </w:style>
  <w:style w:type="paragraph" w:styleId="1">
    <w:name w:val="heading 1"/>
    <w:basedOn w:val="a"/>
    <w:next w:val="a"/>
    <w:link w:val="10"/>
    <w:qFormat/>
    <w:rsid w:val="00042978"/>
    <w:pPr>
      <w:keepNext/>
      <w:spacing w:before="240" w:after="60"/>
      <w:outlineLvl w:val="0"/>
    </w:pPr>
    <w:rPr>
      <w:rFonts w:ascii="Arial" w:eastAsiaTheme="majorEastAsia"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2F5D90"/>
    <w:rPr>
      <w:color w:val="0563C1" w:themeColor="hyperlink"/>
      <w:u w:val="single"/>
    </w:rPr>
  </w:style>
  <w:style w:type="paragraph" w:styleId="a4">
    <w:name w:val="Balloon Text"/>
    <w:basedOn w:val="a"/>
    <w:link w:val="a5"/>
    <w:uiPriority w:val="99"/>
    <w:semiHidden/>
    <w:unhideWhenUsed/>
    <w:rsid w:val="00C85953"/>
    <w:pPr>
      <w:spacing w:after="0"/>
    </w:pPr>
    <w:rPr>
      <w:rFonts w:ascii="Tahoma" w:hAnsi="Tahoma" w:cs="Tahoma"/>
      <w:sz w:val="16"/>
      <w:szCs w:val="16"/>
    </w:rPr>
  </w:style>
  <w:style w:type="character" w:customStyle="1" w:styleId="a5">
    <w:name w:val="Текст выноски Знак"/>
    <w:basedOn w:val="a0"/>
    <w:link w:val="a4"/>
    <w:uiPriority w:val="99"/>
    <w:semiHidden/>
    <w:rsid w:val="00C85953"/>
    <w:rPr>
      <w:rFonts w:ascii="Tahoma" w:hAnsi="Tahoma" w:cs="Tahoma"/>
      <w:sz w:val="16"/>
      <w:szCs w:val="16"/>
    </w:rPr>
  </w:style>
  <w:style w:type="table" w:styleId="a6">
    <w:name w:val="Table Grid"/>
    <w:basedOn w:val="a1"/>
    <w:uiPriority w:val="39"/>
    <w:rsid w:val="00F8788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annotation reference"/>
    <w:basedOn w:val="a0"/>
    <w:uiPriority w:val="99"/>
    <w:semiHidden/>
    <w:unhideWhenUsed/>
    <w:rsid w:val="00A42FE7"/>
    <w:rPr>
      <w:sz w:val="16"/>
      <w:szCs w:val="16"/>
    </w:rPr>
  </w:style>
  <w:style w:type="paragraph" w:styleId="a8">
    <w:name w:val="annotation text"/>
    <w:basedOn w:val="a"/>
    <w:link w:val="a9"/>
    <w:uiPriority w:val="99"/>
    <w:semiHidden/>
    <w:unhideWhenUsed/>
    <w:rsid w:val="00A42FE7"/>
    <w:rPr>
      <w:sz w:val="20"/>
      <w:szCs w:val="20"/>
    </w:rPr>
  </w:style>
  <w:style w:type="character" w:customStyle="1" w:styleId="a9">
    <w:name w:val="Текст примечания Знак"/>
    <w:basedOn w:val="a0"/>
    <w:link w:val="a8"/>
    <w:uiPriority w:val="99"/>
    <w:semiHidden/>
    <w:rsid w:val="00A42FE7"/>
    <w:rPr>
      <w:rFonts w:ascii="Times New Roman" w:hAnsi="Times New Roman"/>
      <w:sz w:val="20"/>
      <w:szCs w:val="20"/>
    </w:rPr>
  </w:style>
  <w:style w:type="paragraph" w:styleId="aa">
    <w:name w:val="annotation subject"/>
    <w:basedOn w:val="a8"/>
    <w:next w:val="a8"/>
    <w:link w:val="ab"/>
    <w:uiPriority w:val="99"/>
    <w:semiHidden/>
    <w:unhideWhenUsed/>
    <w:rsid w:val="00A42FE7"/>
    <w:rPr>
      <w:b/>
      <w:bCs/>
    </w:rPr>
  </w:style>
  <w:style w:type="character" w:customStyle="1" w:styleId="ab">
    <w:name w:val="Тема примечания Знак"/>
    <w:basedOn w:val="a9"/>
    <w:link w:val="aa"/>
    <w:uiPriority w:val="99"/>
    <w:semiHidden/>
    <w:rsid w:val="00A42FE7"/>
    <w:rPr>
      <w:rFonts w:ascii="Times New Roman" w:hAnsi="Times New Roman"/>
      <w:b/>
      <w:bCs/>
      <w:sz w:val="20"/>
      <w:szCs w:val="20"/>
    </w:rPr>
  </w:style>
  <w:style w:type="paragraph" w:styleId="ac">
    <w:name w:val="List Paragraph"/>
    <w:basedOn w:val="a"/>
    <w:uiPriority w:val="34"/>
    <w:qFormat/>
    <w:rsid w:val="00264F64"/>
    <w:pPr>
      <w:ind w:left="720"/>
      <w:contextualSpacing/>
    </w:pPr>
  </w:style>
  <w:style w:type="character" w:styleId="ad">
    <w:name w:val="Unresolved Mention"/>
    <w:basedOn w:val="a0"/>
    <w:uiPriority w:val="99"/>
    <w:semiHidden/>
    <w:unhideWhenUsed/>
    <w:rsid w:val="00533BAC"/>
    <w:rPr>
      <w:color w:val="605E5C"/>
      <w:shd w:val="clear" w:color="auto" w:fill="E1DFDD"/>
    </w:rPr>
  </w:style>
  <w:style w:type="character" w:customStyle="1" w:styleId="10">
    <w:name w:val="Заголовок 1 Знак"/>
    <w:basedOn w:val="a0"/>
    <w:link w:val="1"/>
    <w:rsid w:val="00042978"/>
    <w:rPr>
      <w:rFonts w:ascii="Arial" w:eastAsiaTheme="majorEastAsia" w:hAnsi="Arial" w:cs="Arial"/>
      <w:b/>
      <w:bCs/>
      <w:kern w:val="32"/>
      <w:sz w:val="32"/>
      <w:szCs w:val="32"/>
      <w:lang w:eastAsia="ru-RU"/>
    </w:rPr>
  </w:style>
  <w:style w:type="paragraph" w:styleId="ae">
    <w:name w:val="Normal (Web)"/>
    <w:aliases w:val="Обычный (Web)"/>
    <w:basedOn w:val="a"/>
    <w:uiPriority w:val="99"/>
    <w:unhideWhenUsed/>
    <w:rsid w:val="00AA05D4"/>
    <w:pPr>
      <w:spacing w:before="100" w:beforeAutospacing="1" w:after="100" w:afterAutospacing="1"/>
    </w:pPr>
    <w:rPr>
      <w:rFonts w:eastAsia="Times New Roman" w:cs="Times New Roman"/>
      <w:noProof/>
      <w:kern w:val="0"/>
      <w:sz w:val="24"/>
      <w:szCs w:val="24"/>
      <w:lang w:eastAsia="ru-RU"/>
    </w:rPr>
  </w:style>
  <w:style w:type="paragraph" w:customStyle="1" w:styleId="ds-markdown-paragraph">
    <w:name w:val="ds-markdown-paragraph"/>
    <w:basedOn w:val="a"/>
    <w:rsid w:val="001F3A0F"/>
    <w:pPr>
      <w:spacing w:before="100" w:beforeAutospacing="1" w:after="100" w:afterAutospacing="1"/>
    </w:pPr>
    <w:rPr>
      <w:rFonts w:eastAsia="Times New Roman" w:cs="Times New Roman"/>
      <w:kern w:val="0"/>
      <w:sz w:val="24"/>
      <w:szCs w:val="24"/>
      <w:lang w:eastAsia="ru-RU"/>
    </w:rPr>
  </w:style>
  <w:style w:type="character" w:styleId="af">
    <w:name w:val="Emphasis"/>
    <w:basedOn w:val="a0"/>
    <w:uiPriority w:val="20"/>
    <w:qFormat/>
    <w:rsid w:val="005B0458"/>
    <w:rPr>
      <w:i/>
      <w:iCs/>
    </w:rPr>
  </w:style>
  <w:style w:type="character" w:styleId="af0">
    <w:name w:val="Strong"/>
    <w:basedOn w:val="a0"/>
    <w:uiPriority w:val="22"/>
    <w:qFormat/>
    <w:rsid w:val="005B04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90763">
      <w:bodyDiv w:val="1"/>
      <w:marLeft w:val="0"/>
      <w:marRight w:val="0"/>
      <w:marTop w:val="0"/>
      <w:marBottom w:val="0"/>
      <w:divBdr>
        <w:top w:val="none" w:sz="0" w:space="0" w:color="auto"/>
        <w:left w:val="none" w:sz="0" w:space="0" w:color="auto"/>
        <w:bottom w:val="none" w:sz="0" w:space="0" w:color="auto"/>
        <w:right w:val="none" w:sz="0" w:space="0" w:color="auto"/>
      </w:divBdr>
    </w:div>
    <w:div w:id="138013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yavkacheva_z@tstu.uz" TargetMode="External"/><Relationship Id="rId12" Type="http://schemas.openxmlformats.org/officeDocument/2006/relationships/hyperlink" Target="https://www.researchgate.net/scientific-contributions/HS-Aliyev-21357865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ikmetaliyev@aztu.edu.az"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AFD38-500C-4A50-921E-E7E50FC07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2666</Words>
  <Characters>15199</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Talipov Miraziz</cp:lastModifiedBy>
  <cp:revision>8</cp:revision>
  <dcterms:created xsi:type="dcterms:W3CDTF">2025-08-25T07:05:00Z</dcterms:created>
  <dcterms:modified xsi:type="dcterms:W3CDTF">2025-09-11T04:22:00Z</dcterms:modified>
</cp:coreProperties>
</file>